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360" w:lineRule="auto"/>
        <w:jc w:val="center"/>
        <w:textAlignment w:val="bottom"/>
        <w:rPr>
          <w:rFonts w:hint="eastAsia" w:ascii="宋体" w:hAnsi="宋体" w:eastAsia="宋体" w:cs="宋体"/>
          <w:b/>
          <w:color w:val="auto"/>
          <w:kern w:val="0"/>
          <w:sz w:val="52"/>
          <w:szCs w:val="52"/>
          <w:highlight w:val="none"/>
        </w:rPr>
      </w:pPr>
    </w:p>
    <w:p>
      <w:pPr>
        <w:pStyle w:val="11"/>
        <w:shd w:val="clear"/>
        <w:rPr>
          <w:rFonts w:hint="eastAsia" w:ascii="宋体" w:hAnsi="宋体" w:eastAsia="宋体" w:cs="宋体"/>
          <w:color w:val="auto"/>
          <w:highlight w:val="none"/>
        </w:rPr>
      </w:pPr>
    </w:p>
    <w:p>
      <w:pPr>
        <w:shd w:val="clear"/>
        <w:jc w:val="center"/>
        <w:rPr>
          <w:rFonts w:hint="eastAsia" w:ascii="宋体" w:hAnsi="宋体" w:eastAsia="宋体" w:cs="宋体"/>
          <w:color w:val="auto"/>
          <w:sz w:val="36"/>
          <w:szCs w:val="36"/>
          <w:highlight w:val="none"/>
        </w:rPr>
      </w:pPr>
      <w:r>
        <w:rPr>
          <w:rFonts w:hint="eastAsia" w:ascii="宋体" w:hAnsi="宋体" w:eastAsia="宋体" w:cs="宋体"/>
          <w:color w:val="auto"/>
          <w:highlight w:val="none"/>
        </w:rPr>
        <w:drawing>
          <wp:anchor distT="0" distB="0" distL="114300" distR="114300" simplePos="0" relativeHeight="251659264" behindDoc="1" locked="0" layoutInCell="1" allowOverlap="1">
            <wp:simplePos x="0" y="0"/>
            <wp:positionH relativeFrom="page">
              <wp:posOffset>1371600</wp:posOffset>
            </wp:positionH>
            <wp:positionV relativeFrom="page">
              <wp:posOffset>1310640</wp:posOffset>
            </wp:positionV>
            <wp:extent cx="2971800" cy="2091690"/>
            <wp:effectExtent l="0" t="0" r="0" b="381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lum contrast="11999"/>
                    </a:blip>
                    <a:stretch>
                      <a:fillRect/>
                    </a:stretch>
                  </pic:blipFill>
                  <pic:spPr>
                    <a:xfrm>
                      <a:off x="0" y="0"/>
                      <a:ext cx="2971800" cy="2091690"/>
                    </a:xfrm>
                    <a:prstGeom prst="rect">
                      <a:avLst/>
                    </a:prstGeom>
                    <a:noFill/>
                    <a:ln>
                      <a:noFill/>
                    </a:ln>
                  </pic:spPr>
                </pic:pic>
              </a:graphicData>
            </a:graphic>
          </wp:anchor>
        </w:drawing>
      </w:r>
    </w:p>
    <w:p>
      <w:pPr>
        <w:shd w:val="clear"/>
        <w:jc w:val="center"/>
        <w:rPr>
          <w:rFonts w:hint="eastAsia" w:ascii="宋体" w:hAnsi="宋体" w:eastAsia="宋体" w:cs="宋体"/>
          <w:color w:val="auto"/>
          <w:sz w:val="52"/>
          <w:szCs w:val="52"/>
          <w:highlight w:val="none"/>
        </w:rPr>
      </w:pPr>
    </w:p>
    <w:p>
      <w:pPr>
        <w:shd w:val="clear"/>
        <w:jc w:val="center"/>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 xml:space="preserve">         F-STONE</w:t>
      </w:r>
    </w:p>
    <w:p>
      <w:pPr>
        <w:shd w:val="clear"/>
        <w:jc w:val="center"/>
        <w:rPr>
          <w:rFonts w:hint="eastAsia" w:ascii="宋体" w:hAnsi="宋体" w:eastAsia="宋体" w:cs="宋体"/>
          <w:color w:val="auto"/>
          <w:sz w:val="36"/>
          <w:szCs w:val="36"/>
          <w:highlight w:val="none"/>
        </w:rPr>
      </w:pPr>
    </w:p>
    <w:p>
      <w:pPr>
        <w:shd w:val="clear"/>
        <w:spacing w:line="360" w:lineRule="auto"/>
        <w:textAlignment w:val="bottom"/>
        <w:rPr>
          <w:rFonts w:hint="eastAsia" w:ascii="宋体" w:hAnsi="宋体" w:eastAsia="宋体" w:cs="宋体"/>
          <w:color w:val="auto"/>
          <w:kern w:val="0"/>
          <w:sz w:val="28"/>
          <w:highlight w:val="none"/>
        </w:rPr>
      </w:pPr>
    </w:p>
    <w:p>
      <w:pPr>
        <w:shd w:val="clear"/>
        <w:spacing w:line="360" w:lineRule="auto"/>
        <w:jc w:val="center"/>
        <w:textAlignment w:val="bottom"/>
        <w:rPr>
          <w:rFonts w:hint="eastAsia" w:ascii="宋体" w:hAnsi="宋体" w:eastAsia="宋体" w:cs="宋体"/>
          <w:b/>
          <w:color w:val="auto"/>
          <w:kern w:val="0"/>
          <w:sz w:val="52"/>
          <w:szCs w:val="52"/>
          <w:highlight w:val="none"/>
        </w:rPr>
      </w:pPr>
      <w:r>
        <w:rPr>
          <w:rFonts w:hint="eastAsia" w:ascii="宋体" w:hAnsi="宋体" w:eastAsia="宋体" w:cs="宋体"/>
          <w:b/>
          <w:color w:val="auto"/>
          <w:kern w:val="0"/>
          <w:sz w:val="52"/>
          <w:szCs w:val="52"/>
          <w:highlight w:val="none"/>
        </w:rPr>
        <w:t>政府采购电子竞争性磋商文件</w:t>
      </w:r>
    </w:p>
    <w:p>
      <w:pPr>
        <w:shd w:val="clear"/>
        <w:spacing w:line="360" w:lineRule="auto"/>
        <w:textAlignment w:val="bottom"/>
        <w:rPr>
          <w:rFonts w:hint="eastAsia" w:ascii="宋体" w:hAnsi="宋体" w:eastAsia="宋体" w:cs="宋体"/>
          <w:color w:val="auto"/>
          <w:kern w:val="0"/>
          <w:sz w:val="28"/>
          <w:highlight w:val="none"/>
        </w:rPr>
      </w:pPr>
    </w:p>
    <w:p>
      <w:pPr>
        <w:shd w:val="clear"/>
        <w:spacing w:line="360" w:lineRule="auto"/>
        <w:jc w:val="center"/>
        <w:textAlignment w:val="bottom"/>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lang w:eastAsia="zh-CN"/>
        </w:rPr>
        <w:t>ZJWS2024-LQ131</w:t>
      </w:r>
    </w:p>
    <w:p>
      <w:pPr>
        <w:shd w:val="clear"/>
        <w:spacing w:line="360" w:lineRule="auto"/>
        <w:textAlignment w:val="bottom"/>
        <w:rPr>
          <w:rFonts w:hint="eastAsia" w:ascii="宋体" w:hAnsi="宋体" w:eastAsia="宋体" w:cs="宋体"/>
          <w:color w:val="auto"/>
          <w:kern w:val="0"/>
          <w:sz w:val="28"/>
          <w:highlight w:val="none"/>
        </w:rPr>
      </w:pPr>
    </w:p>
    <w:p>
      <w:pPr>
        <w:shd w:val="clear"/>
        <w:spacing w:line="360" w:lineRule="auto"/>
        <w:textAlignment w:val="bottom"/>
        <w:rPr>
          <w:rFonts w:hint="eastAsia" w:ascii="宋体" w:hAnsi="宋体" w:eastAsia="宋体" w:cs="宋体"/>
          <w:color w:val="auto"/>
          <w:kern w:val="0"/>
          <w:sz w:val="28"/>
          <w:highlight w:val="none"/>
        </w:rPr>
      </w:pPr>
    </w:p>
    <w:p>
      <w:pPr>
        <w:shd w:val="clear"/>
        <w:autoSpaceDE w:val="0"/>
        <w:autoSpaceDN w:val="0"/>
        <w:adjustRightInd w:val="0"/>
        <w:spacing w:line="360" w:lineRule="auto"/>
        <w:ind w:left="2517" w:leftChars="532" w:hanging="1400" w:hangingChars="500"/>
        <w:rPr>
          <w:rFonts w:hint="eastAsia" w:ascii="宋体" w:hAnsi="宋体" w:eastAsia="宋体" w:cs="宋体"/>
          <w:color w:val="auto"/>
          <w:kern w:val="0"/>
          <w:sz w:val="28"/>
          <w:highlight w:val="none"/>
          <w:lang w:eastAsia="zh-CN"/>
        </w:rPr>
      </w:pPr>
      <w:r>
        <w:rPr>
          <w:rFonts w:hint="eastAsia" w:ascii="宋体" w:hAnsi="宋体" w:eastAsia="宋体" w:cs="宋体"/>
          <w:color w:val="auto"/>
          <w:kern w:val="0"/>
          <w:sz w:val="28"/>
          <w:highlight w:val="none"/>
        </w:rPr>
        <w:t>采购项目：</w:t>
      </w:r>
      <w:r>
        <w:rPr>
          <w:rFonts w:hint="eastAsia" w:ascii="宋体" w:hAnsi="宋体" w:eastAsia="宋体" w:cs="宋体"/>
          <w:color w:val="auto"/>
          <w:kern w:val="0"/>
          <w:sz w:val="28"/>
          <w:highlight w:val="none"/>
          <w:lang w:eastAsia="zh-CN"/>
        </w:rPr>
        <w:t>中国·路桥第七届高端智能装备全球创业创新大赛组织服务项目</w:t>
      </w:r>
    </w:p>
    <w:p>
      <w:pPr>
        <w:shd w:val="clear"/>
        <w:autoSpaceDE w:val="0"/>
        <w:autoSpaceDN w:val="0"/>
        <w:adjustRightInd w:val="0"/>
        <w:spacing w:line="360" w:lineRule="auto"/>
        <w:ind w:firstLine="1120" w:firstLineChars="400"/>
        <w:rPr>
          <w:rFonts w:hint="eastAsia" w:ascii="宋体" w:hAnsi="宋体" w:eastAsia="宋体" w:cs="宋体"/>
          <w:color w:val="auto"/>
          <w:kern w:val="0"/>
          <w:sz w:val="28"/>
          <w:highlight w:val="none"/>
          <w:lang w:eastAsia="zh-CN"/>
        </w:rPr>
      </w:pPr>
      <w:r>
        <w:rPr>
          <w:rFonts w:hint="eastAsia" w:ascii="宋体" w:hAnsi="宋体" w:eastAsia="宋体" w:cs="宋体"/>
          <w:color w:val="auto"/>
          <w:kern w:val="0"/>
          <w:sz w:val="28"/>
          <w:highlight w:val="none"/>
        </w:rPr>
        <w:t>采购单位：</w:t>
      </w:r>
      <w:r>
        <w:rPr>
          <w:rFonts w:hint="eastAsia" w:ascii="宋体" w:hAnsi="宋体" w:eastAsia="宋体" w:cs="宋体"/>
          <w:color w:val="auto"/>
          <w:kern w:val="0"/>
          <w:sz w:val="28"/>
          <w:highlight w:val="none"/>
          <w:lang w:eastAsia="zh-CN"/>
        </w:rPr>
        <w:t>台州市路桥区人力资源和社会保障局</w:t>
      </w:r>
    </w:p>
    <w:p>
      <w:pPr>
        <w:shd w:val="clear"/>
        <w:spacing w:line="360" w:lineRule="auto"/>
        <w:textAlignment w:val="bottom"/>
        <w:rPr>
          <w:rFonts w:hint="eastAsia" w:ascii="宋体" w:hAnsi="宋体" w:eastAsia="宋体" w:cs="宋体"/>
          <w:color w:val="auto"/>
          <w:kern w:val="0"/>
          <w:sz w:val="28"/>
          <w:highlight w:val="none"/>
        </w:rPr>
      </w:pPr>
    </w:p>
    <w:p>
      <w:pPr>
        <w:shd w:val="clear"/>
        <w:spacing w:line="360" w:lineRule="auto"/>
        <w:textAlignment w:val="bottom"/>
        <w:rPr>
          <w:rFonts w:hint="eastAsia" w:ascii="宋体" w:hAnsi="宋体" w:eastAsia="宋体" w:cs="宋体"/>
          <w:color w:val="auto"/>
          <w:kern w:val="0"/>
          <w:sz w:val="28"/>
          <w:highlight w:val="none"/>
        </w:rPr>
      </w:pPr>
    </w:p>
    <w:p>
      <w:pPr>
        <w:shd w:val="clear"/>
        <w:autoSpaceDE w:val="0"/>
        <w:autoSpaceDN w:val="0"/>
        <w:adjustRightInd w:val="0"/>
        <w:spacing w:line="360" w:lineRule="auto"/>
        <w:jc w:val="center"/>
        <w:rPr>
          <w:rFonts w:hint="eastAsia" w:ascii="宋体" w:hAnsi="宋体" w:eastAsia="宋体" w:cs="宋体"/>
          <w:color w:val="auto"/>
          <w:kern w:val="0"/>
          <w:sz w:val="28"/>
          <w:highlight w:val="none"/>
        </w:rPr>
      </w:pPr>
      <w:r>
        <w:rPr>
          <w:rFonts w:hint="eastAsia" w:ascii="宋体" w:hAnsi="宋体" w:eastAsia="宋体" w:cs="宋体"/>
          <w:color w:val="auto"/>
          <w:kern w:val="0"/>
          <w:sz w:val="28"/>
          <w:highlight w:val="none"/>
        </w:rPr>
        <w:t>采购代理机构：浙江五石中正工程咨询有限公司</w:t>
      </w:r>
    </w:p>
    <w:p>
      <w:pPr>
        <w:shd w:val="clear"/>
        <w:autoSpaceDE w:val="0"/>
        <w:autoSpaceDN w:val="0"/>
        <w:adjustRightInd w:val="0"/>
        <w:spacing w:line="360" w:lineRule="auto"/>
        <w:jc w:val="center"/>
        <w:rPr>
          <w:rFonts w:hint="eastAsia" w:ascii="宋体" w:hAnsi="宋体" w:eastAsia="宋体" w:cs="宋体"/>
          <w:color w:val="auto"/>
          <w:sz w:val="24"/>
          <w:szCs w:val="32"/>
          <w:highlight w:val="none"/>
          <w:lang w:eastAsia="zh-CN"/>
        </w:rPr>
      </w:pPr>
      <w:r>
        <w:rPr>
          <w:rFonts w:hint="eastAsia" w:ascii="宋体" w:hAnsi="宋体" w:eastAsia="宋体" w:cs="宋体"/>
          <w:color w:val="auto"/>
          <w:kern w:val="0"/>
          <w:sz w:val="28"/>
          <w:highlight w:val="none"/>
          <w:lang w:eastAsia="zh-CN"/>
        </w:rPr>
        <w:t>2024年7月</w:t>
      </w:r>
    </w:p>
    <w:p>
      <w:pPr>
        <w:shd w:val="clea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br w:type="page"/>
      </w:r>
      <w:r>
        <w:rPr>
          <w:rFonts w:hint="eastAsia" w:ascii="宋体" w:hAnsi="宋体" w:eastAsia="宋体" w:cs="宋体"/>
          <w:b/>
          <w:bCs/>
          <w:color w:val="auto"/>
          <w:sz w:val="36"/>
          <w:szCs w:val="36"/>
          <w:highlight w:val="none"/>
        </w:rPr>
        <w:t>目  录</w:t>
      </w:r>
    </w:p>
    <w:p>
      <w:pPr>
        <w:shd w:val="clear"/>
        <w:spacing w:line="360" w:lineRule="auto"/>
        <w:rPr>
          <w:rFonts w:hint="eastAsia" w:ascii="宋体" w:hAnsi="宋体" w:eastAsia="宋体" w:cs="宋体"/>
          <w:color w:val="auto"/>
          <w:sz w:val="28"/>
          <w:szCs w:val="28"/>
          <w:highlight w:val="none"/>
        </w:rPr>
      </w:pPr>
    </w:p>
    <w:p>
      <w:pPr>
        <w:shd w:val="clea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一、竞争性磋商公告</w:t>
      </w:r>
    </w:p>
    <w:p>
      <w:pPr>
        <w:shd w:val="clea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二、供应商须知</w:t>
      </w:r>
    </w:p>
    <w:p>
      <w:pPr>
        <w:shd w:val="clea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三、评审办法及评审标准  </w:t>
      </w:r>
    </w:p>
    <w:p>
      <w:pPr>
        <w:shd w:val="clea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四、项目需求</w:t>
      </w:r>
    </w:p>
    <w:p>
      <w:pPr>
        <w:shd w:val="clea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五、政府采购合同主要条款指引       </w:t>
      </w:r>
    </w:p>
    <w:p>
      <w:pPr>
        <w:shd w:val="clear"/>
        <w:spacing w:line="360" w:lineRule="auto"/>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六、响应文件格式附件</w:t>
      </w: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第一部分 竞争性磋商公告</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根据《中华人民共和国政府采购法》及《</w:t>
      </w:r>
      <w:r>
        <w:rPr>
          <w:rFonts w:hint="eastAsia" w:ascii="宋体" w:hAnsi="宋体" w:eastAsia="宋体" w:cs="宋体"/>
          <w:color w:val="auto"/>
          <w:sz w:val="24"/>
          <w:szCs w:val="32"/>
          <w:highlight w:val="none"/>
          <w:lang w:eastAsia="zh-CN"/>
        </w:rPr>
        <w:t>台州市政府向社会力量购买服务指导性目录</w:t>
      </w:r>
      <w:r>
        <w:rPr>
          <w:rFonts w:hint="eastAsia" w:ascii="宋体" w:hAnsi="宋体" w:eastAsia="宋体" w:cs="宋体"/>
          <w:color w:val="auto"/>
          <w:sz w:val="24"/>
          <w:szCs w:val="32"/>
          <w:highlight w:val="none"/>
        </w:rPr>
        <w:t>（202</w:t>
      </w:r>
      <w:r>
        <w:rPr>
          <w:rFonts w:hint="eastAsia" w:ascii="宋体" w:hAnsi="宋体" w:eastAsia="宋体" w:cs="宋体"/>
          <w:color w:val="auto"/>
          <w:sz w:val="24"/>
          <w:szCs w:val="32"/>
          <w:highlight w:val="none"/>
          <w:lang w:val="en-US" w:eastAsia="zh-CN"/>
        </w:rPr>
        <w:t>4</w:t>
      </w:r>
      <w:r>
        <w:rPr>
          <w:rFonts w:hint="eastAsia" w:ascii="宋体" w:hAnsi="宋体" w:eastAsia="宋体" w:cs="宋体"/>
          <w:color w:val="auto"/>
          <w:sz w:val="24"/>
          <w:szCs w:val="32"/>
          <w:highlight w:val="none"/>
        </w:rPr>
        <w:t>年度）》第A</w:t>
      </w:r>
      <w:r>
        <w:rPr>
          <w:rFonts w:hint="eastAsia" w:ascii="宋体" w:hAnsi="宋体" w:eastAsia="宋体" w:cs="宋体"/>
          <w:color w:val="auto"/>
          <w:sz w:val="24"/>
          <w:szCs w:val="32"/>
          <w:highlight w:val="none"/>
          <w:lang w:val="en-US" w:eastAsia="zh-CN"/>
        </w:rPr>
        <w:t>0301</w:t>
      </w:r>
      <w:r>
        <w:rPr>
          <w:rFonts w:hint="eastAsia" w:ascii="宋体" w:hAnsi="宋体" w:eastAsia="宋体" w:cs="宋体"/>
          <w:color w:val="auto"/>
          <w:sz w:val="24"/>
          <w:szCs w:val="32"/>
          <w:highlight w:val="none"/>
        </w:rPr>
        <w:t>条，本项目为购买服务项目，采用竞争性磋商方式开展采购。</w:t>
      </w:r>
      <w:r>
        <w:rPr>
          <w:rFonts w:hint="eastAsia" w:ascii="宋体" w:hAnsi="宋体" w:eastAsia="宋体" w:cs="宋体"/>
          <w:b/>
          <w:bCs/>
          <w:color w:val="auto"/>
          <w:sz w:val="24"/>
          <w:szCs w:val="32"/>
          <w:highlight w:val="none"/>
        </w:rPr>
        <w:t>浙江五石中正工程咨询有限公司</w:t>
      </w:r>
      <w:r>
        <w:rPr>
          <w:rFonts w:hint="eastAsia" w:ascii="宋体" w:hAnsi="宋体" w:eastAsia="宋体" w:cs="宋体"/>
          <w:color w:val="auto"/>
          <w:sz w:val="24"/>
          <w:szCs w:val="32"/>
          <w:highlight w:val="none"/>
        </w:rPr>
        <w:t>受</w:t>
      </w:r>
      <w:r>
        <w:rPr>
          <w:rFonts w:hint="eastAsia" w:ascii="宋体" w:hAnsi="宋体" w:eastAsia="宋体" w:cs="宋体"/>
          <w:b/>
          <w:bCs/>
          <w:color w:val="auto"/>
          <w:sz w:val="24"/>
          <w:szCs w:val="32"/>
          <w:highlight w:val="none"/>
          <w:lang w:eastAsia="zh-CN"/>
        </w:rPr>
        <w:t>台州市路桥区人力资源和社会保障局</w:t>
      </w:r>
      <w:r>
        <w:rPr>
          <w:rFonts w:hint="eastAsia" w:ascii="宋体" w:hAnsi="宋体" w:eastAsia="宋体" w:cs="宋体"/>
          <w:color w:val="auto"/>
          <w:sz w:val="24"/>
          <w:szCs w:val="32"/>
          <w:highlight w:val="none"/>
        </w:rPr>
        <w:t>委托，现就其</w:t>
      </w:r>
      <w:r>
        <w:rPr>
          <w:rFonts w:hint="eastAsia" w:ascii="宋体" w:hAnsi="宋体" w:eastAsia="宋体" w:cs="宋体"/>
          <w:b/>
          <w:bCs/>
          <w:color w:val="auto"/>
          <w:sz w:val="24"/>
          <w:szCs w:val="32"/>
          <w:highlight w:val="none"/>
          <w:lang w:eastAsia="zh-CN"/>
        </w:rPr>
        <w:t>中国·路桥第七届高端智能装备全球创业创新大赛组织服务项目</w:t>
      </w:r>
      <w:r>
        <w:rPr>
          <w:rFonts w:hint="eastAsia" w:ascii="宋体" w:hAnsi="宋体" w:eastAsia="宋体" w:cs="宋体"/>
          <w:color w:val="auto"/>
          <w:sz w:val="24"/>
          <w:szCs w:val="32"/>
          <w:highlight w:val="none"/>
        </w:rPr>
        <w:t>进行竞争性磋商采购，欢迎合格供应商前来磋商。</w:t>
      </w:r>
    </w:p>
    <w:p>
      <w:pPr>
        <w:shd w:val="clear"/>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eastAsia="宋体" w:cs="宋体"/>
          <w:b/>
          <w:bCs/>
          <w:color w:val="auto"/>
          <w:sz w:val="24"/>
          <w:szCs w:val="32"/>
          <w:highlight w:val="none"/>
        </w:rPr>
        <w:t>一、项目编号：</w:t>
      </w:r>
      <w:r>
        <w:rPr>
          <w:rFonts w:hint="eastAsia" w:ascii="宋体" w:hAnsi="宋体" w:eastAsia="宋体" w:cs="宋体"/>
          <w:color w:val="auto"/>
          <w:sz w:val="24"/>
          <w:szCs w:val="32"/>
          <w:highlight w:val="none"/>
          <w:lang w:eastAsia="zh-CN"/>
        </w:rPr>
        <w:t>ZJWS2024-LQ131</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二、磋商内容：</w:t>
      </w:r>
    </w:p>
    <w:tbl>
      <w:tblPr>
        <w:tblStyle w:val="30"/>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2593"/>
        <w:gridCol w:w="750"/>
        <w:gridCol w:w="790"/>
        <w:gridCol w:w="1090"/>
        <w:gridCol w:w="2565"/>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069" w:type="dxa"/>
            <w:noWrap w:val="0"/>
            <w:vAlign w:val="center"/>
          </w:tcPr>
          <w:p>
            <w:pPr>
              <w:keepNext w:val="0"/>
              <w:keepLines w:val="0"/>
              <w:pageBreakBefore w:val="0"/>
              <w:shd w:val="clear" w:color="auto" w:fill="auto"/>
              <w:tabs>
                <w:tab w:val="left" w:pos="8280"/>
              </w:tabs>
              <w:kinsoku/>
              <w:wordWrap/>
              <w:overflowPunct/>
              <w:topLinePunct w:val="0"/>
              <w:autoSpaceDE w:val="0"/>
              <w:autoSpaceDN w:val="0"/>
              <w:bidi w:val="0"/>
              <w:adjustRightInd w:val="0"/>
              <w:spacing w:line="240" w:lineRule="auto"/>
              <w:ind w:right="2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标段号</w:t>
            </w:r>
          </w:p>
        </w:tc>
        <w:tc>
          <w:tcPr>
            <w:tcW w:w="2593" w:type="dxa"/>
            <w:noWrap w:val="0"/>
            <w:vAlign w:val="center"/>
          </w:tcPr>
          <w:p>
            <w:pPr>
              <w:keepNext w:val="0"/>
              <w:keepLines w:val="0"/>
              <w:pageBreakBefore w:val="0"/>
              <w:shd w:val="clear" w:color="auto" w:fill="auto"/>
              <w:tabs>
                <w:tab w:val="left" w:pos="8280"/>
              </w:tabs>
              <w:kinsoku/>
              <w:wordWrap/>
              <w:overflowPunct/>
              <w:topLinePunct w:val="0"/>
              <w:autoSpaceDE w:val="0"/>
              <w:autoSpaceDN w:val="0"/>
              <w:bidi w:val="0"/>
              <w:adjustRightInd w:val="0"/>
              <w:spacing w:line="240" w:lineRule="auto"/>
              <w:ind w:right="25" w:firstLine="120" w:firstLineChars="5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顶目名称</w:t>
            </w:r>
          </w:p>
        </w:tc>
        <w:tc>
          <w:tcPr>
            <w:tcW w:w="750" w:type="dxa"/>
            <w:noWrap w:val="0"/>
            <w:vAlign w:val="center"/>
          </w:tcPr>
          <w:p>
            <w:pPr>
              <w:keepNext w:val="0"/>
              <w:keepLines w:val="0"/>
              <w:pageBreakBefore w:val="0"/>
              <w:shd w:val="clear" w:color="auto" w:fill="auto"/>
              <w:tabs>
                <w:tab w:val="left" w:pos="8280"/>
              </w:tabs>
              <w:kinsoku/>
              <w:wordWrap/>
              <w:overflowPunct/>
              <w:topLinePunct w:val="0"/>
              <w:autoSpaceDE w:val="0"/>
              <w:autoSpaceDN w:val="0"/>
              <w:bidi w:val="0"/>
              <w:adjustRightInd w:val="0"/>
              <w:spacing w:line="240" w:lineRule="auto"/>
              <w:ind w:right="2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790" w:type="dxa"/>
            <w:noWrap w:val="0"/>
            <w:vAlign w:val="center"/>
          </w:tcPr>
          <w:p>
            <w:pPr>
              <w:keepNext w:val="0"/>
              <w:keepLines w:val="0"/>
              <w:pageBreakBefore w:val="0"/>
              <w:shd w:val="clear" w:color="auto" w:fill="auto"/>
              <w:tabs>
                <w:tab w:val="left" w:pos="8280"/>
              </w:tabs>
              <w:kinsoku/>
              <w:wordWrap/>
              <w:overflowPunct/>
              <w:topLinePunct w:val="0"/>
              <w:autoSpaceDE w:val="0"/>
              <w:autoSpaceDN w:val="0"/>
              <w:bidi w:val="0"/>
              <w:adjustRightInd w:val="0"/>
              <w:spacing w:line="240" w:lineRule="auto"/>
              <w:ind w:right="2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单位</w:t>
            </w:r>
          </w:p>
        </w:tc>
        <w:tc>
          <w:tcPr>
            <w:tcW w:w="1090" w:type="dxa"/>
            <w:noWrap w:val="0"/>
            <w:vAlign w:val="center"/>
          </w:tcPr>
          <w:p>
            <w:pPr>
              <w:keepNext w:val="0"/>
              <w:keepLines w:val="0"/>
              <w:pageBreakBefore w:val="0"/>
              <w:shd w:val="clear" w:color="auto" w:fill="auto"/>
              <w:tabs>
                <w:tab w:val="left" w:pos="8280"/>
              </w:tabs>
              <w:kinsoku/>
              <w:wordWrap/>
              <w:overflowPunct/>
              <w:topLinePunct w:val="0"/>
              <w:autoSpaceDE w:val="0"/>
              <w:autoSpaceDN w:val="0"/>
              <w:bidi w:val="0"/>
              <w:adjustRightInd w:val="0"/>
              <w:spacing w:line="240" w:lineRule="auto"/>
              <w:ind w:right="25"/>
              <w:jc w:val="center"/>
              <w:rPr>
                <w:rFonts w:hint="eastAsia" w:ascii="宋体" w:hAnsi="宋体" w:eastAsia="宋体" w:cs="宋体"/>
                <w:b/>
                <w:color w:val="auto"/>
                <w:highlight w:val="none"/>
              </w:rPr>
            </w:pPr>
            <w:r>
              <w:rPr>
                <w:rFonts w:hint="eastAsia" w:ascii="宋体" w:hAnsi="宋体" w:eastAsia="宋体" w:cs="宋体"/>
                <w:b/>
                <w:color w:val="auto"/>
                <w:highlight w:val="none"/>
              </w:rPr>
              <w:t>预算</w:t>
            </w:r>
          </w:p>
          <w:p>
            <w:pPr>
              <w:keepNext w:val="0"/>
              <w:keepLines w:val="0"/>
              <w:pageBreakBefore w:val="0"/>
              <w:shd w:val="clear" w:color="auto" w:fill="auto"/>
              <w:tabs>
                <w:tab w:val="left" w:pos="8280"/>
              </w:tabs>
              <w:kinsoku/>
              <w:wordWrap/>
              <w:overflowPunct/>
              <w:topLinePunct w:val="0"/>
              <w:autoSpaceDE w:val="0"/>
              <w:autoSpaceDN w:val="0"/>
              <w:bidi w:val="0"/>
              <w:adjustRightInd w:val="0"/>
              <w:spacing w:line="240" w:lineRule="auto"/>
              <w:ind w:right="25"/>
              <w:jc w:val="center"/>
              <w:rPr>
                <w:rFonts w:hint="eastAsia" w:ascii="宋体" w:hAnsi="宋体" w:eastAsia="宋体" w:cs="宋体"/>
                <w:b/>
                <w:color w:val="auto"/>
                <w:highlight w:val="none"/>
              </w:rPr>
            </w:pPr>
            <w:r>
              <w:rPr>
                <w:rFonts w:hint="eastAsia" w:ascii="宋体" w:hAnsi="宋体" w:eastAsia="宋体" w:cs="宋体"/>
                <w:b/>
                <w:color w:val="auto"/>
                <w:highlight w:val="none"/>
              </w:rPr>
              <w:t>（万元）</w:t>
            </w:r>
          </w:p>
        </w:tc>
        <w:tc>
          <w:tcPr>
            <w:tcW w:w="2565" w:type="dxa"/>
            <w:noWrap w:val="0"/>
            <w:vAlign w:val="center"/>
          </w:tcPr>
          <w:p>
            <w:pPr>
              <w:keepNext w:val="0"/>
              <w:keepLines w:val="0"/>
              <w:pageBreakBefore w:val="0"/>
              <w:shd w:val="clear" w:color="auto" w:fill="auto"/>
              <w:tabs>
                <w:tab w:val="left" w:pos="8280"/>
              </w:tabs>
              <w:kinsoku/>
              <w:wordWrap/>
              <w:overflowPunct/>
              <w:topLinePunct w:val="0"/>
              <w:autoSpaceDE w:val="0"/>
              <w:autoSpaceDN w:val="0"/>
              <w:bidi w:val="0"/>
              <w:adjustRightInd w:val="0"/>
              <w:spacing w:line="240" w:lineRule="auto"/>
              <w:ind w:right="2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服务期</w:t>
            </w:r>
          </w:p>
        </w:tc>
        <w:tc>
          <w:tcPr>
            <w:tcW w:w="893" w:type="dxa"/>
            <w:noWrap w:val="0"/>
            <w:vAlign w:val="center"/>
          </w:tcPr>
          <w:p>
            <w:pPr>
              <w:keepNext w:val="0"/>
              <w:keepLines w:val="0"/>
              <w:pageBreakBefore w:val="0"/>
              <w:shd w:val="clear" w:color="auto" w:fill="auto"/>
              <w:tabs>
                <w:tab w:val="left" w:pos="8280"/>
              </w:tabs>
              <w:kinsoku/>
              <w:wordWrap/>
              <w:overflowPunct/>
              <w:topLinePunct w:val="0"/>
              <w:autoSpaceDE w:val="0"/>
              <w:autoSpaceDN w:val="0"/>
              <w:bidi w:val="0"/>
              <w:adjustRightInd w:val="0"/>
              <w:spacing w:line="240" w:lineRule="auto"/>
              <w:ind w:right="2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069" w:type="dxa"/>
            <w:noWrap w:val="0"/>
            <w:vAlign w:val="center"/>
          </w:tcPr>
          <w:p>
            <w:pPr>
              <w:keepNext w:val="0"/>
              <w:keepLines w:val="0"/>
              <w:pageBreakBefore w:val="0"/>
              <w:shd w:val="clear" w:color="auto" w:fill="auto"/>
              <w:tabs>
                <w:tab w:val="left" w:pos="8280"/>
              </w:tabs>
              <w:kinsoku/>
              <w:wordWrap/>
              <w:overflowPunct/>
              <w:topLinePunct w:val="0"/>
              <w:autoSpaceDE w:val="0"/>
              <w:autoSpaceDN w:val="0"/>
              <w:bidi w:val="0"/>
              <w:adjustRightInd w:val="0"/>
              <w:spacing w:line="240" w:lineRule="auto"/>
              <w:jc w:val="center"/>
              <w:rPr>
                <w:rFonts w:hint="eastAsia" w:ascii="宋体" w:hAnsi="宋体" w:eastAsia="宋体" w:cs="宋体"/>
                <w:bCs/>
                <w:color w:val="auto"/>
                <w:sz w:val="24"/>
                <w:highlight w:val="none"/>
              </w:rPr>
            </w:pPr>
            <w:r>
              <w:rPr>
                <w:rFonts w:hint="eastAsia" w:ascii="宋体" w:hAnsi="宋体" w:eastAsia="宋体" w:cs="宋体"/>
                <w:color w:val="auto"/>
                <w:sz w:val="24"/>
                <w:highlight w:val="none"/>
              </w:rPr>
              <w:t>一</w:t>
            </w:r>
          </w:p>
        </w:tc>
        <w:tc>
          <w:tcPr>
            <w:tcW w:w="2593" w:type="dxa"/>
            <w:noWrap w:val="0"/>
            <w:vAlign w:val="center"/>
          </w:tcPr>
          <w:p>
            <w:pPr>
              <w:keepNext w:val="0"/>
              <w:keepLines w:val="0"/>
              <w:pageBreakBefore w:val="0"/>
              <w:shd w:val="clear" w:color="auto" w:fill="auto"/>
              <w:kinsoku/>
              <w:wordWrap/>
              <w:overflowPunct/>
              <w:topLinePunct w:val="0"/>
              <w:autoSpaceDE/>
              <w:autoSpaceDN/>
              <w:bidi w:val="0"/>
              <w:adjustRightInd/>
              <w:snapToGrid/>
              <w:spacing w:line="240" w:lineRule="auto"/>
              <w:ind w:right="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中国·路桥第七届</w:t>
            </w:r>
            <w:r>
              <w:rPr>
                <w:rFonts w:hint="eastAsia" w:ascii="宋体" w:hAnsi="宋体" w:eastAsia="宋体" w:cs="宋体"/>
                <w:bCs/>
                <w:color w:val="auto"/>
                <w:sz w:val="24"/>
                <w:highlight w:val="none"/>
              </w:rPr>
              <w:t>高端智能装备全球创业创新大赛组织服务项目</w:t>
            </w:r>
          </w:p>
        </w:tc>
        <w:tc>
          <w:tcPr>
            <w:tcW w:w="750" w:type="dxa"/>
            <w:noWrap w:val="0"/>
            <w:vAlign w:val="center"/>
          </w:tcPr>
          <w:p>
            <w:pPr>
              <w:keepNext w:val="0"/>
              <w:keepLines w:val="0"/>
              <w:pageBreakBefore w:val="0"/>
              <w:shd w:val="clear" w:color="auto" w:fill="auto"/>
              <w:tabs>
                <w:tab w:val="left" w:pos="8280"/>
              </w:tabs>
              <w:kinsoku/>
              <w:wordWrap/>
              <w:overflowPunct/>
              <w:topLinePunct w:val="0"/>
              <w:autoSpaceDE w:val="0"/>
              <w:autoSpaceDN w:val="0"/>
              <w:bidi w:val="0"/>
              <w:adjustRightInd w:val="0"/>
              <w:snapToGrid w:val="0"/>
              <w:spacing w:line="240" w:lineRule="auto"/>
              <w:ind w:right="25"/>
              <w:jc w:val="center"/>
              <w:rPr>
                <w:rFonts w:hint="eastAsia" w:ascii="宋体" w:hAnsi="宋体" w:eastAsia="宋体" w:cs="宋体"/>
                <w:color w:val="auto"/>
                <w:sz w:val="28"/>
                <w:highlight w:val="none"/>
              </w:rPr>
            </w:pPr>
            <w:r>
              <w:rPr>
                <w:rFonts w:hint="eastAsia" w:ascii="宋体" w:hAnsi="宋体" w:eastAsia="宋体" w:cs="宋体"/>
                <w:bCs/>
                <w:color w:val="auto"/>
                <w:sz w:val="24"/>
                <w:highlight w:val="none"/>
              </w:rPr>
              <w:t>1</w:t>
            </w:r>
          </w:p>
        </w:tc>
        <w:tc>
          <w:tcPr>
            <w:tcW w:w="790" w:type="dxa"/>
            <w:noWrap w:val="0"/>
            <w:vAlign w:val="center"/>
          </w:tcPr>
          <w:p>
            <w:pPr>
              <w:keepNext w:val="0"/>
              <w:keepLines w:val="0"/>
              <w:pageBreakBefore w:val="0"/>
              <w:shd w:val="clear" w:color="auto" w:fill="auto"/>
              <w:tabs>
                <w:tab w:val="left" w:pos="8280"/>
              </w:tabs>
              <w:kinsoku/>
              <w:wordWrap/>
              <w:overflowPunct/>
              <w:topLinePunct w:val="0"/>
              <w:autoSpaceDE w:val="0"/>
              <w:autoSpaceDN w:val="0"/>
              <w:bidi w:val="0"/>
              <w:adjustRightInd w:val="0"/>
              <w:snapToGrid w:val="0"/>
              <w:spacing w:line="240" w:lineRule="auto"/>
              <w:ind w:right="25"/>
              <w:jc w:val="center"/>
              <w:rPr>
                <w:rFonts w:hint="eastAsia" w:ascii="宋体" w:hAnsi="宋体" w:eastAsia="宋体" w:cs="宋体"/>
                <w:color w:val="auto"/>
                <w:sz w:val="28"/>
                <w:highlight w:val="none"/>
              </w:rPr>
            </w:pPr>
            <w:r>
              <w:rPr>
                <w:rFonts w:hint="eastAsia" w:ascii="宋体" w:hAnsi="宋体" w:eastAsia="宋体" w:cs="宋体"/>
                <w:bCs/>
                <w:color w:val="auto"/>
                <w:sz w:val="24"/>
                <w:highlight w:val="none"/>
              </w:rPr>
              <w:t>项</w:t>
            </w:r>
          </w:p>
        </w:tc>
        <w:tc>
          <w:tcPr>
            <w:tcW w:w="1090" w:type="dxa"/>
            <w:noWrap w:val="0"/>
            <w:vAlign w:val="center"/>
          </w:tcPr>
          <w:p>
            <w:pPr>
              <w:keepNext w:val="0"/>
              <w:keepLines w:val="0"/>
              <w:pageBreakBefore w:val="0"/>
              <w:shd w:val="clear" w:color="auto" w:fill="auto"/>
              <w:tabs>
                <w:tab w:val="left" w:pos="8280"/>
              </w:tabs>
              <w:kinsoku/>
              <w:wordWrap/>
              <w:overflowPunct/>
              <w:topLinePunct w:val="0"/>
              <w:autoSpaceDE w:val="0"/>
              <w:autoSpaceDN w:val="0"/>
              <w:bidi w:val="0"/>
              <w:adjustRightInd w:val="0"/>
              <w:snapToGrid w:val="0"/>
              <w:spacing w:line="240" w:lineRule="auto"/>
              <w:ind w:right="25"/>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85</w:t>
            </w:r>
          </w:p>
        </w:tc>
        <w:tc>
          <w:tcPr>
            <w:tcW w:w="2565" w:type="dxa"/>
            <w:noWrap w:val="0"/>
            <w:vAlign w:val="center"/>
          </w:tcPr>
          <w:p>
            <w:pPr>
              <w:keepNext w:val="0"/>
              <w:keepLines w:val="0"/>
              <w:pageBreakBefore w:val="0"/>
              <w:shd w:val="clear" w:color="auto" w:fill="auto"/>
              <w:tabs>
                <w:tab w:val="left" w:pos="8280"/>
              </w:tabs>
              <w:kinsoku/>
              <w:wordWrap/>
              <w:overflowPunct/>
              <w:topLinePunct w:val="0"/>
              <w:autoSpaceDE w:val="0"/>
              <w:autoSpaceDN w:val="0"/>
              <w:bidi w:val="0"/>
              <w:adjustRightInd w:val="0"/>
              <w:snapToGrid w:val="0"/>
              <w:spacing w:line="240" w:lineRule="auto"/>
              <w:ind w:right="25"/>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合同签订起至202</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rPr>
              <w:t>年底。</w:t>
            </w:r>
            <w:r>
              <w:rPr>
                <w:rFonts w:hint="eastAsia" w:ascii="宋体" w:hAnsi="宋体" w:eastAsia="宋体" w:cs="宋体"/>
                <w:color w:val="auto"/>
                <w:sz w:val="24"/>
                <w:szCs w:val="24"/>
                <w:highlight w:val="none"/>
                <w:lang w:val="en-US" w:eastAsia="zh-CN"/>
              </w:rPr>
              <w:t>（</w:t>
            </w:r>
            <w:r>
              <w:rPr>
                <w:rStyle w:val="39"/>
                <w:rFonts w:hint="eastAsia" w:ascii="宋体" w:hAnsi="宋体" w:eastAsia="宋体" w:cs="宋体"/>
                <w:color w:val="auto"/>
                <w:sz w:val="24"/>
                <w:szCs w:val="32"/>
                <w:highlight w:val="none"/>
                <w:lang w:val="zh-CN"/>
              </w:rPr>
              <w:t>后续年份的采购按批准的预算执行，续签年份财政预算金额未达到合同金额或财政预算未通过的，合同约定自动失效）</w:t>
            </w:r>
          </w:p>
        </w:tc>
        <w:tc>
          <w:tcPr>
            <w:tcW w:w="893" w:type="dxa"/>
            <w:noWrap w:val="0"/>
            <w:vAlign w:val="center"/>
          </w:tcPr>
          <w:p>
            <w:pPr>
              <w:keepNext w:val="0"/>
              <w:keepLines w:val="0"/>
              <w:pageBreakBefore w:val="0"/>
              <w:shd w:val="clear" w:color="auto" w:fill="auto"/>
              <w:tabs>
                <w:tab w:val="left" w:pos="8280"/>
              </w:tabs>
              <w:kinsoku/>
              <w:wordWrap/>
              <w:overflowPunct/>
              <w:topLinePunct w:val="0"/>
              <w:autoSpaceDE w:val="0"/>
              <w:autoSpaceDN w:val="0"/>
              <w:bidi w:val="0"/>
              <w:adjustRightInd w:val="0"/>
              <w:snapToGrid w:val="0"/>
              <w:spacing w:line="240" w:lineRule="auto"/>
              <w:ind w:right="25"/>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采购人指定地点</w:t>
            </w:r>
          </w:p>
        </w:tc>
      </w:tr>
    </w:tbl>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三、合格磋商供应商的资格条件：</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w:t>
      </w:r>
      <w:r>
        <w:rPr>
          <w:rFonts w:hint="eastAsia" w:ascii="宋体" w:hAnsi="宋体" w:eastAsia="宋体" w:cs="宋体"/>
          <w:color w:val="auto"/>
          <w:sz w:val="24"/>
          <w:szCs w:val="24"/>
          <w:highlight w:val="none"/>
        </w:rPr>
        <w:t>满足《中华人民共和国政府采购法》第二十二条规定；未被“信用中国”（www.creditchina.gov.cn</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、中国政府采购网（www.ccgp.gov.cn）列入失信被执行人、重大税收违法失信主体、政府采购严重违法失信行为记录名单</w:t>
      </w:r>
      <w:r>
        <w:rPr>
          <w:rFonts w:hint="eastAsia" w:ascii="宋体" w:hAnsi="宋体" w:eastAsia="宋体" w:cs="宋体"/>
          <w:color w:val="auto"/>
          <w:sz w:val="24"/>
          <w:szCs w:val="32"/>
          <w:highlight w:val="none"/>
        </w:rPr>
        <w:t>；</w:t>
      </w:r>
    </w:p>
    <w:p>
      <w:pPr>
        <w:shd w:val="clear"/>
        <w:spacing w:line="360" w:lineRule="auto"/>
        <w:ind w:firstLine="480" w:firstLineChars="200"/>
        <w:textAlignment w:val="baseline"/>
        <w:rPr>
          <w:rStyle w:val="39"/>
          <w:rFonts w:hint="eastAsia" w:ascii="宋体" w:hAnsi="宋体" w:eastAsia="宋体" w:cs="宋体"/>
          <w:color w:val="auto"/>
          <w:sz w:val="24"/>
          <w:szCs w:val="32"/>
          <w:highlight w:val="none"/>
        </w:rPr>
      </w:pPr>
      <w:r>
        <w:rPr>
          <w:rStyle w:val="39"/>
          <w:rFonts w:hint="eastAsia" w:ascii="宋体" w:hAnsi="宋体" w:eastAsia="宋体" w:cs="宋体"/>
          <w:color w:val="auto"/>
          <w:sz w:val="24"/>
          <w:szCs w:val="32"/>
          <w:highlight w:val="none"/>
        </w:rPr>
        <w:t>2、落实政府采购政策需满足的资格要求：</w:t>
      </w:r>
      <w:r>
        <w:rPr>
          <w:rStyle w:val="39"/>
          <w:rFonts w:hint="eastAsia" w:ascii="宋体" w:hAnsi="宋体" w:eastAsia="宋体" w:cs="宋体"/>
          <w:color w:val="auto"/>
          <w:sz w:val="24"/>
          <w:szCs w:val="32"/>
          <w:highlight w:val="none"/>
          <w:lang w:val="en-US"/>
        </w:rPr>
        <w:t>本项目为专门面向中小微企业采购的项目，投标单位应为中小微企业（监狱企业及残疾人福利性单位视同小型、微型企业）</w:t>
      </w:r>
      <w:r>
        <w:rPr>
          <w:rStyle w:val="39"/>
          <w:rFonts w:hint="eastAsia" w:ascii="宋体" w:hAnsi="宋体" w:eastAsia="宋体" w:cs="宋体"/>
          <w:color w:val="auto"/>
          <w:sz w:val="24"/>
          <w:szCs w:val="32"/>
          <w:highlight w:val="none"/>
        </w:rPr>
        <w:t>；</w:t>
      </w:r>
    </w:p>
    <w:p>
      <w:pPr>
        <w:pStyle w:val="9"/>
        <w:shd w:val="clear"/>
        <w:ind w:firstLine="480" w:firstLineChars="200"/>
        <w:rPr>
          <w:rFonts w:hint="eastAsia" w:ascii="宋体" w:hAnsi="宋体" w:eastAsia="宋体" w:cs="宋体"/>
          <w:color w:val="auto"/>
          <w:highlight w:val="none"/>
        </w:rPr>
      </w:pPr>
      <w:r>
        <w:rPr>
          <w:rStyle w:val="39"/>
          <w:rFonts w:hint="eastAsia" w:ascii="宋体" w:hAnsi="宋体" w:eastAsia="宋体" w:cs="宋体"/>
          <w:color w:val="auto"/>
          <w:sz w:val="24"/>
          <w:szCs w:val="32"/>
          <w:highlight w:val="none"/>
        </w:rPr>
        <w:t>3、本项目的特定资格要求：</w:t>
      </w:r>
      <w:r>
        <w:rPr>
          <w:rStyle w:val="39"/>
          <w:rFonts w:hint="eastAsia" w:ascii="宋体" w:hAnsi="宋体" w:eastAsia="宋体" w:cs="宋体"/>
          <w:color w:val="auto"/>
          <w:sz w:val="24"/>
          <w:szCs w:val="32"/>
          <w:highlight w:val="none"/>
          <w:lang w:val="en-US"/>
        </w:rPr>
        <w:t>无</w:t>
      </w:r>
      <w:r>
        <w:rPr>
          <w:rStyle w:val="39"/>
          <w:rFonts w:hint="eastAsia" w:ascii="宋体" w:hAnsi="宋体" w:eastAsia="宋体" w:cs="宋体"/>
          <w:color w:val="auto"/>
          <w:sz w:val="24"/>
          <w:szCs w:val="32"/>
          <w:highlight w:val="none"/>
        </w:rPr>
        <w:t>；</w:t>
      </w:r>
    </w:p>
    <w:p>
      <w:pPr>
        <w:shd w:val="clear"/>
        <w:spacing w:line="360" w:lineRule="auto"/>
        <w:ind w:firstLine="480" w:firstLineChars="200"/>
        <w:textAlignment w:val="baseline"/>
        <w:rPr>
          <w:rStyle w:val="39"/>
          <w:rFonts w:hint="eastAsia" w:ascii="宋体" w:hAnsi="宋体" w:eastAsia="宋体" w:cs="宋体"/>
          <w:color w:val="auto"/>
          <w:sz w:val="24"/>
          <w:szCs w:val="32"/>
          <w:highlight w:val="none"/>
        </w:rPr>
      </w:pPr>
      <w:r>
        <w:rPr>
          <w:rStyle w:val="39"/>
          <w:rFonts w:hint="eastAsia" w:ascii="宋体" w:hAnsi="宋体" w:eastAsia="宋体" w:cs="宋体"/>
          <w:color w:val="auto"/>
          <w:sz w:val="24"/>
          <w:szCs w:val="32"/>
          <w:highlight w:val="none"/>
        </w:rPr>
        <w:t>4、本项目不接受联合体磋商。</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四、磋商文件获取的时间、方式：</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1、本项目磋商文件于“政府采购云平台”在线获取，不提供磋商文件纸质版。供应商获取磋商文件前应先完成“政府采购云平台”的账号注册。</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2、获取时间：自本公告发布之日起至响应文件递交截止时间止（以供应商完成获取磋商文件申请后下载磋商文件的时间为准）。</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3、地点：</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（1）政采云平台（</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"http://zfcg.czt.zj.gov.cn/"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http://zfcg.czt.zj.gov.cn</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32"/>
          <w:highlight w:val="none"/>
        </w:rPr>
        <w:t>）；</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（2）供应商网上报名操作指南：“浙江政府采购网-办事指南-省采中心-网上报名”（http://zfcg.czt.zj.gov.cn/bs_other/2018-03-30/12002.html）。</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方式：潜在供应商登陆政采云平台，在线申请获取采购文件（进入“项目采购”应用，在获取采购文件菜单中选择项目，申请获取采购文件，本项目采购文件不收取工本费；仅需浏览采购文件的供应商可点击“游客，浏览采购文件”直接下载采购文件浏览）。</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特别提示：磋商公告附件内的采购文件（或采购需求）仅供阅览使用，供应商只有在“政府采购云平台”完成获取采购文件申请并下载了采购文件后才视作依法获取采购文件（法律法规所指的供应商获取采购文件时间以供应商完成获取采购文件申请后下载采购文件的时间为准）。</w:t>
      </w:r>
    </w:p>
    <w:p>
      <w:pPr>
        <w:shd w:val="clear"/>
        <w:spacing w:line="360" w:lineRule="auto"/>
        <w:ind w:firstLine="482" w:firstLineChars="200"/>
        <w:rPr>
          <w:rFonts w:hint="eastAsia" w:ascii="宋体" w:hAnsi="宋体" w:eastAsia="宋体" w:cs="宋体"/>
          <w:b/>
          <w:bCs/>
          <w:color w:val="auto"/>
          <w:highlight w:val="none"/>
        </w:rPr>
      </w:pPr>
      <w:r>
        <w:rPr>
          <w:rFonts w:hint="eastAsia" w:ascii="宋体" w:hAnsi="宋体" w:eastAsia="宋体" w:cs="宋体"/>
          <w:b/>
          <w:bCs/>
          <w:color w:val="auto"/>
          <w:sz w:val="24"/>
          <w:szCs w:val="32"/>
          <w:highlight w:val="none"/>
        </w:rPr>
        <w:t>6、未进行供应商资格报名或登记（含网上报名登记）的供应商，视为未参加政府采购活动，不得提出质疑，但因供应商资格条件受到限制、报名时间设定不符合有关规定等原因使供应商不能参加报名或登记的除外。</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五、磋商响应说明：</w:t>
      </w:r>
    </w:p>
    <w:p>
      <w:pPr>
        <w:shd w:val="clea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rPr>
        <w:t>1.本项目实行电子投标，供应商应按照本项目采购文件和政采云平台的要求编制、加密并递交响应文件。供应商在使用系统进行磋商响应文件制作及磋商响应的过程中遇到涉及平台使用的任何问题，可致电政采云平台技术支持热线咨询，联系方式：</w:t>
      </w:r>
      <w:r>
        <w:rPr>
          <w:rFonts w:hint="eastAsia" w:ascii="宋体" w:hAnsi="宋体" w:cs="宋体"/>
          <w:color w:val="auto"/>
          <w:kern w:val="0"/>
          <w:sz w:val="24"/>
          <w:highlight w:val="none"/>
          <w:u w:val="single"/>
          <w:lang w:val="en-US" w:eastAsia="zh-CN"/>
        </w:rPr>
        <w:t>95763</w:t>
      </w:r>
      <w:r>
        <w:rPr>
          <w:rFonts w:hint="eastAsia" w:ascii="宋体" w:hAnsi="宋体" w:eastAsia="宋体" w:cs="宋体"/>
          <w:color w:val="auto"/>
          <w:kern w:val="0"/>
          <w:sz w:val="24"/>
          <w:highlight w:val="none"/>
          <w:u w:val="single"/>
        </w:rPr>
        <w:t>。</w:t>
      </w:r>
    </w:p>
    <w:p>
      <w:pPr>
        <w:shd w:val="clea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rPr>
        <w:t>2.供应商通过政采云平台电子投标工具制作响应文件，电子投标工具请供应商自行前往浙江政府采购网下载并安装（下载网址：https://zfcg.czt.zj.gov.cn/luban/detail?parentId=600030&amp;articleId=ZoGATzO%2FwUdM7eXAIXLAyg%3D%3D&amp;utm=luban.luban-PC-37000.979-pc-websitegroup-zhejiang-secondPage-front.1.58e482b00f1311eea8dfcb72d7241801</w:t>
      </w:r>
      <w:r>
        <w:rPr>
          <w:rFonts w:hint="eastAsia" w:ascii="宋体" w:hAnsi="宋体" w:cs="宋体"/>
          <w:color w:val="auto"/>
          <w:kern w:val="0"/>
          <w:sz w:val="24"/>
          <w:highlight w:val="none"/>
          <w:u w:val="single"/>
          <w:lang w:eastAsia="zh-CN"/>
        </w:rPr>
        <w:t>）</w:t>
      </w:r>
      <w:r>
        <w:rPr>
          <w:rFonts w:hint="eastAsia" w:ascii="宋体" w:hAnsi="宋体" w:eastAsia="宋体" w:cs="宋体"/>
          <w:color w:val="auto"/>
          <w:kern w:val="0"/>
          <w:sz w:val="24"/>
          <w:highlight w:val="none"/>
          <w:u w:val="single"/>
        </w:rPr>
        <w:t>。</w:t>
      </w:r>
    </w:p>
    <w:p>
      <w:pPr>
        <w:shd w:val="clea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rPr>
        <w:t>3.供应商应在磋商开始前完成CA数字证书办理（办理流程详见https://zfcg.czt.zj.gov.cn/luban/detail?parentId=600030&amp;articleId=8usMobfHBXp2GJnjOIZ0EA%3D%3D&amp;utm=luban.luban-PC-37000.979-pc-websitegroup-zhejiang-secondPage-front.3.b52770000f1311eeb3d92762a180ef93，完成CA数字证书办理预计一周左右，请各投标人自行把握时间）。</w:t>
      </w:r>
    </w:p>
    <w:p>
      <w:pPr>
        <w:shd w:val="clear"/>
        <w:spacing w:line="360" w:lineRule="auto"/>
        <w:ind w:firstLine="480" w:firstLineChars="200"/>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u w:val="single"/>
        </w:rPr>
        <w:t>4.供应商应当在磋商响应截止时间前完成电子响应文件的传输递交，并可以补充、修改或者撤回电子响应文件。补充或者修改电子响应文件的，应当先行撤回原文件，补充、修改后重新传输递交。磋商响应截止时间前未完成传输的，视为撤回响应文件。磋商响应截止时间后传输、递交的响应文件，将被拒收。</w:t>
      </w:r>
      <w:r>
        <w:rPr>
          <w:rFonts w:hint="eastAsia" w:ascii="宋体" w:hAnsi="宋体" w:eastAsia="宋体" w:cs="宋体"/>
          <w:color w:val="auto"/>
          <w:kern w:val="0"/>
          <w:sz w:val="24"/>
          <w:highlight w:val="none"/>
          <w:u w:val="single"/>
          <w:lang w:val="en-GB"/>
        </w:rPr>
        <w:t>在</w:t>
      </w:r>
      <w:r>
        <w:rPr>
          <w:rFonts w:hint="eastAsia" w:ascii="宋体" w:hAnsi="宋体" w:eastAsia="宋体" w:cs="宋体"/>
          <w:color w:val="auto"/>
          <w:kern w:val="0"/>
          <w:sz w:val="24"/>
          <w:highlight w:val="none"/>
          <w:u w:val="single"/>
        </w:rPr>
        <w:t>开始磋商后</w:t>
      </w:r>
      <w:r>
        <w:rPr>
          <w:rFonts w:hint="eastAsia" w:ascii="宋体" w:hAnsi="宋体" w:eastAsia="宋体" w:cs="宋体"/>
          <w:color w:val="auto"/>
          <w:kern w:val="0"/>
          <w:sz w:val="24"/>
          <w:highlight w:val="none"/>
          <w:u w:val="single"/>
          <w:lang w:val="en-GB"/>
        </w:rPr>
        <w:t>规定的</w:t>
      </w:r>
      <w:r>
        <w:rPr>
          <w:rFonts w:hint="eastAsia" w:ascii="宋体" w:hAnsi="宋体" w:eastAsia="宋体" w:cs="宋体"/>
          <w:color w:val="auto"/>
          <w:kern w:val="0"/>
          <w:sz w:val="24"/>
          <w:highlight w:val="none"/>
          <w:u w:val="single"/>
        </w:rPr>
        <w:t>磋商响应</w:t>
      </w:r>
      <w:r>
        <w:rPr>
          <w:rFonts w:hint="eastAsia" w:ascii="宋体" w:hAnsi="宋体" w:eastAsia="宋体" w:cs="宋体"/>
          <w:color w:val="auto"/>
          <w:kern w:val="0"/>
          <w:sz w:val="24"/>
          <w:highlight w:val="none"/>
          <w:u w:val="single"/>
          <w:lang w:val="en-GB"/>
        </w:rPr>
        <w:t>有效期内，供应商不能撤销响应文件。</w:t>
      </w:r>
    </w:p>
    <w:p>
      <w:pPr>
        <w:shd w:val="clear"/>
        <w:spacing w:line="360" w:lineRule="auto"/>
        <w:ind w:firstLine="480" w:firstLineChars="2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5.响应文件的组成、份数、密封、效力</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本项目实行电子投标，供应商应准备电子响应文件、以介质（U盘）存储的数据电文形式、纸质备份响应文件三类：</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5.1电子响应文件，按政采云平台项目采购--电子招投标操作指南及本采购文件要求编制。</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w:t>
      </w:r>
      <w:bookmarkStart w:id="0" w:name="_Hlk34638143"/>
      <w:r>
        <w:rPr>
          <w:rFonts w:hint="eastAsia" w:ascii="宋体" w:hAnsi="宋体" w:eastAsia="宋体" w:cs="宋体"/>
          <w:color w:val="auto"/>
          <w:sz w:val="24"/>
          <w:highlight w:val="none"/>
        </w:rPr>
        <w:t>纸质</w:t>
      </w:r>
      <w:bookmarkEnd w:id="0"/>
      <w:r>
        <w:rPr>
          <w:rFonts w:hint="eastAsia" w:ascii="宋体" w:hAnsi="宋体" w:eastAsia="宋体" w:cs="宋体"/>
          <w:color w:val="auto"/>
          <w:sz w:val="24"/>
          <w:highlight w:val="none"/>
        </w:rPr>
        <w:t>备份响应文件以纸质文件的形式编制，</w:t>
      </w:r>
      <w:r>
        <w:rPr>
          <w:rFonts w:hint="eastAsia" w:ascii="宋体" w:hAnsi="宋体" w:eastAsia="宋体" w:cs="宋体"/>
          <w:b/>
          <w:bCs/>
          <w:color w:val="auto"/>
          <w:sz w:val="24"/>
          <w:highlight w:val="none"/>
        </w:rPr>
        <w:t>数量均为2份（一正一副）</w:t>
      </w:r>
      <w:r>
        <w:rPr>
          <w:rFonts w:hint="eastAsia" w:ascii="宋体" w:hAnsi="宋体" w:eastAsia="宋体" w:cs="宋体"/>
          <w:color w:val="auto"/>
          <w:sz w:val="24"/>
          <w:highlight w:val="none"/>
        </w:rPr>
        <w:t>。</w:t>
      </w:r>
    </w:p>
    <w:p>
      <w:pPr>
        <w:shd w:val="clear"/>
        <w:spacing w:line="360" w:lineRule="auto"/>
        <w:ind w:firstLine="480" w:firstLineChars="200"/>
        <w:rPr>
          <w:rFonts w:hint="eastAsia" w:ascii="宋体" w:hAnsi="宋体" w:eastAsia="宋体" w:cs="宋体"/>
          <w:color w:val="auto"/>
          <w:sz w:val="24"/>
          <w:highlight w:val="none"/>
          <w:u w:val="single"/>
        </w:rPr>
      </w:pPr>
      <w:bookmarkStart w:id="1" w:name="_Hlk34639647"/>
      <w:r>
        <w:rPr>
          <w:rFonts w:hint="eastAsia" w:ascii="宋体" w:hAnsi="宋体" w:eastAsia="宋体" w:cs="宋体"/>
          <w:color w:val="auto"/>
          <w:sz w:val="24"/>
          <w:highlight w:val="none"/>
        </w:rPr>
        <w:t>5.3</w:t>
      </w:r>
      <w:r>
        <w:rPr>
          <w:rFonts w:hint="eastAsia" w:ascii="宋体" w:hAnsi="宋体" w:eastAsia="宋体" w:cs="宋体"/>
          <w:color w:val="auto"/>
          <w:sz w:val="24"/>
          <w:highlight w:val="none"/>
          <w:u w:val="single"/>
        </w:rPr>
        <w:t>磋商供应商在“政府采购云平台”完成“电子加密响应文件”的上传递交后，还可以在磋商响应截止时间前递交以介质（U盘）存储的数据电文形式和纸质形式的“备份响应文件”，“备份响应文件”应当密封包装并在包装上标注项目名称、供应商名称并加盖公章。以介质（U盘）存储的数据电文形式和纸质形式的“备份响应文件”需分别密封，可采用以下两种方式其中一种送达（逾期送达或未密封将被拒收）：</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①在磋商响应截止时间前送交到磋商地点；</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②采用邮寄方式（包裹外包装上请注明单位、项目名称、联系电话等信息，以便代理机构作接收登记工作），邮寄接收截止时间为磋商响应截止时间前一个工作日下午16：00整（邮寄地址：浙江五石中正工程咨询有限公司台州分公司（台州市椒江区东环大道576号二楼，联系人：金老师，电话：0576-88781913。))。</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5.4通过“政府采购云平台”上传递交的“电子加密响应文件”无法按时解密，磋商供应商递交了备份响应文件的，以备份响应文件为依据，否则视为响应文件撤回。通过“政府采购云平台”上传递交的“电子加密响应文件”已按时解密的，“备份响应文件”自动失效。磋商供应商仅递交备份响应文件的，响应无效。</w:t>
      </w:r>
    </w:p>
    <w:bookmarkEnd w:id="1"/>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5.5投标文件启用顺序和效力：投标文件的启用，按先后顺位分别为电子投标文件、以介质（U盘）存储的数据电文形式的备份投标文件。</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5.6▲未传输递交电子投标文件的，投标无效。</w:t>
      </w:r>
    </w:p>
    <w:p>
      <w:pPr>
        <w:shd w:val="clear"/>
        <w:spacing w:line="360" w:lineRule="auto"/>
        <w:ind w:firstLine="482" w:firstLineChars="200"/>
        <w:rPr>
          <w:rFonts w:hint="eastAsia" w:ascii="宋体" w:hAnsi="宋体" w:eastAsia="宋体" w:cs="宋体"/>
          <w:color w:val="auto"/>
          <w:sz w:val="24"/>
          <w:szCs w:val="32"/>
          <w:highlight w:val="none"/>
          <w:lang w:eastAsia="zh-CN"/>
        </w:rPr>
      </w:pPr>
      <w:r>
        <w:rPr>
          <w:rFonts w:hint="eastAsia" w:ascii="宋体" w:hAnsi="宋体" w:eastAsia="宋体" w:cs="宋体"/>
          <w:b/>
          <w:bCs/>
          <w:color w:val="auto"/>
          <w:sz w:val="24"/>
          <w:szCs w:val="32"/>
          <w:highlight w:val="none"/>
        </w:rPr>
        <w:t>六、响应截止时间及响应文件开启时间：</w:t>
      </w:r>
      <w:r>
        <w:rPr>
          <w:rFonts w:hint="eastAsia" w:ascii="宋体" w:hAnsi="宋体" w:eastAsia="宋体" w:cs="宋体"/>
          <w:color w:val="auto"/>
          <w:sz w:val="24"/>
          <w:szCs w:val="32"/>
          <w:highlight w:val="none"/>
        </w:rPr>
        <w:t>北京时间</w:t>
      </w:r>
      <w:r>
        <w:rPr>
          <w:rFonts w:hint="eastAsia" w:ascii="宋体" w:hAnsi="宋体" w:eastAsia="宋体" w:cs="宋体"/>
          <w:color w:val="auto"/>
          <w:sz w:val="24"/>
          <w:szCs w:val="32"/>
          <w:highlight w:val="none"/>
          <w:lang w:eastAsia="zh-CN"/>
        </w:rPr>
        <w:t>2024年</w:t>
      </w:r>
      <w:r>
        <w:rPr>
          <w:rFonts w:hint="eastAsia" w:ascii="宋体" w:hAnsi="宋体" w:cs="宋体"/>
          <w:color w:val="auto"/>
          <w:sz w:val="24"/>
          <w:szCs w:val="32"/>
          <w:highlight w:val="none"/>
          <w:lang w:val="en-US" w:eastAsia="zh-CN"/>
        </w:rPr>
        <w:t>8</w:t>
      </w:r>
      <w:r>
        <w:rPr>
          <w:rFonts w:hint="eastAsia" w:ascii="宋体" w:hAnsi="宋体" w:eastAsia="宋体" w:cs="宋体"/>
          <w:color w:val="auto"/>
          <w:sz w:val="24"/>
          <w:szCs w:val="32"/>
          <w:highlight w:val="none"/>
          <w:lang w:eastAsia="zh-CN"/>
        </w:rPr>
        <w:t>月</w:t>
      </w:r>
      <w:r>
        <w:rPr>
          <w:rFonts w:hint="eastAsia" w:ascii="宋体" w:hAnsi="宋体" w:cs="宋体"/>
          <w:color w:val="auto"/>
          <w:sz w:val="24"/>
          <w:szCs w:val="32"/>
          <w:highlight w:val="none"/>
          <w:lang w:val="en-US" w:eastAsia="zh-CN"/>
        </w:rPr>
        <w:t>8</w:t>
      </w:r>
      <w:r>
        <w:rPr>
          <w:rFonts w:hint="eastAsia" w:ascii="宋体" w:hAnsi="宋体" w:eastAsia="宋体" w:cs="宋体"/>
          <w:color w:val="auto"/>
          <w:sz w:val="24"/>
          <w:szCs w:val="32"/>
          <w:highlight w:val="none"/>
          <w:lang w:eastAsia="zh-CN"/>
        </w:rPr>
        <w:t>日</w:t>
      </w:r>
      <w:r>
        <w:rPr>
          <w:rFonts w:hint="eastAsia" w:ascii="宋体" w:hAnsi="宋体" w:cs="宋体"/>
          <w:color w:val="auto"/>
          <w:sz w:val="24"/>
          <w:szCs w:val="32"/>
          <w:highlight w:val="none"/>
          <w:lang w:val="en-US" w:eastAsia="zh-CN"/>
        </w:rPr>
        <w:t>下</w:t>
      </w:r>
      <w:r>
        <w:rPr>
          <w:rFonts w:hint="eastAsia" w:ascii="宋体" w:hAnsi="宋体" w:eastAsia="宋体" w:cs="宋体"/>
          <w:color w:val="auto"/>
          <w:sz w:val="24"/>
          <w:szCs w:val="32"/>
          <w:highlight w:val="none"/>
          <w:lang w:val="en-US" w:eastAsia="zh-CN"/>
        </w:rPr>
        <w:t>午</w:t>
      </w:r>
      <w:r>
        <w:rPr>
          <w:rFonts w:hint="eastAsia" w:ascii="宋体" w:hAnsi="宋体" w:cs="宋体"/>
          <w:color w:val="auto"/>
          <w:sz w:val="24"/>
          <w:szCs w:val="32"/>
          <w:highlight w:val="none"/>
          <w:lang w:val="en-US" w:eastAsia="zh-CN"/>
        </w:rPr>
        <w:t>14</w:t>
      </w:r>
      <w:r>
        <w:rPr>
          <w:rFonts w:hint="eastAsia" w:ascii="宋体" w:hAnsi="宋体" w:eastAsia="宋体" w:cs="宋体"/>
          <w:color w:val="auto"/>
          <w:sz w:val="24"/>
          <w:szCs w:val="32"/>
          <w:highlight w:val="none"/>
          <w:lang w:eastAsia="zh-CN"/>
        </w:rPr>
        <w:t>:30整</w:t>
      </w:r>
    </w:p>
    <w:p>
      <w:pPr>
        <w:shd w:val="clear"/>
        <w:spacing w:line="360" w:lineRule="auto"/>
        <w:ind w:firstLine="482" w:firstLineChars="200"/>
        <w:rPr>
          <w:rFonts w:hint="eastAsia" w:ascii="宋体" w:hAnsi="宋体" w:eastAsia="宋体" w:cs="宋体"/>
          <w:color w:val="auto"/>
          <w:sz w:val="24"/>
          <w:szCs w:val="32"/>
          <w:highlight w:val="none"/>
        </w:rPr>
      </w:pPr>
      <w:r>
        <w:rPr>
          <w:rFonts w:hint="eastAsia" w:ascii="宋体" w:hAnsi="宋体" w:eastAsia="宋体" w:cs="宋体"/>
          <w:b/>
          <w:bCs/>
          <w:color w:val="auto"/>
          <w:sz w:val="24"/>
          <w:szCs w:val="32"/>
          <w:highlight w:val="none"/>
        </w:rPr>
        <w:t>七、响应及磋商地址：</w:t>
      </w:r>
      <w:r>
        <w:rPr>
          <w:rFonts w:hint="eastAsia" w:ascii="宋体" w:hAnsi="宋体" w:eastAsia="宋体" w:cs="宋体"/>
          <w:b w:val="0"/>
          <w:bCs w:val="0"/>
          <w:color w:val="auto"/>
          <w:sz w:val="24"/>
          <w:highlight w:val="none"/>
        </w:rPr>
        <w:t>通过“政府采购云平台（www.zcygov.cn）”实行在线投标响应</w:t>
      </w:r>
      <w:r>
        <w:rPr>
          <w:rFonts w:hint="eastAsia" w:ascii="宋体" w:hAnsi="宋体" w:eastAsia="宋体" w:cs="宋体"/>
          <w:b w:val="0"/>
          <w:bCs w:val="0"/>
          <w:color w:val="auto"/>
          <w:sz w:val="24"/>
          <w:highlight w:val="none"/>
          <w:lang w:val="en-US" w:eastAsia="zh-CN"/>
        </w:rPr>
        <w:t>/</w:t>
      </w:r>
      <w:r>
        <w:rPr>
          <w:rFonts w:hint="eastAsia" w:ascii="宋体" w:hAnsi="宋体" w:eastAsia="宋体" w:cs="宋体"/>
          <w:color w:val="auto"/>
          <w:sz w:val="24"/>
          <w:szCs w:val="32"/>
          <w:highlight w:val="none"/>
        </w:rPr>
        <w:t>台州市路桥区财富大道999号区政府商城办公区（商城国际）五楼政府采购中心</w:t>
      </w:r>
      <w:r>
        <w:rPr>
          <w:rFonts w:hint="eastAsia" w:ascii="宋体" w:hAnsi="宋体" w:eastAsia="宋体" w:cs="宋体"/>
          <w:color w:val="auto"/>
          <w:sz w:val="24"/>
          <w:szCs w:val="32"/>
          <w:highlight w:val="none"/>
          <w:lang w:eastAsia="zh-CN"/>
        </w:rPr>
        <w:t>开标室（一）</w:t>
      </w:r>
      <w:r>
        <w:rPr>
          <w:rFonts w:hint="eastAsia" w:ascii="宋体" w:hAnsi="宋体" w:eastAsia="宋体" w:cs="宋体"/>
          <w:color w:val="auto"/>
          <w:sz w:val="24"/>
          <w:szCs w:val="32"/>
          <w:highlight w:val="none"/>
        </w:rPr>
        <w:t>。</w:t>
      </w:r>
    </w:p>
    <w:p>
      <w:pPr>
        <w:shd w:val="clear"/>
        <w:spacing w:line="360" w:lineRule="auto"/>
        <w:ind w:firstLine="482" w:firstLineChars="200"/>
        <w:outlineLvl w:val="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八、相关注意事项：</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供应商如对采购文件有异议应按规定的时间提出，且应当在采购响应截止时间之前，逾期提出的，采购组织机构可不予受理、答复。</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w:t>
      </w:r>
      <w:r>
        <w:rPr>
          <w:rFonts w:hint="eastAsia" w:ascii="宋体" w:hAnsi="宋体" w:eastAsia="宋体" w:cs="宋体"/>
          <w:color w:val="auto"/>
          <w:sz w:val="24"/>
          <w:highlight w:val="none"/>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2.根据财库[2016]125号《关于在政府采购活动中查询及使用信用记录有关问题的通知》要求，采购代理机构会对供应商信用记录进行查询并甄别。</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1）信用信息查询的截止时点：开标后评标前；</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2）查询渠道：“信用中国”（</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"qq://txfile/"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www.creditchina.gov.cn</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32"/>
          <w:highlight w:val="none"/>
        </w:rPr>
        <w:t>）、“中国政府采购网”（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"qq://txfile/" </w:instrText>
      </w:r>
      <w:r>
        <w:rPr>
          <w:rFonts w:hint="eastAsia" w:ascii="宋体" w:hAnsi="宋体" w:eastAsia="宋体" w:cs="宋体"/>
          <w:color w:val="auto"/>
          <w:highlight w:val="none"/>
        </w:rPr>
        <w:fldChar w:fldCharType="separate"/>
      </w:r>
      <w:r>
        <w:rPr>
          <w:rFonts w:hint="eastAsia" w:ascii="宋体" w:hAnsi="宋体" w:eastAsia="宋体" w:cs="宋体"/>
          <w:color w:val="auto"/>
          <w:sz w:val="24"/>
          <w:szCs w:val="32"/>
          <w:highlight w:val="none"/>
        </w:rPr>
        <w:t>www.ccgp.gov.cn</w:t>
      </w:r>
      <w:r>
        <w:rPr>
          <w:rFonts w:hint="eastAsia" w:ascii="宋体" w:hAnsi="宋体" w:eastAsia="宋体" w:cs="宋体"/>
          <w:color w:val="auto"/>
          <w:sz w:val="24"/>
          <w:szCs w:val="32"/>
          <w:highlight w:val="none"/>
        </w:rPr>
        <w:fldChar w:fldCharType="end"/>
      </w:r>
      <w:r>
        <w:rPr>
          <w:rFonts w:hint="eastAsia" w:ascii="宋体" w:hAnsi="宋体" w:eastAsia="宋体" w:cs="宋体"/>
          <w:color w:val="auto"/>
          <w:sz w:val="24"/>
          <w:szCs w:val="32"/>
          <w:highlight w:val="none"/>
        </w:rPr>
        <w:t>）、“浙江政府采购网（</w:t>
      </w:r>
      <w:r>
        <w:rPr>
          <w:rStyle w:val="39"/>
          <w:rFonts w:hint="eastAsia" w:ascii="宋体" w:hAnsi="宋体" w:eastAsia="宋体" w:cs="宋体"/>
          <w:color w:val="auto"/>
          <w:sz w:val="24"/>
          <w:highlight w:val="none"/>
        </w:rPr>
        <w:t>zfcg.czt.zj.gov.cn</w:t>
      </w:r>
      <w:r>
        <w:rPr>
          <w:rFonts w:hint="eastAsia" w:ascii="宋体" w:hAnsi="宋体" w:eastAsia="宋体" w:cs="宋体"/>
          <w:color w:val="auto"/>
          <w:sz w:val="24"/>
          <w:szCs w:val="32"/>
          <w:highlight w:val="none"/>
        </w:rPr>
        <w:t>）；</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3）信用信息查询记录和证据留存具体方式：采购代理机构经办人将查询网页打印与其他项目相关文件一并保存；</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4）信用信息的使用规则：供应商存在不良信用记录的，其响应将被作为无效响应被拒绝。</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3.不良信用记录指：被列入失信被执行人、</w:t>
      </w:r>
      <w:r>
        <w:rPr>
          <w:rStyle w:val="39"/>
          <w:rFonts w:hint="eastAsia" w:ascii="宋体" w:hAnsi="宋体" w:eastAsia="宋体" w:cs="宋体"/>
          <w:color w:val="auto"/>
          <w:sz w:val="24"/>
          <w:highlight w:val="none"/>
        </w:rPr>
        <w:t>重大税收违法失信主体</w:t>
      </w:r>
      <w:r>
        <w:rPr>
          <w:rFonts w:hint="eastAsia" w:ascii="宋体" w:hAnsi="宋体" w:eastAsia="宋体" w:cs="宋体"/>
          <w:color w:val="auto"/>
          <w:sz w:val="24"/>
          <w:szCs w:val="32"/>
          <w:highlight w:val="none"/>
        </w:rPr>
        <w:t>、政府采购严重违法失信行为记录名单或浙江政府采购网曝光台中尚在行政处罚期内的。</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4.响应文件开启时间后30分钟内，供应商须登录“政采云”平台，用“项目采购-开标评标”功能解密响应文件，供应商未按时解密或解密失败的，磋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无效。电脑及CA解密设备自备。</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九、联系方式：</w:t>
      </w:r>
    </w:p>
    <w:p>
      <w:pPr>
        <w:shd w:val="clear"/>
        <w:spacing w:line="360" w:lineRule="auto"/>
        <w:ind w:firstLine="482" w:firstLineChars="200"/>
        <w:rPr>
          <w:rFonts w:hint="eastAsia" w:ascii="宋体" w:hAnsi="宋体" w:eastAsia="宋体" w:cs="宋体"/>
          <w:color w:val="auto"/>
          <w:sz w:val="24"/>
          <w:szCs w:val="32"/>
          <w:highlight w:val="none"/>
        </w:rPr>
      </w:pPr>
      <w:r>
        <w:rPr>
          <w:rFonts w:hint="eastAsia" w:ascii="宋体" w:hAnsi="宋体" w:eastAsia="宋体" w:cs="宋体"/>
          <w:b/>
          <w:bCs/>
          <w:color w:val="auto"/>
          <w:sz w:val="24"/>
          <w:szCs w:val="32"/>
          <w:highlight w:val="none"/>
        </w:rPr>
        <w:t>1、采购代理机构：</w:t>
      </w:r>
      <w:r>
        <w:rPr>
          <w:rFonts w:hint="eastAsia" w:ascii="宋体" w:hAnsi="宋体" w:eastAsia="宋体" w:cs="宋体"/>
          <w:color w:val="auto"/>
          <w:sz w:val="24"/>
          <w:szCs w:val="32"/>
          <w:highlight w:val="none"/>
        </w:rPr>
        <w:t>浙江五石中正工程咨询有限公司；</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项目负责人：徐名峰</w:t>
      </w:r>
      <w:r>
        <w:rPr>
          <w:rFonts w:hint="eastAsia" w:ascii="宋体" w:hAnsi="宋体" w:eastAsia="宋体" w:cs="宋体"/>
          <w:color w:val="auto"/>
          <w:sz w:val="24"/>
          <w:szCs w:val="32"/>
          <w:highlight w:val="none"/>
          <w:lang w:val="en-US" w:eastAsia="zh-CN"/>
        </w:rPr>
        <w:t>、石晓林、高琳</w:t>
      </w:r>
      <w:r>
        <w:rPr>
          <w:rFonts w:hint="eastAsia" w:ascii="宋体" w:hAnsi="宋体" w:eastAsia="宋体" w:cs="宋体"/>
          <w:color w:val="auto"/>
          <w:sz w:val="24"/>
          <w:szCs w:val="32"/>
          <w:highlight w:val="none"/>
        </w:rPr>
        <w:t>；联系电话：15088711407；</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质疑接收人：徐少媚；联系电话：0576-</w:t>
      </w:r>
      <w:r>
        <w:rPr>
          <w:rFonts w:hint="eastAsia" w:ascii="宋体" w:hAnsi="宋体" w:eastAsia="宋体" w:cs="宋体"/>
          <w:color w:val="auto"/>
          <w:sz w:val="24"/>
          <w:szCs w:val="32"/>
          <w:highlight w:val="none"/>
          <w:lang w:val="en-US" w:eastAsia="zh-CN"/>
        </w:rPr>
        <w:t>88785265</w:t>
      </w:r>
      <w:r>
        <w:rPr>
          <w:rFonts w:hint="eastAsia" w:ascii="宋体" w:hAnsi="宋体" w:eastAsia="宋体" w:cs="宋体"/>
          <w:color w:val="auto"/>
          <w:sz w:val="24"/>
          <w:szCs w:val="32"/>
          <w:highlight w:val="none"/>
        </w:rPr>
        <w:t>；传真：0571-85342190；</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地址：杭州市拱墅区白石路318号中国（杭州）人力资源服务产业园北楼512室；</w:t>
      </w:r>
    </w:p>
    <w:p>
      <w:pPr>
        <w:shd w:val="clear"/>
        <w:spacing w:line="360" w:lineRule="auto"/>
        <w:ind w:firstLine="482" w:firstLineChars="200"/>
        <w:textAlignment w:val="baseline"/>
        <w:rPr>
          <w:rStyle w:val="39"/>
          <w:rFonts w:hint="eastAsia" w:ascii="宋体" w:hAnsi="宋体" w:eastAsia="宋体" w:cs="宋体"/>
          <w:color w:val="auto"/>
          <w:sz w:val="24"/>
          <w:szCs w:val="32"/>
          <w:highlight w:val="none"/>
        </w:rPr>
      </w:pPr>
      <w:r>
        <w:rPr>
          <w:rStyle w:val="39"/>
          <w:rFonts w:hint="eastAsia" w:ascii="宋体" w:hAnsi="宋体" w:eastAsia="宋体" w:cs="宋体"/>
          <w:b/>
          <w:bCs/>
          <w:color w:val="auto"/>
          <w:sz w:val="24"/>
          <w:szCs w:val="32"/>
          <w:highlight w:val="none"/>
        </w:rPr>
        <w:t>2、采购人：</w:t>
      </w:r>
      <w:r>
        <w:rPr>
          <w:rStyle w:val="39"/>
          <w:rFonts w:hint="eastAsia" w:ascii="宋体" w:hAnsi="宋体" w:eastAsia="宋体" w:cs="宋体"/>
          <w:color w:val="auto"/>
          <w:sz w:val="24"/>
          <w:szCs w:val="32"/>
          <w:highlight w:val="none"/>
        </w:rPr>
        <w:t>台州市路桥区人力资源和社会保障局；</w:t>
      </w:r>
    </w:p>
    <w:p>
      <w:pPr>
        <w:shd w:val="clear"/>
        <w:spacing w:line="360" w:lineRule="auto"/>
        <w:ind w:firstLine="480" w:firstLineChars="200"/>
        <w:rPr>
          <w:rFonts w:hint="eastAsia" w:ascii="宋体" w:hAnsi="宋体" w:eastAsia="宋体" w:cs="宋体"/>
          <w:color w:val="auto"/>
          <w:sz w:val="24"/>
          <w:szCs w:val="32"/>
          <w:highlight w:val="none"/>
          <w:lang w:eastAsia="zh-CN"/>
        </w:rPr>
      </w:pPr>
      <w:r>
        <w:rPr>
          <w:rFonts w:hint="eastAsia" w:ascii="宋体" w:hAnsi="宋体" w:eastAsia="宋体" w:cs="宋体"/>
          <w:color w:val="auto"/>
          <w:sz w:val="24"/>
          <w:szCs w:val="32"/>
          <w:highlight w:val="none"/>
        </w:rPr>
        <w:t>联系人：</w:t>
      </w:r>
      <w:r>
        <w:rPr>
          <w:rFonts w:hint="eastAsia" w:ascii="宋体" w:hAnsi="宋体" w:eastAsia="宋体" w:cs="宋体"/>
          <w:color w:val="auto"/>
          <w:sz w:val="24"/>
          <w:szCs w:val="32"/>
          <w:highlight w:val="none"/>
          <w:lang w:eastAsia="zh-CN"/>
        </w:rPr>
        <w:t>林</w:t>
      </w:r>
      <w:r>
        <w:rPr>
          <w:rFonts w:hint="eastAsia" w:ascii="宋体" w:hAnsi="宋体" w:eastAsia="宋体" w:cs="宋体"/>
          <w:color w:val="auto"/>
          <w:sz w:val="24"/>
          <w:szCs w:val="32"/>
          <w:highlight w:val="none"/>
        </w:rPr>
        <w:t>女士；联系电话：0576-825</w:t>
      </w:r>
      <w:r>
        <w:rPr>
          <w:rFonts w:hint="eastAsia" w:ascii="宋体" w:hAnsi="宋体" w:eastAsia="宋体" w:cs="宋体"/>
          <w:color w:val="auto"/>
          <w:sz w:val="24"/>
          <w:szCs w:val="32"/>
          <w:highlight w:val="none"/>
          <w:lang w:val="en-US" w:eastAsia="zh-CN"/>
        </w:rPr>
        <w:t>50016</w:t>
      </w:r>
      <w:r>
        <w:rPr>
          <w:rFonts w:hint="eastAsia" w:ascii="宋体" w:hAnsi="宋体" w:eastAsia="宋体" w:cs="宋体"/>
          <w:color w:val="auto"/>
          <w:sz w:val="24"/>
          <w:szCs w:val="32"/>
          <w:highlight w:val="none"/>
          <w:lang w:eastAsia="zh-CN"/>
        </w:rPr>
        <w:t>；</w:t>
      </w:r>
    </w:p>
    <w:p>
      <w:pPr>
        <w:shd w:val="clear"/>
        <w:spacing w:line="360" w:lineRule="auto"/>
        <w:ind w:firstLine="480" w:firstLineChars="200"/>
        <w:rPr>
          <w:rFonts w:hint="eastAsia" w:ascii="宋体" w:hAnsi="宋体" w:eastAsia="宋体" w:cs="宋体"/>
          <w:color w:val="auto"/>
          <w:highlight w:val="none"/>
          <w:lang w:eastAsia="zh-CN"/>
        </w:rPr>
      </w:pPr>
      <w:r>
        <w:rPr>
          <w:rFonts w:hint="eastAsia" w:ascii="宋体" w:hAnsi="宋体" w:eastAsia="宋体" w:cs="宋体"/>
          <w:color w:val="auto"/>
          <w:sz w:val="24"/>
          <w:szCs w:val="32"/>
          <w:highlight w:val="none"/>
        </w:rPr>
        <w:t>质疑接收人：</w:t>
      </w:r>
      <w:r>
        <w:rPr>
          <w:rFonts w:hint="eastAsia" w:ascii="宋体" w:hAnsi="宋体" w:eastAsia="宋体" w:cs="宋体"/>
          <w:color w:val="auto"/>
          <w:sz w:val="24"/>
          <w:szCs w:val="32"/>
          <w:highlight w:val="none"/>
          <w:lang w:val="en-US" w:eastAsia="zh-CN"/>
        </w:rPr>
        <w:t>颜</w:t>
      </w:r>
      <w:r>
        <w:rPr>
          <w:rFonts w:hint="eastAsia" w:ascii="宋体" w:hAnsi="宋体" w:eastAsia="宋体" w:cs="宋体"/>
          <w:color w:val="auto"/>
          <w:sz w:val="24"/>
          <w:szCs w:val="32"/>
          <w:highlight w:val="none"/>
        </w:rPr>
        <w:t>女士</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联系电话：0576-82513982</w:t>
      </w:r>
      <w:r>
        <w:rPr>
          <w:rFonts w:hint="eastAsia" w:ascii="宋体" w:hAnsi="宋体" w:eastAsia="宋体" w:cs="宋体"/>
          <w:color w:val="auto"/>
          <w:sz w:val="24"/>
          <w:szCs w:val="32"/>
          <w:highlight w:val="none"/>
          <w:lang w:eastAsia="zh-CN"/>
        </w:rPr>
        <w:t>；</w:t>
      </w:r>
    </w:p>
    <w:p>
      <w:pPr>
        <w:shd w:val="clea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rPr>
        <w:t>地址：</w:t>
      </w:r>
      <w:r>
        <w:rPr>
          <w:rFonts w:hint="eastAsia" w:ascii="宋体" w:hAnsi="宋体" w:eastAsia="宋体" w:cs="宋体"/>
          <w:color w:val="auto"/>
          <w:sz w:val="24"/>
          <w:szCs w:val="32"/>
          <w:highlight w:val="none"/>
          <w:lang w:val="en-US" w:eastAsia="zh-CN"/>
        </w:rPr>
        <w:t>浙江省台州市路桥区</w:t>
      </w:r>
      <w:r>
        <w:rPr>
          <w:rFonts w:hint="eastAsia" w:ascii="宋体" w:hAnsi="宋体" w:eastAsia="宋体" w:cs="宋体"/>
          <w:color w:val="auto"/>
          <w:sz w:val="24"/>
          <w:szCs w:val="32"/>
          <w:highlight w:val="none"/>
        </w:rPr>
        <w:t>银安街709号</w:t>
      </w:r>
      <w:r>
        <w:rPr>
          <w:rFonts w:hint="eastAsia" w:ascii="宋体" w:hAnsi="宋体" w:eastAsia="宋体" w:cs="宋体"/>
          <w:color w:val="auto"/>
          <w:sz w:val="24"/>
          <w:szCs w:val="32"/>
          <w:highlight w:val="none"/>
          <w:lang w:val="en-US" w:eastAsia="zh-CN"/>
        </w:rPr>
        <w:t>。</w:t>
      </w:r>
    </w:p>
    <w:p>
      <w:pPr>
        <w:shd w:val="clear"/>
        <w:spacing w:line="360" w:lineRule="auto"/>
        <w:ind w:firstLine="482" w:firstLineChars="200"/>
        <w:textAlignment w:val="baseline"/>
        <w:rPr>
          <w:rStyle w:val="39"/>
          <w:rFonts w:hint="eastAsia" w:ascii="宋体" w:hAnsi="宋体" w:eastAsia="宋体" w:cs="宋体"/>
          <w:color w:val="auto"/>
          <w:sz w:val="24"/>
          <w:szCs w:val="32"/>
          <w:highlight w:val="none"/>
        </w:rPr>
      </w:pPr>
      <w:r>
        <w:rPr>
          <w:rStyle w:val="39"/>
          <w:rFonts w:hint="eastAsia" w:ascii="宋体" w:hAnsi="宋体" w:eastAsia="宋体" w:cs="宋体"/>
          <w:b/>
          <w:bCs/>
          <w:color w:val="auto"/>
          <w:sz w:val="24"/>
          <w:szCs w:val="32"/>
          <w:highlight w:val="none"/>
        </w:rPr>
        <w:t>3、同级政府采购监管管理部门：</w:t>
      </w:r>
      <w:r>
        <w:rPr>
          <w:rStyle w:val="39"/>
          <w:rFonts w:hint="eastAsia" w:ascii="宋体" w:hAnsi="宋体" w:eastAsia="宋体" w:cs="宋体"/>
          <w:color w:val="auto"/>
          <w:sz w:val="24"/>
          <w:szCs w:val="32"/>
          <w:highlight w:val="none"/>
        </w:rPr>
        <w:t>台州市路桥区财政局监督绩效管理与采购监管科；</w:t>
      </w:r>
    </w:p>
    <w:p>
      <w:pPr>
        <w:shd w:val="clear"/>
        <w:spacing w:line="360" w:lineRule="auto"/>
        <w:ind w:firstLine="480" w:firstLineChars="200"/>
        <w:textAlignment w:val="baseline"/>
        <w:rPr>
          <w:rStyle w:val="39"/>
          <w:rFonts w:hint="eastAsia" w:ascii="宋体" w:hAnsi="宋体" w:eastAsia="宋体" w:cs="宋体"/>
          <w:color w:val="auto"/>
          <w:sz w:val="24"/>
          <w:szCs w:val="32"/>
          <w:highlight w:val="none"/>
        </w:rPr>
      </w:pPr>
      <w:r>
        <w:rPr>
          <w:rStyle w:val="39"/>
          <w:rFonts w:hint="eastAsia" w:ascii="宋体" w:hAnsi="宋体" w:eastAsia="宋体" w:cs="宋体"/>
          <w:color w:val="auto"/>
          <w:sz w:val="24"/>
          <w:szCs w:val="32"/>
          <w:highlight w:val="none"/>
        </w:rPr>
        <w:t>联系人：吴女士；监督投诉电话：0576-82517851；</w:t>
      </w:r>
    </w:p>
    <w:p>
      <w:pPr>
        <w:shd w:val="clear"/>
        <w:spacing w:line="360" w:lineRule="auto"/>
        <w:ind w:firstLine="480" w:firstLineChars="200"/>
        <w:textAlignment w:val="baseline"/>
        <w:rPr>
          <w:rStyle w:val="39"/>
          <w:rFonts w:hint="eastAsia" w:ascii="宋体" w:hAnsi="宋体" w:eastAsia="宋体" w:cs="宋体"/>
          <w:color w:val="auto"/>
          <w:sz w:val="24"/>
          <w:szCs w:val="32"/>
          <w:highlight w:val="none"/>
        </w:rPr>
      </w:pPr>
      <w:r>
        <w:rPr>
          <w:rStyle w:val="39"/>
          <w:rFonts w:hint="eastAsia" w:ascii="宋体" w:hAnsi="宋体" w:eastAsia="宋体" w:cs="宋体"/>
          <w:color w:val="auto"/>
          <w:sz w:val="24"/>
          <w:szCs w:val="32"/>
          <w:highlight w:val="none"/>
        </w:rPr>
        <w:t>地址：台州市路桥区西路桥大道58号。</w:t>
      </w:r>
    </w:p>
    <w:p>
      <w:pPr>
        <w:shd w:val="clear"/>
        <w:spacing w:line="360" w:lineRule="auto"/>
        <w:ind w:firstLine="482" w:firstLineChars="200"/>
        <w:textAlignment w:val="baseline"/>
        <w:rPr>
          <w:rStyle w:val="39"/>
          <w:rFonts w:hint="eastAsia" w:ascii="宋体" w:hAnsi="宋体" w:eastAsia="宋体" w:cs="宋体"/>
          <w:color w:val="auto"/>
          <w:sz w:val="24"/>
          <w:szCs w:val="32"/>
          <w:highlight w:val="none"/>
        </w:rPr>
      </w:pPr>
      <w:r>
        <w:rPr>
          <w:rStyle w:val="39"/>
          <w:rFonts w:hint="eastAsia" w:ascii="宋体" w:hAnsi="宋体" w:eastAsia="宋体" w:cs="宋体"/>
          <w:b/>
          <w:bCs/>
          <w:color w:val="auto"/>
          <w:sz w:val="24"/>
          <w:szCs w:val="32"/>
          <w:highlight w:val="none"/>
        </w:rPr>
        <w:t>4、其余事项：</w:t>
      </w:r>
      <w:r>
        <w:rPr>
          <w:rStyle w:val="39"/>
          <w:rFonts w:hint="eastAsia" w:ascii="宋体" w:hAnsi="宋体" w:eastAsia="宋体" w:cs="宋体"/>
          <w:color w:val="auto"/>
          <w:sz w:val="24"/>
          <w:szCs w:val="32"/>
          <w:highlight w:val="none"/>
        </w:rPr>
        <w:t>成交供应商如有融资需求，可使用以下银行的政采贷服务。</w:t>
      </w:r>
    </w:p>
    <w:tbl>
      <w:tblPr>
        <w:tblStyle w:val="30"/>
        <w:tblW w:w="9743" w:type="dxa"/>
        <w:jc w:val="center"/>
        <w:tblLayout w:type="fixed"/>
        <w:tblCellMar>
          <w:top w:w="0" w:type="dxa"/>
          <w:left w:w="0" w:type="dxa"/>
          <w:bottom w:w="0" w:type="dxa"/>
          <w:right w:w="0" w:type="dxa"/>
        </w:tblCellMar>
      </w:tblPr>
      <w:tblGrid>
        <w:gridCol w:w="581"/>
        <w:gridCol w:w="5350"/>
        <w:gridCol w:w="1525"/>
        <w:gridCol w:w="863"/>
        <w:gridCol w:w="1424"/>
      </w:tblGrid>
      <w:tr>
        <w:tblPrEx>
          <w:tblCellMar>
            <w:top w:w="0" w:type="dxa"/>
            <w:left w:w="0" w:type="dxa"/>
            <w:bottom w:w="0" w:type="dxa"/>
            <w:right w:w="0" w:type="dxa"/>
          </w:tblCellMar>
        </w:tblPrEx>
        <w:trPr>
          <w:trHeight w:val="397" w:hRule="atLeast"/>
          <w:jc w:val="center"/>
        </w:trPr>
        <w:tc>
          <w:tcPr>
            <w:tcW w:w="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序号</w:t>
            </w:r>
          </w:p>
        </w:tc>
        <w:tc>
          <w:tcPr>
            <w:tcW w:w="5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银 行 名 称</w:t>
            </w:r>
          </w:p>
        </w:tc>
        <w:tc>
          <w:tcPr>
            <w:tcW w:w="1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政采贷年利率</w:t>
            </w:r>
          </w:p>
        </w:tc>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联系人</w:t>
            </w:r>
          </w:p>
        </w:tc>
        <w:tc>
          <w:tcPr>
            <w:tcW w:w="1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联系电话</w:t>
            </w:r>
          </w:p>
        </w:tc>
      </w:tr>
      <w:tr>
        <w:tblPrEx>
          <w:tblCellMar>
            <w:top w:w="0" w:type="dxa"/>
            <w:left w:w="0" w:type="dxa"/>
            <w:bottom w:w="0" w:type="dxa"/>
            <w:right w:w="0" w:type="dxa"/>
          </w:tblCellMar>
        </w:tblPrEx>
        <w:trPr>
          <w:trHeight w:val="397" w:hRule="atLeast"/>
          <w:jc w:val="center"/>
        </w:trPr>
        <w:tc>
          <w:tcPr>
            <w:tcW w:w="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w:t>
            </w:r>
          </w:p>
        </w:tc>
        <w:tc>
          <w:tcPr>
            <w:tcW w:w="5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中国建设银行股份有限公司台州路桥支行</w:t>
            </w:r>
          </w:p>
        </w:tc>
        <w:tc>
          <w:tcPr>
            <w:tcW w:w="1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4.80%</w:t>
            </w:r>
          </w:p>
        </w:tc>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徐剑鸿</w:t>
            </w:r>
          </w:p>
        </w:tc>
        <w:tc>
          <w:tcPr>
            <w:tcW w:w="1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15167671223</w:t>
            </w:r>
          </w:p>
        </w:tc>
      </w:tr>
      <w:tr>
        <w:tblPrEx>
          <w:tblCellMar>
            <w:top w:w="0" w:type="dxa"/>
            <w:left w:w="0" w:type="dxa"/>
            <w:bottom w:w="0" w:type="dxa"/>
            <w:right w:w="0" w:type="dxa"/>
          </w:tblCellMar>
        </w:tblPrEx>
        <w:trPr>
          <w:trHeight w:val="397" w:hRule="atLeast"/>
          <w:jc w:val="center"/>
        </w:trPr>
        <w:tc>
          <w:tcPr>
            <w:tcW w:w="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2</w:t>
            </w:r>
          </w:p>
        </w:tc>
        <w:tc>
          <w:tcPr>
            <w:tcW w:w="5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中国工商银行股份有限公司台州路桥支行</w:t>
            </w:r>
          </w:p>
        </w:tc>
        <w:tc>
          <w:tcPr>
            <w:tcW w:w="1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3.8%起</w:t>
            </w:r>
          </w:p>
        </w:tc>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倪  昊</w:t>
            </w:r>
          </w:p>
        </w:tc>
        <w:tc>
          <w:tcPr>
            <w:tcW w:w="1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15968680259</w:t>
            </w:r>
          </w:p>
        </w:tc>
      </w:tr>
      <w:tr>
        <w:tblPrEx>
          <w:tblCellMar>
            <w:top w:w="0" w:type="dxa"/>
            <w:left w:w="0" w:type="dxa"/>
            <w:bottom w:w="0" w:type="dxa"/>
            <w:right w:w="0" w:type="dxa"/>
          </w:tblCellMar>
        </w:tblPrEx>
        <w:trPr>
          <w:trHeight w:val="397" w:hRule="atLeast"/>
          <w:jc w:val="center"/>
        </w:trPr>
        <w:tc>
          <w:tcPr>
            <w:tcW w:w="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w:t>
            </w:r>
          </w:p>
        </w:tc>
        <w:tc>
          <w:tcPr>
            <w:tcW w:w="5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中国农业银行股份有限公司台州路桥支行</w:t>
            </w:r>
          </w:p>
        </w:tc>
        <w:tc>
          <w:tcPr>
            <w:tcW w:w="1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3.85%起</w:t>
            </w:r>
          </w:p>
        </w:tc>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丁道兵</w:t>
            </w:r>
          </w:p>
        </w:tc>
        <w:tc>
          <w:tcPr>
            <w:tcW w:w="1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13606668045</w:t>
            </w:r>
          </w:p>
        </w:tc>
      </w:tr>
      <w:tr>
        <w:tblPrEx>
          <w:tblCellMar>
            <w:top w:w="0" w:type="dxa"/>
            <w:left w:w="0" w:type="dxa"/>
            <w:bottom w:w="0" w:type="dxa"/>
            <w:right w:w="0" w:type="dxa"/>
          </w:tblCellMar>
        </w:tblPrEx>
        <w:trPr>
          <w:trHeight w:val="397" w:hRule="atLeast"/>
          <w:jc w:val="center"/>
        </w:trPr>
        <w:tc>
          <w:tcPr>
            <w:tcW w:w="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w:t>
            </w:r>
          </w:p>
        </w:tc>
        <w:tc>
          <w:tcPr>
            <w:tcW w:w="5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中国银行股份有限公司台州市路桥区支行</w:t>
            </w:r>
          </w:p>
        </w:tc>
        <w:tc>
          <w:tcPr>
            <w:tcW w:w="1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w:t>
            </w:r>
          </w:p>
        </w:tc>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车  斌</w:t>
            </w:r>
          </w:p>
        </w:tc>
        <w:tc>
          <w:tcPr>
            <w:tcW w:w="1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13750661198</w:t>
            </w:r>
          </w:p>
        </w:tc>
      </w:tr>
      <w:tr>
        <w:tblPrEx>
          <w:tblCellMar>
            <w:top w:w="0" w:type="dxa"/>
            <w:left w:w="0" w:type="dxa"/>
            <w:bottom w:w="0" w:type="dxa"/>
            <w:right w:w="0" w:type="dxa"/>
          </w:tblCellMar>
        </w:tblPrEx>
        <w:trPr>
          <w:trHeight w:val="397" w:hRule="atLeast"/>
          <w:jc w:val="center"/>
        </w:trPr>
        <w:tc>
          <w:tcPr>
            <w:tcW w:w="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w:t>
            </w:r>
          </w:p>
        </w:tc>
        <w:tc>
          <w:tcPr>
            <w:tcW w:w="5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台州银行股份有限公司</w:t>
            </w:r>
          </w:p>
        </w:tc>
        <w:tc>
          <w:tcPr>
            <w:tcW w:w="1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7.08%</w:t>
            </w:r>
          </w:p>
        </w:tc>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黄红芹</w:t>
            </w:r>
          </w:p>
        </w:tc>
        <w:tc>
          <w:tcPr>
            <w:tcW w:w="1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13968689000</w:t>
            </w:r>
          </w:p>
        </w:tc>
      </w:tr>
      <w:tr>
        <w:tblPrEx>
          <w:tblCellMar>
            <w:top w:w="0" w:type="dxa"/>
            <w:left w:w="0" w:type="dxa"/>
            <w:bottom w:w="0" w:type="dxa"/>
            <w:right w:w="0" w:type="dxa"/>
          </w:tblCellMar>
        </w:tblPrEx>
        <w:trPr>
          <w:trHeight w:val="397" w:hRule="atLeast"/>
          <w:jc w:val="center"/>
        </w:trPr>
        <w:tc>
          <w:tcPr>
            <w:tcW w:w="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w:t>
            </w:r>
          </w:p>
        </w:tc>
        <w:tc>
          <w:tcPr>
            <w:tcW w:w="5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浙江泰隆商业银行股份有限公司</w:t>
            </w:r>
          </w:p>
        </w:tc>
        <w:tc>
          <w:tcPr>
            <w:tcW w:w="1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7.08%</w:t>
            </w:r>
          </w:p>
        </w:tc>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冯观凤</w:t>
            </w:r>
          </w:p>
        </w:tc>
        <w:tc>
          <w:tcPr>
            <w:tcW w:w="1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17858683988</w:t>
            </w:r>
          </w:p>
        </w:tc>
      </w:tr>
      <w:tr>
        <w:tblPrEx>
          <w:tblCellMar>
            <w:top w:w="0" w:type="dxa"/>
            <w:left w:w="0" w:type="dxa"/>
            <w:bottom w:w="0" w:type="dxa"/>
            <w:right w:w="0" w:type="dxa"/>
          </w:tblCellMar>
        </w:tblPrEx>
        <w:trPr>
          <w:trHeight w:val="397" w:hRule="atLeast"/>
          <w:jc w:val="center"/>
        </w:trPr>
        <w:tc>
          <w:tcPr>
            <w:tcW w:w="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w:t>
            </w:r>
          </w:p>
        </w:tc>
        <w:tc>
          <w:tcPr>
            <w:tcW w:w="5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中国邮政储蓄银行股份有限公司台州市路桥区支行</w:t>
            </w:r>
          </w:p>
        </w:tc>
        <w:tc>
          <w:tcPr>
            <w:tcW w:w="1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4.35%起</w:t>
            </w:r>
          </w:p>
        </w:tc>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沈丹华</w:t>
            </w:r>
          </w:p>
        </w:tc>
        <w:tc>
          <w:tcPr>
            <w:tcW w:w="1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13306566969</w:t>
            </w:r>
          </w:p>
        </w:tc>
      </w:tr>
      <w:tr>
        <w:tblPrEx>
          <w:tblCellMar>
            <w:top w:w="0" w:type="dxa"/>
            <w:left w:w="0" w:type="dxa"/>
            <w:bottom w:w="0" w:type="dxa"/>
            <w:right w:w="0" w:type="dxa"/>
          </w:tblCellMar>
        </w:tblPrEx>
        <w:trPr>
          <w:trHeight w:val="397" w:hRule="atLeast"/>
          <w:jc w:val="center"/>
        </w:trPr>
        <w:tc>
          <w:tcPr>
            <w:tcW w:w="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8</w:t>
            </w:r>
          </w:p>
        </w:tc>
        <w:tc>
          <w:tcPr>
            <w:tcW w:w="5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交通银行股份有限公司台州路桥支行</w:t>
            </w:r>
          </w:p>
        </w:tc>
        <w:tc>
          <w:tcPr>
            <w:tcW w:w="1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3.80%</w:t>
            </w:r>
          </w:p>
        </w:tc>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刘鲁浙</w:t>
            </w:r>
          </w:p>
        </w:tc>
        <w:tc>
          <w:tcPr>
            <w:tcW w:w="1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15968662111</w:t>
            </w:r>
          </w:p>
        </w:tc>
      </w:tr>
      <w:tr>
        <w:tblPrEx>
          <w:tblCellMar>
            <w:top w:w="0" w:type="dxa"/>
            <w:left w:w="0" w:type="dxa"/>
            <w:bottom w:w="0" w:type="dxa"/>
            <w:right w:w="0" w:type="dxa"/>
          </w:tblCellMar>
        </w:tblPrEx>
        <w:trPr>
          <w:trHeight w:val="397" w:hRule="atLeast"/>
          <w:jc w:val="center"/>
        </w:trPr>
        <w:tc>
          <w:tcPr>
            <w:tcW w:w="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9</w:t>
            </w:r>
          </w:p>
        </w:tc>
        <w:tc>
          <w:tcPr>
            <w:tcW w:w="5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兴业银行股份有限公司台州路桥支行</w:t>
            </w:r>
          </w:p>
        </w:tc>
        <w:tc>
          <w:tcPr>
            <w:tcW w:w="1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4%起</w:t>
            </w:r>
          </w:p>
        </w:tc>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蒋  峰</w:t>
            </w:r>
          </w:p>
        </w:tc>
        <w:tc>
          <w:tcPr>
            <w:tcW w:w="1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13586088395</w:t>
            </w:r>
          </w:p>
        </w:tc>
      </w:tr>
      <w:tr>
        <w:tblPrEx>
          <w:tblCellMar>
            <w:top w:w="0" w:type="dxa"/>
            <w:left w:w="0" w:type="dxa"/>
            <w:bottom w:w="0" w:type="dxa"/>
            <w:right w:w="0" w:type="dxa"/>
          </w:tblCellMar>
        </w:tblPrEx>
        <w:trPr>
          <w:trHeight w:val="397" w:hRule="atLeast"/>
          <w:jc w:val="center"/>
        </w:trPr>
        <w:tc>
          <w:tcPr>
            <w:tcW w:w="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10</w:t>
            </w:r>
          </w:p>
        </w:tc>
        <w:tc>
          <w:tcPr>
            <w:tcW w:w="5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中信银行股份有限公司台州路桥支行</w:t>
            </w:r>
          </w:p>
        </w:tc>
        <w:tc>
          <w:tcPr>
            <w:tcW w:w="1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4.15%起</w:t>
            </w:r>
          </w:p>
        </w:tc>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曹筱婕</w:t>
            </w:r>
          </w:p>
        </w:tc>
        <w:tc>
          <w:tcPr>
            <w:tcW w:w="1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18105768199</w:t>
            </w:r>
          </w:p>
        </w:tc>
      </w:tr>
      <w:tr>
        <w:tblPrEx>
          <w:tblCellMar>
            <w:top w:w="0" w:type="dxa"/>
            <w:left w:w="0" w:type="dxa"/>
            <w:bottom w:w="0" w:type="dxa"/>
            <w:right w:w="0" w:type="dxa"/>
          </w:tblCellMar>
        </w:tblPrEx>
        <w:trPr>
          <w:trHeight w:val="397" w:hRule="atLeast"/>
          <w:jc w:val="center"/>
        </w:trPr>
        <w:tc>
          <w:tcPr>
            <w:tcW w:w="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11</w:t>
            </w:r>
          </w:p>
        </w:tc>
        <w:tc>
          <w:tcPr>
            <w:tcW w:w="5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浙商银行股份有限公司台州路桥小微企业专营支行</w:t>
            </w:r>
          </w:p>
        </w:tc>
        <w:tc>
          <w:tcPr>
            <w:tcW w:w="1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6.75%</w:t>
            </w:r>
          </w:p>
        </w:tc>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庄道勇</w:t>
            </w:r>
          </w:p>
        </w:tc>
        <w:tc>
          <w:tcPr>
            <w:tcW w:w="1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13867611023</w:t>
            </w:r>
          </w:p>
        </w:tc>
      </w:tr>
      <w:tr>
        <w:tblPrEx>
          <w:tblCellMar>
            <w:top w:w="0" w:type="dxa"/>
            <w:left w:w="0" w:type="dxa"/>
            <w:bottom w:w="0" w:type="dxa"/>
            <w:right w:w="0" w:type="dxa"/>
          </w:tblCellMar>
        </w:tblPrEx>
        <w:trPr>
          <w:trHeight w:val="397" w:hRule="atLeast"/>
          <w:jc w:val="center"/>
        </w:trPr>
        <w:tc>
          <w:tcPr>
            <w:tcW w:w="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12</w:t>
            </w:r>
          </w:p>
        </w:tc>
        <w:tc>
          <w:tcPr>
            <w:tcW w:w="5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广发银行股份有限公司台州路桥小微企业专营支行</w:t>
            </w:r>
          </w:p>
        </w:tc>
        <w:tc>
          <w:tcPr>
            <w:tcW w:w="1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5.65%</w:t>
            </w:r>
          </w:p>
        </w:tc>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林  春</w:t>
            </w:r>
          </w:p>
        </w:tc>
        <w:tc>
          <w:tcPr>
            <w:tcW w:w="1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13858687790</w:t>
            </w:r>
          </w:p>
        </w:tc>
      </w:tr>
      <w:tr>
        <w:tblPrEx>
          <w:tblCellMar>
            <w:top w:w="0" w:type="dxa"/>
            <w:left w:w="0" w:type="dxa"/>
            <w:bottom w:w="0" w:type="dxa"/>
            <w:right w:w="0" w:type="dxa"/>
          </w:tblCellMar>
        </w:tblPrEx>
        <w:trPr>
          <w:trHeight w:val="397" w:hRule="atLeast"/>
          <w:jc w:val="center"/>
        </w:trPr>
        <w:tc>
          <w:tcPr>
            <w:tcW w:w="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w:t>
            </w:r>
          </w:p>
        </w:tc>
        <w:tc>
          <w:tcPr>
            <w:tcW w:w="5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平安银行股份有限公司台州路桥小微企业专营支行</w:t>
            </w:r>
          </w:p>
        </w:tc>
        <w:tc>
          <w:tcPr>
            <w:tcW w:w="1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w:t>
            </w:r>
          </w:p>
        </w:tc>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李俊丽</w:t>
            </w:r>
          </w:p>
        </w:tc>
        <w:tc>
          <w:tcPr>
            <w:tcW w:w="1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15906861025</w:t>
            </w:r>
          </w:p>
        </w:tc>
      </w:tr>
      <w:tr>
        <w:tblPrEx>
          <w:tblCellMar>
            <w:top w:w="0" w:type="dxa"/>
            <w:left w:w="0" w:type="dxa"/>
            <w:bottom w:w="0" w:type="dxa"/>
            <w:right w:w="0" w:type="dxa"/>
          </w:tblCellMar>
        </w:tblPrEx>
        <w:trPr>
          <w:trHeight w:val="397" w:hRule="atLeast"/>
          <w:jc w:val="center"/>
        </w:trPr>
        <w:tc>
          <w:tcPr>
            <w:tcW w:w="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14</w:t>
            </w:r>
          </w:p>
        </w:tc>
        <w:tc>
          <w:tcPr>
            <w:tcW w:w="5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宁波银行股份有限公司台州路桥小微企业专营支行</w:t>
            </w:r>
          </w:p>
        </w:tc>
        <w:tc>
          <w:tcPr>
            <w:tcW w:w="1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5%-6%</w:t>
            </w:r>
          </w:p>
        </w:tc>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李诚杰</w:t>
            </w:r>
          </w:p>
        </w:tc>
        <w:tc>
          <w:tcPr>
            <w:tcW w:w="1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13395745558</w:t>
            </w:r>
          </w:p>
        </w:tc>
      </w:tr>
      <w:tr>
        <w:tblPrEx>
          <w:tblCellMar>
            <w:top w:w="0" w:type="dxa"/>
            <w:left w:w="0" w:type="dxa"/>
            <w:bottom w:w="0" w:type="dxa"/>
            <w:right w:w="0" w:type="dxa"/>
          </w:tblCellMar>
        </w:tblPrEx>
        <w:trPr>
          <w:trHeight w:val="397" w:hRule="atLeast"/>
          <w:jc w:val="center"/>
        </w:trPr>
        <w:tc>
          <w:tcPr>
            <w:tcW w:w="58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15</w:t>
            </w:r>
          </w:p>
        </w:tc>
        <w:tc>
          <w:tcPr>
            <w:tcW w:w="53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浙江台州路桥富民村镇银行股份有限公司</w:t>
            </w:r>
          </w:p>
        </w:tc>
        <w:tc>
          <w:tcPr>
            <w:tcW w:w="15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7.80%</w:t>
            </w:r>
          </w:p>
        </w:tc>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金根灵</w:t>
            </w:r>
          </w:p>
        </w:tc>
        <w:tc>
          <w:tcPr>
            <w:tcW w:w="1424"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hd w:val="clear"/>
              <w:jc w:val="center"/>
              <w:textAlignment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bidi="ar"/>
              </w:rPr>
              <w:t>13157608788</w:t>
            </w:r>
          </w:p>
        </w:tc>
      </w:tr>
    </w:tbl>
    <w:p>
      <w:pPr>
        <w:shd w:val="clear"/>
        <w:spacing w:line="360" w:lineRule="auto"/>
        <w:jc w:val="right"/>
        <w:textAlignment w:val="baseline"/>
        <w:rPr>
          <w:rStyle w:val="39"/>
          <w:rFonts w:hint="eastAsia" w:ascii="宋体" w:hAnsi="宋体" w:eastAsia="宋体" w:cs="宋体"/>
          <w:color w:val="auto"/>
          <w:sz w:val="24"/>
          <w:szCs w:val="32"/>
          <w:highlight w:val="none"/>
        </w:rPr>
      </w:pPr>
      <w:r>
        <w:rPr>
          <w:rStyle w:val="39"/>
          <w:rFonts w:hint="eastAsia" w:ascii="宋体" w:hAnsi="宋体" w:eastAsia="宋体" w:cs="宋体"/>
          <w:color w:val="auto"/>
          <w:sz w:val="24"/>
          <w:szCs w:val="32"/>
          <w:highlight w:val="none"/>
        </w:rPr>
        <w:t>浙江五石中正工程咨询有限公司</w:t>
      </w:r>
    </w:p>
    <w:p>
      <w:pPr>
        <w:shd w:val="clear"/>
        <w:spacing w:line="360" w:lineRule="auto"/>
        <w:ind w:firstLine="6240" w:firstLineChars="2600"/>
        <w:textAlignment w:val="baseline"/>
        <w:rPr>
          <w:rStyle w:val="39"/>
          <w:rFonts w:hint="eastAsia" w:ascii="宋体" w:hAnsi="宋体" w:eastAsia="宋体" w:cs="宋体"/>
          <w:color w:val="auto"/>
          <w:sz w:val="24"/>
          <w:szCs w:val="32"/>
          <w:highlight w:val="none"/>
        </w:rPr>
      </w:pPr>
      <w:r>
        <w:rPr>
          <w:rStyle w:val="39"/>
          <w:rFonts w:hint="eastAsia" w:ascii="宋体" w:hAnsi="宋体" w:eastAsia="宋体" w:cs="宋体"/>
          <w:color w:val="auto"/>
          <w:sz w:val="24"/>
          <w:szCs w:val="32"/>
          <w:highlight w:val="none"/>
        </w:rPr>
        <w:t>2024年7月</w:t>
      </w:r>
    </w:p>
    <w:p>
      <w:pPr>
        <w:shd w:val="clear"/>
        <w:spacing w:line="360" w:lineRule="auto"/>
        <w:textAlignment w:val="baseline"/>
        <w:rPr>
          <w:rStyle w:val="39"/>
          <w:rFonts w:hint="eastAsia" w:ascii="宋体" w:hAnsi="宋体" w:eastAsia="宋体" w:cs="宋体"/>
          <w:color w:val="auto"/>
          <w:sz w:val="24"/>
          <w:szCs w:val="32"/>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pStyle w:val="2"/>
        <w:rPr>
          <w:rFonts w:hint="eastAsia" w:ascii="宋体" w:hAnsi="宋体" w:eastAsia="宋体" w:cs="宋体"/>
          <w:b/>
          <w:bCs/>
          <w:color w:val="auto"/>
          <w:sz w:val="36"/>
          <w:szCs w:val="44"/>
          <w:highlight w:val="none"/>
        </w:rPr>
      </w:pPr>
    </w:p>
    <w:p>
      <w:pPr>
        <w:rPr>
          <w:rFonts w:hint="eastAsia" w:ascii="宋体" w:hAnsi="宋体" w:eastAsia="宋体" w:cs="宋体"/>
          <w:b/>
          <w:bCs/>
          <w:color w:val="auto"/>
          <w:sz w:val="36"/>
          <w:szCs w:val="44"/>
          <w:highlight w:val="none"/>
        </w:rPr>
      </w:pPr>
    </w:p>
    <w:p>
      <w:pPr>
        <w:pStyle w:val="2"/>
        <w:rPr>
          <w:rFonts w:hint="eastAsia"/>
          <w:color w:val="auto"/>
          <w:highlight w:val="none"/>
        </w:rPr>
      </w:pPr>
    </w:p>
    <w:p>
      <w:pPr>
        <w:pStyle w:val="2"/>
        <w:rPr>
          <w:rFonts w:hint="eastAsia" w:ascii="宋体" w:hAnsi="宋体" w:eastAsia="宋体" w:cs="宋体"/>
          <w:b/>
          <w:bCs/>
          <w:color w:val="auto"/>
          <w:sz w:val="36"/>
          <w:szCs w:val="44"/>
          <w:highlight w:val="none"/>
        </w:rPr>
      </w:pPr>
    </w:p>
    <w:p>
      <w:pPr>
        <w:rPr>
          <w:rFonts w:hint="eastAsia"/>
          <w:color w:val="auto"/>
          <w:highlight w:val="none"/>
        </w:rPr>
      </w:pPr>
    </w:p>
    <w:p>
      <w:pPr>
        <w:shd w:val="clear"/>
        <w:spacing w:line="360" w:lineRule="auto"/>
        <w:jc w:val="both"/>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第二部分 供应商须知</w:t>
      </w:r>
    </w:p>
    <w:p>
      <w:pPr>
        <w:shd w:val="clear"/>
        <w:spacing w:line="360" w:lineRule="auto"/>
        <w:ind w:firstLine="482" w:firstLineChars="200"/>
        <w:jc w:val="center"/>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前附表</w:t>
      </w:r>
    </w:p>
    <w:tbl>
      <w:tblPr>
        <w:tblStyle w:val="30"/>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530"/>
        <w:gridCol w:w="7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40"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530"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    目</w:t>
            </w:r>
          </w:p>
        </w:tc>
        <w:tc>
          <w:tcPr>
            <w:tcW w:w="7212"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530"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供应商特定资格要求</w:t>
            </w:r>
          </w:p>
        </w:tc>
        <w:tc>
          <w:tcPr>
            <w:tcW w:w="7212" w:type="dxa"/>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符合竞争性磋商公告资格要求的供应商。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530"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现场踏勘</w:t>
            </w:r>
          </w:p>
        </w:tc>
        <w:tc>
          <w:tcPr>
            <w:tcW w:w="7212" w:type="dxa"/>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各磋商供应商自行前往勘察现场和周围环境，所产生的费用由磋商供应商自理。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530" w:type="dxa"/>
            <w:vAlign w:val="center"/>
          </w:tcPr>
          <w:p>
            <w:pPr>
              <w:shd w:val="clear"/>
              <w:jc w:val="center"/>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磋商响应文件有效期</w:t>
            </w:r>
          </w:p>
        </w:tc>
        <w:tc>
          <w:tcPr>
            <w:tcW w:w="7212" w:type="dxa"/>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磋商响应有效期为磋商后90天，磋商响应有效期从提交磋商响应文件的截止之日起算。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530"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磋商响应文件递交</w:t>
            </w:r>
          </w:p>
        </w:tc>
        <w:tc>
          <w:tcPr>
            <w:tcW w:w="7212" w:type="dxa"/>
            <w:vAlign w:val="center"/>
          </w:tcPr>
          <w:p>
            <w:pPr>
              <w:shd w:val="clea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本项目实行电子投标，供应商应准备电子响应文件、以介质存储的数据电文形式的备份响应文件、纸质备份响应文件三类：</w:t>
            </w:r>
          </w:p>
          <w:p>
            <w:pPr>
              <w:shd w:val="clea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1.电子响应文件，按政采云平台项目采购--电子招投标操作指南及本采购文件要求编制、递交。</w:t>
            </w:r>
          </w:p>
          <w:p>
            <w:pPr>
              <w:shd w:val="clea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2.以介质存储的数据电文形式的备份响应文件，按政采云平台项目采购-电子招投标操作指南中上传的电子响应文件格式，以U盘形式提供。数量为1份。</w:t>
            </w:r>
          </w:p>
          <w:p>
            <w:pPr>
              <w:shd w:val="clear"/>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3.纸质备份响应文件以纸质文件的形式编制，</w:t>
            </w:r>
            <w:r>
              <w:rPr>
                <w:rFonts w:hint="eastAsia" w:ascii="宋体" w:hAnsi="宋体" w:eastAsia="宋体" w:cs="宋体"/>
                <w:b/>
                <w:bCs/>
                <w:color w:val="auto"/>
                <w:sz w:val="24"/>
                <w:highlight w:val="none"/>
              </w:rPr>
              <w:t>数量均为2份（正本一份，副本一份）</w:t>
            </w:r>
            <w:r>
              <w:rPr>
                <w:rFonts w:hint="eastAsia" w:ascii="宋体" w:hAnsi="宋体" w:eastAsia="宋体" w:cs="宋体"/>
                <w:color w:val="auto"/>
                <w:sz w:val="24"/>
                <w:highlight w:val="none"/>
              </w:rPr>
              <w:t>。</w:t>
            </w:r>
          </w:p>
          <w:p>
            <w:pPr>
              <w:shd w:val="clear"/>
              <w:ind w:firstLine="480" w:firstLineChars="200"/>
              <w:rPr>
                <w:rFonts w:hint="eastAsia" w:ascii="宋体" w:hAnsi="宋体" w:eastAsia="宋体" w:cs="宋体"/>
                <w:color w:val="auto"/>
                <w:sz w:val="24"/>
                <w:highlight w:val="none"/>
              </w:rPr>
            </w:pPr>
            <w:r>
              <w:rPr>
                <w:rStyle w:val="39"/>
                <w:rFonts w:hint="eastAsia" w:ascii="宋体" w:hAnsi="宋体" w:eastAsia="宋体" w:cs="宋体"/>
                <w:color w:val="auto"/>
                <w:sz w:val="24"/>
                <w:highlight w:val="none"/>
              </w:rPr>
              <w:t>4.供应商按照平台提示和磋商文件的规定在半小时内完成在线解密。通过“政府采购云平台”上传递交的响应文件无法按时解密，响应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740"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530"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磋商时间及地点</w:t>
            </w:r>
          </w:p>
        </w:tc>
        <w:tc>
          <w:tcPr>
            <w:tcW w:w="7212" w:type="dxa"/>
            <w:vAlign w:val="center"/>
          </w:tcPr>
          <w:p>
            <w:pPr>
              <w:shd w:val="clea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时间：</w:t>
            </w:r>
            <w:r>
              <w:rPr>
                <w:rFonts w:hint="eastAsia" w:ascii="宋体" w:hAnsi="宋体" w:eastAsia="宋体" w:cs="宋体"/>
                <w:color w:val="auto"/>
                <w:sz w:val="24"/>
                <w:szCs w:val="32"/>
                <w:highlight w:val="none"/>
                <w:lang w:eastAsia="zh-CN"/>
              </w:rPr>
              <w:t>2024年</w:t>
            </w:r>
            <w:r>
              <w:rPr>
                <w:rFonts w:hint="eastAsia" w:ascii="宋体" w:hAnsi="宋体" w:cs="宋体"/>
                <w:color w:val="auto"/>
                <w:sz w:val="24"/>
                <w:szCs w:val="32"/>
                <w:highlight w:val="none"/>
                <w:lang w:val="en-US" w:eastAsia="zh-CN"/>
              </w:rPr>
              <w:t>8</w:t>
            </w:r>
            <w:r>
              <w:rPr>
                <w:rFonts w:hint="eastAsia" w:ascii="宋体" w:hAnsi="宋体" w:eastAsia="宋体" w:cs="宋体"/>
                <w:color w:val="auto"/>
                <w:sz w:val="24"/>
                <w:szCs w:val="32"/>
                <w:highlight w:val="none"/>
                <w:lang w:eastAsia="zh-CN"/>
              </w:rPr>
              <w:t>月</w:t>
            </w:r>
            <w:r>
              <w:rPr>
                <w:rFonts w:hint="eastAsia" w:ascii="宋体" w:hAnsi="宋体" w:cs="宋体"/>
                <w:color w:val="auto"/>
                <w:sz w:val="24"/>
                <w:szCs w:val="32"/>
                <w:highlight w:val="none"/>
                <w:lang w:val="en-US" w:eastAsia="zh-CN"/>
              </w:rPr>
              <w:t>8</w:t>
            </w:r>
            <w:r>
              <w:rPr>
                <w:rFonts w:hint="eastAsia" w:ascii="宋体" w:hAnsi="宋体" w:eastAsia="宋体" w:cs="宋体"/>
                <w:color w:val="auto"/>
                <w:sz w:val="24"/>
                <w:szCs w:val="32"/>
                <w:highlight w:val="none"/>
                <w:lang w:eastAsia="zh-CN"/>
              </w:rPr>
              <w:t>日</w:t>
            </w:r>
            <w:r>
              <w:rPr>
                <w:rFonts w:hint="eastAsia" w:ascii="宋体" w:hAnsi="宋体" w:cs="宋体"/>
                <w:color w:val="auto"/>
                <w:sz w:val="24"/>
                <w:szCs w:val="32"/>
                <w:highlight w:val="none"/>
                <w:lang w:val="en-US" w:eastAsia="zh-CN"/>
              </w:rPr>
              <w:t>下</w:t>
            </w:r>
            <w:r>
              <w:rPr>
                <w:rFonts w:hint="eastAsia" w:ascii="宋体" w:hAnsi="宋体" w:eastAsia="宋体" w:cs="宋体"/>
                <w:color w:val="auto"/>
                <w:sz w:val="24"/>
                <w:szCs w:val="32"/>
                <w:highlight w:val="none"/>
                <w:lang w:val="en-US" w:eastAsia="zh-CN"/>
              </w:rPr>
              <w:t>午</w:t>
            </w:r>
            <w:r>
              <w:rPr>
                <w:rFonts w:hint="eastAsia" w:ascii="宋体" w:hAnsi="宋体" w:cs="宋体"/>
                <w:color w:val="auto"/>
                <w:sz w:val="24"/>
                <w:szCs w:val="32"/>
                <w:highlight w:val="none"/>
                <w:lang w:val="en-US" w:eastAsia="zh-CN"/>
              </w:rPr>
              <w:t>14</w:t>
            </w:r>
            <w:r>
              <w:rPr>
                <w:rFonts w:hint="eastAsia" w:ascii="宋体" w:hAnsi="宋体" w:eastAsia="宋体" w:cs="宋体"/>
                <w:color w:val="auto"/>
                <w:sz w:val="24"/>
                <w:szCs w:val="32"/>
                <w:highlight w:val="none"/>
                <w:lang w:eastAsia="zh-CN"/>
              </w:rPr>
              <w:t>:30整</w:t>
            </w:r>
          </w:p>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rPr>
              <w:t>地点：台州市路桥区财富大道999号区政府商城办公区（商城国际）五楼政府采购中心</w:t>
            </w:r>
            <w:r>
              <w:rPr>
                <w:rFonts w:hint="eastAsia" w:ascii="宋体" w:hAnsi="宋体" w:eastAsia="宋体" w:cs="宋体"/>
                <w:color w:val="auto"/>
                <w:sz w:val="24"/>
                <w:highlight w:val="none"/>
                <w:lang w:eastAsia="zh-CN"/>
              </w:rPr>
              <w:t>开标室（一）</w:t>
            </w:r>
            <w:r>
              <w:rPr>
                <w:rFonts w:hint="eastAsia" w:ascii="宋体" w:hAnsi="宋体" w:eastAsia="宋体" w:cs="宋体"/>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0" w:type="dxa"/>
            <w:vAlign w:val="center"/>
          </w:tcPr>
          <w:p>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6</w:t>
            </w:r>
          </w:p>
        </w:tc>
        <w:tc>
          <w:tcPr>
            <w:tcW w:w="1530" w:type="dxa"/>
            <w:vAlign w:val="center"/>
          </w:tcPr>
          <w:p>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履约保证金</w:t>
            </w:r>
          </w:p>
        </w:tc>
        <w:tc>
          <w:tcPr>
            <w:tcW w:w="7212" w:type="dxa"/>
            <w:vAlign w:val="center"/>
          </w:tcPr>
          <w:p>
            <w:pPr>
              <w:shd w:val="clea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0"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7</w:t>
            </w:r>
          </w:p>
        </w:tc>
        <w:tc>
          <w:tcPr>
            <w:tcW w:w="1530" w:type="dxa"/>
            <w:vAlign w:val="center"/>
          </w:tcPr>
          <w:p>
            <w:pPr>
              <w:widowControl/>
              <w:shd w:val="clear"/>
              <w:jc w:val="center"/>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是否专门面向中小微企业采购</w:t>
            </w:r>
          </w:p>
        </w:tc>
        <w:tc>
          <w:tcPr>
            <w:tcW w:w="7212" w:type="dxa"/>
            <w:vAlign w:val="center"/>
          </w:tcPr>
          <w:p>
            <w:pPr>
              <w:widowControl/>
              <w:shd w:val="clear"/>
              <w:jc w:val="lef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是</w:t>
            </w: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rPr>
              <w:t xml:space="preserve"> </w:t>
            </w:r>
          </w:p>
          <w:p>
            <w:pPr>
              <w:widowControl/>
              <w:shd w:val="clear"/>
              <w:jc w:val="left"/>
              <w:rPr>
                <w:rFonts w:hint="eastAsia" w:ascii="宋体" w:hAnsi="宋体" w:eastAsia="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0"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8</w:t>
            </w:r>
          </w:p>
        </w:tc>
        <w:tc>
          <w:tcPr>
            <w:tcW w:w="1530"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中小</w:t>
            </w:r>
            <w:r>
              <w:rPr>
                <w:rFonts w:hint="eastAsia" w:ascii="宋体" w:hAnsi="宋体" w:eastAsia="宋体" w:cs="宋体"/>
                <w:color w:val="auto"/>
                <w:kern w:val="0"/>
                <w:sz w:val="24"/>
                <w:highlight w:val="none"/>
              </w:rPr>
              <w:t>微</w:t>
            </w:r>
            <w:r>
              <w:rPr>
                <w:rFonts w:hint="eastAsia" w:ascii="宋体" w:hAnsi="宋体" w:eastAsia="宋体" w:cs="宋体"/>
                <w:color w:val="auto"/>
                <w:sz w:val="24"/>
                <w:highlight w:val="none"/>
              </w:rPr>
              <w:t>企业划分标准所属行业</w:t>
            </w:r>
          </w:p>
        </w:tc>
        <w:tc>
          <w:tcPr>
            <w:tcW w:w="7212" w:type="dxa"/>
            <w:vAlign w:val="center"/>
          </w:tcPr>
          <w:p>
            <w:pPr>
              <w:shd w:val="clear"/>
              <w:rPr>
                <w:rFonts w:hint="eastAsia" w:ascii="宋体" w:hAnsi="宋体" w:eastAsia="宋体" w:cs="宋体"/>
                <w:color w:val="auto"/>
                <w:sz w:val="24"/>
                <w:highlight w:val="none"/>
              </w:rPr>
            </w:pPr>
            <w:r>
              <w:rPr>
                <w:rStyle w:val="39"/>
                <w:rFonts w:hint="eastAsia" w:ascii="宋体" w:hAnsi="宋体" w:eastAsia="宋体" w:cs="宋体"/>
                <w:b w:val="0"/>
                <w:i w:val="0"/>
                <w:caps w:val="0"/>
                <w:color w:val="auto"/>
                <w:spacing w:val="0"/>
                <w:w w:val="100"/>
                <w:kern w:val="2"/>
                <w:sz w:val="24"/>
                <w:szCs w:val="24"/>
                <w:highlight w:val="none"/>
                <w:lang w:val="en-US" w:eastAsia="zh-CN" w:bidi="ar-SA"/>
              </w:rPr>
              <w:t>其他未列明行业。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0"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9</w:t>
            </w:r>
          </w:p>
        </w:tc>
        <w:tc>
          <w:tcPr>
            <w:tcW w:w="1530" w:type="dxa"/>
            <w:vAlign w:val="center"/>
          </w:tcPr>
          <w:p>
            <w:pPr>
              <w:shd w:val="clear"/>
              <w:ind w:left="1"/>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样品及演示</w:t>
            </w:r>
          </w:p>
        </w:tc>
        <w:tc>
          <w:tcPr>
            <w:tcW w:w="7212" w:type="dxa"/>
            <w:vAlign w:val="center"/>
          </w:tcPr>
          <w:p>
            <w:pPr>
              <w:shd w:val="clear"/>
              <w:ind w:left="1"/>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740"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w:t>
            </w:r>
          </w:p>
        </w:tc>
        <w:tc>
          <w:tcPr>
            <w:tcW w:w="1530" w:type="dxa"/>
            <w:vAlign w:val="center"/>
          </w:tcPr>
          <w:p>
            <w:pPr>
              <w:shd w:val="clear"/>
              <w:ind w:left="1"/>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节能环保</w:t>
            </w:r>
          </w:p>
        </w:tc>
        <w:tc>
          <w:tcPr>
            <w:tcW w:w="7212" w:type="dxa"/>
            <w:vAlign w:val="center"/>
          </w:tcPr>
          <w:p>
            <w:pPr>
              <w:shd w:val="clear"/>
              <w:ind w:left="1"/>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符合国家相关规定。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740"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w:t>
            </w:r>
          </w:p>
        </w:tc>
        <w:tc>
          <w:tcPr>
            <w:tcW w:w="1530"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实质性条款</w:t>
            </w:r>
          </w:p>
        </w:tc>
        <w:tc>
          <w:tcPr>
            <w:tcW w:w="7212" w:type="dxa"/>
            <w:vAlign w:val="center"/>
          </w:tcPr>
          <w:p>
            <w:pPr>
              <w:shd w:val="clear"/>
              <w:rPr>
                <w:rFonts w:hint="eastAsia" w:ascii="宋体" w:hAnsi="宋体" w:eastAsia="宋体" w:cs="宋体"/>
                <w:color w:val="auto"/>
                <w:sz w:val="24"/>
                <w:highlight w:val="none"/>
              </w:rPr>
            </w:pPr>
            <w:r>
              <w:rPr>
                <w:rFonts w:hint="eastAsia" w:ascii="宋体" w:hAnsi="宋体" w:eastAsia="宋体" w:cs="宋体"/>
                <w:color w:val="auto"/>
                <w:sz w:val="24"/>
                <w:highlight w:val="none"/>
                <w:lang w:val="zh-CN"/>
              </w:rPr>
              <w:t>带“</w:t>
            </w:r>
            <w:r>
              <w:rPr>
                <w:rFonts w:hint="eastAsia" w:ascii="宋体" w:hAnsi="宋体" w:eastAsia="宋体" w:cs="宋体"/>
                <w:color w:val="auto"/>
                <w:sz w:val="24"/>
                <w:highlight w:val="none"/>
              </w:rPr>
              <w:t>▲”的条款是实质性条款，磋商响应文件须做出实质性响应，否则终止磋商。</w:t>
            </w:r>
          </w:p>
        </w:tc>
      </w:tr>
    </w:tbl>
    <w:p>
      <w:pPr>
        <w:shd w:val="clear"/>
        <w:spacing w:line="360" w:lineRule="auto"/>
        <w:textAlignment w:val="baseline"/>
        <w:rPr>
          <w:rStyle w:val="39"/>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 、总  则</w:t>
      </w:r>
    </w:p>
    <w:p>
      <w:pPr>
        <w:shd w:val="clear"/>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 适用范围</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本磋商文件适用于本次项目的磋商、评审、确定成交供应商、验收、合同履约、付款等行为（法律、法规另有规定的，从其规定）。</w:t>
      </w:r>
    </w:p>
    <w:p>
      <w:pPr>
        <w:shd w:val="clear"/>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（二）定义</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1、“采购组织机构”：是指采购人委托组织磋商的采购代理机构。</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2、采购人：是指委托采购代理机构采购本次项目的国家机关、事业单位和团体组织。</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3、磋商供应商：是指向采购组织机构提交磋商响应文件的单位或个人。</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4、服务：是指除货物和工程以外的政府采购对象，包括各类专业服务、信息网络开发服务、金融保险服务、运输服务，以及维修与维护服务等。</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5、“书面形式”包括信函、传真等。</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6、“▲”系指实质性要求条款。</w:t>
      </w:r>
    </w:p>
    <w:p>
      <w:pPr>
        <w:shd w:val="clear"/>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（三）磋商费用</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不论磋商结果如何，供应商均应自行承担所有与磋商有关的全部费用（磋商文件有相关规定除外）。</w:t>
      </w:r>
    </w:p>
    <w:p>
      <w:pPr>
        <w:shd w:val="clear"/>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（四）特别说明</w:t>
      </w:r>
    </w:p>
    <w:p>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1、供应商磋商所使用的资格、信誉、荣誉与企业认证必须为本法人所拥有。供应商磋商所使用的采购项目实施人员必须为本法人员工（指必须为本法人或控股公司正式员工）。</w:t>
      </w:r>
    </w:p>
    <w:p>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3、供应商不得相互串通磋商报价，不得妨碍其他供应商的公平竞争，不得损害采购人或其他供应商的合法权益，供应商不得以向采购人、磋商小组成员行贿或者采取其他不正当手段谋取成交。</w:t>
      </w:r>
    </w:p>
    <w:p>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4、为采购项目提供整体设计、规范编制或者项目管理、监理、检测等服务的供应商，不得再参加该采购项目的其他采购活动。</w:t>
      </w:r>
    </w:p>
    <w:p>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5、磋商响应文件（即响应文件）格式中的表格式样可以根据项目差别做适当调整，但应当保持表格样式基本形态不变。</w:t>
      </w:r>
    </w:p>
    <w:p>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6、单位负责人为同一人或者存在直接控股、管理关系的不同供应商，不得参加同一合同项下的政府采购活动。</w:t>
      </w:r>
    </w:p>
    <w:p>
      <w:pPr>
        <w:shd w:val="clea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二、磋商响应文件</w:t>
      </w:r>
    </w:p>
    <w:p>
      <w:pPr>
        <w:shd w:val="clear"/>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（一）磋商响应文件的组成</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供应商应仔细阅读磋商采购文件的所有内容，按磋商采购文件的要求，详细编制磋商响应文件。</w:t>
      </w:r>
      <w:r>
        <w:rPr>
          <w:rFonts w:hint="eastAsia" w:ascii="宋体" w:hAnsi="宋体" w:eastAsia="宋体" w:cs="宋体"/>
          <w:color w:val="auto"/>
          <w:sz w:val="24"/>
          <w:szCs w:val="32"/>
          <w:highlight w:val="none"/>
          <w:lang w:val="zh-CN"/>
        </w:rPr>
        <w:t>【特别提示：如有要求提供资料原件的，原件另行包装，并与磋商响应文件一起提交，磋商响应截止时间后所有原件不予接收。资料原件也可以用与原件相符的公证原件替代】</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1、资格证明内容的组成：</w:t>
      </w:r>
      <w:bookmarkStart w:id="2" w:name="_GoBack"/>
      <w:bookmarkEnd w:id="2"/>
    </w:p>
    <w:p>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（1）磋商声明书；</w:t>
      </w:r>
    </w:p>
    <w:p>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（2）授权委托书（法定代表人（单位负责人）亲自办理磋商响应事宜的，则无需提交）；</w:t>
      </w:r>
    </w:p>
    <w:p>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（3）法人或者其他组织的营业执照等证明文件，自然人的身份证明；</w:t>
      </w:r>
    </w:p>
    <w:p>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（4）具有良好的商业信誉和健全的财务会计制度的承诺；</w:t>
      </w:r>
    </w:p>
    <w:p>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（5）依法缴纳税收和社会保障资金的承诺；</w:t>
      </w:r>
    </w:p>
    <w:p>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（6）具备履行合同所必需的设备和专业技术能力的证明材料（根据项目性质提供）；</w:t>
      </w:r>
    </w:p>
    <w:p>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（7）参加政府采购活动前三年内，在经营活动中没有重大违法记录（承诺函）；</w:t>
      </w:r>
    </w:p>
    <w:p>
      <w:pPr>
        <w:spacing w:beforeAutospacing="0" w:afterAutospacing="0"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（8）落实政府采购政策需满足的资格要求所对应的证明材料（中小企业声明函）；</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lang w:val="en-US" w:eastAsia="zh-CN"/>
        </w:rPr>
        <w:t>9</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提供采购公告中符合供应商特定条件的有效资质证书复印件（投标供应商特定条件中有要求的必须提供），以及需要说明的其他资料。</w:t>
      </w:r>
    </w:p>
    <w:p>
      <w:pPr>
        <w:pStyle w:val="11"/>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2、商务与技术内容的组成：</w:t>
      </w:r>
    </w:p>
    <w:p>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（1）供应商情况介绍。</w:t>
      </w:r>
    </w:p>
    <w:p>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（2）磋商响应方案描述：</w:t>
      </w:r>
    </w:p>
    <w:p>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A.项目需求的理解与分析（供应商对项目现状及需求的理解情况，对项目现状和需求描述的全面性、准确性、针对性，项目功能设计完备、对系统各组成部分等功能进行准确的分析，对项目重点、难点的把握，解决方案及合理化建议）。</w:t>
      </w:r>
    </w:p>
    <w:p>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B.项目组织实施方案（包括项目实施进度安排、项目实施人员及项目负责人的资质、类似经验及社保证明等）。</w:t>
      </w:r>
    </w:p>
    <w:p>
      <w:pPr>
        <w:shd w:val="clear"/>
        <w:spacing w:line="360" w:lineRule="auto"/>
        <w:ind w:firstLine="480" w:firstLineChars="200"/>
        <w:jc w:val="left"/>
        <w:rPr>
          <w:rFonts w:hint="eastAsia" w:ascii="宋体" w:hAnsi="宋体" w:eastAsia="宋体" w:cs="宋体"/>
          <w:color w:val="auto"/>
          <w:highlight w:val="none"/>
        </w:rPr>
      </w:pPr>
      <w:r>
        <w:rPr>
          <w:rFonts w:hint="eastAsia" w:ascii="宋体" w:hAnsi="宋体" w:eastAsia="宋体" w:cs="宋体"/>
          <w:color w:val="auto"/>
          <w:sz w:val="24"/>
          <w:szCs w:val="32"/>
          <w:highlight w:val="none"/>
        </w:rPr>
        <w:t>C.商务及技术响应表。</w:t>
      </w:r>
    </w:p>
    <w:p>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（3）磋商响应描述及相关资料：</w:t>
      </w:r>
    </w:p>
    <w:p>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（4）供应商通过的质量管理和质量保证体系、自主创新相关证书、软件著作权证等等与本项目相关的认证证书或文件；</w:t>
      </w:r>
    </w:p>
    <w:p>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（5）近三年来类似项目的成功案例（供应商类似项目实施情况一览表、合同复印件及其相应的发票、用户验收报告等；</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（6）供应商认为需要提供的其他资料（包括可能影响供应商商务与技术内容评分的各类证明材料）。</w:t>
      </w:r>
    </w:p>
    <w:p>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（7）售后服务描述及承诺：</w:t>
      </w:r>
    </w:p>
    <w:p>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A.距采购人最近的服务网点详细介绍（包括地理位置、资质资格、技术力量、工作业绩、服务内容及联系电话等）。</w:t>
      </w:r>
    </w:p>
    <w:p>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B.针对本项目的售后服务措施及承诺（售后技术服务方案、人员配备、响应时间、技术培训方案等）。</w:t>
      </w:r>
    </w:p>
    <w:p>
      <w:pPr>
        <w:shd w:val="clear"/>
        <w:spacing w:line="360" w:lineRule="auto"/>
        <w:ind w:firstLine="482" w:firstLineChars="2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3、报价内容的组成</w:t>
      </w:r>
    </w:p>
    <w:p>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（1）报价内容由首次报价一览表、报价明细表以及供应商认为其他需要说明的内容组成。</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szCs w:val="32"/>
          <w:highlight w:val="none"/>
        </w:rPr>
        <w:t>2</w:t>
      </w:r>
      <w:r>
        <w:rPr>
          <w:rFonts w:hint="eastAsia" w:ascii="宋体" w:hAnsi="宋体" w:eastAsia="宋体" w:cs="宋体"/>
          <w:color w:val="auto"/>
          <w:sz w:val="24"/>
          <w:szCs w:val="32"/>
          <w:highlight w:val="none"/>
          <w:lang w:val="zh-CN"/>
        </w:rPr>
        <w:t>）总报价应当包括合同包含的所有风险责任、</w:t>
      </w:r>
      <w:r>
        <w:rPr>
          <w:rFonts w:hint="eastAsia" w:ascii="宋体" w:hAnsi="宋体" w:eastAsia="宋体" w:cs="宋体"/>
          <w:color w:val="auto"/>
          <w:sz w:val="24"/>
          <w:szCs w:val="32"/>
          <w:highlight w:val="none"/>
        </w:rPr>
        <w:t>管理费</w:t>
      </w:r>
      <w:r>
        <w:rPr>
          <w:rFonts w:hint="eastAsia" w:ascii="宋体" w:hAnsi="宋体" w:eastAsia="宋体" w:cs="宋体"/>
          <w:color w:val="auto"/>
          <w:sz w:val="24"/>
          <w:szCs w:val="32"/>
          <w:highlight w:val="none"/>
          <w:lang w:val="zh-CN"/>
        </w:rPr>
        <w:t>等各项费用及不可预见费等所需的全部费用。</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szCs w:val="32"/>
          <w:highlight w:val="none"/>
        </w:rPr>
        <w:t>3</w:t>
      </w:r>
      <w:r>
        <w:rPr>
          <w:rFonts w:hint="eastAsia" w:ascii="宋体" w:hAnsi="宋体" w:eastAsia="宋体" w:cs="宋体"/>
          <w:color w:val="auto"/>
          <w:sz w:val="24"/>
          <w:szCs w:val="32"/>
          <w:highlight w:val="none"/>
          <w:lang w:val="zh-CN"/>
        </w:rPr>
        <w:t>）</w:t>
      </w:r>
      <w:r>
        <w:rPr>
          <w:rFonts w:hint="eastAsia" w:ascii="宋体" w:hAnsi="宋体" w:eastAsia="宋体" w:cs="宋体"/>
          <w:color w:val="auto"/>
          <w:sz w:val="24"/>
          <w:szCs w:val="32"/>
          <w:highlight w:val="none"/>
        </w:rPr>
        <w:t>政府采购优惠政策相关资料（如有）。</w:t>
      </w:r>
    </w:p>
    <w:p>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（4）相关报价表需打印或用不退色的墨水填写， 磋商响应报价表不得涂改和增删，如有错漏必须修改，修改处须由同一签署人签字或盖章。由于字迹模糊或表达不清引起的后果由供应商负责。</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（5）报价有关表格应按磋商采购文件中相关附表格式填写。</w:t>
      </w:r>
    </w:p>
    <w:p>
      <w:pPr>
        <w:shd w:val="clear"/>
        <w:spacing w:line="360" w:lineRule="auto"/>
        <w:ind w:firstLine="241" w:firstLineChars="100"/>
        <w:rPr>
          <w:rFonts w:hint="eastAsia" w:ascii="宋体" w:hAnsi="宋体" w:eastAsia="宋体" w:cs="宋体"/>
          <w:b/>
          <w:bCs/>
          <w:color w:val="auto"/>
          <w:sz w:val="24"/>
          <w:szCs w:val="32"/>
          <w:highlight w:val="none"/>
          <w:lang w:val="zh-CN"/>
        </w:rPr>
      </w:pPr>
      <w:r>
        <w:rPr>
          <w:rFonts w:hint="eastAsia" w:ascii="宋体" w:hAnsi="宋体" w:eastAsia="宋体" w:cs="宋体"/>
          <w:b/>
          <w:bCs/>
          <w:color w:val="auto"/>
          <w:sz w:val="24"/>
          <w:szCs w:val="32"/>
          <w:highlight w:val="none"/>
        </w:rPr>
        <w:t>（二）磋商响应文件的制作、封装及递交要求</w:t>
      </w:r>
    </w:p>
    <w:p>
      <w:pPr>
        <w:shd w:val="clear"/>
        <w:spacing w:line="360" w:lineRule="auto"/>
        <w:ind w:firstLine="482" w:firstLineChars="200"/>
        <w:jc w:val="left"/>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1、磋商响应文件的制作要求</w:t>
      </w:r>
    </w:p>
    <w:p>
      <w:pPr>
        <w:shd w:val="clear"/>
        <w:spacing w:line="360" w:lineRule="auto"/>
        <w:ind w:firstLine="480" w:firstLineChars="200"/>
        <w:jc w:val="left"/>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val="en-GB"/>
        </w:rPr>
        <w:t>本项目通过“政府采购云平台（www.zcygov.cn）”实行在线投标响应（电子投标）。供应商应通过“政采云电子交易客户端”，并按照本</w:t>
      </w:r>
      <w:r>
        <w:rPr>
          <w:rFonts w:hint="eastAsia" w:ascii="宋体" w:hAnsi="宋体" w:eastAsia="宋体" w:cs="宋体"/>
          <w:color w:val="auto"/>
          <w:sz w:val="24"/>
          <w:szCs w:val="32"/>
          <w:highlight w:val="none"/>
          <w:lang w:val="zh-CN"/>
        </w:rPr>
        <w:t>磋商</w:t>
      </w:r>
      <w:r>
        <w:rPr>
          <w:rFonts w:hint="eastAsia" w:ascii="宋体" w:hAnsi="宋体" w:eastAsia="宋体" w:cs="宋体"/>
          <w:color w:val="auto"/>
          <w:sz w:val="24"/>
          <w:szCs w:val="32"/>
          <w:highlight w:val="none"/>
          <w:lang w:val="en-GB"/>
        </w:rPr>
        <w:t>文件和“政府采购云平台”的要求编制并加密</w:t>
      </w:r>
      <w:r>
        <w:rPr>
          <w:rFonts w:hint="eastAsia" w:ascii="宋体" w:hAnsi="宋体" w:eastAsia="宋体" w:cs="宋体"/>
          <w:color w:val="auto"/>
          <w:sz w:val="24"/>
          <w:szCs w:val="32"/>
          <w:highlight w:val="none"/>
          <w:lang w:val="zh-CN"/>
        </w:rPr>
        <w:t>磋商响应文件</w:t>
      </w:r>
      <w:r>
        <w:rPr>
          <w:rFonts w:hint="eastAsia" w:ascii="宋体" w:hAnsi="宋体" w:eastAsia="宋体" w:cs="宋体"/>
          <w:color w:val="auto"/>
          <w:sz w:val="24"/>
          <w:szCs w:val="32"/>
          <w:highlight w:val="none"/>
          <w:lang w:val="en-GB"/>
        </w:rPr>
        <w:t>。</w:t>
      </w:r>
    </w:p>
    <w:p>
      <w:pPr>
        <w:shd w:val="clear"/>
        <w:spacing w:line="360" w:lineRule="auto"/>
        <w:ind w:firstLine="480" w:firstLineChars="200"/>
        <w:jc w:val="left"/>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zh-CN"/>
        </w:rPr>
        <w:t>（2）各供应商在编制磋商响应文件时请按照磋商文件第六部分规定的格式进行，</w:t>
      </w:r>
      <w:r>
        <w:rPr>
          <w:rFonts w:hint="eastAsia" w:ascii="宋体" w:hAnsi="宋体" w:eastAsia="宋体" w:cs="宋体"/>
          <w:color w:val="auto"/>
          <w:sz w:val="24"/>
          <w:szCs w:val="32"/>
          <w:highlight w:val="none"/>
          <w:lang w:val="en-GB"/>
        </w:rPr>
        <w:t>并按格式要求在指定位置根据要求进行签章，否则视为未提供，未提供格式的，请各供应商自行拟定格式。</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3）供应商应对所提供的全部资料的真实性承担法律责任，磋商响应文件内容中有要求盖章或签字的地方，必须加盖磋商供应商的公章以及法定代表人（单位负责人）或授权委托代理人的盖章或签字，其中所有证书类文件提供的复印件必须全部加盖单位公章且必须在有效期内的。</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（4）磋商响应文件以及磋商供应商与采购组织机构就有关磋商事宜的所有来往函电，均应以中文汉语书写。除签字、盖章、专用名称等特殊情形外，以中文汉语以外的文字表述的磋商响应文件视同未提供。</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（5）若磋商供应商不按采购文件的要求提供资格审查材料，其风险由磋商供应商自行承担。</w:t>
      </w:r>
    </w:p>
    <w:p>
      <w:pPr>
        <w:shd w:val="clear"/>
        <w:spacing w:line="360" w:lineRule="auto"/>
        <w:ind w:firstLine="482" w:firstLineChars="200"/>
        <w:jc w:val="left"/>
        <w:rPr>
          <w:rFonts w:hint="eastAsia" w:ascii="宋体" w:hAnsi="宋体" w:eastAsia="宋体" w:cs="宋体"/>
          <w:b/>
          <w:bCs/>
          <w:color w:val="auto"/>
          <w:sz w:val="24"/>
          <w:szCs w:val="32"/>
          <w:highlight w:val="none"/>
          <w:lang w:val="en-GB"/>
        </w:rPr>
      </w:pPr>
      <w:r>
        <w:rPr>
          <w:rFonts w:hint="eastAsia" w:ascii="宋体" w:hAnsi="宋体" w:eastAsia="宋体" w:cs="宋体"/>
          <w:b/>
          <w:bCs/>
          <w:color w:val="auto"/>
          <w:sz w:val="24"/>
          <w:szCs w:val="32"/>
          <w:highlight w:val="none"/>
          <w:lang w:val="en-GB"/>
        </w:rPr>
        <w:t>2、提供纸质响应文件要求：见《前附表》</w:t>
      </w:r>
    </w:p>
    <w:p>
      <w:pPr>
        <w:shd w:val="clear"/>
        <w:spacing w:line="360" w:lineRule="auto"/>
        <w:ind w:firstLine="482" w:firstLineChars="200"/>
        <w:jc w:val="left"/>
        <w:rPr>
          <w:rFonts w:hint="eastAsia" w:ascii="宋体" w:hAnsi="宋体" w:eastAsia="宋体" w:cs="宋体"/>
          <w:b/>
          <w:bCs/>
          <w:color w:val="auto"/>
          <w:sz w:val="24"/>
          <w:szCs w:val="32"/>
          <w:highlight w:val="none"/>
          <w:lang w:val="en-GB"/>
        </w:rPr>
      </w:pPr>
      <w:r>
        <w:rPr>
          <w:rFonts w:hint="eastAsia" w:ascii="宋体" w:hAnsi="宋体" w:eastAsia="宋体" w:cs="宋体"/>
          <w:b/>
          <w:bCs/>
          <w:color w:val="auto"/>
          <w:sz w:val="24"/>
          <w:szCs w:val="32"/>
          <w:highlight w:val="none"/>
          <w:lang w:val="en-GB"/>
        </w:rPr>
        <w:t>3、响应文件的签章</w:t>
      </w:r>
    </w:p>
    <w:p>
      <w:pPr>
        <w:shd w:val="clear"/>
        <w:spacing w:line="360" w:lineRule="auto"/>
        <w:ind w:firstLine="480" w:firstLineChars="200"/>
        <w:jc w:val="left"/>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zh-CN"/>
        </w:rPr>
        <w:t>磋商响应</w:t>
      </w:r>
      <w:r>
        <w:rPr>
          <w:rFonts w:hint="eastAsia" w:ascii="宋体" w:hAnsi="宋体" w:eastAsia="宋体" w:cs="宋体"/>
          <w:color w:val="auto"/>
          <w:sz w:val="24"/>
          <w:szCs w:val="32"/>
          <w:highlight w:val="none"/>
          <w:lang w:val="en-GB"/>
        </w:rPr>
        <w:t>文件按照</w:t>
      </w:r>
      <w:r>
        <w:rPr>
          <w:rFonts w:hint="eastAsia" w:ascii="宋体" w:hAnsi="宋体" w:eastAsia="宋体" w:cs="宋体"/>
          <w:color w:val="auto"/>
          <w:sz w:val="24"/>
          <w:szCs w:val="32"/>
          <w:highlight w:val="none"/>
          <w:lang w:val="zh-CN"/>
        </w:rPr>
        <w:t>磋商</w:t>
      </w:r>
      <w:r>
        <w:rPr>
          <w:rFonts w:hint="eastAsia" w:ascii="宋体" w:hAnsi="宋体" w:eastAsia="宋体" w:cs="宋体"/>
          <w:color w:val="auto"/>
          <w:sz w:val="24"/>
          <w:szCs w:val="32"/>
          <w:highlight w:val="none"/>
          <w:lang w:val="en-GB"/>
        </w:rPr>
        <w:t>文件第六部分格式要求进行签署、盖章。供应商的响应文件未按照</w:t>
      </w:r>
      <w:r>
        <w:rPr>
          <w:rFonts w:hint="eastAsia" w:ascii="宋体" w:hAnsi="宋体" w:eastAsia="宋体" w:cs="宋体"/>
          <w:color w:val="auto"/>
          <w:sz w:val="24"/>
          <w:szCs w:val="32"/>
          <w:highlight w:val="none"/>
          <w:lang w:val="zh-CN"/>
        </w:rPr>
        <w:t>磋商</w:t>
      </w:r>
      <w:r>
        <w:rPr>
          <w:rFonts w:hint="eastAsia" w:ascii="宋体" w:hAnsi="宋体" w:eastAsia="宋体" w:cs="宋体"/>
          <w:color w:val="auto"/>
          <w:sz w:val="24"/>
          <w:szCs w:val="32"/>
          <w:highlight w:val="none"/>
          <w:lang w:val="en-GB"/>
        </w:rPr>
        <w:t>文件要求签署、盖章的，其响应无效；其中电子响应文件中所须加盖公章部分均采用CA签章，并根据《政府采购项目电子交易管理操作指南-供应商》及本</w:t>
      </w:r>
      <w:r>
        <w:rPr>
          <w:rFonts w:hint="eastAsia" w:ascii="宋体" w:hAnsi="宋体" w:eastAsia="宋体" w:cs="宋体"/>
          <w:color w:val="auto"/>
          <w:sz w:val="24"/>
          <w:szCs w:val="32"/>
          <w:highlight w:val="none"/>
        </w:rPr>
        <w:t>磋商</w:t>
      </w:r>
      <w:r>
        <w:rPr>
          <w:rFonts w:hint="eastAsia" w:ascii="宋体" w:hAnsi="宋体" w:eastAsia="宋体" w:cs="宋体"/>
          <w:color w:val="auto"/>
          <w:sz w:val="24"/>
          <w:szCs w:val="32"/>
          <w:highlight w:val="none"/>
          <w:lang w:val="en-GB"/>
        </w:rPr>
        <w:t>采购文件规定的格式和顺序编制电子响应文件并进行关联定位。</w:t>
      </w:r>
    </w:p>
    <w:p>
      <w:pPr>
        <w:shd w:val="clear"/>
        <w:spacing w:line="360" w:lineRule="auto"/>
        <w:ind w:firstLine="482" w:firstLineChars="200"/>
        <w:jc w:val="left"/>
        <w:rPr>
          <w:rFonts w:hint="eastAsia" w:ascii="宋体" w:hAnsi="宋体" w:eastAsia="宋体" w:cs="宋体"/>
          <w:b/>
          <w:bCs/>
          <w:color w:val="auto"/>
          <w:sz w:val="24"/>
          <w:szCs w:val="32"/>
          <w:highlight w:val="none"/>
          <w:lang w:val="en-GB"/>
        </w:rPr>
      </w:pPr>
      <w:r>
        <w:rPr>
          <w:rFonts w:hint="eastAsia" w:ascii="宋体" w:hAnsi="宋体" w:eastAsia="宋体" w:cs="宋体"/>
          <w:b/>
          <w:bCs/>
          <w:color w:val="auto"/>
          <w:sz w:val="24"/>
          <w:szCs w:val="32"/>
          <w:highlight w:val="none"/>
          <w:lang w:val="en-GB"/>
        </w:rPr>
        <w:t>4、备份响应文件的密封与标志</w:t>
      </w:r>
    </w:p>
    <w:p>
      <w:pPr>
        <w:shd w:val="clear"/>
        <w:spacing w:line="360" w:lineRule="auto"/>
        <w:ind w:firstLine="480" w:firstLineChars="200"/>
        <w:jc w:val="left"/>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（1）备份响应文件须密封包装。没有密封包装的响应文件，将被拒收。</w:t>
      </w:r>
    </w:p>
    <w:p>
      <w:pPr>
        <w:shd w:val="clear"/>
        <w:spacing w:line="360" w:lineRule="auto"/>
        <w:ind w:firstLine="480" w:firstLineChars="200"/>
        <w:jc w:val="left"/>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（2）备份响应文件包装封面物应写明项目名称、供应商名称。</w:t>
      </w:r>
    </w:p>
    <w:p>
      <w:pPr>
        <w:shd w:val="clear"/>
        <w:spacing w:line="360" w:lineRule="auto"/>
        <w:ind w:firstLine="482" w:firstLineChars="200"/>
        <w:jc w:val="left"/>
        <w:rPr>
          <w:rFonts w:hint="eastAsia" w:ascii="宋体" w:hAnsi="宋体" w:eastAsia="宋体" w:cs="宋体"/>
          <w:b/>
          <w:bCs/>
          <w:color w:val="auto"/>
          <w:sz w:val="24"/>
          <w:szCs w:val="32"/>
          <w:highlight w:val="none"/>
          <w:lang w:val="en-GB"/>
        </w:rPr>
      </w:pPr>
      <w:r>
        <w:rPr>
          <w:rFonts w:hint="eastAsia" w:ascii="宋体" w:hAnsi="宋体" w:eastAsia="宋体" w:cs="宋体"/>
          <w:b/>
          <w:bCs/>
          <w:color w:val="auto"/>
          <w:sz w:val="24"/>
          <w:szCs w:val="32"/>
          <w:highlight w:val="none"/>
          <w:lang w:val="en-GB"/>
        </w:rPr>
        <w:t>5、磋商响应文件的上传和递交</w:t>
      </w:r>
    </w:p>
    <w:p>
      <w:pPr>
        <w:shd w:val="clear"/>
        <w:spacing w:line="360" w:lineRule="auto"/>
        <w:ind w:firstLine="480" w:firstLineChars="200"/>
        <w:jc w:val="left"/>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（1）“磋商响应文件”的上传、递交：见</w:t>
      </w:r>
      <w:r>
        <w:rPr>
          <w:rFonts w:hint="eastAsia" w:ascii="宋体" w:hAnsi="宋体" w:eastAsia="宋体" w:cs="宋体"/>
          <w:color w:val="auto"/>
          <w:sz w:val="24"/>
          <w:szCs w:val="32"/>
          <w:highlight w:val="none"/>
          <w:lang w:val="zh-CN"/>
        </w:rPr>
        <w:t>竞争性磋商公告及</w:t>
      </w:r>
      <w:r>
        <w:rPr>
          <w:rFonts w:hint="eastAsia" w:ascii="宋体" w:hAnsi="宋体" w:eastAsia="宋体" w:cs="宋体"/>
          <w:color w:val="auto"/>
          <w:sz w:val="24"/>
          <w:szCs w:val="32"/>
          <w:highlight w:val="none"/>
          <w:lang w:val="en-GB"/>
        </w:rPr>
        <w:t>《前附表》。▲未传输递交电子响应文件的，响应无效。</w:t>
      </w:r>
    </w:p>
    <w:p>
      <w:pPr>
        <w:shd w:val="clear"/>
        <w:spacing w:line="360" w:lineRule="auto"/>
        <w:ind w:firstLine="480" w:firstLineChars="200"/>
        <w:jc w:val="left"/>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（2）供应商应当在响应截止时间将以介质存储的数据电文形式的备份磋商响应文件和纸质备份磋商响应文件分别密封送交到竞争性磋商公告规定的</w:t>
      </w:r>
      <w:r>
        <w:rPr>
          <w:rFonts w:hint="eastAsia" w:ascii="宋体" w:hAnsi="宋体" w:eastAsia="宋体" w:cs="宋体"/>
          <w:color w:val="auto"/>
          <w:sz w:val="24"/>
          <w:szCs w:val="32"/>
          <w:highlight w:val="none"/>
        </w:rPr>
        <w:t>磋商</w:t>
      </w:r>
      <w:r>
        <w:rPr>
          <w:rFonts w:hint="eastAsia" w:ascii="宋体" w:hAnsi="宋体" w:eastAsia="宋体" w:cs="宋体"/>
          <w:color w:val="auto"/>
          <w:sz w:val="24"/>
          <w:szCs w:val="32"/>
          <w:highlight w:val="none"/>
          <w:lang w:val="en-GB"/>
        </w:rPr>
        <w:t>地点。</w:t>
      </w:r>
    </w:p>
    <w:p>
      <w:pPr>
        <w:shd w:val="clear"/>
        <w:spacing w:line="360" w:lineRule="auto"/>
        <w:ind w:firstLine="480" w:firstLineChars="200"/>
        <w:jc w:val="left"/>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▲未按规定提供相应的备份磋商响应文件，造成项目</w:t>
      </w:r>
      <w:r>
        <w:rPr>
          <w:rFonts w:hint="eastAsia" w:ascii="宋体" w:hAnsi="宋体" w:eastAsia="宋体" w:cs="宋体"/>
          <w:color w:val="auto"/>
          <w:sz w:val="24"/>
          <w:szCs w:val="32"/>
          <w:highlight w:val="none"/>
        </w:rPr>
        <w:t>磋商</w:t>
      </w:r>
      <w:r>
        <w:rPr>
          <w:rFonts w:hint="eastAsia" w:ascii="宋体" w:hAnsi="宋体" w:eastAsia="宋体" w:cs="宋体"/>
          <w:color w:val="auto"/>
          <w:sz w:val="24"/>
          <w:szCs w:val="32"/>
          <w:highlight w:val="none"/>
          <w:lang w:val="en-GB"/>
        </w:rPr>
        <w:t>活动无法进行下去的，响应无效。</w:t>
      </w:r>
    </w:p>
    <w:p>
      <w:pPr>
        <w:shd w:val="clear"/>
        <w:spacing w:line="360" w:lineRule="auto"/>
        <w:ind w:firstLine="482" w:firstLineChars="200"/>
        <w:jc w:val="left"/>
        <w:rPr>
          <w:rFonts w:hint="eastAsia" w:ascii="宋体" w:hAnsi="宋体" w:eastAsia="宋体" w:cs="宋体"/>
          <w:b/>
          <w:bCs/>
          <w:color w:val="auto"/>
          <w:sz w:val="24"/>
          <w:szCs w:val="32"/>
          <w:highlight w:val="none"/>
          <w:lang w:val="en-GB"/>
        </w:rPr>
      </w:pPr>
      <w:r>
        <w:rPr>
          <w:rFonts w:hint="eastAsia" w:ascii="宋体" w:hAnsi="宋体" w:eastAsia="宋体" w:cs="宋体"/>
          <w:b/>
          <w:bCs/>
          <w:color w:val="auto"/>
          <w:sz w:val="24"/>
          <w:szCs w:val="32"/>
          <w:highlight w:val="none"/>
          <w:lang w:val="en-GB"/>
        </w:rPr>
        <w:t>6、响应文件的补充、修改、撤回</w:t>
      </w:r>
    </w:p>
    <w:p>
      <w:pPr>
        <w:shd w:val="clear"/>
        <w:spacing w:line="360" w:lineRule="auto"/>
        <w:ind w:firstLine="480" w:firstLineChars="200"/>
        <w:jc w:val="left"/>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1）供应商应当在响应截止时间前完成电子响应文件的上传、递交，并可以补充、修改或者撤回响应文件。补充或者修改响应文件的，应当先行撤回原文件，补充、修改后重新上传、递交。响应截止时间前未完成上传、递交的，视为撤回响应文件。响应截止时间后递交的响应文件，“政府采购云平台”将予以拒收。</w:t>
      </w:r>
    </w:p>
    <w:p>
      <w:pPr>
        <w:shd w:val="clear"/>
        <w:spacing w:line="360" w:lineRule="auto"/>
        <w:ind w:firstLine="480" w:firstLineChars="200"/>
        <w:jc w:val="left"/>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（2）响应截止时间后，磋商供应商不得撤回、修改响应文件。</w:t>
      </w:r>
    </w:p>
    <w:p>
      <w:pPr>
        <w:shd w:val="clear"/>
        <w:spacing w:line="360" w:lineRule="auto"/>
        <w:ind w:firstLine="480" w:firstLineChars="200"/>
        <w:jc w:val="left"/>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en-GB"/>
        </w:rPr>
        <w:t>（3）在</w:t>
      </w:r>
      <w:r>
        <w:rPr>
          <w:rFonts w:hint="eastAsia" w:ascii="宋体" w:hAnsi="宋体" w:eastAsia="宋体" w:cs="宋体"/>
          <w:color w:val="auto"/>
          <w:sz w:val="24"/>
          <w:szCs w:val="32"/>
          <w:highlight w:val="none"/>
        </w:rPr>
        <w:t>磋商开始后</w:t>
      </w:r>
      <w:r>
        <w:rPr>
          <w:rFonts w:hint="eastAsia" w:ascii="宋体" w:hAnsi="宋体" w:eastAsia="宋体" w:cs="宋体"/>
          <w:color w:val="auto"/>
          <w:sz w:val="24"/>
          <w:szCs w:val="32"/>
          <w:highlight w:val="none"/>
          <w:lang w:val="en-GB"/>
        </w:rPr>
        <w:t>规定的</w:t>
      </w:r>
      <w:r>
        <w:rPr>
          <w:rFonts w:hint="eastAsia" w:ascii="宋体" w:hAnsi="宋体" w:eastAsia="宋体" w:cs="宋体"/>
          <w:color w:val="auto"/>
          <w:sz w:val="24"/>
          <w:szCs w:val="32"/>
          <w:highlight w:val="none"/>
        </w:rPr>
        <w:t>磋商</w:t>
      </w:r>
      <w:r>
        <w:rPr>
          <w:rFonts w:hint="eastAsia" w:ascii="宋体" w:hAnsi="宋体" w:eastAsia="宋体" w:cs="宋体"/>
          <w:color w:val="auto"/>
          <w:sz w:val="24"/>
          <w:szCs w:val="32"/>
          <w:highlight w:val="none"/>
          <w:lang w:val="en-GB"/>
        </w:rPr>
        <w:t>有效期内，供应商不能撤销响应文件。</w:t>
      </w:r>
    </w:p>
    <w:p>
      <w:pPr>
        <w:shd w:val="clear"/>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（三）磋商响应文件的有效期</w:t>
      </w:r>
    </w:p>
    <w:p>
      <w:pPr>
        <w:shd w:val="clear"/>
        <w:spacing w:line="360" w:lineRule="auto"/>
        <w:ind w:firstLine="480" w:firstLineChars="200"/>
        <w:jc w:val="left"/>
        <w:rPr>
          <w:rFonts w:hint="eastAsia" w:ascii="宋体" w:hAnsi="宋体" w:eastAsia="宋体" w:cs="宋体"/>
          <w:color w:val="auto"/>
          <w:sz w:val="24"/>
          <w:szCs w:val="32"/>
          <w:highlight w:val="none"/>
          <w:lang w:val="en-GB"/>
        </w:rPr>
      </w:pPr>
      <w:r>
        <w:rPr>
          <w:rFonts w:hint="eastAsia" w:ascii="宋体" w:hAnsi="宋体" w:eastAsia="宋体" w:cs="宋体"/>
          <w:color w:val="auto"/>
          <w:sz w:val="24"/>
          <w:szCs w:val="32"/>
          <w:highlight w:val="none"/>
          <w:lang w:val="zh-CN"/>
        </w:rPr>
        <w:t>1、</w:t>
      </w:r>
      <w:r>
        <w:rPr>
          <w:rFonts w:hint="eastAsia" w:ascii="宋体" w:hAnsi="宋体" w:eastAsia="宋体" w:cs="宋体"/>
          <w:color w:val="auto"/>
          <w:sz w:val="24"/>
          <w:szCs w:val="32"/>
          <w:highlight w:val="none"/>
          <w:lang w:val="en-GB"/>
        </w:rPr>
        <w:t>自磋商响应截止日起90天磋商响应文件应保持有效。有效期不足的磋商响应文件将被拒绝。</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2、在特殊情况下，采购人可与磋商供应商协商延长磋商响应文件的有效期，这种要求和答复均以书面形式进行。</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3、成交供应商的磋商响应文件自磋商之日起至合同履行完毕均应保持有效。</w:t>
      </w:r>
    </w:p>
    <w:p>
      <w:pPr>
        <w:shd w:val="clea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三、磋商</w:t>
      </w:r>
    </w:p>
    <w:p>
      <w:pPr>
        <w:shd w:val="clear"/>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（一）磋商事项</w:t>
      </w:r>
    </w:p>
    <w:p>
      <w:pPr>
        <w:shd w:val="clear"/>
        <w:spacing w:line="360" w:lineRule="auto"/>
        <w:ind w:firstLine="480" w:firstLineChars="200"/>
        <w:textAlignment w:val="baseline"/>
        <w:rPr>
          <w:rStyle w:val="39"/>
          <w:rFonts w:hint="eastAsia" w:ascii="宋体" w:hAnsi="宋体" w:eastAsia="宋体" w:cs="宋体"/>
          <w:color w:val="auto"/>
          <w:sz w:val="24"/>
          <w:szCs w:val="32"/>
          <w:highlight w:val="none"/>
        </w:rPr>
      </w:pPr>
      <w:r>
        <w:rPr>
          <w:rStyle w:val="39"/>
          <w:rFonts w:hint="eastAsia" w:ascii="宋体" w:hAnsi="宋体" w:eastAsia="宋体" w:cs="宋体"/>
          <w:color w:val="auto"/>
          <w:sz w:val="24"/>
          <w:szCs w:val="32"/>
          <w:highlight w:val="none"/>
        </w:rPr>
        <w:t>采购组织机构在“竞争性磋商公告”规定的时间和地点进行磋商。</w:t>
      </w:r>
    </w:p>
    <w:p>
      <w:pPr>
        <w:shd w:val="clear"/>
        <w:spacing w:line="360" w:lineRule="auto"/>
        <w:ind w:firstLine="480" w:firstLineChars="200"/>
        <w:textAlignment w:val="baseline"/>
        <w:rPr>
          <w:rStyle w:val="39"/>
          <w:rFonts w:hint="eastAsia" w:ascii="宋体" w:hAnsi="宋体" w:eastAsia="宋体" w:cs="宋体"/>
          <w:color w:val="auto"/>
          <w:sz w:val="24"/>
          <w:szCs w:val="32"/>
          <w:highlight w:val="none"/>
        </w:rPr>
      </w:pPr>
      <w:r>
        <w:rPr>
          <w:rStyle w:val="39"/>
          <w:rFonts w:hint="eastAsia" w:ascii="宋体" w:hAnsi="宋体" w:eastAsia="宋体" w:cs="宋体"/>
          <w:color w:val="auto"/>
          <w:sz w:val="24"/>
          <w:szCs w:val="32"/>
          <w:highlight w:val="none"/>
        </w:rPr>
        <w:t>磋商过程中出现以下情形，导致电子交易平台无法正常运行，或者无法保证电子交易的公平、公正和安全时，采购组织机构可中止电子交易活动：</w:t>
      </w:r>
    </w:p>
    <w:p>
      <w:pPr>
        <w:shd w:val="clear"/>
        <w:spacing w:line="360" w:lineRule="auto"/>
        <w:ind w:firstLine="480" w:firstLineChars="200"/>
        <w:textAlignment w:val="baseline"/>
        <w:rPr>
          <w:rStyle w:val="39"/>
          <w:rFonts w:hint="eastAsia" w:ascii="宋体" w:hAnsi="宋体" w:eastAsia="宋体" w:cs="宋体"/>
          <w:color w:val="auto"/>
          <w:sz w:val="24"/>
          <w:szCs w:val="32"/>
          <w:highlight w:val="none"/>
        </w:rPr>
      </w:pPr>
      <w:r>
        <w:rPr>
          <w:rStyle w:val="39"/>
          <w:rFonts w:hint="eastAsia" w:ascii="宋体" w:hAnsi="宋体" w:eastAsia="宋体" w:cs="宋体"/>
          <w:color w:val="auto"/>
          <w:sz w:val="24"/>
          <w:szCs w:val="32"/>
          <w:highlight w:val="none"/>
        </w:rPr>
        <w:t>（1）电子交易平台发生故障而无法登录访问的；</w:t>
      </w:r>
    </w:p>
    <w:p>
      <w:pPr>
        <w:shd w:val="clear"/>
        <w:spacing w:line="360" w:lineRule="auto"/>
        <w:ind w:firstLine="480" w:firstLineChars="200"/>
        <w:textAlignment w:val="baseline"/>
        <w:rPr>
          <w:rStyle w:val="39"/>
          <w:rFonts w:hint="eastAsia" w:ascii="宋体" w:hAnsi="宋体" w:eastAsia="宋体" w:cs="宋体"/>
          <w:color w:val="auto"/>
          <w:sz w:val="24"/>
          <w:szCs w:val="32"/>
          <w:highlight w:val="none"/>
        </w:rPr>
      </w:pPr>
      <w:r>
        <w:rPr>
          <w:rStyle w:val="39"/>
          <w:rFonts w:hint="eastAsia" w:ascii="宋体" w:hAnsi="宋体" w:eastAsia="宋体" w:cs="宋体"/>
          <w:color w:val="auto"/>
          <w:sz w:val="24"/>
          <w:szCs w:val="32"/>
          <w:highlight w:val="none"/>
        </w:rPr>
        <w:t>（2）电子交易平台应用或数据库出现错误，不能进行正常操作的；</w:t>
      </w:r>
    </w:p>
    <w:p>
      <w:pPr>
        <w:shd w:val="clear"/>
        <w:spacing w:line="360" w:lineRule="auto"/>
        <w:ind w:firstLine="480" w:firstLineChars="200"/>
        <w:textAlignment w:val="baseline"/>
        <w:rPr>
          <w:rStyle w:val="39"/>
          <w:rFonts w:hint="eastAsia" w:ascii="宋体" w:hAnsi="宋体" w:eastAsia="宋体" w:cs="宋体"/>
          <w:color w:val="auto"/>
          <w:sz w:val="24"/>
          <w:szCs w:val="32"/>
          <w:highlight w:val="none"/>
        </w:rPr>
      </w:pPr>
      <w:r>
        <w:rPr>
          <w:rStyle w:val="39"/>
          <w:rFonts w:hint="eastAsia" w:ascii="宋体" w:hAnsi="宋体" w:eastAsia="宋体" w:cs="宋体"/>
          <w:color w:val="auto"/>
          <w:sz w:val="24"/>
          <w:szCs w:val="32"/>
          <w:highlight w:val="none"/>
        </w:rPr>
        <w:t>（3）电子交易平台发现严重安全漏洞，有潜在泄密危险的；</w:t>
      </w:r>
    </w:p>
    <w:p>
      <w:pPr>
        <w:shd w:val="clear"/>
        <w:spacing w:line="360" w:lineRule="auto"/>
        <w:ind w:firstLine="480" w:firstLineChars="200"/>
        <w:textAlignment w:val="baseline"/>
        <w:rPr>
          <w:rStyle w:val="39"/>
          <w:rFonts w:hint="eastAsia" w:ascii="宋体" w:hAnsi="宋体" w:eastAsia="宋体" w:cs="宋体"/>
          <w:color w:val="auto"/>
          <w:sz w:val="24"/>
          <w:szCs w:val="32"/>
          <w:highlight w:val="none"/>
        </w:rPr>
      </w:pPr>
      <w:r>
        <w:rPr>
          <w:rStyle w:val="39"/>
          <w:rFonts w:hint="eastAsia" w:ascii="宋体" w:hAnsi="宋体" w:eastAsia="宋体" w:cs="宋体"/>
          <w:color w:val="auto"/>
          <w:sz w:val="24"/>
          <w:szCs w:val="32"/>
          <w:highlight w:val="none"/>
        </w:rPr>
        <w:t>（4）病毒导致不能进行正常操作的；</w:t>
      </w:r>
    </w:p>
    <w:p>
      <w:pPr>
        <w:shd w:val="clear"/>
        <w:spacing w:line="360" w:lineRule="auto"/>
        <w:ind w:firstLine="480" w:firstLineChars="200"/>
        <w:textAlignment w:val="baseline"/>
        <w:rPr>
          <w:rStyle w:val="39"/>
          <w:rFonts w:hint="eastAsia" w:ascii="宋体" w:hAnsi="宋体" w:eastAsia="宋体" w:cs="宋体"/>
          <w:color w:val="auto"/>
          <w:sz w:val="24"/>
          <w:szCs w:val="32"/>
          <w:highlight w:val="none"/>
        </w:rPr>
      </w:pPr>
      <w:r>
        <w:rPr>
          <w:rStyle w:val="39"/>
          <w:rFonts w:hint="eastAsia" w:ascii="宋体" w:hAnsi="宋体" w:eastAsia="宋体" w:cs="宋体"/>
          <w:color w:val="auto"/>
          <w:sz w:val="24"/>
          <w:szCs w:val="32"/>
          <w:highlight w:val="none"/>
        </w:rPr>
        <w:t>（5）其他无法保证电子交易的公平、公正和安全的情况。</w:t>
      </w:r>
    </w:p>
    <w:p>
      <w:pPr>
        <w:shd w:val="clear"/>
        <w:spacing w:line="360" w:lineRule="auto"/>
        <w:ind w:firstLine="480" w:firstLineChars="200"/>
        <w:textAlignment w:val="baseline"/>
        <w:rPr>
          <w:rStyle w:val="39"/>
          <w:rFonts w:hint="eastAsia" w:ascii="宋体" w:hAnsi="宋体" w:eastAsia="宋体" w:cs="宋体"/>
          <w:color w:val="auto"/>
          <w:sz w:val="24"/>
          <w:szCs w:val="32"/>
          <w:highlight w:val="none"/>
        </w:rPr>
      </w:pPr>
      <w:r>
        <w:rPr>
          <w:rStyle w:val="39"/>
          <w:rFonts w:hint="eastAsia" w:ascii="宋体" w:hAnsi="宋体" w:eastAsia="宋体" w:cs="宋体"/>
          <w:color w:val="auto"/>
          <w:sz w:val="24"/>
          <w:szCs w:val="32"/>
          <w:highlight w:val="none"/>
        </w:rPr>
        <w:t>出现前款规定情形，不影响采购公平、公正性的，采购组织机构可以待上述情形消除后继续组织电子交易活动，也可以决定某些环节以纸质形式进行；影响或可能影响采购公平、公正性的，应当重新采购。</w:t>
      </w:r>
    </w:p>
    <w:p>
      <w:pPr>
        <w:shd w:val="clear"/>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（二）磋商程序</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1、采购组织机构将在“磋商公告”规定的时间和地点进行磋商，磋商采购会议由采购组织机构工作人员主持。</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主持人宣布磋商采购会议开始，介绍磋商现场的人员情况，宣读提交磋商响应文件的供应商名单、磋商纪律、应当回避的情形等注意事项，组织供应商签署不存在影响公平竞争的《政府采购活动确认声明书》。</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3、向各供应商发出电子加密响应文件【开始解密】通知，由供应商按磋商文件规定的时间内自行进行响应文件解密。磋商响应文件的制作和解密应使用同一个数字证书，否则将可能解密失败。</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4、采购组织机构点击【开启标书信息】，开启标书成功后进入</w:t>
      </w:r>
      <w:r>
        <w:rPr>
          <w:rFonts w:hint="eastAsia" w:ascii="宋体" w:hAnsi="宋体" w:eastAsia="宋体" w:cs="宋体"/>
          <w:color w:val="auto"/>
          <w:sz w:val="24"/>
          <w:szCs w:val="32"/>
          <w:highlight w:val="none"/>
        </w:rPr>
        <w:t>磋商</w:t>
      </w:r>
      <w:r>
        <w:rPr>
          <w:rFonts w:hint="eastAsia" w:ascii="宋体" w:hAnsi="宋体" w:eastAsia="宋体" w:cs="宋体"/>
          <w:color w:val="auto"/>
          <w:sz w:val="24"/>
          <w:szCs w:val="32"/>
          <w:highlight w:val="none"/>
          <w:lang w:val="zh-CN"/>
        </w:rPr>
        <w:t>流程。</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5、磋商小组必须按照客观、公正、审慎的原则，根据磋商文件规定的评审程序、评审方法和评审标准进行独立评审。未实质性响应磋商文件的响应文件按无效响应处理，磋商小组应当告知提交响应文件的供应商。</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6</w:t>
      </w:r>
      <w:r>
        <w:rPr>
          <w:rFonts w:hint="eastAsia" w:ascii="宋体" w:hAnsi="宋体" w:eastAsia="宋体" w:cs="宋体"/>
          <w:color w:val="auto"/>
          <w:sz w:val="24"/>
          <w:szCs w:val="32"/>
          <w:highlight w:val="none"/>
          <w:lang w:val="zh-CN"/>
        </w:rPr>
        <w:t>、磋商小组所有成员集中与单一供应商分别进行磋商，并给予所有参加磋商的供应商平等的磋商机会。</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7</w:t>
      </w:r>
      <w:r>
        <w:rPr>
          <w:rFonts w:hint="eastAsia" w:ascii="宋体" w:hAnsi="宋体" w:eastAsia="宋体" w:cs="宋体"/>
          <w:color w:val="auto"/>
          <w:sz w:val="24"/>
          <w:szCs w:val="32"/>
          <w:highlight w:val="none"/>
          <w:lang w:val="zh-CN"/>
        </w:rPr>
        <w:t>、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当及时以书面形式同时通知所有参加磋商的供应商。供应商应当按照磋商文件的变动情况和磋商小组的要求重新提交响应文件，并由其法定代表人（单位负责人）或授权委托代理人签字或者加盖公章。</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8</w:t>
      </w:r>
      <w:r>
        <w:rPr>
          <w:rFonts w:hint="eastAsia" w:ascii="宋体" w:hAnsi="宋体" w:eastAsia="宋体" w:cs="宋体"/>
          <w:color w:val="auto"/>
          <w:sz w:val="24"/>
          <w:szCs w:val="32"/>
          <w:highlight w:val="none"/>
          <w:lang w:val="zh-CN"/>
        </w:rPr>
        <w:t xml:space="preserve">、磋商文件能够详细列明采购标的技术、服务要求的，磋商结束后，磋商小组将要求所有实质性响应的供应商在规定时间内提交最后报价，最后报价是供应商响应文件的有效组成部分。 </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9</w:t>
      </w:r>
      <w:r>
        <w:rPr>
          <w:rFonts w:hint="eastAsia" w:ascii="宋体" w:hAnsi="宋体" w:eastAsia="宋体" w:cs="宋体"/>
          <w:color w:val="auto"/>
          <w:sz w:val="24"/>
          <w:szCs w:val="32"/>
          <w:highlight w:val="none"/>
          <w:lang w:val="zh-CN"/>
        </w:rPr>
        <w:t>、经磋商确定最终采购需求和提交最后报价的供应商后，由磋商小组采用综合评分法对提交最后报价的供应商的响应文件和最后报价进行综合评分。</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w:t>
      </w:r>
      <w:r>
        <w:rPr>
          <w:rFonts w:hint="eastAsia" w:ascii="宋体" w:hAnsi="宋体" w:eastAsia="宋体" w:cs="宋体"/>
          <w:color w:val="auto"/>
          <w:sz w:val="24"/>
          <w:szCs w:val="32"/>
          <w:highlight w:val="none"/>
        </w:rPr>
        <w:t>0</w:t>
      </w:r>
      <w:r>
        <w:rPr>
          <w:rFonts w:hint="eastAsia" w:ascii="宋体" w:hAnsi="宋体" w:eastAsia="宋体" w:cs="宋体"/>
          <w:color w:val="auto"/>
          <w:sz w:val="24"/>
          <w:szCs w:val="32"/>
          <w:highlight w:val="none"/>
          <w:lang w:val="zh-CN"/>
        </w:rPr>
        <w:t>、磋商小组根据综合评分情况，按照评审得分由高到低顺序确定预成交供应商，编写评审报告。</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w:t>
      </w:r>
      <w:r>
        <w:rPr>
          <w:rFonts w:hint="eastAsia" w:ascii="宋体" w:hAnsi="宋体" w:eastAsia="宋体" w:cs="宋体"/>
          <w:color w:val="auto"/>
          <w:sz w:val="24"/>
          <w:szCs w:val="32"/>
          <w:highlight w:val="none"/>
        </w:rPr>
        <w:t>1</w:t>
      </w:r>
      <w:r>
        <w:rPr>
          <w:rFonts w:hint="eastAsia" w:ascii="宋体" w:hAnsi="宋体" w:eastAsia="宋体" w:cs="宋体"/>
          <w:color w:val="auto"/>
          <w:sz w:val="24"/>
          <w:szCs w:val="32"/>
          <w:highlight w:val="none"/>
          <w:lang w:val="zh-CN"/>
        </w:rPr>
        <w:t>、采购组织机构对磋商小组专家成员进行评价。</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w:t>
      </w:r>
      <w:r>
        <w:rPr>
          <w:rFonts w:hint="eastAsia" w:ascii="宋体" w:hAnsi="宋体" w:eastAsia="宋体" w:cs="宋体"/>
          <w:color w:val="auto"/>
          <w:sz w:val="24"/>
          <w:szCs w:val="32"/>
          <w:highlight w:val="none"/>
        </w:rPr>
        <w:t>2</w:t>
      </w:r>
      <w:r>
        <w:rPr>
          <w:rFonts w:hint="eastAsia" w:ascii="宋体" w:hAnsi="宋体" w:eastAsia="宋体" w:cs="宋体"/>
          <w:color w:val="auto"/>
          <w:sz w:val="24"/>
          <w:szCs w:val="32"/>
          <w:highlight w:val="none"/>
          <w:lang w:val="zh-CN"/>
        </w:rPr>
        <w:t>、主持人到磋商采购会现场宣布磋商结果（含技术得分、最后报价、报价得分及总得分），磋商采购会议结束。</w:t>
      </w:r>
    </w:p>
    <w:p>
      <w:pPr>
        <w:shd w:val="clear"/>
        <w:spacing w:line="360" w:lineRule="auto"/>
        <w:jc w:val="left"/>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特别说明：如遇政采云平台电子化开标或评审程序调整的，按调整后程序执行。</w:t>
      </w:r>
    </w:p>
    <w:p>
      <w:pPr>
        <w:shd w:val="clear"/>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（三）澄清问题的形式</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磋商供应商的澄清、说明或者补正应当采用书面形式，并加盖公章，或者由法定代理人或其授权的代表签字，并不得超出磋商响应文件的范围或者改变磋商响应文件的实质性内容。</w:t>
      </w:r>
    </w:p>
    <w:p>
      <w:pPr>
        <w:shd w:val="clear"/>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（四）错误修正</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磋商响应文件报价出现前后不一致的，除磋商采购文件另有规定外，按照下列规定修正：</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1、磋商响应文件中首次报价一览表内容与磋商响应文件中相应内容不一致的，以首次报价一览表为准；</w:t>
      </w:r>
      <w:r>
        <w:rPr>
          <w:rFonts w:hint="eastAsia" w:ascii="宋体" w:hAnsi="宋体" w:eastAsia="宋体" w:cs="宋体"/>
          <w:color w:val="auto"/>
          <w:sz w:val="24"/>
          <w:szCs w:val="32"/>
          <w:highlight w:val="none"/>
        </w:rPr>
        <w:t>政采云平台客户端里开标一览表录入的投标报价信息与扫描上传的报价响应文件中首次报价一览表的报价信息不一致的，以扫描上传的报价响应文件中</w:t>
      </w:r>
      <w:r>
        <w:rPr>
          <w:rFonts w:hint="eastAsia" w:ascii="宋体" w:hAnsi="宋体" w:eastAsia="宋体" w:cs="宋体"/>
          <w:color w:val="auto"/>
          <w:sz w:val="24"/>
          <w:szCs w:val="32"/>
          <w:highlight w:val="none"/>
          <w:lang w:val="zh-CN"/>
        </w:rPr>
        <w:t>首次报价一览表</w:t>
      </w:r>
      <w:r>
        <w:rPr>
          <w:rFonts w:hint="eastAsia" w:ascii="宋体" w:hAnsi="宋体" w:eastAsia="宋体" w:cs="宋体"/>
          <w:color w:val="auto"/>
          <w:sz w:val="24"/>
          <w:szCs w:val="32"/>
          <w:highlight w:val="none"/>
        </w:rPr>
        <w:t>的报价信息为准，修正政采云平台上的报价信息；</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2、大写金额和小写金额不一致的，以大写金额为准；</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3、单价金额小数点或者百分比有明显错位的，以首次报价一览表的总价为准，并修改单价；</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4、总价金额与按单价汇总金额不一致的，以单价金额计算结果为准。</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同时出现两种以上不一致的，按照前款规定的顺序修正。修正应当采用书面形式，并加盖公章，或者由法定代表人（单位负责人）或其授权的代表签字。修正后的报价经磋商供应商确认后产生约束力，磋商供应商不确认的，将终止磋商。</w:t>
      </w:r>
    </w:p>
    <w:p>
      <w:pPr>
        <w:shd w:val="clear"/>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（五）磋商供应商存在下列情况之一的，响应无效，终止磋商：</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1、磋商响应文件中的商务与技术内容中的</w:t>
      </w:r>
      <w:r>
        <w:rPr>
          <w:rFonts w:hint="eastAsia" w:ascii="宋体" w:hAnsi="宋体" w:eastAsia="宋体" w:cs="宋体"/>
          <w:color w:val="auto"/>
          <w:sz w:val="24"/>
          <w:szCs w:val="32"/>
          <w:highlight w:val="none"/>
        </w:rPr>
        <w:t>服务</w:t>
      </w:r>
      <w:r>
        <w:rPr>
          <w:rFonts w:hint="eastAsia" w:ascii="宋体" w:hAnsi="宋体" w:eastAsia="宋体" w:cs="宋体"/>
          <w:color w:val="auto"/>
          <w:sz w:val="24"/>
          <w:szCs w:val="32"/>
          <w:highlight w:val="none"/>
          <w:lang w:val="zh-CN"/>
        </w:rPr>
        <w:t>出现重大偏差的；</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2、不具备磋商采购文件中规定的资格要求的。</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3、磋商响应文件含有采购人不能接受的附加条件的。</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4、供应商代表人未能出具身份证明或与法定代表人（单位负责人）授权委托代理人身份不符的；</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5、磋商小组认为供应商的报价明显低于其他通过符合性审查供应商的报价，有可能影响诚信履约的，应当要求其在评审现场合理的时间内提供书面说明，必要时提交相关证明材料；供应商不能证明其报价合理性的，磋商小组应当与其终止磋商。</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6、报价超过磋商采购文件中规定的预算金额/最高限价。</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7、磋商参数未如实填写，完全复制粘贴磋商采购参数的。</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8、磋商响应文件提供虚假材料的。</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9、不同供应商的磋商响应文件由同一单位或者个人编制；</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10、不同供应商委托同一单位或者个人办理磋商事宜；</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11、不同供应商的磋商响应文件载明的项目管理成员或者联系人员为同一人；</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12、不同供应商的磋商响应文件异常一致或者报价呈规律性差异；</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13、不同供应商的磋商响应文件相互混装；</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14、不符合法律、法规和磋商采购文件中规定的其他实质性要求的（磋商采购文件中打“▲”内容及被拒绝的条款）。</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w:t>
      </w:r>
      <w:r>
        <w:rPr>
          <w:rFonts w:hint="eastAsia" w:ascii="宋体" w:hAnsi="宋体" w:eastAsia="宋体" w:cs="宋体"/>
          <w:color w:val="auto"/>
          <w:sz w:val="24"/>
          <w:szCs w:val="32"/>
          <w:highlight w:val="none"/>
        </w:rPr>
        <w:t>5</w:t>
      </w:r>
      <w:r>
        <w:rPr>
          <w:rFonts w:hint="eastAsia" w:ascii="宋体" w:hAnsi="宋体" w:eastAsia="宋体" w:cs="宋体"/>
          <w:color w:val="auto"/>
          <w:sz w:val="24"/>
          <w:szCs w:val="32"/>
          <w:highlight w:val="none"/>
          <w:lang w:val="zh-CN"/>
        </w:rPr>
        <w:t>、未传输递交电子响应文件的。</w:t>
      </w:r>
    </w:p>
    <w:p>
      <w:pPr>
        <w:shd w:val="clear"/>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（六）有下列情况之一的，本次磋商终止：</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1、出现影响采购公正的违法、违规行为的；</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 xml:space="preserve">2、磋商小组发现磋商文件存在歧义、重大缺陷导致评审工作无法进行，或者磋商文件内容违反国家有关强制性规定的； </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3、因重大变故，采购任务取消的；</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4、法律、法规和磋商文件规定的其他导致评审结果无效的。</w:t>
      </w:r>
    </w:p>
    <w:p>
      <w:pPr>
        <w:shd w:val="clear"/>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（七）磋商原则和方法</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2、磋商办法。具体磋商内容及评分标准等详见《第三部分 评审办法及评审标准》。</w:t>
      </w:r>
    </w:p>
    <w:p>
      <w:pPr>
        <w:shd w:val="clear"/>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（八）评审过程的监控</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本项目评审过程实行全程录音、录像监控，政府采购监管部门视情进行现场监督，供应商在评审过程中所进行的试图影响评审结果的不公正活动，可能导致其被拒绝磋商。</w:t>
      </w:r>
    </w:p>
    <w:p>
      <w:pPr>
        <w:shd w:val="clea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四、磋商结果确定</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2、发布成交结果公告。采购组织机构应当在成交供应商确定后2个工作日内，在省级以上财政部门指定的政府采购信息发布媒体及相关网站上公告成交结果，并将磋商文件随同公告。</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3、发出成交通知书。采购组织机构在发布成交结果同时，向成交供应商发出成交通知书。</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4、成交供应商在领取通知书之后，应向招标代理机构交纳招标代理服务费。若中标人未在约定时间内支付招标代理服务费，从逾期之日起按日利率千分之一承担违约金。若成交供应商未按上述规定办理，需承担招标代理机构为实现债权的所有费用（包括但不限于律师费、催讨车旅费、保全担保费等）。</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5、标代理费用：招标代理服务收费采用差额定率累进计费方式按照下列表格中类别标准向中标单位收取招标代理费，中标方须在中标通知书发出5日内一次性付清。（户名：</w:t>
      </w:r>
      <w:r>
        <w:rPr>
          <w:rFonts w:hint="eastAsia" w:ascii="宋体" w:hAnsi="宋体" w:eastAsia="宋体" w:cs="宋体"/>
          <w:color w:val="auto"/>
          <w:sz w:val="24"/>
          <w:szCs w:val="32"/>
          <w:highlight w:val="none"/>
          <w:lang w:eastAsia="zh-CN"/>
        </w:rPr>
        <w:t>浙江五石中正工程咨询有限公司</w:t>
      </w:r>
      <w:r>
        <w:rPr>
          <w:rFonts w:hint="eastAsia" w:ascii="宋体" w:hAnsi="宋体" w:eastAsia="宋体" w:cs="宋体"/>
          <w:color w:val="auto"/>
          <w:sz w:val="24"/>
          <w:szCs w:val="32"/>
          <w:highlight w:val="none"/>
        </w:rPr>
        <w:t>；账号：1202003209900014176；开户银行：中国工商银行杭州潮王路支行）财务电话：0571-88271625。</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5"/>
        <w:gridCol w:w="1777"/>
        <w:gridCol w:w="1640"/>
        <w:gridCol w:w="2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服务类型、费率、中标金额（万元）</w:t>
            </w:r>
          </w:p>
        </w:tc>
        <w:tc>
          <w:tcPr>
            <w:tcW w:w="1777"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货物招标</w:t>
            </w:r>
          </w:p>
        </w:tc>
        <w:tc>
          <w:tcPr>
            <w:tcW w:w="1640"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服务招标</w:t>
            </w:r>
          </w:p>
        </w:tc>
        <w:tc>
          <w:tcPr>
            <w:tcW w:w="2119"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100以下</w:t>
            </w:r>
          </w:p>
        </w:tc>
        <w:tc>
          <w:tcPr>
            <w:tcW w:w="1777"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1.50%</w:t>
            </w:r>
          </w:p>
        </w:tc>
        <w:tc>
          <w:tcPr>
            <w:tcW w:w="1640"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1.50%</w:t>
            </w:r>
          </w:p>
        </w:tc>
        <w:tc>
          <w:tcPr>
            <w:tcW w:w="2119"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100-500</w:t>
            </w:r>
          </w:p>
        </w:tc>
        <w:tc>
          <w:tcPr>
            <w:tcW w:w="1777"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1.10%</w:t>
            </w:r>
          </w:p>
        </w:tc>
        <w:tc>
          <w:tcPr>
            <w:tcW w:w="1640"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0.80%</w:t>
            </w:r>
          </w:p>
        </w:tc>
        <w:tc>
          <w:tcPr>
            <w:tcW w:w="2119"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500-1000</w:t>
            </w:r>
          </w:p>
        </w:tc>
        <w:tc>
          <w:tcPr>
            <w:tcW w:w="1777"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0.80%</w:t>
            </w:r>
          </w:p>
        </w:tc>
        <w:tc>
          <w:tcPr>
            <w:tcW w:w="1640"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0.45%</w:t>
            </w:r>
          </w:p>
        </w:tc>
        <w:tc>
          <w:tcPr>
            <w:tcW w:w="2119"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1000-5000</w:t>
            </w:r>
          </w:p>
        </w:tc>
        <w:tc>
          <w:tcPr>
            <w:tcW w:w="1777"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0.50%</w:t>
            </w:r>
          </w:p>
        </w:tc>
        <w:tc>
          <w:tcPr>
            <w:tcW w:w="1640"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0.25%</w:t>
            </w:r>
          </w:p>
        </w:tc>
        <w:tc>
          <w:tcPr>
            <w:tcW w:w="2119"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5000-10000</w:t>
            </w:r>
          </w:p>
        </w:tc>
        <w:tc>
          <w:tcPr>
            <w:tcW w:w="1777"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0.25%</w:t>
            </w:r>
          </w:p>
        </w:tc>
        <w:tc>
          <w:tcPr>
            <w:tcW w:w="1640"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0.10%</w:t>
            </w:r>
          </w:p>
        </w:tc>
        <w:tc>
          <w:tcPr>
            <w:tcW w:w="2119"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935"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10000-100000</w:t>
            </w:r>
          </w:p>
        </w:tc>
        <w:tc>
          <w:tcPr>
            <w:tcW w:w="1777"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0.05%</w:t>
            </w:r>
          </w:p>
        </w:tc>
        <w:tc>
          <w:tcPr>
            <w:tcW w:w="1640"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0.05%</w:t>
            </w:r>
          </w:p>
        </w:tc>
        <w:tc>
          <w:tcPr>
            <w:tcW w:w="2119"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2935"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100000以上</w:t>
            </w:r>
          </w:p>
        </w:tc>
        <w:tc>
          <w:tcPr>
            <w:tcW w:w="1777"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0.01%</w:t>
            </w:r>
          </w:p>
        </w:tc>
        <w:tc>
          <w:tcPr>
            <w:tcW w:w="1640"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0.01%</w:t>
            </w:r>
          </w:p>
        </w:tc>
        <w:tc>
          <w:tcPr>
            <w:tcW w:w="2119"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0.01%</w:t>
            </w:r>
          </w:p>
        </w:tc>
      </w:tr>
    </w:tbl>
    <w:p>
      <w:pPr>
        <w:shd w:val="clear"/>
        <w:spacing w:line="360" w:lineRule="auto"/>
        <w:ind w:firstLine="480" w:firstLineChars="200"/>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五、合同签订及公告</w:t>
      </w:r>
    </w:p>
    <w:p>
      <w:pPr>
        <w:shd w:val="clear"/>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（一）签订合同</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1、采购人应当自成交通知书发出之日起</w:t>
      </w:r>
      <w:r>
        <w:rPr>
          <w:rFonts w:hint="eastAsia" w:ascii="宋体" w:hAnsi="宋体" w:eastAsia="宋体" w:cs="宋体"/>
          <w:color w:val="auto"/>
          <w:sz w:val="24"/>
          <w:szCs w:val="32"/>
          <w:highlight w:val="none"/>
        </w:rPr>
        <w:t>3</w:t>
      </w:r>
      <w:r>
        <w:rPr>
          <w:rFonts w:hint="eastAsia" w:ascii="宋体" w:hAnsi="宋体" w:eastAsia="宋体" w:cs="宋体"/>
          <w:color w:val="auto"/>
          <w:sz w:val="24"/>
          <w:szCs w:val="32"/>
          <w:highlight w:val="none"/>
          <w:lang w:val="zh-CN"/>
        </w:rPr>
        <w:t>0</w:t>
      </w:r>
      <w:r>
        <w:rPr>
          <w:rFonts w:hint="eastAsia" w:ascii="宋体" w:hAnsi="宋体" w:eastAsia="宋体" w:cs="宋体"/>
          <w:color w:val="auto"/>
          <w:sz w:val="24"/>
          <w:szCs w:val="32"/>
          <w:highlight w:val="none"/>
        </w:rPr>
        <w:t>天</w:t>
      </w:r>
      <w:r>
        <w:rPr>
          <w:rFonts w:hint="eastAsia" w:ascii="宋体" w:hAnsi="宋体" w:eastAsia="宋体" w:cs="宋体"/>
          <w:color w:val="auto"/>
          <w:sz w:val="24"/>
          <w:szCs w:val="32"/>
          <w:highlight w:val="none"/>
          <w:lang w:val="zh-CN"/>
        </w:rPr>
        <w:t>内，按照磋商采购文件确定的合同文本以及采购标的、采购金额、采购数量和服务要求等事项签订政府采购合同。</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2、采购人不得向成交供应商提出超出磋商文件以外的任何要求作为签订合同的条件，不得与成交供应商订立背离磋商文件确定的合同文本以及采购标的、采购金额、采购数量和服务要求等实质性内容的协议。</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3、成交供应商无故拖延、拒签合同的，采购人可以按照评审报告推荐的成交候选供应商名单排序，确定下一候选供应商为成交供应商，也可以重新开展政府采购活动。同时，拒绝与采购人签订合同的供应商，由同级财政部门依法做出处理。</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4</w:t>
      </w:r>
      <w:r>
        <w:rPr>
          <w:rFonts w:hint="eastAsia" w:ascii="宋体" w:hAnsi="宋体" w:eastAsia="宋体" w:cs="宋体"/>
          <w:color w:val="auto"/>
          <w:sz w:val="24"/>
          <w:szCs w:val="32"/>
          <w:highlight w:val="none"/>
          <w:lang w:val="zh-CN"/>
        </w:rPr>
        <w:t>、询问或者质疑事项可能影响成交结果的，采购人应当暂停签订合同，已经签订合同的，应当中止履行合同（成交结果的质疑期为成交结果公告期限届满之日起七个工作日）。</w:t>
      </w:r>
    </w:p>
    <w:p>
      <w:pPr>
        <w:shd w:val="clear"/>
        <w:spacing w:line="360" w:lineRule="auto"/>
        <w:ind w:firstLine="241" w:firstLineChars="100"/>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（二）合同公告及备案</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1、采购人应当自政府采购合同签订之日起2个工作日内，在省级以上财政部门指定的政府采购信息发布媒体及相关网站上公告。</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2、采购人应当自政府采购合同签订之日起7个工作日内，将政府采购合同副本报同级人民政府财政部门备案以及采购组织机构存档。</w:t>
      </w: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第三部分 评审办法及评审标准</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一、采购组织机构将组织磋商小组，磋商小组由3人以上单数组成，对供应商提供的磋商响应文件进行综合评审。 </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二、本次磋商项目的评审方法为</w:t>
      </w:r>
      <w:r>
        <w:rPr>
          <w:rFonts w:hint="eastAsia" w:ascii="宋体" w:hAnsi="宋体" w:eastAsia="宋体" w:cs="宋体"/>
          <w:b/>
          <w:bCs/>
          <w:color w:val="auto"/>
          <w:sz w:val="24"/>
          <w:szCs w:val="32"/>
          <w:highlight w:val="none"/>
        </w:rPr>
        <w:t>综合评分法</w:t>
      </w:r>
      <w:r>
        <w:rPr>
          <w:rFonts w:hint="eastAsia" w:ascii="宋体" w:hAnsi="宋体" w:eastAsia="宋体" w:cs="宋体"/>
          <w:color w:val="auto"/>
          <w:sz w:val="24"/>
          <w:szCs w:val="32"/>
          <w:highlight w:val="none"/>
        </w:rPr>
        <w:t>，总计100分。</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（一）商务与技术文件中的客观分由磋商小组讨论后统一打分；其余在规定的分值内单独评定打分。</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（二）各磋商供应商商务与技术文件得分按照磋商小组成员的独立评分结果汇总后的算术平均分计算，计算公式为：</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商务与技术文件得分=磋商小组所有成员评分合计数/磋商小组组成人员数。</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（三）综合评分法中的价格分统一采用低价优先法计算，即满足磋商文件要求通过一轮磋商且最后报价最低的供应商的价格作为磋商基准价，其报价得满分。其他供应商的价格分统一按照下列公式计算：</w:t>
      </w:r>
    </w:p>
    <w:p>
      <w:pPr>
        <w:shd w:val="clear" w:color="auto" w:fill="auto"/>
        <w:spacing w:line="360" w:lineRule="auto"/>
        <w:ind w:firstLine="482" w:firstLineChars="200"/>
        <w:rPr>
          <w:rFonts w:hint="eastAsia" w:ascii="宋体" w:hAnsi="宋体" w:eastAsia="宋体" w:cs="宋体"/>
          <w:b/>
          <w:bCs/>
          <w:color w:val="auto"/>
          <w:sz w:val="24"/>
          <w:szCs w:val="32"/>
          <w:highlight w:val="none"/>
          <w:u w:val="single"/>
        </w:rPr>
      </w:pPr>
      <w:r>
        <w:rPr>
          <w:rFonts w:hint="eastAsia" w:ascii="宋体" w:hAnsi="宋体" w:eastAsia="宋体" w:cs="宋体"/>
          <w:b/>
          <w:bCs/>
          <w:color w:val="auto"/>
          <w:sz w:val="24"/>
          <w:szCs w:val="32"/>
          <w:highlight w:val="none"/>
          <w:u w:val="single"/>
        </w:rPr>
        <w:t>投标报价得分=（评标基准价/投标报价）×</w:t>
      </w:r>
      <w:r>
        <w:rPr>
          <w:rFonts w:hint="eastAsia" w:ascii="宋体" w:hAnsi="宋体" w:eastAsia="宋体" w:cs="宋体"/>
          <w:b/>
          <w:bCs/>
          <w:color w:val="auto"/>
          <w:sz w:val="24"/>
          <w:szCs w:val="32"/>
          <w:highlight w:val="none"/>
          <w:u w:val="single"/>
          <w:lang w:val="en-US" w:eastAsia="zh-CN"/>
        </w:rPr>
        <w:t>15</w:t>
      </w:r>
      <w:r>
        <w:rPr>
          <w:rFonts w:hint="eastAsia" w:ascii="宋体" w:hAnsi="宋体" w:eastAsia="宋体" w:cs="宋体"/>
          <w:b/>
          <w:bCs/>
          <w:color w:val="auto"/>
          <w:sz w:val="24"/>
          <w:szCs w:val="32"/>
          <w:highlight w:val="none"/>
          <w:u w:val="single"/>
        </w:rPr>
        <w:t>%×100 。</w:t>
      </w:r>
    </w:p>
    <w:p>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注：得分以系统计算为准，保留2位小数。</w:t>
      </w:r>
    </w:p>
    <w:p>
      <w:pPr>
        <w:shd w:val="clear"/>
        <w:spacing w:line="360" w:lineRule="auto"/>
        <w:ind w:firstLine="240" w:firstLineChars="1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（四）投标人综合得分＝商务技术文件得分＋投标报价得分。</w:t>
      </w:r>
    </w:p>
    <w:p>
      <w:pPr>
        <w:shd w:val="clear"/>
        <w:autoSpaceDE w:val="0"/>
        <w:autoSpaceDN w:val="0"/>
        <w:spacing w:line="360" w:lineRule="auto"/>
        <w:ind w:firstLine="240" w:firstLineChars="100"/>
        <w:rPr>
          <w:rFonts w:hint="eastAsia" w:ascii="宋体" w:hAnsi="宋体" w:eastAsia="宋体" w:cs="宋体"/>
          <w:color w:val="auto"/>
          <w:kern w:val="0"/>
          <w:sz w:val="24"/>
          <w:highlight w:val="none"/>
          <w:lang w:val="zh-CN"/>
        </w:rPr>
      </w:pPr>
      <w:r>
        <w:rPr>
          <w:rFonts w:hint="eastAsia" w:ascii="宋体" w:hAnsi="宋体" w:eastAsia="宋体" w:cs="宋体"/>
          <w:color w:val="auto"/>
          <w:sz w:val="24"/>
          <w:szCs w:val="32"/>
          <w:highlight w:val="none"/>
          <w:lang w:val="en-US" w:eastAsia="zh-CN"/>
        </w:rPr>
        <w:t>（五）</w:t>
      </w:r>
      <w:r>
        <w:rPr>
          <w:rFonts w:hint="eastAsia" w:ascii="宋体" w:hAnsi="宋体" w:eastAsia="宋体" w:cs="宋体"/>
          <w:color w:val="auto"/>
          <w:kern w:val="0"/>
          <w:sz w:val="24"/>
          <w:highlight w:val="none"/>
          <w:lang w:val="zh-CN"/>
        </w:rPr>
        <w:t>政府采购政策及优惠：</w:t>
      </w:r>
    </w:p>
    <w:p>
      <w:pPr>
        <w:shd w:val="clear"/>
        <w:autoSpaceDE w:val="0"/>
        <w:autoSpaceDN w:val="0"/>
        <w:spacing w:line="360" w:lineRule="auto"/>
        <w:ind w:firstLine="482" w:firstLineChars="200"/>
        <w:rPr>
          <w:rFonts w:hint="eastAsia" w:ascii="宋体" w:hAnsi="宋体" w:eastAsia="宋体" w:cs="宋体"/>
          <w:color w:val="auto"/>
          <w:sz w:val="24"/>
          <w:szCs w:val="32"/>
          <w:highlight w:val="none"/>
          <w:lang w:val="zh-CN"/>
        </w:rPr>
      </w:pPr>
      <w:r>
        <w:rPr>
          <w:rFonts w:hint="eastAsia" w:ascii="宋体" w:hAnsi="宋体" w:eastAsia="宋体" w:cs="宋体"/>
          <w:b/>
          <w:bCs/>
          <w:color w:val="auto"/>
          <w:kern w:val="0"/>
          <w:sz w:val="24"/>
          <w:highlight w:val="none"/>
        </w:rPr>
        <w:t>本项目专门面向中小</w:t>
      </w:r>
      <w:r>
        <w:rPr>
          <w:rFonts w:hint="eastAsia" w:ascii="宋体" w:hAnsi="宋体" w:eastAsia="宋体" w:cs="宋体"/>
          <w:b/>
          <w:bCs/>
          <w:color w:val="auto"/>
          <w:kern w:val="0"/>
          <w:sz w:val="24"/>
          <w:highlight w:val="none"/>
          <w:lang w:val="en-US" w:eastAsia="zh-CN"/>
        </w:rPr>
        <w:t>微</w:t>
      </w:r>
      <w:r>
        <w:rPr>
          <w:rFonts w:hint="eastAsia" w:ascii="宋体" w:hAnsi="宋体" w:eastAsia="宋体" w:cs="宋体"/>
          <w:b/>
          <w:bCs/>
          <w:color w:val="auto"/>
          <w:kern w:val="0"/>
          <w:sz w:val="24"/>
          <w:highlight w:val="none"/>
        </w:rPr>
        <w:t>企业采购，价格评审时，</w:t>
      </w:r>
      <w:r>
        <w:rPr>
          <w:rFonts w:hint="eastAsia" w:ascii="宋体" w:hAnsi="宋体" w:eastAsia="宋体" w:cs="宋体"/>
          <w:b/>
          <w:bCs/>
          <w:color w:val="auto"/>
          <w:kern w:val="0"/>
          <w:sz w:val="24"/>
          <w:highlight w:val="none"/>
          <w:lang w:eastAsia="zh-CN"/>
        </w:rPr>
        <w:t>中</w:t>
      </w:r>
      <w:r>
        <w:rPr>
          <w:rFonts w:hint="eastAsia" w:ascii="宋体" w:hAnsi="宋体" w:eastAsia="宋体" w:cs="宋体"/>
          <w:b/>
          <w:bCs/>
          <w:color w:val="auto"/>
          <w:kern w:val="0"/>
          <w:sz w:val="24"/>
          <w:highlight w:val="none"/>
        </w:rPr>
        <w:t>小</w:t>
      </w:r>
      <w:r>
        <w:rPr>
          <w:rFonts w:hint="eastAsia" w:ascii="宋体" w:hAnsi="宋体" w:eastAsia="宋体" w:cs="宋体"/>
          <w:b/>
          <w:bCs/>
          <w:color w:val="auto"/>
          <w:kern w:val="0"/>
          <w:sz w:val="24"/>
          <w:highlight w:val="none"/>
          <w:lang w:val="en-US" w:eastAsia="zh-CN"/>
        </w:rPr>
        <w:t>微</w:t>
      </w:r>
      <w:r>
        <w:rPr>
          <w:rFonts w:hint="eastAsia" w:ascii="宋体" w:hAnsi="宋体" w:eastAsia="宋体" w:cs="宋体"/>
          <w:b/>
          <w:bCs/>
          <w:color w:val="auto"/>
          <w:kern w:val="0"/>
          <w:sz w:val="24"/>
          <w:highlight w:val="none"/>
        </w:rPr>
        <w:t>企业的投标价格不做扣除。</w:t>
      </w:r>
    </w:p>
    <w:p>
      <w:pPr>
        <w:shd w:val="clear"/>
        <w:autoSpaceDE w:val="0"/>
        <w:autoSpaceDN w:val="0"/>
        <w:spacing w:line="360" w:lineRule="auto"/>
        <w:ind w:firstLine="480" w:firstLineChars="200"/>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注：得分以系统计算为准，保留2位小数。</w:t>
      </w:r>
    </w:p>
    <w:p>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三、在最大限度地满足磋商文件实质性要求前提下，磋商小组按照磋商文件中规定的各项因素进行综合评审后，按照评审得分由高到低顺序推荐3名成交候选供应商，以评标总得分最高的供应商</w:t>
      </w:r>
      <w:r>
        <w:rPr>
          <w:rFonts w:hint="eastAsia" w:ascii="宋体" w:hAnsi="宋体" w:eastAsia="宋体" w:cs="宋体"/>
          <w:color w:val="auto"/>
          <w:sz w:val="24"/>
          <w:szCs w:val="32"/>
          <w:highlight w:val="none"/>
        </w:rPr>
        <w:t>作</w:t>
      </w:r>
      <w:r>
        <w:rPr>
          <w:rFonts w:hint="eastAsia" w:ascii="宋体" w:hAnsi="宋体" w:eastAsia="宋体" w:cs="宋体"/>
          <w:color w:val="auto"/>
          <w:sz w:val="24"/>
          <w:szCs w:val="32"/>
          <w:highlight w:val="none"/>
          <w:lang w:val="zh-CN"/>
        </w:rPr>
        <w:t>为</w:t>
      </w:r>
      <w:r>
        <w:rPr>
          <w:rFonts w:hint="eastAsia" w:ascii="宋体" w:hAnsi="宋体" w:eastAsia="宋体" w:cs="宋体"/>
          <w:color w:val="auto"/>
          <w:sz w:val="24"/>
          <w:szCs w:val="32"/>
          <w:highlight w:val="none"/>
        </w:rPr>
        <w:t>第一成交</w:t>
      </w:r>
      <w:r>
        <w:rPr>
          <w:rFonts w:hint="eastAsia" w:ascii="宋体" w:hAnsi="宋体" w:eastAsia="宋体" w:cs="宋体"/>
          <w:color w:val="auto"/>
          <w:sz w:val="24"/>
          <w:szCs w:val="32"/>
          <w:highlight w:val="none"/>
          <w:lang w:val="zh-CN"/>
        </w:rPr>
        <w:t>候选人。</w:t>
      </w:r>
    </w:p>
    <w:p>
      <w:pPr>
        <w:shd w:val="clea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en-US" w:eastAsia="zh-CN"/>
        </w:rPr>
        <w:t>四</w:t>
      </w:r>
      <w:r>
        <w:rPr>
          <w:rFonts w:hint="eastAsia" w:ascii="宋体" w:hAnsi="宋体" w:eastAsia="宋体" w:cs="宋体"/>
          <w:color w:val="auto"/>
          <w:sz w:val="24"/>
          <w:szCs w:val="32"/>
          <w:highlight w:val="none"/>
        </w:rPr>
        <w:t>、本次评分具体分值细化条款如下表</w:t>
      </w:r>
      <w:r>
        <w:rPr>
          <w:rFonts w:hint="eastAsia" w:ascii="宋体" w:hAnsi="宋体" w:eastAsia="宋体" w:cs="宋体"/>
          <w:color w:val="auto"/>
          <w:sz w:val="24"/>
          <w:szCs w:val="32"/>
          <w:highlight w:val="none"/>
          <w:lang w:val="zh-CN"/>
        </w:rPr>
        <w:t>：</w:t>
      </w:r>
    </w:p>
    <w:tbl>
      <w:tblPr>
        <w:tblStyle w:val="30"/>
        <w:tblW w:w="9504"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705"/>
        <w:gridCol w:w="6854"/>
        <w:gridCol w:w="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auto"/>
              <w:spacing w:line="220" w:lineRule="atLeas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评审项目</w:t>
            </w:r>
          </w:p>
        </w:tc>
        <w:tc>
          <w:tcPr>
            <w:tcW w:w="7559"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auto"/>
              <w:spacing w:line="220" w:lineRule="atLeas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评审标准</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auto"/>
              <w:spacing w:line="220" w:lineRule="atLeast"/>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trPr>
        <w:tc>
          <w:tcPr>
            <w:tcW w:w="124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auto"/>
              <w:spacing w:line="220" w:lineRule="atLeast"/>
              <w:rPr>
                <w:rFonts w:hint="eastAsia" w:ascii="宋体" w:hAnsi="宋体" w:eastAsia="宋体" w:cs="宋体"/>
                <w:b/>
                <w:bCs/>
                <w:color w:val="auto"/>
                <w:sz w:val="24"/>
                <w:szCs w:val="24"/>
                <w:highlight w:val="none"/>
              </w:rPr>
            </w:pPr>
          </w:p>
          <w:p>
            <w:pPr>
              <w:shd w:val="clear" w:color="auto" w:fill="auto"/>
              <w:spacing w:line="220" w:lineRule="atLeast"/>
              <w:rPr>
                <w:rFonts w:hint="eastAsia" w:ascii="宋体" w:hAnsi="宋体" w:eastAsia="宋体" w:cs="宋体"/>
                <w:b/>
                <w:bCs/>
                <w:color w:val="auto"/>
                <w:sz w:val="24"/>
                <w:szCs w:val="24"/>
                <w:highlight w:val="none"/>
              </w:rPr>
            </w:pPr>
          </w:p>
          <w:p>
            <w:pPr>
              <w:shd w:val="clear" w:color="auto" w:fill="auto"/>
              <w:spacing w:line="220" w:lineRule="atLeast"/>
              <w:rPr>
                <w:rFonts w:hint="eastAsia" w:ascii="宋体" w:hAnsi="宋体" w:eastAsia="宋体" w:cs="宋体"/>
                <w:b/>
                <w:bCs/>
                <w:color w:val="auto"/>
                <w:sz w:val="24"/>
                <w:szCs w:val="24"/>
                <w:highlight w:val="none"/>
              </w:rPr>
            </w:pPr>
          </w:p>
          <w:p>
            <w:pPr>
              <w:shd w:val="clear" w:color="auto" w:fill="auto"/>
              <w:spacing w:line="220" w:lineRule="atLeast"/>
              <w:rPr>
                <w:rFonts w:hint="eastAsia" w:ascii="宋体" w:hAnsi="宋体" w:eastAsia="宋体" w:cs="宋体"/>
                <w:b/>
                <w:bCs/>
                <w:color w:val="auto"/>
                <w:sz w:val="24"/>
                <w:szCs w:val="24"/>
                <w:highlight w:val="none"/>
              </w:rPr>
            </w:pPr>
          </w:p>
          <w:p>
            <w:pPr>
              <w:shd w:val="clear" w:color="auto" w:fill="auto"/>
              <w:spacing w:line="220" w:lineRule="atLeas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技术资信分</w:t>
            </w:r>
            <w:r>
              <w:rPr>
                <w:rFonts w:hint="eastAsia" w:ascii="宋体" w:hAnsi="宋体" w:eastAsia="宋体" w:cs="宋体"/>
                <w:b/>
                <w:color w:val="auto"/>
                <w:sz w:val="24"/>
                <w:szCs w:val="24"/>
                <w:highlight w:val="none"/>
              </w:rPr>
              <w:t>（</w:t>
            </w:r>
            <w:r>
              <w:rPr>
                <w:rFonts w:hint="eastAsia" w:ascii="宋体" w:hAnsi="宋体" w:eastAsia="宋体" w:cs="宋体"/>
                <w:b/>
                <w:color w:val="auto"/>
                <w:sz w:val="24"/>
                <w:szCs w:val="24"/>
                <w:highlight w:val="none"/>
                <w:lang w:val="en-US" w:eastAsia="zh-CN"/>
              </w:rPr>
              <w:t>85</w:t>
            </w:r>
            <w:r>
              <w:rPr>
                <w:rFonts w:hint="eastAsia" w:ascii="宋体" w:hAnsi="宋体" w:eastAsia="宋体" w:cs="宋体"/>
                <w:b/>
                <w:color w:val="auto"/>
                <w:sz w:val="24"/>
                <w:szCs w:val="24"/>
                <w:highlight w:val="none"/>
              </w:rPr>
              <w:t>分）</w:t>
            </w:r>
          </w:p>
        </w:tc>
        <w:tc>
          <w:tcPr>
            <w:tcW w:w="7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auto"/>
              <w:spacing w:line="220" w:lineRule="atLeas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项目资源丰富程度</w:t>
            </w:r>
          </w:p>
        </w:tc>
        <w:tc>
          <w:tcPr>
            <w:tcW w:w="685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29"/>
              <w:shd w:val="clear" w:color="auto" w:fill="auto"/>
              <w:tabs>
                <w:tab w:val="left" w:pos="720"/>
                <w:tab w:val="left" w:pos="1260"/>
                <w:tab w:val="left" w:pos="2160"/>
                <w:tab w:val="left" w:pos="2880"/>
                <w:tab w:val="left" w:pos="3600"/>
                <w:tab w:val="left" w:pos="4320"/>
                <w:tab w:val="left" w:pos="5040"/>
                <w:tab w:val="left" w:pos="5760"/>
              </w:tabs>
              <w:spacing w:line="240" w:lineRule="auto"/>
              <w:ind w:left="0" w:leftChars="0" w:firstLine="0" w:firstLineChars="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一是投标单位拥有能参赛的符合台州市“500精英”创业人才项目申报条件且有落地于路桥区意愿的优质人才项目（提供人才项目运行方案和落地意向协议书）每个得1分，最高20分；</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二是投标单位具备从招引创业人才项目到对接资源的能力。包括但不限于自有数据库、国内外合作渠道（比如媒体、支持单位、双创服务平台、孵化基地）等，提供相关合作协议。每一项得0.5分，最高5.5分。</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auto"/>
              <w:spacing w:line="220" w:lineRule="atLeast"/>
              <w:jc w:val="center"/>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45" w:type="dxa"/>
            <w:vMerge w:val="continue"/>
            <w:tcBorders>
              <w:left w:val="single" w:color="auto" w:sz="4" w:space="0"/>
              <w:right w:val="single" w:color="auto" w:sz="4" w:space="0"/>
            </w:tcBorders>
            <w:shd w:val="clear" w:color="auto" w:fill="FFFFFF"/>
            <w:noWrap w:val="0"/>
            <w:vAlign w:val="center"/>
          </w:tcPr>
          <w:p>
            <w:pPr>
              <w:shd w:val="clear" w:color="auto" w:fill="auto"/>
              <w:spacing w:line="220" w:lineRule="atLeast"/>
              <w:rPr>
                <w:rFonts w:hint="eastAsia" w:ascii="宋体" w:hAnsi="宋体" w:eastAsia="宋体" w:cs="宋体"/>
                <w:b/>
                <w:bCs/>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auto"/>
              <w:spacing w:line="220" w:lineRule="atLeas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对接项目落地能力</w:t>
            </w:r>
          </w:p>
        </w:tc>
        <w:tc>
          <w:tcPr>
            <w:tcW w:w="6854"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pStyle w:val="29"/>
              <w:tabs>
                <w:tab w:val="left" w:pos="720"/>
                <w:tab w:val="left" w:pos="1260"/>
                <w:tab w:val="left" w:pos="2160"/>
                <w:tab w:val="left" w:pos="2880"/>
                <w:tab w:val="left" w:pos="3600"/>
                <w:tab w:val="left" w:pos="4320"/>
                <w:tab w:val="left" w:pos="5040"/>
                <w:tab w:val="left" w:pos="5760"/>
              </w:tabs>
              <w:ind w:left="0" w:leftChars="0" w:firstLine="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投标单位在近3年内（2021年1月1日以来）成功帮助地方政府引进高层次人才创业项目的每个得1分，最高得9分。其中规上企业每个再加2分，最高得6分。须提供政府部门出具的证明材料。</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auto"/>
              <w:spacing w:line="22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1245" w:type="dxa"/>
            <w:vMerge w:val="continue"/>
            <w:tcBorders>
              <w:left w:val="single" w:color="auto" w:sz="4" w:space="0"/>
              <w:right w:val="single" w:color="auto" w:sz="4" w:space="0"/>
            </w:tcBorders>
            <w:shd w:val="clear" w:color="auto" w:fill="FFFFFF"/>
            <w:noWrap w:val="0"/>
            <w:vAlign w:val="center"/>
          </w:tcPr>
          <w:p>
            <w:pPr>
              <w:shd w:val="clear" w:color="auto" w:fill="auto"/>
              <w:spacing w:line="220" w:lineRule="atLeast"/>
              <w:rPr>
                <w:rFonts w:hint="eastAsia" w:ascii="宋体" w:hAnsi="宋体" w:eastAsia="宋体" w:cs="宋体"/>
                <w:b/>
                <w:bCs/>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auto"/>
              <w:spacing w:line="220" w:lineRule="atLeast"/>
              <w:jc w:val="left"/>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项目服务团队情况</w:t>
            </w:r>
          </w:p>
        </w:tc>
        <w:tc>
          <w:tcPr>
            <w:tcW w:w="68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项目负责人的大赛组织经验、项目申报经验、项目落地经验丰富得 4-5 分;项目负责人的大赛组织经验、项目申报经验、项目落地经验等相对丰富得 0.1-3.9分。</w:t>
            </w:r>
          </w:p>
          <w:p>
            <w:pPr>
              <w:numPr>
                <w:ilvl w:val="0"/>
                <w:numId w:val="0"/>
              </w:num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2、项目实施人员(不包含项目负责人)数量、岗位、工作职责分配的很合理、保障项目成功实施得 2-3分；项目实施人员(不包含项目负责人)数量、岗位、工作职责分配的合理得 0.1-1.9分。</w:t>
            </w:r>
          </w:p>
          <w:p>
            <w:pPr>
              <w:numPr>
                <w:ilvl w:val="0"/>
                <w:numId w:val="0"/>
              </w:num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rPr>
              <w:t>（注：商务技术文件中提供项目负责人及实施服务人员证明其资历、经验的相关证明材料，否则不得分。）</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auto"/>
              <w:spacing w:line="22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hd w:val="clear" w:color="auto" w:fill="auto"/>
              <w:jc w:val="left"/>
              <w:rPr>
                <w:rFonts w:hint="eastAsia" w:ascii="宋体" w:hAnsi="宋体" w:eastAsia="宋体" w:cs="宋体"/>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auto"/>
              <w:spacing w:line="220" w:lineRule="atLeast"/>
              <w:ind w:firstLine="240" w:firstLineChars="100"/>
              <w:rPr>
                <w:rFonts w:hint="eastAsia" w:ascii="宋体" w:hAnsi="宋体" w:eastAsia="宋体" w:cs="宋体"/>
                <w:color w:val="auto"/>
                <w:sz w:val="24"/>
                <w:szCs w:val="24"/>
                <w:highlight w:val="none"/>
              </w:rPr>
            </w:pPr>
          </w:p>
          <w:p>
            <w:pPr>
              <w:shd w:val="clear" w:color="auto" w:fill="auto"/>
              <w:spacing w:line="220" w:lineRule="atLeast"/>
              <w:ind w:firstLine="240" w:firstLineChars="100"/>
              <w:rPr>
                <w:rFonts w:hint="eastAsia" w:ascii="宋体" w:hAnsi="宋体" w:eastAsia="宋体" w:cs="宋体"/>
                <w:color w:val="auto"/>
                <w:sz w:val="24"/>
                <w:szCs w:val="24"/>
                <w:highlight w:val="none"/>
              </w:rPr>
            </w:pPr>
          </w:p>
          <w:p>
            <w:pPr>
              <w:shd w:val="clear" w:color="auto" w:fill="auto"/>
              <w:spacing w:line="220" w:lineRule="atLeast"/>
              <w:ind w:firstLine="240" w:firstLineChars="100"/>
              <w:rPr>
                <w:rFonts w:hint="eastAsia" w:ascii="宋体" w:hAnsi="宋体" w:eastAsia="宋体" w:cs="宋体"/>
                <w:color w:val="auto"/>
                <w:sz w:val="24"/>
                <w:szCs w:val="24"/>
                <w:highlight w:val="none"/>
              </w:rPr>
            </w:pPr>
          </w:p>
          <w:p>
            <w:pPr>
              <w:shd w:val="clear" w:color="auto" w:fill="auto"/>
              <w:spacing w:line="220" w:lineRule="atLeast"/>
              <w:ind w:firstLine="240" w:firstLineChars="100"/>
              <w:rPr>
                <w:rFonts w:hint="eastAsia" w:ascii="宋体" w:hAnsi="宋体" w:eastAsia="宋体" w:cs="宋体"/>
                <w:color w:val="auto"/>
                <w:sz w:val="24"/>
                <w:szCs w:val="24"/>
                <w:highlight w:val="none"/>
              </w:rPr>
            </w:pPr>
          </w:p>
          <w:p>
            <w:pPr>
              <w:shd w:val="clear" w:color="auto" w:fill="auto"/>
              <w:spacing w:line="220" w:lineRule="atLeast"/>
              <w:ind w:firstLine="240" w:firstLineChars="100"/>
              <w:rPr>
                <w:rFonts w:hint="eastAsia" w:ascii="宋体" w:hAnsi="宋体" w:eastAsia="宋体" w:cs="宋体"/>
                <w:color w:val="auto"/>
                <w:sz w:val="24"/>
                <w:szCs w:val="24"/>
                <w:highlight w:val="none"/>
              </w:rPr>
            </w:pPr>
          </w:p>
          <w:p>
            <w:pPr>
              <w:shd w:val="clear" w:color="auto" w:fill="auto"/>
              <w:spacing w:line="220" w:lineRule="atLeast"/>
              <w:ind w:firstLine="240" w:firstLineChars="100"/>
              <w:rPr>
                <w:rFonts w:hint="eastAsia" w:ascii="宋体" w:hAnsi="宋体" w:eastAsia="宋体" w:cs="宋体"/>
                <w:color w:val="auto"/>
                <w:sz w:val="24"/>
                <w:szCs w:val="24"/>
                <w:highlight w:val="none"/>
              </w:rPr>
            </w:pPr>
          </w:p>
          <w:p>
            <w:pPr>
              <w:shd w:val="clear" w:color="auto" w:fill="auto"/>
              <w:spacing w:line="22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各阶段实施方案</w:t>
            </w:r>
          </w:p>
        </w:tc>
        <w:tc>
          <w:tcPr>
            <w:tcW w:w="68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auto"/>
              <w:spacing w:line="220" w:lineRule="atLeast"/>
              <w:rPr>
                <w:rFonts w:hint="eastAsia" w:ascii="宋体" w:hAnsi="宋体" w:eastAsia="宋体" w:cs="宋体"/>
                <w:bCs w:val="0"/>
                <w:iCs w:val="0"/>
                <w:color w:val="auto"/>
                <w:sz w:val="24"/>
                <w:szCs w:val="24"/>
                <w:highlight w:val="none"/>
              </w:rPr>
            </w:pPr>
            <w:r>
              <w:rPr>
                <w:rFonts w:hint="eastAsia" w:ascii="宋体" w:hAnsi="宋体" w:eastAsia="宋体" w:cs="宋体"/>
                <w:bCs w:val="0"/>
                <w:iCs w:val="0"/>
                <w:color w:val="auto"/>
                <w:sz w:val="24"/>
                <w:szCs w:val="24"/>
                <w:highlight w:val="none"/>
                <w:lang w:eastAsia="zh-CN"/>
              </w:rPr>
              <w:t>磋商小组</w:t>
            </w:r>
            <w:r>
              <w:rPr>
                <w:rFonts w:hint="eastAsia" w:ascii="宋体" w:hAnsi="宋体" w:eastAsia="宋体" w:cs="宋体"/>
                <w:bCs w:val="0"/>
                <w:iCs w:val="0"/>
                <w:color w:val="auto"/>
                <w:sz w:val="24"/>
                <w:szCs w:val="24"/>
                <w:highlight w:val="none"/>
              </w:rPr>
              <w:t>根据各投标单位对方案理解的深入性、响应的准确性、前期调研开展情况、方案合理性和可操作性、执行和服务团队的组成、考核指标响应等进行综合评审。具体为：</w:t>
            </w:r>
          </w:p>
          <w:p>
            <w:pPr>
              <w:shd w:val="clear" w:color="auto" w:fill="auto"/>
              <w:spacing w:line="220" w:lineRule="atLeast"/>
              <w:rPr>
                <w:rFonts w:hint="eastAsia" w:ascii="宋体" w:hAnsi="宋体" w:eastAsia="宋体" w:cs="宋体"/>
                <w:bCs w:val="0"/>
                <w:iCs w:val="0"/>
                <w:color w:val="auto"/>
                <w:sz w:val="24"/>
                <w:szCs w:val="24"/>
                <w:highlight w:val="none"/>
                <w:lang w:eastAsia="zh-CN"/>
              </w:rPr>
            </w:pPr>
            <w:r>
              <w:rPr>
                <w:rFonts w:hint="eastAsia" w:ascii="宋体" w:hAnsi="宋体" w:cs="宋体"/>
                <w:bCs w:val="0"/>
                <w:iCs w:val="0"/>
                <w:color w:val="auto"/>
                <w:sz w:val="24"/>
                <w:szCs w:val="24"/>
                <w:highlight w:val="none"/>
                <w:lang w:val="en-US" w:eastAsia="zh-CN"/>
              </w:rPr>
              <w:t>4.1、一</w:t>
            </w:r>
            <w:r>
              <w:rPr>
                <w:rFonts w:hint="eastAsia" w:ascii="宋体" w:hAnsi="宋体" w:eastAsia="宋体" w:cs="宋体"/>
                <w:bCs w:val="0"/>
                <w:iCs w:val="0"/>
                <w:color w:val="auto"/>
                <w:sz w:val="24"/>
                <w:szCs w:val="24"/>
                <w:highlight w:val="none"/>
                <w:lang w:eastAsia="zh-CN"/>
              </w:rPr>
              <w:t>是磋商小组</w:t>
            </w:r>
            <w:r>
              <w:rPr>
                <w:rFonts w:hint="eastAsia" w:ascii="宋体" w:hAnsi="宋体" w:eastAsia="宋体" w:cs="宋体"/>
                <w:bCs w:val="0"/>
                <w:iCs w:val="0"/>
                <w:color w:val="auto"/>
                <w:sz w:val="24"/>
                <w:szCs w:val="24"/>
                <w:highlight w:val="none"/>
              </w:rPr>
              <w:t>根据各投标单位针对本项目</w:t>
            </w:r>
            <w:r>
              <w:rPr>
                <w:rFonts w:hint="eastAsia" w:ascii="宋体" w:hAnsi="宋体" w:eastAsia="宋体" w:cs="宋体"/>
                <w:bCs w:val="0"/>
                <w:iCs w:val="0"/>
                <w:color w:val="auto"/>
                <w:sz w:val="24"/>
                <w:szCs w:val="24"/>
                <w:highlight w:val="none"/>
                <w:lang w:eastAsia="zh-CN"/>
              </w:rPr>
              <w:t>启动仪式暨</w:t>
            </w:r>
            <w:r>
              <w:rPr>
                <w:rFonts w:hint="eastAsia" w:ascii="宋体" w:hAnsi="宋体" w:eastAsia="宋体" w:cs="宋体"/>
                <w:b w:val="0"/>
                <w:bCs w:val="0"/>
                <w:color w:val="auto"/>
                <w:kern w:val="2"/>
                <w:sz w:val="24"/>
                <w:szCs w:val="24"/>
                <w:highlight w:val="none"/>
              </w:rPr>
              <w:t>新闻发布会</w:t>
            </w:r>
            <w:r>
              <w:rPr>
                <w:rFonts w:hint="eastAsia" w:ascii="宋体" w:hAnsi="宋体" w:eastAsia="宋体" w:cs="宋体"/>
                <w:bCs w:val="0"/>
                <w:iCs w:val="0"/>
                <w:color w:val="auto"/>
                <w:sz w:val="24"/>
                <w:szCs w:val="24"/>
                <w:highlight w:val="none"/>
              </w:rPr>
              <w:t>制定的实施方案进行综合评审打分</w:t>
            </w:r>
            <w:r>
              <w:rPr>
                <w:rFonts w:hint="eastAsia" w:ascii="宋体" w:hAnsi="宋体" w:eastAsia="宋体" w:cs="宋体"/>
                <w:bCs w:val="0"/>
                <w:iCs w:val="0"/>
                <w:color w:val="auto"/>
                <w:sz w:val="24"/>
                <w:szCs w:val="24"/>
                <w:highlight w:val="none"/>
                <w:lang w:eastAsia="zh-CN"/>
              </w:rPr>
              <w:t>。</w:t>
            </w:r>
          </w:p>
          <w:p>
            <w:pPr>
              <w:shd w:val="clear" w:color="auto" w:fill="auto"/>
              <w:spacing w:line="220" w:lineRule="atLeast"/>
              <w:rPr>
                <w:rFonts w:hint="eastAsia" w:ascii="宋体" w:hAnsi="宋体" w:eastAsia="宋体" w:cs="宋体"/>
                <w:bCs w:val="0"/>
                <w:iCs w:val="0"/>
                <w:color w:val="auto"/>
                <w:sz w:val="24"/>
                <w:szCs w:val="24"/>
                <w:highlight w:val="none"/>
                <w:lang w:val="en-US" w:eastAsia="zh-CN"/>
              </w:rPr>
            </w:pPr>
            <w:r>
              <w:rPr>
                <w:rFonts w:hint="eastAsia" w:ascii="宋体" w:hAnsi="宋体" w:eastAsia="宋体" w:cs="宋体"/>
                <w:bCs w:val="0"/>
                <w:iCs w:val="0"/>
                <w:color w:val="auto"/>
                <w:sz w:val="24"/>
                <w:szCs w:val="24"/>
                <w:highlight w:val="none"/>
                <w:lang w:val="en-US" w:eastAsia="zh-CN"/>
              </w:rPr>
              <w:t>1.方案内容详实、内容完整、操作性强的得3.1-5分；</w:t>
            </w:r>
          </w:p>
          <w:p>
            <w:pPr>
              <w:shd w:val="clear" w:color="auto" w:fill="auto"/>
              <w:spacing w:line="220" w:lineRule="atLeast"/>
              <w:rPr>
                <w:rFonts w:hint="eastAsia" w:ascii="宋体" w:hAnsi="宋体" w:eastAsia="宋体" w:cs="宋体"/>
                <w:bCs w:val="0"/>
                <w:iCs w:val="0"/>
                <w:color w:val="auto"/>
                <w:sz w:val="24"/>
                <w:szCs w:val="24"/>
                <w:highlight w:val="none"/>
                <w:lang w:val="en-US" w:eastAsia="zh-CN"/>
              </w:rPr>
            </w:pPr>
            <w:r>
              <w:rPr>
                <w:rFonts w:hint="eastAsia" w:ascii="宋体" w:hAnsi="宋体" w:eastAsia="宋体" w:cs="宋体"/>
                <w:bCs w:val="0"/>
                <w:iCs w:val="0"/>
                <w:color w:val="auto"/>
                <w:sz w:val="24"/>
                <w:szCs w:val="24"/>
                <w:highlight w:val="none"/>
                <w:lang w:val="en-US" w:eastAsia="zh-CN"/>
              </w:rPr>
              <w:t>2.方案合理、内容常规、操作简略的得1.1-3分；</w:t>
            </w:r>
          </w:p>
          <w:p>
            <w:pPr>
              <w:shd w:val="clear" w:color="auto" w:fill="auto"/>
              <w:spacing w:line="220" w:lineRule="atLeast"/>
              <w:rPr>
                <w:rFonts w:hint="eastAsia" w:ascii="宋体" w:hAnsi="宋体" w:eastAsia="宋体" w:cs="宋体"/>
                <w:bCs w:val="0"/>
                <w:iCs w:val="0"/>
                <w:color w:val="auto"/>
                <w:sz w:val="24"/>
                <w:szCs w:val="24"/>
                <w:highlight w:val="none"/>
              </w:rPr>
            </w:pPr>
            <w:r>
              <w:rPr>
                <w:rFonts w:hint="eastAsia" w:ascii="宋体" w:hAnsi="宋体" w:eastAsia="宋体" w:cs="宋体"/>
                <w:bCs w:val="0"/>
                <w:iCs w:val="0"/>
                <w:color w:val="auto"/>
                <w:sz w:val="24"/>
                <w:szCs w:val="24"/>
                <w:highlight w:val="none"/>
                <w:lang w:val="en-US" w:eastAsia="zh-CN"/>
              </w:rPr>
              <w:t>3.方案粗糙、内容缺漏、操作性差的得0.1-1分。</w:t>
            </w:r>
          </w:p>
          <w:p>
            <w:pPr>
              <w:shd w:val="clear" w:color="auto" w:fill="auto"/>
              <w:spacing w:line="220" w:lineRule="atLeast"/>
              <w:rPr>
                <w:rFonts w:hint="eastAsia" w:ascii="宋体" w:hAnsi="宋体" w:eastAsia="宋体" w:cs="宋体"/>
                <w:bCs w:val="0"/>
                <w:iCs w:val="0"/>
                <w:color w:val="auto"/>
                <w:sz w:val="24"/>
                <w:szCs w:val="24"/>
                <w:highlight w:val="none"/>
                <w:lang w:eastAsia="zh-CN"/>
              </w:rPr>
            </w:pPr>
            <w:r>
              <w:rPr>
                <w:rFonts w:hint="eastAsia" w:ascii="宋体" w:hAnsi="宋体" w:cs="宋体"/>
                <w:bCs w:val="0"/>
                <w:iCs w:val="0"/>
                <w:color w:val="auto"/>
                <w:sz w:val="24"/>
                <w:szCs w:val="24"/>
                <w:highlight w:val="none"/>
                <w:lang w:val="en-US" w:eastAsia="zh-CN"/>
              </w:rPr>
              <w:t>4.2、二</w:t>
            </w:r>
            <w:r>
              <w:rPr>
                <w:rFonts w:hint="eastAsia" w:ascii="宋体" w:hAnsi="宋体" w:eastAsia="宋体" w:cs="宋体"/>
                <w:bCs w:val="0"/>
                <w:iCs w:val="0"/>
                <w:color w:val="auto"/>
                <w:sz w:val="24"/>
                <w:szCs w:val="24"/>
                <w:highlight w:val="none"/>
                <w:lang w:eastAsia="zh-CN"/>
              </w:rPr>
              <w:t>是磋商小组根据各</w:t>
            </w:r>
            <w:r>
              <w:rPr>
                <w:rFonts w:hint="eastAsia" w:ascii="宋体" w:hAnsi="宋体" w:eastAsia="宋体" w:cs="宋体"/>
                <w:bCs w:val="0"/>
                <w:iCs w:val="0"/>
                <w:color w:val="auto"/>
                <w:sz w:val="24"/>
                <w:szCs w:val="24"/>
                <w:highlight w:val="none"/>
              </w:rPr>
              <w:t>投标单位针对本项目</w:t>
            </w:r>
            <w:r>
              <w:rPr>
                <w:rFonts w:hint="eastAsia" w:ascii="宋体" w:hAnsi="宋体" w:eastAsia="宋体" w:cs="宋体"/>
                <w:bCs w:val="0"/>
                <w:iCs w:val="0"/>
                <w:color w:val="auto"/>
                <w:sz w:val="24"/>
                <w:szCs w:val="24"/>
                <w:highlight w:val="none"/>
                <w:lang w:eastAsia="zh-CN"/>
              </w:rPr>
              <w:t>人才项目征集、预选赛路演对接和申报台州市“</w:t>
            </w:r>
            <w:r>
              <w:rPr>
                <w:rFonts w:hint="eastAsia" w:ascii="宋体" w:hAnsi="宋体" w:eastAsia="宋体" w:cs="宋体"/>
                <w:bCs w:val="0"/>
                <w:iCs w:val="0"/>
                <w:color w:val="auto"/>
                <w:sz w:val="24"/>
                <w:szCs w:val="24"/>
                <w:highlight w:val="none"/>
                <w:lang w:val="en-US" w:eastAsia="zh-CN"/>
              </w:rPr>
              <w:t>500精英</w:t>
            </w:r>
            <w:r>
              <w:rPr>
                <w:rFonts w:hint="eastAsia" w:ascii="宋体" w:hAnsi="宋体" w:eastAsia="宋体" w:cs="宋体"/>
                <w:bCs w:val="0"/>
                <w:iCs w:val="0"/>
                <w:color w:val="auto"/>
                <w:sz w:val="24"/>
                <w:szCs w:val="24"/>
                <w:highlight w:val="none"/>
                <w:lang w:eastAsia="zh-CN"/>
              </w:rPr>
              <w:t>”制定实施方案进行综合评审打分。</w:t>
            </w:r>
          </w:p>
          <w:p>
            <w:pPr>
              <w:shd w:val="clear" w:color="auto" w:fill="auto"/>
              <w:spacing w:line="220" w:lineRule="atLeast"/>
              <w:rPr>
                <w:rFonts w:hint="eastAsia" w:ascii="宋体" w:hAnsi="宋体" w:eastAsia="宋体" w:cs="宋体"/>
                <w:bCs w:val="0"/>
                <w:iCs w:val="0"/>
                <w:color w:val="auto"/>
                <w:sz w:val="24"/>
                <w:szCs w:val="24"/>
                <w:highlight w:val="none"/>
                <w:lang w:val="en-US" w:eastAsia="zh-CN"/>
              </w:rPr>
            </w:pPr>
            <w:r>
              <w:rPr>
                <w:rFonts w:hint="eastAsia" w:ascii="宋体" w:hAnsi="宋体" w:eastAsia="宋体" w:cs="宋体"/>
                <w:bCs w:val="0"/>
                <w:iCs w:val="0"/>
                <w:color w:val="auto"/>
                <w:sz w:val="24"/>
                <w:szCs w:val="24"/>
                <w:highlight w:val="none"/>
                <w:lang w:val="en-US" w:eastAsia="zh-CN"/>
              </w:rPr>
              <w:t>1.方案内容详实、内容完整、操作性强的得3.1-5分；</w:t>
            </w:r>
          </w:p>
          <w:p>
            <w:pPr>
              <w:shd w:val="clear" w:color="auto" w:fill="auto"/>
              <w:spacing w:line="220" w:lineRule="atLeast"/>
              <w:rPr>
                <w:rFonts w:hint="eastAsia" w:ascii="宋体" w:hAnsi="宋体" w:eastAsia="宋体" w:cs="宋体"/>
                <w:bCs w:val="0"/>
                <w:iCs w:val="0"/>
                <w:color w:val="auto"/>
                <w:sz w:val="24"/>
                <w:szCs w:val="24"/>
                <w:highlight w:val="none"/>
                <w:lang w:val="en-US" w:eastAsia="zh-CN"/>
              </w:rPr>
            </w:pPr>
            <w:r>
              <w:rPr>
                <w:rFonts w:hint="eastAsia" w:ascii="宋体" w:hAnsi="宋体" w:eastAsia="宋体" w:cs="宋体"/>
                <w:bCs w:val="0"/>
                <w:iCs w:val="0"/>
                <w:color w:val="auto"/>
                <w:sz w:val="24"/>
                <w:szCs w:val="24"/>
                <w:highlight w:val="none"/>
                <w:lang w:val="en-US" w:eastAsia="zh-CN"/>
              </w:rPr>
              <w:t>2.方案合理、内容常规、操作简略的得1.1-３分；</w:t>
            </w:r>
          </w:p>
          <w:p>
            <w:pPr>
              <w:shd w:val="clear" w:color="auto" w:fill="auto"/>
              <w:spacing w:line="220" w:lineRule="atLeast"/>
              <w:rPr>
                <w:rFonts w:hint="eastAsia" w:ascii="宋体" w:hAnsi="宋体" w:eastAsia="宋体" w:cs="宋体"/>
                <w:bCs w:val="0"/>
                <w:iCs w:val="0"/>
                <w:color w:val="auto"/>
                <w:sz w:val="24"/>
                <w:szCs w:val="24"/>
                <w:highlight w:val="none"/>
                <w:lang w:val="en-US" w:eastAsia="zh-CN"/>
              </w:rPr>
            </w:pPr>
            <w:r>
              <w:rPr>
                <w:rFonts w:hint="eastAsia" w:ascii="宋体" w:hAnsi="宋体" w:eastAsia="宋体" w:cs="宋体"/>
                <w:bCs w:val="0"/>
                <w:iCs w:val="0"/>
                <w:color w:val="auto"/>
                <w:sz w:val="24"/>
                <w:szCs w:val="24"/>
                <w:highlight w:val="none"/>
                <w:lang w:val="en-US" w:eastAsia="zh-CN"/>
              </w:rPr>
              <w:t>3.方案粗糙、内容缺漏、操作性差得0.1-1分。</w:t>
            </w:r>
          </w:p>
          <w:p>
            <w:pPr>
              <w:rPr>
                <w:rFonts w:hint="eastAsia" w:ascii="宋体" w:hAnsi="宋体" w:eastAsia="宋体" w:cs="宋体"/>
                <w:bCs w:val="0"/>
                <w:iCs w:val="0"/>
                <w:color w:val="auto"/>
                <w:sz w:val="24"/>
                <w:szCs w:val="24"/>
                <w:highlight w:val="none"/>
                <w:lang w:eastAsia="zh-CN"/>
              </w:rPr>
            </w:pPr>
            <w:r>
              <w:rPr>
                <w:rFonts w:hint="eastAsia" w:ascii="宋体" w:hAnsi="宋体" w:cs="宋体"/>
                <w:bCs w:val="0"/>
                <w:iCs w:val="0"/>
                <w:color w:val="auto"/>
                <w:sz w:val="24"/>
                <w:szCs w:val="24"/>
                <w:highlight w:val="none"/>
                <w:lang w:val="en-US" w:eastAsia="zh-CN"/>
              </w:rPr>
              <w:t>4.3、</w:t>
            </w:r>
            <w:r>
              <w:rPr>
                <w:rFonts w:hint="eastAsia" w:ascii="宋体" w:hAnsi="宋体" w:eastAsia="宋体" w:cs="宋体"/>
                <w:bCs w:val="0"/>
                <w:iCs w:val="0"/>
                <w:color w:val="auto"/>
                <w:sz w:val="24"/>
                <w:szCs w:val="24"/>
                <w:highlight w:val="none"/>
                <w:lang w:val="en-US" w:eastAsia="zh-CN"/>
              </w:rPr>
              <w:t>三是</w:t>
            </w:r>
            <w:r>
              <w:rPr>
                <w:rFonts w:hint="eastAsia" w:ascii="宋体" w:hAnsi="宋体" w:eastAsia="宋体" w:cs="宋体"/>
                <w:bCs w:val="0"/>
                <w:iCs w:val="0"/>
                <w:color w:val="auto"/>
                <w:sz w:val="24"/>
                <w:szCs w:val="24"/>
                <w:highlight w:val="none"/>
                <w:lang w:eastAsia="zh-CN"/>
              </w:rPr>
              <w:t>磋商小组</w:t>
            </w:r>
            <w:r>
              <w:rPr>
                <w:rFonts w:hint="eastAsia" w:ascii="宋体" w:hAnsi="宋体" w:eastAsia="宋体" w:cs="宋体"/>
                <w:bCs w:val="0"/>
                <w:iCs w:val="0"/>
                <w:color w:val="auto"/>
                <w:sz w:val="24"/>
                <w:szCs w:val="24"/>
                <w:highlight w:val="none"/>
              </w:rPr>
              <w:t>根据各投标单位针对本项目</w:t>
            </w:r>
            <w:r>
              <w:rPr>
                <w:rFonts w:hint="eastAsia" w:ascii="宋体" w:hAnsi="宋体" w:eastAsia="宋体" w:cs="宋体"/>
                <w:b w:val="0"/>
                <w:color w:val="auto"/>
                <w:kern w:val="2"/>
                <w:sz w:val="24"/>
                <w:szCs w:val="24"/>
                <w:highlight w:val="none"/>
              </w:rPr>
              <w:t>总决赛</w:t>
            </w:r>
            <w:r>
              <w:rPr>
                <w:rFonts w:hint="eastAsia" w:ascii="宋体" w:hAnsi="宋体" w:eastAsia="宋体" w:cs="宋体"/>
                <w:bCs w:val="0"/>
                <w:iCs w:val="0"/>
                <w:color w:val="auto"/>
                <w:sz w:val="24"/>
                <w:szCs w:val="24"/>
                <w:highlight w:val="none"/>
              </w:rPr>
              <w:t>制定的实施方案进行综合评审打分</w:t>
            </w:r>
            <w:r>
              <w:rPr>
                <w:rFonts w:hint="eastAsia" w:ascii="宋体" w:hAnsi="宋体" w:eastAsia="宋体" w:cs="宋体"/>
                <w:bCs w:val="0"/>
                <w:iCs w:val="0"/>
                <w:color w:val="auto"/>
                <w:sz w:val="24"/>
                <w:szCs w:val="24"/>
                <w:highlight w:val="none"/>
                <w:lang w:eastAsia="zh-CN"/>
              </w:rPr>
              <w:t>。</w:t>
            </w:r>
          </w:p>
          <w:p>
            <w:pPr>
              <w:shd w:val="clear" w:color="auto" w:fill="auto"/>
              <w:spacing w:line="220" w:lineRule="atLeast"/>
              <w:rPr>
                <w:rFonts w:hint="eastAsia" w:ascii="宋体" w:hAnsi="宋体" w:eastAsia="宋体" w:cs="宋体"/>
                <w:bCs w:val="0"/>
                <w:iCs w:val="0"/>
                <w:color w:val="auto"/>
                <w:sz w:val="24"/>
                <w:szCs w:val="24"/>
                <w:highlight w:val="none"/>
                <w:lang w:val="en-US" w:eastAsia="zh-CN"/>
              </w:rPr>
            </w:pPr>
            <w:r>
              <w:rPr>
                <w:rFonts w:hint="eastAsia" w:ascii="宋体" w:hAnsi="宋体" w:eastAsia="宋体" w:cs="宋体"/>
                <w:bCs w:val="0"/>
                <w:iCs w:val="0"/>
                <w:color w:val="auto"/>
                <w:sz w:val="24"/>
                <w:szCs w:val="24"/>
                <w:highlight w:val="none"/>
                <w:lang w:val="en-US" w:eastAsia="zh-CN"/>
              </w:rPr>
              <w:t>1.方案内容详实、内容完整、操作性强的得3.1-5分；</w:t>
            </w:r>
          </w:p>
          <w:p>
            <w:pPr>
              <w:shd w:val="clear" w:color="auto" w:fill="auto"/>
              <w:spacing w:line="220" w:lineRule="atLeast"/>
              <w:rPr>
                <w:rFonts w:hint="eastAsia" w:ascii="宋体" w:hAnsi="宋体" w:eastAsia="宋体" w:cs="宋体"/>
                <w:bCs w:val="0"/>
                <w:iCs w:val="0"/>
                <w:color w:val="auto"/>
                <w:sz w:val="24"/>
                <w:szCs w:val="24"/>
                <w:highlight w:val="none"/>
                <w:lang w:val="en-US" w:eastAsia="zh-CN"/>
              </w:rPr>
            </w:pPr>
            <w:r>
              <w:rPr>
                <w:rFonts w:hint="eastAsia" w:ascii="宋体" w:hAnsi="宋体" w:eastAsia="宋体" w:cs="宋体"/>
                <w:bCs w:val="0"/>
                <w:iCs w:val="0"/>
                <w:color w:val="auto"/>
                <w:sz w:val="24"/>
                <w:szCs w:val="24"/>
                <w:highlight w:val="none"/>
                <w:lang w:val="en-US" w:eastAsia="zh-CN"/>
              </w:rPr>
              <w:t>2.方案合理、内容常规、操作简略的得1.1-3分；</w:t>
            </w:r>
          </w:p>
          <w:p>
            <w:pPr>
              <w:shd w:val="clear" w:color="auto" w:fill="auto"/>
              <w:spacing w:line="220" w:lineRule="atLeast"/>
              <w:rPr>
                <w:rFonts w:hint="eastAsia" w:ascii="宋体" w:hAnsi="宋体" w:eastAsia="宋体" w:cs="宋体"/>
                <w:bCs/>
                <w:iCs/>
                <w:color w:val="auto"/>
                <w:sz w:val="24"/>
                <w:szCs w:val="24"/>
                <w:highlight w:val="none"/>
              </w:rPr>
            </w:pPr>
            <w:r>
              <w:rPr>
                <w:rFonts w:hint="eastAsia" w:ascii="宋体" w:hAnsi="宋体" w:eastAsia="宋体" w:cs="宋体"/>
                <w:bCs w:val="0"/>
                <w:iCs w:val="0"/>
                <w:color w:val="auto"/>
                <w:sz w:val="24"/>
                <w:szCs w:val="24"/>
                <w:highlight w:val="none"/>
                <w:lang w:val="en-US" w:eastAsia="zh-CN"/>
              </w:rPr>
              <w:t>3.方案粗糙、内容缺漏、操作性差得0.1-1分。</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auto"/>
              <w:spacing w:line="220" w:lineRule="atLeast"/>
              <w:jc w:val="center"/>
              <w:rPr>
                <w:rFonts w:hint="eastAsia" w:ascii="宋体" w:hAnsi="宋体" w:eastAsia="宋体" w:cs="宋体"/>
                <w:color w:val="auto"/>
                <w:sz w:val="24"/>
                <w:szCs w:val="24"/>
                <w:highlight w:val="none"/>
              </w:rPr>
            </w:pPr>
          </w:p>
          <w:p>
            <w:pPr>
              <w:shd w:val="clear" w:color="auto" w:fill="auto"/>
              <w:spacing w:line="220" w:lineRule="atLeast"/>
              <w:jc w:val="center"/>
              <w:rPr>
                <w:rFonts w:hint="eastAsia" w:ascii="宋体" w:hAnsi="宋体" w:eastAsia="宋体" w:cs="宋体"/>
                <w:color w:val="auto"/>
                <w:sz w:val="24"/>
                <w:szCs w:val="24"/>
                <w:highlight w:val="none"/>
              </w:rPr>
            </w:pPr>
          </w:p>
          <w:p>
            <w:pPr>
              <w:shd w:val="clear" w:color="auto" w:fill="auto"/>
              <w:spacing w:line="220" w:lineRule="atLeast"/>
              <w:jc w:val="center"/>
              <w:rPr>
                <w:rFonts w:hint="eastAsia" w:ascii="宋体" w:hAnsi="宋体" w:eastAsia="宋体" w:cs="宋体"/>
                <w:color w:val="auto"/>
                <w:sz w:val="24"/>
                <w:szCs w:val="24"/>
                <w:highlight w:val="none"/>
              </w:rPr>
            </w:pPr>
          </w:p>
          <w:p>
            <w:pPr>
              <w:shd w:val="clear" w:color="auto" w:fill="auto"/>
              <w:spacing w:line="220" w:lineRule="atLeast"/>
              <w:jc w:val="center"/>
              <w:rPr>
                <w:rFonts w:hint="eastAsia" w:ascii="宋体" w:hAnsi="宋体" w:eastAsia="宋体" w:cs="宋体"/>
                <w:color w:val="auto"/>
                <w:sz w:val="24"/>
                <w:szCs w:val="24"/>
                <w:highlight w:val="none"/>
              </w:rPr>
            </w:pPr>
          </w:p>
          <w:p>
            <w:pPr>
              <w:shd w:val="clear" w:color="auto" w:fill="auto"/>
              <w:spacing w:line="220" w:lineRule="atLeast"/>
              <w:jc w:val="center"/>
              <w:rPr>
                <w:rFonts w:hint="eastAsia" w:ascii="宋体" w:hAnsi="宋体" w:eastAsia="宋体" w:cs="宋体"/>
                <w:color w:val="auto"/>
                <w:sz w:val="24"/>
                <w:szCs w:val="24"/>
                <w:highlight w:val="none"/>
              </w:rPr>
            </w:pPr>
          </w:p>
          <w:p>
            <w:pPr>
              <w:shd w:val="clear" w:color="auto" w:fill="auto"/>
              <w:spacing w:line="220" w:lineRule="atLeast"/>
              <w:jc w:val="center"/>
              <w:rPr>
                <w:rFonts w:hint="eastAsia" w:ascii="宋体" w:hAnsi="宋体" w:eastAsia="宋体" w:cs="宋体"/>
                <w:color w:val="auto"/>
                <w:sz w:val="24"/>
                <w:szCs w:val="24"/>
                <w:highlight w:val="none"/>
              </w:rPr>
            </w:pPr>
          </w:p>
          <w:p>
            <w:pPr>
              <w:shd w:val="clear" w:color="auto" w:fill="auto"/>
              <w:spacing w:line="220" w:lineRule="atLeast"/>
              <w:jc w:val="center"/>
              <w:rPr>
                <w:rFonts w:hint="eastAsia" w:ascii="宋体" w:hAnsi="宋体" w:eastAsia="宋体" w:cs="宋体"/>
                <w:color w:val="auto"/>
                <w:sz w:val="24"/>
                <w:szCs w:val="24"/>
                <w:highlight w:val="none"/>
              </w:rPr>
            </w:pPr>
          </w:p>
          <w:p>
            <w:pPr>
              <w:shd w:val="clear" w:color="auto" w:fill="auto"/>
              <w:spacing w:line="220" w:lineRule="atLeast"/>
              <w:jc w:val="center"/>
              <w:rPr>
                <w:rFonts w:hint="eastAsia" w:ascii="宋体" w:hAnsi="宋体" w:eastAsia="宋体" w:cs="宋体"/>
                <w:color w:val="auto"/>
                <w:sz w:val="24"/>
                <w:szCs w:val="24"/>
                <w:highlight w:val="none"/>
              </w:rPr>
            </w:pPr>
          </w:p>
          <w:p>
            <w:pPr>
              <w:shd w:val="clear" w:color="auto" w:fill="auto"/>
              <w:spacing w:line="22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hd w:val="clear" w:color="auto" w:fill="auto"/>
              <w:jc w:val="left"/>
              <w:rPr>
                <w:rFonts w:hint="eastAsia" w:ascii="宋体" w:hAnsi="宋体" w:eastAsia="宋体" w:cs="宋体"/>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auto"/>
              <w:spacing w:line="220" w:lineRule="atLeas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落地服务保障</w:t>
            </w:r>
          </w:p>
        </w:tc>
        <w:tc>
          <w:tcPr>
            <w:tcW w:w="68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20"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供应商需要建立落地服务团队，提供完善的落地服务方案及人员保障，保证优质项目能够落地。根据供应商提供的落地服务保障方案的合理性、可行性等进行评价打分：</w:t>
            </w:r>
          </w:p>
          <w:p>
            <w:pPr>
              <w:shd w:val="clear" w:color="auto" w:fill="auto"/>
              <w:spacing w:line="220"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1.承诺的落地服务团队专业、高效，人员保障充足，对落地保障的重点难点分析深刻，针对本项目提出的落地保障措施丰富、可行，落地服务保障方案详实、内容完整、操作性强的得</w:t>
            </w:r>
            <w:r>
              <w:rPr>
                <w:rFonts w:hint="eastAsia" w:ascii="宋体" w:hAnsi="宋体" w:eastAsia="宋体" w:cs="宋体"/>
                <w:color w:val="auto"/>
                <w:kern w:val="0"/>
                <w:sz w:val="24"/>
                <w:szCs w:val="24"/>
                <w:highlight w:val="none"/>
                <w:lang w:val="en-US" w:eastAsia="zh-CN"/>
              </w:rPr>
              <w:t>7.1-</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rPr>
              <w:t>0</w:t>
            </w:r>
            <w:r>
              <w:rPr>
                <w:rFonts w:hint="eastAsia" w:ascii="宋体" w:hAnsi="宋体" w:eastAsia="宋体" w:cs="宋体"/>
                <w:color w:val="auto"/>
                <w:kern w:val="0"/>
                <w:sz w:val="24"/>
                <w:szCs w:val="24"/>
                <w:highlight w:val="none"/>
              </w:rPr>
              <w:t>分；</w:t>
            </w:r>
          </w:p>
          <w:p>
            <w:pPr>
              <w:rPr>
                <w:rFonts w:hint="eastAsia" w:ascii="宋体" w:hAnsi="宋体" w:eastAsia="宋体" w:cs="宋体"/>
                <w:color w:val="auto"/>
                <w:highlight w:val="none"/>
                <w:lang w:eastAsia="zh-CN"/>
              </w:rPr>
            </w:pPr>
            <w:r>
              <w:rPr>
                <w:rFonts w:hint="eastAsia" w:ascii="宋体" w:hAnsi="宋体" w:eastAsia="宋体" w:cs="宋体"/>
                <w:color w:val="auto"/>
                <w:kern w:val="0"/>
                <w:sz w:val="24"/>
                <w:szCs w:val="24"/>
                <w:highlight w:val="none"/>
              </w:rPr>
              <w:t>2.承诺的落地服务团队比较专业，人员保障基本满足落地服务需求，对落地保障的重点难点分析合理，针对本项目提出的落地保障措施具有可行性，落地服务保障方案合理、内容常规、操作简略的得</w:t>
            </w:r>
            <w:r>
              <w:rPr>
                <w:rFonts w:hint="eastAsia" w:ascii="宋体" w:hAnsi="宋体" w:eastAsia="宋体" w:cs="宋体"/>
                <w:color w:val="auto"/>
                <w:kern w:val="0"/>
                <w:sz w:val="24"/>
                <w:szCs w:val="24"/>
                <w:highlight w:val="none"/>
                <w:lang w:val="en-US" w:eastAsia="zh-CN"/>
              </w:rPr>
              <w:t>4.1-</w:t>
            </w:r>
            <w:r>
              <w:rPr>
                <w:rFonts w:hint="eastAsia" w:ascii="宋体" w:hAnsi="宋体" w:eastAsia="宋体" w:cs="宋体"/>
                <w:color w:val="auto"/>
                <w:kern w:val="0"/>
                <w:sz w:val="24"/>
                <w:szCs w:val="24"/>
                <w:highlight w:val="none"/>
              </w:rPr>
              <w:t>7分；</w:t>
            </w:r>
          </w:p>
          <w:p>
            <w:pPr>
              <w:rPr>
                <w:rFonts w:hint="eastAsia" w:ascii="宋体" w:hAnsi="宋体" w:eastAsia="宋体" w:cs="宋体"/>
                <w:bCs/>
                <w:iCs/>
                <w:color w:val="auto"/>
                <w:sz w:val="24"/>
                <w:szCs w:val="24"/>
                <w:highlight w:val="none"/>
              </w:rPr>
            </w:pPr>
            <w:r>
              <w:rPr>
                <w:rFonts w:hint="eastAsia" w:ascii="宋体" w:hAnsi="宋体" w:eastAsia="宋体" w:cs="宋体"/>
                <w:color w:val="auto"/>
                <w:kern w:val="0"/>
                <w:sz w:val="24"/>
                <w:szCs w:val="24"/>
                <w:highlight w:val="none"/>
              </w:rPr>
              <w:t>3. 落地服务团队人员保障难以满足落地服务需要，不清楚落地保障的重点难点，针对本项目提出的落地保障措施可行性不高，落地服务保障方案粗糙、内容缺漏、操作性差的得</w:t>
            </w:r>
            <w:r>
              <w:rPr>
                <w:rFonts w:hint="eastAsia" w:ascii="宋体" w:hAnsi="宋体" w:eastAsia="宋体" w:cs="宋体"/>
                <w:color w:val="auto"/>
                <w:kern w:val="0"/>
                <w:sz w:val="24"/>
                <w:szCs w:val="24"/>
                <w:highlight w:val="none"/>
                <w:lang w:val="en-US" w:eastAsia="zh-CN"/>
              </w:rPr>
              <w:t>0.1-</w:t>
            </w:r>
            <w:r>
              <w:rPr>
                <w:rFonts w:hint="eastAsia" w:ascii="宋体" w:hAnsi="宋体" w:eastAsia="宋体" w:cs="宋体"/>
                <w:color w:val="auto"/>
                <w:kern w:val="0"/>
                <w:sz w:val="24"/>
                <w:szCs w:val="24"/>
                <w:highlight w:val="none"/>
                <w:lang w:val="en-US"/>
              </w:rPr>
              <w:t>4</w:t>
            </w:r>
            <w:r>
              <w:rPr>
                <w:rFonts w:hint="eastAsia" w:ascii="宋体" w:hAnsi="宋体" w:eastAsia="宋体" w:cs="宋体"/>
                <w:color w:val="auto"/>
                <w:kern w:val="0"/>
                <w:sz w:val="24"/>
                <w:szCs w:val="24"/>
                <w:highlight w:val="none"/>
              </w:rPr>
              <w:t>分。</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auto"/>
              <w:spacing w:line="22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hd w:val="clear" w:color="auto" w:fill="auto"/>
              <w:jc w:val="left"/>
              <w:rPr>
                <w:rFonts w:hint="eastAsia" w:ascii="宋体" w:hAnsi="宋体" w:eastAsia="宋体" w:cs="宋体"/>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auto"/>
              <w:spacing w:line="220" w:lineRule="atLeas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赛事宣传保障</w:t>
            </w:r>
          </w:p>
        </w:tc>
        <w:tc>
          <w:tcPr>
            <w:tcW w:w="68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供应商需要提供完善的赛事宣传方案，为本大赛做好宣传，</w:t>
            </w:r>
            <w:r>
              <w:rPr>
                <w:rFonts w:hint="eastAsia" w:ascii="宋体" w:hAnsi="宋体" w:eastAsia="宋体" w:cs="宋体"/>
                <w:color w:val="auto"/>
                <w:kern w:val="0"/>
                <w:sz w:val="24"/>
                <w:szCs w:val="24"/>
                <w:highlight w:val="none"/>
                <w:lang w:eastAsia="zh-CN"/>
              </w:rPr>
              <w:t>磋商小组</w:t>
            </w:r>
            <w:r>
              <w:rPr>
                <w:rFonts w:hint="eastAsia" w:ascii="宋体" w:hAnsi="宋体" w:eastAsia="宋体" w:cs="宋体"/>
                <w:color w:val="auto"/>
                <w:kern w:val="0"/>
                <w:sz w:val="24"/>
                <w:szCs w:val="24"/>
                <w:highlight w:val="none"/>
              </w:rPr>
              <w:t>根据供应商提供的方案以及其合理性、可行性等进行评价打分：</w:t>
            </w:r>
          </w:p>
          <w:p>
            <w:pPr>
              <w:shd w:val="clear" w:color="auto" w:fill="auto"/>
              <w:spacing w:line="220" w:lineRule="atLeast"/>
              <w:rPr>
                <w:rFonts w:hint="eastAsia" w:ascii="宋体" w:hAnsi="宋体" w:eastAsia="宋体" w:cs="宋体"/>
                <w:color w:val="auto"/>
                <w:highlight w:val="none"/>
                <w:lang w:eastAsia="zh-CN"/>
              </w:rPr>
            </w:pPr>
            <w:r>
              <w:rPr>
                <w:rFonts w:hint="eastAsia" w:ascii="宋体" w:hAnsi="宋体" w:eastAsia="宋体" w:cs="宋体"/>
                <w:color w:val="auto"/>
                <w:kern w:val="0"/>
                <w:sz w:val="24"/>
                <w:szCs w:val="24"/>
                <w:highlight w:val="none"/>
              </w:rPr>
              <w:t>1. 赛事宣传合作渠道丰富、合作单位知名度高，赛事宣传方案详实、内容完整、操作性强的得</w:t>
            </w:r>
            <w:r>
              <w:rPr>
                <w:rFonts w:hint="eastAsia" w:ascii="宋体" w:hAnsi="宋体" w:eastAsia="宋体" w:cs="宋体"/>
                <w:color w:val="auto"/>
                <w:kern w:val="0"/>
                <w:sz w:val="24"/>
                <w:szCs w:val="24"/>
                <w:highlight w:val="none"/>
                <w:lang w:val="en-US" w:eastAsia="zh-CN"/>
              </w:rPr>
              <w:t>7.1-</w:t>
            </w: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rPr>
              <w:t>0</w:t>
            </w:r>
            <w:r>
              <w:rPr>
                <w:rFonts w:hint="eastAsia" w:ascii="宋体" w:hAnsi="宋体" w:eastAsia="宋体" w:cs="宋体"/>
                <w:color w:val="auto"/>
                <w:kern w:val="0"/>
                <w:sz w:val="24"/>
                <w:szCs w:val="24"/>
                <w:highlight w:val="none"/>
              </w:rPr>
              <w:t>分；</w:t>
            </w:r>
          </w:p>
          <w:p>
            <w:pPr>
              <w:shd w:val="clear" w:color="auto" w:fill="auto"/>
              <w:spacing w:line="220" w:lineRule="atLeast"/>
              <w:rPr>
                <w:rFonts w:hint="eastAsia" w:ascii="宋体" w:hAnsi="宋体" w:eastAsia="宋体" w:cs="宋体"/>
                <w:color w:val="auto"/>
                <w:highlight w:val="none"/>
                <w:lang w:eastAsia="zh-CN"/>
              </w:rPr>
            </w:pPr>
            <w:r>
              <w:rPr>
                <w:rFonts w:hint="eastAsia" w:ascii="宋体" w:hAnsi="宋体" w:eastAsia="宋体" w:cs="宋体"/>
                <w:color w:val="auto"/>
                <w:kern w:val="0"/>
                <w:sz w:val="24"/>
                <w:szCs w:val="24"/>
                <w:highlight w:val="none"/>
              </w:rPr>
              <w:t>2. 赛事宣传合作渠道较丰富、合作单位知名度较高，赛事宣传方案合理、内容常规、操作简略的得</w:t>
            </w:r>
            <w:r>
              <w:rPr>
                <w:rFonts w:hint="eastAsia" w:ascii="宋体" w:hAnsi="宋体" w:eastAsia="宋体" w:cs="宋体"/>
                <w:color w:val="auto"/>
                <w:kern w:val="0"/>
                <w:sz w:val="24"/>
                <w:szCs w:val="24"/>
                <w:highlight w:val="none"/>
                <w:lang w:val="en-US" w:eastAsia="zh-CN"/>
              </w:rPr>
              <w:t>4.1-</w:t>
            </w:r>
            <w:r>
              <w:rPr>
                <w:rFonts w:hint="eastAsia" w:ascii="宋体" w:hAnsi="宋体" w:eastAsia="宋体" w:cs="宋体"/>
                <w:color w:val="auto"/>
                <w:kern w:val="0"/>
                <w:sz w:val="24"/>
                <w:szCs w:val="24"/>
                <w:highlight w:val="none"/>
              </w:rPr>
              <w:t>7分；</w:t>
            </w:r>
          </w:p>
          <w:p>
            <w:pPr>
              <w:shd w:val="clear" w:color="auto" w:fill="auto"/>
              <w:spacing w:line="220" w:lineRule="atLeast"/>
              <w:rPr>
                <w:rFonts w:hint="eastAsia" w:ascii="宋体" w:hAnsi="宋体" w:eastAsia="宋体" w:cs="宋体"/>
                <w:bCs/>
                <w:iCs/>
                <w:color w:val="auto"/>
                <w:sz w:val="24"/>
                <w:szCs w:val="24"/>
                <w:highlight w:val="none"/>
              </w:rPr>
            </w:pPr>
            <w:r>
              <w:rPr>
                <w:rFonts w:hint="eastAsia" w:ascii="宋体" w:hAnsi="宋体" w:eastAsia="宋体" w:cs="宋体"/>
                <w:color w:val="auto"/>
                <w:kern w:val="0"/>
                <w:sz w:val="24"/>
                <w:szCs w:val="24"/>
                <w:highlight w:val="none"/>
              </w:rPr>
              <w:t>3. 赛事宣传合作渠道一般、合作单位知名度一般，赛事宣传方案粗糙、内容缺漏、操作性差的得</w:t>
            </w:r>
            <w:r>
              <w:rPr>
                <w:rFonts w:hint="eastAsia" w:ascii="宋体" w:hAnsi="宋体" w:eastAsia="宋体" w:cs="宋体"/>
                <w:color w:val="auto"/>
                <w:kern w:val="0"/>
                <w:sz w:val="24"/>
                <w:szCs w:val="24"/>
                <w:highlight w:val="none"/>
                <w:lang w:val="en-US" w:eastAsia="zh-CN"/>
              </w:rPr>
              <w:t>0.1-</w:t>
            </w:r>
            <w:r>
              <w:rPr>
                <w:rFonts w:hint="eastAsia" w:ascii="宋体" w:hAnsi="宋体" w:eastAsia="宋体" w:cs="宋体"/>
                <w:color w:val="auto"/>
                <w:kern w:val="0"/>
                <w:sz w:val="24"/>
                <w:szCs w:val="24"/>
                <w:highlight w:val="none"/>
              </w:rPr>
              <w:t>4分。</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auto"/>
              <w:spacing w:line="22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124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hd w:val="clear" w:color="auto" w:fill="auto"/>
              <w:jc w:val="left"/>
              <w:rPr>
                <w:rFonts w:hint="eastAsia" w:ascii="宋体" w:hAnsi="宋体" w:eastAsia="宋体" w:cs="宋体"/>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auto"/>
              <w:spacing w:line="220" w:lineRule="atLeast"/>
              <w:rPr>
                <w:rFonts w:hint="eastAsia" w:ascii="宋体" w:hAnsi="宋体" w:eastAsia="宋体" w:cs="宋体"/>
                <w:color w:val="auto"/>
                <w:sz w:val="24"/>
                <w:szCs w:val="24"/>
                <w:highlight w:val="none"/>
              </w:rPr>
            </w:pPr>
            <w:r>
              <w:rPr>
                <w:rFonts w:hint="eastAsia" w:ascii="宋体" w:hAnsi="宋体" w:eastAsia="宋体" w:cs="宋体"/>
                <w:bCs/>
                <w:iCs/>
                <w:color w:val="auto"/>
                <w:sz w:val="24"/>
                <w:szCs w:val="24"/>
                <w:highlight w:val="none"/>
              </w:rPr>
              <w:t>类似项目案例情况</w:t>
            </w:r>
          </w:p>
        </w:tc>
        <w:tc>
          <w:tcPr>
            <w:tcW w:w="685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auto"/>
              <w:tabs>
                <w:tab w:val="left" w:pos="0"/>
              </w:tabs>
              <w:snapToGrid w:val="0"/>
              <w:spacing w:line="300" w:lineRule="auto"/>
              <w:jc w:val="left"/>
              <w:rPr>
                <w:rFonts w:hint="eastAsia" w:ascii="宋体" w:hAnsi="宋体" w:eastAsia="宋体" w:cs="宋体"/>
                <w:bCs/>
                <w:iCs/>
                <w:color w:val="auto"/>
                <w:sz w:val="24"/>
                <w:szCs w:val="24"/>
                <w:highlight w:val="none"/>
                <w:lang w:eastAsia="zh-CN"/>
              </w:rPr>
            </w:pPr>
            <w:r>
              <w:rPr>
                <w:rFonts w:hint="eastAsia" w:ascii="宋体" w:hAnsi="宋体" w:eastAsia="宋体" w:cs="宋体"/>
                <w:bCs/>
                <w:iCs/>
                <w:color w:val="auto"/>
                <w:sz w:val="24"/>
                <w:szCs w:val="24"/>
                <w:highlight w:val="none"/>
              </w:rPr>
              <w:t>投标单位拥有举办创业创新大赛案例（合同签订日期在20</w:t>
            </w:r>
            <w:r>
              <w:rPr>
                <w:rFonts w:hint="eastAsia" w:ascii="宋体" w:hAnsi="宋体" w:eastAsia="宋体" w:cs="宋体"/>
                <w:bCs/>
                <w:iCs/>
                <w:color w:val="auto"/>
                <w:sz w:val="24"/>
                <w:szCs w:val="24"/>
                <w:highlight w:val="none"/>
                <w:lang w:val="en-US" w:eastAsia="zh-CN"/>
              </w:rPr>
              <w:t>21</w:t>
            </w:r>
            <w:r>
              <w:rPr>
                <w:rFonts w:hint="eastAsia" w:ascii="宋体" w:hAnsi="宋体" w:eastAsia="宋体" w:cs="宋体"/>
                <w:bCs/>
                <w:iCs/>
                <w:color w:val="auto"/>
                <w:sz w:val="24"/>
                <w:szCs w:val="24"/>
                <w:highlight w:val="none"/>
              </w:rPr>
              <w:t>年1月1月以后的）；每一个业绩得</w:t>
            </w:r>
            <w:r>
              <w:rPr>
                <w:rFonts w:hint="eastAsia" w:ascii="宋体" w:hAnsi="宋体" w:eastAsia="宋体" w:cs="宋体"/>
                <w:bCs/>
                <w:iCs/>
                <w:color w:val="auto"/>
                <w:sz w:val="24"/>
                <w:szCs w:val="24"/>
                <w:highlight w:val="none"/>
                <w:lang w:val="en-US" w:eastAsia="zh-CN"/>
              </w:rPr>
              <w:t>0.5</w:t>
            </w:r>
            <w:r>
              <w:rPr>
                <w:rFonts w:hint="eastAsia" w:ascii="宋体" w:hAnsi="宋体" w:eastAsia="宋体" w:cs="宋体"/>
                <w:bCs/>
                <w:iCs/>
                <w:color w:val="auto"/>
                <w:sz w:val="24"/>
                <w:szCs w:val="24"/>
                <w:highlight w:val="none"/>
              </w:rPr>
              <w:t>分，最高得</w:t>
            </w:r>
            <w:r>
              <w:rPr>
                <w:rFonts w:hint="eastAsia" w:ascii="宋体" w:hAnsi="宋体" w:eastAsia="宋体" w:cs="宋体"/>
                <w:bCs/>
                <w:iCs/>
                <w:color w:val="auto"/>
                <w:sz w:val="24"/>
                <w:szCs w:val="24"/>
                <w:highlight w:val="none"/>
                <w:lang w:val="en-US" w:eastAsia="zh-CN"/>
              </w:rPr>
              <w:t>1.5</w:t>
            </w:r>
            <w:r>
              <w:rPr>
                <w:rFonts w:hint="eastAsia" w:ascii="宋体" w:hAnsi="宋体" w:eastAsia="宋体" w:cs="宋体"/>
                <w:bCs/>
                <w:iCs/>
                <w:color w:val="auto"/>
                <w:sz w:val="24"/>
                <w:szCs w:val="24"/>
                <w:highlight w:val="none"/>
              </w:rPr>
              <w:t>分</w:t>
            </w:r>
            <w:r>
              <w:rPr>
                <w:rFonts w:hint="eastAsia" w:ascii="宋体" w:hAnsi="宋体" w:eastAsia="宋体" w:cs="宋体"/>
                <w:bCs/>
                <w:iCs/>
                <w:color w:val="auto"/>
                <w:sz w:val="24"/>
                <w:szCs w:val="24"/>
                <w:highlight w:val="none"/>
                <w:lang w:eastAsia="zh-CN"/>
              </w:rPr>
              <w:t>。</w:t>
            </w:r>
          </w:p>
        </w:tc>
        <w:tc>
          <w:tcPr>
            <w:tcW w:w="7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shd w:val="clear" w:color="auto" w:fill="auto"/>
              <w:spacing w:line="220" w:lineRule="atLeast"/>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r>
    </w:tbl>
    <w:p>
      <w:pPr>
        <w:pStyle w:val="2"/>
        <w:rPr>
          <w:rFonts w:hint="eastAsia" w:ascii="宋体" w:hAnsi="宋体" w:eastAsia="宋体" w:cs="宋体"/>
          <w:color w:val="auto"/>
          <w:highlight w:val="none"/>
          <w:lang w:val="zh-CN"/>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240" w:lineRule="auto"/>
        <w:jc w:val="left"/>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br w:type="page"/>
      </w:r>
    </w:p>
    <w:p>
      <w:pPr>
        <w:shd w:val="clear"/>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第四部分 项目需求</w:t>
      </w:r>
    </w:p>
    <w:p>
      <w:pPr>
        <w:shd w:val="clear" w:color="auto" w:fill="auto"/>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一、磋商项目一览表</w:t>
      </w:r>
    </w:p>
    <w:p>
      <w:pPr>
        <w:shd w:val="clear" w:color="auto" w:fill="auto"/>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本次磋商共</w:t>
      </w:r>
      <w:r>
        <w:rPr>
          <w:rFonts w:hint="eastAsia" w:ascii="宋体" w:hAnsi="宋体" w:eastAsia="宋体" w:cs="宋体"/>
          <w:color w:val="auto"/>
          <w:sz w:val="24"/>
          <w:highlight w:val="none"/>
          <w:u w:val="single"/>
        </w:rPr>
        <w:t xml:space="preserve"> 1 </w:t>
      </w:r>
      <w:r>
        <w:rPr>
          <w:rFonts w:hint="eastAsia" w:ascii="宋体" w:hAnsi="宋体" w:eastAsia="宋体" w:cs="宋体"/>
          <w:color w:val="auto"/>
          <w:sz w:val="24"/>
          <w:highlight w:val="none"/>
        </w:rPr>
        <w:t>个标段，具体内容如下表：</w:t>
      </w:r>
    </w:p>
    <w:tbl>
      <w:tblPr>
        <w:tblStyle w:val="30"/>
        <w:tblW w:w="98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2124"/>
        <w:gridCol w:w="950"/>
        <w:gridCol w:w="770"/>
        <w:gridCol w:w="1040"/>
        <w:gridCol w:w="3150"/>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696" w:type="dxa"/>
            <w:noWrap w:val="0"/>
            <w:vAlign w:val="center"/>
          </w:tcPr>
          <w:p>
            <w:pPr>
              <w:keepNext w:val="0"/>
              <w:keepLines w:val="0"/>
              <w:pageBreakBefore w:val="0"/>
              <w:shd w:val="clear" w:color="auto" w:fill="auto"/>
              <w:tabs>
                <w:tab w:val="left" w:pos="8280"/>
              </w:tabs>
              <w:kinsoku/>
              <w:wordWrap/>
              <w:overflowPunct/>
              <w:topLinePunct w:val="0"/>
              <w:autoSpaceDE w:val="0"/>
              <w:autoSpaceDN w:val="0"/>
              <w:bidi w:val="0"/>
              <w:adjustRightInd w:val="0"/>
              <w:spacing w:line="360" w:lineRule="auto"/>
              <w:ind w:right="2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标段号</w:t>
            </w:r>
          </w:p>
        </w:tc>
        <w:tc>
          <w:tcPr>
            <w:tcW w:w="2124" w:type="dxa"/>
            <w:noWrap w:val="0"/>
            <w:vAlign w:val="center"/>
          </w:tcPr>
          <w:p>
            <w:pPr>
              <w:keepNext w:val="0"/>
              <w:keepLines w:val="0"/>
              <w:pageBreakBefore w:val="0"/>
              <w:shd w:val="clear" w:color="auto" w:fill="auto"/>
              <w:tabs>
                <w:tab w:val="left" w:pos="8280"/>
              </w:tabs>
              <w:kinsoku/>
              <w:wordWrap/>
              <w:overflowPunct/>
              <w:topLinePunct w:val="0"/>
              <w:autoSpaceDE w:val="0"/>
              <w:autoSpaceDN w:val="0"/>
              <w:bidi w:val="0"/>
              <w:adjustRightInd w:val="0"/>
              <w:spacing w:line="360" w:lineRule="auto"/>
              <w:ind w:right="25" w:firstLine="120" w:firstLineChars="5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顶目名称</w:t>
            </w:r>
          </w:p>
        </w:tc>
        <w:tc>
          <w:tcPr>
            <w:tcW w:w="950" w:type="dxa"/>
            <w:noWrap w:val="0"/>
            <w:vAlign w:val="center"/>
          </w:tcPr>
          <w:p>
            <w:pPr>
              <w:keepNext w:val="0"/>
              <w:keepLines w:val="0"/>
              <w:pageBreakBefore w:val="0"/>
              <w:shd w:val="clear" w:color="auto" w:fill="auto"/>
              <w:tabs>
                <w:tab w:val="left" w:pos="8280"/>
              </w:tabs>
              <w:kinsoku/>
              <w:wordWrap/>
              <w:overflowPunct/>
              <w:topLinePunct w:val="0"/>
              <w:autoSpaceDE w:val="0"/>
              <w:autoSpaceDN w:val="0"/>
              <w:bidi w:val="0"/>
              <w:adjustRightInd w:val="0"/>
              <w:spacing w:line="360" w:lineRule="auto"/>
              <w:ind w:right="2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770" w:type="dxa"/>
            <w:noWrap w:val="0"/>
            <w:vAlign w:val="center"/>
          </w:tcPr>
          <w:p>
            <w:pPr>
              <w:keepNext w:val="0"/>
              <w:keepLines w:val="0"/>
              <w:pageBreakBefore w:val="0"/>
              <w:shd w:val="clear" w:color="auto" w:fill="auto"/>
              <w:tabs>
                <w:tab w:val="left" w:pos="8280"/>
              </w:tabs>
              <w:kinsoku/>
              <w:wordWrap/>
              <w:overflowPunct/>
              <w:topLinePunct w:val="0"/>
              <w:autoSpaceDE w:val="0"/>
              <w:autoSpaceDN w:val="0"/>
              <w:bidi w:val="0"/>
              <w:adjustRightInd w:val="0"/>
              <w:spacing w:line="360" w:lineRule="auto"/>
              <w:ind w:right="2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单位</w:t>
            </w:r>
          </w:p>
        </w:tc>
        <w:tc>
          <w:tcPr>
            <w:tcW w:w="1040" w:type="dxa"/>
            <w:noWrap w:val="0"/>
            <w:vAlign w:val="center"/>
          </w:tcPr>
          <w:p>
            <w:pPr>
              <w:keepNext w:val="0"/>
              <w:keepLines w:val="0"/>
              <w:pageBreakBefore w:val="0"/>
              <w:shd w:val="clear" w:color="auto" w:fill="auto"/>
              <w:tabs>
                <w:tab w:val="left" w:pos="8280"/>
              </w:tabs>
              <w:kinsoku/>
              <w:wordWrap/>
              <w:overflowPunct/>
              <w:topLinePunct w:val="0"/>
              <w:autoSpaceDE w:val="0"/>
              <w:autoSpaceDN w:val="0"/>
              <w:bidi w:val="0"/>
              <w:adjustRightInd w:val="0"/>
              <w:spacing w:line="360" w:lineRule="auto"/>
              <w:ind w:right="25"/>
              <w:jc w:val="center"/>
              <w:rPr>
                <w:rFonts w:hint="eastAsia" w:ascii="宋体" w:hAnsi="宋体" w:eastAsia="宋体" w:cs="宋体"/>
                <w:b/>
                <w:color w:val="auto"/>
                <w:highlight w:val="none"/>
              </w:rPr>
            </w:pPr>
            <w:r>
              <w:rPr>
                <w:rFonts w:hint="eastAsia" w:ascii="宋体" w:hAnsi="宋体" w:eastAsia="宋体" w:cs="宋体"/>
                <w:b/>
                <w:color w:val="auto"/>
                <w:highlight w:val="none"/>
              </w:rPr>
              <w:t>预算</w:t>
            </w:r>
          </w:p>
          <w:p>
            <w:pPr>
              <w:keepNext w:val="0"/>
              <w:keepLines w:val="0"/>
              <w:pageBreakBefore w:val="0"/>
              <w:shd w:val="clear" w:color="auto" w:fill="auto"/>
              <w:tabs>
                <w:tab w:val="left" w:pos="8280"/>
              </w:tabs>
              <w:kinsoku/>
              <w:wordWrap/>
              <w:overflowPunct/>
              <w:topLinePunct w:val="0"/>
              <w:autoSpaceDE w:val="0"/>
              <w:autoSpaceDN w:val="0"/>
              <w:bidi w:val="0"/>
              <w:adjustRightInd w:val="0"/>
              <w:spacing w:line="360" w:lineRule="auto"/>
              <w:ind w:right="25"/>
              <w:jc w:val="center"/>
              <w:rPr>
                <w:rFonts w:hint="eastAsia" w:ascii="宋体" w:hAnsi="宋体" w:eastAsia="宋体" w:cs="宋体"/>
                <w:b/>
                <w:color w:val="auto"/>
                <w:highlight w:val="none"/>
              </w:rPr>
            </w:pPr>
            <w:r>
              <w:rPr>
                <w:rFonts w:hint="eastAsia" w:ascii="宋体" w:hAnsi="宋体" w:eastAsia="宋体" w:cs="宋体"/>
                <w:b/>
                <w:color w:val="auto"/>
                <w:highlight w:val="none"/>
              </w:rPr>
              <w:t>（万元）</w:t>
            </w:r>
          </w:p>
        </w:tc>
        <w:tc>
          <w:tcPr>
            <w:tcW w:w="3150" w:type="dxa"/>
            <w:noWrap w:val="0"/>
            <w:vAlign w:val="center"/>
          </w:tcPr>
          <w:p>
            <w:pPr>
              <w:keepNext w:val="0"/>
              <w:keepLines w:val="0"/>
              <w:pageBreakBefore w:val="0"/>
              <w:shd w:val="clear" w:color="auto" w:fill="auto"/>
              <w:tabs>
                <w:tab w:val="left" w:pos="8280"/>
              </w:tabs>
              <w:kinsoku/>
              <w:wordWrap/>
              <w:overflowPunct/>
              <w:topLinePunct w:val="0"/>
              <w:autoSpaceDE w:val="0"/>
              <w:autoSpaceDN w:val="0"/>
              <w:bidi w:val="0"/>
              <w:adjustRightInd w:val="0"/>
              <w:spacing w:line="360" w:lineRule="auto"/>
              <w:ind w:right="2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服务期</w:t>
            </w:r>
          </w:p>
        </w:tc>
        <w:tc>
          <w:tcPr>
            <w:tcW w:w="1110" w:type="dxa"/>
            <w:noWrap w:val="0"/>
            <w:vAlign w:val="center"/>
          </w:tcPr>
          <w:p>
            <w:pPr>
              <w:keepNext w:val="0"/>
              <w:keepLines w:val="0"/>
              <w:pageBreakBefore w:val="0"/>
              <w:shd w:val="clear" w:color="auto" w:fill="auto"/>
              <w:tabs>
                <w:tab w:val="left" w:pos="8280"/>
              </w:tabs>
              <w:kinsoku/>
              <w:wordWrap/>
              <w:overflowPunct/>
              <w:topLinePunct w:val="0"/>
              <w:autoSpaceDE w:val="0"/>
              <w:autoSpaceDN w:val="0"/>
              <w:bidi w:val="0"/>
              <w:adjustRightInd w:val="0"/>
              <w:spacing w:line="360" w:lineRule="auto"/>
              <w:ind w:right="25"/>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696" w:type="dxa"/>
            <w:noWrap w:val="0"/>
            <w:vAlign w:val="center"/>
          </w:tcPr>
          <w:p>
            <w:pPr>
              <w:keepNext w:val="0"/>
              <w:keepLines w:val="0"/>
              <w:pageBreakBefore w:val="0"/>
              <w:shd w:val="clear" w:color="auto" w:fill="auto"/>
              <w:tabs>
                <w:tab w:val="left" w:pos="8280"/>
              </w:tabs>
              <w:kinsoku/>
              <w:wordWrap/>
              <w:overflowPunct/>
              <w:topLinePunct w:val="0"/>
              <w:autoSpaceDE w:val="0"/>
              <w:autoSpaceDN w:val="0"/>
              <w:bidi w:val="0"/>
              <w:adjustRightInd w:val="0"/>
              <w:spacing w:line="360" w:lineRule="auto"/>
              <w:jc w:val="center"/>
              <w:rPr>
                <w:rFonts w:hint="eastAsia" w:ascii="宋体" w:hAnsi="宋体" w:eastAsia="宋体" w:cs="宋体"/>
                <w:bCs/>
                <w:color w:val="auto"/>
                <w:sz w:val="24"/>
                <w:highlight w:val="none"/>
              </w:rPr>
            </w:pPr>
            <w:r>
              <w:rPr>
                <w:rFonts w:hint="eastAsia" w:ascii="宋体" w:hAnsi="宋体" w:eastAsia="宋体" w:cs="宋体"/>
                <w:color w:val="auto"/>
                <w:sz w:val="24"/>
                <w:highlight w:val="none"/>
              </w:rPr>
              <w:t>一</w:t>
            </w:r>
          </w:p>
        </w:tc>
        <w:tc>
          <w:tcPr>
            <w:tcW w:w="2124" w:type="dxa"/>
            <w:noWrap w:val="0"/>
            <w:vAlign w:val="center"/>
          </w:tcPr>
          <w:p>
            <w:pPr>
              <w:keepNext w:val="0"/>
              <w:keepLines w:val="0"/>
              <w:pageBreakBefore w:val="0"/>
              <w:shd w:val="clear" w:color="auto" w:fill="auto"/>
              <w:kinsoku/>
              <w:wordWrap/>
              <w:overflowPunct/>
              <w:topLinePunct w:val="0"/>
              <w:autoSpaceDE/>
              <w:autoSpaceDN/>
              <w:bidi w:val="0"/>
              <w:adjustRightInd/>
              <w:snapToGrid/>
              <w:spacing w:line="360" w:lineRule="auto"/>
              <w:ind w:right="0"/>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eastAsia="zh-CN"/>
              </w:rPr>
              <w:t>中国·路桥第七届</w:t>
            </w:r>
            <w:r>
              <w:rPr>
                <w:rFonts w:hint="eastAsia" w:ascii="宋体" w:hAnsi="宋体" w:eastAsia="宋体" w:cs="宋体"/>
                <w:bCs/>
                <w:color w:val="auto"/>
                <w:sz w:val="24"/>
                <w:highlight w:val="none"/>
              </w:rPr>
              <w:t>高端智能装备全球创业创新大赛组织服务项目</w:t>
            </w:r>
          </w:p>
        </w:tc>
        <w:tc>
          <w:tcPr>
            <w:tcW w:w="950" w:type="dxa"/>
            <w:noWrap w:val="0"/>
            <w:vAlign w:val="center"/>
          </w:tcPr>
          <w:p>
            <w:pPr>
              <w:keepNext w:val="0"/>
              <w:keepLines w:val="0"/>
              <w:pageBreakBefore w:val="0"/>
              <w:shd w:val="clear" w:color="auto" w:fill="auto"/>
              <w:tabs>
                <w:tab w:val="left" w:pos="8280"/>
              </w:tabs>
              <w:kinsoku/>
              <w:wordWrap/>
              <w:overflowPunct/>
              <w:topLinePunct w:val="0"/>
              <w:autoSpaceDE w:val="0"/>
              <w:autoSpaceDN w:val="0"/>
              <w:bidi w:val="0"/>
              <w:adjustRightInd w:val="0"/>
              <w:snapToGrid w:val="0"/>
              <w:spacing w:line="360" w:lineRule="auto"/>
              <w:ind w:right="25"/>
              <w:jc w:val="center"/>
              <w:rPr>
                <w:rFonts w:hint="eastAsia" w:ascii="宋体" w:hAnsi="宋体" w:eastAsia="宋体" w:cs="宋体"/>
                <w:color w:val="auto"/>
                <w:sz w:val="28"/>
                <w:highlight w:val="none"/>
              </w:rPr>
            </w:pPr>
            <w:r>
              <w:rPr>
                <w:rFonts w:hint="eastAsia" w:ascii="宋体" w:hAnsi="宋体" w:eastAsia="宋体" w:cs="宋体"/>
                <w:bCs/>
                <w:color w:val="auto"/>
                <w:sz w:val="24"/>
                <w:highlight w:val="none"/>
              </w:rPr>
              <w:t>1</w:t>
            </w:r>
          </w:p>
        </w:tc>
        <w:tc>
          <w:tcPr>
            <w:tcW w:w="770" w:type="dxa"/>
            <w:noWrap w:val="0"/>
            <w:vAlign w:val="center"/>
          </w:tcPr>
          <w:p>
            <w:pPr>
              <w:keepNext w:val="0"/>
              <w:keepLines w:val="0"/>
              <w:pageBreakBefore w:val="0"/>
              <w:shd w:val="clear" w:color="auto" w:fill="auto"/>
              <w:tabs>
                <w:tab w:val="left" w:pos="8280"/>
              </w:tabs>
              <w:kinsoku/>
              <w:wordWrap/>
              <w:overflowPunct/>
              <w:topLinePunct w:val="0"/>
              <w:autoSpaceDE w:val="0"/>
              <w:autoSpaceDN w:val="0"/>
              <w:bidi w:val="0"/>
              <w:adjustRightInd w:val="0"/>
              <w:snapToGrid w:val="0"/>
              <w:spacing w:line="360" w:lineRule="auto"/>
              <w:ind w:right="25"/>
              <w:jc w:val="center"/>
              <w:rPr>
                <w:rFonts w:hint="eastAsia" w:ascii="宋体" w:hAnsi="宋体" w:eastAsia="宋体" w:cs="宋体"/>
                <w:color w:val="auto"/>
                <w:sz w:val="28"/>
                <w:highlight w:val="none"/>
              </w:rPr>
            </w:pPr>
            <w:r>
              <w:rPr>
                <w:rFonts w:hint="eastAsia" w:ascii="宋体" w:hAnsi="宋体" w:eastAsia="宋体" w:cs="宋体"/>
                <w:bCs/>
                <w:color w:val="auto"/>
                <w:sz w:val="24"/>
                <w:highlight w:val="none"/>
              </w:rPr>
              <w:t>项</w:t>
            </w:r>
          </w:p>
        </w:tc>
        <w:tc>
          <w:tcPr>
            <w:tcW w:w="1040" w:type="dxa"/>
            <w:noWrap w:val="0"/>
            <w:vAlign w:val="center"/>
          </w:tcPr>
          <w:p>
            <w:pPr>
              <w:keepNext w:val="0"/>
              <w:keepLines w:val="0"/>
              <w:pageBreakBefore w:val="0"/>
              <w:shd w:val="clear" w:color="auto" w:fill="auto"/>
              <w:tabs>
                <w:tab w:val="left" w:pos="8280"/>
              </w:tabs>
              <w:kinsoku/>
              <w:wordWrap/>
              <w:overflowPunct/>
              <w:topLinePunct w:val="0"/>
              <w:autoSpaceDE w:val="0"/>
              <w:autoSpaceDN w:val="0"/>
              <w:bidi w:val="0"/>
              <w:adjustRightInd w:val="0"/>
              <w:snapToGrid w:val="0"/>
              <w:spacing w:line="360" w:lineRule="auto"/>
              <w:ind w:right="25"/>
              <w:jc w:val="center"/>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85</w:t>
            </w:r>
          </w:p>
        </w:tc>
        <w:tc>
          <w:tcPr>
            <w:tcW w:w="3150" w:type="dxa"/>
            <w:noWrap w:val="0"/>
            <w:vAlign w:val="center"/>
          </w:tcPr>
          <w:p>
            <w:pPr>
              <w:keepNext w:val="0"/>
              <w:keepLines w:val="0"/>
              <w:pageBreakBefore w:val="0"/>
              <w:shd w:val="clear" w:color="auto" w:fill="auto"/>
              <w:tabs>
                <w:tab w:val="left" w:pos="8280"/>
              </w:tabs>
              <w:kinsoku/>
              <w:wordWrap/>
              <w:overflowPunct/>
              <w:topLinePunct w:val="0"/>
              <w:autoSpaceDE w:val="0"/>
              <w:autoSpaceDN w:val="0"/>
              <w:bidi w:val="0"/>
              <w:adjustRightInd w:val="0"/>
              <w:snapToGrid w:val="0"/>
              <w:spacing w:line="360" w:lineRule="auto"/>
              <w:ind w:right="25"/>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合同签订起至202</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rPr>
              <w:t>年底。</w:t>
            </w:r>
            <w:r>
              <w:rPr>
                <w:rFonts w:hint="eastAsia" w:ascii="宋体" w:hAnsi="宋体" w:eastAsia="宋体" w:cs="宋体"/>
                <w:color w:val="auto"/>
                <w:sz w:val="24"/>
                <w:szCs w:val="24"/>
                <w:highlight w:val="none"/>
                <w:lang w:val="en-US" w:eastAsia="zh-CN"/>
              </w:rPr>
              <w:t>（</w:t>
            </w:r>
            <w:r>
              <w:rPr>
                <w:rStyle w:val="39"/>
                <w:rFonts w:hint="eastAsia" w:ascii="宋体" w:hAnsi="宋体" w:eastAsia="宋体" w:cs="宋体"/>
                <w:color w:val="auto"/>
                <w:sz w:val="24"/>
                <w:szCs w:val="32"/>
                <w:highlight w:val="none"/>
                <w:lang w:val="zh-CN"/>
              </w:rPr>
              <w:t>后续年份的采购按批准的预算执行，续签年份财政预算金额未达到合同金额或财政预算未通过的，合同约定自动失效）</w:t>
            </w:r>
          </w:p>
        </w:tc>
        <w:tc>
          <w:tcPr>
            <w:tcW w:w="1110" w:type="dxa"/>
            <w:noWrap w:val="0"/>
            <w:vAlign w:val="center"/>
          </w:tcPr>
          <w:p>
            <w:pPr>
              <w:keepNext w:val="0"/>
              <w:keepLines w:val="0"/>
              <w:pageBreakBefore w:val="0"/>
              <w:shd w:val="clear" w:color="auto" w:fill="auto"/>
              <w:tabs>
                <w:tab w:val="left" w:pos="8280"/>
              </w:tabs>
              <w:kinsoku/>
              <w:wordWrap/>
              <w:overflowPunct/>
              <w:topLinePunct w:val="0"/>
              <w:autoSpaceDE w:val="0"/>
              <w:autoSpaceDN w:val="0"/>
              <w:bidi w:val="0"/>
              <w:adjustRightInd w:val="0"/>
              <w:snapToGrid w:val="0"/>
              <w:spacing w:line="360" w:lineRule="auto"/>
              <w:ind w:right="25"/>
              <w:jc w:val="center"/>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采购人指定地点</w:t>
            </w:r>
          </w:p>
        </w:tc>
      </w:tr>
    </w:tbl>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rPr>
          <w:rFonts w:hint="eastAsia" w:ascii="宋体" w:hAnsi="宋体" w:eastAsia="宋体" w:cs="宋体"/>
          <w:b w:val="0"/>
          <w:bCs/>
          <w:color w:val="auto"/>
          <w:kern w:val="21"/>
          <w:sz w:val="32"/>
          <w:szCs w:val="32"/>
          <w:highlight w:val="none"/>
        </w:rPr>
      </w:pPr>
      <w:r>
        <w:rPr>
          <w:rFonts w:hint="eastAsia" w:ascii="宋体" w:hAnsi="宋体" w:eastAsia="宋体" w:cs="宋体"/>
          <w:b/>
          <w:bCs/>
          <w:color w:val="auto"/>
          <w:sz w:val="24"/>
          <w:highlight w:val="none"/>
        </w:rPr>
        <w:t>组织架构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主办单位：中共台州市路桥区委、台州市路桥区人民政府。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承办单位：中共路桥区委组织部、路桥区人力社保局、路桥区经信局、路桥区科技局。</w:t>
      </w:r>
    </w:p>
    <w:p>
      <w:pPr>
        <w:pStyle w:val="11"/>
        <w:ind w:firstLine="480" w:firstLineChars="200"/>
        <w:rPr>
          <w:rFonts w:hint="eastAsia" w:ascii="宋体" w:hAnsi="宋体" w:eastAsia="宋体" w:cs="宋体"/>
          <w:color w:val="auto"/>
          <w:highlight w:val="none"/>
          <w:lang w:val="en-US" w:eastAsia="zh-CN"/>
        </w:rPr>
      </w:pPr>
      <w:r>
        <w:rPr>
          <w:rFonts w:hint="eastAsia" w:ascii="宋体" w:hAnsi="宋体" w:eastAsia="宋体" w:cs="宋体"/>
          <w:color w:val="auto"/>
          <w:sz w:val="24"/>
          <w:highlight w:val="none"/>
          <w:lang w:val="en-US" w:eastAsia="zh-CN"/>
        </w:rPr>
        <w:t>协办单位：本项目中标单位。</w:t>
      </w:r>
    </w:p>
    <w:p>
      <w:pPr>
        <w:pStyle w:val="29"/>
        <w:ind w:left="0" w:leftChars="0" w:firstLine="0"/>
        <w:rPr>
          <w:rFonts w:hint="eastAsia" w:ascii="宋体" w:hAnsi="宋体" w:eastAsia="宋体" w:cs="宋体"/>
          <w:b/>
          <w:bCs/>
          <w:color w:val="auto"/>
          <w:sz w:val="24"/>
          <w:highlight w:val="none"/>
          <w:lang w:eastAsia="zh-CN"/>
        </w:rPr>
      </w:pPr>
      <w:r>
        <w:rPr>
          <w:rFonts w:hint="eastAsia" w:ascii="宋体" w:hAnsi="宋体" w:eastAsia="宋体" w:cs="宋体"/>
          <w:color w:val="auto"/>
          <w:highlight w:val="none"/>
          <w:lang w:eastAsia="zh-CN"/>
        </w:rPr>
        <w:t>　　</w:t>
      </w:r>
      <w:r>
        <w:rPr>
          <w:rFonts w:hint="eastAsia" w:ascii="宋体" w:hAnsi="宋体" w:eastAsia="宋体" w:cs="宋体"/>
          <w:b/>
          <w:bCs/>
          <w:color w:val="auto"/>
          <w:sz w:val="24"/>
          <w:highlight w:val="none"/>
          <w:lang w:eastAsia="zh-CN"/>
        </w:rPr>
        <w:t>三</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参赛领域</w:t>
      </w:r>
    </w:p>
    <w:p>
      <w:pPr>
        <w:pStyle w:val="29"/>
        <w:ind w:left="0" w:leftChars="0" w:firstLine="0"/>
        <w:rPr>
          <w:rFonts w:hint="eastAsia" w:ascii="宋体" w:hAnsi="宋体" w:eastAsia="宋体" w:cs="宋体"/>
          <w:b/>
          <w:bCs/>
          <w:color w:val="auto"/>
          <w:sz w:val="24"/>
          <w:highlight w:val="none"/>
          <w:lang w:eastAsia="zh-CN"/>
        </w:rPr>
      </w:pPr>
      <w:r>
        <w:rPr>
          <w:rFonts w:hint="eastAsia" w:ascii="宋体" w:hAnsi="宋体" w:eastAsia="宋体" w:cs="宋体"/>
          <w:b/>
          <w:bCs/>
          <w:color w:val="auto"/>
          <w:sz w:val="24"/>
          <w:highlight w:val="none"/>
          <w:lang w:eastAsia="zh-CN"/>
        </w:rPr>
        <w:t>　　</w:t>
      </w:r>
      <w:r>
        <w:rPr>
          <w:rFonts w:hint="eastAsia" w:ascii="宋体" w:hAnsi="宋体" w:eastAsia="宋体" w:cs="宋体"/>
          <w:b w:val="0"/>
          <w:bCs w:val="0"/>
          <w:color w:val="auto"/>
          <w:sz w:val="24"/>
          <w:highlight w:val="none"/>
        </w:rPr>
        <w:t>智能制造（高端装备、光电、新材料、新能源</w:t>
      </w:r>
      <w:r>
        <w:rPr>
          <w:rFonts w:hint="eastAsia" w:ascii="宋体" w:hAnsi="宋体" w:eastAsia="宋体" w:cs="宋体"/>
          <w:b w:val="0"/>
          <w:bCs w:val="0"/>
          <w:color w:val="auto"/>
          <w:sz w:val="24"/>
          <w:highlight w:val="none"/>
          <w:lang w:eastAsia="zh-CN"/>
        </w:rPr>
        <w:t>、数智</w:t>
      </w:r>
      <w:r>
        <w:rPr>
          <w:rFonts w:hint="eastAsia" w:ascii="宋体" w:hAnsi="宋体" w:eastAsia="宋体" w:cs="宋体"/>
          <w:b w:val="0"/>
          <w:bCs w:val="0"/>
          <w:color w:val="auto"/>
          <w:sz w:val="24"/>
          <w:highlight w:val="none"/>
        </w:rPr>
        <w:t>等）领域</w:t>
      </w:r>
      <w:r>
        <w:rPr>
          <w:rFonts w:hint="eastAsia" w:ascii="宋体" w:hAnsi="宋体" w:eastAsia="宋体" w:cs="宋体"/>
          <w:color w:val="auto"/>
          <w:sz w:val="24"/>
          <w:highlight w:val="none"/>
          <w:lang w:val="en-US" w:eastAsia="zh-CN"/>
        </w:rPr>
        <w:t>。</w:t>
      </w:r>
    </w:p>
    <w:p>
      <w:pPr>
        <w:keepNext w:val="0"/>
        <w:keepLines w:val="0"/>
        <w:pageBreakBefore w:val="0"/>
        <w:shd w:val="clear" w:color="auto" w:fill="auto"/>
        <w:kinsoku/>
        <w:wordWrap/>
        <w:overflowPunct/>
        <w:topLinePunct w:val="0"/>
        <w:bidi w:val="0"/>
        <w:spacing w:line="360" w:lineRule="auto"/>
        <w:ind w:firstLine="482" w:firstLineChars="20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eastAsia="zh-CN"/>
        </w:rPr>
        <w:t>四</w:t>
      </w:r>
      <w:r>
        <w:rPr>
          <w:rFonts w:hint="eastAsia" w:ascii="宋体" w:hAnsi="宋体" w:eastAsia="宋体" w:cs="宋体"/>
          <w:b/>
          <w:bCs/>
          <w:color w:val="auto"/>
          <w:sz w:val="24"/>
          <w:highlight w:val="none"/>
        </w:rPr>
        <w:t>、参赛</w:t>
      </w:r>
      <w:r>
        <w:rPr>
          <w:rFonts w:hint="eastAsia" w:ascii="宋体" w:hAnsi="宋体" w:eastAsia="宋体" w:cs="宋体"/>
          <w:b/>
          <w:bCs/>
          <w:color w:val="auto"/>
          <w:sz w:val="24"/>
          <w:highlight w:val="none"/>
          <w:lang w:eastAsia="zh-CN"/>
        </w:rPr>
        <w:t>人才</w:t>
      </w:r>
      <w:r>
        <w:rPr>
          <w:rFonts w:hint="eastAsia" w:ascii="宋体" w:hAnsi="宋体" w:eastAsia="宋体" w:cs="宋体"/>
          <w:b/>
          <w:bCs/>
          <w:color w:val="auto"/>
          <w:sz w:val="24"/>
          <w:highlight w:val="none"/>
        </w:rPr>
        <w:t>项目要求</w:t>
      </w:r>
    </w:p>
    <w:p>
      <w:pPr>
        <w:keepNext w:val="0"/>
        <w:keepLines w:val="0"/>
        <w:pageBreakBefore w:val="0"/>
        <w:shd w:val="clear" w:color="auto" w:fill="auto"/>
        <w:kinsoku/>
        <w:wordWrap/>
        <w:overflowPunct/>
        <w:topLinePunct w:val="0"/>
        <w:bidi w:val="0"/>
        <w:spacing w:line="360" w:lineRule="auto"/>
        <w:ind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（一）</w:t>
      </w:r>
      <w:r>
        <w:rPr>
          <w:rFonts w:hint="eastAsia" w:ascii="宋体" w:hAnsi="宋体" w:eastAsia="宋体" w:cs="宋体"/>
          <w:b w:val="0"/>
          <w:bCs w:val="0"/>
          <w:color w:val="auto"/>
          <w:sz w:val="24"/>
          <w:highlight w:val="none"/>
          <w:lang w:eastAsia="zh-CN"/>
        </w:rPr>
        <w:t>符合</w:t>
      </w:r>
      <w:r>
        <w:rPr>
          <w:rFonts w:hint="eastAsia" w:ascii="宋体" w:hAnsi="宋体" w:eastAsia="宋体" w:cs="宋体"/>
          <w:b w:val="0"/>
          <w:bCs w:val="0"/>
          <w:color w:val="auto"/>
          <w:sz w:val="24"/>
          <w:highlight w:val="none"/>
        </w:rPr>
        <w:t>2024 年度台州市高层次人才计划招引公告</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500精英</w:t>
      </w:r>
      <w:r>
        <w:rPr>
          <w:rFonts w:hint="eastAsia" w:ascii="宋体" w:hAnsi="宋体" w:eastAsia="宋体" w:cs="宋体"/>
          <w:b w:val="0"/>
          <w:bCs w:val="0"/>
          <w:color w:val="auto"/>
          <w:sz w:val="24"/>
          <w:highlight w:val="none"/>
          <w:lang w:eastAsia="zh-CN"/>
        </w:rPr>
        <w:t>”创业人才申报要求</w:t>
      </w:r>
      <w:r>
        <w:rPr>
          <w:rFonts w:hint="eastAsia" w:ascii="宋体" w:hAnsi="宋体" w:eastAsia="宋体" w:cs="宋体"/>
          <w:b w:val="0"/>
          <w:bCs w:val="0"/>
          <w:color w:val="auto"/>
          <w:sz w:val="24"/>
          <w:highlight w:val="none"/>
        </w:rPr>
        <w:t>，</w:t>
      </w:r>
      <w:r>
        <w:rPr>
          <w:rFonts w:hint="eastAsia" w:ascii="宋体" w:hAnsi="宋体" w:eastAsia="宋体" w:cs="宋体"/>
          <w:b w:val="0"/>
          <w:bCs w:val="0"/>
          <w:color w:val="auto"/>
          <w:sz w:val="24"/>
          <w:highlight w:val="none"/>
          <w:lang w:eastAsia="zh-CN"/>
        </w:rPr>
        <w:t>同时</w:t>
      </w:r>
      <w:r>
        <w:rPr>
          <w:rFonts w:hint="eastAsia" w:ascii="宋体" w:hAnsi="宋体" w:eastAsia="宋体" w:cs="宋体"/>
          <w:b w:val="0"/>
          <w:bCs w:val="0"/>
          <w:color w:val="auto"/>
          <w:sz w:val="24"/>
          <w:highlight w:val="none"/>
        </w:rPr>
        <w:t>把握以下几点：</w:t>
      </w:r>
    </w:p>
    <w:p>
      <w:pPr>
        <w:keepNext w:val="0"/>
        <w:keepLines w:val="0"/>
        <w:pageBreakBefore w:val="0"/>
        <w:shd w:val="clear" w:color="auto" w:fill="auto"/>
        <w:kinsoku/>
        <w:wordWrap/>
        <w:overflowPunct/>
        <w:topLinePunct w:val="0"/>
        <w:bidi w:val="0"/>
        <w:spacing w:line="360" w:lineRule="auto"/>
        <w:ind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1.有来路桥区创业创新意向。</w:t>
      </w:r>
    </w:p>
    <w:p>
      <w:pPr>
        <w:keepNext w:val="0"/>
        <w:keepLines w:val="0"/>
        <w:pageBreakBefore w:val="0"/>
        <w:shd w:val="clear" w:color="auto" w:fill="auto"/>
        <w:kinsoku/>
        <w:wordWrap/>
        <w:overflowPunct/>
        <w:topLinePunct w:val="0"/>
        <w:bidi w:val="0"/>
        <w:spacing w:line="360" w:lineRule="auto"/>
        <w:ind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w:t>
      </w:r>
      <w:r>
        <w:rPr>
          <w:rFonts w:hint="eastAsia" w:ascii="宋体" w:hAnsi="宋体" w:eastAsia="宋体" w:cs="宋体"/>
          <w:b w:val="0"/>
          <w:bCs w:val="0"/>
          <w:color w:val="auto"/>
          <w:sz w:val="24"/>
          <w:highlight w:val="none"/>
          <w:lang w:eastAsia="zh-CN"/>
        </w:rPr>
        <w:t>领衔人才</w:t>
      </w:r>
      <w:r>
        <w:rPr>
          <w:rFonts w:hint="eastAsia" w:ascii="宋体" w:hAnsi="宋体" w:eastAsia="宋体" w:cs="宋体"/>
          <w:b w:val="0"/>
          <w:bCs w:val="0"/>
          <w:color w:val="auto"/>
          <w:sz w:val="24"/>
          <w:highlight w:val="none"/>
        </w:rPr>
        <w:t>应当是参赛项目知识产权的主要拥有者或授权使用人，无知识产权纠纷。</w:t>
      </w:r>
    </w:p>
    <w:p>
      <w:pPr>
        <w:keepNext w:val="0"/>
        <w:keepLines w:val="0"/>
        <w:pageBreakBefore w:val="0"/>
        <w:shd w:val="clear" w:color="auto" w:fill="auto"/>
        <w:kinsoku/>
        <w:wordWrap/>
        <w:overflowPunct/>
        <w:topLinePunct w:val="0"/>
        <w:bidi w:val="0"/>
        <w:spacing w:line="360" w:lineRule="auto"/>
        <w:ind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3.申报人需按申报台州市“500精英”人才项目格式要求提供申报资料，进入总决赛人才需按要求在台州人才在线系统中申报方可参赛。</w:t>
      </w:r>
    </w:p>
    <w:p>
      <w:pPr>
        <w:keepNext w:val="0"/>
        <w:keepLines w:val="0"/>
        <w:pageBreakBefore w:val="0"/>
        <w:shd w:val="clear" w:color="auto" w:fill="auto"/>
        <w:kinsoku/>
        <w:wordWrap/>
        <w:overflowPunct/>
        <w:topLinePunct w:val="0"/>
        <w:bidi w:val="0"/>
        <w:spacing w:line="360" w:lineRule="auto"/>
        <w:ind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4.参赛项目不得以相同人才项目或技术成果到其它地方申报和获取地方政府扶持资助。</w:t>
      </w:r>
    </w:p>
    <w:p>
      <w:pPr>
        <w:keepNext w:val="0"/>
        <w:keepLines w:val="0"/>
        <w:pageBreakBefore w:val="0"/>
        <w:shd w:val="clear" w:color="auto" w:fill="auto"/>
        <w:kinsoku/>
        <w:wordWrap/>
        <w:overflowPunct/>
        <w:topLinePunct w:val="0"/>
        <w:bidi w:val="0"/>
        <w:spacing w:line="360" w:lineRule="auto"/>
        <w:ind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5.创业人才申报的团队成员和运行规划在落地运行后要基本不变。</w:t>
      </w:r>
    </w:p>
    <w:p>
      <w:pPr>
        <w:keepNext w:val="0"/>
        <w:keepLines w:val="0"/>
        <w:pageBreakBefore w:val="0"/>
        <w:shd w:val="clear" w:color="auto" w:fill="auto"/>
        <w:kinsoku/>
        <w:wordWrap/>
        <w:overflowPunct/>
        <w:topLinePunct w:val="0"/>
        <w:bidi w:val="0"/>
        <w:spacing w:line="360" w:lineRule="auto"/>
        <w:ind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（二）有关要求：</w:t>
      </w:r>
    </w:p>
    <w:p>
      <w:pPr>
        <w:keepNext w:val="0"/>
        <w:keepLines w:val="0"/>
        <w:pageBreakBefore w:val="0"/>
        <w:shd w:val="clear" w:color="auto" w:fill="auto"/>
        <w:kinsoku/>
        <w:wordWrap/>
        <w:overflowPunct/>
        <w:topLinePunct w:val="0"/>
        <w:bidi w:val="0"/>
        <w:spacing w:line="360" w:lineRule="auto"/>
        <w:ind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1.参赛者可以个人或团队的形式参赛，每个参赛者只能申报一个创业创新项目。</w:t>
      </w:r>
    </w:p>
    <w:p>
      <w:pPr>
        <w:keepNext w:val="0"/>
        <w:keepLines w:val="0"/>
        <w:pageBreakBefore w:val="0"/>
        <w:shd w:val="clear" w:color="auto" w:fill="auto"/>
        <w:kinsoku/>
        <w:wordWrap/>
        <w:overflowPunct/>
        <w:topLinePunct w:val="0"/>
        <w:bidi w:val="0"/>
        <w:spacing w:line="360" w:lineRule="auto"/>
        <w:ind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2.参赛项目如需在比赛过程中变更相关资料，需提前申请，经备案并允许后，方可在后续比赛及申请相关政策扶持时使用新的参赛资料。</w:t>
      </w:r>
    </w:p>
    <w:p>
      <w:pPr>
        <w:keepNext w:val="0"/>
        <w:keepLines w:val="0"/>
        <w:pageBreakBefore w:val="0"/>
        <w:shd w:val="clear" w:color="auto" w:fill="auto"/>
        <w:kinsoku/>
        <w:wordWrap/>
        <w:overflowPunct/>
        <w:topLinePunct w:val="0"/>
        <w:bidi w:val="0"/>
        <w:spacing w:line="360" w:lineRule="auto"/>
        <w:ind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3.参赛项目不得违反大赛规定。提交的创业创新项目相关材料如存在抄袭、盗用等现象，一经发现，即取消申报及资助资格，已经获得资助的将追回资助资金。</w:t>
      </w:r>
    </w:p>
    <w:p>
      <w:pPr>
        <w:keepNext w:val="0"/>
        <w:keepLines w:val="0"/>
        <w:pageBreakBefore w:val="0"/>
        <w:shd w:val="clear" w:color="auto" w:fill="auto"/>
        <w:kinsoku/>
        <w:wordWrap/>
        <w:overflowPunct/>
        <w:topLinePunct w:val="0"/>
        <w:bidi w:val="0"/>
        <w:spacing w:line="360" w:lineRule="auto"/>
        <w:ind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4.参赛项目如中途退赛，视为主动放弃本届大赛所有权益，不得要求补偿。</w:t>
      </w:r>
    </w:p>
    <w:p>
      <w:pPr>
        <w:keepNext w:val="0"/>
        <w:keepLines w:val="0"/>
        <w:pageBreakBefore w:val="0"/>
        <w:shd w:val="clear" w:color="auto" w:fill="auto"/>
        <w:kinsoku/>
        <w:wordWrap/>
        <w:overflowPunct/>
        <w:topLinePunct w:val="0"/>
        <w:bidi w:val="0"/>
        <w:spacing w:line="360" w:lineRule="auto"/>
        <w:ind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5.已在路桥落地并入选各级创业创新人才项目的不再作为参赛对象。</w:t>
      </w:r>
    </w:p>
    <w:p>
      <w:pPr>
        <w:keepNext w:val="0"/>
        <w:keepLines w:val="0"/>
        <w:pageBreakBefore w:val="0"/>
        <w:shd w:val="clear" w:color="auto" w:fill="auto"/>
        <w:kinsoku/>
        <w:wordWrap/>
        <w:overflowPunct/>
        <w:topLinePunct w:val="0"/>
        <w:bidi w:val="0"/>
        <w:spacing w:line="360" w:lineRule="auto"/>
        <w:ind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6.特别优秀的项目，申报人在学历学位、职务（职称）、年龄方面等条件中一项给予破格。</w:t>
      </w:r>
    </w:p>
    <w:p>
      <w:pPr>
        <w:keepNext w:val="0"/>
        <w:keepLines w:val="0"/>
        <w:pageBreakBefore w:val="0"/>
        <w:shd w:val="clear" w:color="auto" w:fill="auto"/>
        <w:kinsoku/>
        <w:wordWrap/>
        <w:overflowPunct/>
        <w:topLinePunct w:val="0"/>
        <w:bidi w:val="0"/>
        <w:spacing w:line="360" w:lineRule="auto"/>
        <w:ind w:firstLine="480" w:firstLineChars="200"/>
        <w:jc w:val="left"/>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7.项目征集行业主要围绕智能制造（高端装备、光电、新材料、新能源等）领域。</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rPr>
          <w:rFonts w:hint="eastAsia" w:ascii="宋体" w:hAnsi="宋体" w:eastAsia="宋体" w:cs="宋体"/>
          <w:b/>
          <w:bCs/>
          <w:color w:val="auto"/>
          <w:kern w:val="21"/>
          <w:sz w:val="24"/>
          <w:szCs w:val="24"/>
          <w:highlight w:val="none"/>
        </w:rPr>
      </w:pPr>
      <w:r>
        <w:rPr>
          <w:rFonts w:hint="eastAsia" w:ascii="宋体" w:hAnsi="宋体" w:eastAsia="宋体" w:cs="宋体"/>
          <w:b/>
          <w:bCs/>
          <w:color w:val="auto"/>
          <w:sz w:val="24"/>
          <w:szCs w:val="24"/>
          <w:highlight w:val="none"/>
          <w:lang w:eastAsia="zh-CN"/>
        </w:rPr>
        <w:t>五</w:t>
      </w: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21"/>
          <w:sz w:val="24"/>
          <w:szCs w:val="24"/>
          <w:highlight w:val="none"/>
          <w:lang w:eastAsia="zh-CN"/>
        </w:rPr>
        <w:t>大赛</w:t>
      </w:r>
      <w:r>
        <w:rPr>
          <w:rFonts w:hint="eastAsia" w:ascii="宋体" w:hAnsi="宋体" w:eastAsia="宋体" w:cs="宋体"/>
          <w:b/>
          <w:bCs/>
          <w:color w:val="auto"/>
          <w:kern w:val="21"/>
          <w:sz w:val="24"/>
          <w:szCs w:val="24"/>
          <w:highlight w:val="none"/>
        </w:rPr>
        <w:t>赛程</w:t>
      </w:r>
      <w:r>
        <w:rPr>
          <w:rFonts w:hint="eastAsia" w:ascii="宋体" w:hAnsi="宋体" w:eastAsia="宋体" w:cs="宋体"/>
          <w:b/>
          <w:bCs/>
          <w:color w:val="auto"/>
          <w:kern w:val="21"/>
          <w:sz w:val="24"/>
          <w:szCs w:val="24"/>
          <w:highlight w:val="none"/>
          <w:lang w:eastAsia="zh-CN"/>
        </w:rPr>
        <w:t>及</w:t>
      </w:r>
      <w:r>
        <w:rPr>
          <w:rFonts w:hint="eastAsia" w:ascii="宋体" w:hAnsi="宋体" w:eastAsia="宋体" w:cs="宋体"/>
          <w:b/>
          <w:bCs/>
          <w:color w:val="auto"/>
          <w:kern w:val="21"/>
          <w:sz w:val="24"/>
          <w:szCs w:val="24"/>
          <w:highlight w:val="none"/>
        </w:rPr>
        <w:t xml:space="preserve">规划 </w:t>
      </w:r>
    </w:p>
    <w:tbl>
      <w:tblPr>
        <w:tblStyle w:val="30"/>
        <w:tblW w:w="894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777"/>
        <w:gridCol w:w="1630"/>
        <w:gridCol w:w="1206"/>
        <w:gridCol w:w="433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 w:hRule="atLeast"/>
          <w:jc w:val="center"/>
        </w:trPr>
        <w:tc>
          <w:tcPr>
            <w:tcW w:w="1777" w:type="dxa"/>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center"/>
              <w:rPr>
                <w:rFonts w:hint="eastAsia" w:ascii="宋体" w:hAnsi="宋体" w:eastAsia="宋体" w:cs="宋体"/>
                <w:b w:val="0"/>
                <w:bCs/>
                <w:smallCaps w:val="0"/>
                <w:color w:val="auto"/>
                <w:kern w:val="21"/>
                <w:sz w:val="24"/>
                <w:szCs w:val="24"/>
                <w:highlight w:val="none"/>
              </w:rPr>
            </w:pPr>
            <w:r>
              <w:rPr>
                <w:rFonts w:hint="eastAsia" w:ascii="宋体" w:hAnsi="宋体" w:eastAsia="宋体" w:cs="宋体"/>
                <w:b w:val="0"/>
                <w:bCs/>
                <w:smallCaps w:val="0"/>
                <w:color w:val="auto"/>
                <w:kern w:val="21"/>
                <w:sz w:val="24"/>
                <w:szCs w:val="24"/>
                <w:highlight w:val="none"/>
              </w:rPr>
              <w:t>进程</w:t>
            </w:r>
          </w:p>
        </w:tc>
        <w:tc>
          <w:tcPr>
            <w:tcW w:w="1630" w:type="dxa"/>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center"/>
              <w:rPr>
                <w:rFonts w:hint="eastAsia" w:ascii="宋体" w:hAnsi="宋体" w:eastAsia="宋体" w:cs="宋体"/>
                <w:b w:val="0"/>
                <w:bCs/>
                <w:smallCaps w:val="0"/>
                <w:color w:val="auto"/>
                <w:kern w:val="21"/>
                <w:sz w:val="24"/>
                <w:szCs w:val="24"/>
                <w:highlight w:val="none"/>
              </w:rPr>
            </w:pPr>
            <w:r>
              <w:rPr>
                <w:rFonts w:hint="eastAsia" w:ascii="宋体" w:hAnsi="宋体" w:eastAsia="宋体" w:cs="宋体"/>
                <w:b w:val="0"/>
                <w:bCs/>
                <w:smallCaps w:val="0"/>
                <w:color w:val="auto"/>
                <w:kern w:val="21"/>
                <w:sz w:val="24"/>
                <w:szCs w:val="24"/>
                <w:highlight w:val="none"/>
              </w:rPr>
              <w:t>计划时间</w:t>
            </w:r>
          </w:p>
        </w:tc>
        <w:tc>
          <w:tcPr>
            <w:tcW w:w="1206" w:type="dxa"/>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center"/>
              <w:rPr>
                <w:rFonts w:hint="eastAsia" w:ascii="宋体" w:hAnsi="宋体" w:eastAsia="宋体" w:cs="宋体"/>
                <w:b w:val="0"/>
                <w:bCs/>
                <w:smallCaps w:val="0"/>
                <w:color w:val="auto"/>
                <w:kern w:val="21"/>
                <w:sz w:val="24"/>
                <w:szCs w:val="24"/>
                <w:highlight w:val="none"/>
              </w:rPr>
            </w:pPr>
            <w:r>
              <w:rPr>
                <w:rFonts w:hint="eastAsia" w:ascii="宋体" w:hAnsi="宋体" w:eastAsia="宋体" w:cs="宋体"/>
                <w:b w:val="0"/>
                <w:bCs/>
                <w:smallCaps w:val="0"/>
                <w:color w:val="auto"/>
                <w:kern w:val="21"/>
                <w:sz w:val="24"/>
                <w:szCs w:val="24"/>
                <w:highlight w:val="none"/>
              </w:rPr>
              <w:t>地点</w:t>
            </w:r>
          </w:p>
        </w:tc>
        <w:tc>
          <w:tcPr>
            <w:tcW w:w="4331" w:type="dxa"/>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center"/>
              <w:rPr>
                <w:rFonts w:hint="eastAsia" w:ascii="宋体" w:hAnsi="宋体" w:eastAsia="宋体" w:cs="宋体"/>
                <w:b w:val="0"/>
                <w:bCs/>
                <w:smallCaps w:val="0"/>
                <w:color w:val="auto"/>
                <w:kern w:val="21"/>
                <w:sz w:val="24"/>
                <w:szCs w:val="24"/>
                <w:highlight w:val="none"/>
              </w:rPr>
            </w:pPr>
            <w:r>
              <w:rPr>
                <w:rFonts w:hint="eastAsia" w:ascii="宋体" w:hAnsi="宋体" w:eastAsia="宋体" w:cs="宋体"/>
                <w:b w:val="0"/>
                <w:bCs/>
                <w:smallCaps w:val="0"/>
                <w:color w:val="auto"/>
                <w:kern w:val="21"/>
                <w:sz w:val="24"/>
                <w:szCs w:val="24"/>
                <w:highlight w:val="none"/>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5" w:hRule="atLeast"/>
          <w:jc w:val="center"/>
        </w:trPr>
        <w:tc>
          <w:tcPr>
            <w:tcW w:w="1777" w:type="dxa"/>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center"/>
              <w:rPr>
                <w:rFonts w:hint="eastAsia" w:ascii="宋体" w:hAnsi="宋体" w:eastAsia="宋体" w:cs="宋体"/>
                <w:b w:val="0"/>
                <w:bCs/>
                <w:smallCaps w:val="0"/>
                <w:color w:val="auto"/>
                <w:kern w:val="21"/>
                <w:sz w:val="24"/>
                <w:szCs w:val="24"/>
                <w:highlight w:val="none"/>
                <w:lang w:val="en-US" w:eastAsia="zh-CN" w:bidi="ar-SA"/>
              </w:rPr>
            </w:pPr>
            <w:r>
              <w:rPr>
                <w:rFonts w:hint="eastAsia" w:ascii="宋体" w:hAnsi="宋体" w:eastAsia="宋体" w:cs="宋体"/>
                <w:b w:val="0"/>
                <w:bCs/>
                <w:smallCaps w:val="0"/>
                <w:color w:val="auto"/>
                <w:kern w:val="21"/>
                <w:sz w:val="24"/>
                <w:szCs w:val="24"/>
                <w:highlight w:val="none"/>
              </w:rPr>
              <w:t>新闻发布会</w:t>
            </w:r>
          </w:p>
        </w:tc>
        <w:tc>
          <w:tcPr>
            <w:tcW w:w="1630" w:type="dxa"/>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center"/>
              <w:rPr>
                <w:rFonts w:hint="eastAsia" w:ascii="宋体" w:hAnsi="宋体" w:eastAsia="宋体" w:cs="宋体"/>
                <w:b w:val="0"/>
                <w:bCs/>
                <w:smallCaps w:val="0"/>
                <w:color w:val="auto"/>
                <w:kern w:val="21"/>
                <w:sz w:val="24"/>
                <w:szCs w:val="24"/>
                <w:highlight w:val="none"/>
                <w:lang w:val="en-US" w:eastAsia="zh-CN" w:bidi="ar-SA"/>
              </w:rPr>
            </w:pPr>
            <w:r>
              <w:rPr>
                <w:rFonts w:hint="eastAsia" w:ascii="宋体" w:hAnsi="宋体" w:eastAsia="宋体" w:cs="宋体"/>
                <w:b w:val="0"/>
                <w:bCs/>
                <w:smallCaps w:val="0"/>
                <w:color w:val="auto"/>
                <w:kern w:val="21"/>
                <w:sz w:val="24"/>
                <w:szCs w:val="24"/>
                <w:highlight w:val="none"/>
              </w:rPr>
              <w:t>202</w:t>
            </w:r>
            <w:r>
              <w:rPr>
                <w:rFonts w:hint="eastAsia" w:ascii="宋体" w:hAnsi="宋体" w:eastAsia="宋体" w:cs="宋体"/>
                <w:b w:val="0"/>
                <w:bCs/>
                <w:smallCaps w:val="0"/>
                <w:color w:val="auto"/>
                <w:kern w:val="21"/>
                <w:sz w:val="24"/>
                <w:szCs w:val="24"/>
                <w:highlight w:val="none"/>
                <w:lang w:val="en-US" w:eastAsia="zh-CN"/>
              </w:rPr>
              <w:t>4</w:t>
            </w:r>
            <w:r>
              <w:rPr>
                <w:rFonts w:hint="eastAsia" w:ascii="宋体" w:hAnsi="宋体" w:eastAsia="宋体" w:cs="宋体"/>
                <w:b w:val="0"/>
                <w:bCs/>
                <w:smallCaps w:val="0"/>
                <w:color w:val="auto"/>
                <w:kern w:val="21"/>
                <w:sz w:val="24"/>
                <w:szCs w:val="24"/>
                <w:highlight w:val="none"/>
              </w:rPr>
              <w:t>年</w:t>
            </w:r>
            <w:r>
              <w:rPr>
                <w:rFonts w:hint="eastAsia" w:ascii="宋体" w:hAnsi="宋体" w:eastAsia="宋体" w:cs="宋体"/>
                <w:b w:val="0"/>
                <w:bCs/>
                <w:smallCaps w:val="0"/>
                <w:color w:val="auto"/>
                <w:kern w:val="21"/>
                <w:sz w:val="24"/>
                <w:szCs w:val="24"/>
                <w:highlight w:val="none"/>
                <w:lang w:val="en-US" w:eastAsia="zh-CN"/>
              </w:rPr>
              <w:t>7</w:t>
            </w:r>
            <w:r>
              <w:rPr>
                <w:rFonts w:hint="eastAsia" w:ascii="宋体" w:hAnsi="宋体" w:eastAsia="宋体" w:cs="宋体"/>
                <w:b w:val="0"/>
                <w:bCs/>
                <w:smallCaps w:val="0"/>
                <w:color w:val="auto"/>
                <w:kern w:val="21"/>
                <w:sz w:val="24"/>
                <w:szCs w:val="24"/>
                <w:highlight w:val="none"/>
              </w:rPr>
              <w:t>月</w:t>
            </w:r>
            <w:r>
              <w:rPr>
                <w:rFonts w:hint="eastAsia" w:ascii="宋体" w:hAnsi="宋体" w:eastAsia="宋体" w:cs="宋体"/>
                <w:b w:val="0"/>
                <w:bCs/>
                <w:smallCaps w:val="0"/>
                <w:color w:val="auto"/>
                <w:kern w:val="21"/>
                <w:sz w:val="24"/>
                <w:szCs w:val="24"/>
                <w:highlight w:val="none"/>
                <w:lang w:val="en-US" w:eastAsia="zh-CN"/>
              </w:rPr>
              <w:t>-8月</w:t>
            </w:r>
          </w:p>
        </w:tc>
        <w:tc>
          <w:tcPr>
            <w:tcW w:w="1206" w:type="dxa"/>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center"/>
              <w:rPr>
                <w:rFonts w:hint="eastAsia" w:ascii="宋体" w:hAnsi="宋体" w:eastAsia="宋体" w:cs="宋体"/>
                <w:b w:val="0"/>
                <w:bCs/>
                <w:smallCaps w:val="0"/>
                <w:color w:val="auto"/>
                <w:kern w:val="21"/>
                <w:sz w:val="24"/>
                <w:szCs w:val="24"/>
                <w:highlight w:val="none"/>
                <w:u w:val="single"/>
                <w:lang w:val="en-US" w:bidi="ar-SA"/>
              </w:rPr>
            </w:pPr>
            <w:r>
              <w:rPr>
                <w:rFonts w:hint="eastAsia" w:ascii="宋体" w:hAnsi="宋体" w:eastAsia="宋体" w:cs="宋体"/>
                <w:b w:val="0"/>
                <w:bCs/>
                <w:smallCaps w:val="0"/>
                <w:color w:val="auto"/>
                <w:kern w:val="21"/>
                <w:sz w:val="24"/>
                <w:szCs w:val="24"/>
                <w:highlight w:val="none"/>
              </w:rPr>
              <w:t>路桥</w:t>
            </w:r>
          </w:p>
        </w:tc>
        <w:tc>
          <w:tcPr>
            <w:tcW w:w="4331" w:type="dxa"/>
            <w:noWrap w:val="0"/>
            <w:vAlign w:val="center"/>
          </w:tcPr>
          <w:p>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center"/>
              <w:rPr>
                <w:rFonts w:hint="eastAsia" w:ascii="宋体" w:hAnsi="宋体" w:eastAsia="宋体" w:cs="宋体"/>
                <w:b w:val="0"/>
                <w:bCs/>
                <w:smallCaps w:val="0"/>
                <w:color w:val="auto"/>
                <w:kern w:val="21"/>
                <w:sz w:val="24"/>
                <w:szCs w:val="24"/>
                <w:highlight w:val="none"/>
                <w:lang w:val="en-US" w:eastAsia="zh-CN" w:bidi="ar-SA"/>
              </w:rPr>
            </w:pPr>
            <w:r>
              <w:rPr>
                <w:rFonts w:hint="eastAsia" w:ascii="宋体" w:hAnsi="宋体" w:eastAsia="宋体" w:cs="宋体"/>
                <w:b w:val="0"/>
                <w:bCs/>
                <w:smallCaps w:val="0"/>
                <w:color w:val="auto"/>
                <w:kern w:val="21"/>
                <w:sz w:val="24"/>
                <w:szCs w:val="24"/>
                <w:highlight w:val="none"/>
              </w:rPr>
              <w:t>通过线上、线下发布，正式启动赛事</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2" w:hRule="atLeast"/>
          <w:jc w:val="center"/>
        </w:trPr>
        <w:tc>
          <w:tcPr>
            <w:tcW w:w="177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center"/>
              <w:rPr>
                <w:rFonts w:hint="eastAsia" w:ascii="宋体" w:hAnsi="宋体" w:eastAsia="宋体" w:cs="宋体"/>
                <w:b w:val="0"/>
                <w:bCs/>
                <w:smallCaps w:val="0"/>
                <w:color w:val="auto"/>
                <w:kern w:val="21"/>
                <w:sz w:val="24"/>
                <w:szCs w:val="24"/>
                <w:highlight w:val="none"/>
                <w:lang w:val="en-US"/>
              </w:rPr>
            </w:pPr>
            <w:r>
              <w:rPr>
                <w:rFonts w:hint="eastAsia" w:ascii="宋体" w:hAnsi="宋体" w:eastAsia="宋体" w:cs="宋体"/>
                <w:b w:val="0"/>
                <w:bCs/>
                <w:smallCaps w:val="0"/>
                <w:color w:val="auto"/>
                <w:kern w:val="21"/>
                <w:sz w:val="24"/>
                <w:szCs w:val="24"/>
                <w:highlight w:val="none"/>
                <w:lang w:eastAsia="zh-CN"/>
              </w:rPr>
              <w:t>初选赛</w:t>
            </w:r>
            <w:r>
              <w:rPr>
                <w:rFonts w:hint="eastAsia" w:ascii="宋体" w:hAnsi="宋体" w:eastAsia="宋体" w:cs="宋体"/>
                <w:b w:val="0"/>
                <w:bCs/>
                <w:smallCaps w:val="0"/>
                <w:color w:val="auto"/>
                <w:kern w:val="21"/>
                <w:sz w:val="24"/>
                <w:szCs w:val="24"/>
                <w:highlight w:val="none"/>
                <w:lang w:val="en-US" w:eastAsia="zh-CN"/>
              </w:rPr>
              <w:t>1</w:t>
            </w:r>
          </w:p>
        </w:tc>
        <w:tc>
          <w:tcPr>
            <w:tcW w:w="16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center"/>
              <w:rPr>
                <w:rFonts w:hint="eastAsia" w:ascii="宋体" w:hAnsi="宋体" w:eastAsia="宋体" w:cs="宋体"/>
                <w:b w:val="0"/>
                <w:bCs/>
                <w:smallCaps w:val="0"/>
                <w:color w:val="auto"/>
                <w:kern w:val="21"/>
                <w:sz w:val="24"/>
                <w:szCs w:val="24"/>
                <w:highlight w:val="none"/>
              </w:rPr>
            </w:pPr>
            <w:r>
              <w:rPr>
                <w:rFonts w:hint="eastAsia" w:ascii="宋体" w:hAnsi="宋体" w:eastAsia="宋体" w:cs="宋体"/>
                <w:b w:val="0"/>
                <w:bCs/>
                <w:smallCaps w:val="0"/>
                <w:color w:val="auto"/>
                <w:kern w:val="21"/>
                <w:sz w:val="24"/>
                <w:szCs w:val="24"/>
                <w:highlight w:val="none"/>
                <w:lang w:eastAsia="zh-Hans"/>
              </w:rPr>
              <w:t>202</w:t>
            </w:r>
            <w:r>
              <w:rPr>
                <w:rFonts w:hint="eastAsia" w:ascii="宋体" w:hAnsi="宋体" w:eastAsia="宋体" w:cs="宋体"/>
                <w:b w:val="0"/>
                <w:bCs/>
                <w:smallCaps w:val="0"/>
                <w:color w:val="auto"/>
                <w:kern w:val="21"/>
                <w:sz w:val="24"/>
                <w:szCs w:val="24"/>
                <w:highlight w:val="none"/>
                <w:lang w:val="en-US" w:eastAsia="zh-CN"/>
              </w:rPr>
              <w:t>4</w:t>
            </w:r>
            <w:r>
              <w:rPr>
                <w:rFonts w:hint="eastAsia" w:ascii="宋体" w:hAnsi="宋体" w:eastAsia="宋体" w:cs="宋体"/>
                <w:b w:val="0"/>
                <w:bCs/>
                <w:smallCaps w:val="0"/>
                <w:color w:val="auto"/>
                <w:kern w:val="21"/>
                <w:sz w:val="24"/>
                <w:szCs w:val="24"/>
                <w:highlight w:val="none"/>
                <w:lang w:eastAsia="zh-Hans"/>
              </w:rPr>
              <w:t>年</w:t>
            </w:r>
            <w:r>
              <w:rPr>
                <w:rFonts w:hint="eastAsia" w:ascii="宋体" w:hAnsi="宋体" w:eastAsia="宋体" w:cs="宋体"/>
                <w:b w:val="0"/>
                <w:bCs/>
                <w:smallCaps w:val="0"/>
                <w:color w:val="auto"/>
                <w:kern w:val="21"/>
                <w:sz w:val="24"/>
                <w:szCs w:val="24"/>
                <w:highlight w:val="none"/>
                <w:lang w:val="en-US" w:eastAsia="zh-CN"/>
              </w:rPr>
              <w:t>8-9</w:t>
            </w:r>
            <w:r>
              <w:rPr>
                <w:rFonts w:hint="eastAsia" w:ascii="宋体" w:hAnsi="宋体" w:eastAsia="宋体" w:cs="宋体"/>
                <w:b w:val="0"/>
                <w:bCs/>
                <w:smallCaps w:val="0"/>
                <w:color w:val="auto"/>
                <w:kern w:val="21"/>
                <w:sz w:val="24"/>
                <w:szCs w:val="24"/>
                <w:highlight w:val="none"/>
                <w:lang w:eastAsia="zh-Hans"/>
              </w:rPr>
              <w:t>月</w:t>
            </w:r>
          </w:p>
        </w:tc>
        <w:tc>
          <w:tcPr>
            <w:tcW w:w="120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center"/>
              <w:rPr>
                <w:rFonts w:hint="eastAsia" w:ascii="宋体" w:hAnsi="宋体" w:eastAsia="宋体" w:cs="宋体"/>
                <w:b w:val="0"/>
                <w:bCs/>
                <w:smallCaps w:val="0"/>
                <w:color w:val="auto"/>
                <w:kern w:val="21"/>
                <w:sz w:val="24"/>
                <w:szCs w:val="24"/>
                <w:highlight w:val="none"/>
              </w:rPr>
            </w:pPr>
            <w:r>
              <w:rPr>
                <w:rFonts w:hint="eastAsia" w:ascii="宋体" w:hAnsi="宋体" w:eastAsia="宋体" w:cs="宋体"/>
                <w:b w:val="0"/>
                <w:bCs/>
                <w:smallCaps w:val="0"/>
                <w:color w:val="auto"/>
                <w:kern w:val="21"/>
                <w:sz w:val="24"/>
                <w:szCs w:val="24"/>
                <w:highlight w:val="none"/>
                <w:lang w:eastAsia="zh-Hans"/>
              </w:rPr>
              <w:t>路桥</w:t>
            </w:r>
          </w:p>
        </w:tc>
        <w:tc>
          <w:tcPr>
            <w:tcW w:w="43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center"/>
              <w:rPr>
                <w:rFonts w:hint="eastAsia" w:ascii="宋体" w:hAnsi="宋体" w:eastAsia="宋体" w:cs="宋体"/>
                <w:b w:val="0"/>
                <w:bCs/>
                <w:smallCaps w:val="0"/>
                <w:color w:val="auto"/>
                <w:kern w:val="21"/>
                <w:sz w:val="24"/>
                <w:szCs w:val="24"/>
                <w:highlight w:val="none"/>
              </w:rPr>
            </w:pPr>
            <w:r>
              <w:rPr>
                <w:rFonts w:hint="eastAsia" w:ascii="宋体" w:hAnsi="宋体" w:eastAsia="宋体" w:cs="宋体"/>
                <w:b w:val="0"/>
                <w:bCs/>
                <w:smallCaps w:val="0"/>
                <w:color w:val="auto"/>
                <w:kern w:val="21"/>
                <w:sz w:val="24"/>
                <w:szCs w:val="24"/>
                <w:highlight w:val="none"/>
                <w:lang w:val="en-US" w:eastAsia="zh-CN"/>
              </w:rPr>
              <w:t>遴选10</w:t>
            </w:r>
            <w:r>
              <w:rPr>
                <w:rFonts w:hint="eastAsia" w:ascii="宋体" w:hAnsi="宋体" w:eastAsia="宋体" w:cs="宋体"/>
                <w:b w:val="0"/>
                <w:bCs/>
                <w:smallCaps w:val="0"/>
                <w:color w:val="auto"/>
                <w:kern w:val="21"/>
                <w:sz w:val="24"/>
                <w:szCs w:val="24"/>
                <w:highlight w:val="none"/>
                <w:lang w:val="en-US" w:eastAsia="zh-Hans"/>
              </w:rPr>
              <w:t>个优质项目参加路演对接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3" w:hRule="atLeast"/>
          <w:jc w:val="center"/>
        </w:trPr>
        <w:tc>
          <w:tcPr>
            <w:tcW w:w="177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center"/>
              <w:rPr>
                <w:rFonts w:hint="eastAsia" w:ascii="宋体" w:hAnsi="宋体" w:eastAsia="宋体" w:cs="宋体"/>
                <w:b w:val="0"/>
                <w:bCs/>
                <w:smallCaps w:val="0"/>
                <w:color w:val="auto"/>
                <w:kern w:val="21"/>
                <w:sz w:val="24"/>
                <w:szCs w:val="24"/>
                <w:highlight w:val="none"/>
                <w:lang w:val="en-US" w:eastAsia="zh-CN" w:bidi="ar-SA"/>
              </w:rPr>
            </w:pPr>
            <w:r>
              <w:rPr>
                <w:rFonts w:hint="eastAsia" w:ascii="宋体" w:hAnsi="宋体" w:eastAsia="宋体" w:cs="宋体"/>
                <w:b w:val="0"/>
                <w:bCs/>
                <w:smallCaps w:val="0"/>
                <w:color w:val="auto"/>
                <w:kern w:val="21"/>
                <w:sz w:val="24"/>
                <w:szCs w:val="24"/>
                <w:highlight w:val="none"/>
                <w:lang w:eastAsia="zh-CN"/>
              </w:rPr>
              <w:t>初选赛</w:t>
            </w:r>
            <w:r>
              <w:rPr>
                <w:rFonts w:hint="eastAsia" w:ascii="宋体" w:hAnsi="宋体" w:eastAsia="宋体" w:cs="宋体"/>
                <w:b w:val="0"/>
                <w:bCs/>
                <w:smallCaps w:val="0"/>
                <w:color w:val="auto"/>
                <w:kern w:val="21"/>
                <w:sz w:val="24"/>
                <w:szCs w:val="24"/>
                <w:highlight w:val="none"/>
                <w:lang w:val="en-US" w:eastAsia="zh-CN"/>
              </w:rPr>
              <w:t>2</w:t>
            </w:r>
          </w:p>
        </w:tc>
        <w:tc>
          <w:tcPr>
            <w:tcW w:w="16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center"/>
              <w:rPr>
                <w:rFonts w:hint="eastAsia" w:ascii="宋体" w:hAnsi="宋体" w:eastAsia="宋体" w:cs="宋体"/>
                <w:b w:val="0"/>
                <w:bCs/>
                <w:smallCaps w:val="0"/>
                <w:color w:val="auto"/>
                <w:kern w:val="21"/>
                <w:sz w:val="24"/>
                <w:szCs w:val="24"/>
                <w:highlight w:val="none"/>
                <w:lang w:val="en-US" w:eastAsia="zh-CN" w:bidi="ar-SA"/>
              </w:rPr>
            </w:pPr>
            <w:r>
              <w:rPr>
                <w:rFonts w:hint="eastAsia" w:ascii="宋体" w:hAnsi="宋体" w:eastAsia="宋体" w:cs="宋体"/>
                <w:b w:val="0"/>
                <w:bCs/>
                <w:smallCaps w:val="0"/>
                <w:color w:val="auto"/>
                <w:kern w:val="21"/>
                <w:sz w:val="24"/>
                <w:szCs w:val="24"/>
                <w:highlight w:val="none"/>
                <w:lang w:eastAsia="zh-Hans"/>
              </w:rPr>
              <w:t>202</w:t>
            </w:r>
            <w:r>
              <w:rPr>
                <w:rFonts w:hint="eastAsia" w:ascii="宋体" w:hAnsi="宋体" w:eastAsia="宋体" w:cs="宋体"/>
                <w:b w:val="0"/>
                <w:bCs/>
                <w:smallCaps w:val="0"/>
                <w:color w:val="auto"/>
                <w:kern w:val="21"/>
                <w:sz w:val="24"/>
                <w:szCs w:val="24"/>
                <w:highlight w:val="none"/>
                <w:lang w:val="en-US" w:eastAsia="zh-CN"/>
              </w:rPr>
              <w:t>4</w:t>
            </w:r>
            <w:r>
              <w:rPr>
                <w:rFonts w:hint="eastAsia" w:ascii="宋体" w:hAnsi="宋体" w:eastAsia="宋体" w:cs="宋体"/>
                <w:b w:val="0"/>
                <w:bCs/>
                <w:smallCaps w:val="0"/>
                <w:color w:val="auto"/>
                <w:kern w:val="21"/>
                <w:sz w:val="24"/>
                <w:szCs w:val="24"/>
                <w:highlight w:val="none"/>
                <w:lang w:eastAsia="zh-Hans"/>
              </w:rPr>
              <w:t>年</w:t>
            </w:r>
            <w:r>
              <w:rPr>
                <w:rFonts w:hint="eastAsia" w:ascii="宋体" w:hAnsi="宋体" w:eastAsia="宋体" w:cs="宋体"/>
                <w:b w:val="0"/>
                <w:bCs/>
                <w:smallCaps w:val="0"/>
                <w:color w:val="auto"/>
                <w:kern w:val="21"/>
                <w:sz w:val="24"/>
                <w:szCs w:val="24"/>
                <w:highlight w:val="none"/>
                <w:lang w:val="en-US" w:eastAsia="zh-CN"/>
              </w:rPr>
              <w:t>8-9</w:t>
            </w:r>
            <w:r>
              <w:rPr>
                <w:rFonts w:hint="eastAsia" w:ascii="宋体" w:hAnsi="宋体" w:eastAsia="宋体" w:cs="宋体"/>
                <w:b w:val="0"/>
                <w:bCs/>
                <w:smallCaps w:val="0"/>
                <w:color w:val="auto"/>
                <w:kern w:val="21"/>
                <w:sz w:val="24"/>
                <w:szCs w:val="24"/>
                <w:highlight w:val="none"/>
                <w:lang w:eastAsia="zh-Hans"/>
              </w:rPr>
              <w:t>月</w:t>
            </w:r>
          </w:p>
        </w:tc>
        <w:tc>
          <w:tcPr>
            <w:tcW w:w="120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center"/>
              <w:rPr>
                <w:rFonts w:hint="eastAsia" w:ascii="宋体" w:hAnsi="宋体" w:eastAsia="宋体" w:cs="宋体"/>
                <w:b w:val="0"/>
                <w:bCs/>
                <w:smallCaps w:val="0"/>
                <w:color w:val="auto"/>
                <w:kern w:val="21"/>
                <w:sz w:val="24"/>
                <w:szCs w:val="24"/>
                <w:highlight w:val="none"/>
                <w:lang w:val="en-US" w:eastAsia="zh-CN" w:bidi="ar-SA"/>
              </w:rPr>
            </w:pPr>
            <w:r>
              <w:rPr>
                <w:rFonts w:hint="eastAsia" w:ascii="宋体" w:hAnsi="宋体" w:eastAsia="宋体" w:cs="宋体"/>
                <w:b w:val="0"/>
                <w:bCs/>
                <w:smallCaps w:val="0"/>
                <w:color w:val="auto"/>
                <w:kern w:val="21"/>
                <w:sz w:val="24"/>
                <w:szCs w:val="24"/>
                <w:highlight w:val="none"/>
                <w:lang w:eastAsia="zh-CN"/>
              </w:rPr>
              <w:t>赴外</w:t>
            </w:r>
          </w:p>
        </w:tc>
        <w:tc>
          <w:tcPr>
            <w:tcW w:w="43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center"/>
              <w:rPr>
                <w:rFonts w:hint="eastAsia" w:ascii="宋体" w:hAnsi="宋体" w:eastAsia="宋体" w:cs="宋体"/>
                <w:b w:val="0"/>
                <w:bCs/>
                <w:smallCaps w:val="0"/>
                <w:color w:val="auto"/>
                <w:kern w:val="21"/>
                <w:sz w:val="24"/>
                <w:szCs w:val="24"/>
                <w:highlight w:val="none"/>
                <w:lang w:val="en-US" w:eastAsia="zh-CN" w:bidi="ar-SA"/>
              </w:rPr>
            </w:pPr>
            <w:r>
              <w:rPr>
                <w:rFonts w:hint="eastAsia" w:ascii="宋体" w:hAnsi="宋体" w:eastAsia="宋体" w:cs="宋体"/>
                <w:b w:val="0"/>
                <w:bCs/>
                <w:smallCaps w:val="0"/>
                <w:color w:val="auto"/>
                <w:kern w:val="21"/>
                <w:sz w:val="24"/>
                <w:szCs w:val="24"/>
                <w:highlight w:val="none"/>
                <w:lang w:val="en-US" w:eastAsia="zh-CN"/>
              </w:rPr>
              <w:t>遴选10</w:t>
            </w:r>
            <w:r>
              <w:rPr>
                <w:rFonts w:hint="eastAsia" w:ascii="宋体" w:hAnsi="宋体" w:eastAsia="宋体" w:cs="宋体"/>
                <w:b w:val="0"/>
                <w:bCs/>
                <w:smallCaps w:val="0"/>
                <w:color w:val="auto"/>
                <w:kern w:val="21"/>
                <w:sz w:val="24"/>
                <w:szCs w:val="24"/>
                <w:highlight w:val="none"/>
                <w:lang w:val="en-US" w:eastAsia="zh-Hans"/>
              </w:rPr>
              <w:t>个优质项目参加路演对接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33" w:hRule="atLeast"/>
          <w:jc w:val="center"/>
        </w:trPr>
        <w:tc>
          <w:tcPr>
            <w:tcW w:w="1777"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center"/>
              <w:rPr>
                <w:rFonts w:hint="eastAsia" w:ascii="宋体" w:hAnsi="宋体" w:eastAsia="宋体" w:cs="宋体"/>
                <w:b w:val="0"/>
                <w:bCs/>
                <w:smallCaps w:val="0"/>
                <w:color w:val="auto"/>
                <w:kern w:val="21"/>
                <w:sz w:val="24"/>
                <w:szCs w:val="24"/>
                <w:highlight w:val="none"/>
                <w:lang w:val="en-US" w:eastAsia="zh-Hans" w:bidi="ar-SA"/>
              </w:rPr>
            </w:pPr>
            <w:r>
              <w:rPr>
                <w:rFonts w:hint="eastAsia" w:ascii="宋体" w:hAnsi="宋体" w:eastAsia="宋体" w:cs="宋体"/>
                <w:b w:val="0"/>
                <w:bCs/>
                <w:smallCaps w:val="0"/>
                <w:color w:val="auto"/>
                <w:kern w:val="21"/>
                <w:sz w:val="24"/>
                <w:szCs w:val="24"/>
                <w:highlight w:val="none"/>
                <w:lang w:val="en-US" w:eastAsia="zh-Hans"/>
              </w:rPr>
              <w:t>总</w:t>
            </w:r>
            <w:r>
              <w:rPr>
                <w:rFonts w:hint="eastAsia" w:ascii="宋体" w:hAnsi="宋体" w:eastAsia="宋体" w:cs="宋体"/>
                <w:b w:val="0"/>
                <w:bCs/>
                <w:smallCaps w:val="0"/>
                <w:color w:val="auto"/>
                <w:kern w:val="21"/>
                <w:sz w:val="24"/>
                <w:szCs w:val="24"/>
                <w:highlight w:val="none"/>
                <w:lang w:eastAsia="zh-Hans"/>
              </w:rPr>
              <w:t>决赛</w:t>
            </w:r>
          </w:p>
        </w:tc>
        <w:tc>
          <w:tcPr>
            <w:tcW w:w="1630"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center"/>
              <w:rPr>
                <w:rFonts w:hint="eastAsia" w:ascii="宋体" w:hAnsi="宋体" w:eastAsia="宋体" w:cs="宋体"/>
                <w:b w:val="0"/>
                <w:bCs/>
                <w:smallCaps w:val="0"/>
                <w:color w:val="auto"/>
                <w:kern w:val="21"/>
                <w:sz w:val="24"/>
                <w:szCs w:val="24"/>
                <w:highlight w:val="none"/>
                <w:lang w:val="en-US" w:eastAsia="zh-Hans" w:bidi="ar-SA"/>
              </w:rPr>
            </w:pPr>
            <w:r>
              <w:rPr>
                <w:rFonts w:hint="eastAsia" w:ascii="宋体" w:hAnsi="宋体" w:eastAsia="宋体" w:cs="宋体"/>
                <w:b w:val="0"/>
                <w:bCs/>
                <w:smallCaps w:val="0"/>
                <w:color w:val="auto"/>
                <w:kern w:val="21"/>
                <w:sz w:val="24"/>
                <w:szCs w:val="24"/>
                <w:highlight w:val="none"/>
                <w:lang w:eastAsia="zh-Hans"/>
              </w:rPr>
              <w:t>202</w:t>
            </w:r>
            <w:r>
              <w:rPr>
                <w:rFonts w:hint="eastAsia" w:ascii="宋体" w:hAnsi="宋体" w:eastAsia="宋体" w:cs="宋体"/>
                <w:b w:val="0"/>
                <w:bCs/>
                <w:smallCaps w:val="0"/>
                <w:color w:val="auto"/>
                <w:kern w:val="21"/>
                <w:sz w:val="24"/>
                <w:szCs w:val="24"/>
                <w:highlight w:val="none"/>
                <w:lang w:val="en-US" w:eastAsia="zh-CN"/>
              </w:rPr>
              <w:t>4</w:t>
            </w:r>
            <w:r>
              <w:rPr>
                <w:rFonts w:hint="eastAsia" w:ascii="宋体" w:hAnsi="宋体" w:eastAsia="宋体" w:cs="宋体"/>
                <w:b w:val="0"/>
                <w:bCs/>
                <w:smallCaps w:val="0"/>
                <w:color w:val="auto"/>
                <w:kern w:val="21"/>
                <w:sz w:val="24"/>
                <w:szCs w:val="24"/>
                <w:highlight w:val="none"/>
                <w:lang w:eastAsia="zh-Hans"/>
              </w:rPr>
              <w:t>年</w:t>
            </w:r>
            <w:r>
              <w:rPr>
                <w:rFonts w:hint="eastAsia" w:ascii="宋体" w:hAnsi="宋体" w:eastAsia="宋体" w:cs="宋体"/>
                <w:b w:val="0"/>
                <w:bCs/>
                <w:smallCaps w:val="0"/>
                <w:color w:val="auto"/>
                <w:kern w:val="21"/>
                <w:sz w:val="24"/>
                <w:szCs w:val="24"/>
                <w:highlight w:val="none"/>
                <w:lang w:val="en-US" w:eastAsia="zh-CN"/>
              </w:rPr>
              <w:t>10</w:t>
            </w:r>
            <w:r>
              <w:rPr>
                <w:rFonts w:hint="eastAsia" w:ascii="宋体" w:hAnsi="宋体" w:eastAsia="宋体" w:cs="宋体"/>
                <w:b w:val="0"/>
                <w:bCs/>
                <w:smallCaps w:val="0"/>
                <w:color w:val="auto"/>
                <w:kern w:val="21"/>
                <w:sz w:val="24"/>
                <w:szCs w:val="24"/>
                <w:highlight w:val="none"/>
                <w:lang w:eastAsia="zh-Hans"/>
              </w:rPr>
              <w:t>月</w:t>
            </w:r>
          </w:p>
        </w:tc>
        <w:tc>
          <w:tcPr>
            <w:tcW w:w="1206"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center"/>
              <w:rPr>
                <w:rFonts w:hint="eastAsia" w:ascii="宋体" w:hAnsi="宋体" w:eastAsia="宋体" w:cs="宋体"/>
                <w:b w:val="0"/>
                <w:bCs/>
                <w:smallCaps w:val="0"/>
                <w:color w:val="auto"/>
                <w:kern w:val="21"/>
                <w:sz w:val="24"/>
                <w:szCs w:val="24"/>
                <w:highlight w:val="none"/>
                <w:lang w:val="en-US" w:eastAsia="zh-Hans" w:bidi="ar-SA"/>
              </w:rPr>
            </w:pPr>
            <w:r>
              <w:rPr>
                <w:rFonts w:hint="eastAsia" w:ascii="宋体" w:hAnsi="宋体" w:eastAsia="宋体" w:cs="宋体"/>
                <w:b w:val="0"/>
                <w:bCs/>
                <w:smallCaps w:val="0"/>
                <w:color w:val="auto"/>
                <w:kern w:val="21"/>
                <w:sz w:val="24"/>
                <w:szCs w:val="24"/>
                <w:highlight w:val="none"/>
                <w:lang w:eastAsia="zh-Hans"/>
              </w:rPr>
              <w:t>路桥</w:t>
            </w:r>
          </w:p>
        </w:tc>
        <w:tc>
          <w:tcPr>
            <w:tcW w:w="4331" w:type="dxa"/>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rightChars="0"/>
              <w:jc w:val="center"/>
              <w:textAlignment w:val="center"/>
              <w:rPr>
                <w:rFonts w:hint="eastAsia" w:ascii="宋体" w:hAnsi="宋体" w:eastAsia="宋体" w:cs="宋体"/>
                <w:b w:val="0"/>
                <w:bCs/>
                <w:smallCaps w:val="0"/>
                <w:color w:val="auto"/>
                <w:kern w:val="21"/>
                <w:sz w:val="24"/>
                <w:szCs w:val="24"/>
                <w:highlight w:val="none"/>
                <w:lang w:val="en-US" w:eastAsia="zh-Hans" w:bidi="ar-SA"/>
              </w:rPr>
            </w:pPr>
            <w:r>
              <w:rPr>
                <w:rFonts w:hint="eastAsia" w:ascii="宋体" w:hAnsi="宋体" w:eastAsia="宋体" w:cs="宋体"/>
                <w:b w:val="0"/>
                <w:bCs/>
                <w:smallCaps w:val="0"/>
                <w:color w:val="auto"/>
                <w:kern w:val="21"/>
                <w:sz w:val="24"/>
                <w:szCs w:val="24"/>
                <w:highlight w:val="none"/>
                <w:lang w:eastAsia="zh-Hans"/>
              </w:rPr>
              <w:t>决赛及颁奖典礼</w:t>
            </w:r>
          </w:p>
        </w:tc>
      </w:tr>
    </w:tbl>
    <w:p>
      <w:pPr>
        <w:pStyle w:val="26"/>
        <w:spacing w:before="0" w:beforeAutospacing="0" w:after="0" w:afterAutospacing="0" w:line="300" w:lineRule="auto"/>
        <w:ind w:firstLine="480" w:firstLineChars="200"/>
        <w:jc w:val="both"/>
        <w:rPr>
          <w:rFonts w:hint="eastAsia" w:ascii="宋体" w:hAnsi="宋体" w:eastAsia="宋体" w:cs="宋体"/>
          <w:b w:val="0"/>
          <w:bCs w:val="0"/>
          <w:color w:val="auto"/>
          <w:sz w:val="24"/>
          <w:highlight w:val="none"/>
          <w:lang w:val="en-US" w:eastAsia="zh-CN"/>
        </w:rPr>
      </w:pPr>
    </w:p>
    <w:p>
      <w:pPr>
        <w:pStyle w:val="26"/>
        <w:spacing w:before="0" w:beforeAutospacing="0" w:after="0" w:afterAutospacing="0" w:line="360" w:lineRule="auto"/>
        <w:ind w:firstLine="480" w:firstLineChars="200"/>
        <w:jc w:val="both"/>
        <w:rPr>
          <w:rFonts w:hint="eastAsia" w:ascii="宋体" w:hAnsi="宋体" w:eastAsia="宋体" w:cs="宋体"/>
          <w:b w:val="0"/>
          <w:bCs w:val="0"/>
          <w:color w:val="auto"/>
          <w:sz w:val="24"/>
          <w:highlight w:val="none"/>
          <w:u w:val="none"/>
          <w:lang w:val="en-US" w:eastAsia="zh-CN"/>
        </w:rPr>
      </w:pPr>
      <w:r>
        <w:rPr>
          <w:rFonts w:hint="eastAsia" w:ascii="宋体" w:hAnsi="宋体" w:eastAsia="宋体" w:cs="宋体"/>
          <w:b w:val="0"/>
          <w:bCs w:val="0"/>
          <w:color w:val="auto"/>
          <w:sz w:val="24"/>
          <w:highlight w:val="none"/>
          <w:lang w:val="en-US" w:eastAsia="zh-CN"/>
        </w:rPr>
        <w:t>1.赛程安排：本次大赛计划于2024年7月—2024年10月开展，赛事严格遵循公开、竞争、择优的原则，立足于台州路桥实际，在全球范围内征集项目不少于40个（其中海外人才领衔的优质项目不少于20%、博士领衔的优秀项目不少于20%）。</w:t>
      </w:r>
      <w:r>
        <w:rPr>
          <w:rFonts w:hint="eastAsia" w:ascii="宋体" w:hAnsi="宋体" w:eastAsia="宋体" w:cs="宋体"/>
          <w:b w:val="0"/>
          <w:bCs w:val="0"/>
          <w:color w:val="auto"/>
          <w:sz w:val="24"/>
          <w:highlight w:val="none"/>
          <w:u w:val="none"/>
          <w:lang w:val="en-US" w:eastAsia="zh-CN"/>
        </w:rPr>
        <w:t>举办不少于2场初选赛（至少一场赴外），参加路演选拔的项目总数不少于20个，与承办方共同沟通，产生不少于10个项目参加总决赛。</w:t>
      </w:r>
    </w:p>
    <w:p>
      <w:pPr>
        <w:pStyle w:val="26"/>
        <w:spacing w:before="0" w:beforeAutospacing="0" w:after="0" w:afterAutospacing="0" w:line="360" w:lineRule="auto"/>
        <w:ind w:firstLine="480" w:firstLineChars="200"/>
        <w:jc w:val="both"/>
        <w:rPr>
          <w:rFonts w:hint="eastAsia" w:ascii="宋体" w:hAnsi="宋体" w:eastAsia="宋体" w:cs="宋体"/>
          <w:b w:val="0"/>
          <w:bCs w:val="0"/>
          <w:color w:val="auto"/>
          <w:sz w:val="24"/>
          <w:highlight w:val="none"/>
          <w:u w:val="none"/>
          <w:lang w:val="en-US" w:eastAsia="zh-CN"/>
        </w:rPr>
      </w:pPr>
      <w:r>
        <w:rPr>
          <w:rFonts w:hint="eastAsia" w:ascii="宋体" w:hAnsi="宋体" w:eastAsia="宋体" w:cs="宋体"/>
          <w:b w:val="0"/>
          <w:bCs w:val="0"/>
          <w:color w:val="auto"/>
          <w:sz w:val="24"/>
          <w:highlight w:val="none"/>
          <w:u w:val="none"/>
          <w:lang w:val="en-US" w:eastAsia="zh-CN"/>
        </w:rPr>
        <w:t>2.项目初审：初选赛前，协办方均需向承办方</w:t>
      </w:r>
      <w:r>
        <w:rPr>
          <w:rFonts w:hint="eastAsia" w:ascii="宋体" w:hAnsi="宋体" w:eastAsia="宋体" w:cs="宋体"/>
          <w:b w:val="0"/>
          <w:bCs w:val="0"/>
          <w:color w:val="auto"/>
          <w:sz w:val="24"/>
          <w:highlight w:val="none"/>
          <w:lang w:val="en-US" w:eastAsia="zh-CN"/>
        </w:rPr>
        <w:t>从人才团队、技术和产品、商业模式及实施方案、行业及市场、资金保障、地方贡献等多个方面</w:t>
      </w:r>
      <w:r>
        <w:rPr>
          <w:rFonts w:hint="eastAsia" w:ascii="宋体" w:hAnsi="宋体" w:eastAsia="宋体" w:cs="宋体"/>
          <w:b w:val="0"/>
          <w:bCs w:val="0"/>
          <w:color w:val="auto"/>
          <w:sz w:val="24"/>
          <w:highlight w:val="none"/>
          <w:u w:val="none"/>
          <w:lang w:val="en-US" w:eastAsia="zh-CN"/>
        </w:rPr>
        <w:t>汇报拟参赛项目情况。由承办方一起遴选出不少于20个项目参赛。同时精选出不少于10个</w:t>
      </w:r>
      <w:r>
        <w:rPr>
          <w:rFonts w:hint="eastAsia" w:ascii="宋体" w:hAnsi="宋体" w:eastAsia="宋体" w:cs="宋体"/>
          <w:b w:val="0"/>
          <w:bCs w:val="0"/>
          <w:color w:val="auto"/>
          <w:sz w:val="24"/>
          <w:highlight w:val="none"/>
          <w:lang w:val="en-US" w:eastAsia="zh-CN"/>
        </w:rPr>
        <w:t>优质成熟且落地意向强烈的</w:t>
      </w:r>
      <w:r>
        <w:rPr>
          <w:rFonts w:hint="eastAsia" w:ascii="宋体" w:hAnsi="宋体" w:eastAsia="宋体" w:cs="宋体"/>
          <w:b w:val="0"/>
          <w:bCs w:val="0"/>
          <w:color w:val="auto"/>
          <w:sz w:val="24"/>
          <w:highlight w:val="none"/>
          <w:u w:val="none"/>
          <w:lang w:val="en-US" w:eastAsia="zh-CN"/>
        </w:rPr>
        <w:t>项目申报并参加台州市“500精英”评审。</w:t>
      </w:r>
    </w:p>
    <w:p>
      <w:pPr>
        <w:pStyle w:val="8"/>
        <w:spacing w:line="360" w:lineRule="auto"/>
        <w:ind w:left="0" w:leftChars="0"/>
        <w:rPr>
          <w:rFonts w:hint="eastAsia" w:ascii="宋体" w:hAnsi="宋体" w:eastAsia="宋体" w:cs="宋体"/>
          <w:color w:val="auto"/>
          <w:kern w:val="0"/>
          <w:sz w:val="24"/>
          <w:highlight w:val="none"/>
          <w:u w:val="none"/>
          <w:lang w:val="en-US" w:eastAsia="zh-CN"/>
        </w:rPr>
      </w:pPr>
      <w:r>
        <w:rPr>
          <w:rFonts w:hint="eastAsia" w:ascii="宋体" w:hAnsi="宋体" w:eastAsia="宋体" w:cs="宋体"/>
          <w:b w:val="0"/>
          <w:bCs w:val="0"/>
          <w:color w:val="auto"/>
          <w:kern w:val="0"/>
          <w:sz w:val="24"/>
          <w:highlight w:val="none"/>
          <w:u w:val="none"/>
          <w:lang w:val="en-US" w:eastAsia="zh-CN"/>
        </w:rPr>
        <w:t>　　3.磋商小组架构：跟参赛项目有技术等关联的创投机构投资专家、行业专家、企业家等组成，人数7人（其中有台州市“500精英”磋商小组经历不少于５人）。属参赛项目团队成员或股东等关联人员必须回避。</w:t>
      </w:r>
    </w:p>
    <w:p>
      <w:pPr>
        <w:pStyle w:val="26"/>
        <w:spacing w:before="0" w:beforeAutospacing="0" w:after="0" w:afterAutospacing="0" w:line="360" w:lineRule="auto"/>
        <w:ind w:firstLine="480" w:firstLineChars="200"/>
        <w:jc w:val="both"/>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u w:val="none"/>
          <w:lang w:val="en-US" w:eastAsia="zh-CN"/>
        </w:rPr>
        <w:t>4.奖项设置：</w:t>
      </w:r>
      <w:r>
        <w:rPr>
          <w:rFonts w:hint="eastAsia" w:ascii="宋体" w:hAnsi="宋体" w:eastAsia="宋体" w:cs="宋体"/>
          <w:b w:val="0"/>
          <w:bCs w:val="0"/>
          <w:color w:val="auto"/>
          <w:sz w:val="24"/>
          <w:highlight w:val="none"/>
          <w:lang w:val="en-US" w:eastAsia="zh-CN"/>
        </w:rPr>
        <w:t>决出一、二、三等奖。其中获一等奖的创业项目参赛者入选台州市“500精英”高级人才并进入市级总决赛，获二等奖项目入选台州市“500精英”高级创业人才项目，在入选文件发布之日起一年内落户运行可享受落户配套政策；三等奖项目优先申报台州市“500精英”创业人才项目评审，入选后按规定享受落户配套政策。</w:t>
      </w:r>
    </w:p>
    <w:p>
      <w:pPr>
        <w:pStyle w:val="8"/>
        <w:rPr>
          <w:rFonts w:hint="eastAsia" w:ascii="宋体" w:hAnsi="宋体" w:eastAsia="宋体" w:cs="宋体"/>
          <w:color w:val="auto"/>
          <w:highlight w:val="none"/>
        </w:rPr>
      </w:pPr>
    </w:p>
    <w:p>
      <w:pPr>
        <w:keepNext w:val="0"/>
        <w:keepLines w:val="0"/>
        <w:pageBreakBefore w:val="0"/>
        <w:shd w:val="clear" w:color="auto" w:fill="auto"/>
        <w:kinsoku/>
        <w:wordWrap/>
        <w:overflowPunct/>
        <w:topLinePunct w:val="0"/>
        <w:bidi w:val="0"/>
        <w:spacing w:line="360" w:lineRule="auto"/>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lang w:val="en-US" w:eastAsia="zh-CN"/>
        </w:rPr>
        <w:t>六、</w:t>
      </w:r>
      <w:r>
        <w:rPr>
          <w:rFonts w:hint="eastAsia" w:ascii="宋体" w:hAnsi="宋体" w:eastAsia="宋体" w:cs="宋体"/>
          <w:b/>
          <w:bCs/>
          <w:color w:val="auto"/>
          <w:sz w:val="24"/>
          <w:highlight w:val="none"/>
        </w:rPr>
        <w:t>商务要求</w:t>
      </w:r>
    </w:p>
    <w:p>
      <w:pPr>
        <w:pStyle w:val="17"/>
        <w:keepNext w:val="0"/>
        <w:keepLines w:val="0"/>
        <w:pageBreakBefore w:val="0"/>
        <w:shd w:val="clear" w:color="auto" w:fill="auto"/>
        <w:kinsoku/>
        <w:wordWrap/>
        <w:overflowPunct/>
        <w:topLinePunct w:val="0"/>
        <w:bidi w:val="0"/>
        <w:snapToGrid w:val="0"/>
        <w:spacing w:line="360" w:lineRule="auto"/>
        <w:ind w:firstLine="482" w:firstLineChars="200"/>
        <w:jc w:val="left"/>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1、服务时间及地点：</w:t>
      </w:r>
      <w:r>
        <w:rPr>
          <w:rFonts w:hint="eastAsia" w:ascii="宋体" w:hAnsi="宋体" w:eastAsia="宋体" w:cs="宋体"/>
          <w:color w:val="auto"/>
          <w:kern w:val="0"/>
          <w:sz w:val="24"/>
          <w:highlight w:val="none"/>
        </w:rPr>
        <w:t>同前面“磋商项目一览表”内所填内容。</w:t>
      </w:r>
    </w:p>
    <w:p>
      <w:pPr>
        <w:pStyle w:val="8"/>
        <w:spacing w:line="360" w:lineRule="auto"/>
        <w:rPr>
          <w:rFonts w:hint="eastAsia" w:ascii="宋体" w:hAnsi="宋体" w:eastAsia="宋体" w:cs="宋体"/>
          <w:b w:val="0"/>
          <w:bCs w:val="0"/>
          <w:color w:val="auto"/>
          <w:sz w:val="24"/>
          <w:highlight w:val="none"/>
          <w:lang w:val="en-US" w:eastAsia="zh-CN"/>
        </w:rPr>
      </w:pPr>
      <w:r>
        <w:rPr>
          <w:rFonts w:hint="eastAsia" w:ascii="宋体" w:hAnsi="宋体" w:eastAsia="宋体" w:cs="宋体"/>
          <w:b/>
          <w:color w:val="auto"/>
          <w:kern w:val="0"/>
          <w:sz w:val="24"/>
          <w:highlight w:val="none"/>
        </w:rPr>
        <w:t>2、</w:t>
      </w:r>
      <w:r>
        <w:rPr>
          <w:rFonts w:hint="eastAsia" w:ascii="宋体" w:hAnsi="宋体" w:eastAsia="宋体" w:cs="宋体"/>
          <w:b w:val="0"/>
          <w:bCs w:val="0"/>
          <w:color w:val="auto"/>
          <w:sz w:val="24"/>
          <w:highlight w:val="none"/>
          <w:lang w:val="en-US" w:eastAsia="zh-CN"/>
        </w:rPr>
        <w:t>付款方式</w:t>
      </w:r>
    </w:p>
    <w:p>
      <w:pPr>
        <w:pStyle w:val="8"/>
        <w:spacing w:line="360" w:lineRule="auto"/>
        <w:ind w:left="0" w:leftChars="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合同生效以及具备实施条件后7个工作日内支付合同价的 40%，决赛完成后 20 个工作日内支付合同价的 10%。（其中征集项目少于 40个的扣减 5%，海外人才项目少于 20%的扣减2.5%，博士人才项目少于 20%的扣减 2.5%；加强路桥创业环境及大赛效应宣传，在中国组织人事报、中国劳动保障报、中国人才、浙江日报、浙江省电视台等省级以上媒体刊登路桥人才工作信息或赛事信息少于3篇（其中纸媒少于1篇）、地市党报以上媒体发布少于8篇（含省级以上媒体发布数）扣减5%）</w:t>
      </w:r>
    </w:p>
    <w:p>
      <w:pPr>
        <w:pStyle w:val="8"/>
        <w:spacing w:line="360" w:lineRule="auto"/>
        <w:ind w:left="0" w:leftChars="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款项50%按照通过大赛引进人才项目的申报、入选、落地数予以兑现：（1）当年每有效申报 1 个台州市“500 精英”创业项目（项目需承诺落地后次年年销售额能够达到1000万元以上，以参加答辩为准），兑现合同价的 1.5%，该项兑现不超过合同价的 15%；每参赛入选 1 个台州市“500精英”特优创业项目兑现合同价的5%，每评审认定入选 1 个台州市“500 精英”特优创业项目兑现合同价的 5%，每评审认定入选1个台州市“500 精英”高端创业项目兑现合同价的 10%，兑现不超过合同价的 20%；每落地 1 个台州市“500 精英”创业项目兑现合同价的 4%（以发文认定为准）兑现不超过合同价的 20%；上述合同余款需经采购人确认后支付。</w:t>
      </w:r>
    </w:p>
    <w:p>
      <w:pPr>
        <w:pStyle w:val="8"/>
        <w:spacing w:line="360" w:lineRule="auto"/>
        <w:ind w:left="0" w:leftChars="0"/>
        <w:rPr>
          <w:rFonts w:hint="eastAsia" w:ascii="宋体" w:hAnsi="宋体" w:eastAsia="宋体" w:cs="宋体"/>
          <w:color w:val="auto"/>
          <w:highlight w:val="none"/>
          <w:lang w:val="en-US" w:eastAsia="zh-CN"/>
        </w:rPr>
      </w:pPr>
      <w:r>
        <w:rPr>
          <w:rFonts w:hint="eastAsia" w:ascii="宋体" w:hAnsi="宋体" w:eastAsia="宋体" w:cs="宋体"/>
          <w:b w:val="0"/>
          <w:bCs w:val="0"/>
          <w:color w:val="auto"/>
          <w:sz w:val="24"/>
          <w:highlight w:val="none"/>
          <w:lang w:val="en-US" w:eastAsia="zh-CN"/>
        </w:rPr>
        <w:t>　　其他与人才政策或引才合同有重复的奖励，按“从优、从高、不重复”原则执行。</w:t>
      </w:r>
    </w:p>
    <w:p>
      <w:pPr>
        <w:pStyle w:val="8"/>
        <w:rPr>
          <w:rFonts w:hint="eastAsia" w:ascii="宋体" w:hAnsi="宋体" w:eastAsia="宋体" w:cs="宋体"/>
          <w:color w:val="auto"/>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第五部分 政府采购合同主要条款指引</w:t>
      </w:r>
    </w:p>
    <w:p>
      <w:pPr>
        <w:keepNext w:val="0"/>
        <w:keepLines w:val="0"/>
        <w:pageBreakBefore w:val="0"/>
        <w:shd w:val="clear"/>
        <w:kinsoku/>
        <w:wordWrap/>
        <w:overflowPunct/>
        <w:topLinePunct w:val="0"/>
        <w:bidi w:val="0"/>
        <w:spacing w:line="44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以下为成交后签定本项目合同的通用条款，成交供应商不得提出实质性的修改，关于专用条款将由采购人与成交供应商结合本项目具体情况协商后签订。</w:t>
      </w:r>
    </w:p>
    <w:p>
      <w:pPr>
        <w:pStyle w:val="17"/>
        <w:keepNext w:val="0"/>
        <w:keepLines w:val="0"/>
        <w:pageBreakBefore w:val="0"/>
        <w:shd w:val="clear"/>
        <w:kinsoku/>
        <w:wordWrap/>
        <w:overflowPunct/>
        <w:topLinePunct w:val="0"/>
        <w:bidi w:val="0"/>
        <w:snapToGrid w:val="0"/>
        <w:spacing w:before="120" w:after="120"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甲方：（采购单位）</w:t>
      </w:r>
    </w:p>
    <w:p>
      <w:pPr>
        <w:pStyle w:val="17"/>
        <w:keepNext w:val="0"/>
        <w:keepLines w:val="0"/>
        <w:pageBreakBefore w:val="0"/>
        <w:shd w:val="clear"/>
        <w:kinsoku/>
        <w:wordWrap/>
        <w:overflowPunct/>
        <w:topLinePunct w:val="0"/>
        <w:bidi w:val="0"/>
        <w:snapToGrid w:val="0"/>
        <w:spacing w:before="120" w:after="120"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乙方：（中标供应商）</w:t>
      </w:r>
    </w:p>
    <w:p>
      <w:pPr>
        <w:keepNext w:val="0"/>
        <w:keepLines w:val="0"/>
        <w:pageBreakBefore w:val="0"/>
        <w:widowControl/>
        <w:shd w:val="clear" w:color="auto"/>
        <w:kinsoku/>
        <w:wordWrap/>
        <w:overflowPunct/>
        <w:topLinePunct w:val="0"/>
        <w:bidi w:val="0"/>
        <w:spacing w:after="150" w:line="440" w:lineRule="exact"/>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甲、乙双方关于</w:t>
      </w:r>
      <w:r>
        <w:rPr>
          <w:rFonts w:hint="eastAsia" w:ascii="宋体" w:hAnsi="宋体" w:eastAsia="宋体" w:cs="宋体"/>
          <w:color w:val="auto"/>
          <w:sz w:val="24"/>
          <w:highlight w:val="none"/>
          <w:u w:val="single"/>
          <w:lang w:eastAsia="zh-CN"/>
        </w:rPr>
        <w:t>中国·路桥第七届高端智能装备全球创业创新大赛组织服务项目</w:t>
      </w:r>
      <w:r>
        <w:rPr>
          <w:rFonts w:hint="eastAsia" w:ascii="宋体" w:hAnsi="宋体" w:eastAsia="宋体" w:cs="宋体"/>
          <w:color w:val="auto"/>
          <w:sz w:val="24"/>
          <w:highlight w:val="none"/>
        </w:rPr>
        <w:t>竞争性磋商的结果，签署本合同</w:t>
      </w:r>
    </w:p>
    <w:p>
      <w:pPr>
        <w:pStyle w:val="17"/>
        <w:keepNext w:val="0"/>
        <w:keepLines w:val="0"/>
        <w:pageBreakBefore w:val="0"/>
        <w:shd w:val="clear"/>
        <w:kinsoku/>
        <w:wordWrap/>
        <w:overflowPunct/>
        <w:topLinePunct w:val="0"/>
        <w:bidi w:val="0"/>
        <w:snapToGrid w:val="0"/>
        <w:spacing w:before="120" w:after="120" w:line="44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一、服务内容</w:t>
      </w:r>
    </w:p>
    <w:p>
      <w:pPr>
        <w:pStyle w:val="17"/>
        <w:keepNext w:val="0"/>
        <w:keepLines w:val="0"/>
        <w:pageBreakBefore w:val="0"/>
        <w:shd w:val="clear"/>
        <w:kinsoku/>
        <w:wordWrap/>
        <w:overflowPunct/>
        <w:topLinePunct w:val="0"/>
        <w:bidi w:val="0"/>
        <w:snapToGrid w:val="0"/>
        <w:spacing w:before="120" w:after="120"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(根据采购需求及投标人响应承诺编制)</w:t>
      </w:r>
    </w:p>
    <w:p>
      <w:pPr>
        <w:pStyle w:val="17"/>
        <w:keepNext w:val="0"/>
        <w:keepLines w:val="0"/>
        <w:pageBreakBefore w:val="0"/>
        <w:shd w:val="clear"/>
        <w:kinsoku/>
        <w:wordWrap/>
        <w:overflowPunct/>
        <w:topLinePunct w:val="0"/>
        <w:bidi w:val="0"/>
        <w:snapToGrid w:val="0"/>
        <w:spacing w:before="120" w:after="120"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 </w:t>
      </w:r>
    </w:p>
    <w:p>
      <w:pPr>
        <w:pStyle w:val="17"/>
        <w:keepNext w:val="0"/>
        <w:keepLines w:val="0"/>
        <w:pageBreakBefore w:val="0"/>
        <w:shd w:val="clear"/>
        <w:kinsoku/>
        <w:wordWrap/>
        <w:overflowPunct/>
        <w:topLinePunct w:val="0"/>
        <w:bidi w:val="0"/>
        <w:snapToGrid w:val="0"/>
        <w:spacing w:before="120" w:after="120"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 </w:t>
      </w:r>
    </w:p>
    <w:p>
      <w:pPr>
        <w:pStyle w:val="17"/>
        <w:keepNext w:val="0"/>
        <w:keepLines w:val="0"/>
        <w:pageBreakBefore w:val="0"/>
        <w:shd w:val="clear"/>
        <w:kinsoku/>
        <w:wordWrap/>
        <w:overflowPunct/>
        <w:topLinePunct w:val="0"/>
        <w:bidi w:val="0"/>
        <w:snapToGrid w:val="0"/>
        <w:spacing w:before="120" w:after="120"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 </w:t>
      </w:r>
    </w:p>
    <w:p>
      <w:pPr>
        <w:pStyle w:val="17"/>
        <w:keepNext w:val="0"/>
        <w:keepLines w:val="0"/>
        <w:pageBreakBefore w:val="0"/>
        <w:shd w:val="clear"/>
        <w:kinsoku/>
        <w:wordWrap/>
        <w:overflowPunct/>
        <w:topLinePunct w:val="0"/>
        <w:bidi w:val="0"/>
        <w:snapToGrid w:val="0"/>
        <w:spacing w:before="120" w:after="120"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p>
      <w:pPr>
        <w:pStyle w:val="17"/>
        <w:keepNext w:val="0"/>
        <w:keepLines w:val="0"/>
        <w:pageBreakBefore w:val="0"/>
        <w:shd w:val="clear"/>
        <w:kinsoku/>
        <w:wordWrap/>
        <w:overflowPunct/>
        <w:topLinePunct w:val="0"/>
        <w:bidi w:val="0"/>
        <w:snapToGrid w:val="0"/>
        <w:spacing w:before="120" w:after="120" w:line="44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二、合同金额</w:t>
      </w:r>
    </w:p>
    <w:p>
      <w:pPr>
        <w:pStyle w:val="17"/>
        <w:keepNext w:val="0"/>
        <w:keepLines w:val="0"/>
        <w:pageBreakBefore w:val="0"/>
        <w:shd w:val="clear"/>
        <w:kinsoku/>
        <w:wordWrap/>
        <w:overflowPunct/>
        <w:topLinePunct w:val="0"/>
        <w:bidi w:val="0"/>
        <w:snapToGrid w:val="0"/>
        <w:spacing w:before="120" w:after="120" w:line="440" w:lineRule="exact"/>
        <w:ind w:left="410" w:hanging="410" w:hangingChars="17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本合同金额为（大写）：______________元（￥____________元）人民币。</w:t>
      </w:r>
    </w:p>
    <w:p>
      <w:pPr>
        <w:pStyle w:val="17"/>
        <w:keepNext w:val="0"/>
        <w:keepLines w:val="0"/>
        <w:pageBreakBefore w:val="0"/>
        <w:shd w:val="clear"/>
        <w:kinsoku/>
        <w:wordWrap/>
        <w:overflowPunct/>
        <w:topLinePunct w:val="0"/>
        <w:bidi w:val="0"/>
        <w:snapToGrid w:val="0"/>
        <w:spacing w:before="120" w:after="120" w:line="44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三、技术资料</w:t>
      </w:r>
    </w:p>
    <w:p>
      <w:pPr>
        <w:pStyle w:val="17"/>
        <w:keepNext w:val="0"/>
        <w:keepLines w:val="0"/>
        <w:pageBreakBefore w:val="0"/>
        <w:shd w:val="clear"/>
        <w:kinsoku/>
        <w:wordWrap/>
        <w:overflowPunct/>
        <w:topLinePunct w:val="0"/>
        <w:bidi w:val="0"/>
        <w:snapToGrid w:val="0"/>
        <w:spacing w:before="120" w:after="120" w:line="440" w:lineRule="exact"/>
        <w:ind w:left="410" w:hanging="410" w:hangingChars="17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1.乙方应按招标文件规定的时间向甲方提供有关技术资料。</w:t>
      </w:r>
    </w:p>
    <w:p>
      <w:pPr>
        <w:pStyle w:val="17"/>
        <w:keepNext w:val="0"/>
        <w:keepLines w:val="0"/>
        <w:pageBreakBefore w:val="0"/>
        <w:shd w:val="clear"/>
        <w:kinsoku/>
        <w:wordWrap/>
        <w:overflowPunct/>
        <w:topLinePunct w:val="0"/>
        <w:bidi w:val="0"/>
        <w:snapToGrid w:val="0"/>
        <w:spacing w:before="120" w:after="120" w:line="440" w:lineRule="exact"/>
        <w:ind w:left="410" w:hanging="410" w:hangingChars="17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pStyle w:val="17"/>
        <w:keepNext w:val="0"/>
        <w:keepLines w:val="0"/>
        <w:pageBreakBefore w:val="0"/>
        <w:shd w:val="clear"/>
        <w:kinsoku/>
        <w:wordWrap/>
        <w:overflowPunct/>
        <w:topLinePunct w:val="0"/>
        <w:bidi w:val="0"/>
        <w:snapToGrid w:val="0"/>
        <w:spacing w:before="120" w:after="120" w:line="440" w:lineRule="exact"/>
        <w:ind w:left="412" w:hanging="412" w:hangingChars="171"/>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四、知识产权</w:t>
      </w:r>
    </w:p>
    <w:p>
      <w:pPr>
        <w:pStyle w:val="17"/>
        <w:keepNext w:val="0"/>
        <w:keepLines w:val="0"/>
        <w:pageBreakBefore w:val="0"/>
        <w:shd w:val="clear"/>
        <w:kinsoku/>
        <w:wordWrap/>
        <w:overflowPunct/>
        <w:topLinePunct w:val="0"/>
        <w:bidi w:val="0"/>
        <w:snapToGrid w:val="0"/>
        <w:spacing w:before="120" w:after="120" w:line="440" w:lineRule="exact"/>
        <w:ind w:left="410" w:hanging="410" w:hangingChars="17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乙方应保证提供服务过程中不会侵犯任何第三方的知识产权。</w:t>
      </w:r>
    </w:p>
    <w:p>
      <w:pPr>
        <w:pStyle w:val="17"/>
        <w:keepNext w:val="0"/>
        <w:keepLines w:val="0"/>
        <w:pageBreakBefore w:val="0"/>
        <w:shd w:val="clear"/>
        <w:kinsoku/>
        <w:wordWrap/>
        <w:overflowPunct/>
        <w:topLinePunct w:val="0"/>
        <w:bidi w:val="0"/>
        <w:snapToGrid w:val="0"/>
        <w:spacing w:before="120" w:after="120" w:line="440" w:lineRule="exact"/>
        <w:ind w:left="410" w:hanging="410" w:hangingChars="17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五、履约保证金</w:t>
      </w:r>
    </w:p>
    <w:p>
      <w:pPr>
        <w:keepNext w:val="0"/>
        <w:keepLines w:val="0"/>
        <w:pageBreakBefore w:val="0"/>
        <w:shd w:val="clear"/>
        <w:tabs>
          <w:tab w:val="left" w:pos="1418"/>
        </w:tabs>
        <w:kinsoku/>
        <w:wordWrap/>
        <w:overflowPunct/>
        <w:topLinePunct w:val="0"/>
        <w:autoSpaceDE w:val="0"/>
        <w:autoSpaceDN w:val="0"/>
        <w:bidi w:val="0"/>
        <w:adjustRightInd w:val="0"/>
        <w:spacing w:line="440" w:lineRule="exact"/>
        <w:ind w:left="480"/>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无。</w:t>
      </w:r>
    </w:p>
    <w:p>
      <w:pPr>
        <w:pStyle w:val="17"/>
        <w:keepNext w:val="0"/>
        <w:keepLines w:val="0"/>
        <w:pageBreakBefore w:val="0"/>
        <w:shd w:val="clear"/>
        <w:kinsoku/>
        <w:wordWrap/>
        <w:overflowPunct/>
        <w:topLinePunct w:val="0"/>
        <w:bidi w:val="0"/>
        <w:snapToGrid w:val="0"/>
        <w:spacing w:before="120" w:after="120" w:line="440" w:lineRule="exact"/>
        <w:ind w:left="410" w:hanging="410" w:hangingChars="170"/>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六、转包或分包</w:t>
      </w:r>
    </w:p>
    <w:p>
      <w:pPr>
        <w:pStyle w:val="17"/>
        <w:keepNext w:val="0"/>
        <w:keepLines w:val="0"/>
        <w:pageBreakBefore w:val="0"/>
        <w:shd w:val="clear"/>
        <w:kinsoku/>
        <w:wordWrap/>
        <w:overflowPunct/>
        <w:topLinePunct w:val="0"/>
        <w:bidi w:val="0"/>
        <w:snapToGrid w:val="0"/>
        <w:spacing w:before="120" w:after="120" w:line="440" w:lineRule="exact"/>
        <w:ind w:firstLine="482" w:firstLineChars="200"/>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本项目不允许转包和分包。</w:t>
      </w:r>
    </w:p>
    <w:p>
      <w:pPr>
        <w:pStyle w:val="17"/>
        <w:keepNext w:val="0"/>
        <w:keepLines w:val="0"/>
        <w:pageBreakBefore w:val="0"/>
        <w:shd w:val="clear"/>
        <w:kinsoku/>
        <w:wordWrap/>
        <w:overflowPunct/>
        <w:topLinePunct w:val="0"/>
        <w:bidi w:val="0"/>
        <w:snapToGrid w:val="0"/>
        <w:spacing w:before="120" w:after="120" w:line="44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七、合同履行时间、履行方式及履行地点</w:t>
      </w:r>
    </w:p>
    <w:p>
      <w:pPr>
        <w:pStyle w:val="17"/>
        <w:keepNext w:val="0"/>
        <w:keepLines w:val="0"/>
        <w:pageBreakBefore w:val="0"/>
        <w:shd w:val="clear"/>
        <w:kinsoku/>
        <w:wordWrap/>
        <w:overflowPunct/>
        <w:topLinePunct w:val="0"/>
        <w:bidi w:val="0"/>
        <w:snapToGrid w:val="0"/>
        <w:spacing w:before="120" w:after="120" w:line="440" w:lineRule="exact"/>
        <w:ind w:left="410" w:hanging="410" w:hangingChars="17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履行时间：</w:t>
      </w:r>
    </w:p>
    <w:p>
      <w:pPr>
        <w:pStyle w:val="17"/>
        <w:keepNext w:val="0"/>
        <w:keepLines w:val="0"/>
        <w:pageBreakBefore w:val="0"/>
        <w:shd w:val="clear"/>
        <w:kinsoku/>
        <w:wordWrap/>
        <w:overflowPunct/>
        <w:topLinePunct w:val="0"/>
        <w:bidi w:val="0"/>
        <w:snapToGrid w:val="0"/>
        <w:spacing w:before="120" w:after="120" w:line="440" w:lineRule="exact"/>
        <w:ind w:left="410" w:hanging="410" w:hangingChars="17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履行方式：</w:t>
      </w:r>
    </w:p>
    <w:p>
      <w:pPr>
        <w:pStyle w:val="17"/>
        <w:keepNext w:val="0"/>
        <w:keepLines w:val="0"/>
        <w:pageBreakBefore w:val="0"/>
        <w:shd w:val="clear"/>
        <w:kinsoku/>
        <w:wordWrap/>
        <w:overflowPunct/>
        <w:topLinePunct w:val="0"/>
        <w:bidi w:val="0"/>
        <w:snapToGrid w:val="0"/>
        <w:spacing w:before="120" w:after="120" w:line="440" w:lineRule="exact"/>
        <w:ind w:left="410" w:hanging="410" w:hangingChars="17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 履行地点：</w:t>
      </w:r>
    </w:p>
    <w:p>
      <w:pPr>
        <w:pStyle w:val="17"/>
        <w:keepNext w:val="0"/>
        <w:keepLines w:val="0"/>
        <w:pageBreakBefore w:val="0"/>
        <w:shd w:val="clear"/>
        <w:kinsoku/>
        <w:wordWrap/>
        <w:overflowPunct/>
        <w:topLinePunct w:val="0"/>
        <w:bidi w:val="0"/>
        <w:snapToGrid w:val="0"/>
        <w:spacing w:before="120" w:after="120" w:line="440" w:lineRule="exact"/>
        <w:ind w:left="412" w:hanging="412" w:hangingChars="171"/>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八、货款支付</w:t>
      </w:r>
    </w:p>
    <w:p>
      <w:pPr>
        <w:pStyle w:val="8"/>
        <w:spacing w:line="360" w:lineRule="auto"/>
        <w:ind w:left="0" w:leftChars="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合同生效以及具备实施条件后7个工作日内支付合同价的 40%，决赛完成后 20 个工作日内支付合同价的 10%。（其中征集项目少于 40个的扣减 5%，海外人才项目少于 20%的扣减2.5%，博士人才项目少于 20%的扣减 2.5%；加强路桥创业环境及大赛效应宣传，在中国组织人事报、中国劳动保障报、中国人才、浙江日报、浙江省电视台等省级以上媒体刊登路桥人才工作信息或赛事信息少于3篇（其中纸媒少于1篇）、地市党报以上媒体发布少于8篇（含省级以上媒体发布数）扣减5%）</w:t>
      </w:r>
    </w:p>
    <w:p>
      <w:pPr>
        <w:pStyle w:val="8"/>
        <w:spacing w:line="360" w:lineRule="auto"/>
        <w:ind w:left="0" w:leftChars="0"/>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　　款项50%按照通过大赛引进人才项目的申报、入选、落地数予以兑现：（1）当年每有效申报 1 个台州市“500 精英”创业项目（项目需承诺落地后次年年销售额能够达到1000万元以上，以参加答辩为准），兑现合同价的 1.5%，该项兑现不超过合同价的 15%；每参赛入选 1 个台州市“500精英”特优创业项目兑现合同价的5%，每评审认定入选 1 个台州市“500 精英”特优创业项目兑现合同价的 5%，每评审认定入选1个台州市“500 精英”高端创业项目兑现合同价的 10%，兑现不超过合同价的 20%；每落地 1 个台州市“500 精英”创业项目兑现合同价的 4%（以发文认定为准）兑现不超过合同价的 20%；上述合同余款需经采购人确认后支付。</w:t>
      </w:r>
    </w:p>
    <w:p>
      <w:pPr>
        <w:pStyle w:val="8"/>
        <w:spacing w:line="360" w:lineRule="auto"/>
        <w:ind w:left="0" w:leftChars="0"/>
        <w:rPr>
          <w:rFonts w:hint="eastAsia" w:ascii="宋体" w:hAnsi="宋体" w:eastAsia="宋体" w:cs="宋体"/>
          <w:color w:val="auto"/>
          <w:highlight w:val="none"/>
        </w:rPr>
      </w:pPr>
      <w:r>
        <w:rPr>
          <w:rFonts w:hint="eastAsia" w:ascii="宋体" w:hAnsi="宋体" w:eastAsia="宋体" w:cs="宋体"/>
          <w:b w:val="0"/>
          <w:bCs w:val="0"/>
          <w:color w:val="auto"/>
          <w:sz w:val="24"/>
          <w:highlight w:val="none"/>
          <w:lang w:val="en-US" w:eastAsia="zh-CN"/>
        </w:rPr>
        <w:t>　　其他与人才政策或引才合同有重复的奖励，按“从优、从高、不重复”原则执行。</w:t>
      </w:r>
    </w:p>
    <w:p>
      <w:pPr>
        <w:keepNext w:val="0"/>
        <w:keepLines w:val="0"/>
        <w:pageBreakBefore w:val="0"/>
        <w:shd w:val="clear"/>
        <w:kinsoku/>
        <w:wordWrap/>
        <w:overflowPunct/>
        <w:topLinePunct w:val="0"/>
        <w:bidi w:val="0"/>
        <w:snapToGrid w:val="0"/>
        <w:spacing w:beforeLines="50" w:afterLines="50" w:line="44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九、税费</w:t>
      </w:r>
    </w:p>
    <w:p>
      <w:pPr>
        <w:keepNext w:val="0"/>
        <w:keepLines w:val="0"/>
        <w:pageBreakBefore w:val="0"/>
        <w:shd w:val="clear"/>
        <w:kinsoku/>
        <w:wordWrap/>
        <w:overflowPunct/>
        <w:topLinePunct w:val="0"/>
        <w:bidi w:val="0"/>
        <w:snapToGrid w:val="0"/>
        <w:spacing w:beforeLines="50" w:afterLines="50"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本合同执行中相关的一切税费均由乙方负担。</w:t>
      </w:r>
    </w:p>
    <w:p>
      <w:pPr>
        <w:pStyle w:val="17"/>
        <w:keepNext w:val="0"/>
        <w:keepLines w:val="0"/>
        <w:pageBreakBefore w:val="0"/>
        <w:shd w:val="clear"/>
        <w:kinsoku/>
        <w:wordWrap/>
        <w:overflowPunct/>
        <w:topLinePunct w:val="0"/>
        <w:bidi w:val="0"/>
        <w:snapToGrid w:val="0"/>
        <w:spacing w:before="120" w:after="120" w:line="440" w:lineRule="exact"/>
        <w:ind w:left="412" w:hanging="412" w:hangingChars="171"/>
        <w:textAlignment w:val="auto"/>
        <w:rPr>
          <w:rFonts w:hint="eastAsia" w:ascii="宋体" w:hAnsi="宋体" w:eastAsia="宋体" w:cs="宋体"/>
          <w:color w:val="auto"/>
          <w:sz w:val="24"/>
          <w:highlight w:val="none"/>
        </w:rPr>
      </w:pPr>
      <w:r>
        <w:rPr>
          <w:rFonts w:hint="eastAsia" w:ascii="宋体" w:hAnsi="宋体" w:eastAsia="宋体" w:cs="宋体"/>
          <w:b/>
          <w:color w:val="auto"/>
          <w:sz w:val="24"/>
          <w:highlight w:val="none"/>
        </w:rPr>
        <w:t>十、质量保证及售后服务</w:t>
      </w:r>
    </w:p>
    <w:p>
      <w:pPr>
        <w:keepNext w:val="0"/>
        <w:keepLines w:val="0"/>
        <w:pageBreakBefore w:val="0"/>
        <w:shd w:val="clear"/>
        <w:kinsoku/>
        <w:wordWrap/>
        <w:overflowPunct/>
        <w:topLinePunct w:val="0"/>
        <w:bidi w:val="0"/>
        <w:snapToGrid w:val="0"/>
        <w:spacing w:beforeLines="50" w:afterLines="50"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1．乙方应按招标文件规定向甲方提供服务。</w:t>
      </w:r>
    </w:p>
    <w:p>
      <w:pPr>
        <w:keepNext w:val="0"/>
        <w:keepLines w:val="0"/>
        <w:pageBreakBefore w:val="0"/>
        <w:shd w:val="clear"/>
        <w:kinsoku/>
        <w:wordWrap/>
        <w:overflowPunct/>
        <w:topLinePunct w:val="0"/>
        <w:bidi w:val="0"/>
        <w:snapToGrid w:val="0"/>
        <w:spacing w:beforeLines="50" w:afterLines="50"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2．乙方提供的服务成果对达不到要求者，根据实际情况，经双方协商，可按以下办法处理：</w:t>
      </w:r>
    </w:p>
    <w:p>
      <w:pPr>
        <w:keepNext w:val="0"/>
        <w:keepLines w:val="0"/>
        <w:pageBreakBefore w:val="0"/>
        <w:shd w:val="clear"/>
        <w:kinsoku/>
        <w:wordWrap/>
        <w:overflowPunct/>
        <w:topLinePunct w:val="0"/>
        <w:bidi w:val="0"/>
        <w:snapToGrid w:val="0"/>
        <w:spacing w:beforeLines="50" w:afterLines="50"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⑴重做：由乙方承担所发生的全部费用。</w:t>
      </w:r>
    </w:p>
    <w:p>
      <w:pPr>
        <w:keepNext w:val="0"/>
        <w:keepLines w:val="0"/>
        <w:pageBreakBefore w:val="0"/>
        <w:shd w:val="clear"/>
        <w:kinsoku/>
        <w:wordWrap/>
        <w:overflowPunct/>
        <w:topLinePunct w:val="0"/>
        <w:bidi w:val="0"/>
        <w:snapToGrid w:val="0"/>
        <w:spacing w:beforeLines="50" w:afterLines="50"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⑵解除合同。</w:t>
      </w:r>
    </w:p>
    <w:p>
      <w:pPr>
        <w:keepNext w:val="0"/>
        <w:keepLines w:val="0"/>
        <w:pageBreakBefore w:val="0"/>
        <w:shd w:val="clear"/>
        <w:kinsoku/>
        <w:wordWrap/>
        <w:overflowPunct/>
        <w:topLinePunct w:val="0"/>
        <w:bidi w:val="0"/>
        <w:snapToGrid w:val="0"/>
        <w:spacing w:beforeLines="50" w:afterLines="50"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3．如在服务过程中发生问题，乙方在接到甲方通知后在1小时内到达甲方现场。</w:t>
      </w:r>
    </w:p>
    <w:p>
      <w:pPr>
        <w:pStyle w:val="17"/>
        <w:keepNext w:val="0"/>
        <w:keepLines w:val="0"/>
        <w:pageBreakBefore w:val="0"/>
        <w:shd w:val="clear"/>
        <w:kinsoku/>
        <w:wordWrap/>
        <w:overflowPunct/>
        <w:topLinePunct w:val="0"/>
        <w:bidi w:val="0"/>
        <w:snapToGrid w:val="0"/>
        <w:spacing w:before="120" w:after="120" w:line="44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十一、违约责任</w:t>
      </w:r>
    </w:p>
    <w:p>
      <w:pPr>
        <w:pStyle w:val="17"/>
        <w:keepNext w:val="0"/>
        <w:keepLines w:val="0"/>
        <w:pageBreakBefore w:val="0"/>
        <w:shd w:val="clear"/>
        <w:kinsoku/>
        <w:wordWrap/>
        <w:overflowPunct/>
        <w:topLinePunct w:val="0"/>
        <w:bidi w:val="0"/>
        <w:snapToGrid w:val="0"/>
        <w:spacing w:before="120" w:after="120" w:line="440" w:lineRule="exact"/>
        <w:ind w:left="410" w:hanging="410" w:hangingChars="17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1．甲方无正当理由拒收接受服务的，甲方向乙方偿付合同款项百分之五作为违约金。</w:t>
      </w:r>
    </w:p>
    <w:p>
      <w:pPr>
        <w:pStyle w:val="17"/>
        <w:keepNext w:val="0"/>
        <w:keepLines w:val="0"/>
        <w:pageBreakBefore w:val="0"/>
        <w:shd w:val="clear"/>
        <w:kinsoku/>
        <w:wordWrap/>
        <w:overflowPunct/>
        <w:topLinePunct w:val="0"/>
        <w:bidi w:val="0"/>
        <w:snapToGrid w:val="0"/>
        <w:spacing w:before="120" w:after="120" w:line="440" w:lineRule="exact"/>
        <w:ind w:left="410" w:hanging="410" w:hangingChars="17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2．甲方无故逾期验收和办理款项支付手续的,甲方应按逾期付款总额每日万分之</w:t>
      </w:r>
    </w:p>
    <w:p>
      <w:pPr>
        <w:pStyle w:val="17"/>
        <w:keepNext w:val="0"/>
        <w:keepLines w:val="0"/>
        <w:pageBreakBefore w:val="0"/>
        <w:shd w:val="clear"/>
        <w:kinsoku/>
        <w:wordWrap/>
        <w:overflowPunct/>
        <w:topLinePunct w:val="0"/>
        <w:bidi w:val="0"/>
        <w:snapToGrid w:val="0"/>
        <w:spacing w:before="120" w:after="120" w:line="440" w:lineRule="exact"/>
        <w:ind w:left="407" w:leftChars="114" w:hanging="168" w:hangingChars="7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五向乙方支付违约金。</w:t>
      </w:r>
    </w:p>
    <w:p>
      <w:pPr>
        <w:pStyle w:val="17"/>
        <w:keepNext w:val="0"/>
        <w:keepLines w:val="0"/>
        <w:pageBreakBefore w:val="0"/>
        <w:shd w:val="clear"/>
        <w:kinsoku/>
        <w:wordWrap/>
        <w:overflowPunct/>
        <w:topLinePunct w:val="0"/>
        <w:bidi w:val="0"/>
        <w:snapToGrid w:val="0"/>
        <w:spacing w:before="120" w:after="120" w:line="440" w:lineRule="exact"/>
        <w:ind w:left="410" w:hanging="410" w:hangingChars="171"/>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3． 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5%的违约金，如造成甲方损失超过违约金的，超出部分由乙方继续承担赔偿责任。 </w:t>
      </w:r>
    </w:p>
    <w:p>
      <w:pPr>
        <w:pStyle w:val="17"/>
        <w:keepNext w:val="0"/>
        <w:keepLines w:val="0"/>
        <w:pageBreakBefore w:val="0"/>
        <w:shd w:val="clear"/>
        <w:kinsoku/>
        <w:wordWrap/>
        <w:overflowPunct/>
        <w:topLinePunct w:val="0"/>
        <w:bidi w:val="0"/>
        <w:snapToGrid w:val="0"/>
        <w:spacing w:before="120" w:after="120" w:line="44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十二、不可抗力事件处理</w:t>
      </w:r>
    </w:p>
    <w:p>
      <w:pPr>
        <w:pStyle w:val="17"/>
        <w:keepNext w:val="0"/>
        <w:keepLines w:val="0"/>
        <w:pageBreakBefore w:val="0"/>
        <w:shd w:val="clear"/>
        <w:kinsoku/>
        <w:wordWrap/>
        <w:overflowPunct/>
        <w:topLinePunct w:val="0"/>
        <w:bidi w:val="0"/>
        <w:snapToGrid w:val="0"/>
        <w:spacing w:before="120" w:after="120"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在合同有效期内，任何一方因不可抗力事件导致不能履行合同，则合同履行</w:t>
      </w:r>
    </w:p>
    <w:p>
      <w:pPr>
        <w:pStyle w:val="17"/>
        <w:keepNext w:val="0"/>
        <w:keepLines w:val="0"/>
        <w:pageBreakBefore w:val="0"/>
        <w:shd w:val="clear"/>
        <w:kinsoku/>
        <w:wordWrap/>
        <w:overflowPunct/>
        <w:topLinePunct w:val="0"/>
        <w:bidi w:val="0"/>
        <w:snapToGrid w:val="0"/>
        <w:spacing w:before="120" w:after="120" w:line="440" w:lineRule="exact"/>
        <w:ind w:firstLine="360" w:firstLineChars="1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期可延长，其延长期与不可抗力影响期相同。</w:t>
      </w:r>
    </w:p>
    <w:p>
      <w:pPr>
        <w:pStyle w:val="17"/>
        <w:keepNext w:val="0"/>
        <w:keepLines w:val="0"/>
        <w:pageBreakBefore w:val="0"/>
        <w:shd w:val="clear"/>
        <w:kinsoku/>
        <w:wordWrap/>
        <w:overflowPunct/>
        <w:topLinePunct w:val="0"/>
        <w:bidi w:val="0"/>
        <w:snapToGrid w:val="0"/>
        <w:spacing w:before="120" w:after="120"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 </w:t>
      </w:r>
      <w:r>
        <w:rPr>
          <w:rFonts w:hint="eastAsia" w:ascii="宋体" w:hAnsi="宋体" w:eastAsia="宋体" w:cs="宋体"/>
          <w:color w:val="auto"/>
          <w:kern w:val="2"/>
          <w:sz w:val="24"/>
          <w:szCs w:val="24"/>
          <w:highlight w:val="none"/>
          <w:lang w:val="en-US" w:eastAsia="zh-CN" w:bidi="ar-SA"/>
        </w:rPr>
        <w:t>不可抗力事件发生后，应立即通知对方，并寄送有关权威机构出具的证明</w:t>
      </w:r>
      <w:r>
        <w:rPr>
          <w:rFonts w:hint="eastAsia" w:ascii="宋体" w:hAnsi="宋体" w:eastAsia="宋体" w:cs="宋体"/>
          <w:color w:val="auto"/>
          <w:sz w:val="24"/>
          <w:highlight w:val="none"/>
        </w:rPr>
        <w:t>。</w:t>
      </w:r>
    </w:p>
    <w:p>
      <w:pPr>
        <w:pStyle w:val="17"/>
        <w:keepNext w:val="0"/>
        <w:keepLines w:val="0"/>
        <w:pageBreakBefore w:val="0"/>
        <w:shd w:val="clear"/>
        <w:kinsoku/>
        <w:wordWrap/>
        <w:overflowPunct/>
        <w:topLinePunct w:val="0"/>
        <w:bidi w:val="0"/>
        <w:snapToGrid w:val="0"/>
        <w:spacing w:before="120" w:after="120"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3. 不可抗力事件延续120天以上，双方应通过友好协商，确定是否继续履行合</w:t>
      </w:r>
    </w:p>
    <w:p>
      <w:pPr>
        <w:pStyle w:val="17"/>
        <w:keepNext w:val="0"/>
        <w:keepLines w:val="0"/>
        <w:pageBreakBefore w:val="0"/>
        <w:shd w:val="clear"/>
        <w:kinsoku/>
        <w:wordWrap/>
        <w:overflowPunct/>
        <w:topLinePunct w:val="0"/>
        <w:bidi w:val="0"/>
        <w:snapToGrid w:val="0"/>
        <w:spacing w:before="120" w:after="120" w:line="440" w:lineRule="exact"/>
        <w:ind w:firstLine="360" w:firstLineChars="1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同。</w:t>
      </w:r>
    </w:p>
    <w:p>
      <w:pPr>
        <w:pStyle w:val="17"/>
        <w:keepNext w:val="0"/>
        <w:keepLines w:val="0"/>
        <w:pageBreakBefore w:val="0"/>
        <w:shd w:val="clear"/>
        <w:kinsoku/>
        <w:wordWrap/>
        <w:overflowPunct/>
        <w:topLinePunct w:val="0"/>
        <w:bidi w:val="0"/>
        <w:snapToGrid w:val="0"/>
        <w:spacing w:before="120" w:after="120" w:line="44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十三、诉讼</w:t>
      </w:r>
    </w:p>
    <w:p>
      <w:pPr>
        <w:pStyle w:val="17"/>
        <w:keepNext w:val="0"/>
        <w:keepLines w:val="0"/>
        <w:pageBreakBefore w:val="0"/>
        <w:shd w:val="clear"/>
        <w:kinsoku/>
        <w:wordWrap/>
        <w:overflowPunct/>
        <w:topLinePunct w:val="0"/>
        <w:bidi w:val="0"/>
        <w:snapToGrid w:val="0"/>
        <w:spacing w:before="120" w:after="120" w:line="440" w:lineRule="exact"/>
        <w:ind w:firstLine="360" w:firstLineChars="15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双方在执行合同中所发生的一切争议，应通过协商解决。如协商不成，可向甲方所在地</w:t>
      </w:r>
      <w:r>
        <w:rPr>
          <w:rFonts w:hint="eastAsia" w:ascii="宋体" w:hAnsi="宋体" w:eastAsia="宋体" w:cs="宋体"/>
          <w:color w:val="auto"/>
          <w:sz w:val="24"/>
          <w:highlight w:val="none"/>
          <w:u w:val="single"/>
        </w:rPr>
        <w:t>人民法院</w:t>
      </w:r>
      <w:r>
        <w:rPr>
          <w:rFonts w:hint="eastAsia" w:ascii="宋体" w:hAnsi="宋体" w:eastAsia="宋体" w:cs="宋体"/>
          <w:color w:val="auto"/>
          <w:sz w:val="24"/>
          <w:highlight w:val="none"/>
        </w:rPr>
        <w:t>提起诉讼。</w:t>
      </w:r>
    </w:p>
    <w:p>
      <w:pPr>
        <w:pStyle w:val="17"/>
        <w:keepNext w:val="0"/>
        <w:keepLines w:val="0"/>
        <w:pageBreakBefore w:val="0"/>
        <w:shd w:val="clear"/>
        <w:kinsoku/>
        <w:wordWrap/>
        <w:overflowPunct/>
        <w:topLinePunct w:val="0"/>
        <w:bidi w:val="0"/>
        <w:snapToGrid w:val="0"/>
        <w:spacing w:before="120" w:after="120" w:line="440" w:lineRule="exact"/>
        <w:textAlignment w:val="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十</w:t>
      </w:r>
      <w:r>
        <w:rPr>
          <w:rFonts w:hint="eastAsia" w:ascii="宋体" w:hAnsi="宋体" w:eastAsia="宋体" w:cs="宋体"/>
          <w:b/>
          <w:color w:val="auto"/>
          <w:sz w:val="24"/>
          <w:highlight w:val="none"/>
          <w:lang w:eastAsia="zh-CN"/>
        </w:rPr>
        <w:t>四</w:t>
      </w:r>
      <w:r>
        <w:rPr>
          <w:rFonts w:hint="eastAsia" w:ascii="宋体" w:hAnsi="宋体" w:eastAsia="宋体" w:cs="宋体"/>
          <w:b/>
          <w:color w:val="auto"/>
          <w:sz w:val="24"/>
          <w:highlight w:val="none"/>
        </w:rPr>
        <w:t>、合同生效及其它</w:t>
      </w:r>
    </w:p>
    <w:p>
      <w:pPr>
        <w:pStyle w:val="17"/>
        <w:keepNext w:val="0"/>
        <w:keepLines w:val="0"/>
        <w:pageBreakBefore w:val="0"/>
        <w:shd w:val="clear"/>
        <w:kinsoku/>
        <w:wordWrap/>
        <w:overflowPunct/>
        <w:topLinePunct w:val="0"/>
        <w:bidi w:val="0"/>
        <w:snapToGrid w:val="0"/>
        <w:spacing w:before="120" w:after="120" w:line="44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 合同经双方法定代表人或授权代表签字并加盖单位公章后生效。</w:t>
      </w:r>
    </w:p>
    <w:p>
      <w:pPr>
        <w:pStyle w:val="17"/>
        <w:keepNext w:val="0"/>
        <w:keepLines w:val="0"/>
        <w:pageBreakBefore w:val="0"/>
        <w:shd w:val="clear"/>
        <w:kinsoku/>
        <w:wordWrap/>
        <w:overflowPunct/>
        <w:topLinePunct w:val="0"/>
        <w:bidi w:val="0"/>
        <w:snapToGrid w:val="0"/>
        <w:spacing w:before="120" w:after="120" w:line="440" w:lineRule="exact"/>
        <w:ind w:left="480" w:hanging="480" w:hanging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 本合同未尽事宜，遵照《</w:t>
      </w:r>
      <w:r>
        <w:rPr>
          <w:rFonts w:hint="eastAsia" w:ascii="宋体" w:hAnsi="宋体" w:eastAsia="宋体" w:cs="宋体"/>
          <w:color w:val="auto"/>
          <w:sz w:val="24"/>
          <w:highlight w:val="none"/>
          <w:lang w:val="en-US" w:eastAsia="zh-CN"/>
        </w:rPr>
        <w:t>民法典</w:t>
      </w:r>
      <w:r>
        <w:rPr>
          <w:rFonts w:hint="eastAsia" w:ascii="宋体" w:hAnsi="宋体" w:eastAsia="宋体" w:cs="宋体"/>
          <w:color w:val="auto"/>
          <w:sz w:val="24"/>
          <w:highlight w:val="none"/>
        </w:rPr>
        <w:t>》有关条文执行。</w:t>
      </w:r>
    </w:p>
    <w:p>
      <w:pPr>
        <w:keepNext w:val="0"/>
        <w:keepLines w:val="0"/>
        <w:pageBreakBefore w:val="0"/>
        <w:widowControl/>
        <w:shd w:val="clear"/>
        <w:kinsoku/>
        <w:wordWrap/>
        <w:overflowPunct/>
        <w:topLinePunct w:val="0"/>
        <w:bidi w:val="0"/>
        <w:spacing w:line="440" w:lineRule="exact"/>
        <w:textAlignment w:val="auto"/>
        <w:rPr>
          <w:rFonts w:hint="eastAsia" w:ascii="宋体" w:hAnsi="宋体" w:eastAsia="宋体" w:cs="宋体"/>
          <w:color w:val="auto"/>
          <w:highlight w:val="none"/>
        </w:rPr>
      </w:pPr>
      <w:r>
        <w:rPr>
          <w:rFonts w:hint="eastAsia" w:ascii="宋体" w:hAnsi="宋体" w:eastAsia="宋体" w:cs="宋体"/>
          <w:color w:val="auto"/>
          <w:sz w:val="24"/>
          <w:highlight w:val="none"/>
        </w:rPr>
        <w:t>3.</w:t>
      </w:r>
      <w:r>
        <w:rPr>
          <w:rFonts w:hint="eastAsia" w:ascii="宋体" w:hAnsi="宋体" w:eastAsia="宋体" w:cs="宋体"/>
          <w:color w:val="auto"/>
          <w:kern w:val="0"/>
          <w:sz w:val="24"/>
          <w:highlight w:val="none"/>
        </w:rPr>
        <w:t xml:space="preserve"> </w:t>
      </w:r>
      <w:r>
        <w:rPr>
          <w:rFonts w:hint="eastAsia" w:ascii="宋体" w:hAnsi="宋体" w:eastAsia="宋体" w:cs="宋体"/>
          <w:b/>
          <w:color w:val="auto"/>
          <w:sz w:val="24"/>
          <w:highlight w:val="none"/>
        </w:rPr>
        <w:t>本合同一式八份。甲、乙双方各执三份，采购代理机构及政府采购监管处一份。本项目未尽事宜以招标文件、投标文件及澄清文件等为准。</w:t>
      </w:r>
    </w:p>
    <w:tbl>
      <w:tblPr>
        <w:tblStyle w:val="3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58"/>
        <w:gridCol w:w="42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pPr>
              <w:shd w:val="clear"/>
              <w:spacing w:line="360" w:lineRule="auto"/>
              <w:textAlignment w:val="baseline"/>
              <w:rPr>
                <w:rStyle w:val="39"/>
                <w:rFonts w:hint="eastAsia" w:ascii="宋体" w:hAnsi="宋体" w:eastAsia="宋体" w:cs="宋体"/>
                <w:color w:val="auto"/>
                <w:sz w:val="24"/>
                <w:szCs w:val="32"/>
                <w:highlight w:val="none"/>
              </w:rPr>
            </w:pPr>
            <w:r>
              <w:rPr>
                <w:rStyle w:val="39"/>
                <w:rFonts w:hint="eastAsia" w:ascii="宋体" w:hAnsi="宋体" w:eastAsia="宋体" w:cs="宋体"/>
                <w:color w:val="auto"/>
                <w:sz w:val="24"/>
                <w:szCs w:val="32"/>
                <w:highlight w:val="none"/>
              </w:rPr>
              <w:t>甲方（公章）：</w:t>
            </w:r>
          </w:p>
        </w:tc>
        <w:tc>
          <w:tcPr>
            <w:tcW w:w="4261" w:type="dxa"/>
          </w:tcPr>
          <w:p>
            <w:pPr>
              <w:shd w:val="clear"/>
              <w:spacing w:line="360" w:lineRule="auto"/>
              <w:textAlignment w:val="baseline"/>
              <w:rPr>
                <w:rStyle w:val="39"/>
                <w:rFonts w:hint="eastAsia" w:ascii="宋体" w:hAnsi="宋体" w:eastAsia="宋体" w:cs="宋体"/>
                <w:color w:val="auto"/>
                <w:sz w:val="24"/>
                <w:szCs w:val="32"/>
                <w:highlight w:val="none"/>
              </w:rPr>
            </w:pPr>
            <w:r>
              <w:rPr>
                <w:rStyle w:val="39"/>
                <w:rFonts w:hint="eastAsia" w:ascii="宋体" w:hAnsi="宋体" w:eastAsia="宋体" w:cs="宋体"/>
                <w:color w:val="auto"/>
                <w:sz w:val="24"/>
                <w:szCs w:val="32"/>
                <w:highlight w:val="none"/>
              </w:rPr>
              <w:t>乙方（公章）：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4261" w:type="dxa"/>
          </w:tcPr>
          <w:p>
            <w:pPr>
              <w:shd w:val="clear"/>
              <w:spacing w:line="360" w:lineRule="auto"/>
              <w:textAlignment w:val="baseline"/>
              <w:rPr>
                <w:rStyle w:val="39"/>
                <w:rFonts w:hint="eastAsia" w:ascii="宋体" w:hAnsi="宋体" w:eastAsia="宋体" w:cs="宋体"/>
                <w:color w:val="auto"/>
                <w:sz w:val="24"/>
                <w:szCs w:val="32"/>
                <w:highlight w:val="none"/>
              </w:rPr>
            </w:pPr>
            <w:r>
              <w:rPr>
                <w:rStyle w:val="39"/>
                <w:rFonts w:hint="eastAsia" w:ascii="宋体" w:hAnsi="宋体" w:eastAsia="宋体" w:cs="宋体"/>
                <w:color w:val="auto"/>
                <w:sz w:val="24"/>
                <w:szCs w:val="32"/>
                <w:highlight w:val="none"/>
              </w:rPr>
              <w:t>法定代表人或</w:t>
            </w:r>
          </w:p>
        </w:tc>
        <w:tc>
          <w:tcPr>
            <w:tcW w:w="4261" w:type="dxa"/>
          </w:tcPr>
          <w:p>
            <w:pPr>
              <w:shd w:val="clear"/>
              <w:spacing w:line="360" w:lineRule="auto"/>
              <w:textAlignment w:val="baseline"/>
              <w:rPr>
                <w:rStyle w:val="39"/>
                <w:rFonts w:hint="eastAsia" w:ascii="宋体" w:hAnsi="宋体" w:eastAsia="宋体" w:cs="宋体"/>
                <w:color w:val="auto"/>
                <w:sz w:val="24"/>
                <w:szCs w:val="32"/>
                <w:highlight w:val="none"/>
              </w:rPr>
            </w:pPr>
            <w:r>
              <w:rPr>
                <w:rStyle w:val="39"/>
                <w:rFonts w:hint="eastAsia" w:ascii="宋体" w:hAnsi="宋体" w:eastAsia="宋体" w:cs="宋体"/>
                <w:color w:val="auto"/>
                <w:sz w:val="24"/>
                <w:szCs w:val="32"/>
                <w:highlight w:val="none"/>
              </w:rPr>
              <w:t>法定代表人或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jc w:val="center"/>
        </w:trPr>
        <w:tc>
          <w:tcPr>
            <w:tcW w:w="4261" w:type="dxa"/>
          </w:tcPr>
          <w:p>
            <w:pPr>
              <w:shd w:val="clear"/>
              <w:spacing w:line="360" w:lineRule="auto"/>
              <w:textAlignment w:val="baseline"/>
              <w:rPr>
                <w:rStyle w:val="39"/>
                <w:rFonts w:hint="eastAsia" w:ascii="宋体" w:hAnsi="宋体" w:eastAsia="宋体" w:cs="宋体"/>
                <w:color w:val="auto"/>
                <w:sz w:val="24"/>
                <w:szCs w:val="32"/>
                <w:highlight w:val="none"/>
              </w:rPr>
            </w:pPr>
            <w:r>
              <w:rPr>
                <w:rStyle w:val="39"/>
                <w:rFonts w:hint="eastAsia" w:ascii="宋体" w:hAnsi="宋体" w:eastAsia="宋体" w:cs="宋体"/>
                <w:color w:val="auto"/>
                <w:sz w:val="24"/>
                <w:szCs w:val="32"/>
                <w:highlight w:val="none"/>
              </w:rPr>
              <w:t>授权委托代理人（签章）：</w:t>
            </w:r>
          </w:p>
        </w:tc>
        <w:tc>
          <w:tcPr>
            <w:tcW w:w="4261" w:type="dxa"/>
          </w:tcPr>
          <w:p>
            <w:pPr>
              <w:shd w:val="clear"/>
              <w:spacing w:line="360" w:lineRule="auto"/>
              <w:textAlignment w:val="baseline"/>
              <w:rPr>
                <w:rStyle w:val="39"/>
                <w:rFonts w:hint="eastAsia" w:ascii="宋体" w:hAnsi="宋体" w:eastAsia="宋体" w:cs="宋体"/>
                <w:color w:val="auto"/>
                <w:sz w:val="24"/>
                <w:szCs w:val="32"/>
                <w:highlight w:val="none"/>
              </w:rPr>
            </w:pPr>
            <w:r>
              <w:rPr>
                <w:rStyle w:val="39"/>
                <w:rFonts w:hint="eastAsia" w:ascii="宋体" w:hAnsi="宋体" w:eastAsia="宋体" w:cs="宋体"/>
                <w:color w:val="auto"/>
                <w:sz w:val="24"/>
                <w:szCs w:val="32"/>
                <w:highlight w:val="none"/>
              </w:rPr>
              <w:t>授权委托代理人（签章）：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pPr>
              <w:shd w:val="clear"/>
              <w:spacing w:line="360" w:lineRule="auto"/>
              <w:textAlignment w:val="baseline"/>
              <w:rPr>
                <w:rStyle w:val="39"/>
                <w:rFonts w:hint="eastAsia" w:ascii="宋体" w:hAnsi="宋体" w:eastAsia="宋体" w:cs="宋体"/>
                <w:color w:val="auto"/>
                <w:sz w:val="24"/>
                <w:szCs w:val="32"/>
                <w:highlight w:val="none"/>
              </w:rPr>
            </w:pPr>
            <w:r>
              <w:rPr>
                <w:rStyle w:val="39"/>
                <w:rFonts w:hint="eastAsia" w:ascii="宋体" w:hAnsi="宋体" w:eastAsia="宋体" w:cs="宋体"/>
                <w:color w:val="auto"/>
                <w:sz w:val="24"/>
                <w:szCs w:val="32"/>
                <w:highlight w:val="none"/>
              </w:rPr>
              <w:t>联系电话：</w:t>
            </w:r>
          </w:p>
        </w:tc>
        <w:tc>
          <w:tcPr>
            <w:tcW w:w="4261" w:type="dxa"/>
          </w:tcPr>
          <w:p>
            <w:pPr>
              <w:shd w:val="clear"/>
              <w:spacing w:line="360" w:lineRule="auto"/>
              <w:textAlignment w:val="baseline"/>
              <w:rPr>
                <w:rStyle w:val="39"/>
                <w:rFonts w:hint="eastAsia" w:ascii="宋体" w:hAnsi="宋体" w:eastAsia="宋体" w:cs="宋体"/>
                <w:color w:val="auto"/>
                <w:sz w:val="24"/>
                <w:szCs w:val="32"/>
                <w:highlight w:val="none"/>
              </w:rPr>
            </w:pPr>
            <w:r>
              <w:rPr>
                <w:rStyle w:val="39"/>
                <w:rFonts w:hint="eastAsia" w:ascii="宋体" w:hAnsi="宋体" w:eastAsia="宋体" w:cs="宋体"/>
                <w:color w:val="auto"/>
                <w:sz w:val="24"/>
                <w:szCs w:val="32"/>
                <w:highlight w:val="none"/>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pPr>
              <w:shd w:val="clear"/>
              <w:spacing w:line="360" w:lineRule="auto"/>
              <w:textAlignment w:val="baseline"/>
              <w:rPr>
                <w:rStyle w:val="39"/>
                <w:rFonts w:hint="eastAsia" w:ascii="宋体" w:hAnsi="宋体" w:eastAsia="宋体" w:cs="宋体"/>
                <w:color w:val="auto"/>
                <w:sz w:val="24"/>
                <w:szCs w:val="32"/>
                <w:highlight w:val="none"/>
              </w:rPr>
            </w:pPr>
            <w:r>
              <w:rPr>
                <w:rStyle w:val="39"/>
                <w:rFonts w:hint="eastAsia" w:ascii="宋体" w:hAnsi="宋体" w:eastAsia="宋体" w:cs="宋体"/>
                <w:color w:val="auto"/>
                <w:sz w:val="24"/>
                <w:szCs w:val="32"/>
                <w:highlight w:val="none"/>
              </w:rPr>
              <w:t>开户银行：</w:t>
            </w:r>
          </w:p>
        </w:tc>
        <w:tc>
          <w:tcPr>
            <w:tcW w:w="4261" w:type="dxa"/>
          </w:tcPr>
          <w:p>
            <w:pPr>
              <w:shd w:val="clear"/>
              <w:spacing w:line="360" w:lineRule="auto"/>
              <w:textAlignment w:val="baseline"/>
              <w:rPr>
                <w:rStyle w:val="39"/>
                <w:rFonts w:hint="eastAsia" w:ascii="宋体" w:hAnsi="宋体" w:eastAsia="宋体" w:cs="宋体"/>
                <w:color w:val="auto"/>
                <w:sz w:val="24"/>
                <w:szCs w:val="32"/>
                <w:highlight w:val="none"/>
              </w:rPr>
            </w:pPr>
            <w:r>
              <w:rPr>
                <w:rStyle w:val="39"/>
                <w:rFonts w:hint="eastAsia" w:ascii="宋体" w:hAnsi="宋体" w:eastAsia="宋体" w:cs="宋体"/>
                <w:color w:val="auto"/>
                <w:sz w:val="24"/>
                <w:szCs w:val="32"/>
                <w:highlight w:val="none"/>
              </w:rPr>
              <w:t>开户银行（必填）：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pPr>
              <w:shd w:val="clear"/>
              <w:spacing w:line="360" w:lineRule="auto"/>
              <w:textAlignment w:val="baseline"/>
              <w:rPr>
                <w:rStyle w:val="39"/>
                <w:rFonts w:hint="eastAsia" w:ascii="宋体" w:hAnsi="宋体" w:eastAsia="宋体" w:cs="宋体"/>
                <w:color w:val="auto"/>
                <w:sz w:val="24"/>
                <w:szCs w:val="32"/>
                <w:highlight w:val="none"/>
              </w:rPr>
            </w:pPr>
            <w:r>
              <w:rPr>
                <w:rStyle w:val="39"/>
                <w:rFonts w:hint="eastAsia" w:ascii="宋体" w:hAnsi="宋体" w:eastAsia="宋体" w:cs="宋体"/>
                <w:color w:val="auto"/>
                <w:sz w:val="24"/>
                <w:szCs w:val="32"/>
                <w:highlight w:val="none"/>
              </w:rPr>
              <w:t>账    号：</w:t>
            </w:r>
          </w:p>
        </w:tc>
        <w:tc>
          <w:tcPr>
            <w:tcW w:w="4261" w:type="dxa"/>
          </w:tcPr>
          <w:p>
            <w:pPr>
              <w:shd w:val="clear"/>
              <w:spacing w:line="360" w:lineRule="auto"/>
              <w:textAlignment w:val="baseline"/>
              <w:rPr>
                <w:rStyle w:val="39"/>
                <w:rFonts w:hint="eastAsia" w:ascii="宋体" w:hAnsi="宋体" w:eastAsia="宋体" w:cs="宋体"/>
                <w:color w:val="auto"/>
                <w:sz w:val="24"/>
                <w:szCs w:val="32"/>
                <w:highlight w:val="none"/>
              </w:rPr>
            </w:pPr>
            <w:r>
              <w:rPr>
                <w:rStyle w:val="39"/>
                <w:rFonts w:hint="eastAsia" w:ascii="宋体" w:hAnsi="宋体" w:eastAsia="宋体" w:cs="宋体"/>
                <w:color w:val="auto"/>
                <w:sz w:val="24"/>
                <w:szCs w:val="32"/>
                <w:highlight w:val="none"/>
              </w:rPr>
              <w:t>账    号（必填）：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pPr>
              <w:shd w:val="clear"/>
              <w:spacing w:line="360" w:lineRule="auto"/>
              <w:textAlignment w:val="baseline"/>
              <w:rPr>
                <w:rStyle w:val="39"/>
                <w:rFonts w:hint="eastAsia" w:ascii="宋体" w:hAnsi="宋体" w:eastAsia="宋体" w:cs="宋体"/>
                <w:color w:val="auto"/>
                <w:sz w:val="24"/>
                <w:szCs w:val="32"/>
                <w:highlight w:val="none"/>
              </w:rPr>
            </w:pPr>
            <w:r>
              <w:rPr>
                <w:rStyle w:val="39"/>
                <w:rFonts w:hint="eastAsia" w:ascii="宋体" w:hAnsi="宋体" w:eastAsia="宋体" w:cs="宋体"/>
                <w:color w:val="auto"/>
                <w:sz w:val="24"/>
                <w:szCs w:val="32"/>
                <w:highlight w:val="none"/>
              </w:rPr>
              <w:t>签订时间：    年   月   日</w:t>
            </w:r>
          </w:p>
        </w:tc>
        <w:tc>
          <w:tcPr>
            <w:tcW w:w="4261" w:type="dxa"/>
          </w:tcPr>
          <w:p>
            <w:pPr>
              <w:shd w:val="clear"/>
              <w:spacing w:line="360" w:lineRule="auto"/>
              <w:textAlignment w:val="baseline"/>
              <w:rPr>
                <w:rStyle w:val="39"/>
                <w:rFonts w:hint="eastAsia" w:ascii="宋体" w:hAnsi="宋体" w:eastAsia="宋体" w:cs="宋体"/>
                <w:color w:val="auto"/>
                <w:sz w:val="24"/>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4261" w:type="dxa"/>
          </w:tcPr>
          <w:p>
            <w:pPr>
              <w:shd w:val="clear"/>
              <w:spacing w:line="360" w:lineRule="auto"/>
              <w:textAlignment w:val="baseline"/>
              <w:rPr>
                <w:rStyle w:val="39"/>
                <w:rFonts w:hint="eastAsia" w:ascii="宋体" w:hAnsi="宋体" w:eastAsia="宋体" w:cs="宋体"/>
                <w:color w:val="auto"/>
                <w:sz w:val="24"/>
                <w:szCs w:val="32"/>
                <w:highlight w:val="none"/>
              </w:rPr>
            </w:pPr>
          </w:p>
        </w:tc>
        <w:tc>
          <w:tcPr>
            <w:tcW w:w="4261" w:type="dxa"/>
          </w:tcPr>
          <w:p>
            <w:pPr>
              <w:shd w:val="clear"/>
              <w:spacing w:line="360" w:lineRule="auto"/>
              <w:textAlignment w:val="baseline"/>
              <w:rPr>
                <w:rStyle w:val="39"/>
                <w:rFonts w:hint="eastAsia" w:ascii="宋体" w:hAnsi="宋体" w:eastAsia="宋体" w:cs="宋体"/>
                <w:color w:val="auto"/>
                <w:sz w:val="24"/>
                <w:szCs w:val="32"/>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1" w:type="dxa"/>
          </w:tcPr>
          <w:p>
            <w:pPr>
              <w:shd w:val="clear"/>
              <w:spacing w:line="360" w:lineRule="auto"/>
              <w:textAlignment w:val="baseline"/>
              <w:rPr>
                <w:rStyle w:val="39"/>
                <w:rFonts w:hint="eastAsia" w:ascii="宋体" w:hAnsi="宋体" w:eastAsia="宋体" w:cs="宋体"/>
                <w:color w:val="auto"/>
                <w:sz w:val="24"/>
                <w:szCs w:val="32"/>
                <w:highlight w:val="none"/>
              </w:rPr>
            </w:pPr>
            <w:r>
              <w:rPr>
                <w:rStyle w:val="39"/>
                <w:rFonts w:hint="eastAsia" w:ascii="宋体" w:hAnsi="宋体" w:eastAsia="宋体" w:cs="宋体"/>
                <w:color w:val="auto"/>
                <w:sz w:val="24"/>
                <w:szCs w:val="32"/>
                <w:highlight w:val="none"/>
              </w:rPr>
              <w:t>合同鉴证方（鉴证章）：</w:t>
            </w:r>
          </w:p>
        </w:tc>
        <w:tc>
          <w:tcPr>
            <w:tcW w:w="4261" w:type="dxa"/>
          </w:tcPr>
          <w:p>
            <w:pPr>
              <w:shd w:val="clear"/>
              <w:spacing w:line="360" w:lineRule="auto"/>
              <w:textAlignment w:val="baseline"/>
              <w:rPr>
                <w:rStyle w:val="39"/>
                <w:rFonts w:hint="eastAsia" w:ascii="宋体" w:hAnsi="宋体" w:eastAsia="宋体" w:cs="宋体"/>
                <w:color w:val="auto"/>
                <w:sz w:val="24"/>
                <w:szCs w:val="32"/>
                <w:highlight w:val="none"/>
              </w:rPr>
            </w:pPr>
          </w:p>
        </w:tc>
      </w:tr>
    </w:tbl>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both"/>
        <w:rPr>
          <w:rFonts w:hint="eastAsia" w:ascii="宋体" w:hAnsi="宋体" w:eastAsia="宋体" w:cs="宋体"/>
          <w:b/>
          <w:bCs/>
          <w:color w:val="auto"/>
          <w:sz w:val="36"/>
          <w:szCs w:val="44"/>
          <w:highlight w:val="none"/>
        </w:rPr>
      </w:pPr>
    </w:p>
    <w:p>
      <w:pPr>
        <w:pStyle w:val="2"/>
        <w:rPr>
          <w:rFonts w:hint="eastAsia" w:ascii="宋体" w:hAnsi="宋体" w:eastAsia="宋体" w:cs="宋体"/>
          <w:color w:val="auto"/>
          <w:highlight w:val="none"/>
        </w:rPr>
      </w:pPr>
    </w:p>
    <w:p>
      <w:pPr>
        <w:shd w:val="clear"/>
        <w:spacing w:line="360" w:lineRule="auto"/>
        <w:jc w:val="center"/>
        <w:rPr>
          <w:rFonts w:hint="eastAsia" w:ascii="宋体" w:hAnsi="宋体" w:eastAsia="宋体" w:cs="宋体"/>
          <w:b/>
          <w:bCs/>
          <w:color w:val="auto"/>
          <w:sz w:val="36"/>
          <w:szCs w:val="44"/>
          <w:highlight w:val="none"/>
        </w:rPr>
      </w:pPr>
    </w:p>
    <w:p>
      <w:pPr>
        <w:shd w:val="clear"/>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第六部分 响应文件格式附件</w:t>
      </w:r>
    </w:p>
    <w:p>
      <w:pPr>
        <w:shd w:val="clear"/>
        <w:spacing w:line="360" w:lineRule="auto"/>
        <w:ind w:firstLine="482" w:firstLineChars="200"/>
        <w:rPr>
          <w:rFonts w:hint="eastAsia" w:ascii="宋体" w:hAnsi="宋体" w:eastAsia="宋体" w:cs="宋体"/>
          <w:b/>
          <w:bCs/>
          <w:color w:val="auto"/>
          <w:sz w:val="24"/>
          <w:szCs w:val="32"/>
          <w:highlight w:val="none"/>
          <w:u w:val="single"/>
        </w:rPr>
      </w:pPr>
      <w:r>
        <w:rPr>
          <w:rFonts w:hint="eastAsia" w:ascii="宋体" w:hAnsi="宋体" w:eastAsia="宋体" w:cs="宋体"/>
          <w:b/>
          <w:bCs/>
          <w:color w:val="auto"/>
          <w:sz w:val="24"/>
          <w:szCs w:val="32"/>
          <w:highlight w:val="none"/>
        </w:rPr>
        <w:t>说明：对本章所有的磋商响应文件格式，供应商可根据自身情况进行补充和修改，但补充和修改不得造成与本格式内容有实质性的违背。</w:t>
      </w:r>
    </w:p>
    <w:p>
      <w:pPr>
        <w:shd w:val="clear"/>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br w:type="page"/>
      </w:r>
    </w:p>
    <w:p>
      <w:pPr>
        <w:shd w:val="clear"/>
        <w:rPr>
          <w:rFonts w:hint="eastAsia" w:ascii="宋体" w:hAnsi="宋体" w:eastAsia="宋体" w:cs="宋体"/>
          <w:b/>
          <w:color w:val="auto"/>
          <w:kern w:val="0"/>
          <w:sz w:val="28"/>
          <w:szCs w:val="28"/>
          <w:highlight w:val="none"/>
        </w:rPr>
      </w:pPr>
      <w:r>
        <w:rPr>
          <w:rFonts w:hint="eastAsia" w:ascii="宋体" w:hAnsi="宋体" w:eastAsia="宋体" w:cs="宋体"/>
          <w:b/>
          <w:bCs/>
          <w:color w:val="auto"/>
          <w:sz w:val="28"/>
          <w:szCs w:val="36"/>
          <w:highlight w:val="none"/>
        </w:rPr>
        <w:t>附件1　</w:t>
      </w:r>
      <w:r>
        <w:rPr>
          <w:rFonts w:hint="eastAsia" w:ascii="宋体" w:hAnsi="宋体" w:eastAsia="宋体" w:cs="宋体"/>
          <w:color w:val="auto"/>
          <w:sz w:val="30"/>
          <w:szCs w:val="30"/>
          <w:highlight w:val="none"/>
        </w:rPr>
        <w:t xml:space="preserve">　　                                       </w:t>
      </w:r>
      <w:r>
        <w:rPr>
          <w:rFonts w:hint="eastAsia" w:ascii="宋体" w:hAnsi="宋体" w:eastAsia="宋体" w:cs="宋体"/>
          <w:color w:val="auto"/>
          <w:sz w:val="30"/>
          <w:szCs w:val="30"/>
          <w:highlight w:val="none"/>
          <w:u w:val="single"/>
        </w:rPr>
        <w:t xml:space="preserve">   </w:t>
      </w:r>
      <w:r>
        <w:rPr>
          <w:rFonts w:hint="eastAsia" w:ascii="宋体" w:hAnsi="宋体" w:eastAsia="宋体" w:cs="宋体"/>
          <w:bCs/>
          <w:color w:val="auto"/>
          <w:sz w:val="24"/>
          <w:highlight w:val="none"/>
        </w:rPr>
        <w:t>本</w:t>
      </w:r>
    </w:p>
    <w:p>
      <w:pPr>
        <w:shd w:val="clear"/>
        <w:spacing w:line="360" w:lineRule="auto"/>
        <w:rPr>
          <w:rFonts w:hint="eastAsia" w:ascii="宋体" w:hAnsi="宋体" w:eastAsia="宋体" w:cs="宋体"/>
          <w:b/>
          <w:color w:val="auto"/>
          <w:sz w:val="30"/>
          <w:szCs w:val="30"/>
          <w:highlight w:val="none"/>
        </w:rPr>
      </w:pPr>
    </w:p>
    <w:p>
      <w:pPr>
        <w:shd w:val="clear"/>
        <w:spacing w:line="360" w:lineRule="auto"/>
        <w:jc w:val="center"/>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pPr>
        <w:shd w:val="clear"/>
        <w:spacing w:line="360" w:lineRule="auto"/>
        <w:ind w:firstLine="1800" w:firstLineChars="500"/>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pPr>
        <w:shd w:val="clea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磋</w:t>
      </w:r>
    </w:p>
    <w:p>
      <w:pPr>
        <w:shd w:val="clea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商</w:t>
      </w:r>
    </w:p>
    <w:p>
      <w:pPr>
        <w:shd w:val="clea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响</w:t>
      </w:r>
    </w:p>
    <w:p>
      <w:pPr>
        <w:shd w:val="clea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应</w:t>
      </w:r>
    </w:p>
    <w:p>
      <w:pPr>
        <w:shd w:val="clear"/>
        <w:autoSpaceDE w:val="0"/>
        <w:autoSpaceDN w:val="0"/>
        <w:adjustRightInd w:val="0"/>
        <w:spacing w:line="360" w:lineRule="auto"/>
        <w:jc w:val="center"/>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pPr>
        <w:shd w:val="clear"/>
        <w:autoSpaceDE w:val="0"/>
        <w:autoSpaceDN w:val="0"/>
        <w:adjustRightInd w:val="0"/>
        <w:spacing w:line="360" w:lineRule="auto"/>
        <w:jc w:val="center"/>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pPr>
        <w:shd w:val="clear"/>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供应商全称（公章）：</w:t>
      </w:r>
    </w:p>
    <w:p>
      <w:pPr>
        <w:shd w:val="clear"/>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pPr>
        <w:shd w:val="clear"/>
        <w:autoSpaceDE w:val="0"/>
        <w:autoSpaceDN w:val="0"/>
        <w:adjustRightInd w:val="0"/>
        <w:spacing w:line="360" w:lineRule="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pPr>
        <w:shd w:val="clear"/>
        <w:spacing w:line="240" w:lineRule="auto"/>
        <w:jc w:val="left"/>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br w:type="page"/>
      </w:r>
    </w:p>
    <w:p>
      <w:pPr>
        <w:shd w:val="clear"/>
        <w:spacing w:line="360" w:lineRule="auto"/>
        <w:jc w:val="center"/>
        <w:rPr>
          <w:rFonts w:hint="eastAsia" w:ascii="宋体" w:hAnsi="宋体" w:eastAsia="宋体" w:cs="宋体"/>
          <w:b/>
          <w:bCs/>
          <w:color w:val="auto"/>
          <w:sz w:val="36"/>
          <w:szCs w:val="44"/>
          <w:highlight w:val="none"/>
        </w:rPr>
      </w:pPr>
      <w:r>
        <w:rPr>
          <w:rFonts w:hint="eastAsia" w:ascii="宋体" w:hAnsi="宋体" w:eastAsia="宋体" w:cs="宋体"/>
          <w:b/>
          <w:bCs/>
          <w:color w:val="auto"/>
          <w:sz w:val="36"/>
          <w:szCs w:val="44"/>
          <w:highlight w:val="none"/>
        </w:rPr>
        <w:t>资格证明文件目录</w:t>
      </w: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b/>
          <w:bCs/>
          <w:color w:val="auto"/>
          <w:sz w:val="28"/>
          <w:szCs w:val="36"/>
          <w:highlight w:val="none"/>
        </w:rPr>
        <w:t>第一部分 资格证明部分</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lang w:val="en-US" w:eastAsia="zh-CN"/>
        </w:rPr>
        <w:t>1、</w:t>
      </w:r>
      <w:r>
        <w:rPr>
          <w:rFonts w:hint="eastAsia" w:ascii="宋体" w:hAnsi="宋体" w:eastAsia="宋体" w:cs="宋体"/>
          <w:color w:val="auto"/>
          <w:sz w:val="24"/>
          <w:szCs w:val="32"/>
          <w:highlight w:val="none"/>
        </w:rPr>
        <w:t>磋商声明书（附件1）；</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授权委托书（法定代表人亲自办理投标事宜的，则无需提交）（附件2）；</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法人或者其他组织的营业执照等证明文件，自然人的身份证明（附件3）；</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具有良好的商业信誉和健全的财务会计制度的承诺（附件4）；</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依法缴纳税收和社会保障资金的承诺（附件5）；</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具备履行合同所必需的设备和专业技术能力的证明材料</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参加政府采购活动前三年内，在经营活动中没有重大违法记录（附件6）；</w:t>
      </w:r>
    </w:p>
    <w:p>
      <w:pPr>
        <w:spacing w:beforeAutospacing="0" w:afterAutospacing="0"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8</w:t>
      </w:r>
      <w:r>
        <w:rPr>
          <w:rFonts w:hint="eastAsia" w:ascii="宋体" w:hAnsi="宋体" w:eastAsia="宋体" w:cs="宋体"/>
          <w:color w:val="auto"/>
          <w:sz w:val="24"/>
          <w:szCs w:val="32"/>
          <w:highlight w:val="none"/>
          <w:lang w:eastAsia="zh-CN"/>
        </w:rPr>
        <w:t>、</w:t>
      </w:r>
      <w:r>
        <w:rPr>
          <w:rFonts w:hint="eastAsia" w:ascii="宋体" w:hAnsi="宋体" w:eastAsia="宋体" w:cs="宋体"/>
          <w:color w:val="auto"/>
          <w:sz w:val="24"/>
          <w:szCs w:val="32"/>
          <w:highlight w:val="none"/>
        </w:rPr>
        <w:t>落实政府采购政策需满足的资格要求所对应的证明材料（中小企业声明函）</w:t>
      </w:r>
      <w:r>
        <w:rPr>
          <w:rFonts w:hint="eastAsia" w:ascii="宋体" w:hAnsi="宋体" w:eastAsia="宋体" w:cs="宋体"/>
          <w:color w:val="auto"/>
          <w:sz w:val="24"/>
          <w:highlight w:val="none"/>
        </w:rPr>
        <w:t>（附件</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w:t>
      </w:r>
      <w:r>
        <w:rPr>
          <w:rFonts w:hint="eastAsia" w:ascii="宋体" w:hAnsi="宋体" w:eastAsia="宋体" w:cs="宋体"/>
          <w:color w:val="auto"/>
          <w:sz w:val="24"/>
          <w:szCs w:val="32"/>
          <w:highlight w:val="none"/>
        </w:rPr>
        <w:t>；</w:t>
      </w:r>
    </w:p>
    <w:p>
      <w:pPr>
        <w:shd w:val="clea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szCs w:val="32"/>
          <w:highlight w:val="none"/>
          <w:lang w:val="en-US" w:eastAsia="zh-CN"/>
        </w:rPr>
        <w:t>9、</w:t>
      </w:r>
      <w:r>
        <w:rPr>
          <w:rFonts w:hint="eastAsia" w:ascii="宋体" w:hAnsi="宋体" w:eastAsia="宋体" w:cs="宋体"/>
          <w:color w:val="auto"/>
          <w:sz w:val="24"/>
          <w:szCs w:val="32"/>
          <w:highlight w:val="none"/>
        </w:rPr>
        <w:t>提供采购公告中符合供应商特定条件的有效资质证书复印件（投标供应商特定条件中有要求的必须提供），以及需要说明的其他资料。</w:t>
      </w:r>
    </w:p>
    <w:p>
      <w:pPr>
        <w:shd w:val="clear"/>
        <w:spacing w:line="360" w:lineRule="auto"/>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lang w:val="zh-CN"/>
        </w:rPr>
        <w:t>第二部分</w:t>
      </w:r>
      <w:r>
        <w:rPr>
          <w:rFonts w:hint="eastAsia" w:ascii="宋体" w:hAnsi="宋体" w:eastAsia="宋体" w:cs="宋体"/>
          <w:b/>
          <w:bCs/>
          <w:color w:val="auto"/>
          <w:sz w:val="28"/>
          <w:szCs w:val="36"/>
          <w:highlight w:val="none"/>
        </w:rPr>
        <w:t xml:space="preserve"> </w:t>
      </w:r>
      <w:r>
        <w:rPr>
          <w:rFonts w:hint="eastAsia" w:ascii="宋体" w:hAnsi="宋体" w:eastAsia="宋体" w:cs="宋体"/>
          <w:b/>
          <w:bCs/>
          <w:color w:val="auto"/>
          <w:sz w:val="28"/>
          <w:szCs w:val="36"/>
          <w:highlight w:val="none"/>
          <w:lang w:val="zh-CN"/>
        </w:rPr>
        <w:t>商务与技术</w:t>
      </w:r>
      <w:r>
        <w:rPr>
          <w:rFonts w:hint="eastAsia" w:ascii="宋体" w:hAnsi="宋体" w:eastAsia="宋体" w:cs="宋体"/>
          <w:b/>
          <w:bCs/>
          <w:color w:val="auto"/>
          <w:sz w:val="28"/>
          <w:szCs w:val="36"/>
          <w:highlight w:val="none"/>
        </w:rPr>
        <w:t>部分</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1、供应商情况介绍（附件</w:t>
      </w:r>
      <w:r>
        <w:rPr>
          <w:rFonts w:hint="eastAsia" w:ascii="宋体" w:hAnsi="宋体" w:eastAsia="宋体" w:cs="宋体"/>
          <w:color w:val="auto"/>
          <w:sz w:val="24"/>
          <w:szCs w:val="32"/>
          <w:highlight w:val="none"/>
          <w:lang w:val="en-US" w:eastAsia="zh-CN"/>
        </w:rPr>
        <w:t>8</w:t>
      </w:r>
      <w:r>
        <w:rPr>
          <w:rFonts w:hint="eastAsia" w:ascii="宋体" w:hAnsi="宋体" w:eastAsia="宋体" w:cs="宋体"/>
          <w:color w:val="auto"/>
          <w:sz w:val="24"/>
          <w:szCs w:val="32"/>
          <w:highlight w:val="none"/>
        </w:rPr>
        <w:t>）；</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2、项目实施人员一览表（附件</w:t>
      </w:r>
      <w:r>
        <w:rPr>
          <w:rFonts w:hint="eastAsia" w:ascii="宋体" w:hAnsi="宋体" w:eastAsia="宋体" w:cs="宋体"/>
          <w:color w:val="auto"/>
          <w:sz w:val="24"/>
          <w:szCs w:val="32"/>
          <w:highlight w:val="none"/>
          <w:lang w:val="en-US" w:eastAsia="zh-CN"/>
        </w:rPr>
        <w:t>9</w:t>
      </w:r>
      <w:r>
        <w:rPr>
          <w:rFonts w:hint="eastAsia" w:ascii="宋体" w:hAnsi="宋体" w:eastAsia="宋体" w:cs="宋体"/>
          <w:color w:val="auto"/>
          <w:sz w:val="24"/>
          <w:szCs w:val="32"/>
          <w:highlight w:val="none"/>
        </w:rPr>
        <w:t xml:space="preserve">）； </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3、证书一览表（附件</w:t>
      </w:r>
      <w:r>
        <w:rPr>
          <w:rFonts w:hint="eastAsia" w:ascii="宋体" w:hAnsi="宋体" w:eastAsia="宋体" w:cs="宋体"/>
          <w:color w:val="auto"/>
          <w:sz w:val="24"/>
          <w:szCs w:val="32"/>
          <w:highlight w:val="none"/>
          <w:lang w:val="en-US" w:eastAsia="zh-CN"/>
        </w:rPr>
        <w:t>10</w:t>
      </w:r>
      <w:r>
        <w:rPr>
          <w:rFonts w:hint="eastAsia" w:ascii="宋体" w:hAnsi="宋体" w:eastAsia="宋体" w:cs="宋体"/>
          <w:color w:val="auto"/>
          <w:sz w:val="24"/>
          <w:szCs w:val="32"/>
          <w:highlight w:val="none"/>
        </w:rPr>
        <w:t>）；</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4、项目负责人资格情况表（附件1</w:t>
      </w:r>
      <w:r>
        <w:rPr>
          <w:rFonts w:hint="eastAsia" w:ascii="宋体" w:hAnsi="宋体" w:eastAsia="宋体" w:cs="宋体"/>
          <w:color w:val="auto"/>
          <w:sz w:val="24"/>
          <w:szCs w:val="32"/>
          <w:highlight w:val="none"/>
          <w:lang w:val="en-US" w:eastAsia="zh-CN"/>
        </w:rPr>
        <w:t>1</w:t>
      </w:r>
      <w:r>
        <w:rPr>
          <w:rFonts w:hint="eastAsia" w:ascii="宋体" w:hAnsi="宋体" w:eastAsia="宋体" w:cs="宋体"/>
          <w:color w:val="auto"/>
          <w:sz w:val="24"/>
          <w:szCs w:val="32"/>
          <w:highlight w:val="none"/>
        </w:rPr>
        <w:t>）；</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5、商务及技术响应表（附件1</w:t>
      </w:r>
      <w:r>
        <w:rPr>
          <w:rFonts w:hint="eastAsia" w:ascii="宋体" w:hAnsi="宋体" w:eastAsia="宋体" w:cs="宋体"/>
          <w:color w:val="auto"/>
          <w:sz w:val="24"/>
          <w:szCs w:val="32"/>
          <w:highlight w:val="none"/>
          <w:lang w:val="en-US" w:eastAsia="zh-CN"/>
        </w:rPr>
        <w:t>2</w:t>
      </w:r>
      <w:r>
        <w:rPr>
          <w:rFonts w:hint="eastAsia" w:ascii="宋体" w:hAnsi="宋体" w:eastAsia="宋体" w:cs="宋体"/>
          <w:color w:val="auto"/>
          <w:sz w:val="24"/>
          <w:szCs w:val="32"/>
          <w:highlight w:val="none"/>
        </w:rPr>
        <w:t>）；</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6、类似项目业绩一览表（附件1</w:t>
      </w:r>
      <w:r>
        <w:rPr>
          <w:rFonts w:hint="eastAsia" w:ascii="宋体" w:hAnsi="宋体" w:eastAsia="宋体" w:cs="宋体"/>
          <w:color w:val="auto"/>
          <w:sz w:val="24"/>
          <w:szCs w:val="32"/>
          <w:highlight w:val="none"/>
          <w:lang w:val="en-US" w:eastAsia="zh-CN"/>
        </w:rPr>
        <w:t>3</w:t>
      </w:r>
      <w:r>
        <w:rPr>
          <w:rFonts w:hint="eastAsia" w:ascii="宋体" w:hAnsi="宋体" w:eastAsia="宋体" w:cs="宋体"/>
          <w:color w:val="auto"/>
          <w:sz w:val="24"/>
          <w:szCs w:val="32"/>
          <w:highlight w:val="none"/>
        </w:rPr>
        <w:t>）；</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7、售后服务措施及承诺（可视情选用附件1</w:t>
      </w:r>
      <w:r>
        <w:rPr>
          <w:rFonts w:hint="eastAsia" w:ascii="宋体" w:hAnsi="宋体" w:eastAsia="宋体" w:cs="宋体"/>
          <w:color w:val="auto"/>
          <w:sz w:val="24"/>
          <w:szCs w:val="32"/>
          <w:highlight w:val="none"/>
          <w:lang w:val="en-US" w:eastAsia="zh-CN"/>
        </w:rPr>
        <w:t>4</w:t>
      </w:r>
      <w:r>
        <w:rPr>
          <w:rFonts w:hint="eastAsia" w:ascii="宋体" w:hAnsi="宋体" w:eastAsia="宋体" w:cs="宋体"/>
          <w:color w:val="auto"/>
          <w:sz w:val="24"/>
          <w:szCs w:val="32"/>
          <w:highlight w:val="none"/>
        </w:rPr>
        <w:t>）；</w:t>
      </w:r>
    </w:p>
    <w:p>
      <w:pPr>
        <w:shd w:val="clear"/>
        <w:spacing w:line="360" w:lineRule="auto"/>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第三部分 报价部分</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1、首次报价一览表（附件1</w:t>
      </w:r>
      <w:r>
        <w:rPr>
          <w:rFonts w:hint="eastAsia" w:ascii="宋体" w:hAnsi="宋体" w:eastAsia="宋体" w:cs="宋体"/>
          <w:color w:val="auto"/>
          <w:sz w:val="24"/>
          <w:szCs w:val="32"/>
          <w:highlight w:val="none"/>
          <w:lang w:val="en-US" w:eastAsia="zh-CN"/>
        </w:rPr>
        <w:t>5</w:t>
      </w:r>
      <w:r>
        <w:rPr>
          <w:rFonts w:hint="eastAsia" w:ascii="宋体" w:hAnsi="宋体" w:eastAsia="宋体" w:cs="宋体"/>
          <w:color w:val="auto"/>
          <w:sz w:val="24"/>
          <w:szCs w:val="32"/>
          <w:highlight w:val="none"/>
        </w:rPr>
        <w:t>）；</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2、报价明细表（附件</w:t>
      </w:r>
      <w:r>
        <w:rPr>
          <w:rFonts w:hint="eastAsia" w:ascii="宋体" w:hAnsi="宋体" w:eastAsia="宋体" w:cs="宋体"/>
          <w:color w:val="auto"/>
          <w:sz w:val="24"/>
          <w:szCs w:val="32"/>
          <w:highlight w:val="none"/>
          <w:lang w:val="en-US" w:eastAsia="zh-CN"/>
        </w:rPr>
        <w:t>16</w:t>
      </w:r>
      <w:r>
        <w:rPr>
          <w:rFonts w:hint="eastAsia" w:ascii="宋体" w:hAnsi="宋体" w:eastAsia="宋体" w:cs="宋体"/>
          <w:color w:val="auto"/>
          <w:sz w:val="24"/>
          <w:szCs w:val="32"/>
          <w:highlight w:val="none"/>
        </w:rPr>
        <w:t>）；</w:t>
      </w:r>
    </w:p>
    <w:p>
      <w:pPr>
        <w:shd w:val="clear"/>
        <w:spacing w:line="360" w:lineRule="auto"/>
        <w:ind w:firstLine="480" w:firstLineChars="200"/>
        <w:rPr>
          <w:rFonts w:hint="eastAsia" w:ascii="宋体" w:hAnsi="宋体" w:eastAsia="宋体" w:cs="宋体"/>
          <w:color w:val="auto"/>
          <w:sz w:val="24"/>
          <w:szCs w:val="32"/>
          <w:highlight w:val="none"/>
          <w:lang w:val="en-US" w:eastAsia="zh-CN"/>
        </w:rPr>
      </w:pPr>
      <w:r>
        <w:rPr>
          <w:rFonts w:hint="eastAsia" w:ascii="宋体" w:hAnsi="宋体" w:eastAsia="宋体" w:cs="宋体"/>
          <w:color w:val="auto"/>
          <w:sz w:val="24"/>
          <w:szCs w:val="32"/>
          <w:highlight w:val="none"/>
          <w:lang w:val="en-US" w:eastAsia="zh-CN"/>
        </w:rPr>
        <w:t>3、针对报价投标人认为其他需要说明的。</w:t>
      </w:r>
    </w:p>
    <w:p>
      <w:pPr>
        <w:pStyle w:val="86"/>
        <w:shd w:val="clear"/>
        <w:ind w:left="0" w:leftChars="0" w:firstLine="0" w:firstLineChars="0"/>
        <w:rPr>
          <w:rFonts w:hint="eastAsia" w:ascii="宋体" w:hAnsi="宋体" w:eastAsia="宋体" w:cs="宋体"/>
          <w:color w:val="auto"/>
          <w:highlight w:val="none"/>
        </w:rPr>
      </w:pPr>
    </w:p>
    <w:p>
      <w:pPr>
        <w:shd w:val="clear"/>
        <w:spacing w:line="360" w:lineRule="auto"/>
        <w:rPr>
          <w:rFonts w:hint="eastAsia" w:ascii="宋体" w:hAnsi="宋体" w:eastAsia="宋体" w:cs="宋体"/>
          <w:b/>
          <w:color w:val="auto"/>
          <w:sz w:val="28"/>
          <w:highlight w:val="none"/>
        </w:rPr>
      </w:pPr>
    </w:p>
    <w:p>
      <w:pPr>
        <w:shd w:val="clear"/>
        <w:spacing w:line="360" w:lineRule="auto"/>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sz w:val="28"/>
          <w:highlight w:val="none"/>
        </w:rPr>
        <w:t>附件1                  磋商</w:t>
      </w:r>
      <w:r>
        <w:rPr>
          <w:rFonts w:hint="eastAsia" w:ascii="宋体" w:hAnsi="宋体" w:eastAsia="宋体" w:cs="宋体"/>
          <w:b/>
          <w:color w:val="auto"/>
          <w:sz w:val="28"/>
          <w:highlight w:val="none"/>
          <w:lang w:val="zh-CN"/>
        </w:rPr>
        <w:t>声明书</w:t>
      </w:r>
    </w:p>
    <w:p>
      <w:pPr>
        <w:shd w:val="clear"/>
        <w:spacing w:line="460" w:lineRule="exac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u w:val="single"/>
        </w:rPr>
        <w:t>浙江五石中正工程咨询有限公司</w:t>
      </w:r>
      <w:r>
        <w:rPr>
          <w:rFonts w:hint="eastAsia" w:ascii="宋体" w:hAnsi="宋体" w:eastAsia="宋体" w:cs="宋体"/>
          <w:color w:val="auto"/>
          <w:sz w:val="24"/>
          <w:szCs w:val="32"/>
          <w:highlight w:val="none"/>
        </w:rPr>
        <w:t>（采购代理机构名称）：</w:t>
      </w:r>
    </w:p>
    <w:p>
      <w:pPr>
        <w:shd w:val="clear"/>
        <w:spacing w:line="46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u w:val="single"/>
        </w:rPr>
        <w:t>（供应商名称）</w:t>
      </w:r>
      <w:r>
        <w:rPr>
          <w:rFonts w:hint="eastAsia" w:ascii="宋体" w:hAnsi="宋体" w:eastAsia="宋体" w:cs="宋体"/>
          <w:color w:val="auto"/>
          <w:sz w:val="24"/>
          <w:szCs w:val="32"/>
          <w:highlight w:val="none"/>
        </w:rPr>
        <w:t>系中华人民共和国合法企业，经营地址</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w:t>
      </w:r>
    </w:p>
    <w:p>
      <w:pPr>
        <w:shd w:val="clear"/>
        <w:spacing w:line="46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我（</w:t>
      </w:r>
      <w:r>
        <w:rPr>
          <w:rFonts w:hint="eastAsia" w:ascii="宋体" w:hAnsi="宋体" w:eastAsia="宋体" w:cs="宋体"/>
          <w:color w:val="auto"/>
          <w:sz w:val="24"/>
          <w:szCs w:val="32"/>
          <w:highlight w:val="none"/>
          <w:u w:val="single"/>
        </w:rPr>
        <w:t xml:space="preserve"> 姓名 </w:t>
      </w:r>
      <w:r>
        <w:rPr>
          <w:rFonts w:hint="eastAsia" w:ascii="宋体" w:hAnsi="宋体" w:eastAsia="宋体" w:cs="宋体"/>
          <w:color w:val="auto"/>
          <w:sz w:val="24"/>
          <w:szCs w:val="32"/>
          <w:highlight w:val="none"/>
        </w:rPr>
        <w:t>）系（</w:t>
      </w:r>
      <w:r>
        <w:rPr>
          <w:rFonts w:hint="eastAsia" w:ascii="宋体" w:hAnsi="宋体" w:eastAsia="宋体" w:cs="宋体"/>
          <w:color w:val="auto"/>
          <w:sz w:val="24"/>
          <w:szCs w:val="32"/>
          <w:highlight w:val="none"/>
          <w:u w:val="single"/>
        </w:rPr>
        <w:t xml:space="preserve"> 供应商名称 </w:t>
      </w:r>
      <w:r>
        <w:rPr>
          <w:rFonts w:hint="eastAsia" w:ascii="宋体" w:hAnsi="宋体" w:eastAsia="宋体" w:cs="宋体"/>
          <w:color w:val="auto"/>
          <w:sz w:val="24"/>
          <w:szCs w:val="32"/>
          <w:highlight w:val="none"/>
        </w:rPr>
        <w:t>）的法定代表人，我公司自愿参加贵方组织的（</w:t>
      </w:r>
      <w:r>
        <w:rPr>
          <w:rFonts w:hint="eastAsia" w:ascii="宋体" w:hAnsi="宋体" w:eastAsia="宋体" w:cs="宋体"/>
          <w:color w:val="auto"/>
          <w:sz w:val="24"/>
          <w:szCs w:val="32"/>
          <w:highlight w:val="none"/>
          <w:u w:val="single"/>
          <w:lang w:eastAsia="zh-CN"/>
        </w:rPr>
        <w:t>中国·路桥第七届高端智能装备全球创业创新大赛组织服务项目</w:t>
      </w:r>
      <w:r>
        <w:rPr>
          <w:rFonts w:hint="eastAsia" w:ascii="宋体" w:hAnsi="宋体" w:eastAsia="宋体" w:cs="宋体"/>
          <w:color w:val="auto"/>
          <w:sz w:val="24"/>
          <w:szCs w:val="32"/>
          <w:highlight w:val="none"/>
        </w:rPr>
        <w:t>）（编号为</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u w:val="single"/>
          <w:lang w:eastAsia="zh-CN"/>
        </w:rPr>
        <w:t>ZJWS2024-LQ131</w:t>
      </w:r>
      <w:r>
        <w:rPr>
          <w:rFonts w:hint="eastAsia" w:ascii="宋体" w:hAnsi="宋体" w:eastAsia="宋体" w:cs="宋体"/>
          <w:color w:val="auto"/>
          <w:sz w:val="24"/>
          <w:szCs w:val="32"/>
          <w:highlight w:val="none"/>
        </w:rPr>
        <w:t>）的磋商，为此，我公司就本次磋商有关事项郑重声明如下：</w:t>
      </w:r>
    </w:p>
    <w:p>
      <w:pPr>
        <w:shd w:val="clear"/>
        <w:spacing w:line="46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我公司声明截止磋商时间近三年以来：在参加政府采购活动过程中无任何不良行为记录；无重大违法记录（重大违法记录是指供应商因违法经营受到刑事处罚或者责令停产停业、吊销许可证或者执照、较大数额罚款等行政处罚）。</w:t>
      </w:r>
    </w:p>
    <w:p>
      <w:pPr>
        <w:shd w:val="clear"/>
        <w:spacing w:line="46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pPr>
        <w:shd w:val="clear"/>
        <w:spacing w:line="46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3、我</w:t>
      </w:r>
      <w:r>
        <w:rPr>
          <w:rFonts w:hint="eastAsia" w:ascii="宋体" w:hAnsi="宋体" w:eastAsia="宋体" w:cs="宋体"/>
          <w:color w:val="auto"/>
          <w:sz w:val="24"/>
          <w:szCs w:val="32"/>
          <w:highlight w:val="none"/>
          <w:lang w:val="zh-CN"/>
        </w:rPr>
        <w:t>公司</w:t>
      </w:r>
      <w:r>
        <w:rPr>
          <w:rFonts w:hint="eastAsia" w:ascii="宋体" w:hAnsi="宋体" w:eastAsia="宋体" w:cs="宋体"/>
          <w:color w:val="auto"/>
          <w:sz w:val="24"/>
          <w:szCs w:val="32"/>
          <w:highlight w:val="none"/>
        </w:rPr>
        <w:t>不是采购人的附属机构；在获知本项目采购信息后，与采购人聘请的为此项目提供咨询服务的公司及其附属机构没有任何联系。</w:t>
      </w:r>
    </w:p>
    <w:p>
      <w:pPr>
        <w:shd w:val="clear"/>
        <w:spacing w:line="46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4、我</w:t>
      </w:r>
      <w:r>
        <w:rPr>
          <w:rFonts w:hint="eastAsia" w:ascii="宋体" w:hAnsi="宋体" w:eastAsia="宋体" w:cs="宋体"/>
          <w:color w:val="auto"/>
          <w:sz w:val="24"/>
          <w:szCs w:val="32"/>
          <w:highlight w:val="none"/>
          <w:lang w:val="zh-CN"/>
        </w:rPr>
        <w:t>公司</w:t>
      </w:r>
      <w:r>
        <w:rPr>
          <w:rFonts w:hint="eastAsia" w:ascii="宋体" w:hAnsi="宋体" w:eastAsia="宋体" w:cs="宋体"/>
          <w:color w:val="auto"/>
          <w:sz w:val="24"/>
          <w:szCs w:val="32"/>
          <w:highlight w:val="none"/>
        </w:rPr>
        <w:t>保证，采购人在中华人民共和国境内使用我</w:t>
      </w:r>
      <w:r>
        <w:rPr>
          <w:rFonts w:hint="eastAsia" w:ascii="宋体" w:hAnsi="宋体" w:eastAsia="宋体" w:cs="宋体"/>
          <w:color w:val="auto"/>
          <w:sz w:val="24"/>
          <w:szCs w:val="32"/>
          <w:highlight w:val="none"/>
          <w:lang w:val="zh-CN"/>
        </w:rPr>
        <w:t>公司</w:t>
      </w:r>
      <w:r>
        <w:rPr>
          <w:rFonts w:hint="eastAsia" w:ascii="宋体" w:hAnsi="宋体" w:eastAsia="宋体" w:cs="宋体"/>
          <w:color w:val="auto"/>
          <w:sz w:val="24"/>
          <w:szCs w:val="32"/>
          <w:highlight w:val="none"/>
        </w:rPr>
        <w:t>磋商响应的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pPr>
        <w:shd w:val="clear"/>
        <w:spacing w:line="46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5、我</w:t>
      </w:r>
      <w:r>
        <w:rPr>
          <w:rFonts w:hint="eastAsia" w:ascii="宋体" w:hAnsi="宋体" w:eastAsia="宋体" w:cs="宋体"/>
          <w:color w:val="auto"/>
          <w:sz w:val="24"/>
          <w:szCs w:val="32"/>
          <w:highlight w:val="none"/>
          <w:lang w:val="zh-CN"/>
        </w:rPr>
        <w:t>公司</w:t>
      </w:r>
      <w:r>
        <w:rPr>
          <w:rFonts w:hint="eastAsia" w:ascii="宋体" w:hAnsi="宋体" w:eastAsia="宋体" w:cs="宋体"/>
          <w:color w:val="auto"/>
          <w:sz w:val="24"/>
          <w:szCs w:val="32"/>
          <w:highlight w:val="none"/>
        </w:rPr>
        <w:t>严格履行政府采购合同，不降低合同约定的产品质量和服务，不擅自变更、中止、终止合同，或拒绝履行合同义务；</w:t>
      </w:r>
    </w:p>
    <w:p>
      <w:pPr>
        <w:shd w:val="clear"/>
        <w:spacing w:line="46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6、以上事项如有虚假或隐瞒，我</w:t>
      </w:r>
      <w:r>
        <w:rPr>
          <w:rFonts w:hint="eastAsia" w:ascii="宋体" w:hAnsi="宋体" w:eastAsia="宋体" w:cs="宋体"/>
          <w:color w:val="auto"/>
          <w:sz w:val="24"/>
          <w:szCs w:val="32"/>
          <w:highlight w:val="none"/>
          <w:lang w:val="zh-CN"/>
        </w:rPr>
        <w:t>公司</w:t>
      </w:r>
      <w:r>
        <w:rPr>
          <w:rFonts w:hint="eastAsia" w:ascii="宋体" w:hAnsi="宋体" w:eastAsia="宋体" w:cs="宋体"/>
          <w:color w:val="auto"/>
          <w:sz w:val="24"/>
          <w:szCs w:val="32"/>
          <w:highlight w:val="none"/>
        </w:rPr>
        <w:t>愿意承担一切后果，并不再寻求任何旨在减轻或免除法律责任的辩解。</w:t>
      </w:r>
    </w:p>
    <w:p>
      <w:pPr>
        <w:shd w:val="clear"/>
        <w:spacing w:line="460" w:lineRule="exact"/>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本单位若违反以上承诺，将无条件接受项目主管部门和有关监督管理部门的调查，并愿意承担取消中标资格及限制在本地区参与投标等一切法律责任。</w:t>
      </w:r>
    </w:p>
    <w:p>
      <w:pPr>
        <w:shd w:val="clear"/>
        <w:spacing w:line="360" w:lineRule="auto"/>
        <w:ind w:firstLine="4560" w:firstLineChars="19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供应商名称（公章）：</w:t>
      </w:r>
    </w:p>
    <w:p>
      <w:pPr>
        <w:shd w:val="clear"/>
        <w:spacing w:line="360" w:lineRule="auto"/>
        <w:ind w:firstLine="2880" w:firstLineChars="1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法定代表人或授权委托</w:t>
      </w:r>
      <w:r>
        <w:rPr>
          <w:rFonts w:hint="eastAsia" w:ascii="宋体" w:hAnsi="宋体" w:eastAsia="宋体" w:cs="宋体"/>
          <w:color w:val="auto"/>
          <w:sz w:val="24"/>
          <w:szCs w:val="32"/>
          <w:highlight w:val="none"/>
          <w:lang w:val="en-US" w:eastAsia="zh-CN"/>
        </w:rPr>
        <w:t>代理</w:t>
      </w:r>
      <w:r>
        <w:rPr>
          <w:rFonts w:hint="eastAsia" w:ascii="宋体" w:hAnsi="宋体" w:eastAsia="宋体" w:cs="宋体"/>
          <w:color w:val="auto"/>
          <w:sz w:val="24"/>
          <w:szCs w:val="32"/>
          <w:highlight w:val="none"/>
          <w:lang w:val="zh-CN"/>
        </w:rPr>
        <w:t>人（签字）：</w:t>
      </w:r>
    </w:p>
    <w:p>
      <w:pPr>
        <w:shd w:val="clear"/>
        <w:spacing w:line="360" w:lineRule="auto"/>
        <w:ind w:firstLine="4560" w:firstLineChars="19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zh-CN"/>
        </w:rPr>
        <w:t>日期：</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年</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月</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日</w:t>
      </w:r>
    </w:p>
    <w:p>
      <w:pPr>
        <w:shd w:val="clear"/>
        <w:spacing w:line="360" w:lineRule="auto"/>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                   授权委托书</w:t>
      </w:r>
    </w:p>
    <w:p>
      <w:pPr>
        <w:shd w:val="clear"/>
        <w:spacing w:line="360"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u w:val="single"/>
          <w:lang w:eastAsia="zh-CN"/>
        </w:rPr>
        <w:t>台州市路桥区人力资源和社会保障局</w:t>
      </w:r>
      <w:r>
        <w:rPr>
          <w:rFonts w:hint="eastAsia" w:ascii="宋体" w:hAnsi="宋体" w:eastAsia="宋体" w:cs="宋体"/>
          <w:color w:val="auto"/>
          <w:sz w:val="24"/>
          <w:szCs w:val="32"/>
          <w:highlight w:val="none"/>
          <w:u w:val="single"/>
        </w:rPr>
        <w:t>、浙江五石中正工程咨询有限公司</w:t>
      </w:r>
      <w:r>
        <w:rPr>
          <w:rFonts w:hint="eastAsia" w:ascii="宋体" w:hAnsi="宋体" w:eastAsia="宋体" w:cs="宋体"/>
          <w:color w:val="auto"/>
          <w:sz w:val="24"/>
          <w:szCs w:val="32"/>
          <w:highlight w:val="none"/>
        </w:rPr>
        <w:t>：</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u w:val="single"/>
        </w:rPr>
        <w:t>（供应商全称）</w:t>
      </w:r>
      <w:r>
        <w:rPr>
          <w:rFonts w:hint="eastAsia" w:ascii="宋体" w:hAnsi="宋体" w:eastAsia="宋体" w:cs="宋体"/>
          <w:color w:val="auto"/>
          <w:sz w:val="24"/>
          <w:szCs w:val="32"/>
          <w:highlight w:val="none"/>
        </w:rPr>
        <w:t>法定代表人（或营业执照中单位负责人）</w:t>
      </w:r>
      <w:r>
        <w:rPr>
          <w:rFonts w:hint="eastAsia" w:ascii="宋体" w:hAnsi="宋体" w:eastAsia="宋体" w:cs="宋体"/>
          <w:color w:val="auto"/>
          <w:sz w:val="24"/>
          <w:szCs w:val="32"/>
          <w:highlight w:val="none"/>
          <w:u w:val="single"/>
        </w:rPr>
        <w:tab/>
      </w:r>
      <w:r>
        <w:rPr>
          <w:rFonts w:hint="eastAsia" w:ascii="宋体" w:hAnsi="宋体" w:eastAsia="宋体" w:cs="宋体"/>
          <w:color w:val="auto"/>
          <w:sz w:val="24"/>
          <w:szCs w:val="32"/>
          <w:highlight w:val="none"/>
          <w:u w:val="single"/>
        </w:rPr>
        <w:t xml:space="preserve">（法定代表人或营业执照中单位负责人姓名） </w:t>
      </w:r>
      <w:r>
        <w:rPr>
          <w:rFonts w:hint="eastAsia" w:ascii="宋体" w:hAnsi="宋体" w:eastAsia="宋体" w:cs="宋体"/>
          <w:color w:val="auto"/>
          <w:sz w:val="24"/>
          <w:szCs w:val="32"/>
          <w:highlight w:val="none"/>
        </w:rPr>
        <w:t>授权</w:t>
      </w:r>
      <w:r>
        <w:rPr>
          <w:rFonts w:hint="eastAsia" w:ascii="宋体" w:hAnsi="宋体" w:eastAsia="宋体" w:cs="宋体"/>
          <w:color w:val="auto"/>
          <w:sz w:val="24"/>
          <w:szCs w:val="32"/>
          <w:highlight w:val="none"/>
          <w:u w:val="single"/>
        </w:rPr>
        <w:t xml:space="preserve"> （授权委托代理人姓名） </w:t>
      </w:r>
      <w:r>
        <w:rPr>
          <w:rFonts w:hint="eastAsia" w:ascii="宋体" w:hAnsi="宋体" w:eastAsia="宋体" w:cs="宋体"/>
          <w:color w:val="auto"/>
          <w:sz w:val="24"/>
          <w:szCs w:val="32"/>
          <w:highlight w:val="none"/>
        </w:rPr>
        <w:t>为授权委托代理人，参加贵单位组织的</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u w:val="single"/>
          <w:lang w:eastAsia="zh-CN"/>
        </w:rPr>
        <w:t>中国·路桥第七届高端智能装备全球创业创新大赛组织服务项目</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rPr>
        <w:t>的采购活动，并代表我方全权办理针对上述项目的磋商、签约等具体事务和签署相关文件。我方对授权委托代理人的签字事项负全部责任。</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在撤销授权的书面通知以前，本授权书一直有效。授权委托代理人在授权委托书有效期内签署的所有文件不因授权的撤销而失效。</w:t>
      </w: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授权委托代理人无转委托权，特此委托。</w:t>
      </w:r>
    </w:p>
    <w:p>
      <w:pPr>
        <w:shd w:val="clear"/>
        <w:spacing w:line="360" w:lineRule="auto"/>
        <w:ind w:firstLine="480" w:firstLineChars="200"/>
        <w:rPr>
          <w:rFonts w:hint="eastAsia" w:ascii="宋体" w:hAnsi="宋体" w:eastAsia="宋体" w:cs="宋体"/>
          <w:color w:val="auto"/>
          <w:sz w:val="24"/>
          <w:szCs w:val="32"/>
          <w:highlight w:val="none"/>
        </w:rPr>
      </w:pP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法定代表人（单位负责人）签字或盖章：</w:t>
      </w:r>
    </w:p>
    <w:p>
      <w:pPr>
        <w:shd w:val="clear"/>
        <w:spacing w:line="360" w:lineRule="auto"/>
        <w:ind w:firstLine="480" w:firstLineChars="200"/>
        <w:rPr>
          <w:rFonts w:hint="eastAsia" w:ascii="宋体" w:hAnsi="宋体" w:eastAsia="宋体" w:cs="宋体"/>
          <w:color w:val="auto"/>
          <w:sz w:val="24"/>
          <w:szCs w:val="32"/>
          <w:highlight w:val="none"/>
        </w:rPr>
      </w:pPr>
    </w:p>
    <w:p>
      <w:pPr>
        <w:shd w:val="clea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xml:space="preserve">供应商全称（公章）：                      </w:t>
      </w:r>
      <w:r>
        <w:rPr>
          <w:rFonts w:hint="eastAsia" w:ascii="宋体" w:hAnsi="宋体" w:eastAsia="宋体" w:cs="宋体"/>
          <w:color w:val="auto"/>
          <w:sz w:val="24"/>
          <w:szCs w:val="32"/>
          <w:highlight w:val="none"/>
          <w:lang w:val="zh-CN"/>
        </w:rPr>
        <w:t>日期：</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年</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月</w:t>
      </w:r>
      <w:r>
        <w:rPr>
          <w:rFonts w:hint="eastAsia" w:ascii="宋体" w:hAnsi="宋体" w:eastAsia="宋体" w:cs="宋体"/>
          <w:color w:val="auto"/>
          <w:sz w:val="24"/>
          <w:szCs w:val="32"/>
          <w:highlight w:val="none"/>
          <w:u w:val="single"/>
        </w:rPr>
        <w:t xml:space="preserve">    </w:t>
      </w:r>
      <w:r>
        <w:rPr>
          <w:rFonts w:hint="eastAsia" w:ascii="宋体" w:hAnsi="宋体" w:eastAsia="宋体" w:cs="宋体"/>
          <w:color w:val="auto"/>
          <w:sz w:val="24"/>
          <w:szCs w:val="32"/>
          <w:highlight w:val="none"/>
          <w:lang w:val="zh-CN"/>
        </w:rPr>
        <w:t>日</w:t>
      </w:r>
    </w:p>
    <w:p>
      <w:pPr>
        <w:shd w:val="clear"/>
        <w:spacing w:line="360" w:lineRule="auto"/>
        <w:ind w:firstLine="480" w:firstLineChars="200"/>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附：</w:t>
      </w:r>
    </w:p>
    <w:tbl>
      <w:tblPr>
        <w:tblStyle w:val="3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法定代表身份证复印件粘帖处</w:t>
            </w:r>
          </w:p>
        </w:tc>
      </w:tr>
    </w:tbl>
    <w:p>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法定代表人（单位负责人）姓名：</w:t>
      </w:r>
    </w:p>
    <w:p>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传真：</w:t>
      </w:r>
    </w:p>
    <w:p>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手机：</w:t>
      </w:r>
    </w:p>
    <w:p>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详细通讯地址：</w:t>
      </w:r>
    </w:p>
    <w:p>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邮政编码：</w:t>
      </w:r>
    </w:p>
    <w:p>
      <w:pPr>
        <w:shd w:val="clear"/>
        <w:spacing w:line="360" w:lineRule="auto"/>
        <w:rPr>
          <w:rFonts w:hint="eastAsia" w:ascii="宋体" w:hAnsi="宋体" w:eastAsia="宋体" w:cs="宋体"/>
          <w:b/>
          <w:color w:val="auto"/>
          <w:sz w:val="24"/>
          <w:highlight w:val="none"/>
        </w:rPr>
      </w:pPr>
    </w:p>
    <w:tbl>
      <w:tblPr>
        <w:tblStyle w:val="30"/>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vAlign w:val="center"/>
          </w:tcPr>
          <w:p>
            <w:pPr>
              <w:shd w:val="clea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授权委托代理人身份证复印件粘帖处</w:t>
            </w:r>
          </w:p>
        </w:tc>
      </w:tr>
    </w:tbl>
    <w:p>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授权委托代理人姓名：</w:t>
      </w:r>
    </w:p>
    <w:p>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职务：</w:t>
      </w:r>
    </w:p>
    <w:p>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传真：</w:t>
      </w:r>
    </w:p>
    <w:p>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手机：</w:t>
      </w:r>
    </w:p>
    <w:p>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详细通讯地址：</w:t>
      </w:r>
    </w:p>
    <w:p>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邮政编码：</w:t>
      </w:r>
    </w:p>
    <w:p>
      <w:pPr>
        <w:pStyle w:val="24"/>
        <w:shd w:val="clear"/>
        <w:spacing w:line="360" w:lineRule="auto"/>
        <w:ind w:left="0" w:firstLine="0" w:firstLineChars="0"/>
        <w:outlineLvl w:val="2"/>
        <w:rPr>
          <w:rFonts w:hint="eastAsia" w:ascii="宋体" w:hAnsi="宋体" w:eastAsia="宋体" w:cs="宋体"/>
          <w:b/>
          <w:color w:val="auto"/>
          <w:sz w:val="28"/>
          <w:highlight w:val="none"/>
        </w:rPr>
      </w:pPr>
      <w:r>
        <w:rPr>
          <w:rFonts w:hint="eastAsia" w:ascii="宋体" w:hAnsi="宋体" w:eastAsia="宋体" w:cs="宋体"/>
          <w:b/>
          <w:color w:val="auto"/>
          <w:sz w:val="28"/>
          <w:highlight w:val="none"/>
        </w:rPr>
        <w:t xml:space="preserve">附件3               </w:t>
      </w:r>
    </w:p>
    <w:p>
      <w:pPr>
        <w:pStyle w:val="24"/>
        <w:shd w:val="clear"/>
        <w:spacing w:line="360" w:lineRule="auto"/>
        <w:ind w:left="0" w:firstLine="0" w:firstLineChars="0"/>
        <w:jc w:val="center"/>
        <w:outlineLvl w:val="2"/>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有效的法人或者其他组织的营业执照等证明文件（复印件），自然人的身份证明</w:t>
      </w:r>
    </w:p>
    <w:p>
      <w:pPr>
        <w:pStyle w:val="24"/>
        <w:shd w:val="clear"/>
        <w:spacing w:line="360" w:lineRule="auto"/>
        <w:ind w:left="0" w:firstLine="0" w:firstLineChars="0"/>
        <w:jc w:val="center"/>
        <w:rPr>
          <w:rFonts w:hint="eastAsia" w:ascii="宋体" w:hAnsi="宋体" w:eastAsia="宋体" w:cs="宋体"/>
          <w:b/>
          <w:color w:val="auto"/>
          <w:spacing w:val="-6"/>
          <w:sz w:val="24"/>
          <w:highlight w:val="none"/>
        </w:rPr>
      </w:pPr>
    </w:p>
    <w:p>
      <w:pPr>
        <w:pStyle w:val="24"/>
        <w:shd w:val="clear"/>
        <w:spacing w:line="360" w:lineRule="auto"/>
        <w:ind w:left="0" w:firstLine="0" w:firstLineChars="0"/>
        <w:jc w:val="center"/>
        <w:rPr>
          <w:rFonts w:hint="eastAsia" w:ascii="宋体" w:hAnsi="宋体" w:eastAsia="宋体" w:cs="宋体"/>
          <w:b/>
          <w:color w:val="auto"/>
          <w:spacing w:val="-6"/>
          <w:sz w:val="24"/>
          <w:highlight w:val="none"/>
        </w:rPr>
      </w:pPr>
    </w:p>
    <w:p>
      <w:pPr>
        <w:pStyle w:val="24"/>
        <w:shd w:val="clear"/>
        <w:spacing w:line="360" w:lineRule="auto"/>
        <w:ind w:left="0" w:firstLine="0" w:firstLineChars="0"/>
        <w:jc w:val="center"/>
        <w:rPr>
          <w:rFonts w:hint="eastAsia" w:ascii="宋体" w:hAnsi="宋体" w:eastAsia="宋体" w:cs="宋体"/>
          <w:b/>
          <w:color w:val="auto"/>
          <w:spacing w:val="-6"/>
          <w:sz w:val="24"/>
          <w:highlight w:val="none"/>
        </w:rPr>
      </w:pPr>
    </w:p>
    <w:p>
      <w:pPr>
        <w:shd w:val="clear"/>
        <w:spacing w:line="360" w:lineRule="auto"/>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说明：</w:t>
      </w:r>
    </w:p>
    <w:p>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1.如供应商是企业（包括合伙企业），提供在工商部门注册的有效“企业法人营业执照”或“营业执照”；</w:t>
      </w:r>
    </w:p>
    <w:p>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2.如供应商是事业单位，提供有效的“事业单位法人证书”；</w:t>
      </w:r>
    </w:p>
    <w:p>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3.如供应商是非企业专业服务机构的，提供执业许可证等证明文件；</w:t>
      </w:r>
    </w:p>
    <w:p>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4.如供应商是个体工商户，提供有效的“个体工商户营业执照”；</w:t>
      </w:r>
    </w:p>
    <w:p>
      <w:pPr>
        <w:shd w:val="clea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5.如供应商是自然人，提供有效的自然人身份证明。</w:t>
      </w:r>
    </w:p>
    <w:p>
      <w:pPr>
        <w:shd w:val="clear"/>
        <w:rPr>
          <w:rFonts w:hint="eastAsia" w:ascii="宋体" w:hAnsi="宋体" w:eastAsia="宋体" w:cs="宋体"/>
          <w:b/>
          <w:bCs/>
          <w:color w:val="auto"/>
          <w:sz w:val="28"/>
          <w:szCs w:val="36"/>
          <w:highlight w:val="none"/>
        </w:rPr>
      </w:pPr>
    </w:p>
    <w:p>
      <w:pPr>
        <w:shd w:val="clear"/>
        <w:rPr>
          <w:rFonts w:hint="eastAsia" w:ascii="宋体" w:hAnsi="宋体" w:eastAsia="宋体" w:cs="宋体"/>
          <w:b/>
          <w:bCs/>
          <w:color w:val="auto"/>
          <w:sz w:val="28"/>
          <w:szCs w:val="36"/>
          <w:highlight w:val="none"/>
        </w:rPr>
      </w:pPr>
    </w:p>
    <w:p>
      <w:pPr>
        <w:shd w:val="clear"/>
        <w:rPr>
          <w:rFonts w:hint="eastAsia" w:ascii="宋体" w:hAnsi="宋体" w:eastAsia="宋体" w:cs="宋体"/>
          <w:b/>
          <w:bCs/>
          <w:color w:val="auto"/>
          <w:sz w:val="28"/>
          <w:szCs w:val="36"/>
          <w:highlight w:val="none"/>
        </w:rPr>
      </w:pPr>
    </w:p>
    <w:p>
      <w:pPr>
        <w:shd w:val="clear"/>
        <w:rPr>
          <w:rFonts w:hint="eastAsia" w:ascii="宋体" w:hAnsi="宋体" w:eastAsia="宋体" w:cs="宋体"/>
          <w:b/>
          <w:bCs/>
          <w:color w:val="auto"/>
          <w:sz w:val="28"/>
          <w:szCs w:val="36"/>
          <w:highlight w:val="none"/>
        </w:rPr>
      </w:pPr>
    </w:p>
    <w:p>
      <w:pPr>
        <w:shd w:val="clear"/>
        <w:rPr>
          <w:rFonts w:hint="eastAsia" w:ascii="宋体" w:hAnsi="宋体" w:eastAsia="宋体" w:cs="宋体"/>
          <w:b/>
          <w:bCs/>
          <w:color w:val="auto"/>
          <w:sz w:val="28"/>
          <w:szCs w:val="36"/>
          <w:highlight w:val="none"/>
        </w:rPr>
      </w:pPr>
    </w:p>
    <w:p>
      <w:pPr>
        <w:shd w:val="clear"/>
        <w:rPr>
          <w:rFonts w:hint="eastAsia" w:ascii="宋体" w:hAnsi="宋体" w:eastAsia="宋体" w:cs="宋体"/>
          <w:b/>
          <w:bCs/>
          <w:color w:val="auto"/>
          <w:sz w:val="28"/>
          <w:szCs w:val="36"/>
          <w:highlight w:val="none"/>
        </w:rPr>
      </w:pPr>
    </w:p>
    <w:p>
      <w:pPr>
        <w:shd w:val="clear"/>
        <w:rPr>
          <w:rFonts w:hint="eastAsia" w:ascii="宋体" w:hAnsi="宋体" w:eastAsia="宋体" w:cs="宋体"/>
          <w:b/>
          <w:bCs/>
          <w:color w:val="auto"/>
          <w:sz w:val="28"/>
          <w:szCs w:val="36"/>
          <w:highlight w:val="none"/>
        </w:rPr>
      </w:pPr>
    </w:p>
    <w:p>
      <w:pPr>
        <w:shd w:val="clear"/>
        <w:rPr>
          <w:rFonts w:hint="eastAsia" w:ascii="宋体" w:hAnsi="宋体" w:eastAsia="宋体" w:cs="宋体"/>
          <w:b/>
          <w:bCs/>
          <w:color w:val="auto"/>
          <w:sz w:val="28"/>
          <w:szCs w:val="36"/>
          <w:highlight w:val="none"/>
        </w:rPr>
      </w:pPr>
    </w:p>
    <w:p>
      <w:pPr>
        <w:shd w:val="clear"/>
        <w:rPr>
          <w:rFonts w:hint="eastAsia" w:ascii="宋体" w:hAnsi="宋体" w:eastAsia="宋体" w:cs="宋体"/>
          <w:b/>
          <w:bCs/>
          <w:color w:val="auto"/>
          <w:sz w:val="28"/>
          <w:szCs w:val="36"/>
          <w:highlight w:val="none"/>
        </w:rPr>
      </w:pPr>
    </w:p>
    <w:p>
      <w:pPr>
        <w:shd w:val="clear"/>
        <w:rPr>
          <w:rFonts w:hint="eastAsia" w:ascii="宋体" w:hAnsi="宋体" w:eastAsia="宋体" w:cs="宋体"/>
          <w:b/>
          <w:bCs/>
          <w:color w:val="auto"/>
          <w:sz w:val="28"/>
          <w:szCs w:val="36"/>
          <w:highlight w:val="none"/>
        </w:rPr>
      </w:pPr>
    </w:p>
    <w:p>
      <w:pPr>
        <w:shd w:val="clear"/>
        <w:rPr>
          <w:rFonts w:hint="eastAsia" w:ascii="宋体" w:hAnsi="宋体" w:eastAsia="宋体" w:cs="宋体"/>
          <w:b/>
          <w:bCs/>
          <w:color w:val="auto"/>
          <w:sz w:val="28"/>
          <w:szCs w:val="36"/>
          <w:highlight w:val="none"/>
        </w:rPr>
      </w:pPr>
    </w:p>
    <w:p>
      <w:pPr>
        <w:shd w:val="clear"/>
        <w:rPr>
          <w:rFonts w:hint="eastAsia" w:ascii="宋体" w:hAnsi="宋体" w:eastAsia="宋体" w:cs="宋体"/>
          <w:b/>
          <w:bCs/>
          <w:color w:val="auto"/>
          <w:sz w:val="28"/>
          <w:szCs w:val="28"/>
          <w:highlight w:val="none"/>
        </w:rPr>
      </w:pPr>
    </w:p>
    <w:p>
      <w:pPr>
        <w:shd w:val="clea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附件4</w:t>
      </w:r>
    </w:p>
    <w:p>
      <w:pPr>
        <w:shd w:val="clear"/>
        <w:spacing w:after="317" w:afterLines="100" w:line="480" w:lineRule="auto"/>
        <w:jc w:val="center"/>
        <w:rPr>
          <w:rFonts w:hint="eastAsia" w:ascii="宋体" w:hAnsi="宋体" w:eastAsia="宋体" w:cs="宋体"/>
          <w:color w:val="auto"/>
          <w:sz w:val="24"/>
          <w:highlight w:val="none"/>
        </w:rPr>
      </w:pPr>
      <w:r>
        <w:rPr>
          <w:rFonts w:hint="eastAsia" w:ascii="宋体" w:hAnsi="宋体" w:eastAsia="宋体" w:cs="宋体"/>
          <w:b/>
          <w:bCs/>
          <w:color w:val="auto"/>
          <w:kern w:val="0"/>
          <w:sz w:val="24"/>
          <w:highlight w:val="none"/>
          <w:lang w:val="zh-CN"/>
        </w:rPr>
        <w:t>具备健全的财务会计制度的承诺函</w:t>
      </w:r>
    </w:p>
    <w:p>
      <w:pPr>
        <w:widowControl/>
        <w:shd w:val="clear"/>
        <w:spacing w:line="600" w:lineRule="exact"/>
        <w:rPr>
          <w:rFonts w:hint="eastAsia" w:ascii="宋体" w:hAnsi="宋体" w:eastAsia="宋体" w:cs="宋体"/>
          <w:color w:val="auto"/>
          <w:kern w:val="0"/>
          <w:sz w:val="24"/>
          <w:highlight w:val="none"/>
        </w:rPr>
      </w:pPr>
    </w:p>
    <w:p>
      <w:pPr>
        <w:widowControl/>
        <w:shd w:val="clear"/>
        <w:spacing w:line="60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致：</w:t>
      </w:r>
      <w:r>
        <w:rPr>
          <w:rFonts w:hint="eastAsia" w:ascii="宋体" w:hAnsi="宋体" w:eastAsia="宋体" w:cs="宋体"/>
          <w:color w:val="auto"/>
          <w:sz w:val="24"/>
          <w:highlight w:val="none"/>
          <w:u w:val="single"/>
        </w:rPr>
        <w:t>浙江五石中正工程咨询有限公司</w:t>
      </w:r>
    </w:p>
    <w:p>
      <w:pPr>
        <w:pStyle w:val="11"/>
        <w:shd w:val="clear"/>
        <w:spacing w:line="6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我公司参加</w:t>
      </w:r>
      <w:r>
        <w:rPr>
          <w:rFonts w:hint="eastAsia" w:ascii="宋体" w:hAnsi="宋体" w:eastAsia="宋体" w:cs="宋体"/>
          <w:color w:val="auto"/>
          <w:szCs w:val="32"/>
          <w:highlight w:val="none"/>
          <w:u w:val="single"/>
          <w:lang w:eastAsia="zh-CN"/>
        </w:rPr>
        <w:t>中国·路桥第七届高端智能装备全球创业创新大赛组织服务项目</w:t>
      </w:r>
      <w:r>
        <w:rPr>
          <w:rFonts w:hint="eastAsia" w:ascii="宋体" w:hAnsi="宋体" w:eastAsia="宋体" w:cs="宋体"/>
          <w:color w:val="auto"/>
          <w:highlight w:val="none"/>
          <w:u w:val="single"/>
        </w:rPr>
        <w:t>（编号为</w:t>
      </w:r>
      <w:r>
        <w:rPr>
          <w:rFonts w:hint="eastAsia" w:ascii="宋体" w:hAnsi="宋体" w:eastAsia="宋体" w:cs="宋体"/>
          <w:color w:val="auto"/>
          <w:szCs w:val="32"/>
          <w:highlight w:val="none"/>
          <w:u w:val="single"/>
          <w:lang w:eastAsia="zh-CN"/>
        </w:rPr>
        <w:t>ZJWS2024-LQ131</w:t>
      </w:r>
      <w:r>
        <w:rPr>
          <w:rFonts w:hint="eastAsia" w:ascii="宋体" w:hAnsi="宋体" w:eastAsia="宋体" w:cs="宋体"/>
          <w:color w:val="auto"/>
          <w:highlight w:val="none"/>
          <w:u w:val="single"/>
        </w:rPr>
        <w:t>）</w:t>
      </w:r>
      <w:r>
        <w:rPr>
          <w:rFonts w:hint="eastAsia" w:ascii="宋体" w:hAnsi="宋体" w:eastAsia="宋体" w:cs="宋体"/>
          <w:color w:val="auto"/>
          <w:highlight w:val="none"/>
        </w:rPr>
        <w:t>的投标活动，作如下承诺：</w:t>
      </w:r>
    </w:p>
    <w:p>
      <w:pPr>
        <w:pStyle w:val="11"/>
        <w:shd w:val="clear"/>
        <w:spacing w:line="6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我公司在参加本项目政府采购活动前，</w:t>
      </w:r>
      <w:r>
        <w:rPr>
          <w:rFonts w:hint="eastAsia" w:ascii="宋体" w:hAnsi="宋体" w:eastAsia="宋体" w:cs="宋体"/>
          <w:color w:val="auto"/>
          <w:kern w:val="0"/>
          <w:highlight w:val="none"/>
        </w:rPr>
        <w:t>没有处于被责令停产、财产被接管、冻结或破产状态，具有足够的流动资金，有能力履行合同；我公司</w:t>
      </w:r>
      <w:r>
        <w:rPr>
          <w:rFonts w:hint="eastAsia" w:ascii="宋体" w:hAnsi="宋体" w:eastAsia="宋体" w:cs="宋体"/>
          <w:color w:val="auto"/>
          <w:highlight w:val="none"/>
        </w:rPr>
        <w:t>具有良好的商业信誉和健全的财务会计制度。</w:t>
      </w:r>
    </w:p>
    <w:p>
      <w:pPr>
        <w:shd w:val="clear"/>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如违反以上承诺，本公司愿承担一切法律责任。</w:t>
      </w:r>
    </w:p>
    <w:p>
      <w:pPr>
        <w:shd w:val="clear"/>
        <w:spacing w:line="360" w:lineRule="auto"/>
        <w:rPr>
          <w:rFonts w:hint="eastAsia" w:ascii="宋体" w:hAnsi="宋体" w:eastAsia="宋体" w:cs="宋体"/>
          <w:color w:val="auto"/>
          <w:sz w:val="24"/>
          <w:highlight w:val="none"/>
          <w:lang w:val="zh-CN"/>
        </w:rPr>
      </w:pPr>
    </w:p>
    <w:p>
      <w:pPr>
        <w:pStyle w:val="11"/>
        <w:shd w:val="clear"/>
        <w:rPr>
          <w:rFonts w:hint="eastAsia" w:ascii="宋体" w:hAnsi="宋体" w:eastAsia="宋体" w:cs="宋体"/>
          <w:color w:val="auto"/>
          <w:highlight w:val="none"/>
          <w:lang w:val="zh-CN"/>
        </w:rPr>
      </w:pPr>
    </w:p>
    <w:p>
      <w:pPr>
        <w:pStyle w:val="11"/>
        <w:shd w:val="clear"/>
        <w:rPr>
          <w:rFonts w:hint="eastAsia" w:ascii="宋体" w:hAnsi="宋体" w:eastAsia="宋体" w:cs="宋体"/>
          <w:color w:val="auto"/>
          <w:highlight w:val="none"/>
          <w:lang w:val="zh-CN"/>
        </w:rPr>
      </w:pPr>
    </w:p>
    <w:p>
      <w:pPr>
        <w:pStyle w:val="11"/>
        <w:shd w:val="clear"/>
        <w:rPr>
          <w:rFonts w:hint="eastAsia" w:ascii="宋体" w:hAnsi="宋体" w:eastAsia="宋体" w:cs="宋体"/>
          <w:color w:val="auto"/>
          <w:highlight w:val="none"/>
          <w:lang w:val="zh-CN"/>
        </w:rPr>
      </w:pPr>
    </w:p>
    <w:p>
      <w:pPr>
        <w:widowControl/>
        <w:shd w:val="clear"/>
        <w:wordWrap w:val="0"/>
        <w:spacing w:line="360" w:lineRule="auto"/>
        <w:jc w:val="righ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投标人名称</w:t>
      </w:r>
      <w:r>
        <w:rPr>
          <w:rFonts w:hint="eastAsia" w:ascii="宋体" w:hAnsi="宋体" w:eastAsia="宋体" w:cs="宋体"/>
          <w:color w:val="auto"/>
          <w:kern w:val="0"/>
          <w:sz w:val="24"/>
          <w:highlight w:val="none"/>
        </w:rPr>
        <w:t xml:space="preserve">(公章)：             </w:t>
      </w:r>
    </w:p>
    <w:p>
      <w:pPr>
        <w:widowControl/>
        <w:shd w:val="clear"/>
        <w:spacing w:line="360" w:lineRule="auto"/>
        <w:jc w:val="left"/>
        <w:rPr>
          <w:rFonts w:hint="eastAsia" w:ascii="宋体" w:hAnsi="宋体" w:eastAsia="宋体" w:cs="宋体"/>
          <w:color w:val="auto"/>
          <w:kern w:val="0"/>
          <w:sz w:val="24"/>
          <w:highlight w:val="none"/>
        </w:rPr>
      </w:pPr>
    </w:p>
    <w:p>
      <w:pPr>
        <w:widowControl/>
        <w:shd w:val="clear"/>
        <w:spacing w:line="36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法定代表人(签字或盖章)或授权委托代理人(签字)：</w:t>
      </w:r>
    </w:p>
    <w:p>
      <w:pPr>
        <w:widowControl/>
        <w:shd w:val="clear"/>
        <w:spacing w:line="360" w:lineRule="auto"/>
        <w:jc w:val="left"/>
        <w:rPr>
          <w:rFonts w:hint="eastAsia" w:ascii="宋体" w:hAnsi="宋体" w:eastAsia="宋体" w:cs="宋体"/>
          <w:color w:val="auto"/>
          <w:kern w:val="0"/>
          <w:sz w:val="24"/>
          <w:highlight w:val="none"/>
        </w:rPr>
      </w:pPr>
    </w:p>
    <w:p>
      <w:pPr>
        <w:shd w:val="clear"/>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日</w:t>
      </w:r>
    </w:p>
    <w:p>
      <w:pPr>
        <w:shd w:val="clear"/>
        <w:spacing w:line="360" w:lineRule="auto"/>
        <w:rPr>
          <w:rFonts w:hint="eastAsia" w:ascii="宋体" w:hAnsi="宋体" w:eastAsia="宋体" w:cs="宋体"/>
          <w:b/>
          <w:bCs/>
          <w:color w:val="auto"/>
          <w:spacing w:val="-6"/>
          <w:sz w:val="24"/>
          <w:highlight w:val="none"/>
        </w:rPr>
      </w:pPr>
    </w:p>
    <w:p>
      <w:pPr>
        <w:shd w:val="clear"/>
        <w:rPr>
          <w:rFonts w:hint="eastAsia" w:ascii="宋体" w:hAnsi="宋体" w:eastAsia="宋体" w:cs="宋体"/>
          <w:b/>
          <w:bCs/>
          <w:color w:val="auto"/>
          <w:sz w:val="28"/>
          <w:szCs w:val="36"/>
          <w:highlight w:val="none"/>
        </w:rPr>
      </w:pPr>
    </w:p>
    <w:p>
      <w:pPr>
        <w:shd w:val="clear"/>
        <w:rPr>
          <w:rFonts w:hint="eastAsia" w:ascii="宋体" w:hAnsi="宋体" w:eastAsia="宋体" w:cs="宋体"/>
          <w:b/>
          <w:bCs/>
          <w:color w:val="auto"/>
          <w:sz w:val="28"/>
          <w:szCs w:val="36"/>
          <w:highlight w:val="none"/>
        </w:rPr>
      </w:pPr>
    </w:p>
    <w:p>
      <w:pPr>
        <w:shd w:val="clear"/>
        <w:rPr>
          <w:rFonts w:hint="eastAsia" w:ascii="宋体" w:hAnsi="宋体" w:eastAsia="宋体" w:cs="宋体"/>
          <w:b/>
          <w:bCs/>
          <w:color w:val="auto"/>
          <w:sz w:val="28"/>
          <w:szCs w:val="36"/>
          <w:highlight w:val="none"/>
        </w:rPr>
      </w:pPr>
    </w:p>
    <w:p>
      <w:pPr>
        <w:shd w:val="clear"/>
        <w:rPr>
          <w:rFonts w:hint="eastAsia" w:ascii="宋体" w:hAnsi="宋体" w:eastAsia="宋体" w:cs="宋体"/>
          <w:b/>
          <w:bCs/>
          <w:color w:val="auto"/>
          <w:sz w:val="28"/>
          <w:szCs w:val="28"/>
          <w:highlight w:val="none"/>
        </w:rPr>
      </w:pPr>
    </w:p>
    <w:p>
      <w:pPr>
        <w:shd w:val="clear"/>
        <w:rPr>
          <w:rFonts w:hint="eastAsia" w:ascii="宋体" w:hAnsi="宋体" w:eastAsia="宋体" w:cs="宋体"/>
          <w:b/>
          <w:bCs/>
          <w:color w:val="auto"/>
          <w:sz w:val="28"/>
          <w:szCs w:val="28"/>
          <w:highlight w:val="none"/>
        </w:rPr>
      </w:pPr>
    </w:p>
    <w:p>
      <w:pPr>
        <w:shd w:val="clear"/>
        <w:rPr>
          <w:rFonts w:hint="eastAsia" w:ascii="宋体" w:hAnsi="宋体" w:eastAsia="宋体" w:cs="宋体"/>
          <w:b/>
          <w:color w:val="auto"/>
          <w:sz w:val="24"/>
          <w:highlight w:val="none"/>
        </w:rPr>
      </w:pPr>
      <w:r>
        <w:rPr>
          <w:rFonts w:hint="eastAsia" w:ascii="宋体" w:hAnsi="宋体" w:eastAsia="宋体" w:cs="宋体"/>
          <w:b/>
          <w:bCs/>
          <w:color w:val="auto"/>
          <w:sz w:val="28"/>
          <w:szCs w:val="28"/>
          <w:highlight w:val="none"/>
        </w:rPr>
        <w:t>附件5</w:t>
      </w:r>
    </w:p>
    <w:p>
      <w:pPr>
        <w:shd w:val="clear"/>
        <w:spacing w:after="317" w:afterLines="100" w:line="480" w:lineRule="auto"/>
        <w:jc w:val="center"/>
        <w:rPr>
          <w:rFonts w:hint="eastAsia" w:ascii="宋体" w:hAnsi="宋体" w:eastAsia="宋体" w:cs="宋体"/>
          <w:color w:val="auto"/>
          <w:sz w:val="24"/>
          <w:highlight w:val="none"/>
        </w:rPr>
      </w:pPr>
      <w:r>
        <w:rPr>
          <w:rFonts w:hint="eastAsia" w:ascii="宋体" w:hAnsi="宋体" w:eastAsia="宋体" w:cs="宋体"/>
          <w:b/>
          <w:bCs/>
          <w:color w:val="auto"/>
          <w:kern w:val="0"/>
          <w:sz w:val="24"/>
          <w:highlight w:val="none"/>
          <w:lang w:val="zh-CN"/>
        </w:rPr>
        <w:t>无税收缴纳、社会保障等方面的失信记录的承诺函</w:t>
      </w:r>
    </w:p>
    <w:p>
      <w:pPr>
        <w:widowControl/>
        <w:shd w:val="clear"/>
        <w:spacing w:line="600" w:lineRule="exact"/>
        <w:rPr>
          <w:rFonts w:hint="eastAsia" w:ascii="宋体" w:hAnsi="宋体" w:eastAsia="宋体" w:cs="宋体"/>
          <w:color w:val="auto"/>
          <w:kern w:val="0"/>
          <w:sz w:val="24"/>
          <w:highlight w:val="none"/>
        </w:rPr>
      </w:pPr>
    </w:p>
    <w:p>
      <w:pPr>
        <w:widowControl/>
        <w:shd w:val="clear"/>
        <w:spacing w:line="600" w:lineRule="exac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致：</w:t>
      </w:r>
      <w:r>
        <w:rPr>
          <w:rFonts w:hint="eastAsia" w:ascii="宋体" w:hAnsi="宋体" w:eastAsia="宋体" w:cs="宋体"/>
          <w:color w:val="auto"/>
          <w:sz w:val="24"/>
          <w:highlight w:val="none"/>
          <w:u w:val="single"/>
        </w:rPr>
        <w:t>浙江五石中正工程咨询有限公司</w:t>
      </w:r>
    </w:p>
    <w:p>
      <w:pPr>
        <w:pStyle w:val="11"/>
        <w:shd w:val="clear"/>
        <w:spacing w:line="6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我公司参加</w:t>
      </w:r>
      <w:r>
        <w:rPr>
          <w:rFonts w:hint="eastAsia" w:ascii="宋体" w:hAnsi="宋体" w:eastAsia="宋体" w:cs="宋体"/>
          <w:color w:val="auto"/>
          <w:szCs w:val="32"/>
          <w:highlight w:val="none"/>
          <w:u w:val="single"/>
          <w:lang w:eastAsia="zh-CN"/>
        </w:rPr>
        <w:t>中国·路桥第七届高端智能装备全球创业创新大赛组织服务项目</w:t>
      </w:r>
      <w:r>
        <w:rPr>
          <w:rFonts w:hint="eastAsia" w:ascii="宋体" w:hAnsi="宋体" w:eastAsia="宋体" w:cs="宋体"/>
          <w:color w:val="auto"/>
          <w:highlight w:val="none"/>
          <w:u w:val="single"/>
        </w:rPr>
        <w:t>（编号为</w:t>
      </w:r>
      <w:r>
        <w:rPr>
          <w:rFonts w:hint="eastAsia" w:ascii="宋体" w:hAnsi="宋体" w:eastAsia="宋体" w:cs="宋体"/>
          <w:color w:val="auto"/>
          <w:szCs w:val="32"/>
          <w:highlight w:val="none"/>
          <w:u w:val="single"/>
          <w:lang w:eastAsia="zh-CN"/>
        </w:rPr>
        <w:t>ZJWS2024-LQ131</w:t>
      </w:r>
      <w:r>
        <w:rPr>
          <w:rFonts w:hint="eastAsia" w:ascii="宋体" w:hAnsi="宋体" w:eastAsia="宋体" w:cs="宋体"/>
          <w:color w:val="auto"/>
          <w:highlight w:val="none"/>
          <w:u w:val="single"/>
        </w:rPr>
        <w:t>）</w:t>
      </w:r>
      <w:r>
        <w:rPr>
          <w:rFonts w:hint="eastAsia" w:ascii="宋体" w:hAnsi="宋体" w:eastAsia="宋体" w:cs="宋体"/>
          <w:color w:val="auto"/>
          <w:highlight w:val="none"/>
        </w:rPr>
        <w:t>的投标活动，作如下承诺：</w:t>
      </w:r>
    </w:p>
    <w:p>
      <w:pPr>
        <w:pStyle w:val="11"/>
        <w:shd w:val="clear"/>
        <w:spacing w:line="6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我公司在参加本项目政府采购活动前，符合参与政府采购活动的资格条件，有依法缴纳税收（享受免税政策的则无欠税）和社会保障资金的良好记录，不存在税收缴纳、社会保障等方面的失信记录。</w:t>
      </w:r>
    </w:p>
    <w:p>
      <w:pPr>
        <w:shd w:val="clear"/>
        <w:spacing w:line="600" w:lineRule="exact"/>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如违反以上承诺，本公司愿承担一切法律责任。</w:t>
      </w:r>
    </w:p>
    <w:p>
      <w:pPr>
        <w:shd w:val="clear"/>
        <w:spacing w:line="360" w:lineRule="auto"/>
        <w:rPr>
          <w:rFonts w:hint="eastAsia" w:ascii="宋体" w:hAnsi="宋体" w:eastAsia="宋体" w:cs="宋体"/>
          <w:color w:val="auto"/>
          <w:sz w:val="24"/>
          <w:highlight w:val="none"/>
          <w:lang w:val="zh-CN"/>
        </w:rPr>
      </w:pPr>
    </w:p>
    <w:p>
      <w:pPr>
        <w:pStyle w:val="11"/>
        <w:shd w:val="clear"/>
        <w:rPr>
          <w:rFonts w:hint="eastAsia" w:ascii="宋体" w:hAnsi="宋体" w:eastAsia="宋体" w:cs="宋体"/>
          <w:color w:val="auto"/>
          <w:highlight w:val="none"/>
          <w:lang w:val="zh-CN"/>
        </w:rPr>
      </w:pPr>
    </w:p>
    <w:p>
      <w:pPr>
        <w:pStyle w:val="11"/>
        <w:shd w:val="clear"/>
        <w:rPr>
          <w:rFonts w:hint="eastAsia" w:ascii="宋体" w:hAnsi="宋体" w:eastAsia="宋体" w:cs="宋体"/>
          <w:color w:val="auto"/>
          <w:highlight w:val="none"/>
          <w:lang w:val="zh-CN"/>
        </w:rPr>
      </w:pPr>
    </w:p>
    <w:p>
      <w:pPr>
        <w:widowControl/>
        <w:shd w:val="clear"/>
        <w:wordWrap w:val="0"/>
        <w:spacing w:line="360" w:lineRule="auto"/>
        <w:jc w:val="righ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投标人名称</w:t>
      </w:r>
      <w:r>
        <w:rPr>
          <w:rFonts w:hint="eastAsia" w:ascii="宋体" w:hAnsi="宋体" w:eastAsia="宋体" w:cs="宋体"/>
          <w:color w:val="auto"/>
          <w:kern w:val="0"/>
          <w:sz w:val="24"/>
          <w:highlight w:val="none"/>
        </w:rPr>
        <w:t xml:space="preserve">(公章)：             </w:t>
      </w:r>
    </w:p>
    <w:p>
      <w:pPr>
        <w:widowControl/>
        <w:shd w:val="clear"/>
        <w:spacing w:line="360" w:lineRule="auto"/>
        <w:jc w:val="left"/>
        <w:rPr>
          <w:rFonts w:hint="eastAsia" w:ascii="宋体" w:hAnsi="宋体" w:eastAsia="宋体" w:cs="宋体"/>
          <w:color w:val="auto"/>
          <w:kern w:val="0"/>
          <w:sz w:val="24"/>
          <w:highlight w:val="none"/>
        </w:rPr>
      </w:pPr>
    </w:p>
    <w:p>
      <w:pPr>
        <w:widowControl/>
        <w:shd w:val="clear"/>
        <w:spacing w:line="360" w:lineRule="auto"/>
        <w:jc w:val="righ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法定代表人(签字或盖章)或授权委托代理人(签字)：</w:t>
      </w:r>
    </w:p>
    <w:p>
      <w:pPr>
        <w:widowControl/>
        <w:shd w:val="clear"/>
        <w:spacing w:line="360" w:lineRule="auto"/>
        <w:jc w:val="left"/>
        <w:rPr>
          <w:rFonts w:hint="eastAsia" w:ascii="宋体" w:hAnsi="宋体" w:eastAsia="宋体" w:cs="宋体"/>
          <w:color w:val="auto"/>
          <w:kern w:val="0"/>
          <w:sz w:val="24"/>
          <w:highlight w:val="none"/>
        </w:rPr>
      </w:pPr>
    </w:p>
    <w:p>
      <w:pPr>
        <w:shd w:val="clear"/>
        <w:spacing w:line="360" w:lineRule="auto"/>
        <w:jc w:val="right"/>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日期：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lang w:val="zh-CN"/>
        </w:rPr>
        <w:t>日</w:t>
      </w:r>
    </w:p>
    <w:p>
      <w:pPr>
        <w:pStyle w:val="60"/>
        <w:shd w:val="clear" w:color="auto"/>
        <w:spacing w:before="0" w:beforeAutospacing="0" w:after="0" w:afterAutospacing="0" w:line="360" w:lineRule="auto"/>
        <w:rPr>
          <w:rFonts w:hint="eastAsia" w:ascii="宋体" w:hAnsi="宋体" w:eastAsia="宋体" w:cs="宋体"/>
          <w:b/>
          <w:color w:val="auto"/>
          <w:highlight w:val="none"/>
        </w:rPr>
      </w:pPr>
    </w:p>
    <w:p>
      <w:pPr>
        <w:shd w:val="clear"/>
        <w:spacing w:line="360" w:lineRule="auto"/>
        <w:rPr>
          <w:rFonts w:hint="eastAsia" w:ascii="宋体" w:hAnsi="宋体" w:eastAsia="宋体" w:cs="宋体"/>
          <w:b/>
          <w:color w:val="auto"/>
          <w:sz w:val="24"/>
          <w:highlight w:val="none"/>
        </w:rPr>
      </w:pPr>
    </w:p>
    <w:p>
      <w:pPr>
        <w:pStyle w:val="2"/>
        <w:shd w:val="clear"/>
        <w:rPr>
          <w:rFonts w:hint="eastAsia" w:ascii="宋体" w:hAnsi="宋体" w:eastAsia="宋体" w:cs="宋体"/>
          <w:color w:val="auto"/>
          <w:sz w:val="24"/>
          <w:highlight w:val="none"/>
        </w:rPr>
      </w:pPr>
    </w:p>
    <w:p>
      <w:pPr>
        <w:shd w:val="clear"/>
        <w:rPr>
          <w:rFonts w:hint="eastAsia" w:ascii="宋体" w:hAnsi="宋体" w:eastAsia="宋体" w:cs="宋体"/>
          <w:b/>
          <w:color w:val="auto"/>
          <w:sz w:val="24"/>
          <w:highlight w:val="none"/>
        </w:rPr>
      </w:pPr>
    </w:p>
    <w:p>
      <w:pPr>
        <w:shd w:val="clear"/>
        <w:rPr>
          <w:rFonts w:hint="eastAsia" w:ascii="宋体" w:hAnsi="宋体" w:eastAsia="宋体" w:cs="宋体"/>
          <w:b/>
          <w:bCs/>
          <w:color w:val="auto"/>
          <w:sz w:val="28"/>
          <w:szCs w:val="28"/>
          <w:highlight w:val="none"/>
        </w:rPr>
      </w:pPr>
    </w:p>
    <w:p>
      <w:pPr>
        <w:shd w:val="clear"/>
        <w:rPr>
          <w:rFonts w:hint="eastAsia" w:ascii="宋体" w:hAnsi="宋体" w:eastAsia="宋体" w:cs="宋体"/>
          <w:b/>
          <w:bCs/>
          <w:color w:val="auto"/>
          <w:sz w:val="28"/>
          <w:szCs w:val="28"/>
          <w:highlight w:val="none"/>
        </w:rPr>
      </w:pPr>
    </w:p>
    <w:p>
      <w:pPr>
        <w:shd w:val="clear"/>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附件6</w:t>
      </w:r>
    </w:p>
    <w:p>
      <w:pPr>
        <w:widowControl/>
        <w:shd w:val="clear"/>
        <w:spacing w:line="360" w:lineRule="auto"/>
        <w:jc w:val="center"/>
        <w:outlineLvl w:val="2"/>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参加政府采购活动前3年内在经营活动中没有重大违法记录的书面声明</w:t>
      </w:r>
    </w:p>
    <w:p>
      <w:pPr>
        <w:pStyle w:val="24"/>
        <w:shd w:val="clear"/>
        <w:spacing w:line="360" w:lineRule="auto"/>
        <w:ind w:left="169" w:hanging="169" w:hangingChars="74"/>
        <w:jc w:val="center"/>
        <w:rPr>
          <w:rFonts w:hint="eastAsia" w:ascii="宋体" w:hAnsi="宋体" w:eastAsia="宋体" w:cs="宋体"/>
          <w:b/>
          <w:color w:val="auto"/>
          <w:spacing w:val="-6"/>
          <w:sz w:val="24"/>
          <w:highlight w:val="none"/>
        </w:rPr>
      </w:pPr>
      <w:r>
        <w:rPr>
          <w:rFonts w:hint="eastAsia" w:ascii="宋体" w:hAnsi="宋体" w:eastAsia="宋体" w:cs="宋体"/>
          <w:b/>
          <w:color w:val="auto"/>
          <w:spacing w:val="-6"/>
          <w:sz w:val="24"/>
          <w:highlight w:val="none"/>
        </w:rPr>
        <w:t>声明函</w:t>
      </w:r>
    </w:p>
    <w:p>
      <w:pPr>
        <w:shd w:val="clear"/>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致：</w:t>
      </w:r>
      <w:r>
        <w:rPr>
          <w:rFonts w:hint="eastAsia" w:ascii="宋体" w:hAnsi="宋体" w:eastAsia="宋体" w:cs="宋体"/>
          <w:color w:val="auto"/>
          <w:spacing w:val="-6"/>
          <w:sz w:val="24"/>
          <w:highlight w:val="none"/>
          <w:u w:val="single"/>
        </w:rPr>
        <w:t>浙江五石中正工程咨询有限公司</w:t>
      </w:r>
    </w:p>
    <w:p>
      <w:pPr>
        <w:shd w:val="clear"/>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我公司郑重承诺在参加本项目政府采购活动前三年内，在经营活动中</w:t>
      </w:r>
      <w:r>
        <w:rPr>
          <w:rFonts w:hint="eastAsia" w:ascii="宋体" w:hAnsi="宋体" w:eastAsia="宋体" w:cs="宋体"/>
          <w:b/>
          <w:color w:val="auto"/>
          <w:spacing w:val="-6"/>
          <w:sz w:val="24"/>
          <w:highlight w:val="none"/>
          <w:u w:val="single"/>
        </w:rPr>
        <w:t xml:space="preserve">     </w:t>
      </w:r>
      <w:r>
        <w:rPr>
          <w:rFonts w:hint="eastAsia" w:ascii="宋体" w:hAnsi="宋体" w:eastAsia="宋体" w:cs="宋体"/>
          <w:b/>
          <w:color w:val="auto"/>
          <w:spacing w:val="-6"/>
          <w:sz w:val="24"/>
          <w:highlight w:val="none"/>
        </w:rPr>
        <w:t>（填写“有”或“没有”，如实填写，如不填写视同未提供本声明函）</w:t>
      </w:r>
      <w:r>
        <w:rPr>
          <w:rFonts w:hint="eastAsia" w:ascii="宋体" w:hAnsi="宋体" w:eastAsia="宋体" w:cs="宋体"/>
          <w:color w:val="auto"/>
          <w:spacing w:val="-6"/>
          <w:sz w:val="24"/>
          <w:highlight w:val="none"/>
        </w:rPr>
        <w:t>重大违法记录，重大违法记录是指供应商因违法经营受到刑事处罚或者责令停产停业、吊销许可证或者执照、较大数额罚款等行政处罚。</w:t>
      </w:r>
    </w:p>
    <w:p>
      <w:pPr>
        <w:shd w:val="clear"/>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以上事项如有虚假或隐瞒，我方愿意承担一切后果和责任。</w:t>
      </w:r>
    </w:p>
    <w:p>
      <w:pPr>
        <w:shd w:val="clear"/>
        <w:spacing w:line="360" w:lineRule="auto"/>
        <w:ind w:firstLine="456" w:firstLineChars="200"/>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特此声明。</w:t>
      </w:r>
    </w:p>
    <w:p>
      <w:pPr>
        <w:shd w:val="clear"/>
        <w:spacing w:line="360" w:lineRule="auto"/>
        <w:rPr>
          <w:rFonts w:hint="eastAsia" w:ascii="宋体" w:hAnsi="宋体" w:eastAsia="宋体" w:cs="宋体"/>
          <w:color w:val="auto"/>
          <w:spacing w:val="-6"/>
          <w:sz w:val="24"/>
          <w:highlight w:val="none"/>
        </w:rPr>
      </w:pPr>
    </w:p>
    <w:p>
      <w:pPr>
        <w:pStyle w:val="88"/>
        <w:shd w:val="clear"/>
        <w:spacing w:line="360" w:lineRule="auto"/>
        <w:rPr>
          <w:rFonts w:hint="eastAsia" w:ascii="宋体" w:hAnsi="宋体" w:eastAsia="宋体" w:cs="宋体"/>
          <w:color w:val="auto"/>
          <w:spacing w:val="-6"/>
          <w:highlight w:val="none"/>
        </w:rPr>
      </w:pPr>
    </w:p>
    <w:p>
      <w:pPr>
        <w:pStyle w:val="89"/>
        <w:shd w:val="clear"/>
        <w:spacing w:line="360" w:lineRule="auto"/>
        <w:ind w:left="0"/>
        <w:rPr>
          <w:rFonts w:hint="eastAsia" w:ascii="宋体" w:hAnsi="宋体" w:eastAsia="宋体" w:cs="宋体"/>
          <w:color w:val="auto"/>
          <w:sz w:val="24"/>
          <w:szCs w:val="24"/>
          <w:highlight w:val="none"/>
        </w:rPr>
      </w:pPr>
    </w:p>
    <w:p>
      <w:pPr>
        <w:shd w:val="clear"/>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供应商名称（盖章）：</w:t>
      </w:r>
    </w:p>
    <w:p>
      <w:pPr>
        <w:shd w:val="clear"/>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kern w:val="0"/>
          <w:sz w:val="24"/>
          <w:highlight w:val="none"/>
        </w:rPr>
        <w:t>法定代表人(签字或盖章)或授权委托代理人(签字)</w:t>
      </w:r>
      <w:r>
        <w:rPr>
          <w:rFonts w:hint="eastAsia" w:ascii="宋体" w:hAnsi="宋体" w:eastAsia="宋体" w:cs="宋体"/>
          <w:color w:val="auto"/>
          <w:spacing w:val="-6"/>
          <w:sz w:val="24"/>
          <w:highlight w:val="none"/>
        </w:rPr>
        <w:t>：</w:t>
      </w:r>
    </w:p>
    <w:p>
      <w:pPr>
        <w:widowControl/>
        <w:shd w:val="clear"/>
        <w:tabs>
          <w:tab w:val="left" w:pos="3225"/>
        </w:tabs>
        <w:spacing w:line="360" w:lineRule="auto"/>
        <w:rPr>
          <w:rFonts w:hint="eastAsia" w:ascii="宋体" w:hAnsi="宋体" w:eastAsia="宋体" w:cs="宋体"/>
          <w:color w:val="auto"/>
          <w:spacing w:val="-6"/>
          <w:sz w:val="24"/>
          <w:highlight w:val="none"/>
        </w:rPr>
      </w:pPr>
      <w:r>
        <w:rPr>
          <w:rFonts w:hint="eastAsia" w:ascii="宋体" w:hAnsi="宋体" w:eastAsia="宋体" w:cs="宋体"/>
          <w:color w:val="auto"/>
          <w:spacing w:val="-6"/>
          <w:sz w:val="24"/>
          <w:highlight w:val="none"/>
        </w:rPr>
        <w:t>日期：     年   月   日</w:t>
      </w:r>
    </w:p>
    <w:p>
      <w:pPr>
        <w:shd w:val="clear"/>
        <w:snapToGrid w:val="0"/>
        <w:spacing w:line="360" w:lineRule="auto"/>
        <w:ind w:firstLine="2160" w:firstLineChars="900"/>
        <w:rPr>
          <w:rFonts w:hint="eastAsia" w:ascii="宋体" w:hAnsi="宋体" w:eastAsia="宋体" w:cs="宋体"/>
          <w:color w:val="auto"/>
          <w:sz w:val="24"/>
          <w:highlight w:val="none"/>
          <w:lang w:val="zh-CN"/>
        </w:rPr>
      </w:pPr>
    </w:p>
    <w:p>
      <w:pPr>
        <w:shd w:val="clear"/>
        <w:spacing w:line="360" w:lineRule="auto"/>
        <w:rPr>
          <w:rFonts w:hint="eastAsia" w:ascii="宋体" w:hAnsi="宋体" w:eastAsia="宋体" w:cs="宋体"/>
          <w:color w:val="auto"/>
          <w:sz w:val="24"/>
          <w:szCs w:val="32"/>
          <w:highlight w:val="none"/>
        </w:rPr>
      </w:pPr>
    </w:p>
    <w:p>
      <w:pPr>
        <w:shd w:val="clear"/>
        <w:rPr>
          <w:rFonts w:hint="eastAsia" w:ascii="宋体" w:hAnsi="宋体" w:eastAsia="宋体" w:cs="宋体"/>
          <w:b/>
          <w:bCs/>
          <w:color w:val="auto"/>
          <w:sz w:val="28"/>
          <w:szCs w:val="36"/>
          <w:highlight w:val="none"/>
        </w:rPr>
      </w:pPr>
    </w:p>
    <w:p>
      <w:pPr>
        <w:shd w:val="clear"/>
        <w:rPr>
          <w:rFonts w:hint="eastAsia" w:ascii="宋体" w:hAnsi="宋体" w:eastAsia="宋体" w:cs="宋体"/>
          <w:b/>
          <w:bCs/>
          <w:color w:val="auto"/>
          <w:sz w:val="28"/>
          <w:szCs w:val="36"/>
          <w:highlight w:val="none"/>
        </w:rPr>
      </w:pPr>
    </w:p>
    <w:p>
      <w:pPr>
        <w:shd w:val="clear"/>
        <w:rPr>
          <w:rFonts w:hint="eastAsia" w:ascii="宋体" w:hAnsi="宋体" w:eastAsia="宋体" w:cs="宋体"/>
          <w:b/>
          <w:bCs/>
          <w:color w:val="auto"/>
          <w:sz w:val="28"/>
          <w:szCs w:val="36"/>
          <w:highlight w:val="none"/>
        </w:rPr>
      </w:pPr>
    </w:p>
    <w:p>
      <w:pPr>
        <w:shd w:val="clear"/>
        <w:rPr>
          <w:rFonts w:hint="eastAsia" w:ascii="宋体" w:hAnsi="宋体" w:eastAsia="宋体" w:cs="宋体"/>
          <w:b/>
          <w:bCs/>
          <w:color w:val="auto"/>
          <w:sz w:val="28"/>
          <w:szCs w:val="36"/>
          <w:highlight w:val="none"/>
        </w:rPr>
      </w:pPr>
    </w:p>
    <w:p>
      <w:pPr>
        <w:shd w:val="clear"/>
        <w:rPr>
          <w:rFonts w:hint="eastAsia" w:ascii="宋体" w:hAnsi="宋体" w:eastAsia="宋体" w:cs="宋体"/>
          <w:b/>
          <w:bCs/>
          <w:color w:val="auto"/>
          <w:sz w:val="28"/>
          <w:szCs w:val="36"/>
          <w:highlight w:val="none"/>
        </w:rPr>
      </w:pPr>
    </w:p>
    <w:p>
      <w:pPr>
        <w:shd w:val="clear"/>
        <w:rPr>
          <w:rFonts w:hint="eastAsia" w:ascii="宋体" w:hAnsi="宋体" w:eastAsia="宋体" w:cs="宋体"/>
          <w:b/>
          <w:bCs/>
          <w:color w:val="auto"/>
          <w:sz w:val="28"/>
          <w:szCs w:val="36"/>
          <w:highlight w:val="none"/>
        </w:rPr>
      </w:pPr>
    </w:p>
    <w:p>
      <w:pPr>
        <w:shd w:val="clear"/>
        <w:rPr>
          <w:rFonts w:hint="eastAsia" w:ascii="宋体" w:hAnsi="宋体" w:eastAsia="宋体" w:cs="宋体"/>
          <w:b/>
          <w:bCs/>
          <w:color w:val="auto"/>
          <w:sz w:val="28"/>
          <w:szCs w:val="36"/>
          <w:highlight w:val="none"/>
        </w:rPr>
      </w:pPr>
    </w:p>
    <w:p>
      <w:pPr>
        <w:spacing w:beforeAutospacing="0" w:afterAutospacing="0" w:line="360" w:lineRule="auto"/>
        <w:rPr>
          <w:rFonts w:hint="eastAsia" w:ascii="宋体" w:hAnsi="宋体" w:eastAsia="宋体" w:cs="宋体"/>
          <w:b/>
          <w:bCs/>
          <w:color w:val="auto"/>
          <w:sz w:val="28"/>
          <w:szCs w:val="36"/>
          <w:highlight w:val="none"/>
        </w:rPr>
      </w:pPr>
    </w:p>
    <w:p>
      <w:pPr>
        <w:spacing w:beforeAutospacing="0" w:afterAutospacing="0" w:line="360" w:lineRule="auto"/>
        <w:rPr>
          <w:rFonts w:hint="eastAsia" w:ascii="宋体" w:hAnsi="宋体" w:eastAsia="宋体" w:cs="宋体"/>
          <w:b/>
          <w:bCs/>
          <w:color w:val="auto"/>
          <w:sz w:val="28"/>
          <w:szCs w:val="36"/>
          <w:highlight w:val="none"/>
        </w:rPr>
      </w:pPr>
      <w:r>
        <w:rPr>
          <w:rFonts w:hint="eastAsia" w:ascii="宋体" w:hAnsi="宋体" w:eastAsia="宋体" w:cs="宋体"/>
          <w:b/>
          <w:bCs/>
          <w:color w:val="auto"/>
          <w:sz w:val="28"/>
          <w:szCs w:val="36"/>
          <w:highlight w:val="none"/>
        </w:rPr>
        <w:t>附件7</w:t>
      </w:r>
      <w:r>
        <w:rPr>
          <w:rFonts w:hint="eastAsia" w:ascii="宋体" w:hAnsi="宋体" w:eastAsia="宋体" w:cs="宋体"/>
          <w:color w:val="auto"/>
          <w:kern w:val="0"/>
          <w:sz w:val="24"/>
          <w:highlight w:val="none"/>
          <w:u w:val="none"/>
          <w:lang w:val="en-US" w:eastAsia="zh-CN"/>
        </w:rPr>
        <w:t xml:space="preserve">  </w:t>
      </w:r>
      <w:r>
        <w:rPr>
          <w:rFonts w:hint="eastAsia" w:ascii="宋体" w:hAnsi="宋体" w:eastAsia="宋体" w:cs="宋体"/>
          <w:b/>
          <w:bCs/>
          <w:color w:val="auto"/>
          <w:sz w:val="28"/>
          <w:szCs w:val="36"/>
          <w:highlight w:val="none"/>
        </w:rPr>
        <w:t xml:space="preserve"> 落实政府采购政策需满足的资格要求所对应的证明材料</w:t>
      </w:r>
    </w:p>
    <w:p>
      <w:pPr>
        <w:spacing w:beforeAutospacing="0" w:afterAutospacing="0"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a.中小企业声明函；</w:t>
      </w:r>
    </w:p>
    <w:p>
      <w:pPr>
        <w:spacing w:beforeAutospacing="0" w:afterAutospacing="0"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中小企业应当按照《政府采购促进中小企业发展管理办法》规定和《中小企业划型标准规定》（工信部联企业〔2011〕300 号），如实填写并提交《中小企业声明函》。 </w:t>
      </w:r>
    </w:p>
    <w:p>
      <w:pPr>
        <w:spacing w:beforeAutospacing="0" w:afterAutospacing="0"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中小企业对其声明内容的真实性负责，声明函内容不实的，属于提供虚假材料谋取中标、成交，依照《中华人民共和国政府采购法》等国家有关规定追究相应责任。 </w:t>
      </w:r>
    </w:p>
    <w:p>
      <w:pPr>
        <w:spacing w:beforeAutospacing="0" w:afterAutospacing="0" w:line="360" w:lineRule="auto"/>
        <w:ind w:firstLine="480" w:firstLineChars="200"/>
        <w:jc w:val="left"/>
        <w:rPr>
          <w:rFonts w:hint="eastAsia" w:ascii="宋体" w:hAnsi="宋体" w:eastAsia="宋体" w:cs="宋体"/>
          <w:bCs/>
          <w:color w:val="auto"/>
          <w:sz w:val="24"/>
          <w:highlight w:val="none"/>
          <w:lang w:val="zh-CN"/>
        </w:rPr>
      </w:pPr>
      <w:r>
        <w:rPr>
          <w:rFonts w:hint="eastAsia" w:ascii="宋体" w:hAnsi="宋体" w:eastAsia="宋体" w:cs="宋体"/>
          <w:bCs/>
          <w:color w:val="auto"/>
          <w:sz w:val="24"/>
          <w:highlight w:val="none"/>
        </w:rPr>
        <w:t>b.投标人为监狱企业的证明文件：省级以上监狱管理局、戒毒管理局（含新疆生产建设兵团）出具。（如是）</w:t>
      </w:r>
      <w:r>
        <w:rPr>
          <w:rFonts w:hint="eastAsia" w:ascii="宋体" w:hAnsi="宋体" w:eastAsia="宋体" w:cs="宋体"/>
          <w:bCs/>
          <w:color w:val="auto"/>
          <w:sz w:val="24"/>
          <w:highlight w:val="none"/>
          <w:lang w:val="zh-CN"/>
        </w:rPr>
        <w:t>。</w:t>
      </w:r>
    </w:p>
    <w:p>
      <w:pPr>
        <w:spacing w:beforeAutospacing="0" w:afterAutospacing="0"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c.投标人如符合《财政部、民政部、中国残疾人联合会关于促进残疾人就业政府采购政策的通知》 （财库〔2017〕141 号）政策规定的，须提供《残疾人福利性单位声明函》；（如是）</w:t>
      </w:r>
    </w:p>
    <w:p>
      <w:pPr>
        <w:spacing w:beforeAutospacing="0" w:afterAutospacing="0" w:line="360" w:lineRule="auto"/>
        <w:ind w:firstLine="480" w:firstLineChars="200"/>
        <w:rPr>
          <w:rFonts w:hint="eastAsia" w:ascii="宋体" w:hAnsi="宋体" w:eastAsia="宋体" w:cs="宋体"/>
          <w:color w:val="auto"/>
          <w:sz w:val="24"/>
          <w:szCs w:val="32"/>
          <w:highlight w:val="none"/>
          <w:lang w:val="zh-CN"/>
        </w:rPr>
      </w:pPr>
    </w:p>
    <w:p>
      <w:pPr>
        <w:spacing w:beforeAutospacing="0" w:afterAutospacing="0" w:line="360" w:lineRule="auto"/>
        <w:ind w:firstLine="480" w:firstLineChars="200"/>
        <w:rPr>
          <w:rFonts w:hint="eastAsia" w:ascii="宋体" w:hAnsi="宋体" w:eastAsia="宋体" w:cs="宋体"/>
          <w:color w:val="auto"/>
          <w:sz w:val="24"/>
          <w:szCs w:val="32"/>
          <w:highlight w:val="none"/>
          <w:lang w:val="zh-CN"/>
        </w:rPr>
      </w:pPr>
    </w:p>
    <w:p>
      <w:pPr>
        <w:spacing w:beforeAutospacing="0" w:afterAutospacing="0" w:line="360" w:lineRule="auto"/>
        <w:ind w:firstLine="480" w:firstLineChars="200"/>
        <w:rPr>
          <w:rFonts w:hint="eastAsia" w:ascii="宋体" w:hAnsi="宋体" w:eastAsia="宋体" w:cs="宋体"/>
          <w:color w:val="auto"/>
          <w:sz w:val="24"/>
          <w:szCs w:val="32"/>
          <w:highlight w:val="none"/>
          <w:lang w:val="zh-CN"/>
        </w:rPr>
      </w:pPr>
    </w:p>
    <w:p>
      <w:pPr>
        <w:spacing w:beforeAutospacing="0" w:afterAutospacing="0" w:line="360" w:lineRule="auto"/>
        <w:ind w:firstLine="480" w:firstLineChars="200"/>
        <w:rPr>
          <w:rFonts w:hint="eastAsia" w:ascii="宋体" w:hAnsi="宋体" w:eastAsia="宋体" w:cs="宋体"/>
          <w:color w:val="auto"/>
          <w:sz w:val="24"/>
          <w:szCs w:val="32"/>
          <w:highlight w:val="none"/>
          <w:lang w:val="zh-CN"/>
        </w:rPr>
      </w:pPr>
    </w:p>
    <w:p>
      <w:pPr>
        <w:spacing w:beforeAutospacing="0" w:afterAutospacing="0" w:line="360" w:lineRule="auto"/>
        <w:ind w:firstLine="480" w:firstLineChars="200"/>
        <w:rPr>
          <w:rFonts w:hint="eastAsia" w:ascii="宋体" w:hAnsi="宋体" w:eastAsia="宋体" w:cs="宋体"/>
          <w:color w:val="auto"/>
          <w:sz w:val="24"/>
          <w:szCs w:val="32"/>
          <w:highlight w:val="none"/>
          <w:lang w:val="zh-CN"/>
        </w:rPr>
      </w:pPr>
    </w:p>
    <w:p>
      <w:pPr>
        <w:spacing w:beforeAutospacing="0" w:afterAutospacing="0" w:line="360" w:lineRule="auto"/>
        <w:ind w:firstLine="480" w:firstLineChars="200"/>
        <w:rPr>
          <w:rFonts w:hint="eastAsia" w:ascii="宋体" w:hAnsi="宋体" w:eastAsia="宋体" w:cs="宋体"/>
          <w:color w:val="auto"/>
          <w:sz w:val="24"/>
          <w:szCs w:val="32"/>
          <w:highlight w:val="none"/>
          <w:lang w:val="zh-CN"/>
        </w:rPr>
      </w:pPr>
    </w:p>
    <w:p>
      <w:pPr>
        <w:spacing w:beforeAutospacing="0" w:afterAutospacing="0" w:line="360" w:lineRule="auto"/>
        <w:ind w:firstLine="480" w:firstLineChars="200"/>
        <w:rPr>
          <w:rFonts w:hint="eastAsia" w:ascii="宋体" w:hAnsi="宋体" w:eastAsia="宋体" w:cs="宋体"/>
          <w:color w:val="auto"/>
          <w:sz w:val="24"/>
          <w:szCs w:val="32"/>
          <w:highlight w:val="none"/>
          <w:lang w:val="zh-CN"/>
        </w:rPr>
      </w:pPr>
    </w:p>
    <w:p>
      <w:pPr>
        <w:spacing w:beforeAutospacing="0" w:afterAutospacing="0" w:line="360" w:lineRule="auto"/>
        <w:ind w:firstLine="480" w:firstLineChars="200"/>
        <w:rPr>
          <w:rFonts w:hint="eastAsia" w:ascii="宋体" w:hAnsi="宋体" w:eastAsia="宋体" w:cs="宋体"/>
          <w:color w:val="auto"/>
          <w:sz w:val="24"/>
          <w:szCs w:val="32"/>
          <w:highlight w:val="none"/>
          <w:lang w:val="zh-CN"/>
        </w:rPr>
      </w:pPr>
    </w:p>
    <w:p>
      <w:pPr>
        <w:pStyle w:val="11"/>
        <w:rPr>
          <w:rFonts w:hint="eastAsia" w:ascii="宋体" w:hAnsi="宋体" w:eastAsia="宋体" w:cs="宋体"/>
          <w:color w:val="auto"/>
          <w:szCs w:val="32"/>
          <w:highlight w:val="none"/>
          <w:lang w:val="zh-CN"/>
        </w:rPr>
      </w:pPr>
    </w:p>
    <w:p>
      <w:pPr>
        <w:pStyle w:val="11"/>
        <w:rPr>
          <w:rFonts w:hint="eastAsia" w:ascii="宋体" w:hAnsi="宋体" w:eastAsia="宋体" w:cs="宋体"/>
          <w:color w:val="auto"/>
          <w:highlight w:val="none"/>
          <w:lang w:val="zh-CN"/>
        </w:rPr>
      </w:pPr>
    </w:p>
    <w:p>
      <w:pPr>
        <w:spacing w:beforeAutospacing="0" w:afterAutospacing="0" w:line="360" w:lineRule="auto"/>
        <w:ind w:firstLine="480" w:firstLineChars="200"/>
        <w:rPr>
          <w:rFonts w:hint="eastAsia" w:ascii="宋体" w:hAnsi="宋体" w:eastAsia="宋体" w:cs="宋体"/>
          <w:color w:val="auto"/>
          <w:sz w:val="24"/>
          <w:szCs w:val="32"/>
          <w:highlight w:val="none"/>
          <w:lang w:val="zh-CN"/>
        </w:rPr>
      </w:pPr>
    </w:p>
    <w:p>
      <w:pPr>
        <w:spacing w:beforeAutospacing="0" w:afterAutospacing="0" w:line="360" w:lineRule="auto"/>
        <w:jc w:val="center"/>
        <w:rPr>
          <w:rFonts w:hint="eastAsia" w:ascii="宋体" w:hAnsi="宋体" w:eastAsia="宋体" w:cs="宋体"/>
          <w:b/>
          <w:color w:val="auto"/>
          <w:sz w:val="32"/>
          <w:szCs w:val="32"/>
          <w:highlight w:val="none"/>
        </w:rPr>
      </w:pPr>
    </w:p>
    <w:p>
      <w:pPr>
        <w:spacing w:beforeAutospacing="0" w:afterAutospacing="0" w:line="360" w:lineRule="auto"/>
        <w:jc w:val="center"/>
        <w:rPr>
          <w:rFonts w:hint="eastAsia" w:ascii="宋体" w:hAnsi="宋体" w:eastAsia="宋体" w:cs="宋体"/>
          <w:b/>
          <w:color w:val="auto"/>
          <w:sz w:val="32"/>
          <w:szCs w:val="32"/>
          <w:highlight w:val="none"/>
        </w:rPr>
      </w:pPr>
    </w:p>
    <w:p>
      <w:pPr>
        <w:spacing w:beforeAutospacing="0" w:afterAutospacing="0" w:line="360" w:lineRule="auto"/>
        <w:jc w:val="both"/>
        <w:rPr>
          <w:rFonts w:hint="eastAsia" w:ascii="宋体" w:hAnsi="宋体" w:eastAsia="宋体" w:cs="宋体"/>
          <w:b/>
          <w:color w:val="auto"/>
          <w:sz w:val="32"/>
          <w:szCs w:val="32"/>
          <w:highlight w:val="none"/>
        </w:rPr>
      </w:pPr>
    </w:p>
    <w:p>
      <w:pPr>
        <w:spacing w:beforeAutospacing="0" w:afterAutospacing="0" w:line="360" w:lineRule="auto"/>
        <w:jc w:val="center"/>
        <w:rPr>
          <w:rFonts w:hint="eastAsia" w:ascii="宋体" w:hAnsi="宋体" w:eastAsia="宋体" w:cs="宋体"/>
          <w:b/>
          <w:color w:val="auto"/>
          <w:sz w:val="32"/>
          <w:szCs w:val="32"/>
          <w:highlight w:val="none"/>
        </w:rPr>
      </w:pPr>
    </w:p>
    <w:p>
      <w:pPr>
        <w:spacing w:beforeAutospacing="0" w:afterAutospacing="0"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中小企业声明函（工程、服务）</w:t>
      </w:r>
    </w:p>
    <w:p>
      <w:pPr>
        <w:spacing w:beforeAutospacing="0" w:afterAutospacing="0"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本公司郑重声明，根据《政府采购促进中小企业发展管理办法》（财库﹝2020﹞46 号）的规定，本公司参加</w:t>
      </w:r>
      <w:r>
        <w:rPr>
          <w:rFonts w:hint="eastAsia" w:ascii="宋体" w:hAnsi="宋体" w:eastAsia="宋体" w:cs="宋体"/>
          <w:bCs/>
          <w:color w:val="auto"/>
          <w:sz w:val="24"/>
          <w:highlight w:val="none"/>
          <w:u w:val="single"/>
        </w:rPr>
        <w:t>（单位名称）</w:t>
      </w:r>
      <w:r>
        <w:rPr>
          <w:rFonts w:hint="eastAsia" w:ascii="宋体" w:hAnsi="宋体" w:eastAsia="宋体" w:cs="宋体"/>
          <w:bCs/>
          <w:color w:val="auto"/>
          <w:sz w:val="24"/>
          <w:highlight w:val="none"/>
        </w:rPr>
        <w:t>的</w:t>
      </w:r>
      <w:r>
        <w:rPr>
          <w:rFonts w:hint="eastAsia" w:ascii="宋体" w:hAnsi="宋体" w:eastAsia="宋体" w:cs="宋体"/>
          <w:bCs/>
          <w:color w:val="auto"/>
          <w:sz w:val="24"/>
          <w:highlight w:val="none"/>
          <w:u w:val="single"/>
        </w:rPr>
        <w:t>（项目名称）</w:t>
      </w:r>
      <w:r>
        <w:rPr>
          <w:rFonts w:hint="eastAsia" w:ascii="宋体" w:hAnsi="宋体" w:eastAsia="宋体" w:cs="宋体"/>
          <w:bCs/>
          <w:color w:val="auto"/>
          <w:sz w:val="24"/>
          <w:highlight w:val="none"/>
        </w:rPr>
        <w:t>采购活动，工程的施工单位全部为符合政策要求的中小企业（或者：服务全部由符合政策要求的中小企业承接）。相关企业的具体情况如下：</w:t>
      </w:r>
    </w:p>
    <w:p>
      <w:pPr>
        <w:spacing w:beforeAutospacing="0" w:afterAutospacing="0"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1.</w:t>
      </w:r>
      <w:r>
        <w:rPr>
          <w:rFonts w:hint="eastAsia" w:ascii="宋体" w:hAnsi="宋体" w:eastAsia="宋体" w:cs="宋体"/>
          <w:bCs/>
          <w:color w:val="auto"/>
          <w:sz w:val="24"/>
          <w:highlight w:val="none"/>
          <w:u w:val="single"/>
          <w:lang w:eastAsia="zh-CN"/>
        </w:rPr>
        <w:t>中国·路桥第七届高端智能装备全球创业创新大赛组织服务项目</w:t>
      </w:r>
      <w:r>
        <w:rPr>
          <w:rFonts w:hint="eastAsia" w:ascii="宋体" w:hAnsi="宋体" w:eastAsia="宋体" w:cs="宋体"/>
          <w:bCs/>
          <w:color w:val="auto"/>
          <w:sz w:val="24"/>
          <w:highlight w:val="none"/>
        </w:rPr>
        <w:t>，属于</w:t>
      </w:r>
      <w:r>
        <w:rPr>
          <w:rFonts w:hint="eastAsia" w:ascii="宋体" w:hAnsi="宋体" w:eastAsia="宋体" w:cs="宋体"/>
          <w:bCs/>
          <w:color w:val="auto"/>
          <w:sz w:val="24"/>
          <w:highlight w:val="none"/>
          <w:u w:val="single"/>
        </w:rPr>
        <w:t>（采购文件中明确的所属行业）</w:t>
      </w:r>
      <w:r>
        <w:rPr>
          <w:rFonts w:hint="eastAsia" w:ascii="宋体" w:hAnsi="宋体" w:eastAsia="宋体" w:cs="宋体"/>
          <w:bCs/>
          <w:color w:val="auto"/>
          <w:sz w:val="24"/>
          <w:highlight w:val="none"/>
        </w:rPr>
        <w:t>；承建（承接）企业为（企业名称）</w:t>
      </w:r>
      <w:r>
        <w:rPr>
          <w:rFonts w:hint="eastAsia" w:ascii="宋体" w:hAnsi="宋体" w:eastAsia="宋体" w:cs="宋体"/>
          <w:bCs/>
          <w:color w:val="auto"/>
          <w:sz w:val="24"/>
          <w:highlight w:val="none"/>
          <w:u w:val="single"/>
          <w:lang w:val="en-US" w:eastAsia="zh-CN"/>
        </w:rPr>
        <w:t xml:space="preserve">             </w:t>
      </w:r>
      <w:r>
        <w:rPr>
          <w:rFonts w:hint="eastAsia" w:ascii="宋体" w:hAnsi="宋体" w:eastAsia="宋体" w:cs="宋体"/>
          <w:bCs/>
          <w:color w:val="auto"/>
          <w:sz w:val="24"/>
          <w:highlight w:val="none"/>
        </w:rPr>
        <w:t>，从业人员</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人，营业收入为</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万元，资产总额为</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万元</w:t>
      </w:r>
      <w:r>
        <w:rPr>
          <w:rStyle w:val="37"/>
          <w:rFonts w:hint="eastAsia" w:ascii="宋体" w:hAnsi="宋体" w:eastAsia="宋体" w:cs="宋体"/>
          <w:bCs/>
          <w:color w:val="auto"/>
          <w:sz w:val="24"/>
          <w:highlight w:val="none"/>
        </w:rPr>
        <w:footnoteReference w:id="0"/>
      </w:r>
      <w:r>
        <w:rPr>
          <w:rFonts w:hint="eastAsia" w:ascii="宋体" w:hAnsi="宋体" w:eastAsia="宋体" w:cs="宋体"/>
          <w:bCs/>
          <w:color w:val="auto"/>
          <w:sz w:val="24"/>
          <w:highlight w:val="none"/>
        </w:rPr>
        <w:t>，属于</w:t>
      </w:r>
      <w:r>
        <w:rPr>
          <w:rFonts w:hint="eastAsia" w:ascii="宋体" w:hAnsi="宋体" w:eastAsia="宋体" w:cs="宋体"/>
          <w:bCs/>
          <w:color w:val="auto"/>
          <w:sz w:val="24"/>
          <w:highlight w:val="none"/>
          <w:u w:val="single"/>
        </w:rPr>
        <w:t>（中型企业、小型企业、微型企业）</w:t>
      </w:r>
      <w:r>
        <w:rPr>
          <w:rFonts w:hint="eastAsia" w:ascii="宋体" w:hAnsi="宋体" w:eastAsia="宋体" w:cs="宋体"/>
          <w:bCs/>
          <w:color w:val="auto"/>
          <w:sz w:val="24"/>
          <w:highlight w:val="none"/>
        </w:rPr>
        <w:t>；</w:t>
      </w:r>
    </w:p>
    <w:p>
      <w:pPr>
        <w:spacing w:beforeAutospacing="0" w:afterAutospacing="0"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2.（标的名称），属于（采购文件中明确的所属行业）；承建（承接）企业为（企业名称），从业人员</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人，营业收入为</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万元，资产总额为</w:t>
      </w:r>
      <w:r>
        <w:rPr>
          <w:rFonts w:hint="eastAsia" w:ascii="宋体" w:hAnsi="宋体" w:eastAsia="宋体" w:cs="宋体"/>
          <w:bCs/>
          <w:color w:val="auto"/>
          <w:sz w:val="24"/>
          <w:highlight w:val="none"/>
          <w:u w:val="single"/>
        </w:rPr>
        <w:t xml:space="preserve">     </w:t>
      </w:r>
      <w:r>
        <w:rPr>
          <w:rFonts w:hint="eastAsia" w:ascii="宋体" w:hAnsi="宋体" w:eastAsia="宋体" w:cs="宋体"/>
          <w:bCs/>
          <w:color w:val="auto"/>
          <w:sz w:val="24"/>
          <w:highlight w:val="none"/>
        </w:rPr>
        <w:t>万元，属于</w:t>
      </w:r>
      <w:r>
        <w:rPr>
          <w:rFonts w:hint="eastAsia" w:ascii="宋体" w:hAnsi="宋体" w:eastAsia="宋体" w:cs="宋体"/>
          <w:bCs/>
          <w:color w:val="auto"/>
          <w:sz w:val="24"/>
          <w:highlight w:val="none"/>
          <w:u w:val="single"/>
        </w:rPr>
        <w:t>（中型企业、小型企业、微型企业）</w:t>
      </w:r>
      <w:r>
        <w:rPr>
          <w:rFonts w:hint="eastAsia" w:ascii="宋体" w:hAnsi="宋体" w:eastAsia="宋体" w:cs="宋体"/>
          <w:bCs/>
          <w:color w:val="auto"/>
          <w:sz w:val="24"/>
          <w:highlight w:val="none"/>
        </w:rPr>
        <w:t>；</w:t>
      </w:r>
    </w:p>
    <w:p>
      <w:pPr>
        <w:spacing w:beforeAutospacing="0" w:afterAutospacing="0"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w:t>
      </w:r>
    </w:p>
    <w:p>
      <w:pPr>
        <w:spacing w:beforeAutospacing="0" w:afterAutospacing="0"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以上企业，不属于大企业的分支机构，不存在控股股东为大企业的情形，也不存在与大企业的负责人为同一人的情形。</w:t>
      </w:r>
    </w:p>
    <w:p>
      <w:pPr>
        <w:spacing w:beforeAutospacing="0" w:afterAutospacing="0" w:line="360" w:lineRule="auto"/>
        <w:ind w:firstLine="480" w:firstLineChars="2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 xml:space="preserve">本企业对上述声明内容的真实性负责。如有虚假，将依法承担相应责任。 </w:t>
      </w:r>
    </w:p>
    <w:p>
      <w:pPr>
        <w:spacing w:beforeAutospacing="0" w:afterAutospacing="0" w:line="360" w:lineRule="auto"/>
        <w:jc w:val="left"/>
        <w:rPr>
          <w:rFonts w:hint="eastAsia" w:ascii="宋体" w:hAnsi="宋体" w:eastAsia="宋体" w:cs="宋体"/>
          <w:bCs/>
          <w:color w:val="auto"/>
          <w:sz w:val="24"/>
          <w:highlight w:val="none"/>
        </w:rPr>
      </w:pPr>
    </w:p>
    <w:p>
      <w:pPr>
        <w:spacing w:beforeAutospacing="0" w:afterAutospacing="0" w:line="360" w:lineRule="auto"/>
        <w:ind w:firstLine="4800" w:firstLineChars="20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企业名称（盖章）：</w:t>
      </w:r>
    </w:p>
    <w:p>
      <w:pPr>
        <w:spacing w:beforeAutospacing="0" w:afterAutospacing="0" w:line="360" w:lineRule="auto"/>
        <w:ind w:firstLine="4800" w:firstLineChars="2000"/>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日 期：</w:t>
      </w:r>
    </w:p>
    <w:p>
      <w:pPr>
        <w:spacing w:beforeAutospacing="0" w:afterAutospacing="0" w:line="360" w:lineRule="auto"/>
        <w:jc w:val="left"/>
        <w:rPr>
          <w:rFonts w:hint="eastAsia" w:ascii="宋体" w:hAnsi="宋体" w:eastAsia="宋体" w:cs="宋体"/>
          <w:bCs/>
          <w:color w:val="auto"/>
          <w:sz w:val="24"/>
          <w:highlight w:val="none"/>
        </w:rPr>
      </w:pPr>
    </w:p>
    <w:p>
      <w:pPr>
        <w:pStyle w:val="16"/>
        <w:ind w:right="-252"/>
        <w:rPr>
          <w:rFonts w:hint="eastAsia" w:ascii="宋体" w:hAnsi="宋体" w:eastAsia="宋体" w:cs="宋体"/>
          <w:color w:val="auto"/>
          <w:highlight w:val="none"/>
        </w:rPr>
      </w:pPr>
    </w:p>
    <w:p>
      <w:pPr>
        <w:spacing w:beforeAutospacing="0" w:afterAutospacing="0" w:line="360" w:lineRule="auto"/>
        <w:jc w:val="left"/>
        <w:rPr>
          <w:rFonts w:hint="eastAsia" w:ascii="宋体" w:hAnsi="宋体" w:eastAsia="宋体" w:cs="宋体"/>
          <w:bCs/>
          <w:color w:val="auto"/>
          <w:sz w:val="24"/>
          <w:highlight w:val="none"/>
        </w:rPr>
      </w:pPr>
    </w:p>
    <w:p>
      <w:pPr>
        <w:spacing w:beforeAutospacing="0" w:afterAutospacing="0" w:line="360" w:lineRule="auto"/>
        <w:jc w:val="left"/>
        <w:rPr>
          <w:rFonts w:hint="eastAsia" w:ascii="宋体" w:hAnsi="宋体" w:eastAsia="宋体" w:cs="宋体"/>
          <w:bCs/>
          <w:color w:val="auto"/>
          <w:sz w:val="24"/>
          <w:highlight w:val="none"/>
        </w:rPr>
      </w:pPr>
    </w:p>
    <w:p>
      <w:pPr>
        <w:spacing w:beforeAutospacing="0" w:afterAutospacing="0" w:line="360" w:lineRule="auto"/>
        <w:jc w:val="left"/>
        <w:rPr>
          <w:rFonts w:hint="eastAsia" w:ascii="宋体" w:hAnsi="宋体" w:eastAsia="宋体" w:cs="宋体"/>
          <w:bCs/>
          <w:color w:val="auto"/>
          <w:sz w:val="24"/>
          <w:highlight w:val="none"/>
        </w:rPr>
      </w:pPr>
    </w:p>
    <w:p>
      <w:pPr>
        <w:spacing w:beforeAutospacing="0" w:afterAutospacing="0" w:line="360" w:lineRule="auto"/>
        <w:jc w:val="left"/>
        <w:rPr>
          <w:rFonts w:hint="eastAsia" w:ascii="宋体" w:hAnsi="宋体" w:eastAsia="宋体" w:cs="宋体"/>
          <w:bCs/>
          <w:color w:val="auto"/>
          <w:sz w:val="24"/>
          <w:highlight w:val="none"/>
        </w:rPr>
      </w:pPr>
    </w:p>
    <w:p>
      <w:pPr>
        <w:spacing w:beforeAutospacing="0" w:afterAutospacing="0" w:line="360" w:lineRule="auto"/>
        <w:ind w:left="-2" w:hanging="2"/>
        <w:jc w:val="center"/>
        <w:rPr>
          <w:rFonts w:hint="eastAsia" w:ascii="宋体" w:hAnsi="宋体" w:eastAsia="宋体" w:cs="宋体"/>
          <w:b/>
          <w:color w:val="auto"/>
          <w:sz w:val="32"/>
          <w:szCs w:val="32"/>
          <w:highlight w:val="none"/>
          <w:lang w:val="en-GB"/>
        </w:rPr>
      </w:pPr>
    </w:p>
    <w:p>
      <w:pPr>
        <w:spacing w:beforeAutospacing="0" w:afterAutospacing="0" w:line="360" w:lineRule="auto"/>
        <w:jc w:val="center"/>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pPr>
        <w:spacing w:beforeAutospacing="0" w:afterAutospacing="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beforeAutospacing="0" w:afterAutospacing="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beforeAutospacing="0" w:afterAutospacing="0" w:line="360" w:lineRule="auto"/>
        <w:ind w:firstLine="480" w:firstLineChars="200"/>
        <w:rPr>
          <w:rFonts w:hint="eastAsia" w:ascii="宋体" w:hAnsi="宋体" w:eastAsia="宋体" w:cs="宋体"/>
          <w:color w:val="auto"/>
          <w:sz w:val="24"/>
          <w:highlight w:val="none"/>
        </w:rPr>
      </w:pPr>
    </w:p>
    <w:p>
      <w:pPr>
        <w:spacing w:beforeAutospacing="0" w:afterAutospacing="0" w:line="360" w:lineRule="auto"/>
        <w:ind w:firstLine="3120" w:firstLineChars="1300"/>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单位名称（单位公章）：</w:t>
      </w:r>
    </w:p>
    <w:p>
      <w:pPr>
        <w:spacing w:beforeAutospacing="0" w:afterAutospacing="0" w:line="360" w:lineRule="auto"/>
        <w:ind w:firstLine="5040" w:firstLineChars="2100"/>
        <w:rPr>
          <w:rFonts w:hint="eastAsia" w:ascii="宋体" w:hAnsi="宋体" w:eastAsia="宋体" w:cs="宋体"/>
          <w:color w:val="auto"/>
          <w:highlight w:val="none"/>
        </w:rPr>
      </w:pPr>
      <w:r>
        <w:rPr>
          <w:rFonts w:hint="eastAsia" w:ascii="宋体" w:hAnsi="宋体" w:eastAsia="宋体" w:cs="宋体"/>
          <w:bCs/>
          <w:color w:val="auto"/>
          <w:sz w:val="24"/>
          <w:highlight w:val="none"/>
        </w:rPr>
        <w:t>日期：年月日</w:t>
      </w:r>
    </w:p>
    <w:p>
      <w:pPr>
        <w:pStyle w:val="23"/>
        <w:rPr>
          <w:rFonts w:hint="eastAsia" w:ascii="宋体" w:hAnsi="宋体" w:eastAsia="宋体" w:cs="宋体"/>
          <w:color w:val="auto"/>
          <w:highlight w:val="none"/>
        </w:rPr>
      </w:pPr>
    </w:p>
    <w:p>
      <w:pPr>
        <w:spacing w:beforeAutospacing="0" w:afterAutospacing="0" w:line="360" w:lineRule="auto"/>
        <w:rPr>
          <w:rFonts w:hint="eastAsia" w:ascii="宋体" w:hAnsi="宋体" w:eastAsia="宋体" w:cs="宋体"/>
          <w:b/>
          <w:bCs/>
          <w:color w:val="auto"/>
          <w:sz w:val="24"/>
          <w:highlight w:val="none"/>
        </w:rPr>
      </w:pPr>
    </w:p>
    <w:p>
      <w:pPr>
        <w:pStyle w:val="11"/>
        <w:rPr>
          <w:rFonts w:hint="eastAsia" w:ascii="宋体" w:hAnsi="宋体" w:eastAsia="宋体" w:cs="宋体"/>
          <w:b/>
          <w:bCs/>
          <w:color w:val="auto"/>
          <w:highlight w:val="none"/>
        </w:rPr>
      </w:pPr>
    </w:p>
    <w:p>
      <w:pPr>
        <w:pStyle w:val="23"/>
        <w:rPr>
          <w:rFonts w:hint="eastAsia" w:ascii="宋体" w:hAnsi="宋体" w:eastAsia="宋体" w:cs="宋体"/>
          <w:color w:val="auto"/>
          <w:highlight w:val="none"/>
        </w:rPr>
      </w:pPr>
    </w:p>
    <w:p>
      <w:pPr>
        <w:spacing w:beforeAutospacing="0" w:afterAutospacing="0" w:line="360" w:lineRule="auto"/>
        <w:rPr>
          <w:rFonts w:hint="eastAsia" w:ascii="宋体" w:hAnsi="宋体" w:eastAsia="宋体" w:cs="宋体"/>
          <w:b/>
          <w:bCs/>
          <w:color w:val="auto"/>
          <w:sz w:val="24"/>
          <w:highlight w:val="none"/>
        </w:rPr>
      </w:pPr>
    </w:p>
    <w:p>
      <w:pPr>
        <w:spacing w:beforeAutospacing="0" w:afterAutospacing="0"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填表说明：</w:t>
      </w:r>
    </w:p>
    <w:p>
      <w:pPr>
        <w:spacing w:beforeAutospacing="0" w:afterAutospacing="0"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1、标的设备分别由不同制造商制造的，请按序号填写齐全所有标的货物制造商的信息。</w:t>
      </w:r>
    </w:p>
    <w:p>
      <w:pPr>
        <w:spacing w:beforeAutospacing="0" w:afterAutospacing="0"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2、为了更加准确判定制造商是否为小微企业，请供应商根据工业和信息化部官方网站---中小企业规模类型自测小程序来辨别制造商企业规模类型，中小企业规模类型自测小程序链接网址为</w:t>
      </w:r>
    </w:p>
    <w:p>
      <w:pPr>
        <w:spacing w:beforeAutospacing="0" w:afterAutospacing="0"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http://202.106.120.146/baosong/appweb/orgScale.html</w:t>
      </w:r>
    </w:p>
    <w:p>
      <w:pPr>
        <w:spacing w:beforeAutospacing="0" w:afterAutospacing="0"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3、供应商未提供《中小企业声明函》的、《中小企业声明函》中内容应填写而未进行填写或未如实填写的，责任自负。</w:t>
      </w:r>
    </w:p>
    <w:p>
      <w:pPr>
        <w:spacing w:beforeAutospacing="0" w:afterAutospacing="0"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4、如国家对中小企业划型标准有新的规定的，从其规定。 </w:t>
      </w:r>
    </w:p>
    <w:p>
      <w:pPr>
        <w:pStyle w:val="11"/>
        <w:rPr>
          <w:rFonts w:hint="eastAsia" w:ascii="宋体" w:hAnsi="宋体" w:eastAsia="宋体" w:cs="宋体"/>
          <w:color w:val="auto"/>
          <w:highlight w:val="none"/>
        </w:rPr>
      </w:pPr>
    </w:p>
    <w:p>
      <w:pPr>
        <w:rPr>
          <w:rFonts w:hint="eastAsia" w:ascii="宋体" w:hAnsi="宋体" w:eastAsia="宋体" w:cs="宋体"/>
          <w:color w:val="auto"/>
          <w:sz w:val="30"/>
          <w:szCs w:val="30"/>
          <w:highlight w:val="none"/>
        </w:rPr>
      </w:pPr>
      <w:r>
        <w:rPr>
          <w:rFonts w:hint="eastAsia" w:ascii="宋体" w:hAnsi="宋体" w:eastAsia="宋体" w:cs="宋体"/>
          <w:b/>
          <w:bCs/>
          <w:color w:val="auto"/>
          <w:sz w:val="28"/>
          <w:szCs w:val="36"/>
          <w:highlight w:val="none"/>
        </w:rPr>
        <w:t>　</w:t>
      </w:r>
      <w:r>
        <w:rPr>
          <w:rFonts w:hint="eastAsia" w:ascii="宋体" w:hAnsi="宋体" w:eastAsia="宋体" w:cs="宋体"/>
          <w:color w:val="auto"/>
          <w:sz w:val="30"/>
          <w:szCs w:val="30"/>
          <w:highlight w:val="none"/>
        </w:rPr>
        <w:t xml:space="preserve">　　                                       </w:t>
      </w:r>
    </w:p>
    <w:p>
      <w:pPr>
        <w:shd w:val="clear"/>
        <w:rPr>
          <w:rFonts w:hint="eastAsia" w:ascii="宋体" w:hAnsi="宋体" w:eastAsia="宋体" w:cs="宋体"/>
          <w:b/>
          <w:bCs/>
          <w:color w:val="auto"/>
          <w:sz w:val="28"/>
          <w:szCs w:val="36"/>
          <w:highlight w:val="none"/>
          <w:lang w:val="en-US" w:eastAsia="zh-CN"/>
        </w:rPr>
      </w:pPr>
    </w:p>
    <w:p>
      <w:pPr>
        <w:shd w:val="clear"/>
        <w:rPr>
          <w:rFonts w:hint="eastAsia" w:ascii="宋体" w:hAnsi="宋体" w:eastAsia="宋体" w:cs="宋体"/>
          <w:b/>
          <w:bCs/>
          <w:color w:val="auto"/>
          <w:sz w:val="28"/>
          <w:szCs w:val="36"/>
          <w:highlight w:val="none"/>
          <w:lang w:val="en-US" w:eastAsia="zh-CN"/>
        </w:rPr>
      </w:pPr>
    </w:p>
    <w:p>
      <w:pPr>
        <w:shd w:val="clear"/>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en-US" w:eastAsia="zh-CN"/>
        </w:rPr>
        <w:t>附件8</w:t>
      </w:r>
    </w:p>
    <w:p>
      <w:pPr>
        <w:shd w:val="clear"/>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供应商基本情况表</w:t>
      </w:r>
    </w:p>
    <w:tbl>
      <w:tblPr>
        <w:tblStyle w:val="30"/>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690"/>
        <w:gridCol w:w="665"/>
        <w:gridCol w:w="295"/>
        <w:gridCol w:w="926"/>
        <w:gridCol w:w="112"/>
        <w:gridCol w:w="1077"/>
        <w:gridCol w:w="1560"/>
        <w:gridCol w:w="57"/>
        <w:gridCol w:w="16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80" w:type="dxa"/>
            <w:vAlign w:val="center"/>
          </w:tcPr>
          <w:p>
            <w:pPr>
              <w:pStyle w:val="60"/>
              <w:shd w:val="clear" w:color="auto"/>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27"/>
                <w:highlight w:val="none"/>
              </w:rPr>
              <w:t>企业名称</w:t>
            </w:r>
          </w:p>
        </w:tc>
        <w:tc>
          <w:tcPr>
            <w:tcW w:w="3765" w:type="dxa"/>
            <w:gridSpan w:val="6"/>
            <w:vAlign w:val="center"/>
          </w:tcPr>
          <w:p>
            <w:pPr>
              <w:pStyle w:val="60"/>
              <w:shd w:val="clear" w:color="auto"/>
              <w:spacing w:line="360" w:lineRule="auto"/>
              <w:jc w:val="both"/>
              <w:rPr>
                <w:rFonts w:hint="eastAsia" w:ascii="宋体" w:hAnsi="宋体" w:eastAsia="宋体" w:cs="宋体"/>
                <w:bCs/>
                <w:color w:val="auto"/>
                <w:highlight w:val="none"/>
              </w:rPr>
            </w:pPr>
          </w:p>
        </w:tc>
        <w:tc>
          <w:tcPr>
            <w:tcW w:w="1560" w:type="dxa"/>
            <w:vAlign w:val="center"/>
          </w:tcPr>
          <w:p>
            <w:pPr>
              <w:pStyle w:val="60"/>
              <w:shd w:val="clear" w:color="auto"/>
              <w:spacing w:line="360" w:lineRule="auto"/>
              <w:jc w:val="center"/>
              <w:rPr>
                <w:rFonts w:hint="eastAsia" w:ascii="宋体" w:hAnsi="宋体" w:eastAsia="宋体" w:cs="宋体"/>
                <w:bCs/>
                <w:color w:val="auto"/>
                <w:highlight w:val="none"/>
              </w:rPr>
            </w:pPr>
            <w:r>
              <w:rPr>
                <w:rFonts w:hint="eastAsia" w:ascii="宋体" w:hAnsi="宋体" w:eastAsia="宋体" w:cs="宋体"/>
                <w:bCs/>
                <w:color w:val="auto"/>
                <w:spacing w:val="16"/>
                <w:highlight w:val="none"/>
              </w:rPr>
              <w:t>法人代表</w:t>
            </w:r>
          </w:p>
        </w:tc>
        <w:tc>
          <w:tcPr>
            <w:tcW w:w="2608" w:type="dxa"/>
            <w:gridSpan w:val="3"/>
            <w:vAlign w:val="center"/>
          </w:tcPr>
          <w:p>
            <w:pPr>
              <w:pStyle w:val="60"/>
              <w:shd w:val="clear" w:color="auto"/>
              <w:spacing w:line="360" w:lineRule="auto"/>
              <w:jc w:val="both"/>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80" w:type="dxa"/>
            <w:vAlign w:val="center"/>
          </w:tcPr>
          <w:p>
            <w:pPr>
              <w:pStyle w:val="60"/>
              <w:shd w:val="clear" w:color="auto"/>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27"/>
                <w:highlight w:val="none"/>
              </w:rPr>
              <w:t>地址</w:t>
            </w:r>
          </w:p>
        </w:tc>
        <w:tc>
          <w:tcPr>
            <w:tcW w:w="3765" w:type="dxa"/>
            <w:gridSpan w:val="6"/>
            <w:tcBorders>
              <w:bottom w:val="single" w:color="auto" w:sz="4" w:space="0"/>
            </w:tcBorders>
            <w:vAlign w:val="center"/>
          </w:tcPr>
          <w:p>
            <w:pPr>
              <w:pStyle w:val="60"/>
              <w:shd w:val="clear" w:color="auto"/>
              <w:spacing w:line="360" w:lineRule="auto"/>
              <w:jc w:val="both"/>
              <w:rPr>
                <w:rFonts w:hint="eastAsia" w:ascii="宋体" w:hAnsi="宋体" w:eastAsia="宋体" w:cs="宋体"/>
                <w:bCs/>
                <w:color w:val="auto"/>
                <w:spacing w:val="16"/>
                <w:highlight w:val="none"/>
              </w:rPr>
            </w:pPr>
          </w:p>
        </w:tc>
        <w:tc>
          <w:tcPr>
            <w:tcW w:w="1560" w:type="dxa"/>
            <w:vAlign w:val="center"/>
          </w:tcPr>
          <w:p>
            <w:pPr>
              <w:pStyle w:val="60"/>
              <w:shd w:val="clear" w:color="auto"/>
              <w:spacing w:line="360" w:lineRule="auto"/>
              <w:jc w:val="center"/>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企业性质</w:t>
            </w:r>
          </w:p>
        </w:tc>
        <w:tc>
          <w:tcPr>
            <w:tcW w:w="2608" w:type="dxa"/>
            <w:gridSpan w:val="3"/>
            <w:vAlign w:val="center"/>
          </w:tcPr>
          <w:p>
            <w:pPr>
              <w:pStyle w:val="60"/>
              <w:shd w:val="clear" w:color="auto"/>
              <w:spacing w:line="360" w:lineRule="auto"/>
              <w:jc w:val="both"/>
              <w:rPr>
                <w:rFonts w:hint="eastAsia" w:ascii="宋体" w:hAnsi="宋体" w:eastAsia="宋体" w:cs="宋体"/>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trPr>
        <w:tc>
          <w:tcPr>
            <w:tcW w:w="880" w:type="dxa"/>
            <w:tcBorders>
              <w:bottom w:val="single" w:color="auto" w:sz="4" w:space="0"/>
            </w:tcBorders>
            <w:vAlign w:val="center"/>
          </w:tcPr>
          <w:p>
            <w:pPr>
              <w:pStyle w:val="60"/>
              <w:shd w:val="clear" w:color="auto"/>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27"/>
                <w:highlight w:val="none"/>
              </w:rPr>
              <w:t>股东姓名</w:t>
            </w:r>
          </w:p>
        </w:tc>
        <w:tc>
          <w:tcPr>
            <w:tcW w:w="690" w:type="dxa"/>
            <w:tcBorders>
              <w:bottom w:val="single" w:color="auto" w:sz="4" w:space="0"/>
            </w:tcBorders>
            <w:vAlign w:val="center"/>
          </w:tcPr>
          <w:p>
            <w:pPr>
              <w:pStyle w:val="60"/>
              <w:shd w:val="clear" w:color="auto"/>
              <w:spacing w:before="0" w:beforeAutospacing="0" w:after="0" w:afterAutospacing="0" w:line="360" w:lineRule="auto"/>
              <w:jc w:val="both"/>
              <w:rPr>
                <w:rFonts w:hint="eastAsia" w:ascii="宋体" w:hAnsi="宋体" w:eastAsia="宋体" w:cs="宋体"/>
                <w:bCs/>
                <w:color w:val="auto"/>
                <w:spacing w:val="16"/>
                <w:highlight w:val="none"/>
              </w:rPr>
            </w:pPr>
          </w:p>
        </w:tc>
        <w:tc>
          <w:tcPr>
            <w:tcW w:w="960" w:type="dxa"/>
            <w:gridSpan w:val="2"/>
            <w:tcBorders>
              <w:bottom w:val="single" w:color="auto" w:sz="4" w:space="0"/>
            </w:tcBorders>
            <w:vAlign w:val="center"/>
          </w:tcPr>
          <w:p>
            <w:pPr>
              <w:pStyle w:val="60"/>
              <w:shd w:val="clear" w:color="auto"/>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股权结构（%）</w:t>
            </w:r>
          </w:p>
        </w:tc>
        <w:tc>
          <w:tcPr>
            <w:tcW w:w="2115" w:type="dxa"/>
            <w:gridSpan w:val="3"/>
            <w:tcBorders>
              <w:bottom w:val="single" w:color="auto" w:sz="4" w:space="0"/>
            </w:tcBorders>
            <w:vAlign w:val="center"/>
          </w:tcPr>
          <w:p>
            <w:pPr>
              <w:widowControl/>
              <w:shd w:val="clear"/>
              <w:spacing w:line="360" w:lineRule="auto"/>
              <w:rPr>
                <w:rFonts w:hint="eastAsia" w:ascii="宋体" w:hAnsi="宋体" w:eastAsia="宋体" w:cs="宋体"/>
                <w:bCs/>
                <w:color w:val="auto"/>
                <w:spacing w:val="16"/>
                <w:kern w:val="0"/>
                <w:sz w:val="24"/>
                <w:highlight w:val="none"/>
              </w:rPr>
            </w:pPr>
          </w:p>
          <w:p>
            <w:pPr>
              <w:pStyle w:val="60"/>
              <w:shd w:val="clear" w:color="auto"/>
              <w:spacing w:line="360" w:lineRule="auto"/>
              <w:jc w:val="both"/>
              <w:rPr>
                <w:rFonts w:hint="eastAsia" w:ascii="宋体" w:hAnsi="宋体" w:eastAsia="宋体" w:cs="宋体"/>
                <w:bCs/>
                <w:color w:val="auto"/>
                <w:spacing w:val="16"/>
                <w:highlight w:val="none"/>
              </w:rPr>
            </w:pPr>
          </w:p>
        </w:tc>
        <w:tc>
          <w:tcPr>
            <w:tcW w:w="1560" w:type="dxa"/>
            <w:vAlign w:val="center"/>
          </w:tcPr>
          <w:p>
            <w:pPr>
              <w:pStyle w:val="60"/>
              <w:shd w:val="clear" w:color="auto"/>
              <w:spacing w:line="360" w:lineRule="auto"/>
              <w:ind w:left="107"/>
              <w:jc w:val="center"/>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股东关系</w:t>
            </w:r>
          </w:p>
        </w:tc>
        <w:tc>
          <w:tcPr>
            <w:tcW w:w="2608" w:type="dxa"/>
            <w:gridSpan w:val="3"/>
            <w:vAlign w:val="center"/>
          </w:tcPr>
          <w:p>
            <w:pPr>
              <w:pStyle w:val="60"/>
              <w:shd w:val="clear" w:color="auto"/>
              <w:spacing w:line="360" w:lineRule="auto"/>
              <w:ind w:left="107"/>
              <w:jc w:val="both"/>
              <w:rPr>
                <w:rFonts w:hint="eastAsia" w:ascii="宋体" w:hAnsi="宋体" w:eastAsia="宋体" w:cs="宋体"/>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restart"/>
            <w:vAlign w:val="center"/>
          </w:tcPr>
          <w:p>
            <w:pPr>
              <w:pStyle w:val="60"/>
              <w:shd w:val="clear" w:color="auto"/>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12"/>
                <w:highlight w:val="none"/>
              </w:rPr>
              <w:t>联系人</w:t>
            </w:r>
            <w:r>
              <w:rPr>
                <w:rFonts w:hint="eastAsia" w:ascii="宋体" w:hAnsi="宋体" w:eastAsia="宋体" w:cs="宋体"/>
                <w:bCs/>
                <w:color w:val="auto"/>
                <w:spacing w:val="27"/>
                <w:highlight w:val="none"/>
              </w:rPr>
              <w:t>姓名</w:t>
            </w:r>
          </w:p>
        </w:tc>
        <w:tc>
          <w:tcPr>
            <w:tcW w:w="690" w:type="dxa"/>
            <w:vMerge w:val="restart"/>
            <w:tcBorders>
              <w:top w:val="nil"/>
            </w:tcBorders>
            <w:vAlign w:val="center"/>
          </w:tcPr>
          <w:p>
            <w:pPr>
              <w:pStyle w:val="60"/>
              <w:shd w:val="clear" w:color="auto"/>
              <w:spacing w:line="360" w:lineRule="auto"/>
              <w:jc w:val="both"/>
              <w:rPr>
                <w:rFonts w:hint="eastAsia" w:ascii="宋体" w:hAnsi="宋体" w:eastAsia="宋体" w:cs="宋体"/>
                <w:bCs/>
                <w:color w:val="auto"/>
                <w:spacing w:val="16"/>
                <w:highlight w:val="none"/>
              </w:rPr>
            </w:pPr>
          </w:p>
        </w:tc>
        <w:tc>
          <w:tcPr>
            <w:tcW w:w="960" w:type="dxa"/>
            <w:gridSpan w:val="2"/>
            <w:tcBorders>
              <w:top w:val="nil"/>
              <w:bottom w:val="single" w:color="auto" w:sz="4" w:space="0"/>
            </w:tcBorders>
            <w:vAlign w:val="center"/>
          </w:tcPr>
          <w:p>
            <w:pPr>
              <w:pStyle w:val="60"/>
              <w:shd w:val="clear" w:color="auto"/>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固定电话</w:t>
            </w:r>
          </w:p>
        </w:tc>
        <w:tc>
          <w:tcPr>
            <w:tcW w:w="2115" w:type="dxa"/>
            <w:gridSpan w:val="3"/>
            <w:tcBorders>
              <w:top w:val="nil"/>
              <w:bottom w:val="single" w:color="auto" w:sz="4" w:space="0"/>
            </w:tcBorders>
            <w:vAlign w:val="center"/>
          </w:tcPr>
          <w:p>
            <w:pPr>
              <w:widowControl/>
              <w:shd w:val="clear"/>
              <w:spacing w:line="360" w:lineRule="auto"/>
              <w:rPr>
                <w:rFonts w:hint="eastAsia" w:ascii="宋体" w:hAnsi="宋体" w:eastAsia="宋体" w:cs="宋体"/>
                <w:bCs/>
                <w:color w:val="auto"/>
                <w:spacing w:val="16"/>
                <w:kern w:val="0"/>
                <w:sz w:val="24"/>
                <w:highlight w:val="none"/>
              </w:rPr>
            </w:pPr>
          </w:p>
          <w:p>
            <w:pPr>
              <w:pStyle w:val="60"/>
              <w:shd w:val="clear" w:color="auto"/>
              <w:spacing w:line="360" w:lineRule="auto"/>
              <w:jc w:val="both"/>
              <w:rPr>
                <w:rFonts w:hint="eastAsia" w:ascii="宋体" w:hAnsi="宋体" w:eastAsia="宋体" w:cs="宋体"/>
                <w:bCs/>
                <w:color w:val="auto"/>
                <w:spacing w:val="16"/>
                <w:highlight w:val="none"/>
              </w:rPr>
            </w:pPr>
          </w:p>
        </w:tc>
        <w:tc>
          <w:tcPr>
            <w:tcW w:w="1560" w:type="dxa"/>
            <w:vMerge w:val="restart"/>
            <w:vAlign w:val="center"/>
          </w:tcPr>
          <w:p>
            <w:pPr>
              <w:pStyle w:val="60"/>
              <w:shd w:val="clear" w:color="auto"/>
              <w:spacing w:before="0" w:beforeAutospacing="0" w:after="0" w:afterAutospacing="0" w:line="360" w:lineRule="auto"/>
              <w:jc w:val="center"/>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传真</w:t>
            </w:r>
          </w:p>
        </w:tc>
        <w:tc>
          <w:tcPr>
            <w:tcW w:w="2608" w:type="dxa"/>
            <w:gridSpan w:val="3"/>
            <w:vMerge w:val="restart"/>
            <w:vAlign w:val="center"/>
          </w:tcPr>
          <w:p>
            <w:pPr>
              <w:pStyle w:val="60"/>
              <w:shd w:val="clear" w:color="auto"/>
              <w:spacing w:line="360" w:lineRule="auto"/>
              <w:jc w:val="both"/>
              <w:rPr>
                <w:rFonts w:hint="eastAsia" w:ascii="宋体" w:hAnsi="宋体" w:eastAsia="宋体" w:cs="宋体"/>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80" w:type="dxa"/>
            <w:vMerge w:val="continue"/>
            <w:tcBorders>
              <w:bottom w:val="single" w:color="auto" w:sz="4" w:space="0"/>
            </w:tcBorders>
            <w:vAlign w:val="center"/>
          </w:tcPr>
          <w:p>
            <w:pPr>
              <w:pStyle w:val="60"/>
              <w:shd w:val="clear" w:color="auto"/>
              <w:spacing w:line="360" w:lineRule="auto"/>
              <w:ind w:left="107"/>
              <w:jc w:val="both"/>
              <w:rPr>
                <w:rFonts w:hint="eastAsia" w:ascii="宋体" w:hAnsi="宋体" w:eastAsia="宋体" w:cs="宋体"/>
                <w:bCs/>
                <w:color w:val="auto"/>
                <w:highlight w:val="none"/>
              </w:rPr>
            </w:pPr>
          </w:p>
        </w:tc>
        <w:tc>
          <w:tcPr>
            <w:tcW w:w="690" w:type="dxa"/>
            <w:vMerge w:val="continue"/>
            <w:tcBorders>
              <w:bottom w:val="single" w:color="auto" w:sz="4" w:space="0"/>
            </w:tcBorders>
            <w:vAlign w:val="center"/>
          </w:tcPr>
          <w:p>
            <w:pPr>
              <w:pStyle w:val="60"/>
              <w:shd w:val="clear" w:color="auto"/>
              <w:spacing w:line="360" w:lineRule="auto"/>
              <w:jc w:val="both"/>
              <w:rPr>
                <w:rFonts w:hint="eastAsia" w:ascii="宋体" w:hAnsi="宋体" w:eastAsia="宋体" w:cs="宋体"/>
                <w:bCs/>
                <w:color w:val="auto"/>
                <w:spacing w:val="16"/>
                <w:highlight w:val="none"/>
              </w:rPr>
            </w:pPr>
          </w:p>
        </w:tc>
        <w:tc>
          <w:tcPr>
            <w:tcW w:w="960" w:type="dxa"/>
            <w:gridSpan w:val="2"/>
            <w:tcBorders>
              <w:bottom w:val="single" w:color="auto" w:sz="4" w:space="0"/>
            </w:tcBorders>
            <w:vAlign w:val="center"/>
          </w:tcPr>
          <w:p>
            <w:pPr>
              <w:pStyle w:val="60"/>
              <w:shd w:val="clear" w:color="auto"/>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27"/>
                <w:highlight w:val="none"/>
              </w:rPr>
              <w:t>手机</w:t>
            </w:r>
          </w:p>
        </w:tc>
        <w:tc>
          <w:tcPr>
            <w:tcW w:w="2115" w:type="dxa"/>
            <w:gridSpan w:val="3"/>
            <w:tcBorders>
              <w:bottom w:val="single" w:color="auto" w:sz="4" w:space="0"/>
            </w:tcBorders>
            <w:vAlign w:val="center"/>
          </w:tcPr>
          <w:p>
            <w:pPr>
              <w:pStyle w:val="60"/>
              <w:shd w:val="clear" w:color="auto"/>
              <w:spacing w:line="360" w:lineRule="auto"/>
              <w:jc w:val="both"/>
              <w:rPr>
                <w:rFonts w:hint="eastAsia" w:ascii="宋体" w:hAnsi="宋体" w:eastAsia="宋体" w:cs="宋体"/>
                <w:bCs/>
                <w:color w:val="auto"/>
                <w:spacing w:val="16"/>
                <w:highlight w:val="none"/>
              </w:rPr>
            </w:pPr>
          </w:p>
        </w:tc>
        <w:tc>
          <w:tcPr>
            <w:tcW w:w="1560" w:type="dxa"/>
            <w:vMerge w:val="continue"/>
            <w:vAlign w:val="center"/>
          </w:tcPr>
          <w:p>
            <w:pPr>
              <w:pStyle w:val="60"/>
              <w:shd w:val="clear" w:color="auto"/>
              <w:spacing w:line="360" w:lineRule="auto"/>
              <w:jc w:val="center"/>
              <w:rPr>
                <w:rFonts w:hint="eastAsia" w:ascii="宋体" w:hAnsi="宋体" w:eastAsia="宋体" w:cs="宋体"/>
                <w:bCs/>
                <w:color w:val="auto"/>
                <w:spacing w:val="16"/>
                <w:highlight w:val="none"/>
              </w:rPr>
            </w:pPr>
          </w:p>
        </w:tc>
        <w:tc>
          <w:tcPr>
            <w:tcW w:w="2608" w:type="dxa"/>
            <w:gridSpan w:val="3"/>
            <w:vMerge w:val="continue"/>
            <w:vAlign w:val="center"/>
          </w:tcPr>
          <w:p>
            <w:pPr>
              <w:pStyle w:val="60"/>
              <w:shd w:val="clear" w:color="auto"/>
              <w:spacing w:line="360" w:lineRule="auto"/>
              <w:jc w:val="both"/>
              <w:rPr>
                <w:rFonts w:hint="eastAsia" w:ascii="宋体" w:hAnsi="宋体" w:eastAsia="宋体" w:cs="宋体"/>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880" w:type="dxa"/>
            <w:vMerge w:val="restart"/>
            <w:vAlign w:val="center"/>
          </w:tcPr>
          <w:p>
            <w:pPr>
              <w:pStyle w:val="60"/>
              <w:shd w:val="clear" w:color="auto"/>
              <w:spacing w:line="360" w:lineRule="auto"/>
              <w:ind w:left="107"/>
              <w:jc w:val="both"/>
              <w:rPr>
                <w:rFonts w:hint="eastAsia" w:ascii="宋体" w:hAnsi="宋体" w:eastAsia="宋体" w:cs="宋体"/>
                <w:bCs/>
                <w:color w:val="auto"/>
                <w:highlight w:val="none"/>
              </w:rPr>
            </w:pPr>
            <w:r>
              <w:rPr>
                <w:rFonts w:hint="eastAsia" w:ascii="宋体" w:hAnsi="宋体" w:eastAsia="宋体" w:cs="宋体"/>
                <w:bCs/>
                <w:color w:val="auto"/>
                <w:highlight w:val="none"/>
              </w:rPr>
              <w:t>1.</w:t>
            </w:r>
          </w:p>
          <w:p>
            <w:pPr>
              <w:pStyle w:val="60"/>
              <w:shd w:val="clear" w:color="auto"/>
              <w:spacing w:line="360" w:lineRule="auto"/>
              <w:ind w:left="107"/>
              <w:jc w:val="both"/>
              <w:rPr>
                <w:rFonts w:hint="eastAsia" w:ascii="宋体" w:hAnsi="宋体" w:eastAsia="宋体" w:cs="宋体"/>
                <w:bCs/>
                <w:color w:val="auto"/>
                <w:highlight w:val="none"/>
              </w:rPr>
            </w:pPr>
            <w:r>
              <w:rPr>
                <w:rFonts w:hint="eastAsia" w:ascii="宋体" w:hAnsi="宋体" w:eastAsia="宋体" w:cs="宋体"/>
                <w:bCs/>
                <w:color w:val="auto"/>
                <w:highlight w:val="none"/>
              </w:rPr>
              <w:t>企</w:t>
            </w:r>
          </w:p>
          <w:p>
            <w:pPr>
              <w:pStyle w:val="60"/>
              <w:shd w:val="clear" w:color="auto"/>
              <w:spacing w:line="360" w:lineRule="auto"/>
              <w:ind w:left="107"/>
              <w:jc w:val="both"/>
              <w:rPr>
                <w:rFonts w:hint="eastAsia" w:ascii="宋体" w:hAnsi="宋体" w:eastAsia="宋体" w:cs="宋体"/>
                <w:bCs/>
                <w:color w:val="auto"/>
                <w:highlight w:val="none"/>
              </w:rPr>
            </w:pPr>
            <w:r>
              <w:rPr>
                <w:rFonts w:hint="eastAsia" w:ascii="宋体" w:hAnsi="宋体" w:eastAsia="宋体" w:cs="宋体"/>
                <w:bCs/>
                <w:color w:val="auto"/>
                <w:highlight w:val="none"/>
              </w:rPr>
              <w:t>业</w:t>
            </w:r>
          </w:p>
          <w:p>
            <w:pPr>
              <w:pStyle w:val="60"/>
              <w:shd w:val="clear" w:color="auto"/>
              <w:spacing w:line="360" w:lineRule="auto"/>
              <w:ind w:left="107"/>
              <w:jc w:val="both"/>
              <w:rPr>
                <w:rFonts w:hint="eastAsia" w:ascii="宋体" w:hAnsi="宋体" w:eastAsia="宋体" w:cs="宋体"/>
                <w:bCs/>
                <w:color w:val="auto"/>
                <w:spacing w:val="27"/>
                <w:highlight w:val="none"/>
              </w:rPr>
            </w:pPr>
            <w:r>
              <w:rPr>
                <w:rFonts w:hint="eastAsia" w:ascii="宋体" w:hAnsi="宋体" w:eastAsia="宋体" w:cs="宋体"/>
                <w:bCs/>
                <w:color w:val="auto"/>
                <w:spacing w:val="27"/>
                <w:highlight w:val="none"/>
              </w:rPr>
              <w:t>概</w:t>
            </w:r>
          </w:p>
          <w:p>
            <w:pPr>
              <w:pStyle w:val="60"/>
              <w:shd w:val="clear" w:color="auto"/>
              <w:spacing w:line="360" w:lineRule="auto"/>
              <w:ind w:left="107"/>
              <w:jc w:val="both"/>
              <w:rPr>
                <w:rFonts w:hint="eastAsia" w:ascii="宋体" w:hAnsi="宋体" w:eastAsia="宋体" w:cs="宋体"/>
                <w:bCs/>
                <w:color w:val="auto"/>
                <w:highlight w:val="none"/>
              </w:rPr>
            </w:pPr>
            <w:r>
              <w:rPr>
                <w:rFonts w:hint="eastAsia" w:ascii="宋体" w:hAnsi="宋体" w:eastAsia="宋体" w:cs="宋体"/>
                <w:bCs/>
                <w:color w:val="auto"/>
                <w:spacing w:val="27"/>
                <w:highlight w:val="none"/>
              </w:rPr>
              <w:t>况</w:t>
            </w:r>
          </w:p>
        </w:tc>
        <w:tc>
          <w:tcPr>
            <w:tcW w:w="690" w:type="dxa"/>
            <w:tcBorders>
              <w:top w:val="nil"/>
            </w:tcBorders>
            <w:vAlign w:val="center"/>
          </w:tcPr>
          <w:p>
            <w:pPr>
              <w:pStyle w:val="60"/>
              <w:shd w:val="clear" w:color="auto"/>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职工人数</w:t>
            </w:r>
          </w:p>
        </w:tc>
        <w:tc>
          <w:tcPr>
            <w:tcW w:w="960" w:type="dxa"/>
            <w:gridSpan w:val="2"/>
            <w:tcBorders>
              <w:top w:val="nil"/>
            </w:tcBorders>
            <w:vAlign w:val="center"/>
          </w:tcPr>
          <w:p>
            <w:pPr>
              <w:pStyle w:val="60"/>
              <w:shd w:val="clear" w:color="auto"/>
              <w:spacing w:line="360" w:lineRule="auto"/>
              <w:jc w:val="both"/>
              <w:rPr>
                <w:rFonts w:hint="eastAsia" w:ascii="宋体" w:hAnsi="宋体" w:eastAsia="宋体" w:cs="宋体"/>
                <w:bCs/>
                <w:color w:val="auto"/>
                <w:spacing w:val="16"/>
                <w:highlight w:val="none"/>
              </w:rPr>
            </w:pPr>
          </w:p>
        </w:tc>
        <w:tc>
          <w:tcPr>
            <w:tcW w:w="926" w:type="dxa"/>
            <w:tcBorders>
              <w:top w:val="nil"/>
            </w:tcBorders>
            <w:vAlign w:val="center"/>
          </w:tcPr>
          <w:p>
            <w:pPr>
              <w:pStyle w:val="60"/>
              <w:shd w:val="clear" w:color="auto"/>
              <w:spacing w:before="0" w:beforeAutospacing="0" w:after="0" w:afterAutospacing="0"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18"/>
                <w:highlight w:val="none"/>
              </w:rPr>
              <w:t>具备大专以</w:t>
            </w:r>
            <w:r>
              <w:rPr>
                <w:rFonts w:hint="eastAsia" w:ascii="宋体" w:hAnsi="宋体" w:eastAsia="宋体" w:cs="宋体"/>
                <w:bCs/>
                <w:color w:val="auto"/>
                <w:spacing w:val="12"/>
                <w:highlight w:val="none"/>
              </w:rPr>
              <w:t>上学历人数</w:t>
            </w:r>
          </w:p>
        </w:tc>
        <w:tc>
          <w:tcPr>
            <w:tcW w:w="1189" w:type="dxa"/>
            <w:gridSpan w:val="2"/>
            <w:tcBorders>
              <w:top w:val="nil"/>
            </w:tcBorders>
            <w:vAlign w:val="center"/>
          </w:tcPr>
          <w:p>
            <w:pPr>
              <w:widowControl/>
              <w:shd w:val="clear"/>
              <w:spacing w:line="360" w:lineRule="auto"/>
              <w:rPr>
                <w:rFonts w:hint="eastAsia" w:ascii="宋体" w:hAnsi="宋体" w:eastAsia="宋体" w:cs="宋体"/>
                <w:bCs/>
                <w:color w:val="auto"/>
                <w:spacing w:val="16"/>
                <w:kern w:val="0"/>
                <w:sz w:val="24"/>
                <w:highlight w:val="none"/>
              </w:rPr>
            </w:pPr>
          </w:p>
          <w:p>
            <w:pPr>
              <w:widowControl/>
              <w:shd w:val="clear"/>
              <w:spacing w:line="360" w:lineRule="auto"/>
              <w:rPr>
                <w:rFonts w:hint="eastAsia" w:ascii="宋体" w:hAnsi="宋体" w:eastAsia="宋体" w:cs="宋体"/>
                <w:bCs/>
                <w:color w:val="auto"/>
                <w:spacing w:val="16"/>
                <w:kern w:val="0"/>
                <w:sz w:val="24"/>
                <w:highlight w:val="none"/>
              </w:rPr>
            </w:pPr>
          </w:p>
          <w:p>
            <w:pPr>
              <w:pStyle w:val="60"/>
              <w:shd w:val="clear" w:color="auto"/>
              <w:spacing w:line="360" w:lineRule="auto"/>
              <w:jc w:val="both"/>
              <w:rPr>
                <w:rFonts w:hint="eastAsia" w:ascii="宋体" w:hAnsi="宋体" w:eastAsia="宋体" w:cs="宋体"/>
                <w:bCs/>
                <w:color w:val="auto"/>
                <w:spacing w:val="16"/>
                <w:highlight w:val="none"/>
              </w:rPr>
            </w:pPr>
          </w:p>
        </w:tc>
        <w:tc>
          <w:tcPr>
            <w:tcW w:w="1560" w:type="dxa"/>
            <w:vAlign w:val="center"/>
          </w:tcPr>
          <w:p>
            <w:pPr>
              <w:pStyle w:val="60"/>
              <w:shd w:val="clear" w:color="auto"/>
              <w:spacing w:line="360" w:lineRule="auto"/>
              <w:jc w:val="center"/>
              <w:rPr>
                <w:rFonts w:hint="eastAsia" w:ascii="宋体" w:hAnsi="宋体" w:eastAsia="宋体" w:cs="宋体"/>
                <w:bCs/>
                <w:color w:val="auto"/>
                <w:spacing w:val="16"/>
                <w:highlight w:val="none"/>
              </w:rPr>
            </w:pPr>
            <w:r>
              <w:rPr>
                <w:rFonts w:hint="eastAsia" w:ascii="宋体" w:hAnsi="宋体" w:eastAsia="宋体" w:cs="宋体"/>
                <w:bCs/>
                <w:color w:val="auto"/>
                <w:spacing w:val="65"/>
                <w:highlight w:val="none"/>
              </w:rPr>
              <w:t>国家授予技</w:t>
            </w:r>
            <w:r>
              <w:rPr>
                <w:rFonts w:hint="eastAsia" w:ascii="宋体" w:hAnsi="宋体" w:eastAsia="宋体" w:cs="宋体"/>
                <w:bCs/>
                <w:color w:val="auto"/>
                <w:spacing w:val="12"/>
                <w:highlight w:val="none"/>
              </w:rPr>
              <w:t>术职称人数</w:t>
            </w:r>
          </w:p>
        </w:tc>
        <w:tc>
          <w:tcPr>
            <w:tcW w:w="2608" w:type="dxa"/>
            <w:gridSpan w:val="3"/>
            <w:vAlign w:val="center"/>
          </w:tcPr>
          <w:p>
            <w:pPr>
              <w:widowControl/>
              <w:shd w:val="clear"/>
              <w:spacing w:line="360" w:lineRule="auto"/>
              <w:rPr>
                <w:rFonts w:hint="eastAsia" w:ascii="宋体" w:hAnsi="宋体" w:eastAsia="宋体" w:cs="宋体"/>
                <w:bCs/>
                <w:color w:val="auto"/>
                <w:spacing w:val="16"/>
                <w:kern w:val="0"/>
                <w:sz w:val="24"/>
                <w:highlight w:val="none"/>
              </w:rPr>
            </w:pPr>
          </w:p>
          <w:p>
            <w:pPr>
              <w:pStyle w:val="60"/>
              <w:shd w:val="clear" w:color="auto"/>
              <w:spacing w:line="360" w:lineRule="auto"/>
              <w:jc w:val="both"/>
              <w:rPr>
                <w:rFonts w:hint="eastAsia" w:ascii="宋体" w:hAnsi="宋体" w:eastAsia="宋体" w:cs="宋体"/>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atLeast"/>
        </w:trPr>
        <w:tc>
          <w:tcPr>
            <w:tcW w:w="880" w:type="dxa"/>
            <w:vMerge w:val="continue"/>
            <w:vAlign w:val="center"/>
          </w:tcPr>
          <w:p>
            <w:pPr>
              <w:pStyle w:val="60"/>
              <w:shd w:val="clear" w:color="auto"/>
              <w:spacing w:line="360" w:lineRule="auto"/>
              <w:ind w:left="107"/>
              <w:jc w:val="both"/>
              <w:rPr>
                <w:rFonts w:hint="eastAsia" w:ascii="宋体" w:hAnsi="宋体" w:eastAsia="宋体" w:cs="宋体"/>
                <w:bCs/>
                <w:color w:val="auto"/>
                <w:highlight w:val="none"/>
              </w:rPr>
            </w:pPr>
          </w:p>
        </w:tc>
        <w:tc>
          <w:tcPr>
            <w:tcW w:w="690" w:type="dxa"/>
            <w:vAlign w:val="center"/>
          </w:tcPr>
          <w:p>
            <w:pPr>
              <w:pStyle w:val="60"/>
              <w:shd w:val="clear" w:color="auto"/>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16"/>
                <w:highlight w:val="none"/>
              </w:rPr>
              <w:t>占地面积</w:t>
            </w:r>
          </w:p>
        </w:tc>
        <w:tc>
          <w:tcPr>
            <w:tcW w:w="960" w:type="dxa"/>
            <w:gridSpan w:val="2"/>
            <w:vAlign w:val="center"/>
          </w:tcPr>
          <w:p>
            <w:pPr>
              <w:pStyle w:val="60"/>
              <w:shd w:val="clear" w:color="auto"/>
              <w:spacing w:line="360" w:lineRule="auto"/>
              <w:jc w:val="both"/>
              <w:rPr>
                <w:rFonts w:hint="eastAsia" w:ascii="宋体" w:hAnsi="宋体" w:eastAsia="宋体" w:cs="宋体"/>
                <w:bCs/>
                <w:color w:val="auto"/>
                <w:highlight w:val="none"/>
              </w:rPr>
            </w:pPr>
          </w:p>
        </w:tc>
        <w:tc>
          <w:tcPr>
            <w:tcW w:w="926" w:type="dxa"/>
            <w:vAlign w:val="center"/>
          </w:tcPr>
          <w:p>
            <w:pPr>
              <w:pStyle w:val="60"/>
              <w:shd w:val="clear" w:color="auto"/>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16"/>
                <w:highlight w:val="none"/>
              </w:rPr>
              <w:t>建筑面积</w:t>
            </w:r>
          </w:p>
        </w:tc>
        <w:tc>
          <w:tcPr>
            <w:tcW w:w="1189" w:type="dxa"/>
            <w:gridSpan w:val="2"/>
            <w:vAlign w:val="center"/>
          </w:tcPr>
          <w:p>
            <w:pPr>
              <w:pStyle w:val="60"/>
              <w:shd w:val="clear" w:color="auto"/>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highlight w:val="none"/>
              </w:rPr>
              <w:t>平方米</w:t>
            </w:r>
          </w:p>
          <w:p>
            <w:pPr>
              <w:pStyle w:val="60"/>
              <w:shd w:val="clear" w:color="auto"/>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16"/>
                <w:highlight w:val="none"/>
              </w:rPr>
              <w:t>□自有□租赁</w:t>
            </w:r>
          </w:p>
        </w:tc>
        <w:tc>
          <w:tcPr>
            <w:tcW w:w="1560" w:type="dxa"/>
            <w:vAlign w:val="center"/>
          </w:tcPr>
          <w:p>
            <w:pPr>
              <w:pStyle w:val="60"/>
              <w:shd w:val="clear" w:color="auto"/>
              <w:spacing w:line="360" w:lineRule="auto"/>
              <w:jc w:val="center"/>
              <w:rPr>
                <w:rFonts w:hint="eastAsia" w:ascii="宋体" w:hAnsi="宋体" w:eastAsia="宋体" w:cs="宋体"/>
                <w:bCs/>
                <w:color w:val="auto"/>
                <w:highlight w:val="none"/>
              </w:rPr>
            </w:pPr>
            <w:r>
              <w:rPr>
                <w:rFonts w:hint="eastAsia" w:ascii="宋体" w:hAnsi="宋体" w:eastAsia="宋体" w:cs="宋体"/>
                <w:bCs/>
                <w:color w:val="auto"/>
                <w:spacing w:val="16"/>
                <w:highlight w:val="none"/>
              </w:rPr>
              <w:t>生产经营场所及场所的设施与设备</w:t>
            </w:r>
          </w:p>
        </w:tc>
        <w:tc>
          <w:tcPr>
            <w:tcW w:w="2608" w:type="dxa"/>
            <w:gridSpan w:val="3"/>
            <w:vAlign w:val="center"/>
          </w:tcPr>
          <w:p>
            <w:pPr>
              <w:pStyle w:val="60"/>
              <w:shd w:val="clear" w:color="auto"/>
              <w:spacing w:before="0" w:beforeAutospacing="0" w:after="0" w:afterAutospacing="0" w:line="360" w:lineRule="auto"/>
              <w:jc w:val="both"/>
              <w:rPr>
                <w:rFonts w:hint="eastAsia" w:ascii="宋体" w:hAnsi="宋体" w:eastAsia="宋体" w:cs="宋体"/>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880" w:type="dxa"/>
            <w:vMerge w:val="continue"/>
            <w:vAlign w:val="center"/>
          </w:tcPr>
          <w:p>
            <w:pPr>
              <w:pStyle w:val="60"/>
              <w:shd w:val="clear" w:color="auto"/>
              <w:spacing w:line="360" w:lineRule="auto"/>
              <w:ind w:left="107"/>
              <w:jc w:val="both"/>
              <w:rPr>
                <w:rFonts w:hint="eastAsia" w:ascii="宋体" w:hAnsi="宋体" w:eastAsia="宋体" w:cs="宋体"/>
                <w:bCs/>
                <w:color w:val="auto"/>
                <w:highlight w:val="none"/>
              </w:rPr>
            </w:pPr>
          </w:p>
        </w:tc>
        <w:tc>
          <w:tcPr>
            <w:tcW w:w="690" w:type="dxa"/>
            <w:vAlign w:val="center"/>
          </w:tcPr>
          <w:p>
            <w:pPr>
              <w:pStyle w:val="60"/>
              <w:shd w:val="clear" w:color="auto"/>
              <w:spacing w:line="360" w:lineRule="auto"/>
              <w:ind w:left="2"/>
              <w:jc w:val="both"/>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注册资金</w:t>
            </w:r>
          </w:p>
        </w:tc>
        <w:tc>
          <w:tcPr>
            <w:tcW w:w="960" w:type="dxa"/>
            <w:gridSpan w:val="2"/>
            <w:vAlign w:val="center"/>
          </w:tcPr>
          <w:p>
            <w:pPr>
              <w:pStyle w:val="60"/>
              <w:shd w:val="clear" w:color="auto"/>
              <w:spacing w:line="360" w:lineRule="auto"/>
              <w:ind w:left="2"/>
              <w:jc w:val="both"/>
              <w:rPr>
                <w:rFonts w:hint="eastAsia" w:ascii="宋体" w:hAnsi="宋体" w:eastAsia="宋体" w:cs="宋体"/>
                <w:bCs/>
                <w:color w:val="auto"/>
                <w:highlight w:val="none"/>
              </w:rPr>
            </w:pPr>
          </w:p>
        </w:tc>
        <w:tc>
          <w:tcPr>
            <w:tcW w:w="926" w:type="dxa"/>
            <w:vAlign w:val="center"/>
          </w:tcPr>
          <w:p>
            <w:pPr>
              <w:pStyle w:val="60"/>
              <w:shd w:val="clear" w:color="auto"/>
              <w:spacing w:line="360" w:lineRule="auto"/>
              <w:ind w:left="107"/>
              <w:jc w:val="both"/>
              <w:rPr>
                <w:rFonts w:hint="eastAsia" w:ascii="宋体" w:hAnsi="宋体" w:eastAsia="宋体" w:cs="宋体"/>
                <w:bCs/>
                <w:color w:val="auto"/>
                <w:highlight w:val="none"/>
              </w:rPr>
            </w:pPr>
            <w:r>
              <w:rPr>
                <w:rFonts w:hint="eastAsia" w:ascii="宋体" w:hAnsi="宋体" w:eastAsia="宋体" w:cs="宋体"/>
                <w:bCs/>
                <w:color w:val="auto"/>
                <w:spacing w:val="16"/>
                <w:highlight w:val="none"/>
              </w:rPr>
              <w:t>注册发证</w:t>
            </w:r>
            <w:r>
              <w:rPr>
                <w:rFonts w:hint="eastAsia" w:ascii="宋体" w:hAnsi="宋体" w:eastAsia="宋体" w:cs="宋体"/>
                <w:bCs/>
                <w:color w:val="auto"/>
                <w:spacing w:val="27"/>
                <w:highlight w:val="none"/>
              </w:rPr>
              <w:t>机关</w:t>
            </w:r>
          </w:p>
        </w:tc>
        <w:tc>
          <w:tcPr>
            <w:tcW w:w="2749" w:type="dxa"/>
            <w:gridSpan w:val="3"/>
            <w:vAlign w:val="center"/>
          </w:tcPr>
          <w:p>
            <w:pPr>
              <w:widowControl/>
              <w:shd w:val="clear"/>
              <w:spacing w:line="360" w:lineRule="auto"/>
              <w:rPr>
                <w:rFonts w:hint="eastAsia" w:ascii="宋体" w:hAnsi="宋体" w:eastAsia="宋体" w:cs="宋体"/>
                <w:bCs/>
                <w:color w:val="auto"/>
                <w:kern w:val="0"/>
                <w:sz w:val="24"/>
                <w:highlight w:val="none"/>
              </w:rPr>
            </w:pPr>
          </w:p>
          <w:p>
            <w:pPr>
              <w:pStyle w:val="60"/>
              <w:shd w:val="clear" w:color="auto"/>
              <w:spacing w:line="360" w:lineRule="auto"/>
              <w:ind w:left="107"/>
              <w:jc w:val="both"/>
              <w:rPr>
                <w:rFonts w:hint="eastAsia" w:ascii="宋体" w:hAnsi="宋体" w:eastAsia="宋体" w:cs="宋体"/>
                <w:bCs/>
                <w:color w:val="auto"/>
                <w:highlight w:val="none"/>
              </w:rPr>
            </w:pPr>
          </w:p>
        </w:tc>
        <w:tc>
          <w:tcPr>
            <w:tcW w:w="1675" w:type="dxa"/>
            <w:gridSpan w:val="2"/>
            <w:vAlign w:val="center"/>
          </w:tcPr>
          <w:p>
            <w:pPr>
              <w:pStyle w:val="60"/>
              <w:shd w:val="clear" w:color="auto"/>
              <w:spacing w:line="360" w:lineRule="auto"/>
              <w:ind w:left="107"/>
              <w:jc w:val="both"/>
              <w:rPr>
                <w:rFonts w:hint="eastAsia" w:ascii="宋体" w:hAnsi="宋体" w:eastAsia="宋体" w:cs="宋体"/>
                <w:bCs/>
                <w:color w:val="auto"/>
                <w:highlight w:val="none"/>
              </w:rPr>
            </w:pPr>
            <w:r>
              <w:rPr>
                <w:rFonts w:hint="eastAsia" w:ascii="宋体" w:hAnsi="宋体" w:eastAsia="宋体" w:cs="宋体"/>
                <w:bCs/>
                <w:color w:val="auto"/>
                <w:highlight w:val="none"/>
              </w:rPr>
              <w:t>公司成</w:t>
            </w:r>
            <w:r>
              <w:rPr>
                <w:rFonts w:hint="eastAsia" w:ascii="宋体" w:hAnsi="宋体" w:eastAsia="宋体" w:cs="宋体"/>
                <w:bCs/>
                <w:color w:val="auto"/>
                <w:spacing w:val="12"/>
                <w:highlight w:val="none"/>
              </w:rPr>
              <w:t>立时间</w:t>
            </w:r>
          </w:p>
        </w:tc>
        <w:tc>
          <w:tcPr>
            <w:tcW w:w="933" w:type="dxa"/>
            <w:vAlign w:val="center"/>
          </w:tcPr>
          <w:p>
            <w:pPr>
              <w:pStyle w:val="60"/>
              <w:shd w:val="clear" w:color="auto"/>
              <w:spacing w:line="360" w:lineRule="auto"/>
              <w:ind w:left="107"/>
              <w:jc w:val="both"/>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880" w:type="dxa"/>
            <w:vMerge w:val="continue"/>
            <w:vAlign w:val="center"/>
          </w:tcPr>
          <w:p>
            <w:pPr>
              <w:pStyle w:val="60"/>
              <w:shd w:val="clear" w:color="auto"/>
              <w:spacing w:line="360" w:lineRule="auto"/>
              <w:ind w:left="107"/>
              <w:jc w:val="both"/>
              <w:rPr>
                <w:rFonts w:hint="eastAsia" w:ascii="宋体" w:hAnsi="宋体" w:eastAsia="宋体" w:cs="宋体"/>
                <w:bCs/>
                <w:color w:val="auto"/>
                <w:highlight w:val="none"/>
              </w:rPr>
            </w:pPr>
          </w:p>
        </w:tc>
        <w:tc>
          <w:tcPr>
            <w:tcW w:w="690" w:type="dxa"/>
            <w:vAlign w:val="center"/>
          </w:tcPr>
          <w:p>
            <w:pPr>
              <w:pStyle w:val="60"/>
              <w:shd w:val="clear" w:color="auto"/>
              <w:spacing w:line="360" w:lineRule="auto"/>
              <w:ind w:left="2"/>
              <w:jc w:val="both"/>
              <w:rPr>
                <w:rFonts w:hint="eastAsia" w:ascii="宋体" w:hAnsi="宋体" w:eastAsia="宋体" w:cs="宋体"/>
                <w:bCs/>
                <w:color w:val="auto"/>
                <w:highlight w:val="none"/>
              </w:rPr>
            </w:pPr>
            <w:r>
              <w:rPr>
                <w:rFonts w:hint="eastAsia" w:ascii="宋体" w:hAnsi="宋体" w:eastAsia="宋体" w:cs="宋体"/>
                <w:bCs/>
                <w:color w:val="auto"/>
                <w:highlight w:val="none"/>
              </w:rPr>
              <w:t>核准经营范围</w:t>
            </w:r>
          </w:p>
        </w:tc>
        <w:tc>
          <w:tcPr>
            <w:tcW w:w="7243" w:type="dxa"/>
            <w:gridSpan w:val="9"/>
            <w:vAlign w:val="center"/>
          </w:tcPr>
          <w:p>
            <w:pPr>
              <w:pStyle w:val="60"/>
              <w:shd w:val="clear" w:color="auto"/>
              <w:spacing w:line="360" w:lineRule="auto"/>
              <w:ind w:left="107"/>
              <w:jc w:val="both"/>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80" w:type="dxa"/>
            <w:vMerge w:val="continue"/>
            <w:vAlign w:val="center"/>
          </w:tcPr>
          <w:p>
            <w:pPr>
              <w:pStyle w:val="60"/>
              <w:shd w:val="clear" w:color="auto"/>
              <w:spacing w:line="360" w:lineRule="auto"/>
              <w:ind w:left="107"/>
              <w:jc w:val="both"/>
              <w:rPr>
                <w:rFonts w:hint="eastAsia" w:ascii="宋体" w:hAnsi="宋体" w:eastAsia="宋体" w:cs="宋体"/>
                <w:bCs/>
                <w:color w:val="auto"/>
                <w:highlight w:val="none"/>
              </w:rPr>
            </w:pPr>
          </w:p>
        </w:tc>
        <w:tc>
          <w:tcPr>
            <w:tcW w:w="7933" w:type="dxa"/>
            <w:gridSpan w:val="10"/>
            <w:vAlign w:val="center"/>
          </w:tcPr>
          <w:p>
            <w:pPr>
              <w:pStyle w:val="60"/>
              <w:shd w:val="clear" w:color="auto"/>
              <w:spacing w:line="360" w:lineRule="auto"/>
              <w:jc w:val="both"/>
              <w:rPr>
                <w:rFonts w:hint="eastAsia" w:ascii="宋体" w:hAnsi="宋体" w:eastAsia="宋体" w:cs="宋体"/>
                <w:bCs/>
                <w:color w:val="auto"/>
                <w:spacing w:val="13"/>
                <w:highlight w:val="none"/>
              </w:rPr>
            </w:pPr>
            <w:r>
              <w:rPr>
                <w:rFonts w:hint="eastAsia" w:ascii="宋体" w:hAnsi="宋体" w:eastAsia="宋体" w:cs="宋体"/>
                <w:bCs/>
                <w:color w:val="auto"/>
                <w:spacing w:val="13"/>
                <w:highlight w:val="none"/>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80" w:type="dxa"/>
            <w:vMerge w:val="restart"/>
            <w:vAlign w:val="center"/>
          </w:tcPr>
          <w:p>
            <w:pPr>
              <w:pStyle w:val="60"/>
              <w:shd w:val="clear" w:color="auto"/>
              <w:spacing w:line="360" w:lineRule="auto"/>
              <w:ind w:left="107"/>
              <w:jc w:val="both"/>
              <w:rPr>
                <w:rFonts w:hint="eastAsia" w:ascii="宋体" w:hAnsi="宋体" w:eastAsia="宋体" w:cs="宋体"/>
                <w:bCs/>
                <w:color w:val="auto"/>
                <w:highlight w:val="none"/>
              </w:rPr>
            </w:pPr>
            <w:r>
              <w:rPr>
                <w:rFonts w:hint="eastAsia" w:ascii="宋体" w:hAnsi="宋体" w:eastAsia="宋体" w:cs="宋体"/>
                <w:bCs/>
                <w:color w:val="auto"/>
                <w:highlight w:val="none"/>
              </w:rPr>
              <w:t>2.</w:t>
            </w:r>
          </w:p>
          <w:p>
            <w:pPr>
              <w:pStyle w:val="60"/>
              <w:shd w:val="clear" w:color="auto"/>
              <w:spacing w:line="360" w:lineRule="auto"/>
              <w:ind w:left="107"/>
              <w:jc w:val="both"/>
              <w:rPr>
                <w:rFonts w:hint="eastAsia" w:ascii="宋体" w:hAnsi="宋体" w:eastAsia="宋体" w:cs="宋体"/>
                <w:bCs/>
                <w:color w:val="auto"/>
                <w:spacing w:val="16"/>
                <w:highlight w:val="none"/>
              </w:rPr>
            </w:pPr>
            <w:r>
              <w:rPr>
                <w:rFonts w:hint="eastAsia" w:ascii="宋体" w:hAnsi="宋体" w:eastAsia="宋体" w:cs="宋体"/>
                <w:bCs/>
                <w:color w:val="auto"/>
                <w:highlight w:val="none"/>
              </w:rPr>
              <w:t>企</w:t>
            </w:r>
            <w:r>
              <w:rPr>
                <w:rFonts w:hint="eastAsia" w:ascii="宋体" w:hAnsi="宋体" w:eastAsia="宋体" w:cs="宋体"/>
                <w:bCs/>
                <w:color w:val="auto"/>
                <w:spacing w:val="12"/>
                <w:highlight w:val="none"/>
              </w:rPr>
              <w:t>业有关资质获证情况</w:t>
            </w:r>
          </w:p>
        </w:tc>
        <w:tc>
          <w:tcPr>
            <w:tcW w:w="1355" w:type="dxa"/>
            <w:gridSpan w:val="2"/>
            <w:vMerge w:val="restart"/>
            <w:vAlign w:val="center"/>
          </w:tcPr>
          <w:p>
            <w:pPr>
              <w:pStyle w:val="60"/>
              <w:shd w:val="clear" w:color="auto"/>
              <w:spacing w:before="0" w:beforeAutospacing="0" w:after="0" w:afterAutospacing="0"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12"/>
                <w:highlight w:val="none"/>
              </w:rPr>
              <w:t>产品生产许可证情况</w:t>
            </w:r>
            <w:r>
              <w:rPr>
                <w:rFonts w:hint="eastAsia" w:ascii="宋体" w:hAnsi="宋体" w:eastAsia="宋体" w:cs="宋体"/>
                <w:bCs/>
                <w:color w:val="auto"/>
                <w:spacing w:val="41"/>
                <w:highlight w:val="none"/>
              </w:rPr>
              <w:t>（对需获得生产许可证的</w:t>
            </w:r>
            <w:r>
              <w:rPr>
                <w:rFonts w:hint="eastAsia" w:ascii="宋体" w:hAnsi="宋体" w:eastAsia="宋体" w:cs="宋体"/>
                <w:bCs/>
                <w:color w:val="auto"/>
                <w:spacing w:val="11"/>
                <w:highlight w:val="none"/>
              </w:rPr>
              <w:t>产品要填写此栏）</w:t>
            </w:r>
          </w:p>
        </w:tc>
        <w:tc>
          <w:tcPr>
            <w:tcW w:w="1333" w:type="dxa"/>
            <w:gridSpan w:val="3"/>
            <w:vAlign w:val="center"/>
          </w:tcPr>
          <w:p>
            <w:pPr>
              <w:pStyle w:val="60"/>
              <w:shd w:val="clear" w:color="auto"/>
              <w:spacing w:line="360" w:lineRule="auto"/>
              <w:ind w:right="-78" w:rightChars="-37"/>
              <w:jc w:val="both"/>
              <w:rPr>
                <w:rFonts w:hint="eastAsia" w:ascii="宋体" w:hAnsi="宋体" w:eastAsia="宋体" w:cs="宋体"/>
                <w:bCs/>
                <w:color w:val="auto"/>
                <w:spacing w:val="16"/>
                <w:highlight w:val="none"/>
              </w:rPr>
            </w:pPr>
            <w:r>
              <w:rPr>
                <w:rFonts w:hint="eastAsia" w:ascii="宋体" w:hAnsi="宋体" w:eastAsia="宋体" w:cs="宋体"/>
                <w:bCs/>
                <w:color w:val="auto"/>
                <w:spacing w:val="16"/>
                <w:highlight w:val="none"/>
              </w:rPr>
              <w:t>产品名称</w:t>
            </w:r>
          </w:p>
        </w:tc>
        <w:tc>
          <w:tcPr>
            <w:tcW w:w="1077" w:type="dxa"/>
            <w:vAlign w:val="center"/>
          </w:tcPr>
          <w:p>
            <w:pPr>
              <w:pStyle w:val="60"/>
              <w:shd w:val="clear" w:color="auto"/>
              <w:spacing w:before="0" w:beforeAutospacing="0" w:after="0" w:afterAutospacing="0"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16"/>
                <w:highlight w:val="none"/>
              </w:rPr>
              <w:t>发证机关</w:t>
            </w:r>
          </w:p>
        </w:tc>
        <w:tc>
          <w:tcPr>
            <w:tcW w:w="1617" w:type="dxa"/>
            <w:gridSpan w:val="2"/>
            <w:vAlign w:val="center"/>
          </w:tcPr>
          <w:p>
            <w:pPr>
              <w:pStyle w:val="60"/>
              <w:shd w:val="clear" w:color="auto"/>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27"/>
                <w:highlight w:val="none"/>
              </w:rPr>
              <w:t>编号</w:t>
            </w:r>
          </w:p>
        </w:tc>
        <w:tc>
          <w:tcPr>
            <w:tcW w:w="1618" w:type="dxa"/>
            <w:vAlign w:val="center"/>
          </w:tcPr>
          <w:p>
            <w:pPr>
              <w:pStyle w:val="60"/>
              <w:shd w:val="clear" w:color="auto"/>
              <w:spacing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16"/>
                <w:highlight w:val="none"/>
              </w:rPr>
              <w:t>发证时间</w:t>
            </w:r>
          </w:p>
        </w:tc>
        <w:tc>
          <w:tcPr>
            <w:tcW w:w="933" w:type="dxa"/>
            <w:vAlign w:val="center"/>
          </w:tcPr>
          <w:p>
            <w:pPr>
              <w:pStyle w:val="60"/>
              <w:shd w:val="clear" w:color="auto"/>
              <w:spacing w:before="0" w:beforeAutospacing="0" w:after="0" w:afterAutospacing="0" w:line="360" w:lineRule="auto"/>
              <w:jc w:val="both"/>
              <w:rPr>
                <w:rFonts w:hint="eastAsia" w:ascii="宋体" w:hAnsi="宋体" w:eastAsia="宋体" w:cs="宋体"/>
                <w:bCs/>
                <w:color w:val="auto"/>
                <w:highlight w:val="none"/>
              </w:rPr>
            </w:pPr>
            <w:r>
              <w:rPr>
                <w:rFonts w:hint="eastAsia" w:ascii="宋体" w:hAnsi="宋体" w:eastAsia="宋体" w:cs="宋体"/>
                <w:bCs/>
                <w:color w:val="auto"/>
                <w:spacing w:val="27"/>
                <w:highlight w:val="none"/>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8" w:hRule="atLeast"/>
        </w:trPr>
        <w:tc>
          <w:tcPr>
            <w:tcW w:w="880" w:type="dxa"/>
            <w:vMerge w:val="continue"/>
            <w:vAlign w:val="center"/>
          </w:tcPr>
          <w:p>
            <w:pPr>
              <w:pStyle w:val="60"/>
              <w:shd w:val="clear" w:color="auto"/>
              <w:spacing w:line="360" w:lineRule="auto"/>
              <w:ind w:left="107"/>
              <w:jc w:val="both"/>
              <w:rPr>
                <w:rFonts w:hint="eastAsia" w:ascii="宋体" w:hAnsi="宋体" w:eastAsia="宋体" w:cs="宋体"/>
                <w:bCs/>
                <w:color w:val="auto"/>
                <w:highlight w:val="none"/>
              </w:rPr>
            </w:pPr>
          </w:p>
        </w:tc>
        <w:tc>
          <w:tcPr>
            <w:tcW w:w="1355" w:type="dxa"/>
            <w:gridSpan w:val="2"/>
            <w:vMerge w:val="continue"/>
            <w:vAlign w:val="center"/>
          </w:tcPr>
          <w:p>
            <w:pPr>
              <w:pStyle w:val="60"/>
              <w:shd w:val="clear" w:color="auto"/>
              <w:spacing w:line="360" w:lineRule="auto"/>
              <w:jc w:val="both"/>
              <w:rPr>
                <w:rFonts w:hint="eastAsia" w:ascii="宋体" w:hAnsi="宋体" w:eastAsia="宋体" w:cs="宋体"/>
                <w:bCs/>
                <w:color w:val="auto"/>
                <w:highlight w:val="none"/>
              </w:rPr>
            </w:pPr>
          </w:p>
        </w:tc>
        <w:tc>
          <w:tcPr>
            <w:tcW w:w="1333" w:type="dxa"/>
            <w:gridSpan w:val="3"/>
            <w:vAlign w:val="center"/>
          </w:tcPr>
          <w:p>
            <w:pPr>
              <w:pStyle w:val="60"/>
              <w:shd w:val="clear" w:color="auto"/>
              <w:spacing w:line="360" w:lineRule="auto"/>
              <w:jc w:val="both"/>
              <w:rPr>
                <w:rFonts w:hint="eastAsia" w:ascii="宋体" w:hAnsi="宋体" w:eastAsia="宋体" w:cs="宋体"/>
                <w:bCs/>
                <w:color w:val="auto"/>
                <w:highlight w:val="none"/>
              </w:rPr>
            </w:pPr>
          </w:p>
        </w:tc>
        <w:tc>
          <w:tcPr>
            <w:tcW w:w="1077" w:type="dxa"/>
            <w:vAlign w:val="center"/>
          </w:tcPr>
          <w:p>
            <w:pPr>
              <w:pStyle w:val="60"/>
              <w:shd w:val="clear" w:color="auto"/>
              <w:spacing w:line="360" w:lineRule="auto"/>
              <w:jc w:val="both"/>
              <w:rPr>
                <w:rFonts w:hint="eastAsia" w:ascii="宋体" w:hAnsi="宋体" w:eastAsia="宋体" w:cs="宋体"/>
                <w:bCs/>
                <w:color w:val="auto"/>
                <w:highlight w:val="none"/>
              </w:rPr>
            </w:pPr>
          </w:p>
        </w:tc>
        <w:tc>
          <w:tcPr>
            <w:tcW w:w="1617" w:type="dxa"/>
            <w:gridSpan w:val="2"/>
            <w:vAlign w:val="center"/>
          </w:tcPr>
          <w:p>
            <w:pPr>
              <w:pStyle w:val="60"/>
              <w:shd w:val="clear" w:color="auto"/>
              <w:spacing w:line="360" w:lineRule="auto"/>
              <w:jc w:val="both"/>
              <w:rPr>
                <w:rFonts w:hint="eastAsia" w:ascii="宋体" w:hAnsi="宋体" w:eastAsia="宋体" w:cs="宋体"/>
                <w:bCs/>
                <w:color w:val="auto"/>
                <w:highlight w:val="none"/>
              </w:rPr>
            </w:pPr>
          </w:p>
        </w:tc>
        <w:tc>
          <w:tcPr>
            <w:tcW w:w="2551" w:type="dxa"/>
            <w:gridSpan w:val="2"/>
            <w:vAlign w:val="center"/>
          </w:tcPr>
          <w:p>
            <w:pPr>
              <w:pStyle w:val="60"/>
              <w:shd w:val="clear" w:color="auto"/>
              <w:spacing w:line="360" w:lineRule="auto"/>
              <w:jc w:val="both"/>
              <w:rPr>
                <w:rFonts w:hint="eastAsia" w:ascii="宋体" w:hAnsi="宋体" w:eastAsia="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880" w:type="dxa"/>
            <w:vMerge w:val="continue"/>
            <w:vAlign w:val="center"/>
          </w:tcPr>
          <w:p>
            <w:pPr>
              <w:pStyle w:val="60"/>
              <w:shd w:val="clear" w:color="auto"/>
              <w:spacing w:line="360" w:lineRule="auto"/>
              <w:ind w:left="107"/>
              <w:jc w:val="both"/>
              <w:rPr>
                <w:rFonts w:hint="eastAsia" w:ascii="宋体" w:hAnsi="宋体" w:eastAsia="宋体" w:cs="宋体"/>
                <w:bCs/>
                <w:color w:val="auto"/>
                <w:spacing w:val="16"/>
                <w:highlight w:val="none"/>
              </w:rPr>
            </w:pPr>
          </w:p>
        </w:tc>
        <w:tc>
          <w:tcPr>
            <w:tcW w:w="1355" w:type="dxa"/>
            <w:gridSpan w:val="2"/>
            <w:vAlign w:val="center"/>
          </w:tcPr>
          <w:p>
            <w:pPr>
              <w:pStyle w:val="60"/>
              <w:shd w:val="clear" w:color="auto"/>
              <w:spacing w:before="0" w:beforeAutospacing="0" w:after="0" w:afterAutospacing="0" w:line="360" w:lineRule="auto"/>
              <w:ind w:right="-107" w:rightChars="-51"/>
              <w:jc w:val="both"/>
              <w:rPr>
                <w:rFonts w:hint="eastAsia" w:ascii="宋体" w:hAnsi="宋体" w:eastAsia="宋体" w:cs="宋体"/>
                <w:bCs/>
                <w:color w:val="auto"/>
                <w:spacing w:val="41"/>
                <w:highlight w:val="none"/>
              </w:rPr>
            </w:pPr>
            <w:r>
              <w:rPr>
                <w:rFonts w:hint="eastAsia" w:ascii="宋体" w:hAnsi="宋体" w:eastAsia="宋体" w:cs="宋体"/>
                <w:bCs/>
                <w:color w:val="auto"/>
                <w:spacing w:val="41"/>
                <w:highlight w:val="none"/>
              </w:rPr>
              <w:t>企业通过质量体系、环保</w:t>
            </w:r>
            <w:r>
              <w:rPr>
                <w:rFonts w:hint="eastAsia" w:ascii="宋体" w:hAnsi="宋体" w:eastAsia="宋体" w:cs="宋体"/>
                <w:bCs/>
                <w:color w:val="auto"/>
                <w:spacing w:val="11"/>
                <w:highlight w:val="none"/>
              </w:rPr>
              <w:t>体系、计量等认证情况</w:t>
            </w:r>
          </w:p>
        </w:tc>
        <w:tc>
          <w:tcPr>
            <w:tcW w:w="6578" w:type="dxa"/>
            <w:gridSpan w:val="8"/>
            <w:vAlign w:val="center"/>
          </w:tcPr>
          <w:p>
            <w:pPr>
              <w:pStyle w:val="60"/>
              <w:shd w:val="clear" w:color="auto"/>
              <w:spacing w:line="360" w:lineRule="auto"/>
              <w:jc w:val="both"/>
              <w:rPr>
                <w:rFonts w:hint="eastAsia" w:ascii="宋体" w:hAnsi="宋体" w:eastAsia="宋体" w:cs="宋体"/>
                <w:bCs/>
                <w:color w:val="auto"/>
                <w:spacing w:val="1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80" w:type="dxa"/>
            <w:vMerge w:val="continue"/>
            <w:vAlign w:val="center"/>
          </w:tcPr>
          <w:p>
            <w:pPr>
              <w:pStyle w:val="60"/>
              <w:shd w:val="clear" w:color="auto"/>
              <w:spacing w:line="360" w:lineRule="auto"/>
              <w:ind w:left="107"/>
              <w:jc w:val="both"/>
              <w:rPr>
                <w:rFonts w:hint="eastAsia" w:ascii="宋体" w:hAnsi="宋体" w:eastAsia="宋体" w:cs="宋体"/>
                <w:bCs/>
                <w:color w:val="auto"/>
                <w:spacing w:val="27"/>
                <w:highlight w:val="none"/>
              </w:rPr>
            </w:pPr>
          </w:p>
        </w:tc>
        <w:tc>
          <w:tcPr>
            <w:tcW w:w="1355" w:type="dxa"/>
            <w:gridSpan w:val="2"/>
            <w:vAlign w:val="center"/>
          </w:tcPr>
          <w:p>
            <w:pPr>
              <w:pStyle w:val="60"/>
              <w:shd w:val="clear" w:color="auto"/>
              <w:spacing w:line="360" w:lineRule="auto"/>
              <w:jc w:val="both"/>
              <w:rPr>
                <w:rFonts w:hint="eastAsia" w:ascii="宋体" w:hAnsi="宋体" w:eastAsia="宋体" w:cs="宋体"/>
                <w:bCs/>
                <w:color w:val="auto"/>
                <w:spacing w:val="16"/>
                <w:highlight w:val="none"/>
              </w:rPr>
            </w:pPr>
            <w:r>
              <w:rPr>
                <w:rFonts w:hint="eastAsia" w:ascii="宋体" w:hAnsi="宋体" w:eastAsia="宋体" w:cs="宋体"/>
                <w:bCs/>
                <w:color w:val="auto"/>
                <w:spacing w:val="10"/>
                <w:highlight w:val="none"/>
              </w:rPr>
              <w:t>企业获得专利情况</w:t>
            </w:r>
          </w:p>
        </w:tc>
        <w:tc>
          <w:tcPr>
            <w:tcW w:w="6578" w:type="dxa"/>
            <w:gridSpan w:val="8"/>
            <w:vAlign w:val="center"/>
          </w:tcPr>
          <w:p>
            <w:pPr>
              <w:pStyle w:val="60"/>
              <w:shd w:val="clear" w:color="auto"/>
              <w:spacing w:line="360" w:lineRule="auto"/>
              <w:jc w:val="both"/>
              <w:rPr>
                <w:rFonts w:hint="eastAsia" w:ascii="宋体" w:hAnsi="宋体" w:eastAsia="宋体" w:cs="宋体"/>
                <w:bCs/>
                <w:color w:val="auto"/>
                <w:spacing w:val="16"/>
                <w:highlight w:val="none"/>
              </w:rPr>
            </w:pPr>
          </w:p>
        </w:tc>
      </w:tr>
    </w:tbl>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要求：</w:t>
      </w:r>
    </w:p>
    <w:p>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1.姓名栏必须将所有股东都统计在内，若非股份公司此行（第三行）无需填写；</w:t>
      </w:r>
    </w:p>
    <w:p>
      <w:pPr>
        <w:shd w:val="clear"/>
        <w:spacing w:line="360" w:lineRule="auto"/>
        <w:rPr>
          <w:rFonts w:hint="eastAsia" w:ascii="宋体" w:hAnsi="宋体" w:eastAsia="宋体" w:cs="宋体"/>
          <w:color w:val="auto"/>
          <w:sz w:val="24"/>
          <w:szCs w:val="32"/>
          <w:highlight w:val="none"/>
        </w:rPr>
      </w:pP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磋商供应商名称（盖章）：</w:t>
      </w:r>
      <w:r>
        <w:rPr>
          <w:rFonts w:hint="eastAsia" w:ascii="宋体" w:hAnsi="宋体" w:eastAsia="宋体" w:cs="宋体"/>
          <w:color w:val="auto"/>
          <w:sz w:val="24"/>
          <w:highlight w:val="none"/>
          <w:u w:val="single"/>
        </w:rPr>
        <w:t xml:space="preserve">                         </w:t>
      </w: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r>
        <w:rPr>
          <w:rFonts w:hint="eastAsia" w:ascii="宋体" w:hAnsi="宋体" w:eastAsia="宋体" w:cs="宋体"/>
          <w:color w:val="auto"/>
          <w:sz w:val="24"/>
          <w:highlight w:val="none"/>
          <w:u w:val="single"/>
        </w:rPr>
        <w:t xml:space="preserve">                   </w:t>
      </w: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9</w:t>
      </w:r>
    </w:p>
    <w:p>
      <w:pPr>
        <w:shd w:val="clear"/>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项目实施人员一览表（标段）</w:t>
      </w:r>
    </w:p>
    <w:p>
      <w:pPr>
        <w:shd w:val="clear"/>
        <w:spacing w:line="360" w:lineRule="auto"/>
        <w:jc w:val="center"/>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（主要从业人员及其技术资格）</w:t>
      </w:r>
    </w:p>
    <w:tbl>
      <w:tblPr>
        <w:tblStyle w:val="30"/>
        <w:tblW w:w="889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hint="eastAsia" w:ascii="宋体" w:hAnsi="宋体" w:eastAsia="宋体" w:cs="宋体"/>
                <w:b/>
                <w:bCs/>
                <w:color w:val="auto"/>
                <w:sz w:val="24"/>
                <w:szCs w:val="20"/>
                <w:highlight w:val="none"/>
              </w:rPr>
            </w:pPr>
            <w:r>
              <w:rPr>
                <w:rFonts w:hint="eastAsia" w:ascii="宋体" w:hAnsi="宋体" w:eastAsia="宋体" w:cs="宋体"/>
                <w:b/>
                <w:bCs/>
                <w:color w:val="auto"/>
                <w:sz w:val="24"/>
                <w:highlight w:val="none"/>
              </w:rPr>
              <w:t>参加本单位工作时间</w:t>
            </w:r>
          </w:p>
        </w:tc>
        <w:tc>
          <w:tcPr>
            <w:tcW w:w="2126" w:type="dxa"/>
            <w:tcBorders>
              <w:top w:val="single" w:color="auto" w:sz="4" w:space="0"/>
              <w:left w:val="single" w:color="auto" w:sz="4" w:space="0"/>
              <w:bottom w:val="single" w:color="auto" w:sz="4" w:space="0"/>
              <w:right w:val="single" w:color="auto" w:sz="4" w:space="0"/>
            </w:tcBorders>
            <w:vAlign w:val="center"/>
          </w:tcPr>
          <w:p>
            <w:pPr>
              <w:shd w:val="clear"/>
              <w:snapToGrid w:val="0"/>
              <w:spacing w:before="158" w:beforeLines="50" w:after="50" w:line="360" w:lineRule="auto"/>
              <w:jc w:val="center"/>
              <w:rPr>
                <w:rFonts w:hint="eastAsia" w:ascii="宋体" w:hAnsi="宋体" w:eastAsia="宋体" w:cs="宋体"/>
                <w:b/>
                <w:bCs/>
                <w:color w:val="auto"/>
                <w:sz w:val="24"/>
                <w:szCs w:val="20"/>
                <w:highlight w:val="none"/>
              </w:rPr>
            </w:pPr>
            <w:r>
              <w:rPr>
                <w:rFonts w:hint="eastAsia" w:ascii="宋体" w:hAnsi="宋体" w:eastAsia="宋体" w:cs="宋体"/>
                <w:b/>
                <w:color w:val="auto"/>
                <w:sz w:val="24"/>
                <w:highlight w:val="none"/>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pStyle w:val="18"/>
              <w:shd w:val="clear"/>
              <w:snapToGrid w:val="0"/>
              <w:spacing w:before="158" w:beforeLines="50" w:after="50" w:line="360" w:lineRule="auto"/>
              <w:ind w:left="5250"/>
              <w:rPr>
                <w:rFonts w:hint="eastAsia" w:ascii="宋体" w:hAnsi="宋体" w:eastAsia="宋体" w:cs="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vAlign w:val="top"/>
          </w:tcPr>
          <w:p>
            <w:pPr>
              <w:pStyle w:val="18"/>
              <w:shd w:val="clear"/>
              <w:snapToGrid w:val="0"/>
              <w:spacing w:before="158" w:beforeLines="50" w:after="50" w:line="360" w:lineRule="auto"/>
              <w:ind w:left="5250"/>
              <w:rPr>
                <w:rFonts w:hint="eastAsia" w:ascii="宋体" w:hAnsi="宋体" w:eastAsia="宋体" w:cs="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top"/>
          </w:tcPr>
          <w:p>
            <w:pPr>
              <w:pStyle w:val="18"/>
              <w:shd w:val="clear"/>
              <w:spacing w:line="360" w:lineRule="auto"/>
              <w:ind w:left="5250"/>
              <w:rPr>
                <w:rFonts w:hint="eastAsia" w:ascii="宋体" w:hAnsi="宋体" w:eastAsia="宋体" w:cs="宋体"/>
                <w:color w:val="auto"/>
                <w:sz w:val="24"/>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color w:val="auto"/>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461"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color w:val="auto"/>
                <w:sz w:val="24"/>
                <w:szCs w:val="20"/>
                <w:highlight w:val="none"/>
              </w:rPr>
            </w:pPr>
          </w:p>
        </w:tc>
        <w:tc>
          <w:tcPr>
            <w:tcW w:w="543"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c>
          <w:tcPr>
            <w:tcW w:w="1418"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c>
          <w:tcPr>
            <w:tcW w:w="2126" w:type="dxa"/>
            <w:tcBorders>
              <w:top w:val="single" w:color="auto" w:sz="4" w:space="0"/>
              <w:left w:val="single" w:color="auto" w:sz="4" w:space="0"/>
              <w:bottom w:val="single" w:color="auto" w:sz="4" w:space="0"/>
              <w:right w:val="single" w:color="auto" w:sz="4" w:space="0"/>
            </w:tcBorders>
            <w:vAlign w:val="top"/>
          </w:tcPr>
          <w:p>
            <w:pPr>
              <w:shd w:val="clear"/>
              <w:snapToGrid w:val="0"/>
              <w:spacing w:before="158" w:beforeLines="50" w:after="50" w:line="360" w:lineRule="auto"/>
              <w:rPr>
                <w:rFonts w:hint="eastAsia" w:ascii="宋体" w:hAnsi="宋体" w:eastAsia="宋体" w:cs="宋体"/>
                <w:b/>
                <w:color w:val="auto"/>
                <w:kern w:val="44"/>
                <w:sz w:val="24"/>
                <w:szCs w:val="20"/>
                <w:highlight w:val="none"/>
              </w:rPr>
            </w:pPr>
          </w:p>
        </w:tc>
      </w:tr>
    </w:tbl>
    <w:p>
      <w:pPr>
        <w:shd w:val="clear"/>
        <w:spacing w:line="360" w:lineRule="auto"/>
        <w:jc w:val="left"/>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要求：</w:t>
      </w:r>
    </w:p>
    <w:p>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1.在填写时，如本表格不适合供应商的实际情况，可根据本表格式自行划表填写。</w:t>
      </w:r>
    </w:p>
    <w:p>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2.附人员证书复印件；</w:t>
      </w:r>
    </w:p>
    <w:p>
      <w:pPr>
        <w:shd w:val="clear"/>
        <w:spacing w:line="360" w:lineRule="auto"/>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　　3.出具上述人员在本单位服务的外部证明，如：投标截止日之前六个月以内的代缴个税税单、参加社会保险的《投保单》或《社会保险参保人员证明》等。</w:t>
      </w: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磋商供应商名称（盖章）：</w:t>
      </w:r>
      <w:r>
        <w:rPr>
          <w:rFonts w:hint="eastAsia" w:ascii="宋体" w:hAnsi="宋体" w:eastAsia="宋体" w:cs="宋体"/>
          <w:color w:val="auto"/>
          <w:sz w:val="24"/>
          <w:highlight w:val="none"/>
          <w:u w:val="single"/>
        </w:rPr>
        <w:t xml:space="preserve">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r>
        <w:rPr>
          <w:rFonts w:hint="eastAsia" w:ascii="宋体" w:hAnsi="宋体" w:eastAsia="宋体" w:cs="宋体"/>
          <w:color w:val="auto"/>
          <w:sz w:val="24"/>
          <w:highlight w:val="none"/>
          <w:u w:val="single"/>
        </w:rPr>
        <w:t xml:space="preserve">                   </w:t>
      </w:r>
    </w:p>
    <w:p>
      <w:pPr>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pPr>
        <w:shd w:val="clear"/>
        <w:spacing w:line="360" w:lineRule="auto"/>
        <w:jc w:val="left"/>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lang w:val="en-US" w:eastAsia="zh-CN"/>
        </w:rPr>
        <w:t>10</w:t>
      </w:r>
    </w:p>
    <w:p>
      <w:pPr>
        <w:shd w:val="clear"/>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证书一览表</w:t>
      </w:r>
    </w:p>
    <w:p>
      <w:pPr>
        <w:shd w:val="clear"/>
        <w:spacing w:line="360" w:lineRule="auto"/>
        <w:jc w:val="left"/>
        <w:rPr>
          <w:rFonts w:hint="eastAsia" w:ascii="宋体" w:hAnsi="宋体" w:eastAsia="宋体" w:cs="宋体"/>
          <w:b/>
          <w:bCs/>
          <w:color w:val="auto"/>
          <w:sz w:val="24"/>
          <w:szCs w:val="32"/>
          <w:highlight w:val="none"/>
          <w:lang w:val="zh-CN"/>
        </w:rPr>
      </w:pPr>
    </w:p>
    <w:tbl>
      <w:tblPr>
        <w:tblStyle w:val="30"/>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vAlign w:val="top"/>
          </w:tcPr>
          <w:p>
            <w:pPr>
              <w:pStyle w:val="64"/>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证书名称</w:t>
            </w:r>
          </w:p>
        </w:tc>
        <w:tc>
          <w:tcPr>
            <w:tcW w:w="2258" w:type="dxa"/>
            <w:tcBorders>
              <w:top w:val="double" w:color="auto" w:sz="4" w:space="0"/>
            </w:tcBorders>
            <w:vAlign w:val="top"/>
          </w:tcPr>
          <w:p>
            <w:pPr>
              <w:pStyle w:val="64"/>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发证单位</w:t>
            </w:r>
          </w:p>
        </w:tc>
        <w:tc>
          <w:tcPr>
            <w:tcW w:w="2260" w:type="dxa"/>
            <w:tcBorders>
              <w:top w:val="double" w:color="auto" w:sz="4" w:space="0"/>
            </w:tcBorders>
            <w:vAlign w:val="top"/>
          </w:tcPr>
          <w:p>
            <w:pPr>
              <w:pStyle w:val="64"/>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证书等级</w:t>
            </w:r>
          </w:p>
        </w:tc>
        <w:tc>
          <w:tcPr>
            <w:tcW w:w="2047" w:type="dxa"/>
            <w:tcBorders>
              <w:top w:val="double" w:color="auto" w:sz="4" w:space="0"/>
              <w:right w:val="single" w:color="auto" w:sz="4" w:space="0"/>
            </w:tcBorders>
            <w:vAlign w:val="top"/>
          </w:tcPr>
          <w:p>
            <w:pPr>
              <w:pStyle w:val="64"/>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top"/>
          </w:tcPr>
          <w:p>
            <w:pPr>
              <w:pStyle w:val="64"/>
              <w:shd w:val="clear"/>
              <w:spacing w:line="360" w:lineRule="auto"/>
              <w:jc w:val="center"/>
              <w:rPr>
                <w:rFonts w:hint="eastAsia" w:ascii="宋体" w:hAnsi="宋体" w:eastAsia="宋体" w:cs="宋体"/>
                <w:color w:val="auto"/>
                <w:szCs w:val="21"/>
                <w:highlight w:val="none"/>
              </w:rPr>
            </w:pPr>
          </w:p>
        </w:tc>
        <w:tc>
          <w:tcPr>
            <w:tcW w:w="2258" w:type="dxa"/>
            <w:vAlign w:val="top"/>
          </w:tcPr>
          <w:p>
            <w:pPr>
              <w:pStyle w:val="64"/>
              <w:shd w:val="clear"/>
              <w:spacing w:line="360" w:lineRule="auto"/>
              <w:jc w:val="center"/>
              <w:rPr>
                <w:rFonts w:hint="eastAsia" w:ascii="宋体" w:hAnsi="宋体" w:eastAsia="宋体" w:cs="宋体"/>
                <w:color w:val="auto"/>
                <w:szCs w:val="21"/>
                <w:highlight w:val="none"/>
              </w:rPr>
            </w:pPr>
          </w:p>
        </w:tc>
        <w:tc>
          <w:tcPr>
            <w:tcW w:w="2260" w:type="dxa"/>
            <w:vAlign w:val="top"/>
          </w:tcPr>
          <w:p>
            <w:pPr>
              <w:pStyle w:val="64"/>
              <w:shd w:val="clear"/>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vAlign w:val="top"/>
          </w:tcPr>
          <w:p>
            <w:pPr>
              <w:pStyle w:val="64"/>
              <w:shd w:val="clear"/>
              <w:spacing w:line="360" w:lineRule="auto"/>
              <w:jc w:val="center"/>
              <w:rPr>
                <w:rFonts w:hint="eastAsia" w:ascii="宋体" w:hAnsi="宋体" w:eastAsia="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top"/>
          </w:tcPr>
          <w:p>
            <w:pPr>
              <w:pStyle w:val="64"/>
              <w:shd w:val="clear"/>
              <w:spacing w:line="360" w:lineRule="auto"/>
              <w:jc w:val="center"/>
              <w:rPr>
                <w:rFonts w:hint="eastAsia" w:ascii="宋体" w:hAnsi="宋体" w:eastAsia="宋体" w:cs="宋体"/>
                <w:color w:val="auto"/>
                <w:szCs w:val="21"/>
                <w:highlight w:val="none"/>
              </w:rPr>
            </w:pPr>
          </w:p>
        </w:tc>
        <w:tc>
          <w:tcPr>
            <w:tcW w:w="2258" w:type="dxa"/>
            <w:vAlign w:val="top"/>
          </w:tcPr>
          <w:p>
            <w:pPr>
              <w:pStyle w:val="64"/>
              <w:shd w:val="clear"/>
              <w:spacing w:line="360" w:lineRule="auto"/>
              <w:jc w:val="center"/>
              <w:rPr>
                <w:rFonts w:hint="eastAsia" w:ascii="宋体" w:hAnsi="宋体" w:eastAsia="宋体" w:cs="宋体"/>
                <w:color w:val="auto"/>
                <w:szCs w:val="21"/>
                <w:highlight w:val="none"/>
              </w:rPr>
            </w:pPr>
          </w:p>
        </w:tc>
        <w:tc>
          <w:tcPr>
            <w:tcW w:w="2260" w:type="dxa"/>
            <w:vAlign w:val="top"/>
          </w:tcPr>
          <w:p>
            <w:pPr>
              <w:pStyle w:val="64"/>
              <w:shd w:val="clear"/>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vAlign w:val="top"/>
          </w:tcPr>
          <w:p>
            <w:pPr>
              <w:pStyle w:val="64"/>
              <w:shd w:val="clear"/>
              <w:spacing w:line="360" w:lineRule="auto"/>
              <w:jc w:val="center"/>
              <w:rPr>
                <w:rFonts w:hint="eastAsia" w:ascii="宋体" w:hAnsi="宋体" w:eastAsia="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top"/>
          </w:tcPr>
          <w:p>
            <w:pPr>
              <w:pStyle w:val="64"/>
              <w:shd w:val="clear"/>
              <w:spacing w:line="360" w:lineRule="auto"/>
              <w:jc w:val="center"/>
              <w:rPr>
                <w:rFonts w:hint="eastAsia" w:ascii="宋体" w:hAnsi="宋体" w:eastAsia="宋体" w:cs="宋体"/>
                <w:color w:val="auto"/>
                <w:szCs w:val="21"/>
                <w:highlight w:val="none"/>
              </w:rPr>
            </w:pPr>
          </w:p>
        </w:tc>
        <w:tc>
          <w:tcPr>
            <w:tcW w:w="2258" w:type="dxa"/>
            <w:vAlign w:val="top"/>
          </w:tcPr>
          <w:p>
            <w:pPr>
              <w:pStyle w:val="64"/>
              <w:shd w:val="clear"/>
              <w:spacing w:line="360" w:lineRule="auto"/>
              <w:jc w:val="center"/>
              <w:rPr>
                <w:rFonts w:hint="eastAsia" w:ascii="宋体" w:hAnsi="宋体" w:eastAsia="宋体" w:cs="宋体"/>
                <w:color w:val="auto"/>
                <w:szCs w:val="21"/>
                <w:highlight w:val="none"/>
              </w:rPr>
            </w:pPr>
          </w:p>
        </w:tc>
        <w:tc>
          <w:tcPr>
            <w:tcW w:w="2260" w:type="dxa"/>
            <w:vAlign w:val="top"/>
          </w:tcPr>
          <w:p>
            <w:pPr>
              <w:pStyle w:val="64"/>
              <w:shd w:val="clear"/>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vAlign w:val="top"/>
          </w:tcPr>
          <w:p>
            <w:pPr>
              <w:pStyle w:val="64"/>
              <w:shd w:val="clear"/>
              <w:spacing w:line="360" w:lineRule="auto"/>
              <w:jc w:val="center"/>
              <w:rPr>
                <w:rFonts w:hint="eastAsia" w:ascii="宋体" w:hAnsi="宋体" w:eastAsia="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top"/>
          </w:tcPr>
          <w:p>
            <w:pPr>
              <w:pStyle w:val="64"/>
              <w:shd w:val="clear"/>
              <w:spacing w:line="360" w:lineRule="auto"/>
              <w:jc w:val="center"/>
              <w:rPr>
                <w:rFonts w:hint="eastAsia" w:ascii="宋体" w:hAnsi="宋体" w:eastAsia="宋体" w:cs="宋体"/>
                <w:color w:val="auto"/>
                <w:szCs w:val="21"/>
                <w:highlight w:val="none"/>
              </w:rPr>
            </w:pPr>
          </w:p>
        </w:tc>
        <w:tc>
          <w:tcPr>
            <w:tcW w:w="2258" w:type="dxa"/>
            <w:vAlign w:val="top"/>
          </w:tcPr>
          <w:p>
            <w:pPr>
              <w:pStyle w:val="64"/>
              <w:shd w:val="clear"/>
              <w:spacing w:line="360" w:lineRule="auto"/>
              <w:jc w:val="center"/>
              <w:rPr>
                <w:rFonts w:hint="eastAsia" w:ascii="宋体" w:hAnsi="宋体" w:eastAsia="宋体" w:cs="宋体"/>
                <w:color w:val="auto"/>
                <w:szCs w:val="21"/>
                <w:highlight w:val="none"/>
              </w:rPr>
            </w:pPr>
          </w:p>
        </w:tc>
        <w:tc>
          <w:tcPr>
            <w:tcW w:w="2260" w:type="dxa"/>
            <w:vAlign w:val="top"/>
          </w:tcPr>
          <w:p>
            <w:pPr>
              <w:pStyle w:val="64"/>
              <w:shd w:val="clear"/>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vAlign w:val="top"/>
          </w:tcPr>
          <w:p>
            <w:pPr>
              <w:pStyle w:val="64"/>
              <w:shd w:val="clear"/>
              <w:spacing w:line="360" w:lineRule="auto"/>
              <w:jc w:val="center"/>
              <w:rPr>
                <w:rFonts w:hint="eastAsia" w:ascii="宋体" w:hAnsi="宋体" w:eastAsia="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top"/>
          </w:tcPr>
          <w:p>
            <w:pPr>
              <w:pStyle w:val="64"/>
              <w:shd w:val="clear"/>
              <w:spacing w:line="360" w:lineRule="auto"/>
              <w:jc w:val="center"/>
              <w:rPr>
                <w:rFonts w:hint="eastAsia" w:ascii="宋体" w:hAnsi="宋体" w:eastAsia="宋体" w:cs="宋体"/>
                <w:color w:val="auto"/>
                <w:szCs w:val="21"/>
                <w:highlight w:val="none"/>
              </w:rPr>
            </w:pPr>
          </w:p>
        </w:tc>
        <w:tc>
          <w:tcPr>
            <w:tcW w:w="2258" w:type="dxa"/>
            <w:vAlign w:val="top"/>
          </w:tcPr>
          <w:p>
            <w:pPr>
              <w:pStyle w:val="64"/>
              <w:shd w:val="clear"/>
              <w:spacing w:line="360" w:lineRule="auto"/>
              <w:jc w:val="center"/>
              <w:rPr>
                <w:rFonts w:hint="eastAsia" w:ascii="宋体" w:hAnsi="宋体" w:eastAsia="宋体" w:cs="宋体"/>
                <w:color w:val="auto"/>
                <w:szCs w:val="21"/>
                <w:highlight w:val="none"/>
              </w:rPr>
            </w:pPr>
          </w:p>
        </w:tc>
        <w:tc>
          <w:tcPr>
            <w:tcW w:w="2260" w:type="dxa"/>
            <w:vAlign w:val="top"/>
          </w:tcPr>
          <w:p>
            <w:pPr>
              <w:pStyle w:val="64"/>
              <w:shd w:val="clear"/>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vAlign w:val="top"/>
          </w:tcPr>
          <w:p>
            <w:pPr>
              <w:pStyle w:val="64"/>
              <w:shd w:val="clear"/>
              <w:spacing w:line="360" w:lineRule="auto"/>
              <w:jc w:val="center"/>
              <w:rPr>
                <w:rFonts w:hint="eastAsia" w:ascii="宋体" w:hAnsi="宋体" w:eastAsia="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vAlign w:val="top"/>
          </w:tcPr>
          <w:p>
            <w:pPr>
              <w:pStyle w:val="64"/>
              <w:shd w:val="clear"/>
              <w:spacing w:line="360" w:lineRule="auto"/>
              <w:jc w:val="center"/>
              <w:rPr>
                <w:rFonts w:hint="eastAsia" w:ascii="宋体" w:hAnsi="宋体" w:eastAsia="宋体" w:cs="宋体"/>
                <w:color w:val="auto"/>
                <w:szCs w:val="21"/>
                <w:highlight w:val="none"/>
              </w:rPr>
            </w:pPr>
          </w:p>
        </w:tc>
        <w:tc>
          <w:tcPr>
            <w:tcW w:w="2258" w:type="dxa"/>
            <w:vAlign w:val="top"/>
          </w:tcPr>
          <w:p>
            <w:pPr>
              <w:pStyle w:val="64"/>
              <w:shd w:val="clear"/>
              <w:spacing w:line="360" w:lineRule="auto"/>
              <w:jc w:val="center"/>
              <w:rPr>
                <w:rFonts w:hint="eastAsia" w:ascii="宋体" w:hAnsi="宋体" w:eastAsia="宋体" w:cs="宋体"/>
                <w:color w:val="auto"/>
                <w:szCs w:val="21"/>
                <w:highlight w:val="none"/>
              </w:rPr>
            </w:pPr>
          </w:p>
        </w:tc>
        <w:tc>
          <w:tcPr>
            <w:tcW w:w="2260" w:type="dxa"/>
            <w:vAlign w:val="top"/>
          </w:tcPr>
          <w:p>
            <w:pPr>
              <w:pStyle w:val="64"/>
              <w:shd w:val="clear"/>
              <w:spacing w:line="360" w:lineRule="auto"/>
              <w:jc w:val="center"/>
              <w:rPr>
                <w:rFonts w:hint="eastAsia" w:ascii="宋体" w:hAnsi="宋体" w:eastAsia="宋体" w:cs="宋体"/>
                <w:color w:val="auto"/>
                <w:szCs w:val="21"/>
                <w:highlight w:val="none"/>
              </w:rPr>
            </w:pPr>
          </w:p>
        </w:tc>
        <w:tc>
          <w:tcPr>
            <w:tcW w:w="2047" w:type="dxa"/>
            <w:tcBorders>
              <w:right w:val="single" w:color="auto" w:sz="4" w:space="0"/>
            </w:tcBorders>
            <w:vAlign w:val="top"/>
          </w:tcPr>
          <w:p>
            <w:pPr>
              <w:pStyle w:val="64"/>
              <w:shd w:val="clear"/>
              <w:spacing w:line="360" w:lineRule="auto"/>
              <w:jc w:val="center"/>
              <w:rPr>
                <w:rFonts w:hint="eastAsia" w:ascii="宋体" w:hAnsi="宋体" w:eastAsia="宋体" w:cs="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vAlign w:val="top"/>
          </w:tcPr>
          <w:p>
            <w:pPr>
              <w:pStyle w:val="64"/>
              <w:shd w:val="clear"/>
              <w:spacing w:line="360" w:lineRule="auto"/>
              <w:jc w:val="center"/>
              <w:rPr>
                <w:rFonts w:hint="eastAsia" w:ascii="宋体" w:hAnsi="宋体" w:eastAsia="宋体" w:cs="宋体"/>
                <w:color w:val="auto"/>
                <w:szCs w:val="21"/>
                <w:highlight w:val="none"/>
              </w:rPr>
            </w:pPr>
          </w:p>
        </w:tc>
        <w:tc>
          <w:tcPr>
            <w:tcW w:w="2258" w:type="dxa"/>
            <w:tcBorders>
              <w:bottom w:val="double" w:color="auto" w:sz="4" w:space="0"/>
            </w:tcBorders>
            <w:vAlign w:val="top"/>
          </w:tcPr>
          <w:p>
            <w:pPr>
              <w:pStyle w:val="64"/>
              <w:shd w:val="clear"/>
              <w:spacing w:line="360" w:lineRule="auto"/>
              <w:jc w:val="center"/>
              <w:rPr>
                <w:rFonts w:hint="eastAsia" w:ascii="宋体" w:hAnsi="宋体" w:eastAsia="宋体" w:cs="宋体"/>
                <w:color w:val="auto"/>
                <w:szCs w:val="21"/>
                <w:highlight w:val="none"/>
              </w:rPr>
            </w:pPr>
          </w:p>
        </w:tc>
        <w:tc>
          <w:tcPr>
            <w:tcW w:w="2260" w:type="dxa"/>
            <w:tcBorders>
              <w:bottom w:val="double" w:color="auto" w:sz="4" w:space="0"/>
            </w:tcBorders>
            <w:vAlign w:val="top"/>
          </w:tcPr>
          <w:p>
            <w:pPr>
              <w:pStyle w:val="64"/>
              <w:shd w:val="clear"/>
              <w:spacing w:line="360" w:lineRule="auto"/>
              <w:jc w:val="center"/>
              <w:rPr>
                <w:rFonts w:hint="eastAsia" w:ascii="宋体" w:hAnsi="宋体" w:eastAsia="宋体" w:cs="宋体"/>
                <w:color w:val="auto"/>
                <w:szCs w:val="21"/>
                <w:highlight w:val="none"/>
              </w:rPr>
            </w:pPr>
          </w:p>
        </w:tc>
        <w:tc>
          <w:tcPr>
            <w:tcW w:w="2047" w:type="dxa"/>
            <w:tcBorders>
              <w:bottom w:val="double" w:color="auto" w:sz="4" w:space="0"/>
              <w:right w:val="single" w:color="auto" w:sz="4" w:space="0"/>
            </w:tcBorders>
            <w:vAlign w:val="top"/>
          </w:tcPr>
          <w:p>
            <w:pPr>
              <w:pStyle w:val="64"/>
              <w:shd w:val="clear"/>
              <w:spacing w:line="360" w:lineRule="auto"/>
              <w:jc w:val="center"/>
              <w:rPr>
                <w:rFonts w:hint="eastAsia" w:ascii="宋体" w:hAnsi="宋体" w:eastAsia="宋体" w:cs="宋体"/>
                <w:color w:val="auto"/>
                <w:szCs w:val="21"/>
                <w:highlight w:val="none"/>
              </w:rPr>
            </w:pPr>
          </w:p>
        </w:tc>
      </w:tr>
    </w:tbl>
    <w:p>
      <w:pPr>
        <w:shd w:val="clear"/>
        <w:spacing w:line="360" w:lineRule="auto"/>
        <w:jc w:val="left"/>
        <w:rPr>
          <w:rFonts w:hint="eastAsia" w:ascii="宋体" w:hAnsi="宋体" w:eastAsia="宋体" w:cs="宋体"/>
          <w:b/>
          <w:bCs/>
          <w:color w:val="auto"/>
          <w:sz w:val="24"/>
          <w:szCs w:val="32"/>
          <w:highlight w:val="none"/>
          <w:lang w:val="zh-CN"/>
        </w:rPr>
      </w:pPr>
    </w:p>
    <w:p>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要求：</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1.填写供应商获得资质、认证或企业信誉证书；</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2.附所列证书复印件或其他证明材料。</w:t>
      </w:r>
    </w:p>
    <w:p>
      <w:pPr>
        <w:shd w:val="clear"/>
        <w:spacing w:line="360" w:lineRule="auto"/>
        <w:jc w:val="left"/>
        <w:rPr>
          <w:rFonts w:hint="eastAsia" w:ascii="宋体" w:hAnsi="宋体" w:eastAsia="宋体" w:cs="宋体"/>
          <w:b/>
          <w:bCs/>
          <w:color w:val="auto"/>
          <w:sz w:val="24"/>
          <w:szCs w:val="32"/>
          <w:highlight w:val="none"/>
          <w:lang w:val="zh-CN"/>
        </w:rPr>
      </w:pPr>
    </w:p>
    <w:p>
      <w:pPr>
        <w:shd w:val="clear"/>
        <w:spacing w:line="360" w:lineRule="auto"/>
        <w:jc w:val="left"/>
        <w:rPr>
          <w:rFonts w:hint="eastAsia" w:ascii="宋体" w:hAnsi="宋体" w:eastAsia="宋体" w:cs="宋体"/>
          <w:b/>
          <w:bCs/>
          <w:color w:val="auto"/>
          <w:sz w:val="24"/>
          <w:szCs w:val="32"/>
          <w:highlight w:val="none"/>
          <w:lang w:val="zh-CN"/>
        </w:rPr>
      </w:pPr>
    </w:p>
    <w:p>
      <w:pPr>
        <w:shd w:val="clear"/>
        <w:spacing w:line="360" w:lineRule="auto"/>
        <w:jc w:val="left"/>
        <w:rPr>
          <w:rFonts w:hint="eastAsia" w:ascii="宋体" w:hAnsi="宋体" w:eastAsia="宋体" w:cs="宋体"/>
          <w:b/>
          <w:bCs/>
          <w:color w:val="auto"/>
          <w:sz w:val="24"/>
          <w:szCs w:val="32"/>
          <w:highlight w:val="none"/>
          <w:lang w:val="zh-CN"/>
        </w:rPr>
      </w:pP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磋商供应商名称（盖章）：</w:t>
      </w:r>
      <w:r>
        <w:rPr>
          <w:rFonts w:hint="eastAsia" w:ascii="宋体" w:hAnsi="宋体" w:eastAsia="宋体" w:cs="宋体"/>
          <w:color w:val="auto"/>
          <w:sz w:val="24"/>
          <w:highlight w:val="none"/>
          <w:u w:val="single"/>
        </w:rPr>
        <w:t xml:space="preserve">                         </w:t>
      </w: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r>
        <w:rPr>
          <w:rFonts w:hint="eastAsia" w:ascii="宋体" w:hAnsi="宋体" w:eastAsia="宋体" w:cs="宋体"/>
          <w:color w:val="auto"/>
          <w:sz w:val="24"/>
          <w:highlight w:val="none"/>
          <w:u w:val="single"/>
        </w:rPr>
        <w:t xml:space="preserve">                   </w:t>
      </w: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pPr>
        <w:shd w:val="clear"/>
        <w:spacing w:line="360" w:lineRule="auto"/>
        <w:rPr>
          <w:rFonts w:hint="eastAsia" w:ascii="宋体" w:hAnsi="宋体" w:eastAsia="宋体" w:cs="宋体"/>
          <w:b/>
          <w:bCs/>
          <w:color w:val="auto"/>
          <w:sz w:val="24"/>
          <w:highlight w:val="none"/>
        </w:rPr>
      </w:pPr>
    </w:p>
    <w:p>
      <w:pPr>
        <w:shd w:val="clear"/>
        <w:spacing w:line="360" w:lineRule="auto"/>
        <w:rPr>
          <w:rFonts w:hint="eastAsia" w:ascii="宋体" w:hAnsi="宋体" w:eastAsia="宋体" w:cs="宋体"/>
          <w:b/>
          <w:bCs/>
          <w:color w:val="auto"/>
          <w:sz w:val="24"/>
          <w:highlight w:val="none"/>
        </w:rPr>
      </w:pPr>
    </w:p>
    <w:p>
      <w:pPr>
        <w:shd w:val="clear"/>
        <w:spacing w:line="360" w:lineRule="auto"/>
        <w:rPr>
          <w:rFonts w:hint="eastAsia" w:ascii="宋体" w:hAnsi="宋体" w:eastAsia="宋体" w:cs="宋体"/>
          <w:b/>
          <w:bCs/>
          <w:color w:val="auto"/>
          <w:sz w:val="24"/>
          <w:highlight w:val="none"/>
        </w:rPr>
      </w:pPr>
    </w:p>
    <w:p>
      <w:pPr>
        <w:shd w:val="clear"/>
        <w:spacing w:line="360" w:lineRule="auto"/>
        <w:rPr>
          <w:rFonts w:hint="eastAsia" w:ascii="宋体" w:hAnsi="宋体" w:eastAsia="宋体" w:cs="宋体"/>
          <w:b/>
          <w:bCs/>
          <w:color w:val="auto"/>
          <w:sz w:val="24"/>
          <w:highlight w:val="none"/>
        </w:rPr>
      </w:pPr>
    </w:p>
    <w:p>
      <w:pPr>
        <w:shd w:val="clear"/>
        <w:spacing w:line="360" w:lineRule="auto"/>
        <w:rPr>
          <w:rFonts w:hint="eastAsia" w:ascii="宋体" w:hAnsi="宋体" w:eastAsia="宋体" w:cs="宋体"/>
          <w:b/>
          <w:bCs/>
          <w:color w:val="auto"/>
          <w:sz w:val="24"/>
          <w:highlight w:val="none"/>
        </w:rPr>
      </w:pPr>
    </w:p>
    <w:p>
      <w:pPr>
        <w:shd w:val="clear"/>
        <w:spacing w:line="360" w:lineRule="auto"/>
        <w:rPr>
          <w:rFonts w:hint="eastAsia" w:ascii="宋体" w:hAnsi="宋体" w:eastAsia="宋体" w:cs="宋体"/>
          <w:b/>
          <w:bCs/>
          <w:color w:val="auto"/>
          <w:sz w:val="24"/>
          <w:highlight w:val="none"/>
        </w:rPr>
      </w:pPr>
    </w:p>
    <w:p>
      <w:pPr>
        <w:shd w:val="clear"/>
        <w:spacing w:line="360" w:lineRule="auto"/>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1</w:t>
      </w:r>
    </w:p>
    <w:p>
      <w:pPr>
        <w:shd w:val="clear"/>
        <w:spacing w:before="158" w:beforeLines="50" w:after="158" w:afterLines="50" w:line="360" w:lineRule="auto"/>
        <w:ind w:right="-1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项目负责人资格情况表</w:t>
      </w:r>
    </w:p>
    <w:p>
      <w:pPr>
        <w:shd w:val="clear"/>
        <w:spacing w:line="360" w:lineRule="auto"/>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采购项目：                                        采购编号：</w:t>
      </w:r>
    </w:p>
    <w:tbl>
      <w:tblPr>
        <w:tblStyle w:val="30"/>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12"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4"/>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4"/>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注：业绩证明应提供旁证材料</w:t>
            </w:r>
          </w:p>
          <w:p>
            <w:pPr>
              <w:shd w:val="clear"/>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1974" w:type="dxa"/>
            <w:tcBorders>
              <w:top w:val="single" w:color="auto" w:sz="4" w:space="0"/>
              <w:left w:val="single" w:color="auto" w:sz="12"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shd w:val="clear"/>
              <w:jc w:val="center"/>
              <w:rPr>
                <w:rFonts w:hint="eastAsia" w:ascii="宋体" w:hAnsi="宋体" w:eastAsia="宋体" w:cs="宋体"/>
                <w:b/>
                <w:bCs/>
                <w:color w:val="auto"/>
                <w:sz w:val="24"/>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shd w:val="clear"/>
              <w:jc w:val="center"/>
              <w:rPr>
                <w:rFonts w:hint="eastAsia" w:ascii="宋体" w:hAnsi="宋体" w:eastAsia="宋体" w:cs="宋体"/>
                <w:b/>
                <w:bCs/>
                <w:color w:val="auto"/>
                <w:sz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974" w:type="dxa"/>
            <w:tcBorders>
              <w:top w:val="single" w:color="auto" w:sz="4" w:space="0"/>
              <w:left w:val="single" w:color="auto" w:sz="12" w:space="0"/>
              <w:bottom w:val="single" w:color="auto" w:sz="12" w:space="0"/>
              <w:right w:val="single" w:color="auto" w:sz="4" w:space="0"/>
            </w:tcBorders>
            <w:vAlign w:val="center"/>
          </w:tcPr>
          <w:p>
            <w:pPr>
              <w:shd w:val="clear"/>
              <w:jc w:val="center"/>
              <w:rPr>
                <w:rFonts w:hint="eastAsia" w:ascii="宋体" w:hAnsi="宋体" w:eastAsia="宋体" w:cs="宋体"/>
                <w:b/>
                <w:bCs/>
                <w:color w:val="auto"/>
                <w:sz w:val="24"/>
                <w:highlight w:val="none"/>
                <w:lang w:val="zh-CN"/>
              </w:rPr>
            </w:pPr>
            <w:r>
              <w:rPr>
                <w:rFonts w:hint="eastAsia" w:ascii="宋体" w:hAnsi="宋体" w:eastAsia="宋体" w:cs="宋体"/>
                <w:b/>
                <w:bCs/>
                <w:color w:val="auto"/>
                <w:sz w:val="24"/>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shd w:val="clear"/>
              <w:jc w:val="center"/>
              <w:rPr>
                <w:rFonts w:hint="eastAsia" w:ascii="宋体" w:hAnsi="宋体" w:eastAsia="宋体" w:cs="宋体"/>
                <w:b/>
                <w:bCs/>
                <w:color w:val="auto"/>
                <w:sz w:val="24"/>
                <w:highlight w:val="none"/>
                <w:lang w:val="zh-CN"/>
              </w:rPr>
            </w:pPr>
          </w:p>
        </w:tc>
      </w:tr>
    </w:tbl>
    <w:p>
      <w:pPr>
        <w:shd w:val="clear"/>
        <w:spacing w:line="360" w:lineRule="auto"/>
        <w:rPr>
          <w:rFonts w:hint="eastAsia" w:ascii="宋体" w:hAnsi="宋体" w:eastAsia="宋体" w:cs="宋体"/>
          <w:color w:val="auto"/>
          <w:sz w:val="24"/>
          <w:highlight w:val="none"/>
        </w:rPr>
      </w:pP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磋商供应商名称（盖章）：</w:t>
      </w:r>
      <w:r>
        <w:rPr>
          <w:rFonts w:hint="eastAsia" w:ascii="宋体" w:hAnsi="宋体" w:eastAsia="宋体" w:cs="宋体"/>
          <w:color w:val="auto"/>
          <w:sz w:val="24"/>
          <w:highlight w:val="none"/>
          <w:u w:val="single"/>
        </w:rPr>
        <w:t xml:space="preserve">                         </w:t>
      </w: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r>
        <w:rPr>
          <w:rFonts w:hint="eastAsia" w:ascii="宋体" w:hAnsi="宋体" w:eastAsia="宋体" w:cs="宋体"/>
          <w:color w:val="auto"/>
          <w:sz w:val="24"/>
          <w:highlight w:val="none"/>
          <w:u w:val="single"/>
        </w:rPr>
        <w:t xml:space="preserve">                   </w:t>
      </w: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jc w:val="left"/>
        <w:rPr>
          <w:rFonts w:hint="eastAsia" w:ascii="宋体" w:hAnsi="宋体" w:eastAsia="宋体" w:cs="宋体"/>
          <w:b/>
          <w:bCs/>
          <w:color w:val="auto"/>
          <w:sz w:val="28"/>
          <w:szCs w:val="36"/>
          <w:highlight w:val="none"/>
          <w:lang w:eastAsia="zh-CN"/>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rPr>
        <w:t>1</w:t>
      </w:r>
      <w:r>
        <w:rPr>
          <w:rFonts w:hint="eastAsia" w:ascii="宋体" w:hAnsi="宋体" w:eastAsia="宋体" w:cs="宋体"/>
          <w:b/>
          <w:bCs/>
          <w:color w:val="auto"/>
          <w:sz w:val="28"/>
          <w:szCs w:val="36"/>
          <w:highlight w:val="none"/>
          <w:lang w:val="en-US" w:eastAsia="zh-CN"/>
        </w:rPr>
        <w:t>2</w:t>
      </w:r>
    </w:p>
    <w:p>
      <w:pPr>
        <w:shd w:val="clear"/>
        <w:spacing w:line="360" w:lineRule="auto"/>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商务及技术响应表</w:t>
      </w:r>
    </w:p>
    <w:p>
      <w:pPr>
        <w:shd w:val="clear"/>
        <w:spacing w:line="360" w:lineRule="auto"/>
        <w:rPr>
          <w:rFonts w:hint="eastAsia" w:ascii="宋体" w:hAnsi="宋体" w:eastAsia="宋体" w:cs="宋体"/>
          <w:color w:val="auto"/>
          <w:sz w:val="24"/>
          <w:highlight w:val="none"/>
        </w:rPr>
      </w:pPr>
    </w:p>
    <w:tbl>
      <w:tblPr>
        <w:tblStyle w:val="30"/>
        <w:tblW w:w="87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02"/>
        <w:gridCol w:w="1831"/>
        <w:gridCol w:w="2160"/>
        <w:gridCol w:w="2127"/>
        <w:gridCol w:w="14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类别</w:t>
            </w:r>
          </w:p>
        </w:tc>
        <w:tc>
          <w:tcPr>
            <w:tcW w:w="1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内容</w:t>
            </w:r>
          </w:p>
        </w:tc>
        <w:tc>
          <w:tcPr>
            <w:tcW w:w="21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磋商文件要求</w:t>
            </w:r>
          </w:p>
        </w:tc>
        <w:tc>
          <w:tcPr>
            <w:tcW w:w="212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磋商响应文件响应</w:t>
            </w:r>
          </w:p>
        </w:tc>
        <w:tc>
          <w:tcPr>
            <w:tcW w:w="147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2" w:type="dxa"/>
            <w:vMerge w:val="restart"/>
            <w:tcBorders>
              <w:top w:val="single" w:color="auto" w:sz="4" w:space="0"/>
              <w:left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商务响应情况</w:t>
            </w:r>
          </w:p>
        </w:tc>
        <w:tc>
          <w:tcPr>
            <w:tcW w:w="1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付款方式</w:t>
            </w:r>
          </w:p>
        </w:tc>
        <w:tc>
          <w:tcPr>
            <w:tcW w:w="21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2" w:type="dxa"/>
            <w:vMerge w:val="continue"/>
            <w:tcBorders>
              <w:left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完成时间</w:t>
            </w:r>
          </w:p>
        </w:tc>
        <w:tc>
          <w:tcPr>
            <w:tcW w:w="21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2" w:type="dxa"/>
            <w:vMerge w:val="continue"/>
            <w:tcBorders>
              <w:left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2" w:type="dxa"/>
            <w:vMerge w:val="continue"/>
            <w:tcBorders>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1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2" w:type="dxa"/>
            <w:vMerge w:val="restart"/>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技术响应情况</w:t>
            </w:r>
          </w:p>
        </w:tc>
        <w:tc>
          <w:tcPr>
            <w:tcW w:w="1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202" w:type="dxa"/>
            <w:vMerge w:val="continue"/>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c>
          <w:tcPr>
            <w:tcW w:w="1831"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c>
          <w:tcPr>
            <w:tcW w:w="2160"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c>
          <w:tcPr>
            <w:tcW w:w="2127"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c>
          <w:tcPr>
            <w:tcW w:w="1472" w:type="dxa"/>
            <w:tcBorders>
              <w:top w:val="single" w:color="auto" w:sz="4" w:space="0"/>
              <w:left w:val="single" w:color="auto" w:sz="4" w:space="0"/>
              <w:bottom w:val="single" w:color="auto" w:sz="4" w:space="0"/>
              <w:right w:val="single" w:color="auto" w:sz="4" w:space="0"/>
            </w:tcBorders>
            <w:vAlign w:val="center"/>
          </w:tcPr>
          <w:p>
            <w:pPr>
              <w:shd w:val="clear"/>
              <w:spacing w:line="360" w:lineRule="auto"/>
              <w:jc w:val="center"/>
              <w:rPr>
                <w:rFonts w:hint="eastAsia" w:ascii="宋体" w:hAnsi="宋体" w:eastAsia="宋体" w:cs="宋体"/>
                <w:color w:val="auto"/>
                <w:sz w:val="24"/>
                <w:highlight w:val="none"/>
              </w:rPr>
            </w:pPr>
          </w:p>
        </w:tc>
      </w:tr>
    </w:tbl>
    <w:p>
      <w:pPr>
        <w:shd w:val="clear"/>
        <w:spacing w:line="360" w:lineRule="auto"/>
        <w:rPr>
          <w:rFonts w:hint="eastAsia" w:ascii="宋体" w:hAnsi="宋体" w:eastAsia="宋体" w:cs="宋体"/>
          <w:color w:val="auto"/>
          <w:sz w:val="24"/>
          <w:highlight w:val="none"/>
        </w:rPr>
      </w:pP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磋商供应商名称（盖章）：</w:t>
      </w:r>
      <w:r>
        <w:rPr>
          <w:rFonts w:hint="eastAsia" w:ascii="宋体" w:hAnsi="宋体" w:eastAsia="宋体" w:cs="宋体"/>
          <w:color w:val="auto"/>
          <w:sz w:val="24"/>
          <w:highlight w:val="none"/>
          <w:u w:val="single"/>
        </w:rPr>
        <w:t xml:space="preserve">                         </w:t>
      </w: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r>
        <w:rPr>
          <w:rFonts w:hint="eastAsia" w:ascii="宋体" w:hAnsi="宋体" w:eastAsia="宋体" w:cs="宋体"/>
          <w:color w:val="auto"/>
          <w:sz w:val="24"/>
          <w:highlight w:val="none"/>
          <w:u w:val="single"/>
        </w:rPr>
        <w:t xml:space="preserve">                   </w:t>
      </w: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pPr>
        <w:shd w:val="clear"/>
        <w:spacing w:line="360" w:lineRule="auto"/>
        <w:rPr>
          <w:rFonts w:hint="eastAsia" w:ascii="宋体" w:hAnsi="宋体" w:eastAsia="宋体" w:cs="宋体"/>
          <w:color w:val="auto"/>
          <w:sz w:val="24"/>
          <w:highlight w:val="none"/>
        </w:rPr>
      </w:pPr>
    </w:p>
    <w:p>
      <w:pPr>
        <w:shd w:val="clear"/>
        <w:spacing w:line="360" w:lineRule="auto"/>
        <w:rPr>
          <w:rFonts w:hint="eastAsia" w:ascii="宋体" w:hAnsi="宋体" w:eastAsia="宋体" w:cs="宋体"/>
          <w:color w:val="auto"/>
          <w:sz w:val="24"/>
          <w:highlight w:val="none"/>
        </w:rPr>
      </w:pPr>
    </w:p>
    <w:p>
      <w:pPr>
        <w:shd w:val="clear"/>
        <w:spacing w:line="360" w:lineRule="auto"/>
        <w:rPr>
          <w:rFonts w:hint="eastAsia" w:ascii="宋体" w:hAnsi="宋体" w:eastAsia="宋体" w:cs="宋体"/>
          <w:color w:val="auto"/>
          <w:sz w:val="24"/>
          <w:highlight w:val="none"/>
        </w:rPr>
      </w:pPr>
    </w:p>
    <w:p>
      <w:pPr>
        <w:shd w:val="clear"/>
        <w:spacing w:line="360" w:lineRule="auto"/>
        <w:rPr>
          <w:rFonts w:hint="eastAsia" w:ascii="宋体" w:hAnsi="宋体" w:eastAsia="宋体" w:cs="宋体"/>
          <w:color w:val="auto"/>
          <w:sz w:val="24"/>
          <w:highlight w:val="none"/>
        </w:rPr>
      </w:pPr>
    </w:p>
    <w:p>
      <w:pPr>
        <w:shd w:val="clear"/>
        <w:spacing w:line="360" w:lineRule="auto"/>
        <w:rPr>
          <w:rFonts w:hint="eastAsia" w:ascii="宋体" w:hAnsi="宋体" w:eastAsia="宋体" w:cs="宋体"/>
          <w:color w:val="auto"/>
          <w:sz w:val="24"/>
          <w:highlight w:val="none"/>
        </w:rPr>
      </w:pPr>
    </w:p>
    <w:p>
      <w:pPr>
        <w:shd w:val="clear"/>
        <w:spacing w:line="360" w:lineRule="auto"/>
        <w:rPr>
          <w:rFonts w:hint="eastAsia" w:ascii="宋体" w:hAnsi="宋体" w:eastAsia="宋体" w:cs="宋体"/>
          <w:color w:val="auto"/>
          <w:sz w:val="24"/>
          <w:highlight w:val="none"/>
        </w:rPr>
      </w:pPr>
    </w:p>
    <w:p>
      <w:pPr>
        <w:shd w:val="clear"/>
        <w:spacing w:line="360" w:lineRule="auto"/>
        <w:rPr>
          <w:rFonts w:hint="eastAsia" w:ascii="宋体" w:hAnsi="宋体" w:eastAsia="宋体" w:cs="宋体"/>
          <w:color w:val="auto"/>
          <w:sz w:val="24"/>
          <w:highlight w:val="none"/>
        </w:rPr>
      </w:pPr>
    </w:p>
    <w:p>
      <w:pPr>
        <w:shd w:val="clear"/>
        <w:spacing w:line="360" w:lineRule="auto"/>
        <w:jc w:val="left"/>
        <w:rPr>
          <w:rFonts w:hint="eastAsia" w:ascii="宋体" w:hAnsi="宋体" w:eastAsia="宋体" w:cs="宋体"/>
          <w:b/>
          <w:bCs/>
          <w:color w:val="auto"/>
          <w:sz w:val="28"/>
          <w:szCs w:val="36"/>
          <w:highlight w:val="none"/>
          <w:lang w:eastAsia="zh-CN"/>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rPr>
        <w:t>1</w:t>
      </w:r>
      <w:r>
        <w:rPr>
          <w:rFonts w:hint="eastAsia" w:ascii="宋体" w:hAnsi="宋体" w:eastAsia="宋体" w:cs="宋体"/>
          <w:b/>
          <w:bCs/>
          <w:color w:val="auto"/>
          <w:sz w:val="28"/>
          <w:szCs w:val="36"/>
          <w:highlight w:val="none"/>
          <w:lang w:val="en-US" w:eastAsia="zh-CN"/>
        </w:rPr>
        <w:t>3</w:t>
      </w:r>
    </w:p>
    <w:p>
      <w:pPr>
        <w:shd w:val="clear"/>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供应商类似项目实施情况一览表</w:t>
      </w:r>
    </w:p>
    <w:p>
      <w:pPr>
        <w:shd w:val="clear"/>
        <w:spacing w:line="360" w:lineRule="auto"/>
        <w:rPr>
          <w:rFonts w:hint="eastAsia" w:ascii="宋体" w:hAnsi="宋体" w:eastAsia="宋体" w:cs="宋体"/>
          <w:b/>
          <w:bCs/>
          <w:color w:val="auto"/>
          <w:sz w:val="24"/>
          <w:highlight w:val="none"/>
        </w:rPr>
      </w:pPr>
    </w:p>
    <w:tbl>
      <w:tblPr>
        <w:tblStyle w:val="30"/>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63"/>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63"/>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63"/>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63"/>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63"/>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63"/>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63"/>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vAlign w:val="top"/>
          </w:tcPr>
          <w:p>
            <w:pPr>
              <w:pStyle w:val="63"/>
              <w:shd w:val="clear"/>
              <w:spacing w:line="360" w:lineRule="auto"/>
              <w:rPr>
                <w:rFonts w:hint="eastAsia" w:ascii="宋体" w:hAnsi="宋体" w:eastAsia="宋体" w:cs="宋体"/>
                <w:color w:val="auto"/>
                <w:sz w:val="24"/>
                <w:highlight w:val="none"/>
              </w:rPr>
            </w:pPr>
          </w:p>
        </w:tc>
      </w:tr>
    </w:tbl>
    <w:p>
      <w:pPr>
        <w:shd w:val="clea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要求：</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1.业绩证明应提供证明材料（合同复印件可只提供首页、含金额页、盖章页并加盖供应商公章）；</w:t>
      </w:r>
    </w:p>
    <w:p>
      <w:pPr>
        <w:shd w:val="clea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2.供应商可按此表格式复制。</w:t>
      </w:r>
    </w:p>
    <w:p>
      <w:pPr>
        <w:shd w:val="clear"/>
        <w:spacing w:line="360" w:lineRule="auto"/>
        <w:ind w:firstLine="480" w:firstLineChars="200"/>
        <w:rPr>
          <w:rFonts w:hint="eastAsia" w:ascii="宋体" w:hAnsi="宋体" w:eastAsia="宋体" w:cs="宋体"/>
          <w:color w:val="auto"/>
          <w:sz w:val="24"/>
          <w:highlight w:val="none"/>
        </w:rPr>
      </w:pPr>
    </w:p>
    <w:p>
      <w:pPr>
        <w:shd w:val="clear"/>
        <w:spacing w:line="360" w:lineRule="auto"/>
        <w:ind w:firstLine="480" w:firstLineChars="200"/>
        <w:rPr>
          <w:rFonts w:hint="eastAsia" w:ascii="宋体" w:hAnsi="宋体" w:eastAsia="宋体" w:cs="宋体"/>
          <w:color w:val="auto"/>
          <w:sz w:val="24"/>
          <w:highlight w:val="none"/>
        </w:rPr>
      </w:pP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磋商供应商名称（盖章）：</w:t>
      </w:r>
      <w:r>
        <w:rPr>
          <w:rFonts w:hint="eastAsia" w:ascii="宋体" w:hAnsi="宋体" w:eastAsia="宋体" w:cs="宋体"/>
          <w:color w:val="auto"/>
          <w:sz w:val="24"/>
          <w:highlight w:val="none"/>
          <w:u w:val="single"/>
        </w:rPr>
        <w:t xml:space="preserve">                         </w:t>
      </w: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r>
        <w:rPr>
          <w:rFonts w:hint="eastAsia" w:ascii="宋体" w:hAnsi="宋体" w:eastAsia="宋体" w:cs="宋体"/>
          <w:color w:val="auto"/>
          <w:sz w:val="24"/>
          <w:highlight w:val="none"/>
          <w:u w:val="single"/>
        </w:rPr>
        <w:t xml:space="preserve">                   </w:t>
      </w: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pPr>
        <w:shd w:val="clear"/>
        <w:spacing w:line="360" w:lineRule="auto"/>
        <w:ind w:firstLine="480" w:firstLineChars="200"/>
        <w:rPr>
          <w:rFonts w:hint="eastAsia" w:ascii="宋体" w:hAnsi="宋体" w:eastAsia="宋体" w:cs="宋体"/>
          <w:color w:val="auto"/>
          <w:sz w:val="24"/>
          <w:highlight w:val="none"/>
        </w:rPr>
      </w:pPr>
    </w:p>
    <w:p>
      <w:pPr>
        <w:shd w:val="clear"/>
        <w:spacing w:line="360" w:lineRule="auto"/>
        <w:ind w:firstLine="480" w:firstLineChars="200"/>
        <w:rPr>
          <w:rFonts w:hint="eastAsia" w:ascii="宋体" w:hAnsi="宋体" w:eastAsia="宋体" w:cs="宋体"/>
          <w:color w:val="auto"/>
          <w:sz w:val="24"/>
          <w:highlight w:val="none"/>
        </w:rPr>
      </w:pPr>
    </w:p>
    <w:p>
      <w:pPr>
        <w:shd w:val="clear"/>
        <w:spacing w:line="360" w:lineRule="auto"/>
        <w:ind w:firstLine="480" w:firstLineChars="200"/>
        <w:rPr>
          <w:rFonts w:hint="eastAsia" w:ascii="宋体" w:hAnsi="宋体" w:eastAsia="宋体" w:cs="宋体"/>
          <w:color w:val="auto"/>
          <w:sz w:val="24"/>
          <w:highlight w:val="none"/>
        </w:rPr>
      </w:pPr>
    </w:p>
    <w:p>
      <w:pPr>
        <w:shd w:val="clear"/>
        <w:spacing w:line="360" w:lineRule="auto"/>
        <w:ind w:firstLine="480" w:firstLineChars="200"/>
        <w:rPr>
          <w:rFonts w:hint="eastAsia" w:ascii="宋体" w:hAnsi="宋体" w:eastAsia="宋体" w:cs="宋体"/>
          <w:color w:val="auto"/>
          <w:sz w:val="24"/>
          <w:highlight w:val="none"/>
        </w:rPr>
      </w:pPr>
    </w:p>
    <w:p>
      <w:pPr>
        <w:shd w:val="clear"/>
        <w:spacing w:line="360" w:lineRule="auto"/>
        <w:ind w:firstLine="480" w:firstLineChars="200"/>
        <w:rPr>
          <w:rFonts w:hint="eastAsia" w:ascii="宋体" w:hAnsi="宋体" w:eastAsia="宋体" w:cs="宋体"/>
          <w:color w:val="auto"/>
          <w:sz w:val="24"/>
          <w:highlight w:val="none"/>
        </w:rPr>
      </w:pPr>
    </w:p>
    <w:p>
      <w:pPr>
        <w:shd w:val="clear"/>
        <w:spacing w:line="360" w:lineRule="auto"/>
        <w:jc w:val="left"/>
        <w:rPr>
          <w:rFonts w:hint="eastAsia" w:ascii="宋体" w:hAnsi="宋体" w:eastAsia="宋体" w:cs="宋体"/>
          <w:b/>
          <w:bCs/>
          <w:color w:val="auto"/>
          <w:sz w:val="28"/>
          <w:szCs w:val="36"/>
          <w:highlight w:val="none"/>
          <w:lang w:val="en-US" w:eastAsia="zh-CN"/>
        </w:rPr>
      </w:pPr>
      <w:r>
        <w:rPr>
          <w:rFonts w:hint="eastAsia" w:ascii="宋体" w:hAnsi="宋体" w:eastAsia="宋体" w:cs="宋体"/>
          <w:b/>
          <w:bCs/>
          <w:color w:val="auto"/>
          <w:sz w:val="28"/>
          <w:szCs w:val="36"/>
          <w:highlight w:val="none"/>
          <w:lang w:val="zh-CN"/>
        </w:rPr>
        <w:t>附件</w:t>
      </w:r>
      <w:r>
        <w:rPr>
          <w:rFonts w:hint="eastAsia" w:ascii="宋体" w:hAnsi="宋体" w:eastAsia="宋体" w:cs="宋体"/>
          <w:b/>
          <w:bCs/>
          <w:color w:val="auto"/>
          <w:sz w:val="28"/>
          <w:szCs w:val="36"/>
          <w:highlight w:val="none"/>
        </w:rPr>
        <w:t>1</w:t>
      </w:r>
      <w:r>
        <w:rPr>
          <w:rFonts w:hint="eastAsia" w:ascii="宋体" w:hAnsi="宋体" w:eastAsia="宋体" w:cs="宋体"/>
          <w:b/>
          <w:bCs/>
          <w:color w:val="auto"/>
          <w:sz w:val="28"/>
          <w:szCs w:val="36"/>
          <w:highlight w:val="none"/>
          <w:lang w:val="en-US" w:eastAsia="zh-CN"/>
        </w:rPr>
        <w:t>4</w:t>
      </w:r>
    </w:p>
    <w:p>
      <w:pPr>
        <w:shd w:val="clear"/>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售后服务情况表</w:t>
      </w:r>
    </w:p>
    <w:p>
      <w:pPr>
        <w:shd w:val="clear"/>
        <w:spacing w:line="360" w:lineRule="auto"/>
        <w:rPr>
          <w:rFonts w:hint="eastAsia" w:ascii="宋体" w:hAnsi="宋体" w:eastAsia="宋体" w:cs="宋体"/>
          <w:b/>
          <w:color w:val="auto"/>
          <w:sz w:val="24"/>
          <w:highlight w:val="none"/>
        </w:rPr>
      </w:pPr>
    </w:p>
    <w:tbl>
      <w:tblPr>
        <w:tblStyle w:val="30"/>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9" w:type="dxa"/>
            <w:vAlign w:val="center"/>
          </w:tcPr>
          <w:p>
            <w:pPr>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2355" w:type="dxa"/>
            <w:vAlign w:val="center"/>
          </w:tcPr>
          <w:p>
            <w:pPr>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项目</w:t>
            </w:r>
          </w:p>
        </w:tc>
        <w:tc>
          <w:tcPr>
            <w:tcW w:w="4061" w:type="dxa"/>
            <w:vAlign w:val="center"/>
          </w:tcPr>
          <w:p>
            <w:pPr>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磋商供应商承诺</w:t>
            </w:r>
          </w:p>
        </w:tc>
        <w:tc>
          <w:tcPr>
            <w:tcW w:w="1373" w:type="dxa"/>
            <w:vAlign w:val="center"/>
          </w:tcPr>
          <w:p>
            <w:pPr>
              <w:shd w:val="clear"/>
              <w:spacing w:line="360" w:lineRule="auto"/>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32" w:hRule="atLeast"/>
          <w:jc w:val="center"/>
        </w:trPr>
        <w:tc>
          <w:tcPr>
            <w:tcW w:w="739" w:type="dxa"/>
            <w:vAlign w:val="center"/>
          </w:tcPr>
          <w:p>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2355" w:type="dxa"/>
            <w:vAlign w:val="center"/>
          </w:tcPr>
          <w:p>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售后服务情况（服务方式、服务网点、售后服务的内容和措施等等，可用附页和宣传材料）</w:t>
            </w:r>
          </w:p>
        </w:tc>
        <w:tc>
          <w:tcPr>
            <w:tcW w:w="4061" w:type="dxa"/>
            <w:vAlign w:val="center"/>
          </w:tcPr>
          <w:p>
            <w:pPr>
              <w:shd w:val="clear"/>
              <w:spacing w:line="360" w:lineRule="auto"/>
              <w:jc w:val="center"/>
              <w:rPr>
                <w:rFonts w:hint="eastAsia" w:ascii="宋体" w:hAnsi="宋体" w:eastAsia="宋体" w:cs="宋体"/>
                <w:color w:val="auto"/>
                <w:sz w:val="24"/>
                <w:highlight w:val="none"/>
              </w:rPr>
            </w:pPr>
          </w:p>
        </w:tc>
        <w:tc>
          <w:tcPr>
            <w:tcW w:w="1373" w:type="dxa"/>
            <w:vAlign w:val="center"/>
          </w:tcPr>
          <w:p>
            <w:pPr>
              <w:shd w:val="clea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9" w:type="dxa"/>
            <w:vAlign w:val="center"/>
          </w:tcPr>
          <w:p>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2355" w:type="dxa"/>
            <w:vAlign w:val="center"/>
          </w:tcPr>
          <w:p>
            <w:pPr>
              <w:shd w:val="clear"/>
              <w:spacing w:line="360" w:lineRule="auto"/>
              <w:jc w:val="center"/>
              <w:rPr>
                <w:rFonts w:hint="eastAsia" w:ascii="宋体" w:hAnsi="宋体" w:eastAsia="宋体" w:cs="宋体"/>
                <w:color w:val="auto"/>
                <w:sz w:val="24"/>
                <w:highlight w:val="none"/>
              </w:rPr>
            </w:pPr>
          </w:p>
        </w:tc>
        <w:tc>
          <w:tcPr>
            <w:tcW w:w="4061" w:type="dxa"/>
            <w:vAlign w:val="center"/>
          </w:tcPr>
          <w:p>
            <w:pPr>
              <w:shd w:val="clear"/>
              <w:spacing w:line="360" w:lineRule="auto"/>
              <w:jc w:val="center"/>
              <w:rPr>
                <w:rFonts w:hint="eastAsia" w:ascii="宋体" w:hAnsi="宋体" w:eastAsia="宋体" w:cs="宋体"/>
                <w:color w:val="auto"/>
                <w:sz w:val="24"/>
                <w:highlight w:val="none"/>
              </w:rPr>
            </w:pPr>
          </w:p>
          <w:p>
            <w:pPr>
              <w:shd w:val="clear"/>
              <w:spacing w:line="360" w:lineRule="auto"/>
              <w:jc w:val="center"/>
              <w:rPr>
                <w:rFonts w:hint="eastAsia" w:ascii="宋体" w:hAnsi="宋体" w:eastAsia="宋体" w:cs="宋体"/>
                <w:color w:val="auto"/>
                <w:sz w:val="24"/>
                <w:highlight w:val="none"/>
              </w:rPr>
            </w:pPr>
          </w:p>
          <w:p>
            <w:pPr>
              <w:shd w:val="clear"/>
              <w:spacing w:line="360" w:lineRule="auto"/>
              <w:jc w:val="center"/>
              <w:rPr>
                <w:rFonts w:hint="eastAsia" w:ascii="宋体" w:hAnsi="宋体" w:eastAsia="宋体" w:cs="宋体"/>
                <w:color w:val="auto"/>
                <w:sz w:val="24"/>
                <w:highlight w:val="none"/>
              </w:rPr>
            </w:pPr>
          </w:p>
        </w:tc>
        <w:tc>
          <w:tcPr>
            <w:tcW w:w="1373" w:type="dxa"/>
            <w:vAlign w:val="center"/>
          </w:tcPr>
          <w:p>
            <w:pPr>
              <w:shd w:val="clear"/>
              <w:spacing w:line="360" w:lineRule="auto"/>
              <w:jc w:val="center"/>
              <w:rPr>
                <w:rFonts w:hint="eastAsia" w:ascii="宋体" w:hAnsi="宋体" w:eastAsia="宋体" w:cs="宋体"/>
                <w:color w:val="auto"/>
                <w:sz w:val="24"/>
                <w:highlight w:val="none"/>
              </w:rPr>
            </w:pPr>
          </w:p>
          <w:p>
            <w:pPr>
              <w:shd w:val="clear"/>
              <w:spacing w:line="360" w:lineRule="auto"/>
              <w:jc w:val="center"/>
              <w:rPr>
                <w:rFonts w:hint="eastAsia" w:ascii="宋体" w:hAnsi="宋体" w:eastAsia="宋体" w:cs="宋体"/>
                <w:color w:val="auto"/>
                <w:sz w:val="24"/>
                <w:highlight w:val="none"/>
              </w:rPr>
            </w:pPr>
          </w:p>
          <w:p>
            <w:pPr>
              <w:shd w:val="clea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9" w:type="dxa"/>
            <w:vAlign w:val="center"/>
          </w:tcPr>
          <w:p>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2355" w:type="dxa"/>
            <w:vAlign w:val="center"/>
          </w:tcPr>
          <w:p>
            <w:pPr>
              <w:shd w:val="clear"/>
              <w:spacing w:line="360" w:lineRule="auto"/>
              <w:jc w:val="center"/>
              <w:rPr>
                <w:rFonts w:hint="eastAsia" w:ascii="宋体" w:hAnsi="宋体" w:eastAsia="宋体" w:cs="宋体"/>
                <w:color w:val="auto"/>
                <w:sz w:val="24"/>
                <w:highlight w:val="none"/>
              </w:rPr>
            </w:pPr>
          </w:p>
        </w:tc>
        <w:tc>
          <w:tcPr>
            <w:tcW w:w="4061" w:type="dxa"/>
            <w:vAlign w:val="center"/>
          </w:tcPr>
          <w:p>
            <w:pPr>
              <w:shd w:val="clear"/>
              <w:spacing w:line="360" w:lineRule="auto"/>
              <w:jc w:val="center"/>
              <w:rPr>
                <w:rFonts w:hint="eastAsia" w:ascii="宋体" w:hAnsi="宋体" w:eastAsia="宋体" w:cs="宋体"/>
                <w:color w:val="auto"/>
                <w:sz w:val="24"/>
                <w:highlight w:val="none"/>
              </w:rPr>
            </w:pPr>
          </w:p>
          <w:p>
            <w:pPr>
              <w:shd w:val="clear"/>
              <w:spacing w:line="360" w:lineRule="auto"/>
              <w:jc w:val="center"/>
              <w:rPr>
                <w:rFonts w:hint="eastAsia" w:ascii="宋体" w:hAnsi="宋体" w:eastAsia="宋体" w:cs="宋体"/>
                <w:color w:val="auto"/>
                <w:sz w:val="24"/>
                <w:highlight w:val="none"/>
              </w:rPr>
            </w:pPr>
          </w:p>
        </w:tc>
        <w:tc>
          <w:tcPr>
            <w:tcW w:w="1373" w:type="dxa"/>
            <w:vAlign w:val="center"/>
          </w:tcPr>
          <w:p>
            <w:pPr>
              <w:shd w:val="clear"/>
              <w:spacing w:line="360" w:lineRule="auto"/>
              <w:jc w:val="center"/>
              <w:rPr>
                <w:rFonts w:hint="eastAsia" w:ascii="宋体" w:hAnsi="宋体" w:eastAsia="宋体" w:cs="宋体"/>
                <w:color w:val="auto"/>
                <w:sz w:val="24"/>
                <w:highlight w:val="none"/>
              </w:rPr>
            </w:pPr>
          </w:p>
          <w:p>
            <w:pPr>
              <w:shd w:val="clear"/>
              <w:spacing w:line="360" w:lineRule="auto"/>
              <w:jc w:val="center"/>
              <w:rPr>
                <w:rFonts w:hint="eastAsia" w:ascii="宋体" w:hAnsi="宋体" w:eastAsia="宋体" w:cs="宋体"/>
                <w:color w:val="auto"/>
                <w:sz w:val="24"/>
                <w:highlight w:val="none"/>
              </w:rPr>
            </w:pPr>
          </w:p>
          <w:p>
            <w:pPr>
              <w:shd w:val="clear"/>
              <w:spacing w:line="360" w:lineRule="auto"/>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jc w:val="center"/>
        </w:trPr>
        <w:tc>
          <w:tcPr>
            <w:tcW w:w="739" w:type="dxa"/>
            <w:vAlign w:val="center"/>
          </w:tcPr>
          <w:p>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2355" w:type="dxa"/>
            <w:vAlign w:val="center"/>
          </w:tcPr>
          <w:p>
            <w:pPr>
              <w:shd w:val="clea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4061" w:type="dxa"/>
            <w:vAlign w:val="center"/>
          </w:tcPr>
          <w:p>
            <w:pPr>
              <w:shd w:val="clear"/>
              <w:spacing w:line="360" w:lineRule="auto"/>
              <w:jc w:val="center"/>
              <w:rPr>
                <w:rFonts w:hint="eastAsia" w:ascii="宋体" w:hAnsi="宋体" w:eastAsia="宋体" w:cs="宋体"/>
                <w:color w:val="auto"/>
                <w:sz w:val="24"/>
                <w:highlight w:val="none"/>
              </w:rPr>
            </w:pPr>
          </w:p>
        </w:tc>
        <w:tc>
          <w:tcPr>
            <w:tcW w:w="1373" w:type="dxa"/>
            <w:vAlign w:val="center"/>
          </w:tcPr>
          <w:p>
            <w:pPr>
              <w:shd w:val="clear"/>
              <w:spacing w:line="360" w:lineRule="auto"/>
              <w:jc w:val="center"/>
              <w:rPr>
                <w:rFonts w:hint="eastAsia" w:ascii="宋体" w:hAnsi="宋体" w:eastAsia="宋体" w:cs="宋体"/>
                <w:color w:val="auto"/>
                <w:sz w:val="24"/>
                <w:highlight w:val="none"/>
              </w:rPr>
            </w:pPr>
          </w:p>
        </w:tc>
      </w:tr>
    </w:tbl>
    <w:p>
      <w:pPr>
        <w:shd w:val="clear"/>
        <w:spacing w:line="360" w:lineRule="auto"/>
        <w:rPr>
          <w:rFonts w:hint="eastAsia" w:ascii="宋体" w:hAnsi="宋体" w:eastAsia="宋体" w:cs="宋体"/>
          <w:b/>
          <w:color w:val="auto"/>
          <w:sz w:val="24"/>
          <w:highlight w:val="none"/>
        </w:rPr>
      </w:pP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磋商供应商名称（盖章）：</w:t>
      </w:r>
      <w:r>
        <w:rPr>
          <w:rFonts w:hint="eastAsia" w:ascii="宋体" w:hAnsi="宋体" w:eastAsia="宋体" w:cs="宋体"/>
          <w:color w:val="auto"/>
          <w:sz w:val="24"/>
          <w:highlight w:val="none"/>
          <w:u w:val="single"/>
        </w:rPr>
        <w:t xml:space="preserve">                         </w:t>
      </w: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r>
        <w:rPr>
          <w:rFonts w:hint="eastAsia" w:ascii="宋体" w:hAnsi="宋体" w:eastAsia="宋体" w:cs="宋体"/>
          <w:color w:val="auto"/>
          <w:sz w:val="24"/>
          <w:highlight w:val="none"/>
          <w:u w:val="single"/>
        </w:rPr>
        <w:t xml:space="preserve">                   </w:t>
      </w: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4"/>
          <w:highlight w:val="none"/>
        </w:rPr>
      </w:pPr>
    </w:p>
    <w:p>
      <w:pPr>
        <w:pStyle w:val="22"/>
        <w:shd w:val="clear"/>
        <w:rPr>
          <w:rFonts w:hint="eastAsia" w:ascii="宋体" w:hAnsi="宋体" w:eastAsia="宋体" w:cs="宋体"/>
          <w:b/>
          <w:color w:val="auto"/>
          <w:sz w:val="24"/>
          <w:highlight w:val="none"/>
        </w:rPr>
      </w:pPr>
    </w:p>
    <w:p>
      <w:pPr>
        <w:pStyle w:val="22"/>
        <w:shd w:val="clear"/>
        <w:rPr>
          <w:rFonts w:hint="eastAsia" w:ascii="宋体" w:hAnsi="宋体" w:eastAsia="宋体" w:cs="宋体"/>
          <w:b/>
          <w:color w:val="auto"/>
          <w:sz w:val="24"/>
          <w:highlight w:val="none"/>
        </w:rPr>
      </w:pPr>
    </w:p>
    <w:p>
      <w:pPr>
        <w:pStyle w:val="22"/>
        <w:shd w:val="clear"/>
        <w:rPr>
          <w:rFonts w:hint="eastAsia" w:ascii="宋体" w:hAnsi="宋体" w:eastAsia="宋体" w:cs="宋体"/>
          <w:b/>
          <w:color w:val="auto"/>
          <w:sz w:val="24"/>
          <w:highlight w:val="none"/>
        </w:rPr>
      </w:pPr>
    </w:p>
    <w:p>
      <w:pPr>
        <w:pStyle w:val="22"/>
        <w:shd w:val="clear"/>
        <w:rPr>
          <w:rFonts w:hint="eastAsia" w:ascii="宋体" w:hAnsi="宋体" w:eastAsia="宋体" w:cs="宋体"/>
          <w:b/>
          <w:color w:val="auto"/>
          <w:sz w:val="24"/>
          <w:highlight w:val="none"/>
        </w:rPr>
      </w:pPr>
    </w:p>
    <w:p>
      <w:pPr>
        <w:pStyle w:val="22"/>
        <w:shd w:val="clear"/>
        <w:rPr>
          <w:rFonts w:hint="eastAsia" w:ascii="宋体" w:hAnsi="宋体" w:eastAsia="宋体" w:cs="宋体"/>
          <w:b/>
          <w:color w:val="auto"/>
          <w:sz w:val="24"/>
          <w:highlight w:val="none"/>
        </w:rPr>
      </w:pPr>
    </w:p>
    <w:p>
      <w:pPr>
        <w:shd w:val="clear"/>
        <w:spacing w:line="360" w:lineRule="auto"/>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5</w:t>
      </w:r>
    </w:p>
    <w:p>
      <w:pPr>
        <w:shd w:val="clear"/>
        <w:spacing w:line="360" w:lineRule="auto"/>
        <w:jc w:val="center"/>
        <w:rPr>
          <w:rFonts w:hint="eastAsia" w:ascii="宋体" w:hAnsi="宋体" w:eastAsia="宋体" w:cs="宋体"/>
          <w:b/>
          <w:bCs/>
          <w:color w:val="auto"/>
          <w:sz w:val="32"/>
          <w:szCs w:val="40"/>
          <w:highlight w:val="none"/>
          <w:lang w:val="zh-CN"/>
        </w:rPr>
      </w:pPr>
      <w:r>
        <w:rPr>
          <w:rFonts w:hint="eastAsia" w:ascii="宋体" w:hAnsi="宋体" w:eastAsia="宋体" w:cs="宋体"/>
          <w:b/>
          <w:bCs/>
          <w:color w:val="auto"/>
          <w:sz w:val="32"/>
          <w:szCs w:val="40"/>
          <w:highlight w:val="none"/>
          <w:lang w:val="zh-CN"/>
        </w:rPr>
        <w:t>首次报价一览表</w:t>
      </w:r>
    </w:p>
    <w:p>
      <w:pPr>
        <w:shd w:val="clear"/>
        <w:spacing w:line="360" w:lineRule="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项目编号：</w:t>
      </w:r>
    </w:p>
    <w:p>
      <w:pPr>
        <w:shd w:val="clear"/>
        <w:spacing w:line="360" w:lineRule="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项目名称：                               [货币单位：人民币</w:t>
      </w:r>
      <w:r>
        <w:rPr>
          <w:rFonts w:hint="eastAsia" w:ascii="宋体" w:hAnsi="宋体" w:eastAsia="宋体" w:cs="宋体"/>
          <w:b/>
          <w:color w:val="auto"/>
          <w:sz w:val="24"/>
          <w:szCs w:val="22"/>
          <w:highlight w:val="none"/>
          <w:lang w:val="en-US" w:eastAsia="zh-CN"/>
        </w:rPr>
        <w:t>/</w:t>
      </w:r>
      <w:r>
        <w:rPr>
          <w:rFonts w:hint="eastAsia" w:ascii="宋体" w:hAnsi="宋体" w:eastAsia="宋体" w:cs="宋体"/>
          <w:b/>
          <w:color w:val="auto"/>
          <w:sz w:val="24"/>
          <w:szCs w:val="22"/>
          <w:highlight w:val="none"/>
        </w:rPr>
        <w:t>元]</w:t>
      </w:r>
    </w:p>
    <w:p>
      <w:pPr>
        <w:shd w:val="clear"/>
        <w:spacing w:line="360" w:lineRule="auto"/>
        <w:rPr>
          <w:rFonts w:hint="eastAsia" w:ascii="宋体" w:hAnsi="宋体" w:eastAsia="宋体" w:cs="宋体"/>
          <w:b/>
          <w:color w:val="auto"/>
          <w:sz w:val="24"/>
          <w:szCs w:val="22"/>
          <w:highlight w:val="none"/>
        </w:rPr>
      </w:pPr>
    </w:p>
    <w:tbl>
      <w:tblPr>
        <w:tblStyle w:val="30"/>
        <w:tblW w:w="86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94"/>
        <w:gridCol w:w="1349"/>
        <w:gridCol w:w="4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69" w:hRule="atLeast"/>
          <w:jc w:val="center"/>
        </w:trPr>
        <w:tc>
          <w:tcPr>
            <w:tcW w:w="2694" w:type="dxa"/>
            <w:vMerge w:val="restart"/>
            <w:vAlign w:val="center"/>
          </w:tcPr>
          <w:p>
            <w:pPr>
              <w:shd w:val="clear"/>
              <w:autoSpaceDE w:val="0"/>
              <w:autoSpaceDN w:val="0"/>
              <w:spacing w:line="360" w:lineRule="auto"/>
              <w:jc w:val="center"/>
              <w:textAlignment w:val="bottom"/>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投标总报价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元</w:t>
            </w:r>
            <w:r>
              <w:rPr>
                <w:rFonts w:hint="eastAsia" w:ascii="宋体" w:hAnsi="宋体" w:eastAsia="宋体" w:cs="宋体"/>
                <w:color w:val="auto"/>
                <w:sz w:val="24"/>
                <w:highlight w:val="none"/>
                <w:lang w:eastAsia="zh-CN"/>
              </w:rPr>
              <w:t>）</w:t>
            </w:r>
          </w:p>
        </w:tc>
        <w:tc>
          <w:tcPr>
            <w:tcW w:w="1349" w:type="dxa"/>
            <w:vAlign w:val="center"/>
          </w:tcPr>
          <w:p>
            <w:pPr>
              <w:shd w:val="clear"/>
              <w:autoSpaceDE w:val="0"/>
              <w:autoSpaceDN w:val="0"/>
              <w:spacing w:line="360" w:lineRule="auto"/>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大写</w:t>
            </w:r>
          </w:p>
        </w:tc>
        <w:tc>
          <w:tcPr>
            <w:tcW w:w="4629" w:type="dxa"/>
            <w:vAlign w:val="center"/>
          </w:tcPr>
          <w:p>
            <w:pPr>
              <w:shd w:val="clear"/>
              <w:autoSpaceDE w:val="0"/>
              <w:autoSpaceDN w:val="0"/>
              <w:spacing w:line="360" w:lineRule="auto"/>
              <w:jc w:val="center"/>
              <w:textAlignment w:val="bottom"/>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530" w:hRule="atLeast"/>
          <w:jc w:val="center"/>
        </w:trPr>
        <w:tc>
          <w:tcPr>
            <w:tcW w:w="2694" w:type="dxa"/>
            <w:vMerge w:val="continue"/>
            <w:vAlign w:val="center"/>
          </w:tcPr>
          <w:p>
            <w:pPr>
              <w:shd w:val="clear"/>
              <w:spacing w:line="360" w:lineRule="auto"/>
              <w:rPr>
                <w:rFonts w:hint="eastAsia" w:ascii="宋体" w:hAnsi="宋体" w:eastAsia="宋体" w:cs="宋体"/>
                <w:color w:val="auto"/>
                <w:sz w:val="24"/>
                <w:highlight w:val="none"/>
              </w:rPr>
            </w:pPr>
          </w:p>
        </w:tc>
        <w:tc>
          <w:tcPr>
            <w:tcW w:w="1349" w:type="dxa"/>
            <w:vAlign w:val="center"/>
          </w:tcPr>
          <w:p>
            <w:pPr>
              <w:shd w:val="clear"/>
              <w:autoSpaceDE w:val="0"/>
              <w:autoSpaceDN w:val="0"/>
              <w:spacing w:line="360" w:lineRule="auto"/>
              <w:jc w:val="center"/>
              <w:textAlignment w:val="bottom"/>
              <w:rPr>
                <w:rFonts w:hint="eastAsia" w:ascii="宋体" w:hAnsi="宋体" w:eastAsia="宋体" w:cs="宋体"/>
                <w:color w:val="auto"/>
                <w:sz w:val="24"/>
                <w:highlight w:val="none"/>
              </w:rPr>
            </w:pPr>
            <w:r>
              <w:rPr>
                <w:rFonts w:hint="eastAsia" w:ascii="宋体" w:hAnsi="宋体" w:eastAsia="宋体" w:cs="宋体"/>
                <w:color w:val="auto"/>
                <w:sz w:val="24"/>
                <w:highlight w:val="none"/>
              </w:rPr>
              <w:t>小写</w:t>
            </w:r>
          </w:p>
        </w:tc>
        <w:tc>
          <w:tcPr>
            <w:tcW w:w="4629" w:type="dxa"/>
            <w:vAlign w:val="center"/>
          </w:tcPr>
          <w:p>
            <w:pPr>
              <w:shd w:val="clear"/>
              <w:autoSpaceDE w:val="0"/>
              <w:autoSpaceDN w:val="0"/>
              <w:spacing w:line="360" w:lineRule="auto"/>
              <w:jc w:val="center"/>
              <w:textAlignment w:val="bottom"/>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70" w:hRule="atLeast"/>
          <w:jc w:val="center"/>
        </w:trPr>
        <w:tc>
          <w:tcPr>
            <w:tcW w:w="4043" w:type="dxa"/>
            <w:gridSpan w:val="2"/>
            <w:vAlign w:val="center"/>
          </w:tcPr>
          <w:p>
            <w:pPr>
              <w:shd w:val="clear"/>
              <w:autoSpaceDE w:val="0"/>
              <w:autoSpaceDN w:val="0"/>
              <w:spacing w:line="360" w:lineRule="auto"/>
              <w:jc w:val="center"/>
              <w:textAlignment w:val="bottom"/>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服务期</w:t>
            </w:r>
          </w:p>
        </w:tc>
        <w:tc>
          <w:tcPr>
            <w:tcW w:w="4629" w:type="dxa"/>
            <w:vAlign w:val="center"/>
          </w:tcPr>
          <w:p>
            <w:pPr>
              <w:shd w:val="clear"/>
              <w:autoSpaceDE w:val="0"/>
              <w:autoSpaceDN w:val="0"/>
              <w:spacing w:line="360" w:lineRule="auto"/>
              <w:jc w:val="center"/>
              <w:textAlignment w:val="bottom"/>
              <w:rPr>
                <w:rFonts w:hint="eastAsia" w:ascii="宋体" w:hAnsi="宋体" w:eastAsia="宋体" w:cs="宋体"/>
                <w:color w:val="auto"/>
                <w:sz w:val="24"/>
                <w:highlight w:val="none"/>
                <w:lang w:eastAsia="zh-CN"/>
              </w:rPr>
            </w:pPr>
            <w:r>
              <w:rPr>
                <w:rFonts w:hint="eastAsia" w:ascii="宋体" w:hAnsi="宋体" w:eastAsia="宋体" w:cs="宋体"/>
                <w:bCs/>
                <w:color w:val="auto"/>
                <w:sz w:val="24"/>
                <w:highlight w:val="none"/>
              </w:rPr>
              <w:t>合同签订起至202</w:t>
            </w:r>
            <w:r>
              <w:rPr>
                <w:rFonts w:hint="eastAsia" w:ascii="宋体" w:hAnsi="宋体" w:eastAsia="宋体" w:cs="宋体"/>
                <w:bCs/>
                <w:color w:val="auto"/>
                <w:sz w:val="24"/>
                <w:highlight w:val="none"/>
                <w:lang w:val="en-US" w:eastAsia="zh-CN"/>
              </w:rPr>
              <w:t>6</w:t>
            </w:r>
            <w:r>
              <w:rPr>
                <w:rFonts w:hint="eastAsia" w:ascii="宋体" w:hAnsi="宋体" w:eastAsia="宋体" w:cs="宋体"/>
                <w:bCs/>
                <w:color w:val="auto"/>
                <w:sz w:val="24"/>
                <w:highlight w:val="none"/>
              </w:rPr>
              <w:t>年底。</w:t>
            </w:r>
          </w:p>
        </w:tc>
      </w:tr>
    </w:tbl>
    <w:p>
      <w:pPr>
        <w:pStyle w:val="12"/>
        <w:shd w:val="clear"/>
        <w:rPr>
          <w:rFonts w:hint="eastAsia" w:ascii="宋体" w:hAnsi="宋体" w:eastAsia="宋体" w:cs="宋体"/>
          <w:color w:val="auto"/>
          <w:highlight w:val="none"/>
        </w:rPr>
      </w:pPr>
    </w:p>
    <w:p>
      <w:pPr>
        <w:shd w:val="clear"/>
        <w:spacing w:line="360" w:lineRule="auto"/>
        <w:rPr>
          <w:rFonts w:hint="eastAsia" w:ascii="宋体" w:hAnsi="宋体" w:eastAsia="宋体" w:cs="宋体"/>
          <w:b/>
          <w:color w:val="auto"/>
          <w:sz w:val="24"/>
          <w:szCs w:val="22"/>
          <w:highlight w:val="none"/>
        </w:rPr>
      </w:pPr>
      <w:r>
        <w:rPr>
          <w:rFonts w:hint="eastAsia" w:ascii="宋体" w:hAnsi="宋体" w:eastAsia="宋体" w:cs="宋体"/>
          <w:b/>
          <w:color w:val="auto"/>
          <w:sz w:val="24"/>
          <w:szCs w:val="22"/>
          <w:highlight w:val="none"/>
        </w:rPr>
        <w:t>填报要求：</w:t>
      </w:r>
    </w:p>
    <w:p>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w:t>
      </w:r>
      <w:r>
        <w:rPr>
          <w:rFonts w:hint="eastAsia" w:ascii="宋体" w:hAnsi="宋体" w:eastAsia="宋体" w:cs="宋体"/>
          <w:color w:val="auto"/>
          <w:sz w:val="24"/>
          <w:highlight w:val="none"/>
        </w:rPr>
        <w:t>本项目投标报价为完成本项目的所有费用，投标人应考虑企业自身实力、经验及项目实施过程中的各种因素，在投标报价中应充分考虑所有可能发生的费用，否则采购人将视投标报价中已包括所有费用</w:t>
      </w:r>
      <w:r>
        <w:rPr>
          <w:rFonts w:hint="eastAsia" w:ascii="宋体" w:hAnsi="宋体" w:eastAsia="宋体" w:cs="宋体"/>
          <w:color w:val="auto"/>
          <w:sz w:val="24"/>
          <w:szCs w:val="32"/>
          <w:highlight w:val="none"/>
        </w:rPr>
        <w:t>。</w:t>
      </w:r>
    </w:p>
    <w:p>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2.报价一经涂改，应在涂改处加盖单位公章，或者由法定代表人或授权委托代理人签字或盖章，否则其投标作无效标处理。</w:t>
      </w:r>
    </w:p>
    <w:p>
      <w:pPr>
        <w:shd w:val="clear"/>
        <w:spacing w:line="360" w:lineRule="auto"/>
        <w:ind w:firstLine="480" w:firstLineChars="200"/>
        <w:rPr>
          <w:rFonts w:hint="eastAsia" w:ascii="宋体" w:hAnsi="宋体" w:eastAsia="宋体" w:cs="宋体"/>
          <w:bCs/>
          <w:color w:val="auto"/>
          <w:sz w:val="24"/>
          <w:szCs w:val="22"/>
          <w:highlight w:val="none"/>
          <w:lang w:val="zh-CN"/>
        </w:rPr>
      </w:pP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磋商供应商名称（盖章）：</w:t>
      </w:r>
      <w:r>
        <w:rPr>
          <w:rFonts w:hint="eastAsia" w:ascii="宋体" w:hAnsi="宋体" w:eastAsia="宋体" w:cs="宋体"/>
          <w:color w:val="auto"/>
          <w:sz w:val="24"/>
          <w:highlight w:val="none"/>
          <w:u w:val="single"/>
        </w:rPr>
        <w:t xml:space="preserve">                         </w:t>
      </w: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r>
        <w:rPr>
          <w:rFonts w:hint="eastAsia" w:ascii="宋体" w:hAnsi="宋体" w:eastAsia="宋体" w:cs="宋体"/>
          <w:color w:val="auto"/>
          <w:sz w:val="24"/>
          <w:highlight w:val="none"/>
          <w:u w:val="single"/>
        </w:rPr>
        <w:t xml:space="preserve">                   </w:t>
      </w:r>
    </w:p>
    <w:p>
      <w:pPr>
        <w:shd w:val="clear"/>
        <w:spacing w:line="48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pPr>
        <w:pStyle w:val="12"/>
        <w:shd w:val="clear"/>
        <w:rPr>
          <w:rFonts w:hint="eastAsia" w:ascii="宋体" w:hAnsi="宋体" w:eastAsia="宋体" w:cs="宋体"/>
          <w:color w:val="auto"/>
          <w:sz w:val="24"/>
          <w:highlight w:val="none"/>
          <w:u w:val="single"/>
        </w:rPr>
      </w:pPr>
    </w:p>
    <w:p>
      <w:pPr>
        <w:shd w:val="clear"/>
        <w:rPr>
          <w:rFonts w:hint="eastAsia" w:ascii="宋体" w:hAnsi="宋体" w:eastAsia="宋体" w:cs="宋体"/>
          <w:color w:val="auto"/>
          <w:sz w:val="24"/>
          <w:highlight w:val="none"/>
          <w:u w:val="single"/>
        </w:rPr>
      </w:pPr>
    </w:p>
    <w:p>
      <w:pPr>
        <w:pStyle w:val="12"/>
        <w:shd w:val="clear"/>
        <w:rPr>
          <w:rFonts w:hint="eastAsia" w:ascii="宋体" w:hAnsi="宋体" w:eastAsia="宋体" w:cs="宋体"/>
          <w:color w:val="auto"/>
          <w:sz w:val="24"/>
          <w:highlight w:val="none"/>
          <w:u w:val="single"/>
        </w:rPr>
      </w:pPr>
    </w:p>
    <w:p>
      <w:pPr>
        <w:shd w:val="clear"/>
        <w:rPr>
          <w:rFonts w:hint="eastAsia" w:ascii="宋体" w:hAnsi="宋体" w:eastAsia="宋体" w:cs="宋体"/>
          <w:color w:val="auto"/>
          <w:sz w:val="24"/>
          <w:highlight w:val="none"/>
          <w:u w:val="single"/>
        </w:rPr>
      </w:pPr>
    </w:p>
    <w:p>
      <w:pPr>
        <w:pStyle w:val="12"/>
        <w:shd w:val="clear"/>
        <w:rPr>
          <w:rFonts w:hint="eastAsia" w:ascii="宋体" w:hAnsi="宋体" w:eastAsia="宋体" w:cs="宋体"/>
          <w:color w:val="auto"/>
          <w:sz w:val="24"/>
          <w:highlight w:val="none"/>
          <w:u w:val="single"/>
        </w:rPr>
      </w:pPr>
    </w:p>
    <w:p>
      <w:pPr>
        <w:shd w:val="clear"/>
        <w:rPr>
          <w:rFonts w:hint="eastAsia" w:ascii="宋体" w:hAnsi="宋体" w:eastAsia="宋体" w:cs="宋体"/>
          <w:color w:val="auto"/>
          <w:highlight w:val="none"/>
        </w:rPr>
      </w:pPr>
    </w:p>
    <w:p>
      <w:pPr>
        <w:shd w:val="clear"/>
        <w:spacing w:line="360" w:lineRule="auto"/>
        <w:rPr>
          <w:rFonts w:hint="eastAsia" w:ascii="宋体" w:hAnsi="宋体" w:eastAsia="宋体" w:cs="宋体"/>
          <w:b/>
          <w:color w:val="auto"/>
          <w:sz w:val="28"/>
          <w:highlight w:val="none"/>
          <w:lang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6</w:t>
      </w:r>
    </w:p>
    <w:p>
      <w:pPr>
        <w:shd w:val="clear"/>
        <w:spacing w:line="360" w:lineRule="auto"/>
        <w:jc w:val="center"/>
        <w:rPr>
          <w:rFonts w:hint="eastAsia" w:ascii="宋体" w:hAnsi="宋体" w:eastAsia="宋体" w:cs="宋体"/>
          <w:color w:val="auto"/>
          <w:highlight w:val="none"/>
        </w:rPr>
      </w:pPr>
      <w:r>
        <w:rPr>
          <w:rFonts w:hint="eastAsia" w:ascii="宋体" w:hAnsi="宋体" w:eastAsia="宋体" w:cs="宋体"/>
          <w:b/>
          <w:color w:val="auto"/>
          <w:sz w:val="32"/>
          <w:szCs w:val="32"/>
          <w:highlight w:val="none"/>
        </w:rPr>
        <w:t>报价明细表</w:t>
      </w:r>
    </w:p>
    <w:p>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项目名称：</w:t>
      </w:r>
    </w:p>
    <w:p>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项目编号：                                       [单位：人民币/元]</w:t>
      </w:r>
    </w:p>
    <w:tbl>
      <w:tblPr>
        <w:tblStyle w:val="30"/>
        <w:tblW w:w="8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4026"/>
        <w:gridCol w:w="1204"/>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807"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4026"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项目</w:t>
            </w:r>
          </w:p>
        </w:tc>
        <w:tc>
          <w:tcPr>
            <w:tcW w:w="1204"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数量</w:t>
            </w:r>
          </w:p>
        </w:tc>
        <w:tc>
          <w:tcPr>
            <w:tcW w:w="1440"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小计（元）</w:t>
            </w:r>
          </w:p>
        </w:tc>
        <w:tc>
          <w:tcPr>
            <w:tcW w:w="1440"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07"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026" w:type="dxa"/>
            <w:vAlign w:val="center"/>
          </w:tcPr>
          <w:p>
            <w:pPr>
              <w:shd w:val="clear"/>
              <w:jc w:val="center"/>
              <w:rPr>
                <w:rFonts w:hint="eastAsia" w:ascii="宋体" w:hAnsi="宋体" w:eastAsia="宋体" w:cs="宋体"/>
                <w:color w:val="auto"/>
                <w:sz w:val="24"/>
                <w:highlight w:val="none"/>
              </w:rPr>
            </w:pPr>
          </w:p>
        </w:tc>
        <w:tc>
          <w:tcPr>
            <w:tcW w:w="1204" w:type="dxa"/>
            <w:vAlign w:val="center"/>
          </w:tcPr>
          <w:p>
            <w:pPr>
              <w:shd w:val="clear"/>
              <w:jc w:val="center"/>
              <w:rPr>
                <w:rFonts w:hint="eastAsia" w:ascii="宋体" w:hAnsi="宋体" w:eastAsia="宋体" w:cs="宋体"/>
                <w:color w:val="auto"/>
                <w:sz w:val="24"/>
                <w:highlight w:val="none"/>
              </w:rPr>
            </w:pPr>
          </w:p>
        </w:tc>
        <w:tc>
          <w:tcPr>
            <w:tcW w:w="1440" w:type="dxa"/>
            <w:vAlign w:val="center"/>
          </w:tcPr>
          <w:p>
            <w:pPr>
              <w:shd w:val="clear"/>
              <w:jc w:val="center"/>
              <w:rPr>
                <w:rFonts w:hint="eastAsia" w:ascii="宋体" w:hAnsi="宋体" w:eastAsia="宋体" w:cs="宋体"/>
                <w:color w:val="auto"/>
                <w:sz w:val="24"/>
                <w:highlight w:val="none"/>
              </w:rPr>
            </w:pPr>
          </w:p>
        </w:tc>
        <w:tc>
          <w:tcPr>
            <w:tcW w:w="1440" w:type="dxa"/>
            <w:vAlign w:val="center"/>
          </w:tcPr>
          <w:p>
            <w:pPr>
              <w:shd w:val="clea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07"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026" w:type="dxa"/>
            <w:vAlign w:val="center"/>
          </w:tcPr>
          <w:p>
            <w:pPr>
              <w:shd w:val="clear"/>
              <w:jc w:val="center"/>
              <w:rPr>
                <w:rFonts w:hint="eastAsia" w:ascii="宋体" w:hAnsi="宋体" w:eastAsia="宋体" w:cs="宋体"/>
                <w:color w:val="auto"/>
                <w:sz w:val="24"/>
                <w:highlight w:val="none"/>
              </w:rPr>
            </w:pPr>
          </w:p>
        </w:tc>
        <w:tc>
          <w:tcPr>
            <w:tcW w:w="1204" w:type="dxa"/>
            <w:vAlign w:val="center"/>
          </w:tcPr>
          <w:p>
            <w:pPr>
              <w:shd w:val="clear"/>
              <w:jc w:val="center"/>
              <w:rPr>
                <w:rFonts w:hint="eastAsia" w:ascii="宋体" w:hAnsi="宋体" w:eastAsia="宋体" w:cs="宋体"/>
                <w:color w:val="auto"/>
                <w:sz w:val="24"/>
                <w:highlight w:val="none"/>
              </w:rPr>
            </w:pPr>
          </w:p>
        </w:tc>
        <w:tc>
          <w:tcPr>
            <w:tcW w:w="1440" w:type="dxa"/>
            <w:vAlign w:val="center"/>
          </w:tcPr>
          <w:p>
            <w:pPr>
              <w:shd w:val="clear"/>
              <w:jc w:val="center"/>
              <w:rPr>
                <w:rFonts w:hint="eastAsia" w:ascii="宋体" w:hAnsi="宋体" w:eastAsia="宋体" w:cs="宋体"/>
                <w:color w:val="auto"/>
                <w:sz w:val="24"/>
                <w:highlight w:val="none"/>
              </w:rPr>
            </w:pPr>
          </w:p>
        </w:tc>
        <w:tc>
          <w:tcPr>
            <w:tcW w:w="1440" w:type="dxa"/>
            <w:vAlign w:val="center"/>
          </w:tcPr>
          <w:p>
            <w:pPr>
              <w:shd w:val="clea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07" w:type="dxa"/>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4026" w:type="dxa"/>
            <w:vAlign w:val="center"/>
          </w:tcPr>
          <w:p>
            <w:pPr>
              <w:shd w:val="clear"/>
              <w:jc w:val="center"/>
              <w:rPr>
                <w:rFonts w:hint="eastAsia" w:ascii="宋体" w:hAnsi="宋体" w:eastAsia="宋体" w:cs="宋体"/>
                <w:color w:val="auto"/>
                <w:sz w:val="24"/>
                <w:highlight w:val="none"/>
              </w:rPr>
            </w:pPr>
          </w:p>
        </w:tc>
        <w:tc>
          <w:tcPr>
            <w:tcW w:w="1204" w:type="dxa"/>
            <w:vAlign w:val="center"/>
          </w:tcPr>
          <w:p>
            <w:pPr>
              <w:shd w:val="clear"/>
              <w:jc w:val="center"/>
              <w:rPr>
                <w:rFonts w:hint="eastAsia" w:ascii="宋体" w:hAnsi="宋体" w:eastAsia="宋体" w:cs="宋体"/>
                <w:color w:val="auto"/>
                <w:sz w:val="24"/>
                <w:highlight w:val="none"/>
              </w:rPr>
            </w:pPr>
          </w:p>
        </w:tc>
        <w:tc>
          <w:tcPr>
            <w:tcW w:w="1440" w:type="dxa"/>
            <w:vAlign w:val="center"/>
          </w:tcPr>
          <w:p>
            <w:pPr>
              <w:shd w:val="clear"/>
              <w:jc w:val="center"/>
              <w:rPr>
                <w:rFonts w:hint="eastAsia" w:ascii="宋体" w:hAnsi="宋体" w:eastAsia="宋体" w:cs="宋体"/>
                <w:color w:val="auto"/>
                <w:sz w:val="24"/>
                <w:highlight w:val="none"/>
              </w:rPr>
            </w:pPr>
          </w:p>
        </w:tc>
        <w:tc>
          <w:tcPr>
            <w:tcW w:w="1440" w:type="dxa"/>
            <w:vAlign w:val="center"/>
          </w:tcPr>
          <w:p>
            <w:pPr>
              <w:shd w:val="clear"/>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jc w:val="center"/>
        </w:trPr>
        <w:tc>
          <w:tcPr>
            <w:tcW w:w="8917" w:type="dxa"/>
            <w:gridSpan w:val="5"/>
            <w:vAlign w:val="center"/>
          </w:tcPr>
          <w:p>
            <w:pPr>
              <w:shd w:val="clea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总计：大写                          小写</w:t>
            </w:r>
          </w:p>
        </w:tc>
      </w:tr>
    </w:tbl>
    <w:p>
      <w:pPr>
        <w:shd w:val="clear"/>
        <w:spacing w:line="360" w:lineRule="auto"/>
        <w:jc w:val="left"/>
        <w:rPr>
          <w:rFonts w:hint="eastAsia" w:ascii="宋体" w:hAnsi="宋体" w:eastAsia="宋体" w:cs="宋体"/>
          <w:b/>
          <w:bCs/>
          <w:color w:val="auto"/>
          <w:sz w:val="24"/>
          <w:szCs w:val="32"/>
          <w:highlight w:val="none"/>
        </w:rPr>
      </w:pPr>
      <w:r>
        <w:rPr>
          <w:rFonts w:hint="eastAsia" w:ascii="宋体" w:hAnsi="宋体" w:eastAsia="宋体" w:cs="宋体"/>
          <w:b/>
          <w:bCs/>
          <w:color w:val="auto"/>
          <w:sz w:val="24"/>
          <w:szCs w:val="32"/>
          <w:highlight w:val="none"/>
        </w:rPr>
        <w:t>要求：</w:t>
      </w:r>
    </w:p>
    <w:p>
      <w:pPr>
        <w:shd w:val="clear"/>
        <w:spacing w:line="360" w:lineRule="auto"/>
        <w:ind w:firstLine="480" w:firstLineChars="200"/>
        <w:jc w:val="left"/>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1.本表为《首次报价一览表》的报价明细表，如有缺项、漏项，视为投标报价中已包含相关费用，采购人无需另外支付任何费用。</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2.</w:t>
      </w:r>
      <w:r>
        <w:rPr>
          <w:rFonts w:hint="eastAsia" w:ascii="宋体" w:hAnsi="宋体" w:eastAsia="宋体" w:cs="宋体"/>
          <w:color w:val="auto"/>
          <w:sz w:val="24"/>
          <w:szCs w:val="32"/>
          <w:highlight w:val="none"/>
          <w:lang w:val="zh-CN"/>
        </w:rPr>
        <w:t>“报价明细表”中的报价合计应与“首次报价一览表”中的投标总报价相一致，不一致时，以首次报价一览表为准。</w:t>
      </w:r>
    </w:p>
    <w:p>
      <w:pPr>
        <w:shd w:val="clear"/>
        <w:spacing w:line="360" w:lineRule="auto"/>
        <w:ind w:firstLine="480" w:firstLineChars="200"/>
        <w:jc w:val="left"/>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rPr>
        <w:t>3.</w:t>
      </w:r>
      <w:r>
        <w:rPr>
          <w:rFonts w:hint="eastAsia" w:ascii="宋体" w:hAnsi="宋体" w:eastAsia="宋体" w:cs="宋体"/>
          <w:color w:val="auto"/>
          <w:sz w:val="24"/>
          <w:szCs w:val="32"/>
          <w:highlight w:val="none"/>
          <w:lang w:val="zh-CN"/>
        </w:rPr>
        <w:t>投标报价明细表所填内容按采购文件采购需求为准。如有漏报的，视同已包含在投标总价内或已作优惠处理。有重大缺项的将作无效响应处理。</w:t>
      </w:r>
    </w:p>
    <w:p>
      <w:pPr>
        <w:shd w:val="clear"/>
        <w:spacing w:line="360" w:lineRule="auto"/>
        <w:ind w:firstLine="480" w:firstLineChars="200"/>
        <w:jc w:val="left"/>
        <w:rPr>
          <w:rFonts w:hint="eastAsia" w:ascii="宋体" w:hAnsi="宋体" w:eastAsia="宋体" w:cs="宋体"/>
          <w:color w:val="auto"/>
          <w:sz w:val="24"/>
          <w:szCs w:val="32"/>
          <w:highlight w:val="none"/>
        </w:rPr>
      </w:pP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磋商供应商名称（盖章）：</w:t>
      </w:r>
      <w:r>
        <w:rPr>
          <w:rFonts w:hint="eastAsia" w:ascii="宋体" w:hAnsi="宋体" w:eastAsia="宋体" w:cs="宋体"/>
          <w:color w:val="auto"/>
          <w:sz w:val="24"/>
          <w:highlight w:val="none"/>
          <w:u w:val="single"/>
        </w:rPr>
        <w:t xml:space="preserve">                         </w:t>
      </w: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授权委托代理人签字或盖章：</w:t>
      </w:r>
      <w:r>
        <w:rPr>
          <w:rFonts w:hint="eastAsia" w:ascii="宋体" w:hAnsi="宋体" w:eastAsia="宋体" w:cs="宋体"/>
          <w:color w:val="auto"/>
          <w:sz w:val="24"/>
          <w:highlight w:val="none"/>
          <w:u w:val="single"/>
        </w:rPr>
        <w:t xml:space="preserve">                   </w:t>
      </w:r>
    </w:p>
    <w:p>
      <w:pPr>
        <w:shd w:val="clear"/>
        <w:spacing w:line="48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w:t>
      </w:r>
      <w:r>
        <w:rPr>
          <w:rFonts w:hint="eastAsia" w:ascii="宋体" w:hAnsi="宋体" w:eastAsia="宋体" w:cs="宋体"/>
          <w:color w:val="auto"/>
          <w:sz w:val="24"/>
          <w:highlight w:val="none"/>
          <w:u w:val="single"/>
        </w:rPr>
        <w:t xml:space="preserve">                         </w:t>
      </w: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shd w:val="clear"/>
        <w:spacing w:line="360" w:lineRule="auto"/>
        <w:rPr>
          <w:rFonts w:hint="eastAsia" w:ascii="宋体" w:hAnsi="宋体" w:eastAsia="宋体" w:cs="宋体"/>
          <w:color w:val="auto"/>
          <w:sz w:val="24"/>
          <w:szCs w:val="32"/>
          <w:highlight w:val="none"/>
        </w:rPr>
      </w:pPr>
    </w:p>
    <w:p>
      <w:pPr>
        <w:keepNext w:val="0"/>
        <w:keepLines w:val="0"/>
        <w:pageBreakBefore w:val="0"/>
        <w:widowControl w:val="0"/>
        <w:shd w:val="clear"/>
        <w:kinsoku/>
        <w:wordWrap/>
        <w:overflowPunct/>
        <w:topLinePunct w:val="0"/>
        <w:autoSpaceDE/>
        <w:autoSpaceDN/>
        <w:bidi w:val="0"/>
        <w:adjustRightInd/>
        <w:snapToGrid/>
        <w:spacing w:line="420" w:lineRule="exact"/>
        <w:jc w:val="both"/>
        <w:textAlignment w:val="auto"/>
        <w:rPr>
          <w:rFonts w:hint="eastAsia" w:ascii="宋体" w:hAnsi="宋体" w:eastAsia="宋体" w:cs="宋体"/>
          <w:b/>
          <w:bCs/>
          <w:color w:val="auto"/>
          <w:sz w:val="28"/>
          <w:szCs w:val="36"/>
          <w:highlight w:val="none"/>
          <w:lang w:val="en-GB" w:eastAsia="zh-CN"/>
        </w:rPr>
      </w:pPr>
      <w:r>
        <w:rPr>
          <w:rFonts w:hint="eastAsia" w:ascii="宋体" w:hAnsi="宋体" w:eastAsia="宋体" w:cs="宋体"/>
          <w:b/>
          <w:bCs/>
          <w:color w:val="auto"/>
          <w:sz w:val="28"/>
          <w:szCs w:val="36"/>
          <w:highlight w:val="none"/>
          <w:lang w:val="en-GB" w:eastAsia="zh-CN"/>
        </w:rPr>
        <w:t>附件</w:t>
      </w:r>
      <w:r>
        <w:rPr>
          <w:rFonts w:hint="eastAsia" w:ascii="宋体" w:hAnsi="宋体" w:eastAsia="宋体" w:cs="宋体"/>
          <w:b/>
          <w:bCs/>
          <w:color w:val="auto"/>
          <w:sz w:val="28"/>
          <w:szCs w:val="36"/>
          <w:highlight w:val="none"/>
          <w:lang w:val="en-US" w:eastAsia="zh-CN"/>
        </w:rPr>
        <w:t xml:space="preserve">                </w:t>
      </w:r>
      <w:r>
        <w:rPr>
          <w:rFonts w:hint="eastAsia" w:ascii="宋体" w:hAnsi="宋体" w:eastAsia="宋体" w:cs="宋体"/>
          <w:b/>
          <w:bCs/>
          <w:color w:val="auto"/>
          <w:sz w:val="28"/>
          <w:szCs w:val="36"/>
          <w:highlight w:val="none"/>
          <w:lang w:val="en-GB" w:eastAsia="zh-CN"/>
        </w:rPr>
        <w:t>政府采购活动确认声明书</w:t>
      </w:r>
    </w:p>
    <w:p>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浙江五石中正工程咨询有限公司</w:t>
      </w:r>
      <w:r>
        <w:rPr>
          <w:rFonts w:hint="eastAsia" w:ascii="宋体" w:hAnsi="宋体" w:eastAsia="宋体" w:cs="宋体"/>
          <w:color w:val="auto"/>
          <w:sz w:val="24"/>
          <w:highlight w:val="none"/>
        </w:rPr>
        <w:t>（采购组织机构名称）：</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lang w:val="zh-CN"/>
        </w:rPr>
      </w:pPr>
      <w:r>
        <w:rPr>
          <w:rFonts w:hint="eastAsia" w:ascii="宋体" w:hAnsi="宋体" w:eastAsia="宋体" w:cs="宋体"/>
          <w:color w:val="auto"/>
          <w:sz w:val="24"/>
          <w:highlight w:val="none"/>
          <w:u w:val="none"/>
          <w:lang w:val="zh-CN"/>
        </w:rPr>
        <w:t>本人经由</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none"/>
          <w:lang w:val="zh-CN"/>
        </w:rPr>
        <w:t>单位</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u w:val="none"/>
          <w:lang w:val="zh-CN"/>
        </w:rPr>
        <w:t>（法人代表）合法授权参加</w:t>
      </w:r>
      <w:r>
        <w:rPr>
          <w:rFonts w:hint="eastAsia" w:ascii="宋体" w:hAnsi="宋体" w:eastAsia="宋体" w:cs="宋体"/>
          <w:b/>
          <w:bCs/>
          <w:color w:val="auto"/>
          <w:sz w:val="24"/>
          <w:highlight w:val="none"/>
          <w:u w:val="single"/>
          <w:lang w:val="zh-CN"/>
        </w:rPr>
        <w:t>中国·路桥第七届高端智能装备全球创业创新大赛组织服务项目</w:t>
      </w:r>
      <w:r>
        <w:rPr>
          <w:rFonts w:hint="eastAsia" w:ascii="宋体" w:hAnsi="宋体" w:eastAsia="宋体" w:cs="宋体"/>
          <w:color w:val="auto"/>
          <w:sz w:val="24"/>
          <w:highlight w:val="none"/>
          <w:u w:val="none"/>
          <w:lang w:val="zh-CN"/>
        </w:rPr>
        <w:t>（</w:t>
      </w:r>
      <w:r>
        <w:rPr>
          <w:rFonts w:hint="eastAsia" w:ascii="宋体" w:hAnsi="宋体" w:eastAsia="宋体" w:cs="宋体"/>
          <w:color w:val="auto"/>
          <w:sz w:val="24"/>
          <w:highlight w:val="none"/>
          <w:u w:val="none"/>
        </w:rPr>
        <w:t>项目</w:t>
      </w:r>
      <w:r>
        <w:rPr>
          <w:rFonts w:hint="eastAsia" w:ascii="宋体" w:hAnsi="宋体" w:eastAsia="宋体" w:cs="宋体"/>
          <w:color w:val="auto"/>
          <w:sz w:val="24"/>
          <w:highlight w:val="none"/>
          <w:u w:val="none"/>
          <w:lang w:val="zh-CN"/>
        </w:rPr>
        <w:t>编号：</w:t>
      </w:r>
      <w:r>
        <w:rPr>
          <w:rFonts w:hint="eastAsia" w:ascii="宋体" w:hAnsi="宋体" w:eastAsia="宋体" w:cs="宋体"/>
          <w:b/>
          <w:bCs/>
          <w:color w:val="auto"/>
          <w:sz w:val="24"/>
          <w:highlight w:val="none"/>
          <w:u w:val="single"/>
          <w:lang w:val="zh-CN"/>
        </w:rPr>
        <w:t>ZJWS2024-LQ131</w:t>
      </w:r>
      <w:r>
        <w:rPr>
          <w:rFonts w:hint="eastAsia" w:ascii="宋体" w:hAnsi="宋体" w:eastAsia="宋体" w:cs="宋体"/>
          <w:color w:val="auto"/>
          <w:sz w:val="24"/>
          <w:highlight w:val="none"/>
          <w:u w:val="none"/>
          <w:lang w:val="zh-CN"/>
        </w:rPr>
        <w:t>）政府采购活动，经与本单位法人代表（负责人）联系确认，现就有关公平竞争事项郑重声明如下：</w:t>
      </w:r>
    </w:p>
    <w:p>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一、本单位与采购人之间</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rPr>
        <w:t>□不存在利害关系</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rPr>
        <w:t>□存在下列利害关系</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A.投资关系</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rPr>
        <w:t>B.行政隶属关系</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rPr>
        <w:t>C.业务指导关系</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D.其他可能影响采购公正的利害关系</w:t>
      </w:r>
      <w:r>
        <w:rPr>
          <w:rFonts w:hint="eastAsia" w:ascii="宋体" w:hAnsi="宋体" w:eastAsia="宋体" w:cs="宋体"/>
          <w:color w:val="auto"/>
          <w:sz w:val="24"/>
          <w:highlight w:val="none"/>
          <w:u w:val="none"/>
          <w:lang w:eastAsia="zh-CN"/>
        </w:rPr>
        <w:t>（如有，请如实说明）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w:t>
      </w:r>
    </w:p>
    <w:p>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二、现已清楚知道参加本项目采购活动的其他所有供应商名称，本单位</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rPr>
        <w:t>□与其他所有供应商之间均不存在利害关系</w:t>
      </w:r>
      <w:r>
        <w:rPr>
          <w:rFonts w:hint="eastAsia" w:ascii="宋体" w:hAnsi="宋体" w:eastAsia="宋体" w:cs="宋体"/>
          <w:color w:val="auto"/>
          <w:sz w:val="24"/>
          <w:highlight w:val="none"/>
          <w:u w:val="none"/>
          <w:lang w:val="en-US" w:eastAsia="zh-CN"/>
        </w:rPr>
        <w:t xml:space="preserve"> </w:t>
      </w:r>
      <w:r>
        <w:rPr>
          <w:rFonts w:hint="eastAsia" w:ascii="宋体" w:hAnsi="宋体" w:eastAsia="宋体" w:cs="宋体"/>
          <w:color w:val="auto"/>
          <w:sz w:val="24"/>
          <w:highlight w:val="none"/>
          <w:u w:val="none"/>
        </w:rPr>
        <w:t>□与</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lang w:val="en-US" w:eastAsia="zh-CN"/>
        </w:rPr>
        <w:t>（供应商名称）</w:t>
      </w:r>
      <w:r>
        <w:rPr>
          <w:rFonts w:hint="eastAsia" w:ascii="宋体" w:hAnsi="宋体" w:eastAsia="宋体" w:cs="宋体"/>
          <w:color w:val="auto"/>
          <w:sz w:val="24"/>
          <w:highlight w:val="none"/>
          <w:u w:val="none"/>
        </w:rPr>
        <w:t>之间存在下列利害关系</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A.法定代表人或负责人或实际控制人是同一人</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B.法定代表人或负责人或实际控制人是夫妻关系</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C.法定代表人或负责人或实际控制人是直系血亲关系</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D.法定代表人或负责人或实际控制人存在三代以内旁系血亲关系</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E.法定代表人或负责人或实际控制人存在近姻亲关系</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F.法定代表人或负责人或实际控制人存在股份控制或实际控制关系</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G.存在共同直接或间接投资设立子公司、联营企业和合营企业情况</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H.存在分级代理或代销关系、同一生产制造商关系、管理关系、重要业务（占主营业务收入50%以上）或重要财务往来关系（如融资）等其他实质性控制关系</w:t>
      </w:r>
    </w:p>
    <w:p>
      <w:pPr>
        <w:keepNext w:val="0"/>
        <w:keepLines w:val="0"/>
        <w:pageBreakBefore w:val="0"/>
        <w:widowControl w:val="0"/>
        <w:shd w:val="clear"/>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I.其他利害关系情况</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w:t>
      </w:r>
    </w:p>
    <w:p>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三、现已清楚知道并严格遵守政府采购法律法规和现场纪律。</w:t>
      </w:r>
    </w:p>
    <w:p>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四、我发现</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供应商之间存在或可能存在上述第二条第</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none"/>
        </w:rPr>
        <w:t>项利害关系。</w:t>
      </w:r>
    </w:p>
    <w:p>
      <w:pPr>
        <w:keepNext w:val="0"/>
        <w:keepLines w:val="0"/>
        <w:pageBreakBefore w:val="0"/>
        <w:widowControl w:val="0"/>
        <w:shd w:val="clear"/>
        <w:kinsoku/>
        <w:wordWrap/>
        <w:overflowPunct/>
        <w:topLinePunct w:val="0"/>
        <w:autoSpaceDE/>
        <w:autoSpaceDN/>
        <w:bidi w:val="0"/>
        <w:adjustRightInd/>
        <w:snapToGrid/>
        <w:spacing w:line="420" w:lineRule="exact"/>
        <w:textAlignment w:val="auto"/>
        <w:rPr>
          <w:rFonts w:hint="eastAsia" w:ascii="宋体" w:hAnsi="宋体" w:eastAsia="宋体" w:cs="宋体"/>
          <w:b w:val="0"/>
          <w:bCs w:val="0"/>
          <w:color w:val="auto"/>
          <w:sz w:val="24"/>
          <w:highlight w:val="none"/>
          <w:u w:val="none"/>
          <w:lang w:eastAsia="zh-CN"/>
        </w:rPr>
      </w:pPr>
      <w:r>
        <w:rPr>
          <w:rFonts w:hint="eastAsia" w:ascii="宋体" w:hAnsi="宋体" w:eastAsia="宋体" w:cs="宋体"/>
          <w:b w:val="0"/>
          <w:bCs w:val="0"/>
          <w:color w:val="auto"/>
          <w:sz w:val="24"/>
          <w:highlight w:val="none"/>
          <w:u w:val="none"/>
          <w:lang w:eastAsia="zh-CN"/>
        </w:rPr>
        <w:t>五、本单位若有违反诚信投标、采购法律法规等行为，愿意按照招标文件规定接受投标担保的处理。如已中标，自动放弃中标资格；给招标人造成损失的，依法承担赔偿责任。</w:t>
      </w:r>
    </w:p>
    <w:p>
      <w:pPr>
        <w:keepNext w:val="0"/>
        <w:keepLines w:val="0"/>
        <w:pageBreakBefore w:val="0"/>
        <w:widowControl w:val="0"/>
        <w:shd w:val="clear"/>
        <w:kinsoku/>
        <w:wordWrap/>
        <w:overflowPunct/>
        <w:topLinePunct w:val="0"/>
        <w:autoSpaceDE/>
        <w:autoSpaceDN/>
        <w:bidi w:val="0"/>
        <w:adjustRightInd/>
        <w:snapToGrid/>
        <w:spacing w:line="420" w:lineRule="exact"/>
        <w:ind w:firstLine="4819" w:firstLineChars="2000"/>
        <w:textAlignment w:val="auto"/>
        <w:rPr>
          <w:rFonts w:hint="eastAsia" w:ascii="宋体" w:hAnsi="宋体" w:eastAsia="宋体" w:cs="宋体"/>
          <w:b/>
          <w:bCs/>
          <w:color w:val="auto"/>
          <w:sz w:val="24"/>
          <w:highlight w:val="none"/>
          <w:u w:val="none"/>
        </w:rPr>
      </w:pPr>
      <w:r>
        <w:rPr>
          <w:rFonts w:hint="eastAsia" w:ascii="宋体" w:hAnsi="宋体" w:eastAsia="宋体" w:cs="宋体"/>
          <w:b/>
          <w:bCs/>
          <w:color w:val="auto"/>
          <w:sz w:val="24"/>
          <w:highlight w:val="none"/>
          <w:u w:val="none"/>
        </w:rPr>
        <w:t>供应商代表签名：</w:t>
      </w:r>
    </w:p>
    <w:p>
      <w:pPr>
        <w:keepNext w:val="0"/>
        <w:keepLines w:val="0"/>
        <w:pageBreakBefore w:val="0"/>
        <w:widowControl w:val="0"/>
        <w:shd w:val="clear"/>
        <w:kinsoku/>
        <w:wordWrap/>
        <w:overflowPunct/>
        <w:topLinePunct w:val="0"/>
        <w:autoSpaceDE/>
        <w:autoSpaceDN/>
        <w:bidi w:val="0"/>
        <w:adjustRightInd/>
        <w:snapToGrid/>
        <w:spacing w:line="420" w:lineRule="exact"/>
        <w:jc w:val="right"/>
        <w:textAlignment w:val="auto"/>
        <w:rPr>
          <w:rFonts w:hint="eastAsia" w:ascii="宋体" w:hAnsi="宋体" w:eastAsia="宋体" w:cs="宋体"/>
          <w:color w:val="auto"/>
          <w:sz w:val="24"/>
          <w:highlight w:val="none"/>
          <w:u w:val="none"/>
        </w:rPr>
      </w:pPr>
      <w:r>
        <w:rPr>
          <w:rFonts w:hint="eastAsia" w:ascii="宋体" w:hAnsi="宋体" w:eastAsia="宋体" w:cs="宋体"/>
          <w:color w:val="auto"/>
          <w:sz w:val="24"/>
          <w:highlight w:val="none"/>
          <w:u w:val="none"/>
        </w:rPr>
        <w:t>202</w:t>
      </w:r>
      <w:r>
        <w:rPr>
          <w:rFonts w:hint="eastAsia" w:ascii="宋体" w:hAnsi="宋体" w:cs="宋体"/>
          <w:color w:val="auto"/>
          <w:sz w:val="24"/>
          <w:highlight w:val="none"/>
          <w:u w:val="none"/>
          <w:lang w:val="en-US" w:eastAsia="zh-CN"/>
        </w:rPr>
        <w:t>4</w:t>
      </w:r>
      <w:r>
        <w:rPr>
          <w:rFonts w:hint="eastAsia" w:ascii="宋体" w:hAnsi="宋体" w:eastAsia="宋体" w:cs="宋体"/>
          <w:color w:val="auto"/>
          <w:sz w:val="24"/>
          <w:highlight w:val="none"/>
          <w:u w:val="none"/>
        </w:rPr>
        <w:t>年  月  日</w:t>
      </w:r>
    </w:p>
    <w:p>
      <w:pPr>
        <w:keepNext w:val="0"/>
        <w:keepLines w:val="0"/>
        <w:pageBreakBefore w:val="0"/>
        <w:widowControl w:val="0"/>
        <w:shd w:val="clear"/>
        <w:kinsoku/>
        <w:wordWrap/>
        <w:overflowPunct/>
        <w:topLinePunct w:val="0"/>
        <w:autoSpaceDE/>
        <w:autoSpaceDN/>
        <w:bidi w:val="0"/>
        <w:adjustRightInd/>
        <w:snapToGrid/>
        <w:spacing w:line="420" w:lineRule="exact"/>
        <w:ind w:firstLine="482" w:firstLineChars="200"/>
        <w:textAlignment w:val="auto"/>
        <w:rPr>
          <w:rFonts w:hint="eastAsia" w:ascii="宋体" w:hAnsi="宋体" w:eastAsia="宋体" w:cs="宋体"/>
          <w:color w:val="auto"/>
          <w:highlight w:val="none"/>
        </w:rPr>
      </w:pPr>
      <w:r>
        <w:rPr>
          <w:rFonts w:hint="eastAsia" w:ascii="宋体" w:hAnsi="宋体" w:eastAsia="宋体" w:cs="宋体"/>
          <w:b/>
          <w:bCs/>
          <w:color w:val="auto"/>
          <w:sz w:val="24"/>
          <w:highlight w:val="none"/>
          <w:u w:val="none"/>
          <w:lang w:eastAsia="zh-CN"/>
        </w:rPr>
        <w:t>说明：资格及商务技术文件开启后30分钟内，供应商通过邮件形式将经授权代表签署的《</w:t>
      </w:r>
      <w:r>
        <w:rPr>
          <w:rFonts w:hint="eastAsia" w:ascii="宋体" w:hAnsi="宋体" w:eastAsia="宋体" w:cs="宋体"/>
          <w:b/>
          <w:bCs/>
          <w:color w:val="auto"/>
          <w:sz w:val="24"/>
          <w:highlight w:val="none"/>
          <w:u w:val="none"/>
          <w:lang w:val="en-GB" w:eastAsia="zh-CN"/>
        </w:rPr>
        <w:t>政府采购活动确认声明书</w:t>
      </w:r>
      <w:r>
        <w:rPr>
          <w:rFonts w:hint="eastAsia" w:ascii="宋体" w:hAnsi="宋体" w:eastAsia="宋体" w:cs="宋体"/>
          <w:b/>
          <w:bCs/>
          <w:color w:val="auto"/>
          <w:sz w:val="24"/>
          <w:highlight w:val="none"/>
          <w:u w:val="none"/>
          <w:lang w:eastAsia="zh-CN"/>
        </w:rPr>
        <w:t>》扫描件发至代理机构邮箱（邮箱地址：</w:t>
      </w:r>
      <w:r>
        <w:rPr>
          <w:rFonts w:hint="eastAsia" w:ascii="宋体" w:hAnsi="宋体" w:eastAsia="宋体" w:cs="宋体"/>
          <w:b/>
          <w:bCs/>
          <w:color w:val="auto"/>
          <w:sz w:val="24"/>
          <w:highlight w:val="none"/>
          <w:u w:val="none"/>
          <w:lang w:eastAsia="zh-CN"/>
        </w:rPr>
        <w:fldChar w:fldCharType="begin"/>
      </w:r>
      <w:r>
        <w:rPr>
          <w:rFonts w:hint="eastAsia" w:ascii="宋体" w:hAnsi="宋体" w:eastAsia="宋体" w:cs="宋体"/>
          <w:b/>
          <w:bCs/>
          <w:color w:val="auto"/>
          <w:sz w:val="24"/>
          <w:highlight w:val="none"/>
          <w:u w:val="none"/>
          <w:lang w:eastAsia="zh-CN"/>
        </w:rPr>
        <w:instrText xml:space="preserve"> HYPERLINK "mailto:303054329@qq.com）；" </w:instrText>
      </w:r>
      <w:r>
        <w:rPr>
          <w:rFonts w:hint="eastAsia" w:ascii="宋体" w:hAnsi="宋体" w:eastAsia="宋体" w:cs="宋体"/>
          <w:b/>
          <w:bCs/>
          <w:color w:val="auto"/>
          <w:sz w:val="24"/>
          <w:highlight w:val="none"/>
          <w:u w:val="none"/>
          <w:lang w:eastAsia="zh-CN"/>
        </w:rPr>
        <w:fldChar w:fldCharType="separate"/>
      </w:r>
      <w:r>
        <w:rPr>
          <w:rFonts w:hint="eastAsia" w:ascii="宋体" w:hAnsi="宋体" w:eastAsia="宋体" w:cs="宋体"/>
          <w:b/>
          <w:bCs/>
          <w:color w:val="auto"/>
          <w:sz w:val="24"/>
          <w:highlight w:val="none"/>
          <w:u w:val="none"/>
          <w:lang w:val="en-US" w:eastAsia="zh-CN"/>
        </w:rPr>
        <w:t>zjwstz@163</w:t>
      </w:r>
      <w:r>
        <w:rPr>
          <w:rFonts w:hint="eastAsia" w:ascii="宋体" w:hAnsi="宋体" w:eastAsia="宋体" w:cs="宋体"/>
          <w:b/>
          <w:bCs/>
          <w:color w:val="auto"/>
          <w:sz w:val="24"/>
          <w:highlight w:val="none"/>
          <w:u w:val="none"/>
          <w:lang w:eastAsia="zh-CN"/>
        </w:rPr>
        <w:t>.com）；</w:t>
      </w:r>
      <w:r>
        <w:rPr>
          <w:rFonts w:hint="eastAsia" w:ascii="宋体" w:hAnsi="宋体" w:eastAsia="宋体" w:cs="宋体"/>
          <w:b/>
          <w:bCs/>
          <w:color w:val="auto"/>
          <w:sz w:val="24"/>
          <w:highlight w:val="none"/>
          <w:u w:val="none"/>
          <w:lang w:eastAsia="zh-CN"/>
        </w:rPr>
        <w:fldChar w:fldCharType="end"/>
      </w:r>
      <w:r>
        <w:rPr>
          <w:rFonts w:hint="eastAsia" w:ascii="宋体" w:hAnsi="宋体" w:eastAsia="宋体" w:cs="宋体"/>
          <w:b/>
          <w:bCs/>
          <w:color w:val="auto"/>
          <w:sz w:val="24"/>
          <w:highlight w:val="none"/>
          <w:u w:val="none"/>
          <w:lang w:eastAsia="zh-CN"/>
        </w:rPr>
        <w:t>不填写或未按规定发出邮件的，视同默认不存在确认声明书中的相关违规情形。</w:t>
      </w:r>
    </w:p>
    <w:sectPr>
      <w:headerReference r:id="rId4" w:type="default"/>
      <w:footerReference r:id="rId5" w:type="default"/>
      <w:pgSz w:w="11906" w:h="16838"/>
      <w:pgMar w:top="1440" w:right="1803" w:bottom="1440" w:left="1803" w:header="851" w:footer="992" w:gutter="0"/>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script"/>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25"/>
      </w:pPr>
      <w:r>
        <w:rPr>
          <w:rStyle w:val="37"/>
        </w:rPr>
        <w:footnoteRef/>
      </w:r>
      <w:r>
        <w:t xml:space="preserve"> </w:t>
      </w:r>
      <w:r>
        <w:rPr>
          <w:rFonts w:hint="eastAsia" w:ascii="宋体" w:hAnsi="宋体"/>
          <w:bCs/>
          <w:sz w:val="24"/>
        </w:rPr>
        <w:t>从业人员、营业收入、资产总额填报上一年度数据，无上一年度数据的新成立企业可不填报。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sz w:val="10"/>
        <w:u w:val="single"/>
      </w:rPr>
    </w:pPr>
    <w:r>
      <w:rPr>
        <w:rFonts w:hint="eastAsia"/>
        <w:b/>
        <w:i/>
        <w:color w:val="000000"/>
        <w:kern w:val="0"/>
        <w:sz w:val="18"/>
        <w:u w:val="single"/>
      </w:rPr>
      <w:t>台州市路桥区政府采购电子竞争性磋商文件</w:t>
    </w:r>
    <w:r>
      <w:rPr>
        <w:b/>
        <w:i/>
        <w:color w:val="000000"/>
        <w:kern w:val="0"/>
        <w:sz w:val="18"/>
        <w:u w:val="single"/>
      </w:rPr>
      <w:t xml:space="preserve">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52</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52</w:t>
    </w:r>
    <w:r>
      <w:rPr>
        <w:b/>
        <w:i/>
        <w:color w:val="000000"/>
        <w:spacing w:val="-20"/>
        <w:kern w:val="0"/>
        <w:sz w:val="18"/>
        <w:u w:val="single"/>
      </w:rPr>
      <w:fldChar w:fldCharType="end"/>
    </w:r>
    <w:r>
      <w:rPr>
        <w:rFonts w:hint="eastAsia"/>
        <w:b/>
        <w:i/>
        <w:color w:val="000000"/>
        <w:spacing w:val="-20"/>
        <w:kern w:val="0"/>
        <w:sz w:val="18"/>
        <w:u w:val="single"/>
      </w:rPr>
      <w:t>页</w:t>
    </w:r>
  </w:p>
  <w:p>
    <w:pPr>
      <w:pStyle w:val="22"/>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2D8F7B"/>
    <w:multiLevelType w:val="singleLevel"/>
    <w:tmpl w:val="AE2D8F7B"/>
    <w:lvl w:ilvl="0" w:tentative="0">
      <w:start w:val="1"/>
      <w:numFmt w:val="decimal"/>
      <w:pStyle w:val="6"/>
      <w:lvlText w:val="%1."/>
      <w:lvlJc w:val="left"/>
      <w:pPr>
        <w:tabs>
          <w:tab w:val="left"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hideSpellingErrors/>
  <w:hideGrammaticalErrors/>
  <w:doNotTrackMoves/>
  <w:documentProtection w:enforcement="0"/>
  <w:defaultTabStop w:val="420"/>
  <w:drawingGridVerticalSpacing w:val="159"/>
  <w:displayHorizontalDrawingGridEvery w:val="1"/>
  <w:displayVerticalDrawingGridEvery w:val="1"/>
  <w:noPunctuationKerning w:val="1"/>
  <w:characterSpacingControl w:val="compressPunctuation"/>
  <w:noLineBreaksAfter w:lang="zh-CN" w:val="$([{£¥·‘“〈《「『【〔〖〝﹙﹛﹝＄（．［｛￡￥"/>
  <w:noLineBreaksBefore w:lang="zh-CN" w:val="!%),.:;&gt;?]}¢¨°·ˇˉ―‖’”…‰′″›℃∶、。〃〉》」』】〕〗〞︶︺︾﹀﹄﹚﹜﹞！＂％＇），．：；？］｀｜｝～￠"/>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Njc3Y2ZhZTQ5ODMxZDQ4ZjMwMTkwOGIxNDVjNjEifQ=="/>
  </w:docVars>
  <w:rsids>
    <w:rsidRoot w:val="0E970358"/>
    <w:rsid w:val="00016260"/>
    <w:rsid w:val="0002035B"/>
    <w:rsid w:val="00034073"/>
    <w:rsid w:val="0003684C"/>
    <w:rsid w:val="000403F7"/>
    <w:rsid w:val="0006294D"/>
    <w:rsid w:val="00062AB3"/>
    <w:rsid w:val="000630DA"/>
    <w:rsid w:val="000B26E2"/>
    <w:rsid w:val="00107BF6"/>
    <w:rsid w:val="0012311E"/>
    <w:rsid w:val="001334F2"/>
    <w:rsid w:val="001358F3"/>
    <w:rsid w:val="00165F2A"/>
    <w:rsid w:val="00170681"/>
    <w:rsid w:val="00180836"/>
    <w:rsid w:val="00201D2F"/>
    <w:rsid w:val="00201D62"/>
    <w:rsid w:val="00203C2F"/>
    <w:rsid w:val="0021318F"/>
    <w:rsid w:val="00241352"/>
    <w:rsid w:val="0026685C"/>
    <w:rsid w:val="00290AE0"/>
    <w:rsid w:val="002A1620"/>
    <w:rsid w:val="002C2C02"/>
    <w:rsid w:val="002F54BD"/>
    <w:rsid w:val="003102FB"/>
    <w:rsid w:val="0033011F"/>
    <w:rsid w:val="00332E30"/>
    <w:rsid w:val="00353DAF"/>
    <w:rsid w:val="003877E8"/>
    <w:rsid w:val="00394F4B"/>
    <w:rsid w:val="003C020E"/>
    <w:rsid w:val="003C5E00"/>
    <w:rsid w:val="003E6DE1"/>
    <w:rsid w:val="003F595C"/>
    <w:rsid w:val="003F78E0"/>
    <w:rsid w:val="00441FAE"/>
    <w:rsid w:val="00446CEF"/>
    <w:rsid w:val="00491BDF"/>
    <w:rsid w:val="004B4165"/>
    <w:rsid w:val="00501A00"/>
    <w:rsid w:val="00531666"/>
    <w:rsid w:val="00542F87"/>
    <w:rsid w:val="005909A1"/>
    <w:rsid w:val="005A2848"/>
    <w:rsid w:val="005C46CB"/>
    <w:rsid w:val="00616E31"/>
    <w:rsid w:val="00636172"/>
    <w:rsid w:val="00646CA0"/>
    <w:rsid w:val="006540F3"/>
    <w:rsid w:val="00655E3C"/>
    <w:rsid w:val="00674C42"/>
    <w:rsid w:val="006E5A80"/>
    <w:rsid w:val="006F4DFE"/>
    <w:rsid w:val="0075349E"/>
    <w:rsid w:val="00754DE1"/>
    <w:rsid w:val="00783370"/>
    <w:rsid w:val="00793C81"/>
    <w:rsid w:val="007A2629"/>
    <w:rsid w:val="007C1005"/>
    <w:rsid w:val="007F5FAF"/>
    <w:rsid w:val="00802325"/>
    <w:rsid w:val="008154BD"/>
    <w:rsid w:val="00823978"/>
    <w:rsid w:val="00847BE5"/>
    <w:rsid w:val="0088066B"/>
    <w:rsid w:val="008A4030"/>
    <w:rsid w:val="008E2FC6"/>
    <w:rsid w:val="008E781F"/>
    <w:rsid w:val="00912983"/>
    <w:rsid w:val="00944004"/>
    <w:rsid w:val="00953621"/>
    <w:rsid w:val="009B3E22"/>
    <w:rsid w:val="009C44A7"/>
    <w:rsid w:val="009F3459"/>
    <w:rsid w:val="009F36F6"/>
    <w:rsid w:val="00A045EA"/>
    <w:rsid w:val="00A12F71"/>
    <w:rsid w:val="00A17880"/>
    <w:rsid w:val="00A30B75"/>
    <w:rsid w:val="00A730CA"/>
    <w:rsid w:val="00AF276E"/>
    <w:rsid w:val="00AF7AE6"/>
    <w:rsid w:val="00B0420E"/>
    <w:rsid w:val="00B40985"/>
    <w:rsid w:val="00BE0ADF"/>
    <w:rsid w:val="00C368CA"/>
    <w:rsid w:val="00C44AFB"/>
    <w:rsid w:val="00C477B1"/>
    <w:rsid w:val="00C52E14"/>
    <w:rsid w:val="00C767D4"/>
    <w:rsid w:val="00CB0437"/>
    <w:rsid w:val="00CC232E"/>
    <w:rsid w:val="00CD1804"/>
    <w:rsid w:val="00D264AC"/>
    <w:rsid w:val="00D5269F"/>
    <w:rsid w:val="00D65F48"/>
    <w:rsid w:val="00DA0B1F"/>
    <w:rsid w:val="00DA25C4"/>
    <w:rsid w:val="00DB2B95"/>
    <w:rsid w:val="00DB6334"/>
    <w:rsid w:val="00DC5EA7"/>
    <w:rsid w:val="00E319E7"/>
    <w:rsid w:val="00E372BC"/>
    <w:rsid w:val="00E8464B"/>
    <w:rsid w:val="00E97456"/>
    <w:rsid w:val="00EB4C71"/>
    <w:rsid w:val="00EF2797"/>
    <w:rsid w:val="00F127FF"/>
    <w:rsid w:val="00F45CC8"/>
    <w:rsid w:val="00F64E95"/>
    <w:rsid w:val="00F74D1E"/>
    <w:rsid w:val="00F835F4"/>
    <w:rsid w:val="00F94869"/>
    <w:rsid w:val="00FA709E"/>
    <w:rsid w:val="00FB65BB"/>
    <w:rsid w:val="01372AA4"/>
    <w:rsid w:val="013C690E"/>
    <w:rsid w:val="01561CA7"/>
    <w:rsid w:val="0162067B"/>
    <w:rsid w:val="01935887"/>
    <w:rsid w:val="01A544B3"/>
    <w:rsid w:val="01C20542"/>
    <w:rsid w:val="02083730"/>
    <w:rsid w:val="020967F0"/>
    <w:rsid w:val="021D41A0"/>
    <w:rsid w:val="022F3D89"/>
    <w:rsid w:val="025F5180"/>
    <w:rsid w:val="026B5F45"/>
    <w:rsid w:val="027E51C2"/>
    <w:rsid w:val="02A15484"/>
    <w:rsid w:val="030D43A8"/>
    <w:rsid w:val="035C3E5A"/>
    <w:rsid w:val="03887300"/>
    <w:rsid w:val="038967F6"/>
    <w:rsid w:val="049A551A"/>
    <w:rsid w:val="04A439B0"/>
    <w:rsid w:val="04C64E6C"/>
    <w:rsid w:val="04CC341D"/>
    <w:rsid w:val="04F6096A"/>
    <w:rsid w:val="05137CD7"/>
    <w:rsid w:val="054E4A32"/>
    <w:rsid w:val="057B0E7B"/>
    <w:rsid w:val="05B3687C"/>
    <w:rsid w:val="060B26E0"/>
    <w:rsid w:val="062A7152"/>
    <w:rsid w:val="06474318"/>
    <w:rsid w:val="0664091F"/>
    <w:rsid w:val="0677129C"/>
    <w:rsid w:val="069714AC"/>
    <w:rsid w:val="06AB5698"/>
    <w:rsid w:val="06BB3465"/>
    <w:rsid w:val="06CD389C"/>
    <w:rsid w:val="06F00765"/>
    <w:rsid w:val="070B6C54"/>
    <w:rsid w:val="073F1F2E"/>
    <w:rsid w:val="074F3556"/>
    <w:rsid w:val="07856E7B"/>
    <w:rsid w:val="07DA0EEE"/>
    <w:rsid w:val="082371EA"/>
    <w:rsid w:val="08536C8B"/>
    <w:rsid w:val="08BE0ECD"/>
    <w:rsid w:val="08C369E2"/>
    <w:rsid w:val="08F6426D"/>
    <w:rsid w:val="092C7807"/>
    <w:rsid w:val="0959363E"/>
    <w:rsid w:val="095971CD"/>
    <w:rsid w:val="096F639D"/>
    <w:rsid w:val="09792813"/>
    <w:rsid w:val="097A19C9"/>
    <w:rsid w:val="09CA5DC8"/>
    <w:rsid w:val="09EE6060"/>
    <w:rsid w:val="09F77876"/>
    <w:rsid w:val="0A015A18"/>
    <w:rsid w:val="0A17382F"/>
    <w:rsid w:val="0A1842A2"/>
    <w:rsid w:val="0A1C76EF"/>
    <w:rsid w:val="0A2C00D6"/>
    <w:rsid w:val="0A604790"/>
    <w:rsid w:val="0A9860DD"/>
    <w:rsid w:val="0AA03A6A"/>
    <w:rsid w:val="0ADB4F19"/>
    <w:rsid w:val="0AE47875"/>
    <w:rsid w:val="0B274334"/>
    <w:rsid w:val="0B306DAA"/>
    <w:rsid w:val="0B552AA6"/>
    <w:rsid w:val="0B5807E8"/>
    <w:rsid w:val="0B9B72A4"/>
    <w:rsid w:val="0BA600D3"/>
    <w:rsid w:val="0BC639A4"/>
    <w:rsid w:val="0C1E2BA0"/>
    <w:rsid w:val="0C5E2491"/>
    <w:rsid w:val="0C765CB2"/>
    <w:rsid w:val="0CB00C93"/>
    <w:rsid w:val="0D0D122B"/>
    <w:rsid w:val="0D19047D"/>
    <w:rsid w:val="0D1F590A"/>
    <w:rsid w:val="0D2D5B08"/>
    <w:rsid w:val="0D457F3A"/>
    <w:rsid w:val="0D9B72F9"/>
    <w:rsid w:val="0DCE1AD7"/>
    <w:rsid w:val="0DFE6915"/>
    <w:rsid w:val="0E2A0952"/>
    <w:rsid w:val="0E3A7CB3"/>
    <w:rsid w:val="0E931893"/>
    <w:rsid w:val="0E970358"/>
    <w:rsid w:val="0EB427CE"/>
    <w:rsid w:val="0EBF70D8"/>
    <w:rsid w:val="0ED20405"/>
    <w:rsid w:val="0F0F5E27"/>
    <w:rsid w:val="0F4D75A3"/>
    <w:rsid w:val="0F637C9A"/>
    <w:rsid w:val="0F792006"/>
    <w:rsid w:val="0F9B1DDF"/>
    <w:rsid w:val="0FC4763E"/>
    <w:rsid w:val="10053DFB"/>
    <w:rsid w:val="102D0699"/>
    <w:rsid w:val="10392EAE"/>
    <w:rsid w:val="103F136E"/>
    <w:rsid w:val="106C0884"/>
    <w:rsid w:val="10706EC2"/>
    <w:rsid w:val="11170C73"/>
    <w:rsid w:val="111D60C5"/>
    <w:rsid w:val="111E456B"/>
    <w:rsid w:val="112C7626"/>
    <w:rsid w:val="114D620F"/>
    <w:rsid w:val="11893766"/>
    <w:rsid w:val="11C65A1E"/>
    <w:rsid w:val="11D209CC"/>
    <w:rsid w:val="11FC1ECD"/>
    <w:rsid w:val="12487EF7"/>
    <w:rsid w:val="12506352"/>
    <w:rsid w:val="125D0075"/>
    <w:rsid w:val="12807280"/>
    <w:rsid w:val="128F6ED4"/>
    <w:rsid w:val="1312189C"/>
    <w:rsid w:val="136B3AE2"/>
    <w:rsid w:val="136E7999"/>
    <w:rsid w:val="13763D70"/>
    <w:rsid w:val="138272CC"/>
    <w:rsid w:val="13FC1BC3"/>
    <w:rsid w:val="140A1ADF"/>
    <w:rsid w:val="140E2277"/>
    <w:rsid w:val="14343F9C"/>
    <w:rsid w:val="14436214"/>
    <w:rsid w:val="148463E6"/>
    <w:rsid w:val="148E20BD"/>
    <w:rsid w:val="14C342C9"/>
    <w:rsid w:val="14D20D9B"/>
    <w:rsid w:val="153A4993"/>
    <w:rsid w:val="155618F4"/>
    <w:rsid w:val="15753D78"/>
    <w:rsid w:val="15A72BED"/>
    <w:rsid w:val="15E50ECA"/>
    <w:rsid w:val="1621170E"/>
    <w:rsid w:val="162E373E"/>
    <w:rsid w:val="16FF29E9"/>
    <w:rsid w:val="17F42B6E"/>
    <w:rsid w:val="18443E0A"/>
    <w:rsid w:val="186635F9"/>
    <w:rsid w:val="18806B3E"/>
    <w:rsid w:val="18820ED2"/>
    <w:rsid w:val="189E654A"/>
    <w:rsid w:val="18B91D2B"/>
    <w:rsid w:val="18C40414"/>
    <w:rsid w:val="18E11A7C"/>
    <w:rsid w:val="1998648C"/>
    <w:rsid w:val="19C84D8B"/>
    <w:rsid w:val="1A27385F"/>
    <w:rsid w:val="1A4F3246"/>
    <w:rsid w:val="1A6A6D44"/>
    <w:rsid w:val="1A817123"/>
    <w:rsid w:val="1A8564E4"/>
    <w:rsid w:val="1A8D6422"/>
    <w:rsid w:val="1A8E38DF"/>
    <w:rsid w:val="1A9E2BBC"/>
    <w:rsid w:val="1ABC044C"/>
    <w:rsid w:val="1AC92B69"/>
    <w:rsid w:val="1B032894"/>
    <w:rsid w:val="1B073F33"/>
    <w:rsid w:val="1B095FBA"/>
    <w:rsid w:val="1B180D50"/>
    <w:rsid w:val="1B674FFA"/>
    <w:rsid w:val="1B9451B8"/>
    <w:rsid w:val="1BA01B1B"/>
    <w:rsid w:val="1BB722C5"/>
    <w:rsid w:val="1C093ECB"/>
    <w:rsid w:val="1C2A1FDB"/>
    <w:rsid w:val="1C3061FD"/>
    <w:rsid w:val="1C4C0D70"/>
    <w:rsid w:val="1C75176F"/>
    <w:rsid w:val="1C760DD3"/>
    <w:rsid w:val="1C9571A6"/>
    <w:rsid w:val="1CAA536C"/>
    <w:rsid w:val="1CB54016"/>
    <w:rsid w:val="1CC63804"/>
    <w:rsid w:val="1CE4433A"/>
    <w:rsid w:val="1D0A52C3"/>
    <w:rsid w:val="1D192F6E"/>
    <w:rsid w:val="1D512695"/>
    <w:rsid w:val="1DA83B7B"/>
    <w:rsid w:val="1DC530BD"/>
    <w:rsid w:val="1DFE24CB"/>
    <w:rsid w:val="1E056436"/>
    <w:rsid w:val="1E0A60B3"/>
    <w:rsid w:val="1E210BAE"/>
    <w:rsid w:val="1E5463EB"/>
    <w:rsid w:val="1E58234F"/>
    <w:rsid w:val="1E711D26"/>
    <w:rsid w:val="1E7A368F"/>
    <w:rsid w:val="1E8C26F5"/>
    <w:rsid w:val="1E8E6B85"/>
    <w:rsid w:val="1ED44C27"/>
    <w:rsid w:val="1EE84AA8"/>
    <w:rsid w:val="1F204D21"/>
    <w:rsid w:val="1F541AA3"/>
    <w:rsid w:val="1F7042C9"/>
    <w:rsid w:val="1F813BA0"/>
    <w:rsid w:val="1FA85442"/>
    <w:rsid w:val="1FA9374C"/>
    <w:rsid w:val="1FD004F5"/>
    <w:rsid w:val="1FDB6B8D"/>
    <w:rsid w:val="20097C80"/>
    <w:rsid w:val="2022467F"/>
    <w:rsid w:val="2046155B"/>
    <w:rsid w:val="205D447F"/>
    <w:rsid w:val="207922E0"/>
    <w:rsid w:val="20A75A13"/>
    <w:rsid w:val="20C452C0"/>
    <w:rsid w:val="20C72460"/>
    <w:rsid w:val="20D109DF"/>
    <w:rsid w:val="21130FE1"/>
    <w:rsid w:val="212B0E86"/>
    <w:rsid w:val="213318FC"/>
    <w:rsid w:val="2164183D"/>
    <w:rsid w:val="21763A3F"/>
    <w:rsid w:val="21D62DA5"/>
    <w:rsid w:val="21D931F9"/>
    <w:rsid w:val="2234762A"/>
    <w:rsid w:val="228447E5"/>
    <w:rsid w:val="22AF3506"/>
    <w:rsid w:val="23050EF6"/>
    <w:rsid w:val="23424F53"/>
    <w:rsid w:val="236C7F0B"/>
    <w:rsid w:val="236E14E2"/>
    <w:rsid w:val="23852E6E"/>
    <w:rsid w:val="23883265"/>
    <w:rsid w:val="23931F66"/>
    <w:rsid w:val="23B9363D"/>
    <w:rsid w:val="23C9608E"/>
    <w:rsid w:val="23E6561C"/>
    <w:rsid w:val="24070403"/>
    <w:rsid w:val="241062A2"/>
    <w:rsid w:val="244E63D4"/>
    <w:rsid w:val="24575F1F"/>
    <w:rsid w:val="247342C7"/>
    <w:rsid w:val="24BE6240"/>
    <w:rsid w:val="24E84B0D"/>
    <w:rsid w:val="24EA31B9"/>
    <w:rsid w:val="24F2466B"/>
    <w:rsid w:val="24FE2F42"/>
    <w:rsid w:val="250C7A19"/>
    <w:rsid w:val="252740D4"/>
    <w:rsid w:val="25695674"/>
    <w:rsid w:val="256F27E9"/>
    <w:rsid w:val="2578159C"/>
    <w:rsid w:val="25C11B38"/>
    <w:rsid w:val="25DD4677"/>
    <w:rsid w:val="25E15BC5"/>
    <w:rsid w:val="2601367E"/>
    <w:rsid w:val="263B52DE"/>
    <w:rsid w:val="267B5FC9"/>
    <w:rsid w:val="268A132E"/>
    <w:rsid w:val="268F0043"/>
    <w:rsid w:val="26E52AD8"/>
    <w:rsid w:val="26FE003E"/>
    <w:rsid w:val="2738166B"/>
    <w:rsid w:val="27386368"/>
    <w:rsid w:val="27557AEE"/>
    <w:rsid w:val="27567236"/>
    <w:rsid w:val="275E6234"/>
    <w:rsid w:val="27667E80"/>
    <w:rsid w:val="276B1A0F"/>
    <w:rsid w:val="27937F49"/>
    <w:rsid w:val="27E36187"/>
    <w:rsid w:val="28215C9F"/>
    <w:rsid w:val="284D6884"/>
    <w:rsid w:val="287A4D93"/>
    <w:rsid w:val="287E673F"/>
    <w:rsid w:val="2883618E"/>
    <w:rsid w:val="2886653D"/>
    <w:rsid w:val="288C1E6D"/>
    <w:rsid w:val="28E64005"/>
    <w:rsid w:val="292B0BF0"/>
    <w:rsid w:val="29340EFD"/>
    <w:rsid w:val="2941725C"/>
    <w:rsid w:val="296D58E9"/>
    <w:rsid w:val="29701F89"/>
    <w:rsid w:val="29744295"/>
    <w:rsid w:val="29D148D0"/>
    <w:rsid w:val="2A4665A4"/>
    <w:rsid w:val="2A7D2A1B"/>
    <w:rsid w:val="2AAE5C87"/>
    <w:rsid w:val="2AC803DC"/>
    <w:rsid w:val="2ACB77CC"/>
    <w:rsid w:val="2AD464A0"/>
    <w:rsid w:val="2AE82B97"/>
    <w:rsid w:val="2AF71430"/>
    <w:rsid w:val="2B366876"/>
    <w:rsid w:val="2B520C88"/>
    <w:rsid w:val="2B601866"/>
    <w:rsid w:val="2B67284F"/>
    <w:rsid w:val="2BA73E69"/>
    <w:rsid w:val="2BB82A63"/>
    <w:rsid w:val="2BC864C4"/>
    <w:rsid w:val="2C107117"/>
    <w:rsid w:val="2C541C4C"/>
    <w:rsid w:val="2C5A2F4C"/>
    <w:rsid w:val="2CB27900"/>
    <w:rsid w:val="2CB96DB1"/>
    <w:rsid w:val="2CC45F30"/>
    <w:rsid w:val="2D4D256A"/>
    <w:rsid w:val="2DE6190D"/>
    <w:rsid w:val="2E524504"/>
    <w:rsid w:val="2E7048DA"/>
    <w:rsid w:val="2E8A3E18"/>
    <w:rsid w:val="2E8B49D1"/>
    <w:rsid w:val="2EAA2890"/>
    <w:rsid w:val="2F034443"/>
    <w:rsid w:val="2F402F53"/>
    <w:rsid w:val="2F523692"/>
    <w:rsid w:val="2F9A59E0"/>
    <w:rsid w:val="30143D85"/>
    <w:rsid w:val="30172DDB"/>
    <w:rsid w:val="30FC24AA"/>
    <w:rsid w:val="31192A64"/>
    <w:rsid w:val="311A0268"/>
    <w:rsid w:val="311F12DD"/>
    <w:rsid w:val="313A6116"/>
    <w:rsid w:val="31540F86"/>
    <w:rsid w:val="31752B09"/>
    <w:rsid w:val="31873055"/>
    <w:rsid w:val="31F830A6"/>
    <w:rsid w:val="323C7A49"/>
    <w:rsid w:val="32436963"/>
    <w:rsid w:val="328D53CB"/>
    <w:rsid w:val="32DC114B"/>
    <w:rsid w:val="32DD4DE9"/>
    <w:rsid w:val="33317E97"/>
    <w:rsid w:val="33CC15D2"/>
    <w:rsid w:val="33D93DB0"/>
    <w:rsid w:val="341018E5"/>
    <w:rsid w:val="341548E3"/>
    <w:rsid w:val="344A48C2"/>
    <w:rsid w:val="34922F8F"/>
    <w:rsid w:val="350916C1"/>
    <w:rsid w:val="3514745D"/>
    <w:rsid w:val="352A5E7F"/>
    <w:rsid w:val="359B739A"/>
    <w:rsid w:val="362C0724"/>
    <w:rsid w:val="362F748A"/>
    <w:rsid w:val="36623E0E"/>
    <w:rsid w:val="366B5374"/>
    <w:rsid w:val="36F31241"/>
    <w:rsid w:val="371B42F4"/>
    <w:rsid w:val="37450FDC"/>
    <w:rsid w:val="3763770E"/>
    <w:rsid w:val="377038A1"/>
    <w:rsid w:val="37712A39"/>
    <w:rsid w:val="377B1C39"/>
    <w:rsid w:val="3785375F"/>
    <w:rsid w:val="379365E1"/>
    <w:rsid w:val="3796579E"/>
    <w:rsid w:val="37AD13F0"/>
    <w:rsid w:val="37B130D1"/>
    <w:rsid w:val="382A2A30"/>
    <w:rsid w:val="38A354A8"/>
    <w:rsid w:val="38D95C50"/>
    <w:rsid w:val="39200F62"/>
    <w:rsid w:val="39355981"/>
    <w:rsid w:val="393C03BB"/>
    <w:rsid w:val="39403611"/>
    <w:rsid w:val="39767679"/>
    <w:rsid w:val="39B140F2"/>
    <w:rsid w:val="39C61A05"/>
    <w:rsid w:val="39DF7B4D"/>
    <w:rsid w:val="39FE0CDA"/>
    <w:rsid w:val="3A114061"/>
    <w:rsid w:val="3A1264A7"/>
    <w:rsid w:val="3A1F234D"/>
    <w:rsid w:val="3A3A160E"/>
    <w:rsid w:val="3A777905"/>
    <w:rsid w:val="3AAC6B47"/>
    <w:rsid w:val="3ACA56BB"/>
    <w:rsid w:val="3AE50133"/>
    <w:rsid w:val="3AF647D5"/>
    <w:rsid w:val="3B345EA5"/>
    <w:rsid w:val="3BDF7187"/>
    <w:rsid w:val="3C0832CB"/>
    <w:rsid w:val="3C3C1F04"/>
    <w:rsid w:val="3C7A4305"/>
    <w:rsid w:val="3CA03988"/>
    <w:rsid w:val="3D027CAA"/>
    <w:rsid w:val="3D032A61"/>
    <w:rsid w:val="3D1275D3"/>
    <w:rsid w:val="3D7E490F"/>
    <w:rsid w:val="3D820C29"/>
    <w:rsid w:val="3DB531EC"/>
    <w:rsid w:val="3DBB71E5"/>
    <w:rsid w:val="3DED2FD3"/>
    <w:rsid w:val="3DF84242"/>
    <w:rsid w:val="3E643C63"/>
    <w:rsid w:val="3EC05EAD"/>
    <w:rsid w:val="3EE05462"/>
    <w:rsid w:val="3F321F93"/>
    <w:rsid w:val="3F4157E0"/>
    <w:rsid w:val="3F70736A"/>
    <w:rsid w:val="3FD40256"/>
    <w:rsid w:val="3FEB62EC"/>
    <w:rsid w:val="403747A2"/>
    <w:rsid w:val="406C26A5"/>
    <w:rsid w:val="40913811"/>
    <w:rsid w:val="40D83598"/>
    <w:rsid w:val="41287EE2"/>
    <w:rsid w:val="41355EFE"/>
    <w:rsid w:val="41971E11"/>
    <w:rsid w:val="419E7FFC"/>
    <w:rsid w:val="41B81226"/>
    <w:rsid w:val="41D94C5C"/>
    <w:rsid w:val="420358DF"/>
    <w:rsid w:val="421A1E7F"/>
    <w:rsid w:val="42215107"/>
    <w:rsid w:val="427B09F3"/>
    <w:rsid w:val="43036342"/>
    <w:rsid w:val="432743D4"/>
    <w:rsid w:val="43324E9F"/>
    <w:rsid w:val="43592B19"/>
    <w:rsid w:val="43636125"/>
    <w:rsid w:val="436D18F1"/>
    <w:rsid w:val="439660BE"/>
    <w:rsid w:val="43AC5B43"/>
    <w:rsid w:val="43BE2796"/>
    <w:rsid w:val="43D911A2"/>
    <w:rsid w:val="44140BF5"/>
    <w:rsid w:val="449E1735"/>
    <w:rsid w:val="44B806F0"/>
    <w:rsid w:val="44C71617"/>
    <w:rsid w:val="44E23928"/>
    <w:rsid w:val="44E64CDA"/>
    <w:rsid w:val="451F76A5"/>
    <w:rsid w:val="455530C7"/>
    <w:rsid w:val="4563730C"/>
    <w:rsid w:val="456B496E"/>
    <w:rsid w:val="46051B84"/>
    <w:rsid w:val="462016F6"/>
    <w:rsid w:val="46794B93"/>
    <w:rsid w:val="46D85656"/>
    <w:rsid w:val="46F80E43"/>
    <w:rsid w:val="470B6133"/>
    <w:rsid w:val="47433E6B"/>
    <w:rsid w:val="47A35588"/>
    <w:rsid w:val="47B65BC3"/>
    <w:rsid w:val="47EF5A01"/>
    <w:rsid w:val="47F04B43"/>
    <w:rsid w:val="485B7B51"/>
    <w:rsid w:val="48694FA0"/>
    <w:rsid w:val="48710E52"/>
    <w:rsid w:val="48861F15"/>
    <w:rsid w:val="488E768B"/>
    <w:rsid w:val="48A4239B"/>
    <w:rsid w:val="48A77906"/>
    <w:rsid w:val="48B221F5"/>
    <w:rsid w:val="48E64A08"/>
    <w:rsid w:val="48F716A1"/>
    <w:rsid w:val="4905004E"/>
    <w:rsid w:val="49107A31"/>
    <w:rsid w:val="493E5A27"/>
    <w:rsid w:val="49434B1A"/>
    <w:rsid w:val="49456BA1"/>
    <w:rsid w:val="4977185E"/>
    <w:rsid w:val="49881FB8"/>
    <w:rsid w:val="49F41D5E"/>
    <w:rsid w:val="4A18230F"/>
    <w:rsid w:val="4A3239D7"/>
    <w:rsid w:val="4A8446A9"/>
    <w:rsid w:val="4A851B35"/>
    <w:rsid w:val="4A911A51"/>
    <w:rsid w:val="4AA258AA"/>
    <w:rsid w:val="4AC1512B"/>
    <w:rsid w:val="4ACC4B7A"/>
    <w:rsid w:val="4AE465BB"/>
    <w:rsid w:val="4AE86C91"/>
    <w:rsid w:val="4AEB4CA9"/>
    <w:rsid w:val="4B0C6A0F"/>
    <w:rsid w:val="4B1E31F7"/>
    <w:rsid w:val="4B2C46F6"/>
    <w:rsid w:val="4B4433DD"/>
    <w:rsid w:val="4B5D3A43"/>
    <w:rsid w:val="4B81398C"/>
    <w:rsid w:val="4BCB3573"/>
    <w:rsid w:val="4BE63BE0"/>
    <w:rsid w:val="4BFA7F3B"/>
    <w:rsid w:val="4C0258CC"/>
    <w:rsid w:val="4C175E70"/>
    <w:rsid w:val="4C33168B"/>
    <w:rsid w:val="4C7F67BA"/>
    <w:rsid w:val="4C9F5870"/>
    <w:rsid w:val="4CA00943"/>
    <w:rsid w:val="4CA35026"/>
    <w:rsid w:val="4CAC59BB"/>
    <w:rsid w:val="4CE75373"/>
    <w:rsid w:val="4CEE62DB"/>
    <w:rsid w:val="4CF512D3"/>
    <w:rsid w:val="4CFA4A2F"/>
    <w:rsid w:val="4D0E5E7C"/>
    <w:rsid w:val="4D2402CC"/>
    <w:rsid w:val="4D3A0C37"/>
    <w:rsid w:val="4D5934CA"/>
    <w:rsid w:val="4DAB4BAF"/>
    <w:rsid w:val="4DB02421"/>
    <w:rsid w:val="4DBA747C"/>
    <w:rsid w:val="4DCA28A4"/>
    <w:rsid w:val="4DE905D0"/>
    <w:rsid w:val="4E056A63"/>
    <w:rsid w:val="4E0713AF"/>
    <w:rsid w:val="4E270D69"/>
    <w:rsid w:val="4E361CE8"/>
    <w:rsid w:val="4E6505CD"/>
    <w:rsid w:val="4E802EF3"/>
    <w:rsid w:val="4EA478DF"/>
    <w:rsid w:val="4EEA47BA"/>
    <w:rsid w:val="4F2C6C47"/>
    <w:rsid w:val="4F5A6365"/>
    <w:rsid w:val="4F5C4906"/>
    <w:rsid w:val="4FAC7D88"/>
    <w:rsid w:val="50847B6A"/>
    <w:rsid w:val="508B0928"/>
    <w:rsid w:val="50DA2A2B"/>
    <w:rsid w:val="50F360E5"/>
    <w:rsid w:val="512F6184"/>
    <w:rsid w:val="51583D23"/>
    <w:rsid w:val="51716D54"/>
    <w:rsid w:val="517A2D7F"/>
    <w:rsid w:val="51A55210"/>
    <w:rsid w:val="522536D8"/>
    <w:rsid w:val="523C53F3"/>
    <w:rsid w:val="527B4C80"/>
    <w:rsid w:val="528257B0"/>
    <w:rsid w:val="529F28F5"/>
    <w:rsid w:val="52E825E3"/>
    <w:rsid w:val="52ED6418"/>
    <w:rsid w:val="52F94BEA"/>
    <w:rsid w:val="530A0097"/>
    <w:rsid w:val="531F17AA"/>
    <w:rsid w:val="534837A5"/>
    <w:rsid w:val="534D5F68"/>
    <w:rsid w:val="53A81EAA"/>
    <w:rsid w:val="53B405F1"/>
    <w:rsid w:val="53C15826"/>
    <w:rsid w:val="53D5501F"/>
    <w:rsid w:val="53EF1CE9"/>
    <w:rsid w:val="54104D89"/>
    <w:rsid w:val="545A6B19"/>
    <w:rsid w:val="54EC36EB"/>
    <w:rsid w:val="550F77F0"/>
    <w:rsid w:val="55333CC0"/>
    <w:rsid w:val="553F2A57"/>
    <w:rsid w:val="557D34CF"/>
    <w:rsid w:val="55967510"/>
    <w:rsid w:val="55BA4166"/>
    <w:rsid w:val="56547E4D"/>
    <w:rsid w:val="566645B1"/>
    <w:rsid w:val="566D4B95"/>
    <w:rsid w:val="56824003"/>
    <w:rsid w:val="5682580A"/>
    <w:rsid w:val="56BB75CD"/>
    <w:rsid w:val="56D80DA4"/>
    <w:rsid w:val="56DD43DA"/>
    <w:rsid w:val="572533A1"/>
    <w:rsid w:val="572656D4"/>
    <w:rsid w:val="575C3E33"/>
    <w:rsid w:val="578671EF"/>
    <w:rsid w:val="578F43D7"/>
    <w:rsid w:val="57933416"/>
    <w:rsid w:val="57AF4A5A"/>
    <w:rsid w:val="57B27F05"/>
    <w:rsid w:val="581C664C"/>
    <w:rsid w:val="587D44C8"/>
    <w:rsid w:val="59234CED"/>
    <w:rsid w:val="597871F5"/>
    <w:rsid w:val="59AD06A4"/>
    <w:rsid w:val="59CC3500"/>
    <w:rsid w:val="59D80F8D"/>
    <w:rsid w:val="59FE197D"/>
    <w:rsid w:val="5A083D3D"/>
    <w:rsid w:val="5A3730D1"/>
    <w:rsid w:val="5A464241"/>
    <w:rsid w:val="5A4D586D"/>
    <w:rsid w:val="5A6249B0"/>
    <w:rsid w:val="5A681E72"/>
    <w:rsid w:val="5A7D35A2"/>
    <w:rsid w:val="5B0C077A"/>
    <w:rsid w:val="5B612C4C"/>
    <w:rsid w:val="5BCA7726"/>
    <w:rsid w:val="5CA50DB1"/>
    <w:rsid w:val="5CF75660"/>
    <w:rsid w:val="5D3F4364"/>
    <w:rsid w:val="5D7B59E0"/>
    <w:rsid w:val="5DB140B1"/>
    <w:rsid w:val="5DE352BC"/>
    <w:rsid w:val="5E1D5979"/>
    <w:rsid w:val="5E2D304C"/>
    <w:rsid w:val="5E304CEC"/>
    <w:rsid w:val="5E6E0915"/>
    <w:rsid w:val="5E730A32"/>
    <w:rsid w:val="5EA20CD3"/>
    <w:rsid w:val="5EE84C68"/>
    <w:rsid w:val="5F2B49A3"/>
    <w:rsid w:val="5F585836"/>
    <w:rsid w:val="5FA703FC"/>
    <w:rsid w:val="5FD27396"/>
    <w:rsid w:val="60155BC9"/>
    <w:rsid w:val="60235E44"/>
    <w:rsid w:val="602463B0"/>
    <w:rsid w:val="6026592A"/>
    <w:rsid w:val="602947A1"/>
    <w:rsid w:val="60434F7A"/>
    <w:rsid w:val="605342C8"/>
    <w:rsid w:val="60A06904"/>
    <w:rsid w:val="60A0712D"/>
    <w:rsid w:val="60BF076D"/>
    <w:rsid w:val="60C10E4E"/>
    <w:rsid w:val="60E07B05"/>
    <w:rsid w:val="613900F1"/>
    <w:rsid w:val="61905A69"/>
    <w:rsid w:val="61980E77"/>
    <w:rsid w:val="61CB661A"/>
    <w:rsid w:val="61CE1229"/>
    <w:rsid w:val="621D5BA4"/>
    <w:rsid w:val="624D267E"/>
    <w:rsid w:val="627C7994"/>
    <w:rsid w:val="62BD3EAB"/>
    <w:rsid w:val="62E907B2"/>
    <w:rsid w:val="631559F0"/>
    <w:rsid w:val="63197EAF"/>
    <w:rsid w:val="635A36A1"/>
    <w:rsid w:val="635B6748"/>
    <w:rsid w:val="638D2F58"/>
    <w:rsid w:val="63947A95"/>
    <w:rsid w:val="639A641D"/>
    <w:rsid w:val="639C0AE0"/>
    <w:rsid w:val="63AA3E49"/>
    <w:rsid w:val="63CE2FB9"/>
    <w:rsid w:val="63F55ABD"/>
    <w:rsid w:val="640071F0"/>
    <w:rsid w:val="6401505A"/>
    <w:rsid w:val="64033166"/>
    <w:rsid w:val="641D6FC0"/>
    <w:rsid w:val="648954F6"/>
    <w:rsid w:val="648A0240"/>
    <w:rsid w:val="64BC3626"/>
    <w:rsid w:val="64DA7A2D"/>
    <w:rsid w:val="64ED73F9"/>
    <w:rsid w:val="64EE6AF5"/>
    <w:rsid w:val="64F1238E"/>
    <w:rsid w:val="65155B50"/>
    <w:rsid w:val="65BF607C"/>
    <w:rsid w:val="65F8446C"/>
    <w:rsid w:val="66091E07"/>
    <w:rsid w:val="662A48C2"/>
    <w:rsid w:val="6666019A"/>
    <w:rsid w:val="669E1D96"/>
    <w:rsid w:val="66DD6D69"/>
    <w:rsid w:val="66F760B0"/>
    <w:rsid w:val="6744501E"/>
    <w:rsid w:val="676F49FF"/>
    <w:rsid w:val="67974D69"/>
    <w:rsid w:val="67B05ABC"/>
    <w:rsid w:val="67B167D1"/>
    <w:rsid w:val="67C93E95"/>
    <w:rsid w:val="67DB0789"/>
    <w:rsid w:val="67E17416"/>
    <w:rsid w:val="681418DD"/>
    <w:rsid w:val="682B1D3A"/>
    <w:rsid w:val="683603CF"/>
    <w:rsid w:val="685F1C50"/>
    <w:rsid w:val="686077A7"/>
    <w:rsid w:val="68E349D8"/>
    <w:rsid w:val="693409D5"/>
    <w:rsid w:val="699022E9"/>
    <w:rsid w:val="6A3B1BE1"/>
    <w:rsid w:val="6A3F7126"/>
    <w:rsid w:val="6A4F0D8A"/>
    <w:rsid w:val="6A6B03B3"/>
    <w:rsid w:val="6A714498"/>
    <w:rsid w:val="6AB13810"/>
    <w:rsid w:val="6AE33468"/>
    <w:rsid w:val="6B0C0BA6"/>
    <w:rsid w:val="6B2B0956"/>
    <w:rsid w:val="6B99448D"/>
    <w:rsid w:val="6B9B71D6"/>
    <w:rsid w:val="6BB22A33"/>
    <w:rsid w:val="6BBD7CE7"/>
    <w:rsid w:val="6BBE1BFC"/>
    <w:rsid w:val="6BD10A8C"/>
    <w:rsid w:val="6C0322D7"/>
    <w:rsid w:val="6CBA7F7A"/>
    <w:rsid w:val="6CE1357E"/>
    <w:rsid w:val="6D1948A3"/>
    <w:rsid w:val="6D4E25C6"/>
    <w:rsid w:val="6D585574"/>
    <w:rsid w:val="6D602485"/>
    <w:rsid w:val="6D6527CE"/>
    <w:rsid w:val="6D724208"/>
    <w:rsid w:val="6D84162C"/>
    <w:rsid w:val="6DA36734"/>
    <w:rsid w:val="6DC1278F"/>
    <w:rsid w:val="6DD03641"/>
    <w:rsid w:val="6DDF7B77"/>
    <w:rsid w:val="6DE54014"/>
    <w:rsid w:val="6E027099"/>
    <w:rsid w:val="6E526272"/>
    <w:rsid w:val="6F010ED9"/>
    <w:rsid w:val="6F096E54"/>
    <w:rsid w:val="6F1E75BC"/>
    <w:rsid w:val="6F3E67F6"/>
    <w:rsid w:val="6F6434C5"/>
    <w:rsid w:val="6FA06C83"/>
    <w:rsid w:val="6FAB550E"/>
    <w:rsid w:val="6FC330B5"/>
    <w:rsid w:val="6FE95DE3"/>
    <w:rsid w:val="702C526E"/>
    <w:rsid w:val="70A3465F"/>
    <w:rsid w:val="70A61BAC"/>
    <w:rsid w:val="70C037D9"/>
    <w:rsid w:val="70F467DE"/>
    <w:rsid w:val="71160C19"/>
    <w:rsid w:val="714C78AC"/>
    <w:rsid w:val="71CD4280"/>
    <w:rsid w:val="71FA4311"/>
    <w:rsid w:val="720019B7"/>
    <w:rsid w:val="72114941"/>
    <w:rsid w:val="724C433E"/>
    <w:rsid w:val="725D7780"/>
    <w:rsid w:val="726A1011"/>
    <w:rsid w:val="727151E7"/>
    <w:rsid w:val="72960910"/>
    <w:rsid w:val="72BF1E3A"/>
    <w:rsid w:val="72C60D24"/>
    <w:rsid w:val="72F06EE8"/>
    <w:rsid w:val="72FE4EAC"/>
    <w:rsid w:val="731A7EAB"/>
    <w:rsid w:val="738F5AD0"/>
    <w:rsid w:val="73F95B19"/>
    <w:rsid w:val="7415191F"/>
    <w:rsid w:val="74324EAC"/>
    <w:rsid w:val="7444613E"/>
    <w:rsid w:val="744B26EE"/>
    <w:rsid w:val="745919C6"/>
    <w:rsid w:val="746278CC"/>
    <w:rsid w:val="74702A9A"/>
    <w:rsid w:val="749D4192"/>
    <w:rsid w:val="75200E60"/>
    <w:rsid w:val="75485619"/>
    <w:rsid w:val="754E5AAC"/>
    <w:rsid w:val="754F247E"/>
    <w:rsid w:val="7572072A"/>
    <w:rsid w:val="757278E6"/>
    <w:rsid w:val="75745308"/>
    <w:rsid w:val="75E60151"/>
    <w:rsid w:val="75F26280"/>
    <w:rsid w:val="761C2BBB"/>
    <w:rsid w:val="7671701C"/>
    <w:rsid w:val="76727B5B"/>
    <w:rsid w:val="769A2EC1"/>
    <w:rsid w:val="76F123A0"/>
    <w:rsid w:val="7726192C"/>
    <w:rsid w:val="772628C0"/>
    <w:rsid w:val="772F7165"/>
    <w:rsid w:val="774065EE"/>
    <w:rsid w:val="776A1DE8"/>
    <w:rsid w:val="77AA3947"/>
    <w:rsid w:val="77AA6501"/>
    <w:rsid w:val="77C80D66"/>
    <w:rsid w:val="77FA42FF"/>
    <w:rsid w:val="7827495D"/>
    <w:rsid w:val="785573E0"/>
    <w:rsid w:val="785D00CA"/>
    <w:rsid w:val="78A70115"/>
    <w:rsid w:val="78D02752"/>
    <w:rsid w:val="78D07DA7"/>
    <w:rsid w:val="790F6CDE"/>
    <w:rsid w:val="794D17A5"/>
    <w:rsid w:val="79A656C4"/>
    <w:rsid w:val="79A720C0"/>
    <w:rsid w:val="79C052D1"/>
    <w:rsid w:val="79D235E0"/>
    <w:rsid w:val="79D9410D"/>
    <w:rsid w:val="7A095C81"/>
    <w:rsid w:val="7A271FE6"/>
    <w:rsid w:val="7A350C22"/>
    <w:rsid w:val="7A717DF2"/>
    <w:rsid w:val="7A95520D"/>
    <w:rsid w:val="7AC16313"/>
    <w:rsid w:val="7AF05BE9"/>
    <w:rsid w:val="7B147EFA"/>
    <w:rsid w:val="7B1642C0"/>
    <w:rsid w:val="7B7D4202"/>
    <w:rsid w:val="7B8C6B3B"/>
    <w:rsid w:val="7BB74DD8"/>
    <w:rsid w:val="7BD81D81"/>
    <w:rsid w:val="7C1F4795"/>
    <w:rsid w:val="7C2A2A4E"/>
    <w:rsid w:val="7C964103"/>
    <w:rsid w:val="7CBA27F4"/>
    <w:rsid w:val="7CBC429C"/>
    <w:rsid w:val="7D6E784A"/>
    <w:rsid w:val="7D9046C1"/>
    <w:rsid w:val="7D9C11DF"/>
    <w:rsid w:val="7DDB2618"/>
    <w:rsid w:val="7DDD6CEA"/>
    <w:rsid w:val="7DED0920"/>
    <w:rsid w:val="7E2C7F89"/>
    <w:rsid w:val="7E636E14"/>
    <w:rsid w:val="7E7044F2"/>
    <w:rsid w:val="7E7F1AD5"/>
    <w:rsid w:val="7E984FF7"/>
    <w:rsid w:val="7E9B66C1"/>
    <w:rsid w:val="7EC81C39"/>
    <w:rsid w:val="7EEF0BD6"/>
    <w:rsid w:val="7F1B4439"/>
    <w:rsid w:val="7F32693E"/>
    <w:rsid w:val="7F865F8F"/>
    <w:rsid w:val="7FB47832"/>
    <w:rsid w:val="7FDB3B8D"/>
    <w:rsid w:val="7FDC27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qFormat="1" w:unhideWhenUsed="0" w:uiPriority="99" w:semiHidden="0" w:name="toc 2"/>
    <w:lsdException w:uiPriority="39" w:name="toc 3" w:locked="1"/>
    <w:lsdException w:qFormat="1" w:uiPriority="39" w:semiHidden="0" w:name="toc 4" w:locked="1"/>
    <w:lsdException w:uiPriority="39" w:name="toc 5" w:locked="1"/>
    <w:lsdException w:qFormat="1" w:unhideWhenUsed="0" w:uiPriority="39" w:semiHidden="0" w:name="toc 6" w:locked="1"/>
    <w:lsdException w:uiPriority="39" w:name="toc 7" w:locked="1"/>
    <w:lsdException w:qFormat="1" w:unhideWhenUsed="0" w:uiPriority="0" w:semiHidden="0" w:name="toc 8" w:locked="1"/>
    <w:lsdException w:uiPriority="39" w:name="toc 9" w:locked="1"/>
    <w:lsdException w:qFormat="1" w:unhideWhenUsed="0" w:uiPriority="99" w:semiHidden="0" w:name="Normal Indent"/>
    <w:lsdException w:qFormat="1"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0" w:semiHidden="0" w:name="envelope return" w:locked="1"/>
    <w:lsdException w:qFormat="1" w:uiPriority="99"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0" w:semiHidden="0" w:name="List" w:locked="1"/>
    <w:lsdException w:uiPriority="99" w:name="List Bullet" w:locked="1"/>
    <w:lsdException w:qFormat="1" w:unhideWhenUsed="0" w:uiPriority="99" w:semiHidden="0" w:name="List Number"/>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qFormat="1" w:unhideWhenUsed="0" w:uiPriority="0" w:semiHidden="0" w:name="Body Text 3" w:locked="1"/>
    <w:lsdException w:uiPriority="99" w:name="Body Text Indent 2" w:locked="1"/>
    <w:lsdException w:uiPriority="99" w:name="Body Text Indent 3" w:locked="1"/>
    <w:lsdException w:qFormat="1" w:unhideWhenUsed="0" w:uiPriority="99" w:semiHidden="0" w:name="Block Text" w:locked="1"/>
    <w:lsdException w:qFormat="1" w:unhideWhenUsed="0" w:uiPriority="0"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4"/>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83"/>
    <w:qFormat/>
    <w:uiPriority w:val="99"/>
    <w:pPr>
      <w:keepNext/>
      <w:keepLines/>
      <w:spacing w:before="260" w:after="260" w:line="416" w:lineRule="auto"/>
      <w:outlineLvl w:val="1"/>
    </w:pPr>
    <w:rPr>
      <w:rFonts w:ascii="Calibri Light" w:hAnsi="Calibri Light"/>
      <w:b/>
      <w:bCs/>
      <w:sz w:val="32"/>
      <w:szCs w:val="32"/>
    </w:rPr>
  </w:style>
  <w:style w:type="paragraph" w:styleId="5">
    <w:name w:val="heading 3"/>
    <w:basedOn w:val="1"/>
    <w:next w:val="1"/>
    <w:link w:val="46"/>
    <w:qFormat/>
    <w:uiPriority w:val="99"/>
    <w:pPr>
      <w:keepNext/>
      <w:keepLines/>
      <w:spacing w:before="260" w:after="260" w:line="416" w:lineRule="auto"/>
      <w:outlineLvl w:val="2"/>
    </w:pPr>
    <w:rPr>
      <w:b/>
      <w:bCs/>
      <w:sz w:val="32"/>
      <w:szCs w:val="32"/>
    </w:rPr>
  </w:style>
  <w:style w:type="paragraph" w:styleId="2">
    <w:name w:val="heading 4"/>
    <w:basedOn w:val="1"/>
    <w:next w:val="1"/>
    <w:qFormat/>
    <w:locked/>
    <w:uiPriority w:val="0"/>
    <w:pPr>
      <w:keepNext/>
      <w:keepLines/>
      <w:spacing w:before="280" w:after="290" w:line="372" w:lineRule="auto"/>
      <w:outlineLvl w:val="3"/>
    </w:pPr>
    <w:rPr>
      <w:rFonts w:ascii="Arial" w:hAnsi="Arial" w:eastAsia="黑体"/>
      <w:b/>
      <w:bCs/>
      <w:sz w:val="28"/>
      <w:szCs w:val="28"/>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6">
    <w:name w:val="List Number"/>
    <w:basedOn w:val="1"/>
    <w:qFormat/>
    <w:uiPriority w:val="99"/>
    <w:pPr>
      <w:numPr>
        <w:ilvl w:val="0"/>
        <w:numId w:val="1"/>
      </w:numPr>
    </w:pPr>
  </w:style>
  <w:style w:type="paragraph" w:styleId="7">
    <w:name w:val="Normal Indent"/>
    <w:basedOn w:val="1"/>
    <w:next w:val="8"/>
    <w:qFormat/>
    <w:uiPriority w:val="99"/>
    <w:pPr>
      <w:ind w:firstLine="420"/>
    </w:pPr>
    <w:rPr>
      <w:szCs w:val="20"/>
    </w:rPr>
  </w:style>
  <w:style w:type="paragraph" w:styleId="8">
    <w:name w:val="toc 2"/>
    <w:basedOn w:val="1"/>
    <w:next w:val="1"/>
    <w:qFormat/>
    <w:uiPriority w:val="99"/>
    <w:pPr>
      <w:ind w:left="420" w:leftChars="200"/>
    </w:pPr>
  </w:style>
  <w:style w:type="paragraph" w:styleId="9">
    <w:name w:val="annotation text"/>
    <w:basedOn w:val="1"/>
    <w:link w:val="48"/>
    <w:qFormat/>
    <w:uiPriority w:val="99"/>
    <w:pPr>
      <w:jc w:val="left"/>
    </w:pPr>
  </w:style>
  <w:style w:type="paragraph" w:styleId="10">
    <w:name w:val="Body Text 3"/>
    <w:basedOn w:val="1"/>
    <w:qFormat/>
    <w:locked/>
    <w:uiPriority w:val="0"/>
    <w:pPr>
      <w:spacing w:line="360" w:lineRule="auto"/>
      <w:jc w:val="center"/>
    </w:pPr>
    <w:rPr>
      <w:rFonts w:ascii="宋体" w:hAnsi="宋体"/>
      <w:bCs/>
      <w:iCs/>
      <w:szCs w:val="28"/>
    </w:rPr>
  </w:style>
  <w:style w:type="paragraph" w:styleId="11">
    <w:name w:val="Body Text"/>
    <w:basedOn w:val="1"/>
    <w:next w:val="12"/>
    <w:link w:val="47"/>
    <w:qFormat/>
    <w:uiPriority w:val="99"/>
    <w:pPr>
      <w:spacing w:line="360" w:lineRule="exact"/>
    </w:pPr>
    <w:rPr>
      <w:sz w:val="24"/>
    </w:rPr>
  </w:style>
  <w:style w:type="paragraph" w:styleId="12">
    <w:name w:val="Body Text First Indent"/>
    <w:basedOn w:val="11"/>
    <w:next w:val="13"/>
    <w:qFormat/>
    <w:locked/>
    <w:uiPriority w:val="99"/>
    <w:pPr>
      <w:ind w:firstLine="420"/>
    </w:pPr>
    <w:rPr>
      <w:sz w:val="21"/>
    </w:rPr>
  </w:style>
  <w:style w:type="paragraph" w:styleId="13">
    <w:name w:val="toc 6"/>
    <w:basedOn w:val="1"/>
    <w:next w:val="1"/>
    <w:qFormat/>
    <w:locked/>
    <w:uiPriority w:val="39"/>
    <w:pPr>
      <w:widowControl/>
      <w:ind w:left="1000"/>
      <w:jc w:val="left"/>
    </w:pPr>
    <w:rPr>
      <w:kern w:val="0"/>
      <w:sz w:val="18"/>
      <w:szCs w:val="20"/>
    </w:rPr>
  </w:style>
  <w:style w:type="paragraph" w:styleId="14">
    <w:name w:val="Body Text Indent"/>
    <w:basedOn w:val="1"/>
    <w:next w:val="15"/>
    <w:link w:val="49"/>
    <w:qFormat/>
    <w:uiPriority w:val="99"/>
    <w:pPr>
      <w:spacing w:after="120"/>
      <w:ind w:left="420" w:leftChars="200"/>
    </w:pPr>
  </w:style>
  <w:style w:type="paragraph" w:styleId="15">
    <w:name w:val="envelope return"/>
    <w:basedOn w:val="1"/>
    <w:qFormat/>
    <w:locked/>
    <w:uiPriority w:val="0"/>
    <w:pPr>
      <w:snapToGrid w:val="0"/>
    </w:pPr>
    <w:rPr>
      <w:rFonts w:ascii="Arial" w:hAnsi="Arial"/>
    </w:rPr>
  </w:style>
  <w:style w:type="paragraph" w:styleId="16">
    <w:name w:val="Block Text"/>
    <w:basedOn w:val="1"/>
    <w:qFormat/>
    <w:locked/>
    <w:uiPriority w:val="99"/>
    <w:pPr>
      <w:adjustRightInd w:val="0"/>
      <w:spacing w:line="300" w:lineRule="auto"/>
      <w:ind w:left="958" w:right="-120" w:rightChars="-120"/>
      <w:jc w:val="left"/>
    </w:pPr>
    <w:rPr>
      <w:rFonts w:ascii="宋体" w:hAnsi="宋体"/>
      <w:sz w:val="28"/>
    </w:rPr>
  </w:style>
  <w:style w:type="paragraph" w:styleId="17">
    <w:name w:val="Plain Text"/>
    <w:basedOn w:val="1"/>
    <w:next w:val="18"/>
    <w:link w:val="50"/>
    <w:qFormat/>
    <w:uiPriority w:val="99"/>
    <w:rPr>
      <w:rFonts w:ascii="宋体" w:hAnsi="Courier New"/>
    </w:rPr>
  </w:style>
  <w:style w:type="paragraph" w:styleId="18">
    <w:name w:val="Date"/>
    <w:basedOn w:val="1"/>
    <w:next w:val="1"/>
    <w:link w:val="51"/>
    <w:qFormat/>
    <w:uiPriority w:val="99"/>
    <w:pPr>
      <w:ind w:left="2500" w:leftChars="2500"/>
    </w:pPr>
    <w:rPr>
      <w:rFonts w:ascii="Calibri" w:hAnsi="Calibri" w:eastAsia="楷体_GB2312"/>
      <w:sz w:val="32"/>
      <w:szCs w:val="22"/>
    </w:rPr>
  </w:style>
  <w:style w:type="paragraph" w:styleId="19">
    <w:name w:val="toc 8"/>
    <w:basedOn w:val="1"/>
    <w:next w:val="1"/>
    <w:qFormat/>
    <w:locked/>
    <w:uiPriority w:val="0"/>
    <w:pPr>
      <w:ind w:left="2940" w:leftChars="1400"/>
    </w:pPr>
    <w:rPr>
      <w:rFonts w:ascii="Calibri" w:hAnsi="Calibri"/>
      <w:szCs w:val="22"/>
    </w:rPr>
  </w:style>
  <w:style w:type="paragraph" w:styleId="20">
    <w:name w:val="Balloon Text"/>
    <w:basedOn w:val="1"/>
    <w:link w:val="52"/>
    <w:qFormat/>
    <w:uiPriority w:val="99"/>
    <w:rPr>
      <w:sz w:val="18"/>
      <w:szCs w:val="18"/>
    </w:rPr>
  </w:style>
  <w:style w:type="paragraph" w:styleId="21">
    <w:name w:val="footer"/>
    <w:basedOn w:val="1"/>
    <w:link w:val="53"/>
    <w:qFormat/>
    <w:uiPriority w:val="99"/>
    <w:pPr>
      <w:tabs>
        <w:tab w:val="center" w:pos="4153"/>
        <w:tab w:val="right" w:pos="8306"/>
      </w:tabs>
      <w:snapToGrid w:val="0"/>
      <w:jc w:val="left"/>
    </w:pPr>
    <w:rPr>
      <w:sz w:val="18"/>
    </w:rPr>
  </w:style>
  <w:style w:type="paragraph" w:styleId="22">
    <w:name w:val="header"/>
    <w:basedOn w:val="1"/>
    <w:link w:val="5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3">
    <w:name w:val="toc 4"/>
    <w:basedOn w:val="1"/>
    <w:next w:val="1"/>
    <w:unhideWhenUsed/>
    <w:qFormat/>
    <w:locked/>
    <w:uiPriority w:val="39"/>
    <w:pPr>
      <w:ind w:left="630"/>
      <w:jc w:val="left"/>
    </w:pPr>
    <w:rPr>
      <w:rFonts w:ascii="Calibri" w:hAnsi="Calibri"/>
      <w:sz w:val="18"/>
      <w:szCs w:val="18"/>
    </w:rPr>
  </w:style>
  <w:style w:type="paragraph" w:styleId="24">
    <w:name w:val="List"/>
    <w:basedOn w:val="1"/>
    <w:qFormat/>
    <w:locked/>
    <w:uiPriority w:val="0"/>
    <w:pPr>
      <w:ind w:left="200" w:hanging="200" w:hangingChars="200"/>
    </w:pPr>
  </w:style>
  <w:style w:type="paragraph" w:styleId="25">
    <w:name w:val="footnote text"/>
    <w:basedOn w:val="1"/>
    <w:semiHidden/>
    <w:unhideWhenUsed/>
    <w:qFormat/>
    <w:locked/>
    <w:uiPriority w:val="99"/>
    <w:pPr>
      <w:snapToGrid w:val="0"/>
      <w:jc w:val="left"/>
    </w:pPr>
    <w:rPr>
      <w:sz w:val="18"/>
    </w:rPr>
  </w:style>
  <w:style w:type="paragraph" w:styleId="26">
    <w:name w:val="Normal (Web)"/>
    <w:basedOn w:val="1"/>
    <w:next w:val="8"/>
    <w:qFormat/>
    <w:uiPriority w:val="99"/>
    <w:pPr>
      <w:widowControl/>
      <w:spacing w:before="100" w:beforeAutospacing="1" w:after="100" w:afterAutospacing="1"/>
      <w:jc w:val="left"/>
    </w:pPr>
    <w:rPr>
      <w:rFonts w:ascii="宋体" w:hAnsi="宋体"/>
      <w:kern w:val="0"/>
      <w:sz w:val="24"/>
    </w:rPr>
  </w:style>
  <w:style w:type="paragraph" w:styleId="27">
    <w:name w:val="Title"/>
    <w:basedOn w:val="1"/>
    <w:next w:val="1"/>
    <w:qFormat/>
    <w:locked/>
    <w:uiPriority w:val="0"/>
    <w:pPr>
      <w:widowControl/>
      <w:overflowPunct w:val="0"/>
      <w:autoSpaceDE w:val="0"/>
      <w:autoSpaceDN w:val="0"/>
      <w:adjustRightInd w:val="0"/>
      <w:spacing w:line="420" w:lineRule="exact"/>
      <w:jc w:val="center"/>
      <w:textAlignment w:val="baseline"/>
    </w:pPr>
    <w:rPr>
      <w:rFonts w:eastAsia="黑体"/>
      <w:b/>
      <w:kern w:val="0"/>
      <w:sz w:val="28"/>
      <w:szCs w:val="20"/>
      <w:lang w:val="en-GB"/>
    </w:rPr>
  </w:style>
  <w:style w:type="paragraph" w:styleId="28">
    <w:name w:val="annotation subject"/>
    <w:basedOn w:val="9"/>
    <w:next w:val="9"/>
    <w:link w:val="55"/>
    <w:qFormat/>
    <w:uiPriority w:val="99"/>
    <w:rPr>
      <w:b/>
      <w:bCs/>
    </w:rPr>
  </w:style>
  <w:style w:type="paragraph" w:styleId="29">
    <w:name w:val="Body Text First Indent 2"/>
    <w:basedOn w:val="14"/>
    <w:next w:val="1"/>
    <w:qFormat/>
    <w:locked/>
    <w:uiPriority w:val="0"/>
    <w:pPr>
      <w:ind w:firstLine="420"/>
    </w:pPr>
  </w:style>
  <w:style w:type="table" w:styleId="31">
    <w:name w:val="Table Grid"/>
    <w:basedOn w:val="30"/>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basedOn w:val="32"/>
    <w:qFormat/>
    <w:locked/>
    <w:uiPriority w:val="22"/>
    <w:rPr>
      <w:b/>
    </w:rPr>
  </w:style>
  <w:style w:type="character" w:styleId="34">
    <w:name w:val="page number"/>
    <w:basedOn w:val="32"/>
    <w:qFormat/>
    <w:locked/>
    <w:uiPriority w:val="0"/>
  </w:style>
  <w:style w:type="character" w:styleId="35">
    <w:name w:val="Hyperlink"/>
    <w:basedOn w:val="32"/>
    <w:qFormat/>
    <w:locked/>
    <w:uiPriority w:val="0"/>
    <w:rPr>
      <w:color w:val="0000FF"/>
      <w:u w:val="single"/>
    </w:rPr>
  </w:style>
  <w:style w:type="character" w:styleId="36">
    <w:name w:val="annotation reference"/>
    <w:qFormat/>
    <w:uiPriority w:val="99"/>
    <w:rPr>
      <w:rFonts w:cs="Times New Roman"/>
      <w:sz w:val="21"/>
      <w:szCs w:val="21"/>
    </w:rPr>
  </w:style>
  <w:style w:type="character" w:styleId="37">
    <w:name w:val="footnote reference"/>
    <w:basedOn w:val="32"/>
    <w:semiHidden/>
    <w:unhideWhenUsed/>
    <w:qFormat/>
    <w:locked/>
    <w:uiPriority w:val="99"/>
    <w:rPr>
      <w:vertAlign w:val="superscript"/>
    </w:rPr>
  </w:style>
  <w:style w:type="paragraph" w:customStyle="1" w:styleId="38">
    <w:name w:val="签发人"/>
    <w:basedOn w:val="1"/>
    <w:qFormat/>
    <w:uiPriority w:val="0"/>
    <w:rPr>
      <w:rFonts w:eastAsia="楷体"/>
      <w:sz w:val="32"/>
    </w:rPr>
  </w:style>
  <w:style w:type="character" w:customStyle="1" w:styleId="39">
    <w:name w:val="NormalCharacter"/>
    <w:link w:val="40"/>
    <w:qFormat/>
    <w:uiPriority w:val="0"/>
    <w:rPr>
      <w:rFonts w:ascii="黑体" w:eastAsia="黑体"/>
      <w:kern w:val="0"/>
      <w:sz w:val="24"/>
    </w:rPr>
  </w:style>
  <w:style w:type="paragraph" w:customStyle="1" w:styleId="40">
    <w:name w:val="UserStyle_23"/>
    <w:basedOn w:val="1"/>
    <w:link w:val="39"/>
    <w:qFormat/>
    <w:uiPriority w:val="0"/>
    <w:pPr>
      <w:textAlignment w:val="baseline"/>
    </w:pPr>
    <w:rPr>
      <w:rFonts w:ascii="黑体" w:eastAsia="黑体"/>
      <w:kern w:val="0"/>
      <w:sz w:val="24"/>
    </w:rPr>
  </w:style>
  <w:style w:type="paragraph" w:customStyle="1" w:styleId="41">
    <w:name w:val="_Style 4"/>
    <w:next w:val="1"/>
    <w:qFormat/>
    <w:uiPriority w:val="0"/>
    <w:pPr>
      <w:wordWrap w:val="0"/>
    </w:pPr>
    <w:rPr>
      <w:rFonts w:ascii="Times New Roman" w:hAnsi="Times New Roman" w:eastAsia="宋体" w:cs="Times New Roman"/>
      <w:sz w:val="32"/>
      <w:lang w:val="en-US" w:eastAsia="zh-CN" w:bidi="ar-SA"/>
    </w:rPr>
  </w:style>
  <w:style w:type="paragraph" w:customStyle="1" w:styleId="42">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43">
    <w:name w:val="正文（首行缩进2字符）"/>
    <w:basedOn w:val="1"/>
    <w:qFormat/>
    <w:uiPriority w:val="0"/>
    <w:pPr>
      <w:spacing w:line="360" w:lineRule="auto"/>
      <w:ind w:firstLine="420" w:firstLineChars="200"/>
    </w:pPr>
    <w:rPr>
      <w:szCs w:val="21"/>
    </w:rPr>
  </w:style>
  <w:style w:type="character" w:customStyle="1" w:styleId="44">
    <w:name w:val="标题 1 Char"/>
    <w:link w:val="3"/>
    <w:qFormat/>
    <w:locked/>
    <w:uiPriority w:val="99"/>
    <w:rPr>
      <w:rFonts w:ascii="Times New Roman" w:hAnsi="Times New Roman" w:cs="Times New Roman"/>
      <w:b/>
      <w:bCs/>
      <w:kern w:val="44"/>
      <w:sz w:val="44"/>
      <w:szCs w:val="44"/>
    </w:rPr>
  </w:style>
  <w:style w:type="character" w:customStyle="1" w:styleId="45">
    <w:name w:val="标题 2 字符"/>
    <w:semiHidden/>
    <w:qFormat/>
    <w:locked/>
    <w:uiPriority w:val="99"/>
    <w:rPr>
      <w:rFonts w:ascii="Cambria" w:hAnsi="Cambria" w:eastAsia="宋体" w:cs="Times New Roman"/>
      <w:b/>
      <w:bCs/>
      <w:sz w:val="32"/>
      <w:szCs w:val="32"/>
    </w:rPr>
  </w:style>
  <w:style w:type="character" w:customStyle="1" w:styleId="46">
    <w:name w:val="标题 3 Char"/>
    <w:link w:val="5"/>
    <w:semiHidden/>
    <w:qFormat/>
    <w:locked/>
    <w:uiPriority w:val="99"/>
    <w:rPr>
      <w:rFonts w:cs="Times New Roman"/>
      <w:b/>
      <w:bCs/>
      <w:sz w:val="32"/>
      <w:szCs w:val="32"/>
    </w:rPr>
  </w:style>
  <w:style w:type="character" w:customStyle="1" w:styleId="47">
    <w:name w:val="正文文本 Char"/>
    <w:link w:val="11"/>
    <w:semiHidden/>
    <w:qFormat/>
    <w:locked/>
    <w:uiPriority w:val="99"/>
    <w:rPr>
      <w:rFonts w:cs="Times New Roman"/>
      <w:sz w:val="24"/>
      <w:szCs w:val="24"/>
    </w:rPr>
  </w:style>
  <w:style w:type="character" w:customStyle="1" w:styleId="48">
    <w:name w:val="批注文字 Char"/>
    <w:link w:val="9"/>
    <w:qFormat/>
    <w:locked/>
    <w:uiPriority w:val="99"/>
    <w:rPr>
      <w:rFonts w:ascii="Times New Roman" w:hAnsi="Times New Roman" w:eastAsia="宋体" w:cs="Times New Roman"/>
      <w:kern w:val="2"/>
      <w:sz w:val="24"/>
      <w:szCs w:val="24"/>
    </w:rPr>
  </w:style>
  <w:style w:type="character" w:customStyle="1" w:styleId="49">
    <w:name w:val="正文文本缩进 Char"/>
    <w:link w:val="14"/>
    <w:qFormat/>
    <w:locked/>
    <w:uiPriority w:val="99"/>
    <w:rPr>
      <w:rFonts w:cs="Times New Roman"/>
      <w:kern w:val="2"/>
      <w:sz w:val="24"/>
      <w:szCs w:val="24"/>
    </w:rPr>
  </w:style>
  <w:style w:type="character" w:customStyle="1" w:styleId="50">
    <w:name w:val="纯文本 Char"/>
    <w:link w:val="17"/>
    <w:semiHidden/>
    <w:qFormat/>
    <w:locked/>
    <w:uiPriority w:val="99"/>
    <w:rPr>
      <w:rFonts w:ascii="宋体" w:hAnsi="Courier New" w:cs="Courier New"/>
      <w:sz w:val="21"/>
      <w:szCs w:val="21"/>
    </w:rPr>
  </w:style>
  <w:style w:type="character" w:customStyle="1" w:styleId="51">
    <w:name w:val="日期 Char"/>
    <w:link w:val="18"/>
    <w:semiHidden/>
    <w:qFormat/>
    <w:locked/>
    <w:uiPriority w:val="99"/>
    <w:rPr>
      <w:rFonts w:cs="Times New Roman"/>
      <w:sz w:val="24"/>
      <w:szCs w:val="24"/>
    </w:rPr>
  </w:style>
  <w:style w:type="character" w:customStyle="1" w:styleId="52">
    <w:name w:val="批注框文本 Char"/>
    <w:link w:val="20"/>
    <w:qFormat/>
    <w:locked/>
    <w:uiPriority w:val="99"/>
    <w:rPr>
      <w:rFonts w:ascii="Times New Roman" w:hAnsi="Times New Roman" w:eastAsia="宋体" w:cs="Times New Roman"/>
      <w:kern w:val="2"/>
      <w:sz w:val="18"/>
      <w:szCs w:val="18"/>
    </w:rPr>
  </w:style>
  <w:style w:type="character" w:customStyle="1" w:styleId="53">
    <w:name w:val="页脚 Char"/>
    <w:link w:val="21"/>
    <w:semiHidden/>
    <w:qFormat/>
    <w:locked/>
    <w:uiPriority w:val="99"/>
    <w:rPr>
      <w:rFonts w:cs="Times New Roman"/>
      <w:sz w:val="18"/>
      <w:szCs w:val="18"/>
    </w:rPr>
  </w:style>
  <w:style w:type="character" w:customStyle="1" w:styleId="54">
    <w:name w:val="页眉 Char"/>
    <w:link w:val="22"/>
    <w:semiHidden/>
    <w:qFormat/>
    <w:locked/>
    <w:uiPriority w:val="99"/>
    <w:rPr>
      <w:rFonts w:cs="Times New Roman"/>
      <w:sz w:val="18"/>
      <w:szCs w:val="18"/>
    </w:rPr>
  </w:style>
  <w:style w:type="character" w:customStyle="1" w:styleId="55">
    <w:name w:val="批注主题 Char"/>
    <w:link w:val="28"/>
    <w:qFormat/>
    <w:locked/>
    <w:uiPriority w:val="99"/>
    <w:rPr>
      <w:rFonts w:ascii="Times New Roman" w:hAnsi="Times New Roman" w:eastAsia="宋体" w:cs="Times New Roman"/>
      <w:b/>
      <w:bCs/>
      <w:kern w:val="2"/>
      <w:sz w:val="24"/>
      <w:szCs w:val="24"/>
    </w:rPr>
  </w:style>
  <w:style w:type="paragraph" w:customStyle="1" w:styleId="56">
    <w:name w:val="zw"/>
    <w:basedOn w:val="1"/>
    <w:qFormat/>
    <w:uiPriority w:val="99"/>
    <w:pPr>
      <w:widowControl/>
      <w:spacing w:before="30"/>
      <w:ind w:left="100" w:right="100"/>
    </w:pPr>
    <w:rPr>
      <w:rFonts w:ascii="方正书宋简体" w:hAnsi="宋体" w:eastAsia="方正书宋简体"/>
      <w:color w:val="000000"/>
      <w:kern w:val="0"/>
      <w:szCs w:val="21"/>
    </w:rPr>
  </w:style>
  <w:style w:type="paragraph" w:styleId="57">
    <w:name w:val="List Paragraph"/>
    <w:basedOn w:val="1"/>
    <w:qFormat/>
    <w:uiPriority w:val="99"/>
    <w:pPr>
      <w:ind w:firstLine="420" w:firstLineChars="200"/>
    </w:pPr>
    <w:rPr>
      <w:rFonts w:ascii="Calibri" w:hAnsi="Calibri"/>
      <w:szCs w:val="22"/>
    </w:rPr>
  </w:style>
  <w:style w:type="paragraph" w:customStyle="1" w:styleId="58">
    <w:name w:val="列出段落1"/>
    <w:basedOn w:val="1"/>
    <w:qFormat/>
    <w:uiPriority w:val="99"/>
    <w:pPr>
      <w:ind w:firstLine="420" w:firstLineChars="200"/>
    </w:pPr>
    <w:rPr>
      <w:rFonts w:ascii="Calibri" w:hAnsi="Calibri"/>
      <w:kern w:val="0"/>
      <w:szCs w:val="20"/>
    </w:rPr>
  </w:style>
  <w:style w:type="paragraph" w:customStyle="1" w:styleId="59">
    <w:name w:val="无间隔11"/>
    <w:qFormat/>
    <w:uiPriority w:val="99"/>
    <w:pPr>
      <w:adjustRightInd w:val="0"/>
      <w:snapToGrid w:val="0"/>
    </w:pPr>
    <w:rPr>
      <w:rFonts w:ascii="Tahoma" w:hAnsi="Tahoma" w:eastAsia="微软雅黑" w:cs="Times New Roman"/>
      <w:sz w:val="22"/>
      <w:szCs w:val="22"/>
      <w:lang w:val="en-US" w:eastAsia="zh-CN" w:bidi="ar-SA"/>
    </w:rPr>
  </w:style>
  <w:style w:type="paragraph" w:customStyle="1" w:styleId="60">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61">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_14"/>
    <w:qFormat/>
    <w:uiPriority w:val="99"/>
    <w:rPr>
      <w:rFonts w:ascii="Times New Roman" w:hAnsi="Times New Roman" w:eastAsia="宋体" w:cs="Times New Roman"/>
      <w:sz w:val="21"/>
      <w:szCs w:val="22"/>
      <w:lang w:val="en-US" w:eastAsia="zh-CN" w:bidi="ar-SA"/>
    </w:rPr>
  </w:style>
  <w:style w:type="paragraph" w:customStyle="1" w:styleId="63">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
    <w:name w:val="纯文本_3"/>
    <w:basedOn w:val="65"/>
    <w:qFormat/>
    <w:uiPriority w:val="99"/>
    <w:pPr>
      <w:widowControl/>
      <w:jc w:val="left"/>
    </w:pPr>
    <w:rPr>
      <w:rFonts w:ascii="宋体" w:hAnsi="Courier New"/>
      <w:szCs w:val="21"/>
    </w:rPr>
  </w:style>
  <w:style w:type="paragraph" w:customStyle="1" w:styleId="67">
    <w:name w:val="纯文本_0_1"/>
    <w:basedOn w:val="1"/>
    <w:qFormat/>
    <w:uiPriority w:val="99"/>
    <w:pPr>
      <w:widowControl/>
      <w:jc w:val="left"/>
    </w:pPr>
    <w:rPr>
      <w:rFonts w:ascii="宋体" w:hAnsi="Courier New"/>
      <w:szCs w:val="21"/>
    </w:rPr>
  </w:style>
  <w:style w:type="paragraph" w:customStyle="1" w:styleId="68">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9">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0">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1">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72">
    <w:name w:val="正文 A"/>
    <w:qFormat/>
    <w:uiPriority w:val="99"/>
    <w:pPr>
      <w:widowControl w:val="0"/>
      <w:jc w:val="both"/>
    </w:pPr>
    <w:rPr>
      <w:rFonts w:ascii="Calibri" w:hAnsi="Calibri" w:eastAsia="宋体" w:cs="Calibri"/>
      <w:color w:val="000000"/>
      <w:kern w:val="2"/>
      <w:sz w:val="21"/>
      <w:szCs w:val="21"/>
      <w:u w:color="000000"/>
      <w:lang w:val="en-US" w:eastAsia="zh-CN" w:bidi="ar-SA"/>
    </w:rPr>
  </w:style>
  <w:style w:type="paragraph" w:customStyle="1" w:styleId="73">
    <w:name w:val="页眉与页脚"/>
    <w:qFormat/>
    <w:uiPriority w:val="99"/>
    <w:pPr>
      <w:tabs>
        <w:tab w:val="right" w:pos="9020"/>
      </w:tabs>
    </w:pPr>
    <w:rPr>
      <w:rFonts w:ascii="Helvetica" w:hAnsi="Helvetica" w:eastAsia="宋体" w:cs="Arial Unicode MS"/>
      <w:color w:val="000000"/>
      <w:sz w:val="24"/>
      <w:szCs w:val="24"/>
      <w:lang w:val="en-US" w:eastAsia="zh-CN" w:bidi="ar-SA"/>
    </w:rPr>
  </w:style>
  <w:style w:type="character" w:customStyle="1" w:styleId="74">
    <w:name w:val="font11"/>
    <w:qFormat/>
    <w:uiPriority w:val="0"/>
    <w:rPr>
      <w:rFonts w:hint="default" w:ascii="Times New Roman" w:hAnsi="Times New Roman" w:cs="Times New Roman"/>
      <w:color w:val="000000"/>
      <w:sz w:val="24"/>
      <w:szCs w:val="24"/>
      <w:u w:val="none"/>
    </w:rPr>
  </w:style>
  <w:style w:type="character" w:customStyle="1" w:styleId="75">
    <w:name w:val="font01"/>
    <w:qFormat/>
    <w:uiPriority w:val="0"/>
    <w:rPr>
      <w:rFonts w:hint="eastAsia" w:ascii="宋体" w:hAnsi="宋体" w:eastAsia="宋体" w:cs="宋体"/>
      <w:color w:val="000000"/>
      <w:sz w:val="24"/>
      <w:szCs w:val="24"/>
      <w:u w:val="none"/>
    </w:rPr>
  </w:style>
  <w:style w:type="character" w:customStyle="1" w:styleId="76">
    <w:name w:val="font31"/>
    <w:qFormat/>
    <w:uiPriority w:val="0"/>
    <w:rPr>
      <w:rFonts w:hint="eastAsia" w:ascii="宋体" w:hAnsi="宋体" w:eastAsia="宋体" w:cs="宋体"/>
      <w:color w:val="000000"/>
      <w:sz w:val="24"/>
      <w:szCs w:val="24"/>
      <w:u w:val="none"/>
    </w:rPr>
  </w:style>
  <w:style w:type="paragraph" w:customStyle="1" w:styleId="77">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78">
    <w:name w:val="p18"/>
    <w:basedOn w:val="1"/>
    <w:qFormat/>
    <w:uiPriority w:val="99"/>
    <w:pPr>
      <w:widowControl/>
      <w:spacing w:line="748" w:lineRule="atLeast"/>
      <w:ind w:left="-527" w:firstLine="527"/>
    </w:pPr>
    <w:rPr>
      <w:rFonts w:ascii="宋体" w:hAnsi="宋体" w:cs="宋体"/>
      <w:kern w:val="0"/>
      <w:sz w:val="24"/>
    </w:rPr>
  </w:style>
  <w:style w:type="paragraph" w:customStyle="1" w:styleId="79">
    <w:name w:val="表格文字"/>
    <w:basedOn w:val="1"/>
    <w:next w:val="11"/>
    <w:qFormat/>
    <w:uiPriority w:val="99"/>
    <w:pPr>
      <w:adjustRightInd w:val="0"/>
      <w:spacing w:line="420" w:lineRule="atLeast"/>
      <w:jc w:val="left"/>
      <w:textAlignment w:val="baseline"/>
    </w:pPr>
    <w:rPr>
      <w:kern w:val="0"/>
    </w:rPr>
  </w:style>
  <w:style w:type="paragraph" w:customStyle="1" w:styleId="80">
    <w:name w:val="正文2"/>
    <w:basedOn w:val="1"/>
    <w:qFormat/>
    <w:uiPriority w:val="0"/>
    <w:pPr>
      <w:spacing w:before="156" w:line="360" w:lineRule="auto"/>
      <w:ind w:firstLine="510" w:firstLineChars="200"/>
    </w:pPr>
    <w:rPr>
      <w:rFonts w:ascii="Calibri" w:hAnsi="Calibri"/>
      <w:sz w:val="24"/>
      <w:szCs w:val="20"/>
    </w:rPr>
  </w:style>
  <w:style w:type="paragraph" w:customStyle="1" w:styleId="81">
    <w:name w:val="样式 标题 2 + Times New Roman 四号 非加粗 段前: 5 磅 段后: 0 磅 行距: 固定值 20..."/>
    <w:basedOn w:val="4"/>
    <w:qFormat/>
    <w:uiPriority w:val="0"/>
    <w:pPr>
      <w:spacing w:before="100" w:line="400" w:lineRule="exact"/>
    </w:pPr>
    <w:rPr>
      <w:rFonts w:cs="宋体"/>
      <w:b w:val="0"/>
      <w:sz w:val="28"/>
      <w:szCs w:val="20"/>
    </w:rPr>
  </w:style>
  <w:style w:type="paragraph" w:customStyle="1" w:styleId="82">
    <w:name w:val="Blockquote"/>
    <w:basedOn w:val="1"/>
    <w:qFormat/>
    <w:uiPriority w:val="0"/>
    <w:pPr>
      <w:autoSpaceDE w:val="0"/>
      <w:autoSpaceDN w:val="0"/>
      <w:adjustRightInd w:val="0"/>
      <w:spacing w:before="100" w:after="100"/>
      <w:ind w:left="360" w:right="360"/>
      <w:jc w:val="left"/>
    </w:pPr>
    <w:rPr>
      <w:kern w:val="0"/>
      <w:sz w:val="24"/>
    </w:rPr>
  </w:style>
  <w:style w:type="character" w:customStyle="1" w:styleId="83">
    <w:name w:val="标题 2 Char"/>
    <w:link w:val="4"/>
    <w:qFormat/>
    <w:uiPriority w:val="0"/>
    <w:rPr>
      <w:rFonts w:ascii="Arial" w:hAnsi="Arial" w:eastAsia="黑体"/>
      <w:b/>
      <w:bCs/>
      <w:sz w:val="32"/>
      <w:szCs w:val="32"/>
    </w:rPr>
  </w:style>
  <w:style w:type="paragraph" w:customStyle="1" w:styleId="84">
    <w:name w:val="城建正文"/>
    <w:basedOn w:val="1"/>
    <w:qFormat/>
    <w:uiPriority w:val="0"/>
    <w:pPr>
      <w:spacing w:line="500" w:lineRule="exact"/>
      <w:ind w:firstLine="200" w:firstLineChars="200"/>
    </w:pPr>
    <w:rPr>
      <w:kern w:val="0"/>
      <w:sz w:val="24"/>
    </w:rPr>
  </w:style>
  <w:style w:type="paragraph" w:customStyle="1" w:styleId="85">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86">
    <w:name w:val="Body Text First Indent 21"/>
    <w:basedOn w:val="87"/>
    <w:qFormat/>
    <w:uiPriority w:val="0"/>
    <w:pPr>
      <w:autoSpaceDE w:val="0"/>
      <w:autoSpaceDN w:val="0"/>
      <w:adjustRightInd w:val="0"/>
      <w:ind w:firstLine="420"/>
      <w:textAlignment w:val="baseline"/>
    </w:pPr>
    <w:rPr>
      <w:rFonts w:ascii="宋体" w:cs="宋体"/>
      <w:kern w:val="0"/>
      <w:szCs w:val="21"/>
    </w:rPr>
  </w:style>
  <w:style w:type="paragraph" w:customStyle="1" w:styleId="87">
    <w:name w:val="Body Text Indent1"/>
    <w:basedOn w:val="1"/>
    <w:qFormat/>
    <w:uiPriority w:val="0"/>
    <w:pPr>
      <w:spacing w:after="120"/>
      <w:ind w:left="420" w:leftChars="200"/>
    </w:pPr>
  </w:style>
  <w:style w:type="paragraph" w:customStyle="1" w:styleId="88">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89">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53</Pages>
  <Words>23418</Words>
  <Characters>25140</Characters>
  <Lines>194</Lines>
  <Paragraphs>54</Paragraphs>
  <TotalTime>2</TotalTime>
  <ScaleCrop>false</ScaleCrop>
  <LinksUpToDate>false</LinksUpToDate>
  <CharactersWithSpaces>26581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2023-04-03T09:09:00Z</dcterms:created>
  <dc:creator>S-mile</dc:creator>
  <cp:lastModifiedBy>Administrator</cp:lastModifiedBy>
  <cp:lastPrinted>2023-06-30T05:04:00Z</cp:lastPrinted>
  <dcterms:modified xsi:type="dcterms:W3CDTF">2024-07-26T07:22:02Z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F1D36BA02A3642AC8136B07D59289A31_13</vt:lpwstr>
  </property>
</Properties>
</file>