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780E3">
      <w:pPr>
        <w:shd w:val="clear"/>
        <w:spacing w:line="360" w:lineRule="auto"/>
        <w:jc w:val="center"/>
        <w:textAlignment w:val="bottom"/>
        <w:rPr>
          <w:rFonts w:hint="eastAsia" w:ascii="宋体" w:hAnsi="宋体" w:eastAsia="宋体" w:cs="宋体"/>
          <w:b/>
          <w:color w:val="auto"/>
          <w:kern w:val="0"/>
          <w:sz w:val="52"/>
          <w:szCs w:val="52"/>
          <w:highlight w:val="none"/>
        </w:rPr>
      </w:pPr>
    </w:p>
    <w:p w14:paraId="480D9359">
      <w:pPr>
        <w:pStyle w:val="16"/>
        <w:shd w:val="clear"/>
        <w:rPr>
          <w:rFonts w:hint="eastAsia" w:ascii="宋体" w:hAnsi="宋体" w:eastAsia="宋体" w:cs="宋体"/>
          <w:color w:val="auto"/>
          <w:highlight w:val="none"/>
        </w:rPr>
      </w:pPr>
    </w:p>
    <w:p w14:paraId="62D9302E">
      <w:pPr>
        <w:shd w:val="clear"/>
        <w:jc w:val="center"/>
        <w:rPr>
          <w:rFonts w:hint="eastAsia" w:ascii="宋体" w:hAnsi="宋体" w:eastAsia="宋体" w:cs="宋体"/>
          <w:color w:val="auto"/>
          <w:sz w:val="36"/>
          <w:szCs w:val="36"/>
          <w:highlight w:val="none"/>
        </w:rPr>
      </w:pPr>
      <w:r>
        <w:rPr>
          <w:rFonts w:hint="eastAsia" w:ascii="宋体" w:hAnsi="宋体" w:eastAsia="宋体" w:cs="宋体"/>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1FD9952D">
      <w:pPr>
        <w:shd w:val="clear"/>
        <w:jc w:val="center"/>
        <w:rPr>
          <w:rFonts w:hint="eastAsia" w:ascii="宋体" w:hAnsi="宋体" w:eastAsia="宋体" w:cs="宋体"/>
          <w:color w:val="auto"/>
          <w:sz w:val="52"/>
          <w:szCs w:val="52"/>
          <w:highlight w:val="none"/>
        </w:rPr>
      </w:pPr>
    </w:p>
    <w:p w14:paraId="59C58199">
      <w:pPr>
        <w:shd w:val="clea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F-STONE</w:t>
      </w:r>
    </w:p>
    <w:p w14:paraId="43C6B9CE">
      <w:pPr>
        <w:shd w:val="clear"/>
        <w:jc w:val="center"/>
        <w:rPr>
          <w:rFonts w:hint="eastAsia" w:ascii="宋体" w:hAnsi="宋体" w:eastAsia="宋体" w:cs="宋体"/>
          <w:color w:val="auto"/>
          <w:sz w:val="36"/>
          <w:szCs w:val="36"/>
          <w:highlight w:val="none"/>
        </w:rPr>
      </w:pPr>
    </w:p>
    <w:p w14:paraId="16D154CB">
      <w:pPr>
        <w:shd w:val="clear"/>
        <w:spacing w:line="360" w:lineRule="auto"/>
        <w:textAlignment w:val="bottom"/>
        <w:rPr>
          <w:rFonts w:hint="eastAsia" w:ascii="宋体" w:hAnsi="宋体" w:eastAsia="宋体" w:cs="宋体"/>
          <w:color w:val="auto"/>
          <w:kern w:val="0"/>
          <w:sz w:val="28"/>
          <w:highlight w:val="none"/>
        </w:rPr>
      </w:pPr>
    </w:p>
    <w:p w14:paraId="7074B0AC">
      <w:pPr>
        <w:shd w:val="clear"/>
        <w:jc w:val="center"/>
        <w:rPr>
          <w:rFonts w:hint="eastAsia" w:ascii="宋体" w:hAnsi="宋体" w:eastAsia="宋体" w:cs="宋体"/>
          <w:b/>
          <w:color w:val="auto"/>
          <w:sz w:val="72"/>
          <w:szCs w:val="72"/>
          <w:highlight w:val="none"/>
        </w:rPr>
      </w:pPr>
    </w:p>
    <w:p w14:paraId="50B6B37A">
      <w:pPr>
        <w:shd w:val="clear" w:color="auto"/>
        <w:spacing w:line="360" w:lineRule="auto"/>
        <w:jc w:val="center"/>
        <w:textAlignment w:val="bottom"/>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政府采购电子招标文件</w:t>
      </w:r>
    </w:p>
    <w:p w14:paraId="680362C2">
      <w:pPr>
        <w:shd w:val="clear" w:color="auto"/>
        <w:spacing w:line="360" w:lineRule="auto"/>
        <w:jc w:val="center"/>
        <w:textAlignment w:val="bottom"/>
        <w:rPr>
          <w:rFonts w:hint="eastAsia" w:ascii="宋体" w:hAnsi="宋体" w:eastAsia="宋体" w:cs="宋体"/>
          <w:color w:val="auto"/>
          <w:sz w:val="28"/>
          <w:szCs w:val="28"/>
          <w:highlight w:val="none"/>
        </w:rPr>
      </w:pPr>
    </w:p>
    <w:p w14:paraId="09081229">
      <w:pPr>
        <w:shd w:val="clear" w:color="auto"/>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ZJWS2024-JJ315</w:t>
      </w:r>
    </w:p>
    <w:p w14:paraId="60140927">
      <w:pPr>
        <w:shd w:val="clear" w:color="auto"/>
        <w:spacing w:line="360" w:lineRule="auto"/>
        <w:textAlignment w:val="bottom"/>
        <w:rPr>
          <w:rFonts w:hint="eastAsia" w:ascii="宋体" w:hAnsi="宋体" w:eastAsia="宋体" w:cs="宋体"/>
          <w:color w:val="auto"/>
          <w:kern w:val="0"/>
          <w:sz w:val="28"/>
          <w:highlight w:val="none"/>
        </w:rPr>
      </w:pPr>
    </w:p>
    <w:p w14:paraId="67AA48BF">
      <w:pPr>
        <w:shd w:val="clear" w:color="auto"/>
        <w:spacing w:line="360" w:lineRule="auto"/>
        <w:textAlignment w:val="bottom"/>
        <w:rPr>
          <w:rFonts w:hint="eastAsia" w:ascii="宋体" w:hAnsi="宋体" w:eastAsia="宋体" w:cs="宋体"/>
          <w:color w:val="auto"/>
          <w:kern w:val="0"/>
          <w:sz w:val="28"/>
          <w:highlight w:val="none"/>
        </w:rPr>
      </w:pPr>
    </w:p>
    <w:p w14:paraId="16474F63">
      <w:pPr>
        <w:shd w:val="clear"/>
        <w:autoSpaceDE w:val="0"/>
        <w:autoSpaceDN w:val="0"/>
        <w:adjustRightInd w:val="0"/>
        <w:spacing w:line="360" w:lineRule="auto"/>
        <w:ind w:firstLine="1680" w:firstLineChars="600"/>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rPr>
        <w:t>采购项目：</w:t>
      </w:r>
      <w:r>
        <w:rPr>
          <w:rFonts w:hint="eastAsia" w:ascii="宋体" w:hAnsi="宋体" w:cs="宋体"/>
          <w:color w:val="auto"/>
          <w:kern w:val="0"/>
          <w:sz w:val="28"/>
          <w:highlight w:val="none"/>
          <w:lang w:eastAsia="zh-CN"/>
        </w:rPr>
        <w:t>台州市协同办公平台升级改造项目</w:t>
      </w:r>
    </w:p>
    <w:p w14:paraId="47009874">
      <w:pPr>
        <w:shd w:val="clear"/>
        <w:autoSpaceDE w:val="0"/>
        <w:autoSpaceDN w:val="0"/>
        <w:adjustRightInd w:val="0"/>
        <w:spacing w:line="360" w:lineRule="auto"/>
        <w:ind w:firstLine="1680" w:firstLineChars="600"/>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rPr>
        <w:t>采购单位：</w:t>
      </w:r>
      <w:r>
        <w:rPr>
          <w:rFonts w:hint="eastAsia" w:ascii="宋体" w:hAnsi="宋体" w:cs="宋体"/>
          <w:color w:val="auto"/>
          <w:kern w:val="0"/>
          <w:sz w:val="28"/>
          <w:highlight w:val="none"/>
          <w:lang w:eastAsia="zh-CN"/>
        </w:rPr>
        <w:t>台州市数据局</w:t>
      </w:r>
    </w:p>
    <w:p w14:paraId="2E1F3827">
      <w:pPr>
        <w:shd w:val="clear"/>
        <w:spacing w:line="360" w:lineRule="auto"/>
        <w:rPr>
          <w:rFonts w:hint="eastAsia" w:ascii="宋体" w:hAnsi="宋体" w:eastAsia="宋体" w:cs="宋体"/>
          <w:color w:val="auto"/>
          <w:sz w:val="24"/>
          <w:szCs w:val="32"/>
          <w:highlight w:val="none"/>
        </w:rPr>
      </w:pPr>
    </w:p>
    <w:p w14:paraId="39CD6A99">
      <w:pPr>
        <w:shd w:val="clear"/>
        <w:spacing w:line="360" w:lineRule="auto"/>
        <w:rPr>
          <w:rFonts w:hint="eastAsia" w:ascii="宋体" w:hAnsi="宋体" w:eastAsia="宋体" w:cs="宋体"/>
          <w:color w:val="auto"/>
          <w:sz w:val="24"/>
          <w:szCs w:val="32"/>
          <w:highlight w:val="none"/>
        </w:rPr>
      </w:pPr>
    </w:p>
    <w:p w14:paraId="5F9115ED">
      <w:pPr>
        <w:shd w:val="clear"/>
        <w:spacing w:line="360" w:lineRule="auto"/>
        <w:jc w:val="center"/>
        <w:rPr>
          <w:rStyle w:val="79"/>
          <w:rFonts w:hint="eastAsia" w:ascii="宋体" w:hAnsi="宋体" w:eastAsia="宋体" w:cs="宋体"/>
          <w:color w:val="auto"/>
          <w:highlight w:val="none"/>
        </w:rPr>
      </w:pPr>
      <w:r>
        <w:rPr>
          <w:rFonts w:hint="eastAsia" w:ascii="宋体" w:hAnsi="宋体" w:eastAsia="宋体" w:cs="宋体"/>
          <w:color w:val="auto"/>
          <w:sz w:val="28"/>
          <w:szCs w:val="36"/>
          <w:highlight w:val="none"/>
        </w:rPr>
        <w:t xml:space="preserve">     采购代理机构：浙江五石中正工程咨询有限公司</w:t>
      </w:r>
    </w:p>
    <w:p w14:paraId="2EB9B24F">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lang w:eastAsia="zh-CN"/>
        </w:rPr>
        <w:t>2024年</w:t>
      </w:r>
      <w:r>
        <w:rPr>
          <w:rFonts w:hint="eastAsia" w:ascii="宋体" w:hAnsi="宋体" w:cs="宋体"/>
          <w:color w:val="auto"/>
          <w:kern w:val="0"/>
          <w:sz w:val="28"/>
          <w:highlight w:val="none"/>
          <w:lang w:val="en-US" w:eastAsia="zh-CN"/>
        </w:rPr>
        <w:t>10</w:t>
      </w:r>
      <w:r>
        <w:rPr>
          <w:rFonts w:hint="eastAsia" w:ascii="宋体" w:hAnsi="宋体" w:eastAsia="宋体" w:cs="宋体"/>
          <w:color w:val="auto"/>
          <w:kern w:val="0"/>
          <w:sz w:val="28"/>
          <w:highlight w:val="none"/>
          <w:lang w:eastAsia="zh-CN"/>
        </w:rPr>
        <w:t>月</w:t>
      </w:r>
    </w:p>
    <w:p w14:paraId="19E64F2E">
      <w:pPr>
        <w:shd w:val="clear"/>
        <w:spacing w:line="360" w:lineRule="auto"/>
        <w:rPr>
          <w:rFonts w:hint="eastAsia" w:ascii="宋体" w:hAnsi="宋体" w:eastAsia="宋体" w:cs="宋体"/>
          <w:color w:val="auto"/>
          <w:sz w:val="24"/>
          <w:szCs w:val="32"/>
          <w:highlight w:val="none"/>
        </w:rPr>
      </w:pPr>
    </w:p>
    <w:p w14:paraId="1D2C3D79">
      <w:pPr>
        <w:shd w:val="clear"/>
        <w:spacing w:line="360" w:lineRule="auto"/>
        <w:rPr>
          <w:rFonts w:hint="eastAsia" w:ascii="宋体" w:hAnsi="宋体" w:eastAsia="宋体" w:cs="宋体"/>
          <w:color w:val="auto"/>
          <w:sz w:val="24"/>
          <w:szCs w:val="32"/>
          <w:highlight w:val="none"/>
        </w:rPr>
      </w:pPr>
    </w:p>
    <w:p w14:paraId="6BE304AD">
      <w:pPr>
        <w:shd w:val="clea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357AFEDC">
      <w:pPr>
        <w:shd w:val="clear"/>
        <w:spacing w:line="360" w:lineRule="auto"/>
        <w:rPr>
          <w:rFonts w:hint="eastAsia" w:ascii="宋体" w:hAnsi="宋体" w:eastAsia="宋体" w:cs="宋体"/>
          <w:color w:val="auto"/>
          <w:sz w:val="24"/>
          <w:szCs w:val="32"/>
          <w:highlight w:val="none"/>
        </w:rPr>
      </w:pPr>
    </w:p>
    <w:p w14:paraId="75B903BB">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第一章 公开招标采购公告</w:t>
      </w:r>
    </w:p>
    <w:p w14:paraId="4C4C7C59">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第二章 投标人须知</w:t>
      </w:r>
    </w:p>
    <w:p w14:paraId="3B15E717">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第三章 评标办法及评分标准</w:t>
      </w:r>
    </w:p>
    <w:p w14:paraId="0A5D935B">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第四章 公开招标需求</w:t>
      </w:r>
    </w:p>
    <w:p w14:paraId="25EEB3AA">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 政府采购合同主要条款指引</w:t>
      </w:r>
    </w:p>
    <w:p w14:paraId="5D6E4498">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第六章 投标文件格式附件</w:t>
      </w:r>
    </w:p>
    <w:p w14:paraId="73A67E36">
      <w:pPr>
        <w:shd w:val="clear"/>
        <w:spacing w:line="360" w:lineRule="auto"/>
        <w:rPr>
          <w:rFonts w:hint="eastAsia" w:ascii="宋体" w:hAnsi="宋体" w:eastAsia="宋体" w:cs="宋体"/>
          <w:color w:val="auto"/>
          <w:sz w:val="24"/>
          <w:szCs w:val="32"/>
          <w:highlight w:val="none"/>
        </w:rPr>
      </w:pPr>
    </w:p>
    <w:p w14:paraId="7B6BB469">
      <w:pPr>
        <w:shd w:val="clear"/>
        <w:spacing w:line="360" w:lineRule="auto"/>
        <w:rPr>
          <w:rFonts w:hint="eastAsia" w:ascii="宋体" w:hAnsi="宋体" w:eastAsia="宋体" w:cs="宋体"/>
          <w:color w:val="auto"/>
          <w:sz w:val="24"/>
          <w:szCs w:val="32"/>
          <w:highlight w:val="none"/>
        </w:rPr>
      </w:pPr>
    </w:p>
    <w:p w14:paraId="3DBC083A">
      <w:pPr>
        <w:shd w:val="clear"/>
        <w:spacing w:line="360" w:lineRule="auto"/>
        <w:rPr>
          <w:rFonts w:hint="eastAsia" w:ascii="宋体" w:hAnsi="宋体" w:eastAsia="宋体" w:cs="宋体"/>
          <w:color w:val="auto"/>
          <w:sz w:val="24"/>
          <w:szCs w:val="32"/>
          <w:highlight w:val="none"/>
        </w:rPr>
      </w:pPr>
    </w:p>
    <w:p w14:paraId="3B9F88F9">
      <w:pPr>
        <w:shd w:val="clear"/>
        <w:spacing w:line="360" w:lineRule="auto"/>
        <w:rPr>
          <w:rFonts w:hint="eastAsia" w:ascii="宋体" w:hAnsi="宋体" w:eastAsia="宋体" w:cs="宋体"/>
          <w:color w:val="auto"/>
          <w:sz w:val="24"/>
          <w:szCs w:val="32"/>
          <w:highlight w:val="none"/>
        </w:rPr>
      </w:pPr>
    </w:p>
    <w:p w14:paraId="09ACEEFC">
      <w:pPr>
        <w:shd w:val="clear"/>
        <w:spacing w:line="360" w:lineRule="auto"/>
        <w:rPr>
          <w:rFonts w:hint="eastAsia" w:ascii="宋体" w:hAnsi="宋体" w:eastAsia="宋体" w:cs="宋体"/>
          <w:color w:val="auto"/>
          <w:sz w:val="24"/>
          <w:szCs w:val="32"/>
          <w:highlight w:val="none"/>
        </w:rPr>
      </w:pPr>
    </w:p>
    <w:p w14:paraId="0C34B226">
      <w:pPr>
        <w:shd w:val="clear"/>
        <w:spacing w:line="360" w:lineRule="auto"/>
        <w:rPr>
          <w:rFonts w:hint="eastAsia" w:ascii="宋体" w:hAnsi="宋体" w:eastAsia="宋体" w:cs="宋体"/>
          <w:color w:val="auto"/>
          <w:sz w:val="24"/>
          <w:szCs w:val="32"/>
          <w:highlight w:val="none"/>
        </w:rPr>
      </w:pPr>
    </w:p>
    <w:p w14:paraId="59054697">
      <w:pPr>
        <w:shd w:val="clear"/>
        <w:spacing w:line="360" w:lineRule="auto"/>
        <w:rPr>
          <w:rFonts w:hint="eastAsia" w:ascii="宋体" w:hAnsi="宋体" w:eastAsia="宋体" w:cs="宋体"/>
          <w:color w:val="auto"/>
          <w:sz w:val="24"/>
          <w:szCs w:val="32"/>
          <w:highlight w:val="none"/>
        </w:rPr>
      </w:pPr>
    </w:p>
    <w:p w14:paraId="0E48C06D">
      <w:pPr>
        <w:shd w:val="clear"/>
        <w:spacing w:line="360" w:lineRule="auto"/>
        <w:rPr>
          <w:rFonts w:hint="eastAsia" w:ascii="宋体" w:hAnsi="宋体" w:eastAsia="宋体" w:cs="宋体"/>
          <w:color w:val="auto"/>
          <w:sz w:val="24"/>
          <w:szCs w:val="32"/>
          <w:highlight w:val="none"/>
        </w:rPr>
      </w:pPr>
    </w:p>
    <w:p w14:paraId="268704B8">
      <w:pPr>
        <w:shd w:val="clear"/>
        <w:spacing w:line="360" w:lineRule="auto"/>
        <w:rPr>
          <w:rFonts w:hint="eastAsia" w:ascii="宋体" w:hAnsi="宋体" w:eastAsia="宋体" w:cs="宋体"/>
          <w:color w:val="auto"/>
          <w:sz w:val="24"/>
          <w:szCs w:val="32"/>
          <w:highlight w:val="none"/>
        </w:rPr>
      </w:pPr>
    </w:p>
    <w:p w14:paraId="4D1385EE">
      <w:pPr>
        <w:shd w:val="clear"/>
        <w:spacing w:line="360" w:lineRule="auto"/>
        <w:rPr>
          <w:rFonts w:hint="eastAsia" w:ascii="宋体" w:hAnsi="宋体" w:eastAsia="宋体" w:cs="宋体"/>
          <w:color w:val="auto"/>
          <w:sz w:val="24"/>
          <w:szCs w:val="32"/>
          <w:highlight w:val="none"/>
        </w:rPr>
      </w:pPr>
    </w:p>
    <w:p w14:paraId="7102C9EA">
      <w:pPr>
        <w:shd w:val="clear"/>
        <w:spacing w:line="360" w:lineRule="auto"/>
        <w:rPr>
          <w:rFonts w:hint="eastAsia" w:ascii="宋体" w:hAnsi="宋体" w:eastAsia="宋体" w:cs="宋体"/>
          <w:color w:val="auto"/>
          <w:sz w:val="24"/>
          <w:szCs w:val="32"/>
          <w:highlight w:val="none"/>
        </w:rPr>
      </w:pPr>
    </w:p>
    <w:p w14:paraId="5BB73204">
      <w:pPr>
        <w:shd w:val="clear"/>
        <w:spacing w:line="360" w:lineRule="auto"/>
        <w:rPr>
          <w:rFonts w:hint="eastAsia" w:ascii="宋体" w:hAnsi="宋体" w:eastAsia="宋体" w:cs="宋体"/>
          <w:color w:val="auto"/>
          <w:sz w:val="24"/>
          <w:szCs w:val="32"/>
          <w:highlight w:val="none"/>
        </w:rPr>
      </w:pPr>
    </w:p>
    <w:p w14:paraId="12D6FC3A">
      <w:pPr>
        <w:shd w:val="clear"/>
        <w:spacing w:line="360" w:lineRule="auto"/>
        <w:rPr>
          <w:rFonts w:hint="eastAsia" w:ascii="宋体" w:hAnsi="宋体" w:eastAsia="宋体" w:cs="宋体"/>
          <w:color w:val="auto"/>
          <w:sz w:val="24"/>
          <w:szCs w:val="32"/>
          <w:highlight w:val="none"/>
        </w:rPr>
      </w:pPr>
    </w:p>
    <w:p w14:paraId="3814F090">
      <w:pPr>
        <w:shd w:val="clear"/>
        <w:spacing w:line="360" w:lineRule="auto"/>
        <w:rPr>
          <w:rFonts w:hint="eastAsia" w:ascii="宋体" w:hAnsi="宋体" w:eastAsia="宋体" w:cs="宋体"/>
          <w:color w:val="auto"/>
          <w:sz w:val="24"/>
          <w:szCs w:val="32"/>
          <w:highlight w:val="none"/>
        </w:rPr>
      </w:pPr>
    </w:p>
    <w:p w14:paraId="1E850FE4">
      <w:pPr>
        <w:shd w:val="clear"/>
        <w:spacing w:line="360" w:lineRule="auto"/>
        <w:rPr>
          <w:rFonts w:hint="eastAsia" w:ascii="宋体" w:hAnsi="宋体" w:eastAsia="宋体" w:cs="宋体"/>
          <w:color w:val="auto"/>
          <w:sz w:val="24"/>
          <w:szCs w:val="32"/>
          <w:highlight w:val="none"/>
        </w:rPr>
      </w:pPr>
    </w:p>
    <w:p w14:paraId="03278853">
      <w:pPr>
        <w:shd w:val="clear"/>
        <w:spacing w:line="360" w:lineRule="auto"/>
        <w:rPr>
          <w:rFonts w:hint="eastAsia" w:ascii="宋体" w:hAnsi="宋体" w:eastAsia="宋体" w:cs="宋体"/>
          <w:color w:val="auto"/>
          <w:sz w:val="24"/>
          <w:szCs w:val="32"/>
          <w:highlight w:val="none"/>
        </w:rPr>
      </w:pPr>
    </w:p>
    <w:p w14:paraId="64586842">
      <w:pPr>
        <w:shd w:val="clear"/>
        <w:spacing w:line="360" w:lineRule="auto"/>
        <w:rPr>
          <w:rFonts w:hint="eastAsia" w:ascii="宋体" w:hAnsi="宋体" w:eastAsia="宋体" w:cs="宋体"/>
          <w:color w:val="auto"/>
          <w:sz w:val="24"/>
          <w:szCs w:val="32"/>
          <w:highlight w:val="none"/>
        </w:rPr>
      </w:pPr>
    </w:p>
    <w:p w14:paraId="1D135A60">
      <w:pPr>
        <w:shd w:val="clear"/>
        <w:spacing w:line="360" w:lineRule="auto"/>
        <w:rPr>
          <w:rFonts w:hint="eastAsia" w:ascii="宋体" w:hAnsi="宋体" w:eastAsia="宋体" w:cs="宋体"/>
          <w:color w:val="auto"/>
          <w:sz w:val="24"/>
          <w:szCs w:val="32"/>
          <w:highlight w:val="none"/>
        </w:rPr>
      </w:pPr>
    </w:p>
    <w:p w14:paraId="4EA3E78A">
      <w:pPr>
        <w:shd w:val="clear"/>
        <w:spacing w:line="360" w:lineRule="auto"/>
        <w:rPr>
          <w:rFonts w:hint="eastAsia" w:ascii="宋体" w:hAnsi="宋体" w:eastAsia="宋体" w:cs="宋体"/>
          <w:color w:val="auto"/>
          <w:sz w:val="24"/>
          <w:szCs w:val="32"/>
          <w:highlight w:val="none"/>
        </w:rPr>
      </w:pPr>
    </w:p>
    <w:p w14:paraId="7C04A249">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第一章 公开招标采购公告</w:t>
      </w:r>
    </w:p>
    <w:p w14:paraId="5EB73A9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eastAsia="宋体" w:cs="宋体"/>
          <w:b/>
          <w:bCs/>
          <w:color w:val="auto"/>
          <w:sz w:val="24"/>
          <w:szCs w:val="32"/>
          <w:highlight w:val="none"/>
        </w:rPr>
        <w:t>浙江五石中正工程咨询有限公司</w:t>
      </w:r>
      <w:r>
        <w:rPr>
          <w:rFonts w:hint="eastAsia" w:ascii="宋体" w:hAnsi="宋体" w:eastAsia="宋体" w:cs="宋体"/>
          <w:color w:val="auto"/>
          <w:sz w:val="24"/>
          <w:szCs w:val="32"/>
          <w:highlight w:val="none"/>
        </w:rPr>
        <w:t>受</w:t>
      </w:r>
      <w:r>
        <w:rPr>
          <w:rFonts w:hint="eastAsia" w:ascii="宋体" w:hAnsi="宋体" w:cs="宋体"/>
          <w:b/>
          <w:bCs/>
          <w:color w:val="auto"/>
          <w:sz w:val="24"/>
          <w:szCs w:val="32"/>
          <w:highlight w:val="none"/>
          <w:lang w:eastAsia="zh-CN"/>
        </w:rPr>
        <w:t>台州市数据局</w:t>
      </w:r>
      <w:r>
        <w:rPr>
          <w:rFonts w:hint="eastAsia" w:ascii="宋体" w:hAnsi="宋体" w:eastAsia="宋体" w:cs="宋体"/>
          <w:color w:val="auto"/>
          <w:sz w:val="24"/>
          <w:szCs w:val="32"/>
          <w:highlight w:val="none"/>
        </w:rPr>
        <w:t>委托，现就其</w:t>
      </w:r>
      <w:r>
        <w:rPr>
          <w:rFonts w:hint="eastAsia" w:ascii="宋体" w:hAnsi="宋体" w:cs="宋体"/>
          <w:b/>
          <w:bCs/>
          <w:color w:val="auto"/>
          <w:sz w:val="24"/>
          <w:szCs w:val="32"/>
          <w:highlight w:val="none"/>
          <w:lang w:eastAsia="zh-CN"/>
        </w:rPr>
        <w:t>台州市协同办公平台升级改造项目</w:t>
      </w:r>
      <w:r>
        <w:rPr>
          <w:rFonts w:hint="eastAsia" w:ascii="宋体" w:hAnsi="宋体" w:eastAsia="宋体" w:cs="宋体"/>
          <w:color w:val="auto"/>
          <w:sz w:val="24"/>
          <w:szCs w:val="32"/>
          <w:highlight w:val="none"/>
        </w:rPr>
        <w:t>进行公开招标采购，欢迎合格供应商前来投标。</w:t>
      </w:r>
    </w:p>
    <w:p w14:paraId="4F4D5987">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rPr>
        <w:t>一、项目编号：</w:t>
      </w:r>
      <w:r>
        <w:rPr>
          <w:rFonts w:hint="eastAsia" w:ascii="宋体" w:hAnsi="宋体" w:cs="宋体"/>
          <w:color w:val="auto"/>
          <w:sz w:val="24"/>
          <w:szCs w:val="32"/>
          <w:highlight w:val="none"/>
          <w:lang w:eastAsia="zh-CN"/>
        </w:rPr>
        <w:t>ZJWS2024-JJ315</w:t>
      </w:r>
    </w:p>
    <w:p w14:paraId="467A98A0">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二、招标项目概况：</w:t>
      </w:r>
    </w:p>
    <w:tbl>
      <w:tblPr>
        <w:tblStyle w:val="33"/>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942"/>
        <w:gridCol w:w="900"/>
        <w:gridCol w:w="1813"/>
        <w:gridCol w:w="3043"/>
      </w:tblGrid>
      <w:tr w14:paraId="5CBF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0180673C">
            <w:pPr>
              <w:keepNext w:val="0"/>
              <w:keepLines w:val="0"/>
              <w:suppressLineNumbers w:val="0"/>
              <w:shd w:val="clear"/>
              <w:spacing w:before="0" w:beforeAutospacing="0" w:after="0" w:afterAutospacing="0"/>
              <w:ind w:left="0" w:right="0"/>
              <w:jc w:val="center"/>
              <w:rPr>
                <w:rFonts w:hint="eastAsia" w:ascii="宋体" w:hAnsi="宋体" w:eastAsia="宋体" w:cs="宋体"/>
                <w:b/>
                <w:color w:val="auto"/>
                <w:sz w:val="24"/>
                <w:highlight w:val="none"/>
              </w:rPr>
            </w:pPr>
            <w:bookmarkStart w:id="0" w:name="EBc3c9f0bc06b6413d849824fe98ba274c"/>
            <w:r>
              <w:rPr>
                <w:rFonts w:hint="eastAsia" w:ascii="宋体" w:hAnsi="宋体" w:eastAsia="宋体" w:cs="宋体"/>
                <w:b/>
                <w:color w:val="auto"/>
                <w:sz w:val="24"/>
                <w:highlight w:val="none"/>
              </w:rPr>
              <w:t>标段</w:t>
            </w:r>
          </w:p>
        </w:tc>
        <w:tc>
          <w:tcPr>
            <w:tcW w:w="2942" w:type="dxa"/>
            <w:vAlign w:val="center"/>
          </w:tcPr>
          <w:p w14:paraId="45A3DDC5">
            <w:pPr>
              <w:keepNext w:val="0"/>
              <w:keepLines w:val="0"/>
              <w:suppressLineNumbers w:val="0"/>
              <w:shd w:val="clear"/>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招标内容</w:t>
            </w:r>
          </w:p>
        </w:tc>
        <w:tc>
          <w:tcPr>
            <w:tcW w:w="900" w:type="dxa"/>
            <w:vAlign w:val="center"/>
          </w:tcPr>
          <w:p w14:paraId="1BC937B4">
            <w:pPr>
              <w:keepNext w:val="0"/>
              <w:keepLines w:val="0"/>
              <w:suppressLineNumbers w:val="0"/>
              <w:shd w:val="clear"/>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813" w:type="dxa"/>
            <w:vAlign w:val="center"/>
          </w:tcPr>
          <w:p w14:paraId="3F6ADE74">
            <w:pPr>
              <w:keepNext w:val="0"/>
              <w:keepLines w:val="0"/>
              <w:suppressLineNumbers w:val="0"/>
              <w:shd w:val="clear"/>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w:t>
            </w:r>
          </w:p>
        </w:tc>
        <w:tc>
          <w:tcPr>
            <w:tcW w:w="3043" w:type="dxa"/>
            <w:vAlign w:val="center"/>
          </w:tcPr>
          <w:p w14:paraId="61213B5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工期</w:t>
            </w:r>
          </w:p>
        </w:tc>
      </w:tr>
      <w:tr w14:paraId="1948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36" w:type="dxa"/>
            <w:vAlign w:val="center"/>
          </w:tcPr>
          <w:p w14:paraId="2D4D487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942" w:type="dxa"/>
            <w:vAlign w:val="center"/>
          </w:tcPr>
          <w:p w14:paraId="68091A16">
            <w:pPr>
              <w:keepNext w:val="0"/>
              <w:keepLines w:val="0"/>
              <w:suppressLineNumbers w:val="0"/>
              <w:shd w:val="clear"/>
              <w:spacing w:before="0" w:beforeAutospacing="0" w:after="0" w:afterAutospacing="0"/>
              <w:ind w:left="0" w:right="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台州市协同办公平台升级改造项目</w:t>
            </w:r>
          </w:p>
        </w:tc>
        <w:tc>
          <w:tcPr>
            <w:tcW w:w="900" w:type="dxa"/>
            <w:vAlign w:val="center"/>
          </w:tcPr>
          <w:p w14:paraId="145F92F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1项</w:t>
            </w:r>
          </w:p>
        </w:tc>
        <w:tc>
          <w:tcPr>
            <w:tcW w:w="1813" w:type="dxa"/>
            <w:vAlign w:val="center"/>
          </w:tcPr>
          <w:p w14:paraId="265AAAA1">
            <w:pPr>
              <w:keepNext w:val="0"/>
              <w:keepLines w:val="0"/>
              <w:suppressLineNumbers w:val="0"/>
              <w:shd w:val="clear"/>
              <w:spacing w:before="0" w:beforeAutospacing="0" w:after="0" w:afterAutospacing="0"/>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240万元</w:t>
            </w:r>
          </w:p>
        </w:tc>
        <w:tc>
          <w:tcPr>
            <w:tcW w:w="3043" w:type="dxa"/>
            <w:vAlign w:val="center"/>
          </w:tcPr>
          <w:p w14:paraId="52CBA255">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cs="宋体"/>
                <w:color w:val="auto"/>
                <w:kern w:val="0"/>
                <w:sz w:val="24"/>
                <w:highlight w:val="none"/>
                <w:lang w:eastAsia="zh-CN"/>
              </w:rPr>
              <w:t>合同签订后，中标人需在4个月内完成整个项目系统及功能模块开发、测试和部署上线，并完成初步验收。</w:t>
            </w:r>
          </w:p>
        </w:tc>
      </w:tr>
      <w:bookmarkEnd w:id="0"/>
    </w:tbl>
    <w:p w14:paraId="2487CF6E">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三、合格投标人的资格条件：</w:t>
      </w:r>
    </w:p>
    <w:p w14:paraId="71EEE11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EC2B166">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2.落实政府采购政策需满足的资格要求：无。 </w:t>
      </w:r>
    </w:p>
    <w:p w14:paraId="40A4EAC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w:t>
      </w:r>
    </w:p>
    <w:p w14:paraId="475D3085">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4.本项目不接受联合体投标。</w:t>
      </w:r>
    </w:p>
    <w:p w14:paraId="0EEF53EF">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四、招标文件获取的时间、方式：</w:t>
      </w:r>
    </w:p>
    <w:p w14:paraId="54E3052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1、本项目招标文件实行“政府采购云平台”在线获取，不提供招标文件纸质版。供应商获取招标文件前应先完成“政府采购云平台”的账号注册。</w:t>
      </w:r>
    </w:p>
    <w:p w14:paraId="0478A76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2、获取时间：自本公告发布之日起至响应文件递交截止时间止（以供应商完成获取采购文件申请后下载采购文件的时间为准）。</w:t>
      </w:r>
    </w:p>
    <w:p w14:paraId="35C0E7C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3、地点：政采云平台（</w:t>
      </w:r>
      <w:r>
        <w:rPr>
          <w:rFonts w:hint="eastAsia" w:ascii="宋体" w:hAnsi="宋体" w:eastAsia="宋体" w:cs="宋体"/>
          <w:color w:val="auto"/>
          <w:sz w:val="24"/>
          <w:szCs w:val="32"/>
          <w:highlight w:val="none"/>
        </w:rPr>
        <w:fldChar w:fldCharType="begin"/>
      </w:r>
      <w:r>
        <w:rPr>
          <w:rFonts w:hint="eastAsia" w:ascii="宋体" w:hAnsi="宋体" w:eastAsia="宋体" w:cs="宋体"/>
          <w:color w:val="auto"/>
          <w:sz w:val="24"/>
          <w:szCs w:val="32"/>
          <w:highlight w:val="none"/>
        </w:rPr>
        <w:instrText xml:space="preserve"> HYPERLINK "http://zfcg.czt.zj.gov.cn/" </w:instrText>
      </w:r>
      <w:r>
        <w:rPr>
          <w:rFonts w:hint="eastAsia" w:ascii="宋体" w:hAnsi="宋体" w:eastAsia="宋体" w:cs="宋体"/>
          <w:color w:val="auto"/>
          <w:sz w:val="24"/>
          <w:szCs w:val="32"/>
          <w:highlight w:val="none"/>
        </w:rPr>
        <w:fldChar w:fldCharType="separate"/>
      </w:r>
      <w:r>
        <w:rPr>
          <w:rFonts w:hint="eastAsia" w:ascii="宋体" w:hAnsi="宋体" w:eastAsia="宋体" w:cs="宋体"/>
          <w:color w:val="auto"/>
          <w:sz w:val="24"/>
          <w:szCs w:val="32"/>
          <w:highlight w:val="none"/>
        </w:rPr>
        <w:t>http://zfcg.czt.zj.gov.cn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w:t>
      </w:r>
    </w:p>
    <w:p w14:paraId="564147D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33B0881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72BD0E3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未进行供应商资格报名或登记（含网上报名登记）的供应商，视为未参加政府采购活动，不得提出质疑，但因供应商资格条件受到限制、报名时间设定不符合有关规定等原因使供应商不能参加报名或登记的除外。</w:t>
      </w:r>
    </w:p>
    <w:p w14:paraId="0E2B6C0F">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五、投标说明：</w:t>
      </w:r>
    </w:p>
    <w:p w14:paraId="76609965">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5.投标文件的组成、份数、密封、效力</w:t>
      </w:r>
    </w:p>
    <w:p w14:paraId="41622FA5">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本项目实行电子投标，供应商应准备电子投标文件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还可以提供</w:t>
      </w:r>
      <w:r>
        <w:rPr>
          <w:rFonts w:hint="eastAsia" w:ascii="宋体" w:hAnsi="宋体" w:eastAsia="宋体" w:cs="宋体"/>
          <w:color w:val="auto"/>
          <w:sz w:val="24"/>
          <w:highlight w:val="none"/>
        </w:rPr>
        <w:t>以介质（U盘）存储的数据电文形式、纸质备份投标文件</w:t>
      </w:r>
      <w:r>
        <w:rPr>
          <w:rFonts w:hint="eastAsia" w:ascii="宋体" w:hAnsi="宋体" w:eastAsia="宋体" w:cs="宋体"/>
          <w:color w:val="auto"/>
          <w:sz w:val="24"/>
          <w:highlight w:val="none"/>
          <w:lang w:eastAsia="zh-CN"/>
        </w:rPr>
        <w:t>。</w:t>
      </w:r>
    </w:p>
    <w:p w14:paraId="7502E1D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5.1电子投标文件，按政采云平台项目采购--电子招投标操作指南及本招标文件要求编制。</w:t>
      </w:r>
    </w:p>
    <w:p w14:paraId="092E7CB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bookmarkStart w:id="1" w:name="_Hlk34638143"/>
      <w:r>
        <w:rPr>
          <w:rFonts w:hint="eastAsia" w:ascii="宋体" w:hAnsi="宋体" w:eastAsia="宋体" w:cs="宋体"/>
          <w:color w:val="auto"/>
          <w:sz w:val="24"/>
          <w:highlight w:val="none"/>
        </w:rPr>
        <w:t>纸质</w:t>
      </w:r>
      <w:bookmarkEnd w:id="1"/>
      <w:r>
        <w:rPr>
          <w:rFonts w:hint="eastAsia" w:ascii="宋体" w:hAnsi="宋体" w:eastAsia="宋体" w:cs="宋体"/>
          <w:color w:val="auto"/>
          <w:sz w:val="24"/>
          <w:highlight w:val="none"/>
        </w:rPr>
        <w:t>备份投标文件以纸质文件的形式编制，按资格证明文件、商务技术文件、报价文件三部分分别编制并单独装订成册，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highlight w:val="none"/>
        </w:rPr>
        <w:t>。资格证明文件、商务技术文件、报价文件三部分须分别密封封装，</w:t>
      </w:r>
      <w:r>
        <w:rPr>
          <w:rFonts w:hint="eastAsia" w:ascii="宋体" w:hAnsi="宋体" w:eastAsia="宋体" w:cs="宋体"/>
          <w:color w:val="auto"/>
          <w:sz w:val="24"/>
          <w:highlight w:val="none"/>
          <w:u w:val="single"/>
        </w:rPr>
        <w:t>资格证明文件、商务技术文件、报价文件三部分未分别密封的</w:t>
      </w:r>
      <w:r>
        <w:rPr>
          <w:rFonts w:hint="eastAsia" w:ascii="宋体" w:hAnsi="宋体" w:eastAsia="宋体" w:cs="宋体"/>
          <w:color w:val="auto"/>
          <w:sz w:val="24"/>
          <w:highlight w:val="none"/>
          <w:u w:val="single"/>
          <w:lang w:val="en-US" w:eastAsia="zh-CN"/>
        </w:rPr>
        <w:t>备份</w:t>
      </w:r>
      <w:r>
        <w:rPr>
          <w:rFonts w:hint="eastAsia" w:ascii="宋体" w:hAnsi="宋体" w:eastAsia="宋体" w:cs="宋体"/>
          <w:color w:val="auto"/>
          <w:sz w:val="24"/>
          <w:highlight w:val="none"/>
          <w:u w:val="single"/>
        </w:rPr>
        <w:t>投标文件将为无效。</w:t>
      </w:r>
    </w:p>
    <w:p w14:paraId="74D33B7E">
      <w:pPr>
        <w:shd w:val="clear"/>
        <w:spacing w:line="360" w:lineRule="auto"/>
        <w:ind w:firstLine="480" w:firstLineChars="200"/>
        <w:rPr>
          <w:rFonts w:hint="eastAsia" w:ascii="宋体" w:hAnsi="宋体" w:eastAsia="宋体" w:cs="宋体"/>
          <w:color w:val="auto"/>
          <w:sz w:val="24"/>
          <w:highlight w:val="none"/>
          <w:u w:val="single"/>
        </w:rPr>
      </w:pPr>
      <w:bookmarkStart w:id="2" w:name="_Hlk34639647"/>
      <w:r>
        <w:rPr>
          <w:rFonts w:hint="eastAsia" w:ascii="宋体" w:hAnsi="宋体" w:eastAsia="宋体" w:cs="宋体"/>
          <w:color w:val="auto"/>
          <w:sz w:val="24"/>
          <w:highlight w:val="none"/>
        </w:rPr>
        <w:t>5.3</w:t>
      </w:r>
      <w:r>
        <w:rPr>
          <w:rFonts w:hint="eastAsia" w:ascii="宋体" w:hAnsi="宋体" w:eastAsia="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4A67D85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①在投标截止时间前送交到开标地点；</w:t>
      </w:r>
    </w:p>
    <w:p w14:paraId="0E6C1C7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14:paraId="7A7C4E1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供应商按照平台提示和招标文件的规定在半小时内完成在线解密。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747C1767">
      <w:pPr>
        <w:shd w:val="clea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5.5▲未传输递交电子投标文件的，投标无效。</w:t>
      </w:r>
    </w:p>
    <w:p w14:paraId="5CFD6FCC">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六、投标截止时间及开标时间：</w:t>
      </w:r>
      <w:r>
        <w:rPr>
          <w:rFonts w:hint="eastAsia" w:ascii="宋体" w:hAnsi="宋体" w:eastAsia="宋体" w:cs="宋体"/>
          <w:color w:val="auto"/>
          <w:sz w:val="24"/>
          <w:szCs w:val="32"/>
          <w:highlight w:val="none"/>
        </w:rPr>
        <w:t>北京时间</w:t>
      </w:r>
      <w:r>
        <w:rPr>
          <w:rFonts w:hint="eastAsia" w:ascii="宋体" w:hAnsi="宋体" w:eastAsia="宋体" w:cs="宋体"/>
          <w:color w:val="auto"/>
          <w:sz w:val="24"/>
          <w:highlight w:val="none"/>
          <w:lang w:eastAsia="zh-CN"/>
        </w:rPr>
        <w:t>2024年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eastAsia="zh-CN"/>
        </w:rPr>
        <w:t>日 上午09:00</w:t>
      </w:r>
      <w:r>
        <w:rPr>
          <w:rFonts w:hint="eastAsia" w:ascii="宋体" w:hAnsi="宋体" w:eastAsia="宋体" w:cs="宋体"/>
          <w:color w:val="auto"/>
          <w:sz w:val="24"/>
          <w:highlight w:val="none"/>
        </w:rPr>
        <w:t>整</w:t>
      </w:r>
    </w:p>
    <w:p w14:paraId="1C8EF8DB">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rPr>
        <w:t>七、开标地址：</w:t>
      </w:r>
      <w:r>
        <w:rPr>
          <w:rFonts w:hint="eastAsia" w:ascii="宋体" w:hAnsi="宋体" w:eastAsia="宋体" w:cs="宋体"/>
          <w:color w:val="auto"/>
          <w:sz w:val="24"/>
          <w:szCs w:val="32"/>
          <w:highlight w:val="none"/>
        </w:rPr>
        <w:t>通过“政府采购云平台（www.zcygov.cn）”实行在线投标响应/椒江区市府大道777号民泰大楼3楼一号开标室</w:t>
      </w:r>
      <w:r>
        <w:rPr>
          <w:rFonts w:hint="eastAsia" w:ascii="宋体" w:hAnsi="宋体" w:eastAsia="宋体" w:cs="宋体"/>
          <w:color w:val="auto"/>
          <w:sz w:val="24"/>
          <w:szCs w:val="32"/>
          <w:highlight w:val="none"/>
          <w:lang w:val="en-US" w:eastAsia="zh-CN"/>
        </w:rPr>
        <w:t>B</w:t>
      </w:r>
      <w:r>
        <w:rPr>
          <w:rFonts w:hint="eastAsia" w:ascii="宋体" w:hAnsi="宋体" w:eastAsia="宋体" w:cs="宋体"/>
          <w:color w:val="auto"/>
          <w:sz w:val="24"/>
          <w:szCs w:val="32"/>
          <w:highlight w:val="none"/>
        </w:rPr>
        <w:t>场地</w:t>
      </w:r>
      <w:r>
        <w:rPr>
          <w:rFonts w:hint="eastAsia" w:ascii="宋体" w:hAnsi="宋体" w:cs="宋体"/>
          <w:color w:val="auto"/>
          <w:sz w:val="24"/>
          <w:szCs w:val="32"/>
          <w:highlight w:val="none"/>
          <w:lang w:eastAsia="zh-CN"/>
        </w:rPr>
        <w:t>。</w:t>
      </w:r>
    </w:p>
    <w:p w14:paraId="45456346">
      <w:pPr>
        <w:shd w:val="clear"/>
        <w:spacing w:line="360" w:lineRule="auto"/>
        <w:ind w:firstLine="482" w:firstLineChars="200"/>
        <w:outlineLvl w:val="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八、相关注意事项：</w:t>
      </w:r>
    </w:p>
    <w:p w14:paraId="63366AB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供应商如对采购文件有异议应按规定的时间提出，且应当在采购响应截止时间之前，逾期提出的，采购组织机构不予受理、答复。</w:t>
      </w:r>
    </w:p>
    <w:p w14:paraId="4334851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7C7E5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2.根据财库[2016]125号《关于在政府采购活动中查询及使用信用记录有关问题的通知》要求，采购代理机构会对供应商信用记录进行查询并甄别。</w:t>
      </w:r>
    </w:p>
    <w:p w14:paraId="4738261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1）信用信息查询的截止时点：开标后评标前；</w:t>
      </w:r>
    </w:p>
    <w:p w14:paraId="746D043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szCs w:val="32"/>
          <w:highlight w:val="none"/>
        </w:rPr>
        <w:t>“浙江政府采购网</w:t>
      </w:r>
      <w:r>
        <w:rPr>
          <w:rFonts w:hint="eastAsia" w:ascii="宋体" w:hAnsi="宋体" w:eastAsia="宋体" w:cs="宋体"/>
          <w:color w:val="auto"/>
          <w:sz w:val="24"/>
          <w:szCs w:val="32"/>
          <w:highlight w:val="none"/>
          <w:lang w:val="en-US" w:eastAsia="zh-CN"/>
        </w:rPr>
        <w:t>”</w:t>
      </w:r>
      <w:r>
        <w:rPr>
          <w:rFonts w:hint="eastAsia" w:ascii="宋体" w:hAnsi="宋体" w:eastAsia="宋体" w:cs="宋体"/>
          <w:color w:val="auto"/>
          <w:sz w:val="24"/>
          <w:szCs w:val="32"/>
          <w:highlight w:val="none"/>
        </w:rPr>
        <w:t>（zfcg.czt.zj.gov.cn</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highlight w:val="none"/>
        </w:rPr>
        <w:t>；</w:t>
      </w:r>
    </w:p>
    <w:p w14:paraId="053EE36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3）信用信息查询记录和证据留存具体方式：采购代理机构经办人将查询网页打印与其他项目相关文件一并保存；</w:t>
      </w:r>
    </w:p>
    <w:p w14:paraId="58740CE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4）信用信息的使用规则：供应商存在不良信用记录的，其投标将被作为无效投标被拒绝。</w:t>
      </w:r>
    </w:p>
    <w:p w14:paraId="1E40CD8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3.不良信用记录指：被列入失信被执行人、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、政府采购严重违法失信行为记录名单或浙江政府采购网曝光台中尚在行政处罚期内的。</w:t>
      </w:r>
    </w:p>
    <w:p w14:paraId="13C8003E">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4.开标时间后30分钟内，供应商须登录“政采云”平台，用“项目采购-开标评标”功能解密响应文件，供应商未按时解密或解密失败的，其上传的电子响应文件自动失效。电脑及CA解密设备自备。</w:t>
      </w:r>
    </w:p>
    <w:p w14:paraId="3EFFB95B">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九、联系方式：</w:t>
      </w:r>
    </w:p>
    <w:p w14:paraId="426AB8D1">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1、采购代理机构：</w:t>
      </w:r>
      <w:r>
        <w:rPr>
          <w:rFonts w:hint="eastAsia" w:ascii="宋体" w:hAnsi="宋体" w:eastAsia="宋体" w:cs="宋体"/>
          <w:color w:val="auto"/>
          <w:sz w:val="24"/>
          <w:szCs w:val="32"/>
          <w:highlight w:val="none"/>
        </w:rPr>
        <w:t>浙江五石中正工程咨询有限公司；</w:t>
      </w:r>
    </w:p>
    <w:p w14:paraId="2459331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项目负责人：徐名峰、高琳；联系电话：15088711407；</w:t>
      </w:r>
    </w:p>
    <w:p w14:paraId="6280309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质疑接收人：徐少媚；联系电话：0576-88785265；传真：0571-85342190；</w:t>
      </w:r>
    </w:p>
    <w:p w14:paraId="347A18B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地址：杭州市拱墅区白石路318号中国（杭州）人力资源服务产业园北楼512室；</w:t>
      </w:r>
    </w:p>
    <w:p w14:paraId="629A07BA">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2、采购人：</w:t>
      </w:r>
      <w:r>
        <w:rPr>
          <w:rFonts w:hint="eastAsia" w:ascii="宋体" w:hAnsi="宋体" w:cs="宋体"/>
          <w:color w:val="auto"/>
          <w:sz w:val="24"/>
          <w:szCs w:val="32"/>
          <w:highlight w:val="none"/>
          <w:lang w:eastAsia="zh-CN"/>
        </w:rPr>
        <w:t>台州市数据局</w:t>
      </w:r>
      <w:r>
        <w:rPr>
          <w:rFonts w:hint="eastAsia" w:ascii="宋体" w:hAnsi="宋体" w:eastAsia="宋体" w:cs="宋体"/>
          <w:color w:val="auto"/>
          <w:sz w:val="24"/>
          <w:szCs w:val="32"/>
          <w:highlight w:val="none"/>
        </w:rPr>
        <w:t>；</w:t>
      </w:r>
    </w:p>
    <w:p w14:paraId="54C0EAC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项目联系人（询问）：</w:t>
      </w:r>
      <w:r>
        <w:rPr>
          <w:rFonts w:hint="eastAsia" w:ascii="宋体" w:hAnsi="宋体" w:cs="宋体"/>
          <w:color w:val="auto"/>
          <w:sz w:val="24"/>
          <w:szCs w:val="32"/>
          <w:highlight w:val="none"/>
          <w:lang w:val="en-US" w:eastAsia="zh-CN"/>
        </w:rPr>
        <w:t>叶先生</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  </w:t>
      </w:r>
    </w:p>
    <w:p w14:paraId="3A77368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项目联系方式（询</w:t>
      </w:r>
      <w:r>
        <w:rPr>
          <w:rFonts w:hint="eastAsia" w:ascii="宋体" w:hAnsi="宋体" w:cs="宋体"/>
          <w:color w:val="auto"/>
          <w:sz w:val="24"/>
          <w:szCs w:val="32"/>
          <w:highlight w:val="none"/>
          <w:lang w:val="en-US" w:eastAsia="zh-CN"/>
        </w:rPr>
        <w:t>问）：0576-88511309；</w:t>
      </w:r>
      <w:r>
        <w:rPr>
          <w:rFonts w:hint="eastAsia" w:ascii="宋体" w:hAnsi="宋体" w:eastAsia="宋体" w:cs="宋体"/>
          <w:color w:val="auto"/>
          <w:sz w:val="24"/>
          <w:szCs w:val="32"/>
          <w:highlight w:val="none"/>
        </w:rPr>
        <w:t> </w:t>
      </w:r>
    </w:p>
    <w:p w14:paraId="205022B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质疑联系人：</w:t>
      </w:r>
      <w:r>
        <w:rPr>
          <w:rFonts w:hint="eastAsia" w:ascii="宋体" w:hAnsi="宋体" w:cs="宋体"/>
          <w:color w:val="auto"/>
          <w:sz w:val="24"/>
          <w:szCs w:val="32"/>
          <w:highlight w:val="none"/>
          <w:lang w:val="en-US" w:eastAsia="zh-CN"/>
        </w:rPr>
        <w:t>叶先生</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    </w:t>
      </w:r>
    </w:p>
    <w:p w14:paraId="2966ADDB">
      <w:pPr>
        <w:shd w:val="clear"/>
        <w:spacing w:line="360" w:lineRule="auto"/>
        <w:ind w:firstLine="480" w:firstLineChars="20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color w:val="auto"/>
          <w:sz w:val="24"/>
          <w:szCs w:val="32"/>
          <w:highlight w:val="none"/>
        </w:rPr>
        <w:t>质疑联系方式：</w:t>
      </w:r>
      <w:r>
        <w:rPr>
          <w:rFonts w:hint="eastAsia" w:ascii="宋体" w:hAnsi="宋体" w:cs="宋体"/>
          <w:color w:val="auto"/>
          <w:sz w:val="24"/>
          <w:szCs w:val="32"/>
          <w:highlight w:val="none"/>
          <w:lang w:val="en-US" w:eastAsia="zh-CN"/>
        </w:rPr>
        <w:t>0576-88511309</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 </w:t>
      </w:r>
    </w:p>
    <w:p w14:paraId="0C63763D">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地址：浙江省台州市椒江区</w:t>
      </w:r>
      <w:r>
        <w:rPr>
          <w:rFonts w:hint="eastAsia" w:ascii="宋体" w:hAnsi="宋体" w:cs="宋体"/>
          <w:color w:val="auto"/>
          <w:sz w:val="24"/>
          <w:szCs w:val="32"/>
          <w:highlight w:val="none"/>
          <w:lang w:val="en-US" w:eastAsia="zh-CN"/>
        </w:rPr>
        <w:t>市府大道437</w:t>
      </w:r>
      <w:r>
        <w:rPr>
          <w:rFonts w:hint="eastAsia" w:ascii="宋体" w:hAnsi="宋体" w:eastAsia="宋体" w:cs="宋体"/>
          <w:color w:val="auto"/>
          <w:sz w:val="24"/>
          <w:szCs w:val="32"/>
          <w:highlight w:val="none"/>
        </w:rPr>
        <w:t>号</w:t>
      </w:r>
      <w:r>
        <w:rPr>
          <w:rFonts w:hint="eastAsia" w:ascii="宋体" w:hAnsi="宋体" w:eastAsia="宋体" w:cs="宋体"/>
          <w:color w:val="auto"/>
          <w:sz w:val="24"/>
          <w:szCs w:val="32"/>
          <w:highlight w:val="none"/>
          <w:lang w:eastAsia="zh-CN"/>
        </w:rPr>
        <w:t>。</w:t>
      </w:r>
    </w:p>
    <w:p w14:paraId="44993AE4">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3、同级政府采购监管管理部门：</w:t>
      </w:r>
      <w:r>
        <w:rPr>
          <w:rFonts w:hint="eastAsia" w:ascii="宋体" w:hAnsi="宋体" w:eastAsia="宋体" w:cs="宋体"/>
          <w:color w:val="auto"/>
          <w:sz w:val="24"/>
          <w:szCs w:val="32"/>
          <w:highlight w:val="none"/>
        </w:rPr>
        <w:t>台州市财政局政府采购监督管理办公室；</w:t>
      </w:r>
    </w:p>
    <w:p w14:paraId="4801D50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联系人：陈工、李工；监督投诉电话：0576-88206705、0576-88206731；</w:t>
      </w:r>
    </w:p>
    <w:p w14:paraId="1B99FBD9">
      <w:pPr>
        <w:shd w:val="clea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32"/>
          <w:highlight w:val="none"/>
        </w:rPr>
        <w:t>地址：台州市椒江区纬一路66号天元大厦。</w:t>
      </w:r>
    </w:p>
    <w:p w14:paraId="024C71E7">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4、其余事项：</w:t>
      </w:r>
      <w:r>
        <w:rPr>
          <w:rFonts w:hint="eastAsia" w:ascii="宋体" w:hAnsi="宋体" w:eastAsia="宋体" w:cs="宋体"/>
          <w:color w:val="auto"/>
          <w:sz w:val="24"/>
          <w:szCs w:val="32"/>
          <w:highlight w:val="none"/>
        </w:rPr>
        <w:t>中标供应商如有融资需求，可使用以下银行的政采贷服务。</w:t>
      </w:r>
    </w:p>
    <w:tbl>
      <w:tblPr>
        <w:tblStyle w:val="33"/>
        <w:tblW w:w="7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470"/>
        <w:gridCol w:w="1155"/>
        <w:gridCol w:w="2672"/>
      </w:tblGrid>
      <w:tr w14:paraId="546D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4" w:type="dxa"/>
            <w:vAlign w:val="center"/>
          </w:tcPr>
          <w:p w14:paraId="5DCB6DB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银行</w:t>
            </w:r>
          </w:p>
        </w:tc>
        <w:tc>
          <w:tcPr>
            <w:tcW w:w="1470" w:type="dxa"/>
            <w:vAlign w:val="center"/>
          </w:tcPr>
          <w:p w14:paraId="4307B49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贷款年利率</w:t>
            </w:r>
          </w:p>
        </w:tc>
        <w:tc>
          <w:tcPr>
            <w:tcW w:w="1155" w:type="dxa"/>
            <w:vAlign w:val="center"/>
          </w:tcPr>
          <w:p w14:paraId="4EE4860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672" w:type="dxa"/>
            <w:vAlign w:val="center"/>
          </w:tcPr>
          <w:p w14:paraId="3AC689D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4196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187B1EE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中国工商银行</w:t>
            </w:r>
          </w:p>
        </w:tc>
        <w:tc>
          <w:tcPr>
            <w:tcW w:w="1470" w:type="dxa"/>
            <w:vAlign w:val="center"/>
          </w:tcPr>
          <w:p w14:paraId="23C9556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155" w:type="dxa"/>
            <w:vAlign w:val="center"/>
          </w:tcPr>
          <w:p w14:paraId="1390E25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卢嘉诚</w:t>
            </w:r>
          </w:p>
        </w:tc>
        <w:tc>
          <w:tcPr>
            <w:tcW w:w="2672" w:type="dxa"/>
            <w:vAlign w:val="center"/>
          </w:tcPr>
          <w:p w14:paraId="018F3116">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13867658508</w:t>
            </w:r>
          </w:p>
        </w:tc>
      </w:tr>
      <w:tr w14:paraId="63D7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A2345B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中国农业银行</w:t>
            </w:r>
          </w:p>
        </w:tc>
        <w:tc>
          <w:tcPr>
            <w:tcW w:w="1470" w:type="dxa"/>
            <w:vAlign w:val="center"/>
          </w:tcPr>
          <w:p w14:paraId="3D1C7E6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155" w:type="dxa"/>
            <w:vAlign w:val="center"/>
          </w:tcPr>
          <w:p w14:paraId="0F4FB80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龚盛</w:t>
            </w:r>
          </w:p>
        </w:tc>
        <w:tc>
          <w:tcPr>
            <w:tcW w:w="2672" w:type="dxa"/>
            <w:vAlign w:val="center"/>
          </w:tcPr>
          <w:p w14:paraId="68100A01">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15858682216</w:t>
            </w:r>
          </w:p>
        </w:tc>
      </w:tr>
      <w:tr w14:paraId="0F7E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C280ED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中国建设银行</w:t>
            </w:r>
          </w:p>
        </w:tc>
        <w:tc>
          <w:tcPr>
            <w:tcW w:w="1470" w:type="dxa"/>
            <w:vAlign w:val="center"/>
          </w:tcPr>
          <w:p w14:paraId="11D4DF7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3.8%起</w:t>
            </w:r>
          </w:p>
        </w:tc>
        <w:tc>
          <w:tcPr>
            <w:tcW w:w="1155" w:type="dxa"/>
            <w:vAlign w:val="center"/>
          </w:tcPr>
          <w:p w14:paraId="11F62D2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梅晶晶</w:t>
            </w:r>
          </w:p>
        </w:tc>
        <w:tc>
          <w:tcPr>
            <w:tcW w:w="2672" w:type="dxa"/>
            <w:vAlign w:val="center"/>
          </w:tcPr>
          <w:p w14:paraId="2FC75F6E">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88525339/13736585303</w:t>
            </w:r>
          </w:p>
        </w:tc>
      </w:tr>
      <w:tr w14:paraId="251F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AC2B5B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中国银行</w:t>
            </w:r>
          </w:p>
        </w:tc>
        <w:tc>
          <w:tcPr>
            <w:tcW w:w="1470" w:type="dxa"/>
            <w:vAlign w:val="center"/>
          </w:tcPr>
          <w:p w14:paraId="69C3340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3.75%起</w:t>
            </w:r>
          </w:p>
        </w:tc>
        <w:tc>
          <w:tcPr>
            <w:tcW w:w="1155" w:type="dxa"/>
            <w:vAlign w:val="center"/>
          </w:tcPr>
          <w:p w14:paraId="0B427B4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王海</w:t>
            </w:r>
          </w:p>
        </w:tc>
        <w:tc>
          <w:tcPr>
            <w:tcW w:w="2672" w:type="dxa"/>
            <w:vAlign w:val="center"/>
          </w:tcPr>
          <w:p w14:paraId="4A746300">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13857677798</w:t>
            </w:r>
          </w:p>
        </w:tc>
      </w:tr>
      <w:tr w14:paraId="6E1F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554669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浦发银行台州分行</w:t>
            </w:r>
          </w:p>
        </w:tc>
        <w:tc>
          <w:tcPr>
            <w:tcW w:w="1470" w:type="dxa"/>
            <w:vAlign w:val="center"/>
          </w:tcPr>
          <w:p w14:paraId="295365B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155" w:type="dxa"/>
            <w:vAlign w:val="center"/>
          </w:tcPr>
          <w:p w14:paraId="42F77DA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王渊</w:t>
            </w:r>
          </w:p>
        </w:tc>
        <w:tc>
          <w:tcPr>
            <w:tcW w:w="2672" w:type="dxa"/>
            <w:vAlign w:val="center"/>
          </w:tcPr>
          <w:p w14:paraId="36B846C7">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13616676319</w:t>
            </w:r>
          </w:p>
        </w:tc>
      </w:tr>
      <w:tr w14:paraId="12EE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EA5A40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浦发银行椒江分行</w:t>
            </w:r>
          </w:p>
        </w:tc>
        <w:tc>
          <w:tcPr>
            <w:tcW w:w="1470" w:type="dxa"/>
            <w:vAlign w:val="center"/>
          </w:tcPr>
          <w:p w14:paraId="50A0330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155" w:type="dxa"/>
            <w:vAlign w:val="center"/>
          </w:tcPr>
          <w:p w14:paraId="1038B44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孙瑞华</w:t>
            </w:r>
          </w:p>
        </w:tc>
        <w:tc>
          <w:tcPr>
            <w:tcW w:w="2672" w:type="dxa"/>
            <w:vAlign w:val="center"/>
          </w:tcPr>
          <w:p w14:paraId="4431683A">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13857688081</w:t>
            </w:r>
          </w:p>
        </w:tc>
      </w:tr>
      <w:tr w14:paraId="485F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B64164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交通银行台州分行</w:t>
            </w:r>
          </w:p>
        </w:tc>
        <w:tc>
          <w:tcPr>
            <w:tcW w:w="1470" w:type="dxa"/>
            <w:vAlign w:val="center"/>
          </w:tcPr>
          <w:p w14:paraId="58813E0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3.75%起</w:t>
            </w:r>
          </w:p>
        </w:tc>
        <w:tc>
          <w:tcPr>
            <w:tcW w:w="1155" w:type="dxa"/>
            <w:vAlign w:val="center"/>
          </w:tcPr>
          <w:p w14:paraId="3BB4411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周翔宇</w:t>
            </w:r>
          </w:p>
        </w:tc>
        <w:tc>
          <w:tcPr>
            <w:tcW w:w="2672" w:type="dxa"/>
            <w:vAlign w:val="center"/>
          </w:tcPr>
          <w:p w14:paraId="4A4B1C96">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13867697018</w:t>
            </w:r>
          </w:p>
        </w:tc>
      </w:tr>
      <w:tr w14:paraId="5E61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1FEDFE6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招商银行台州分行</w:t>
            </w:r>
          </w:p>
        </w:tc>
        <w:tc>
          <w:tcPr>
            <w:tcW w:w="1470" w:type="dxa"/>
            <w:vAlign w:val="center"/>
          </w:tcPr>
          <w:p w14:paraId="0A52F04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4.32%起</w:t>
            </w:r>
          </w:p>
        </w:tc>
        <w:tc>
          <w:tcPr>
            <w:tcW w:w="1155" w:type="dxa"/>
            <w:vAlign w:val="center"/>
          </w:tcPr>
          <w:p w14:paraId="1FFCF27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王海玲</w:t>
            </w:r>
          </w:p>
        </w:tc>
        <w:tc>
          <w:tcPr>
            <w:tcW w:w="2672" w:type="dxa"/>
            <w:vAlign w:val="center"/>
          </w:tcPr>
          <w:p w14:paraId="7D353035">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13566413827</w:t>
            </w:r>
          </w:p>
        </w:tc>
      </w:tr>
      <w:tr w14:paraId="7A41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7F7616C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浙商银行台州分行</w:t>
            </w:r>
          </w:p>
        </w:tc>
        <w:tc>
          <w:tcPr>
            <w:tcW w:w="1470" w:type="dxa"/>
            <w:vAlign w:val="center"/>
          </w:tcPr>
          <w:p w14:paraId="4953486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5.01%起</w:t>
            </w:r>
          </w:p>
        </w:tc>
        <w:tc>
          <w:tcPr>
            <w:tcW w:w="1155" w:type="dxa"/>
            <w:vAlign w:val="center"/>
          </w:tcPr>
          <w:p w14:paraId="0661AB8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章涉漪</w:t>
            </w:r>
          </w:p>
        </w:tc>
        <w:tc>
          <w:tcPr>
            <w:tcW w:w="2672" w:type="dxa"/>
            <w:vAlign w:val="center"/>
          </w:tcPr>
          <w:p w14:paraId="03A649FA">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81880185/13606681262</w:t>
            </w:r>
          </w:p>
        </w:tc>
      </w:tr>
      <w:tr w14:paraId="3131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73FFE95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中信银行台州分行</w:t>
            </w:r>
          </w:p>
        </w:tc>
        <w:tc>
          <w:tcPr>
            <w:tcW w:w="1470" w:type="dxa"/>
            <w:vAlign w:val="center"/>
          </w:tcPr>
          <w:p w14:paraId="6EEB008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4.15%起</w:t>
            </w:r>
          </w:p>
        </w:tc>
        <w:tc>
          <w:tcPr>
            <w:tcW w:w="1155" w:type="dxa"/>
            <w:vAlign w:val="center"/>
          </w:tcPr>
          <w:p w14:paraId="33375B3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陈金园</w:t>
            </w:r>
          </w:p>
        </w:tc>
        <w:tc>
          <w:tcPr>
            <w:tcW w:w="2672" w:type="dxa"/>
            <w:vAlign w:val="center"/>
          </w:tcPr>
          <w:p w14:paraId="09BE8456">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13586052161</w:t>
            </w:r>
          </w:p>
        </w:tc>
      </w:tr>
      <w:tr w14:paraId="1010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ED6C2C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华夏银行台州分行</w:t>
            </w:r>
          </w:p>
        </w:tc>
        <w:tc>
          <w:tcPr>
            <w:tcW w:w="1470" w:type="dxa"/>
            <w:vAlign w:val="center"/>
          </w:tcPr>
          <w:p w14:paraId="616CCF6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4.5%起</w:t>
            </w:r>
          </w:p>
        </w:tc>
        <w:tc>
          <w:tcPr>
            <w:tcW w:w="1155" w:type="dxa"/>
            <w:vAlign w:val="center"/>
          </w:tcPr>
          <w:p w14:paraId="5A8E86F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邱明达</w:t>
            </w:r>
          </w:p>
        </w:tc>
        <w:tc>
          <w:tcPr>
            <w:tcW w:w="2672" w:type="dxa"/>
            <w:vAlign w:val="center"/>
          </w:tcPr>
          <w:p w14:paraId="4011DF96">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81871518/13736252233</w:t>
            </w:r>
          </w:p>
        </w:tc>
      </w:tr>
      <w:tr w14:paraId="1930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7FD44C2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泰隆银行开发区支行</w:t>
            </w:r>
          </w:p>
        </w:tc>
        <w:tc>
          <w:tcPr>
            <w:tcW w:w="1470" w:type="dxa"/>
            <w:vAlign w:val="center"/>
          </w:tcPr>
          <w:p w14:paraId="5C29C31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5.6%起</w:t>
            </w:r>
          </w:p>
        </w:tc>
        <w:tc>
          <w:tcPr>
            <w:tcW w:w="1155" w:type="dxa"/>
            <w:vAlign w:val="center"/>
          </w:tcPr>
          <w:p w14:paraId="7C1CBFC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梁宛莉</w:t>
            </w:r>
          </w:p>
        </w:tc>
        <w:tc>
          <w:tcPr>
            <w:tcW w:w="2672" w:type="dxa"/>
            <w:vAlign w:val="center"/>
          </w:tcPr>
          <w:p w14:paraId="72E0A9BF">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13306869100</w:t>
            </w:r>
          </w:p>
        </w:tc>
      </w:tr>
      <w:tr w14:paraId="221A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15735D6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民泰银行椒江支行</w:t>
            </w:r>
          </w:p>
        </w:tc>
        <w:tc>
          <w:tcPr>
            <w:tcW w:w="1470" w:type="dxa"/>
            <w:vAlign w:val="center"/>
          </w:tcPr>
          <w:p w14:paraId="32FBD08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5.8%起</w:t>
            </w:r>
          </w:p>
        </w:tc>
        <w:tc>
          <w:tcPr>
            <w:tcW w:w="1155" w:type="dxa"/>
            <w:vAlign w:val="center"/>
          </w:tcPr>
          <w:p w14:paraId="5BB0502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陈慧珠</w:t>
            </w:r>
          </w:p>
        </w:tc>
        <w:tc>
          <w:tcPr>
            <w:tcW w:w="2672" w:type="dxa"/>
            <w:vAlign w:val="center"/>
          </w:tcPr>
          <w:p w14:paraId="10FD7CE5">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13857699669</w:t>
            </w:r>
          </w:p>
        </w:tc>
      </w:tr>
      <w:tr w14:paraId="613A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7AED9B9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绍兴银行台州分行</w:t>
            </w:r>
          </w:p>
        </w:tc>
        <w:tc>
          <w:tcPr>
            <w:tcW w:w="1470" w:type="dxa"/>
            <w:vAlign w:val="center"/>
          </w:tcPr>
          <w:p w14:paraId="443E783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5.1%起</w:t>
            </w:r>
          </w:p>
        </w:tc>
        <w:tc>
          <w:tcPr>
            <w:tcW w:w="1155" w:type="dxa"/>
            <w:vAlign w:val="center"/>
          </w:tcPr>
          <w:p w14:paraId="70E4922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郭庭斌</w:t>
            </w:r>
          </w:p>
        </w:tc>
        <w:tc>
          <w:tcPr>
            <w:tcW w:w="2672" w:type="dxa"/>
            <w:vAlign w:val="center"/>
          </w:tcPr>
          <w:p w14:paraId="11EE6112">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15958633119</w:t>
            </w:r>
          </w:p>
        </w:tc>
      </w:tr>
      <w:tr w14:paraId="1365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465B55C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温州银行台州分行</w:t>
            </w:r>
          </w:p>
        </w:tc>
        <w:tc>
          <w:tcPr>
            <w:tcW w:w="1470" w:type="dxa"/>
            <w:vAlign w:val="center"/>
          </w:tcPr>
          <w:p w14:paraId="0581E8E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4.55%起</w:t>
            </w:r>
          </w:p>
        </w:tc>
        <w:tc>
          <w:tcPr>
            <w:tcW w:w="1155" w:type="dxa"/>
            <w:vAlign w:val="center"/>
          </w:tcPr>
          <w:p w14:paraId="45EE652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王晓波</w:t>
            </w:r>
          </w:p>
        </w:tc>
        <w:tc>
          <w:tcPr>
            <w:tcW w:w="2672" w:type="dxa"/>
            <w:vAlign w:val="center"/>
          </w:tcPr>
          <w:p w14:paraId="405892DC">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15824005475</w:t>
            </w:r>
          </w:p>
        </w:tc>
      </w:tr>
      <w:tr w14:paraId="4CB5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16D2A4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平安银行台州分行</w:t>
            </w:r>
          </w:p>
        </w:tc>
        <w:tc>
          <w:tcPr>
            <w:tcW w:w="1470" w:type="dxa"/>
            <w:vAlign w:val="center"/>
          </w:tcPr>
          <w:p w14:paraId="0076B61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6.53%起</w:t>
            </w:r>
          </w:p>
        </w:tc>
        <w:tc>
          <w:tcPr>
            <w:tcW w:w="1155" w:type="dxa"/>
            <w:vAlign w:val="center"/>
          </w:tcPr>
          <w:p w14:paraId="180694F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李俊丽</w:t>
            </w:r>
          </w:p>
        </w:tc>
        <w:tc>
          <w:tcPr>
            <w:tcW w:w="2672" w:type="dxa"/>
            <w:vAlign w:val="center"/>
          </w:tcPr>
          <w:p w14:paraId="43B6022E">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15906861025</w:t>
            </w:r>
          </w:p>
        </w:tc>
      </w:tr>
      <w:tr w14:paraId="643C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5817042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宁波银行台州分行</w:t>
            </w:r>
          </w:p>
        </w:tc>
        <w:tc>
          <w:tcPr>
            <w:tcW w:w="1470" w:type="dxa"/>
            <w:vAlign w:val="center"/>
          </w:tcPr>
          <w:p w14:paraId="4578D60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4.35%起</w:t>
            </w:r>
          </w:p>
        </w:tc>
        <w:tc>
          <w:tcPr>
            <w:tcW w:w="1155" w:type="dxa"/>
            <w:vAlign w:val="center"/>
          </w:tcPr>
          <w:p w14:paraId="1412349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戴莉丽</w:t>
            </w:r>
          </w:p>
        </w:tc>
        <w:tc>
          <w:tcPr>
            <w:tcW w:w="2672" w:type="dxa"/>
            <w:vAlign w:val="center"/>
          </w:tcPr>
          <w:p w14:paraId="015EAD73">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13566627207</w:t>
            </w:r>
          </w:p>
        </w:tc>
      </w:tr>
      <w:tr w14:paraId="1169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6075242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金华银行台州分行</w:t>
            </w:r>
          </w:p>
        </w:tc>
        <w:tc>
          <w:tcPr>
            <w:tcW w:w="1470" w:type="dxa"/>
            <w:vAlign w:val="center"/>
          </w:tcPr>
          <w:p w14:paraId="5FE480C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4.05%起</w:t>
            </w:r>
          </w:p>
        </w:tc>
        <w:tc>
          <w:tcPr>
            <w:tcW w:w="1155" w:type="dxa"/>
            <w:vAlign w:val="center"/>
          </w:tcPr>
          <w:p w14:paraId="4F4FFEE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金雪婷</w:t>
            </w:r>
          </w:p>
        </w:tc>
        <w:tc>
          <w:tcPr>
            <w:tcW w:w="2672" w:type="dxa"/>
            <w:vAlign w:val="center"/>
          </w:tcPr>
          <w:p w14:paraId="14745B77">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81886670/15968661569</w:t>
            </w:r>
          </w:p>
        </w:tc>
      </w:tr>
      <w:tr w14:paraId="483E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3C8CF47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台州银行</w:t>
            </w:r>
          </w:p>
        </w:tc>
        <w:tc>
          <w:tcPr>
            <w:tcW w:w="1470" w:type="dxa"/>
            <w:vAlign w:val="center"/>
          </w:tcPr>
          <w:p w14:paraId="52A9BCF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5.6%起</w:t>
            </w:r>
          </w:p>
        </w:tc>
        <w:tc>
          <w:tcPr>
            <w:tcW w:w="1155" w:type="dxa"/>
            <w:vAlign w:val="center"/>
          </w:tcPr>
          <w:p w14:paraId="70FE17A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洪婷</w:t>
            </w:r>
          </w:p>
        </w:tc>
        <w:tc>
          <w:tcPr>
            <w:tcW w:w="2672" w:type="dxa"/>
            <w:vAlign w:val="center"/>
          </w:tcPr>
          <w:p w14:paraId="6CC1477E">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15858624999</w:t>
            </w:r>
          </w:p>
        </w:tc>
      </w:tr>
      <w:tr w14:paraId="153A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4" w:type="dxa"/>
            <w:vAlign w:val="center"/>
          </w:tcPr>
          <w:p w14:paraId="20ED44B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邮储银行台州分行</w:t>
            </w:r>
          </w:p>
        </w:tc>
        <w:tc>
          <w:tcPr>
            <w:tcW w:w="1470" w:type="dxa"/>
            <w:vAlign w:val="center"/>
          </w:tcPr>
          <w:p w14:paraId="17A513E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3.85%起</w:t>
            </w:r>
          </w:p>
        </w:tc>
        <w:tc>
          <w:tcPr>
            <w:tcW w:w="1155" w:type="dxa"/>
            <w:vAlign w:val="center"/>
          </w:tcPr>
          <w:p w14:paraId="260A0A7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董庆</w:t>
            </w:r>
          </w:p>
        </w:tc>
        <w:tc>
          <w:tcPr>
            <w:tcW w:w="2672" w:type="dxa"/>
            <w:vAlign w:val="center"/>
          </w:tcPr>
          <w:p w14:paraId="593D511A">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81888982/18957683735</w:t>
            </w:r>
          </w:p>
        </w:tc>
      </w:tr>
    </w:tbl>
    <w:p w14:paraId="610C265E">
      <w:pPr>
        <w:shd w:val="clear"/>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合同履约保函联系方式</w:t>
      </w:r>
    </w:p>
    <w:tbl>
      <w:tblPr>
        <w:tblStyle w:val="34"/>
        <w:tblW w:w="876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91"/>
        <w:gridCol w:w="2466"/>
        <w:gridCol w:w="991"/>
        <w:gridCol w:w="1718"/>
      </w:tblGrid>
      <w:tr w14:paraId="3A0378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591" w:type="dxa"/>
            <w:vAlign w:val="center"/>
          </w:tcPr>
          <w:p w14:paraId="364050C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保险公司名称</w:t>
            </w:r>
          </w:p>
        </w:tc>
        <w:tc>
          <w:tcPr>
            <w:tcW w:w="2466" w:type="dxa"/>
            <w:vAlign w:val="center"/>
          </w:tcPr>
          <w:p w14:paraId="06B6A8B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保费率</w:t>
            </w:r>
          </w:p>
        </w:tc>
        <w:tc>
          <w:tcPr>
            <w:tcW w:w="991" w:type="dxa"/>
            <w:vAlign w:val="center"/>
          </w:tcPr>
          <w:p w14:paraId="69E5904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718" w:type="dxa"/>
            <w:vAlign w:val="center"/>
          </w:tcPr>
          <w:p w14:paraId="119209A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45B1B0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09AE21D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中国人寿财产保险股份有限公司台州中心支公司</w:t>
            </w:r>
          </w:p>
        </w:tc>
        <w:tc>
          <w:tcPr>
            <w:tcW w:w="2466" w:type="dxa"/>
            <w:vAlign w:val="center"/>
          </w:tcPr>
          <w:p w14:paraId="427D5B3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年费率1%，最低保费500元</w:t>
            </w:r>
          </w:p>
        </w:tc>
        <w:tc>
          <w:tcPr>
            <w:tcW w:w="991" w:type="dxa"/>
            <w:vAlign w:val="center"/>
          </w:tcPr>
          <w:p w14:paraId="690840D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徐凌</w:t>
            </w:r>
          </w:p>
        </w:tc>
        <w:tc>
          <w:tcPr>
            <w:tcW w:w="1718" w:type="dxa"/>
            <w:vAlign w:val="center"/>
          </w:tcPr>
          <w:p w14:paraId="3DB63B6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13905168070</w:t>
            </w:r>
          </w:p>
        </w:tc>
      </w:tr>
      <w:tr w14:paraId="074962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6F6CAA6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永诚财产保险股份有限公司台州分公司</w:t>
            </w:r>
          </w:p>
        </w:tc>
        <w:tc>
          <w:tcPr>
            <w:tcW w:w="2466" w:type="dxa"/>
            <w:vAlign w:val="center"/>
          </w:tcPr>
          <w:p w14:paraId="21DB810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年费率1%，最低保费1000元</w:t>
            </w:r>
          </w:p>
        </w:tc>
        <w:tc>
          <w:tcPr>
            <w:tcW w:w="991" w:type="dxa"/>
            <w:vAlign w:val="center"/>
          </w:tcPr>
          <w:p w14:paraId="3CF3319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尹刚强</w:t>
            </w:r>
          </w:p>
        </w:tc>
        <w:tc>
          <w:tcPr>
            <w:tcW w:w="1718" w:type="dxa"/>
            <w:vAlign w:val="center"/>
          </w:tcPr>
          <w:p w14:paraId="140C349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13750668184</w:t>
            </w:r>
          </w:p>
        </w:tc>
      </w:tr>
      <w:tr w14:paraId="005BA5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4B44255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华泰财产保险有限公司台州中心支公司</w:t>
            </w:r>
          </w:p>
        </w:tc>
        <w:tc>
          <w:tcPr>
            <w:tcW w:w="2466" w:type="dxa"/>
            <w:vAlign w:val="center"/>
          </w:tcPr>
          <w:p w14:paraId="6578A2F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年费率0.5%，最低保费1000元</w:t>
            </w:r>
          </w:p>
        </w:tc>
        <w:tc>
          <w:tcPr>
            <w:tcW w:w="991" w:type="dxa"/>
            <w:vAlign w:val="center"/>
          </w:tcPr>
          <w:p w14:paraId="5BD8B96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王灵芳</w:t>
            </w:r>
          </w:p>
        </w:tc>
        <w:tc>
          <w:tcPr>
            <w:tcW w:w="1718" w:type="dxa"/>
            <w:vAlign w:val="center"/>
          </w:tcPr>
          <w:p w14:paraId="6E046F8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88869818 13586123199</w:t>
            </w:r>
          </w:p>
        </w:tc>
      </w:tr>
      <w:tr w14:paraId="1E0498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00C959E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中国大地财产保险股份有限公司台州中心支公司</w:t>
            </w:r>
          </w:p>
        </w:tc>
        <w:tc>
          <w:tcPr>
            <w:tcW w:w="2466" w:type="dxa"/>
            <w:vAlign w:val="center"/>
          </w:tcPr>
          <w:p w14:paraId="6DF3C28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年费率1.5%，最低保费1000元</w:t>
            </w:r>
          </w:p>
        </w:tc>
        <w:tc>
          <w:tcPr>
            <w:tcW w:w="991" w:type="dxa"/>
            <w:vAlign w:val="center"/>
          </w:tcPr>
          <w:p w14:paraId="78BD10C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徐小明</w:t>
            </w:r>
          </w:p>
        </w:tc>
        <w:tc>
          <w:tcPr>
            <w:tcW w:w="1718" w:type="dxa"/>
            <w:vAlign w:val="center"/>
          </w:tcPr>
          <w:p w14:paraId="4B21949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88552788      13968603112</w:t>
            </w:r>
          </w:p>
        </w:tc>
      </w:tr>
      <w:tr w14:paraId="657798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78CE70B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阳光保险台州中心支公司</w:t>
            </w:r>
          </w:p>
        </w:tc>
        <w:tc>
          <w:tcPr>
            <w:tcW w:w="2466" w:type="dxa"/>
            <w:vAlign w:val="center"/>
          </w:tcPr>
          <w:p w14:paraId="301C00D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年费率1%，最低保费500元</w:t>
            </w:r>
          </w:p>
        </w:tc>
        <w:tc>
          <w:tcPr>
            <w:tcW w:w="991" w:type="dxa"/>
            <w:vAlign w:val="center"/>
          </w:tcPr>
          <w:p w14:paraId="7A1C2A1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林高明</w:t>
            </w:r>
          </w:p>
        </w:tc>
        <w:tc>
          <w:tcPr>
            <w:tcW w:w="1718" w:type="dxa"/>
            <w:vAlign w:val="center"/>
          </w:tcPr>
          <w:p w14:paraId="2BDCEEC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15888682693</w:t>
            </w:r>
          </w:p>
        </w:tc>
      </w:tr>
      <w:tr w14:paraId="64FCA7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3610EE3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中华联合财产保险股份有限公司台州中心支公司</w:t>
            </w:r>
          </w:p>
        </w:tc>
        <w:tc>
          <w:tcPr>
            <w:tcW w:w="2466" w:type="dxa"/>
            <w:vAlign w:val="center"/>
          </w:tcPr>
          <w:p w14:paraId="5560CC1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年费率2%，最低保费500元</w:t>
            </w:r>
          </w:p>
        </w:tc>
        <w:tc>
          <w:tcPr>
            <w:tcW w:w="991" w:type="dxa"/>
            <w:vAlign w:val="center"/>
          </w:tcPr>
          <w:p w14:paraId="43A8C44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王仙高</w:t>
            </w:r>
          </w:p>
        </w:tc>
        <w:tc>
          <w:tcPr>
            <w:tcW w:w="1718" w:type="dxa"/>
            <w:vAlign w:val="center"/>
          </w:tcPr>
          <w:p w14:paraId="3DDDC4D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13858600221</w:t>
            </w:r>
          </w:p>
        </w:tc>
      </w:tr>
      <w:tr w14:paraId="701D07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0473E6D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中国人民财产保险股份有限公司台州中心支公司</w:t>
            </w:r>
          </w:p>
        </w:tc>
        <w:tc>
          <w:tcPr>
            <w:tcW w:w="2466" w:type="dxa"/>
            <w:vAlign w:val="center"/>
          </w:tcPr>
          <w:p w14:paraId="24AC7D2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年费率0.3%，最低保费1000元</w:t>
            </w:r>
          </w:p>
        </w:tc>
        <w:tc>
          <w:tcPr>
            <w:tcW w:w="991" w:type="dxa"/>
            <w:vAlign w:val="center"/>
          </w:tcPr>
          <w:p w14:paraId="40831A8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王仙春</w:t>
            </w:r>
          </w:p>
        </w:tc>
        <w:tc>
          <w:tcPr>
            <w:tcW w:w="1718" w:type="dxa"/>
            <w:vAlign w:val="center"/>
          </w:tcPr>
          <w:p w14:paraId="1D05C83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13515769179</w:t>
            </w:r>
          </w:p>
        </w:tc>
      </w:tr>
      <w:tr w14:paraId="380A22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91" w:type="dxa"/>
            <w:vAlign w:val="center"/>
          </w:tcPr>
          <w:p w14:paraId="00516B3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永安财产保险股份有限公司台州中心支公司</w:t>
            </w:r>
          </w:p>
        </w:tc>
        <w:tc>
          <w:tcPr>
            <w:tcW w:w="2466" w:type="dxa"/>
            <w:vAlign w:val="center"/>
          </w:tcPr>
          <w:p w14:paraId="7CEE44C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年费率0.3%，最低保费1000</w:t>
            </w:r>
          </w:p>
        </w:tc>
        <w:tc>
          <w:tcPr>
            <w:tcW w:w="991" w:type="dxa"/>
            <w:vAlign w:val="center"/>
          </w:tcPr>
          <w:p w14:paraId="4604869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王春宇</w:t>
            </w:r>
          </w:p>
        </w:tc>
        <w:tc>
          <w:tcPr>
            <w:tcW w:w="1718" w:type="dxa"/>
            <w:vAlign w:val="center"/>
          </w:tcPr>
          <w:p w14:paraId="1EFF9AD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13676675331</w:t>
            </w:r>
          </w:p>
        </w:tc>
      </w:tr>
    </w:tbl>
    <w:p w14:paraId="397A89D1">
      <w:pPr>
        <w:shd w:val="clear"/>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预付款保函联系方式</w:t>
      </w:r>
    </w:p>
    <w:tbl>
      <w:tblPr>
        <w:tblStyle w:val="34"/>
        <w:tblW w:w="875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06"/>
        <w:gridCol w:w="2151"/>
        <w:gridCol w:w="991"/>
        <w:gridCol w:w="1703"/>
      </w:tblGrid>
      <w:tr w14:paraId="6400A6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8" w:hRule="atLeast"/>
          <w:jc w:val="center"/>
        </w:trPr>
        <w:tc>
          <w:tcPr>
            <w:tcW w:w="3906" w:type="dxa"/>
            <w:vAlign w:val="center"/>
          </w:tcPr>
          <w:p w14:paraId="59859B1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保险公司名称</w:t>
            </w:r>
          </w:p>
        </w:tc>
        <w:tc>
          <w:tcPr>
            <w:tcW w:w="2151" w:type="dxa"/>
            <w:vAlign w:val="center"/>
          </w:tcPr>
          <w:p w14:paraId="3DB05C0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保费率</w:t>
            </w:r>
          </w:p>
        </w:tc>
        <w:tc>
          <w:tcPr>
            <w:tcW w:w="991" w:type="dxa"/>
            <w:vAlign w:val="center"/>
          </w:tcPr>
          <w:p w14:paraId="219E415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703" w:type="dxa"/>
            <w:vAlign w:val="center"/>
          </w:tcPr>
          <w:p w14:paraId="27535FF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6EFADB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14:paraId="6435346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中国人寿财产保险股份有限公司台州中心支公司</w:t>
            </w:r>
          </w:p>
        </w:tc>
        <w:tc>
          <w:tcPr>
            <w:tcW w:w="2151" w:type="dxa"/>
            <w:vAlign w:val="center"/>
          </w:tcPr>
          <w:p w14:paraId="2D57601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年费率3%，最低保费500元</w:t>
            </w:r>
          </w:p>
        </w:tc>
        <w:tc>
          <w:tcPr>
            <w:tcW w:w="991" w:type="dxa"/>
            <w:vAlign w:val="center"/>
          </w:tcPr>
          <w:p w14:paraId="7328CD2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徐凌</w:t>
            </w:r>
          </w:p>
        </w:tc>
        <w:tc>
          <w:tcPr>
            <w:tcW w:w="1703" w:type="dxa"/>
            <w:vAlign w:val="center"/>
          </w:tcPr>
          <w:p w14:paraId="02BA0F9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13905168070</w:t>
            </w:r>
          </w:p>
        </w:tc>
      </w:tr>
      <w:tr w14:paraId="0D5A80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14:paraId="289F207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阳光保险台州中心支公司</w:t>
            </w:r>
          </w:p>
        </w:tc>
        <w:tc>
          <w:tcPr>
            <w:tcW w:w="2151" w:type="dxa"/>
            <w:vAlign w:val="center"/>
          </w:tcPr>
          <w:p w14:paraId="43EA176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年费率1%，最低保费500元</w:t>
            </w:r>
          </w:p>
        </w:tc>
        <w:tc>
          <w:tcPr>
            <w:tcW w:w="991" w:type="dxa"/>
            <w:vAlign w:val="center"/>
          </w:tcPr>
          <w:p w14:paraId="15A6A78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林高明</w:t>
            </w:r>
          </w:p>
        </w:tc>
        <w:tc>
          <w:tcPr>
            <w:tcW w:w="1703" w:type="dxa"/>
            <w:vAlign w:val="center"/>
          </w:tcPr>
          <w:p w14:paraId="53FF268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15888682693</w:t>
            </w:r>
          </w:p>
        </w:tc>
      </w:tr>
      <w:tr w14:paraId="4AFBA7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06" w:type="dxa"/>
            <w:vAlign w:val="center"/>
          </w:tcPr>
          <w:p w14:paraId="64270E8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天安财产保险股份有限公司台州中心支公司</w:t>
            </w:r>
          </w:p>
        </w:tc>
        <w:tc>
          <w:tcPr>
            <w:tcW w:w="2151" w:type="dxa"/>
            <w:vAlign w:val="center"/>
          </w:tcPr>
          <w:p w14:paraId="2C2DA12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年费率1%-2%，最低保费500元</w:t>
            </w:r>
          </w:p>
        </w:tc>
        <w:tc>
          <w:tcPr>
            <w:tcW w:w="991" w:type="dxa"/>
            <w:vAlign w:val="center"/>
          </w:tcPr>
          <w:p w14:paraId="437D43C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罗赛</w:t>
            </w:r>
          </w:p>
        </w:tc>
        <w:tc>
          <w:tcPr>
            <w:tcW w:w="1703" w:type="dxa"/>
            <w:vAlign w:val="center"/>
          </w:tcPr>
          <w:p w14:paraId="2066512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13736605643</w:t>
            </w:r>
          </w:p>
        </w:tc>
      </w:tr>
    </w:tbl>
    <w:p w14:paraId="66CAEDDB">
      <w:pPr>
        <w:shd w:val="clear"/>
        <w:spacing w:line="360" w:lineRule="auto"/>
        <w:jc w:val="righ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浙江五石中正工程咨询有限公司</w:t>
      </w:r>
    </w:p>
    <w:p w14:paraId="79E1AA7F">
      <w:pPr>
        <w:shd w:val="clea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2024年</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lang w:eastAsia="zh-CN"/>
        </w:rPr>
        <w:t>月</w:t>
      </w:r>
    </w:p>
    <w:p w14:paraId="15F99E9D">
      <w:pPr>
        <w:shd w:val="clear"/>
        <w:spacing w:line="360" w:lineRule="auto"/>
        <w:rPr>
          <w:rFonts w:hint="eastAsia" w:ascii="宋体" w:hAnsi="宋体" w:eastAsia="宋体" w:cs="宋体"/>
          <w:color w:val="auto"/>
          <w:sz w:val="24"/>
          <w:szCs w:val="32"/>
          <w:highlight w:val="none"/>
        </w:rPr>
      </w:pPr>
    </w:p>
    <w:p w14:paraId="277E594F">
      <w:pPr>
        <w:shd w:val="clear"/>
        <w:spacing w:line="360" w:lineRule="auto"/>
        <w:rPr>
          <w:rFonts w:hint="eastAsia" w:ascii="宋体" w:hAnsi="宋体" w:eastAsia="宋体" w:cs="宋体"/>
          <w:color w:val="auto"/>
          <w:sz w:val="24"/>
          <w:szCs w:val="32"/>
          <w:highlight w:val="none"/>
        </w:rPr>
      </w:pPr>
    </w:p>
    <w:p w14:paraId="0EC15A45">
      <w:pP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p>
    <w:p w14:paraId="66A09B04">
      <w:pPr>
        <w:shd w:val="clear"/>
        <w:spacing w:line="360" w:lineRule="auto"/>
        <w:jc w:val="center"/>
        <w:rPr>
          <w:rFonts w:hint="eastAsia" w:ascii="宋体" w:hAnsi="宋体" w:eastAsia="宋体" w:cs="宋体"/>
          <w:b/>
          <w:bCs/>
          <w:color w:val="auto"/>
          <w:sz w:val="36"/>
          <w:szCs w:val="44"/>
          <w:highlight w:val="none"/>
        </w:rPr>
        <w:sectPr>
          <w:headerReference r:id="rId4" w:type="default"/>
          <w:pgSz w:w="11906" w:h="16838"/>
          <w:pgMar w:top="1440" w:right="1803" w:bottom="1440" w:left="1803" w:header="851" w:footer="992" w:gutter="0"/>
          <w:cols w:space="0" w:num="1"/>
          <w:docGrid w:type="lines" w:linePitch="312" w:charSpace="0"/>
        </w:sectPr>
      </w:pPr>
    </w:p>
    <w:p w14:paraId="6326B6F7">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第二章 投标人须知</w:t>
      </w:r>
    </w:p>
    <w:p w14:paraId="0E81BC3D">
      <w:pPr>
        <w:shd w:val="clear"/>
        <w:spacing w:line="360" w:lineRule="auto"/>
        <w:ind w:firstLine="482" w:firstLineChars="200"/>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前附表</w:t>
      </w:r>
    </w:p>
    <w:tbl>
      <w:tblPr>
        <w:tblStyle w:val="33"/>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407"/>
        <w:gridCol w:w="7050"/>
      </w:tblGrid>
      <w:tr w14:paraId="1C92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7655D9A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07" w:type="dxa"/>
            <w:vAlign w:val="center"/>
          </w:tcPr>
          <w:p w14:paraId="1AD5273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7050" w:type="dxa"/>
            <w:vAlign w:val="center"/>
          </w:tcPr>
          <w:p w14:paraId="51731FD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r>
      <w:tr w14:paraId="3553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90C7A5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07" w:type="dxa"/>
            <w:vAlign w:val="center"/>
          </w:tcPr>
          <w:p w14:paraId="26FA6F2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供应商特定资格要求</w:t>
            </w:r>
          </w:p>
        </w:tc>
        <w:tc>
          <w:tcPr>
            <w:tcW w:w="7050" w:type="dxa"/>
            <w:vAlign w:val="center"/>
          </w:tcPr>
          <w:p w14:paraId="2E763698">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符合招标公告资格要求的供应商。</w:t>
            </w:r>
          </w:p>
        </w:tc>
      </w:tr>
      <w:tr w14:paraId="158C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F7D42D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407" w:type="dxa"/>
            <w:vAlign w:val="center"/>
          </w:tcPr>
          <w:p w14:paraId="3E74C1D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答疑会或</w:t>
            </w:r>
            <w:r>
              <w:rPr>
                <w:rFonts w:hint="eastAsia" w:ascii="宋体" w:hAnsi="宋体" w:eastAsia="宋体" w:cs="宋体"/>
                <w:color w:val="auto"/>
                <w:sz w:val="24"/>
                <w:highlight w:val="none"/>
              </w:rPr>
              <w:t>现场踏勘</w:t>
            </w:r>
          </w:p>
        </w:tc>
        <w:tc>
          <w:tcPr>
            <w:tcW w:w="7050" w:type="dxa"/>
            <w:vAlign w:val="center"/>
          </w:tcPr>
          <w:p w14:paraId="51869529">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不组织，各投标单位根据自己需要，自行前往勘察现场和周围环境，所产生的费用由投标单位自理。</w:t>
            </w:r>
          </w:p>
        </w:tc>
      </w:tr>
      <w:tr w14:paraId="4AD0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14:paraId="4390FC2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407" w:type="dxa"/>
            <w:vAlign w:val="center"/>
          </w:tcPr>
          <w:p w14:paraId="799D13E3">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投标文件递交要求</w:t>
            </w:r>
          </w:p>
        </w:tc>
        <w:tc>
          <w:tcPr>
            <w:tcW w:w="7050" w:type="dxa"/>
            <w:vAlign w:val="center"/>
          </w:tcPr>
          <w:p w14:paraId="1ABBFA80">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本项目实行</w:t>
            </w:r>
            <w:r>
              <w:rPr>
                <w:rFonts w:hint="eastAsia" w:ascii="宋体" w:hAnsi="宋体" w:eastAsia="宋体" w:cs="宋体"/>
                <w:b/>
                <w:bCs/>
                <w:color w:val="auto"/>
                <w:sz w:val="24"/>
                <w:highlight w:val="none"/>
              </w:rPr>
              <w:t>电子投标</w:t>
            </w:r>
            <w:r>
              <w:rPr>
                <w:rFonts w:hint="eastAsia" w:ascii="宋体" w:hAnsi="宋体" w:eastAsia="宋体" w:cs="宋体"/>
                <w:color w:val="auto"/>
                <w:sz w:val="24"/>
                <w:highlight w:val="none"/>
              </w:rPr>
              <w:t>，供应商应准备电子投标文件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还可以提供</w:t>
            </w:r>
            <w:r>
              <w:rPr>
                <w:rFonts w:hint="eastAsia" w:ascii="宋体" w:hAnsi="宋体" w:eastAsia="宋体" w:cs="宋体"/>
                <w:color w:val="auto"/>
                <w:sz w:val="24"/>
                <w:highlight w:val="none"/>
              </w:rPr>
              <w:t>以介质（U盘）存储的数据电文形式的备份投标文件、纸质备份投标文件</w:t>
            </w:r>
            <w:r>
              <w:rPr>
                <w:rFonts w:hint="eastAsia" w:ascii="宋体" w:hAnsi="宋体" w:eastAsia="宋体" w:cs="宋体"/>
                <w:color w:val="auto"/>
                <w:sz w:val="24"/>
                <w:highlight w:val="none"/>
                <w:lang w:eastAsia="zh-CN"/>
              </w:rPr>
              <w:t>。</w:t>
            </w:r>
          </w:p>
          <w:p w14:paraId="2B709C6F">
            <w:pPr>
              <w:keepNext w:val="0"/>
              <w:keepLines w:val="0"/>
              <w:suppressLineNumbers w:val="0"/>
              <w:shd w:val="clear"/>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1.电子投标文件，按政采云平台项目采购--电子招投标操作指南及本招标文件要求编制、递交。</w:t>
            </w:r>
          </w:p>
          <w:p w14:paraId="11344357">
            <w:pPr>
              <w:keepNext w:val="0"/>
              <w:keepLines w:val="0"/>
              <w:suppressLineNumbers w:val="0"/>
              <w:shd w:val="clear"/>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2.以介质（U盘）存储的数据电文形式的备份投标文件，按政采云平台项目采购-电子招投标操作指南中上传的电子投标文件格式，以U盘形式提供。</w:t>
            </w:r>
          </w:p>
          <w:p w14:paraId="0F22C60E">
            <w:pPr>
              <w:keepNext w:val="0"/>
              <w:keepLines w:val="0"/>
              <w:suppressLineNumbers w:val="0"/>
              <w:shd w:val="clear"/>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highlight w:val="none"/>
              </w:rPr>
              <w:t>。资格证明文件、商务技术文件、报价文件三部分须分别密封封装，资格证明文件、商务技术文件、报价文件三部分未分别密封的</w:t>
            </w:r>
            <w:r>
              <w:rPr>
                <w:rFonts w:hint="eastAsia" w:ascii="宋体" w:hAnsi="宋体" w:eastAsia="宋体" w:cs="宋体"/>
                <w:color w:val="auto"/>
                <w:sz w:val="24"/>
                <w:highlight w:val="none"/>
                <w:lang w:val="en-US" w:eastAsia="zh-CN"/>
              </w:rPr>
              <w:t>备份</w:t>
            </w:r>
            <w:r>
              <w:rPr>
                <w:rFonts w:hint="eastAsia" w:ascii="宋体" w:hAnsi="宋体" w:eastAsia="宋体" w:cs="宋体"/>
                <w:color w:val="auto"/>
                <w:sz w:val="24"/>
                <w:highlight w:val="none"/>
              </w:rPr>
              <w:t>投标文件将为无效。</w:t>
            </w:r>
          </w:p>
          <w:p w14:paraId="325231B8">
            <w:pPr>
              <w:keepNext w:val="0"/>
              <w:keepLines w:val="0"/>
              <w:suppressLineNumbers w:val="0"/>
              <w:shd w:val="clear"/>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按照平台提示和招标文件的规定在半小时内完成在线解密。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6C7D114A">
            <w:pPr>
              <w:keepNext w:val="0"/>
              <w:keepLines w:val="0"/>
              <w:suppressLineNumbers w:val="0"/>
              <w:shd w:val="clear"/>
              <w:spacing w:before="0" w:beforeAutospacing="0" w:after="0" w:afterAutospacing="0"/>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5.▲未传输递交电子投标文件的，投标无效。</w:t>
            </w:r>
          </w:p>
        </w:tc>
      </w:tr>
      <w:tr w14:paraId="05D7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5DA73E5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407" w:type="dxa"/>
            <w:vAlign w:val="center"/>
          </w:tcPr>
          <w:p w14:paraId="43C0CA5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7050" w:type="dxa"/>
            <w:vAlign w:val="center"/>
          </w:tcPr>
          <w:p w14:paraId="1C0291BD">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投标有效期为开标后90天，</w:t>
            </w:r>
            <w:r>
              <w:rPr>
                <w:rFonts w:hint="eastAsia" w:ascii="宋体" w:hAnsi="宋体" w:eastAsia="宋体" w:cs="宋体"/>
                <w:color w:val="auto"/>
                <w:kern w:val="0"/>
                <w:sz w:val="24"/>
                <w:highlight w:val="none"/>
              </w:rPr>
              <w:t>投标有效期从提交投标文件的截止之日起算。</w:t>
            </w:r>
          </w:p>
        </w:tc>
      </w:tr>
      <w:tr w14:paraId="7177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vAlign w:val="center"/>
          </w:tcPr>
          <w:p w14:paraId="6F4C43A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407" w:type="dxa"/>
            <w:vAlign w:val="center"/>
          </w:tcPr>
          <w:p w14:paraId="7F14DA0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w:t>
            </w:r>
          </w:p>
        </w:tc>
        <w:tc>
          <w:tcPr>
            <w:tcW w:w="7050" w:type="dxa"/>
            <w:vAlign w:val="center"/>
          </w:tcPr>
          <w:p w14:paraId="3C446F26">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截止时间：北京时间</w:t>
            </w:r>
            <w:r>
              <w:rPr>
                <w:rFonts w:hint="eastAsia" w:ascii="宋体" w:hAnsi="宋体" w:eastAsia="宋体" w:cs="宋体"/>
                <w:color w:val="auto"/>
                <w:sz w:val="24"/>
                <w:highlight w:val="none"/>
                <w:lang w:eastAsia="zh-CN"/>
              </w:rPr>
              <w:t>2024年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eastAsia="zh-CN"/>
              </w:rPr>
              <w:t>日 上午09:00</w:t>
            </w:r>
            <w:r>
              <w:rPr>
                <w:rFonts w:hint="eastAsia" w:ascii="宋体" w:hAnsi="宋体" w:eastAsia="宋体" w:cs="宋体"/>
                <w:color w:val="auto"/>
                <w:sz w:val="24"/>
                <w:highlight w:val="none"/>
              </w:rPr>
              <w:t>整</w:t>
            </w:r>
          </w:p>
          <w:p w14:paraId="0FCEF94C">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投标供应商应当在投标截止时间前将生成的“电子加密投标文件”上传递交至“政府采购云平台”。</w:t>
            </w:r>
          </w:p>
        </w:tc>
      </w:tr>
      <w:tr w14:paraId="0989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vAlign w:val="center"/>
          </w:tcPr>
          <w:p w14:paraId="3718CA5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407" w:type="dxa"/>
            <w:vAlign w:val="center"/>
          </w:tcPr>
          <w:p w14:paraId="330CC66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开标时间及地点</w:t>
            </w:r>
          </w:p>
        </w:tc>
        <w:tc>
          <w:tcPr>
            <w:tcW w:w="7050" w:type="dxa"/>
            <w:vAlign w:val="center"/>
          </w:tcPr>
          <w:p w14:paraId="67D4E06F">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时间：北京时间</w:t>
            </w:r>
            <w:r>
              <w:rPr>
                <w:rFonts w:hint="eastAsia" w:ascii="宋体" w:hAnsi="宋体" w:eastAsia="宋体" w:cs="宋体"/>
                <w:color w:val="auto"/>
                <w:sz w:val="24"/>
                <w:highlight w:val="none"/>
                <w:lang w:eastAsia="zh-CN"/>
              </w:rPr>
              <w:t>2024年</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eastAsia="zh-CN"/>
              </w:rPr>
              <w:t>月</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eastAsia="zh-CN"/>
              </w:rPr>
              <w:t>日 上午09:00</w:t>
            </w:r>
            <w:r>
              <w:rPr>
                <w:rFonts w:hint="eastAsia" w:ascii="宋体" w:hAnsi="宋体" w:eastAsia="宋体" w:cs="宋体"/>
                <w:color w:val="auto"/>
                <w:sz w:val="24"/>
                <w:highlight w:val="none"/>
              </w:rPr>
              <w:t>整</w:t>
            </w:r>
          </w:p>
          <w:p w14:paraId="3ED19782">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地点：</w:t>
            </w:r>
            <w:r>
              <w:rPr>
                <w:rFonts w:hint="eastAsia" w:ascii="宋体" w:hAnsi="宋体" w:eastAsia="宋体" w:cs="宋体"/>
                <w:color w:val="auto"/>
                <w:sz w:val="24"/>
                <w:szCs w:val="32"/>
                <w:highlight w:val="none"/>
              </w:rPr>
              <w:t>椒江区市府大道777号民泰大楼3楼一号开标室</w:t>
            </w:r>
            <w:r>
              <w:rPr>
                <w:rFonts w:hint="eastAsia" w:ascii="宋体" w:hAnsi="宋体" w:eastAsia="宋体" w:cs="宋体"/>
                <w:color w:val="auto"/>
                <w:sz w:val="24"/>
                <w:szCs w:val="32"/>
                <w:highlight w:val="none"/>
                <w:lang w:val="en-US" w:eastAsia="zh-CN"/>
              </w:rPr>
              <w:t>B</w:t>
            </w:r>
            <w:r>
              <w:rPr>
                <w:rFonts w:hint="eastAsia" w:ascii="宋体" w:hAnsi="宋体" w:eastAsia="宋体" w:cs="宋体"/>
                <w:color w:val="auto"/>
                <w:sz w:val="24"/>
                <w:szCs w:val="32"/>
                <w:highlight w:val="none"/>
              </w:rPr>
              <w:t>场地</w:t>
            </w:r>
          </w:p>
        </w:tc>
      </w:tr>
      <w:tr w14:paraId="09D6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CD3858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407" w:type="dxa"/>
            <w:vAlign w:val="center"/>
          </w:tcPr>
          <w:p w14:paraId="5FF1BA4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7050" w:type="dxa"/>
            <w:vAlign w:val="center"/>
          </w:tcPr>
          <w:p w14:paraId="64AD3960">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不收取。</w:t>
            </w:r>
          </w:p>
        </w:tc>
      </w:tr>
      <w:tr w14:paraId="692C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0CEFD3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407" w:type="dxa"/>
            <w:vAlign w:val="center"/>
          </w:tcPr>
          <w:p w14:paraId="47F7755E">
            <w:pPr>
              <w:keepNext w:val="0"/>
              <w:keepLines w:val="0"/>
              <w:suppressLineNumbers w:val="0"/>
              <w:shd w:val="clear"/>
              <w:autoSpaceDE w:val="0"/>
              <w:autoSpaceDN w:val="0"/>
              <w:adjustRightInd w:val="0"/>
              <w:spacing w:before="0" w:beforeAutospacing="0" w:after="0" w:afterAutospacing="0"/>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实质性条款</w:t>
            </w:r>
          </w:p>
        </w:tc>
        <w:tc>
          <w:tcPr>
            <w:tcW w:w="7050" w:type="dxa"/>
            <w:vAlign w:val="center"/>
          </w:tcPr>
          <w:p w14:paraId="04E5C724">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带“</w:t>
            </w:r>
            <w:r>
              <w:rPr>
                <w:rFonts w:hint="eastAsia" w:ascii="宋体" w:hAnsi="宋体" w:eastAsia="宋体" w:cs="宋体"/>
                <w:color w:val="auto"/>
                <w:sz w:val="24"/>
                <w:highlight w:val="none"/>
              </w:rPr>
              <w:t>▲”的条款是实质性条款，投标文件须作出实质性响应，否则作无效投标处理。</w:t>
            </w:r>
          </w:p>
        </w:tc>
      </w:tr>
      <w:tr w14:paraId="0CF8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E20F0A9">
            <w:pPr>
              <w:keepNext w:val="0"/>
              <w:keepLines w:val="0"/>
              <w:suppressLineNumbers w:val="0"/>
              <w:shd w:val="clear"/>
              <w:spacing w:before="0" w:beforeAutospacing="0" w:after="0" w:afterAutospacing="0" w:line="400" w:lineRule="exac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2407" w:type="dxa"/>
            <w:tcBorders>
              <w:top w:val="single" w:color="auto" w:sz="4" w:space="0"/>
              <w:left w:val="single" w:color="auto" w:sz="4" w:space="0"/>
              <w:bottom w:val="single" w:color="auto" w:sz="4" w:space="0"/>
              <w:right w:val="single" w:color="auto" w:sz="4" w:space="0"/>
            </w:tcBorders>
            <w:vAlign w:val="center"/>
          </w:tcPr>
          <w:p w14:paraId="64E56771">
            <w:pPr>
              <w:keepNext w:val="0"/>
              <w:keepLines w:val="0"/>
              <w:suppressLineNumbers w:val="0"/>
              <w:shd w:val="clear"/>
              <w:autoSpaceDE w:val="0"/>
              <w:autoSpaceDN w:val="0"/>
              <w:adjustRightInd w:val="0"/>
              <w:spacing w:before="0" w:beforeAutospacing="0" w:after="0" w:afterAutospacing="0"/>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样品</w:t>
            </w:r>
          </w:p>
        </w:tc>
        <w:tc>
          <w:tcPr>
            <w:tcW w:w="7050" w:type="dxa"/>
            <w:tcBorders>
              <w:top w:val="single" w:color="auto" w:sz="4" w:space="0"/>
              <w:left w:val="single" w:color="auto" w:sz="4" w:space="0"/>
              <w:bottom w:val="single" w:color="auto" w:sz="4" w:space="0"/>
              <w:right w:val="single" w:color="auto" w:sz="4" w:space="0"/>
            </w:tcBorders>
            <w:vAlign w:val="center"/>
          </w:tcPr>
          <w:p w14:paraId="6E757458">
            <w:pPr>
              <w:keepNext w:val="0"/>
              <w:keepLines w:val="0"/>
              <w:suppressLineNumbers w:val="0"/>
              <w:shd w:val="clear"/>
              <w:spacing w:before="0" w:beforeAutospacing="0" w:after="0" w:afterAutospacing="0" w:line="400" w:lineRule="exact"/>
              <w:ind w:left="0" w:right="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无</w:t>
            </w:r>
          </w:p>
        </w:tc>
      </w:tr>
      <w:tr w14:paraId="7C15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AC6684E">
            <w:pPr>
              <w:keepNext w:val="0"/>
              <w:keepLines w:val="0"/>
              <w:suppressLineNumbers w:val="0"/>
              <w:shd w:val="clear"/>
              <w:spacing w:before="0" w:beforeAutospacing="0" w:after="0" w:afterAutospacing="0" w:line="400" w:lineRule="exact"/>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2407" w:type="dxa"/>
            <w:tcBorders>
              <w:top w:val="single" w:color="auto" w:sz="4" w:space="0"/>
              <w:left w:val="single" w:color="auto" w:sz="4" w:space="0"/>
              <w:bottom w:val="single" w:color="auto" w:sz="4" w:space="0"/>
              <w:right w:val="single" w:color="auto" w:sz="4" w:space="0"/>
            </w:tcBorders>
            <w:vAlign w:val="center"/>
          </w:tcPr>
          <w:p w14:paraId="778113A2">
            <w:pPr>
              <w:keepNext w:val="0"/>
              <w:keepLines w:val="0"/>
              <w:suppressLineNumbers w:val="0"/>
              <w:shd w:val="clear"/>
              <w:autoSpaceDE w:val="0"/>
              <w:autoSpaceDN w:val="0"/>
              <w:adjustRightIn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演示</w:t>
            </w:r>
          </w:p>
        </w:tc>
        <w:tc>
          <w:tcPr>
            <w:tcW w:w="7050" w:type="dxa"/>
            <w:tcBorders>
              <w:top w:val="single" w:color="auto" w:sz="4" w:space="0"/>
              <w:left w:val="single" w:color="auto" w:sz="4" w:space="0"/>
              <w:bottom w:val="single" w:color="auto" w:sz="4" w:space="0"/>
              <w:right w:val="single" w:color="auto" w:sz="4" w:space="0"/>
            </w:tcBorders>
            <w:vAlign w:val="center"/>
          </w:tcPr>
          <w:p w14:paraId="4D9F8ED0">
            <w:pPr>
              <w:keepNext w:val="0"/>
              <w:keepLines w:val="0"/>
              <w:suppressLineNumbers w:val="0"/>
              <w:shd w:val="clear"/>
              <w:spacing w:before="0" w:beforeAutospacing="0" w:after="0" w:afterAutospacing="0" w:line="400" w:lineRule="exact"/>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有，详见评分标准</w:t>
            </w:r>
            <w:r>
              <w:rPr>
                <w:rFonts w:hint="eastAsia" w:ascii="宋体" w:hAnsi="宋体" w:eastAsia="宋体" w:cs="宋体"/>
                <w:color w:val="auto"/>
                <w:sz w:val="24"/>
                <w:highlight w:val="none"/>
              </w:rPr>
              <w:t>。</w:t>
            </w:r>
          </w:p>
          <w:p w14:paraId="5E6351DC">
            <w:pPr>
              <w:keepNext w:val="0"/>
              <w:keepLines w:val="0"/>
              <w:suppressLineNumbers w:val="0"/>
              <w:shd w:val="clear"/>
              <w:spacing w:before="0" w:beforeAutospacing="0" w:after="0" w:afterAutospacing="0" w:line="400" w:lineRule="exact"/>
              <w:ind w:left="0" w:right="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b/>
                <w:bCs/>
                <w:color w:val="auto"/>
                <w:kern w:val="0"/>
                <w:sz w:val="24"/>
                <w:highlight w:val="none"/>
                <w:lang w:val="zh-CN" w:eastAsia="zh-CN"/>
              </w:rPr>
              <w:t>投标人将需演示的部分自行演示并录制成视频制作在U盘中，录制视频时长不超过</w:t>
            </w:r>
            <w:r>
              <w:rPr>
                <w:rFonts w:hint="eastAsia" w:ascii="宋体" w:hAnsi="宋体" w:cs="宋体"/>
                <w:b/>
                <w:bCs/>
                <w:color w:val="auto"/>
                <w:kern w:val="0"/>
                <w:sz w:val="24"/>
                <w:highlight w:val="none"/>
                <w:lang w:val="en-US" w:eastAsia="zh-CN"/>
              </w:rPr>
              <w:t>10</w:t>
            </w:r>
            <w:r>
              <w:rPr>
                <w:rFonts w:hint="eastAsia" w:ascii="宋体" w:hAnsi="宋体" w:eastAsia="宋体" w:cs="宋体"/>
                <w:b/>
                <w:bCs/>
                <w:color w:val="auto"/>
                <w:kern w:val="0"/>
                <w:sz w:val="24"/>
                <w:highlight w:val="none"/>
                <w:lang w:val="zh-CN" w:eastAsia="zh-CN"/>
              </w:rPr>
              <w:t>分钟，录制的视频为MP4格式，在投标截止时间前</w:t>
            </w:r>
            <w:r>
              <w:rPr>
                <w:rFonts w:hint="eastAsia" w:ascii="宋体" w:hAnsi="宋体" w:eastAsia="宋体" w:cs="宋体"/>
                <w:b/>
                <w:bCs/>
                <w:color w:val="auto"/>
                <w:kern w:val="0"/>
                <w:sz w:val="24"/>
                <w:highlight w:val="none"/>
                <w:lang w:val="en-US" w:eastAsia="zh-CN"/>
              </w:rPr>
              <w:t>将U盘密封完好</w:t>
            </w:r>
            <w:r>
              <w:rPr>
                <w:rFonts w:hint="eastAsia" w:ascii="宋体" w:hAnsi="宋体" w:eastAsia="宋体" w:cs="宋体"/>
                <w:b/>
                <w:bCs/>
                <w:color w:val="auto"/>
                <w:kern w:val="0"/>
                <w:sz w:val="24"/>
                <w:highlight w:val="none"/>
                <w:lang w:val="zh-CN" w:eastAsia="zh-CN"/>
              </w:rPr>
              <w:t>递交到招标代理机构处。专有钉钉作为浙政钉的测试环境，浙政钉的相关功能演示可用专有钉钉来代替进行演示。</w:t>
            </w:r>
            <w:r>
              <w:rPr>
                <w:rFonts w:hint="eastAsia" w:ascii="宋体" w:hAnsi="宋体" w:eastAsia="宋体" w:cs="宋体"/>
                <w:color w:val="auto"/>
                <w:sz w:val="24"/>
                <w:highlight w:val="none"/>
              </w:rPr>
              <w:t>（地址：浙江省台州市椒江区椒江区市府大道777号民泰大楼3楼）递交压缩加密的演示视频（U盘介质）,接受人：徐先生，联系电话</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15088711407</w:t>
            </w:r>
            <w:r>
              <w:rPr>
                <w:rFonts w:hint="eastAsia" w:ascii="宋体" w:hAnsi="宋体" w:cs="宋体"/>
                <w:color w:val="auto"/>
                <w:sz w:val="24"/>
                <w:highlight w:val="none"/>
                <w:lang w:eastAsia="zh-CN"/>
              </w:rPr>
              <w:t>）</w:t>
            </w:r>
          </w:p>
          <w:p w14:paraId="6DDDAEDA">
            <w:pPr>
              <w:keepNext w:val="0"/>
              <w:keepLines w:val="0"/>
              <w:suppressLineNumbers w:val="0"/>
              <w:shd w:val="clear"/>
              <w:spacing w:before="0" w:beforeAutospacing="0" w:after="0" w:afterAutospacing="0" w:line="400" w:lineRule="exact"/>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开标评审的演示评审环节，演示顺序按电子交易平台解密后自动生成的“投标（响应）文件签收登记表”名单顺序分别进行，代理机构向各投标人获取视频解密密码，未及时提供解密密码或无法打开视频的，演示不得分。</w:t>
            </w:r>
          </w:p>
        </w:tc>
      </w:tr>
      <w:tr w14:paraId="4BFF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F0D5663">
            <w:pPr>
              <w:keepNext w:val="0"/>
              <w:keepLines w:val="0"/>
              <w:suppressLineNumbers w:val="0"/>
              <w:shd w:val="clear"/>
              <w:spacing w:before="0" w:beforeAutospacing="0" w:after="0" w:afterAutospacing="0" w:line="400" w:lineRule="exact"/>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p>
        </w:tc>
        <w:tc>
          <w:tcPr>
            <w:tcW w:w="2407" w:type="dxa"/>
            <w:tcBorders>
              <w:top w:val="single" w:color="auto" w:sz="4" w:space="0"/>
              <w:left w:val="single" w:color="auto" w:sz="4" w:space="0"/>
              <w:bottom w:val="single" w:color="auto" w:sz="4" w:space="0"/>
              <w:right w:val="single" w:color="auto" w:sz="4" w:space="0"/>
            </w:tcBorders>
            <w:vAlign w:val="center"/>
          </w:tcPr>
          <w:p w14:paraId="1CDBD677">
            <w:pPr>
              <w:keepNext w:val="0"/>
              <w:keepLines w:val="0"/>
              <w:suppressLineNumbers w:val="0"/>
              <w:shd w:val="clear"/>
              <w:autoSpaceDE w:val="0"/>
              <w:autoSpaceDN w:val="0"/>
              <w:adjustRightInd w:val="0"/>
              <w:spacing w:before="0" w:beforeAutospacing="0" w:after="0" w:afterAutospacing="0"/>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14:paraId="0CCE7372">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符合国家相关法律规定。</w:t>
            </w:r>
          </w:p>
        </w:tc>
      </w:tr>
      <w:tr w14:paraId="59B1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683FE5E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p>
        </w:tc>
        <w:tc>
          <w:tcPr>
            <w:tcW w:w="2407" w:type="dxa"/>
            <w:tcBorders>
              <w:top w:val="single" w:color="auto" w:sz="4" w:space="0"/>
              <w:left w:val="single" w:color="auto" w:sz="4" w:space="0"/>
              <w:bottom w:val="single" w:color="auto" w:sz="4" w:space="0"/>
              <w:right w:val="single" w:color="auto" w:sz="4" w:space="0"/>
            </w:tcBorders>
            <w:vAlign w:val="center"/>
          </w:tcPr>
          <w:p w14:paraId="464C619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vAlign w:val="center"/>
          </w:tcPr>
          <w:p w14:paraId="0B0B003B">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□是</w:t>
            </w:r>
          </w:p>
          <w:p w14:paraId="0418F897">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☑否</w:t>
            </w:r>
          </w:p>
        </w:tc>
      </w:tr>
      <w:tr w14:paraId="4370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928383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13</w:t>
            </w:r>
          </w:p>
        </w:tc>
        <w:tc>
          <w:tcPr>
            <w:tcW w:w="2407" w:type="dxa"/>
            <w:tcBorders>
              <w:top w:val="single" w:color="auto" w:sz="4" w:space="0"/>
              <w:left w:val="single" w:color="auto" w:sz="4" w:space="0"/>
              <w:bottom w:val="single" w:color="auto" w:sz="4" w:space="0"/>
              <w:right w:val="single" w:color="auto" w:sz="4" w:space="0"/>
            </w:tcBorders>
            <w:vAlign w:val="center"/>
          </w:tcPr>
          <w:p w14:paraId="5DF3E89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中小企业划分标准所属行业</w:t>
            </w:r>
          </w:p>
        </w:tc>
        <w:tc>
          <w:tcPr>
            <w:tcW w:w="7050" w:type="dxa"/>
            <w:tcBorders>
              <w:top w:val="single" w:color="auto" w:sz="4" w:space="0"/>
              <w:left w:val="single" w:color="auto" w:sz="4" w:space="0"/>
              <w:bottom w:val="single" w:color="auto" w:sz="4" w:space="0"/>
              <w:right w:val="single" w:color="auto" w:sz="4" w:space="0"/>
            </w:tcBorders>
            <w:vAlign w:val="center"/>
          </w:tcPr>
          <w:p w14:paraId="35728C06">
            <w:pPr>
              <w:keepNext w:val="0"/>
              <w:keepLines w:val="0"/>
              <w:suppressLineNumbers w:val="0"/>
              <w:shd w:val="clear"/>
              <w:spacing w:before="0" w:beforeAutospacing="0" w:after="0" w:afterAutospacing="0"/>
              <w:ind w:left="0" w:right="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所属行业：</w:t>
            </w:r>
            <w:r>
              <w:rPr>
                <w:rFonts w:hint="eastAsia" w:ascii="宋体" w:hAnsi="宋体" w:eastAsia="宋体" w:cs="宋体"/>
                <w:color w:val="auto"/>
                <w:sz w:val="24"/>
                <w:highlight w:val="none"/>
                <w:lang w:val="en-US" w:eastAsia="zh-CN"/>
              </w:rPr>
              <w:t>软件和信息技术服务业</w:t>
            </w:r>
          </w:p>
        </w:tc>
      </w:tr>
      <w:tr w14:paraId="0C76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6AB6B47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p>
        </w:tc>
        <w:tc>
          <w:tcPr>
            <w:tcW w:w="2407" w:type="dxa"/>
            <w:tcBorders>
              <w:top w:val="single" w:color="auto" w:sz="4" w:space="0"/>
              <w:left w:val="single" w:color="auto" w:sz="4" w:space="0"/>
              <w:bottom w:val="single" w:color="auto" w:sz="4" w:space="0"/>
              <w:right w:val="single" w:color="auto" w:sz="4" w:space="0"/>
            </w:tcBorders>
            <w:vAlign w:val="center"/>
          </w:tcPr>
          <w:p w14:paraId="5654ACC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7050" w:type="dxa"/>
            <w:tcBorders>
              <w:top w:val="single" w:color="auto" w:sz="4" w:space="0"/>
              <w:left w:val="single" w:color="auto" w:sz="4" w:space="0"/>
              <w:bottom w:val="single" w:color="auto" w:sz="4" w:space="0"/>
              <w:right w:val="single" w:color="auto" w:sz="4" w:space="0"/>
            </w:tcBorders>
            <w:vAlign w:val="center"/>
          </w:tcPr>
          <w:p w14:paraId="12E3BF5F">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1、各供应商自行在浙江政府采购网下载或查阅采购文件和相关更正公告等，不另行通知，如有遗漏采购人、采购代理机构概不负责。</w:t>
            </w:r>
          </w:p>
          <w:p w14:paraId="5F9852B6">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2、两家或两家以上供应商提供的投标文件出自同一终端设备的，或在相同Internet主机分配地址（相同IP地址）报名或网上投标的，后果由供应商自行承担。</w:t>
            </w:r>
          </w:p>
        </w:tc>
      </w:tr>
    </w:tbl>
    <w:p w14:paraId="5730D0DD">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一、总  则</w:t>
      </w:r>
    </w:p>
    <w:p w14:paraId="22D45272">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（一）适用范围</w:t>
      </w:r>
    </w:p>
    <w:p w14:paraId="184A4F0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本招标文件适用于本次项目的招标、投标、评标、定标、验收、合同履约、付款等行为（法律、法规另有规定的，从其规定）。</w:t>
      </w:r>
    </w:p>
    <w:p w14:paraId="04906761">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（二）定义</w:t>
      </w:r>
    </w:p>
    <w:p w14:paraId="4D69EE7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zh-CN"/>
        </w:rPr>
        <w:t>“采购组织机构”指采购人委托组织招标的采购代理机构。</w:t>
      </w:r>
    </w:p>
    <w:p w14:paraId="4C87652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2、采购人：是指委托采购代理机构采购本次项目的国家机关、事业单位和团体组织。</w:t>
      </w:r>
    </w:p>
    <w:p w14:paraId="59A7671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3、投标人：是指向采购</w:t>
      </w:r>
      <w:r>
        <w:rPr>
          <w:rFonts w:hint="eastAsia" w:ascii="宋体" w:hAnsi="宋体" w:eastAsia="宋体" w:cs="宋体"/>
          <w:color w:val="auto"/>
          <w:sz w:val="24"/>
          <w:szCs w:val="32"/>
          <w:highlight w:val="none"/>
          <w:lang w:val="zh-CN"/>
        </w:rPr>
        <w:t>组织</w:t>
      </w:r>
      <w:r>
        <w:rPr>
          <w:rFonts w:hint="eastAsia" w:ascii="宋体" w:hAnsi="宋体" w:eastAsia="宋体" w:cs="宋体"/>
          <w:color w:val="auto"/>
          <w:sz w:val="24"/>
          <w:szCs w:val="32"/>
          <w:highlight w:val="none"/>
        </w:rPr>
        <w:t>机构提交投标文件的单位或个人。</w:t>
      </w:r>
    </w:p>
    <w:p w14:paraId="4FFD57C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4、货物：是指各种形态和种类的物品，包括原材料、燃料、设备、产品等。</w:t>
      </w:r>
    </w:p>
    <w:p w14:paraId="6B70440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5、服务：是指除货物和工程以外的政府采购对象，包括各类专业服务、信息网络开发服务、金融保险服务、运输服务，以及维修与维护服务等。</w:t>
      </w:r>
    </w:p>
    <w:p w14:paraId="6081E9A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6、“书面形式”包括信函、传真等。</w:t>
      </w:r>
    </w:p>
    <w:p w14:paraId="1C2764A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7、“▲”系指实质性要求条款。</w:t>
      </w:r>
    </w:p>
    <w:p w14:paraId="4C3AF92C">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（三）投标费用</w:t>
      </w:r>
    </w:p>
    <w:p w14:paraId="0672174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不论投标结果如何，投标人均应自行承担所有与投标有关的全部费用（招标文件有相关规定除外）。</w:t>
      </w:r>
    </w:p>
    <w:p w14:paraId="5B577838">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（四）特别说明</w:t>
      </w:r>
    </w:p>
    <w:p w14:paraId="162039B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4"/>
          <w:szCs w:val="32"/>
          <w:highlight w:val="none"/>
        </w:rPr>
        <w:tab/>
      </w:r>
    </w:p>
    <w:p w14:paraId="2CC499F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1228B2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72AFA3B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4、为采购项目提供整体设计、规范编制或者项目管理、监理、检测等服务的供应商，不得再参加该采购项目的其他采购活动。</w:t>
      </w:r>
    </w:p>
    <w:p w14:paraId="7D67785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5、投标文件格式中的表格式样可以根据项目差别做适当调整，但应当保持表格样式基本形态不变。</w:t>
      </w:r>
    </w:p>
    <w:p w14:paraId="1EBF73D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6、单位负责人为同一人或者存在直接控股、管理关系的不同供应商，不得参加同一合同项下的政府采购活动。</w:t>
      </w:r>
    </w:p>
    <w:p w14:paraId="6F01C7BF">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二、招标文件</w:t>
      </w:r>
    </w:p>
    <w:p w14:paraId="54915A3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（一）招标文件由招标文件总目录所列内容组成。</w:t>
      </w:r>
    </w:p>
    <w:p w14:paraId="2080A1A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（二）招标文件的澄清或修改</w:t>
      </w:r>
    </w:p>
    <w:p w14:paraId="220903D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46C3840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36BD5527">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w:t>
      </w:r>
    </w:p>
    <w:p w14:paraId="7A9CCE62">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zh-CN"/>
        </w:rPr>
        <w:t>（一）</w:t>
      </w:r>
      <w:r>
        <w:rPr>
          <w:rFonts w:hint="eastAsia" w:ascii="宋体" w:hAnsi="宋体" w:eastAsia="宋体" w:cs="宋体"/>
          <w:b/>
          <w:bCs/>
          <w:color w:val="auto"/>
          <w:sz w:val="24"/>
          <w:szCs w:val="32"/>
          <w:highlight w:val="none"/>
        </w:rPr>
        <w:t>投标文件的组成</w:t>
      </w:r>
    </w:p>
    <w:p w14:paraId="1F539DCB">
      <w:p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投标人接到招标文件后，按照采购组织机构的要求提供：资格证明文件、商务与技术文件和报价文件。</w:t>
      </w:r>
      <w:r>
        <w:rPr>
          <w:rFonts w:hint="eastAsia" w:ascii="宋体" w:hAnsi="宋体" w:eastAsia="宋体" w:cs="宋体"/>
          <w:color w:val="auto"/>
          <w:sz w:val="24"/>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7EDF9980">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▲1、资格证明文件的组成：</w:t>
      </w:r>
    </w:p>
    <w:p w14:paraId="60F58E64">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（1）投标声明书；</w:t>
      </w:r>
    </w:p>
    <w:p w14:paraId="319D1E83">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（2）授权委托书（法定代表人亲自办理投标事宜的，则无需提交）；</w:t>
      </w:r>
    </w:p>
    <w:p w14:paraId="0D78D1B2">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（3）法人或者其他组织的营业执照等证明文件，自然人的身份证明；</w:t>
      </w:r>
    </w:p>
    <w:p w14:paraId="7007C1D5">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（4）具有良好的商业信誉和健全的财务会计制度的承诺；</w:t>
      </w:r>
    </w:p>
    <w:p w14:paraId="6D60763D">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（5）依法缴纳税收和社会保障资金的承诺；</w:t>
      </w:r>
    </w:p>
    <w:p w14:paraId="00DEBE38">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（6）参加政府采购活动前三年内，在经营活动中没有重大违法记录（声明函）；</w:t>
      </w:r>
    </w:p>
    <w:p w14:paraId="2AE6EDB4">
      <w:pPr>
        <w:shd w:val="clear"/>
        <w:spacing w:line="360" w:lineRule="auto"/>
        <w:ind w:firstLine="480" w:firstLineChars="200"/>
        <w:rPr>
          <w:rFonts w:hint="eastAsia" w:ascii="宋体" w:hAnsi="宋体" w:eastAsia="宋体" w:cs="宋体"/>
          <w:color w:val="auto"/>
          <w:highlight w:val="none"/>
          <w:lang w:val="zh-CN"/>
        </w:rPr>
      </w:pPr>
      <w:r>
        <w:rPr>
          <w:rFonts w:hint="eastAsia" w:ascii="宋体" w:hAnsi="宋体" w:eastAsia="宋体" w:cs="宋体"/>
          <w:color w:val="auto"/>
          <w:sz w:val="24"/>
          <w:szCs w:val="32"/>
          <w:highlight w:val="none"/>
          <w:lang w:val="zh-CN"/>
        </w:rPr>
        <w:t>（7）</w:t>
      </w:r>
      <w:r>
        <w:rPr>
          <w:rFonts w:hint="eastAsia" w:ascii="宋体" w:hAnsi="宋体" w:eastAsia="宋体" w:cs="宋体"/>
          <w:color w:val="auto"/>
          <w:sz w:val="24"/>
          <w:szCs w:val="32"/>
          <w:highlight w:val="none"/>
          <w:lang w:val="en-US" w:eastAsia="zh-CN"/>
        </w:rPr>
        <w:t>具备履行合同所必需的设备和专业技术能力的承诺函</w:t>
      </w:r>
      <w:r>
        <w:rPr>
          <w:rFonts w:hint="eastAsia" w:ascii="宋体" w:hAnsi="宋体" w:eastAsia="宋体" w:cs="宋体"/>
          <w:color w:val="auto"/>
          <w:sz w:val="24"/>
          <w:szCs w:val="32"/>
          <w:highlight w:val="none"/>
        </w:rPr>
        <w:t>。</w:t>
      </w:r>
    </w:p>
    <w:p w14:paraId="56983426">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2、商务与技术文件的组成：</w:t>
      </w:r>
    </w:p>
    <w:p w14:paraId="35AAC22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（1）投标人情况介绍。</w:t>
      </w:r>
    </w:p>
    <w:p w14:paraId="4C08859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（2）投标方案描述：</w:t>
      </w:r>
    </w:p>
    <w:p w14:paraId="40A548F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50A250C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188ED90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C.安装、调试及验收方案（包括项目验收标准和验收方法等）和措施。</w:t>
      </w:r>
    </w:p>
    <w:p w14:paraId="1B4F023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（3）投标产品描述及相关资料：</w:t>
      </w:r>
    </w:p>
    <w:p w14:paraId="16E7E3F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A.设备配置清单</w:t>
      </w:r>
      <w:r>
        <w:rPr>
          <w:rFonts w:hint="eastAsia" w:ascii="宋体" w:hAnsi="宋体" w:eastAsia="宋体" w:cs="宋体"/>
          <w:b/>
          <w:bCs/>
          <w:color w:val="auto"/>
          <w:sz w:val="24"/>
          <w:szCs w:val="32"/>
          <w:highlight w:val="none"/>
        </w:rPr>
        <w:t>（均不含报价）</w:t>
      </w:r>
      <w:r>
        <w:rPr>
          <w:rFonts w:hint="eastAsia" w:ascii="宋体" w:hAnsi="宋体" w:eastAsia="宋体" w:cs="宋体"/>
          <w:color w:val="auto"/>
          <w:sz w:val="24"/>
          <w:szCs w:val="32"/>
          <w:highlight w:val="none"/>
        </w:rPr>
        <w:t>。</w:t>
      </w:r>
    </w:p>
    <w:p w14:paraId="142C8EF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B.产品品牌及型号、技术参数指标、性能特点、图片资料以及所遵循的技术规范、产品质保期、出厂标准、产品质量相关检测报告等内容。</w:t>
      </w:r>
    </w:p>
    <w:p w14:paraId="169A32E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C.商务及技术响应表。</w:t>
      </w:r>
    </w:p>
    <w:p w14:paraId="57888B9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2B20B38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【特别提示：节能和环境标志产品最新一期政府采购清单，可在“中国政府采购网”中查看】</w:t>
      </w:r>
    </w:p>
    <w:p w14:paraId="18A4667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（4）投标人通过的质量管理和质量保证体系、环保体系、自主创新相关证书、软件著作权证等等与本项目相关的认证证书或文件；</w:t>
      </w:r>
    </w:p>
    <w:p w14:paraId="59248F5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（5）近三年来类似项目的成功案例（投标人类似项目实施情况一览表、合同复印件及其相应的发票、用户验收报告等）；</w:t>
      </w:r>
    </w:p>
    <w:p w14:paraId="2BB819E4">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（6）投标人认为需要提供的其他资料（包括可能影响投标人商务与技术文件评分的各类证明材料）；</w:t>
      </w:r>
    </w:p>
    <w:p w14:paraId="7C61E8D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（7）售后服务描述及承诺：</w:t>
      </w:r>
    </w:p>
    <w:p w14:paraId="41820CC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A.距采购人最近的服务网点详细介绍（包括地理位置、资质资格、技术力量、工作业绩、服务内容及联系电话等）。</w:t>
      </w:r>
    </w:p>
    <w:p w14:paraId="759F494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B.针对本项目的售后服务措施及承诺（售后技术服务方案、人员配备、故障响应时间、技术培训方案等）。</w:t>
      </w:r>
    </w:p>
    <w:p w14:paraId="1211B83E">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2、报价文件的组成</w:t>
      </w:r>
    </w:p>
    <w:p w14:paraId="21CEEC4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（1）报价文件由开标一览表、报价明细表、中小企业等声明函（不符合中小企业要求的无需提供）以及投标人认为其他需要说明的内容组成。</w:t>
      </w:r>
    </w:p>
    <w:p w14:paraId="3EE4031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（2）此报价为投标人一次性报出唯一的最终价格，包含其它一切所要涉及到的费用，有选择的报价将被拒绝。</w:t>
      </w:r>
    </w:p>
    <w:p w14:paraId="58CA34B4">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3339555A">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政府采购优惠政策相关资料（如有）。</w:t>
      </w:r>
    </w:p>
    <w:p w14:paraId="21CBD46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（5）相关报价单需打印或用不退色的墨水填写，投标报价单不得涂改和增删，如有错漏必须修改，修改处须由同一签署人签字或盖章。由于字迹模糊或表达不清引起的后果由投标人负责。</w:t>
      </w:r>
    </w:p>
    <w:p w14:paraId="503DB91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（6）投标报价应按招标文件中相关附表格式填写。</w:t>
      </w:r>
    </w:p>
    <w:p w14:paraId="05F1AE48">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（二）投标文件的制作及递交要求</w:t>
      </w:r>
    </w:p>
    <w:p w14:paraId="77A22740">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1、投标文件的制作要求</w:t>
      </w:r>
    </w:p>
    <w:p w14:paraId="47C6B94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7D74F823">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（2）投标人应对所提供的全部资料的真实性承担法律责任，</w:t>
      </w:r>
      <w:r>
        <w:rPr>
          <w:rFonts w:hint="eastAsia" w:ascii="宋体" w:hAnsi="宋体" w:eastAsia="宋体" w:cs="宋体"/>
          <w:color w:val="auto"/>
          <w:sz w:val="24"/>
          <w:szCs w:val="32"/>
          <w:highlight w:val="none"/>
          <w:lang w:val="zh-CN"/>
        </w:rPr>
        <w:t>投标文件内容中有要求盖章或签字的地方，必须加盖投标人的公章以及法定代表人或授权委托代理人盖章或签字。</w:t>
      </w:r>
    </w:p>
    <w:p w14:paraId="2325F0C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2A69348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68F4441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（5）若投标人不按招标文件的要求提供资格审查材料，其风险由投标人自行承担。</w:t>
      </w:r>
    </w:p>
    <w:p w14:paraId="151E714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（6）与本次投标无关的内容请不要制作在内，确保投标文件有针对性、简洁明了。</w:t>
      </w:r>
    </w:p>
    <w:p w14:paraId="0A297BEB">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①投标文件的编制</w:t>
      </w:r>
    </w:p>
    <w:p w14:paraId="4D266F4B">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本项目实行电子投标，</w:t>
      </w:r>
      <w:r>
        <w:rPr>
          <w:rFonts w:hint="eastAsia" w:ascii="宋体" w:hAnsi="宋体" w:eastAsia="宋体" w:cs="宋体"/>
          <w:color w:val="auto"/>
          <w:sz w:val="24"/>
          <w:highlight w:val="none"/>
        </w:rPr>
        <w:t>供应商应准备电子投标文件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还可以提供</w:t>
      </w:r>
      <w:r>
        <w:rPr>
          <w:rFonts w:hint="eastAsia" w:ascii="宋体" w:hAnsi="宋体" w:eastAsia="宋体" w:cs="宋体"/>
          <w:color w:val="auto"/>
          <w:sz w:val="24"/>
          <w:highlight w:val="none"/>
        </w:rPr>
        <w:t>以介质（U盘）存储的数据电文形式的备份投标文件、纸质备份投标文件</w:t>
      </w:r>
      <w:r>
        <w:rPr>
          <w:rFonts w:hint="eastAsia" w:ascii="宋体" w:hAnsi="宋体" w:eastAsia="宋体" w:cs="宋体"/>
          <w:color w:val="auto"/>
          <w:sz w:val="24"/>
          <w:highlight w:val="none"/>
          <w:lang w:eastAsia="zh-CN"/>
        </w:rPr>
        <w:t>。</w:t>
      </w:r>
    </w:p>
    <w:p w14:paraId="1092E3D1">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（1）按政采云平台项目采购--电子招投标操作指南及本招标文件要求编制。</w:t>
      </w:r>
      <w:r>
        <w:rPr>
          <w:rFonts w:hint="eastAsia" w:ascii="宋体" w:hAnsi="宋体" w:eastAsia="宋体" w:cs="宋体"/>
          <w:color w:val="auto"/>
          <w:sz w:val="24"/>
          <w:szCs w:val="32"/>
          <w:highlight w:val="none"/>
          <w:lang w:val="en-GB"/>
        </w:rPr>
        <w:t>投标人应通过“政采云电子交易客户端”，并按照本招标文件和“政府采购云平台”的要求编制并加密投标文件。</w:t>
      </w:r>
    </w:p>
    <w:p w14:paraId="371302C0">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w:t>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eastAsia="宋体" w:cs="宋体"/>
          <w:color w:val="auto"/>
          <w:sz w:val="24"/>
          <w:szCs w:val="32"/>
          <w:highlight w:val="none"/>
        </w:rPr>
        <w:t>资格证明文件</w:t>
      </w:r>
      <w:r>
        <w:rPr>
          <w:rFonts w:hint="eastAsia" w:ascii="宋体" w:hAnsi="宋体" w:eastAsia="宋体" w:cs="宋体"/>
          <w:color w:val="auto"/>
          <w:sz w:val="24"/>
          <w:szCs w:val="32"/>
          <w:highlight w:val="none"/>
          <w:lang w:val="en-GB"/>
        </w:rPr>
        <w:t>》和《</w:t>
      </w:r>
      <w:r>
        <w:rPr>
          <w:rFonts w:hint="eastAsia" w:ascii="宋体" w:hAnsi="宋体" w:eastAsia="宋体" w:cs="宋体"/>
          <w:color w:val="auto"/>
          <w:sz w:val="24"/>
          <w:szCs w:val="32"/>
          <w:highlight w:val="none"/>
        </w:rPr>
        <w:t>商务技术文件</w:t>
      </w:r>
      <w:r>
        <w:rPr>
          <w:rFonts w:hint="eastAsia" w:ascii="宋体" w:hAnsi="宋体" w:eastAsia="宋体" w:cs="宋体"/>
          <w:color w:val="auto"/>
          <w:sz w:val="24"/>
          <w:szCs w:val="32"/>
          <w:highlight w:val="none"/>
          <w:lang w:val="en-GB"/>
        </w:rPr>
        <w:t>》中不得出现本项目投标报价，如因投标人原因提前泄露投标报价，是投标人的责任。</w:t>
      </w:r>
    </w:p>
    <w:p w14:paraId="634CE700">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zh-CN"/>
        </w:rPr>
        <w:t>1.</w:t>
      </w:r>
      <w:r>
        <w:rPr>
          <w:rFonts w:hint="eastAsia" w:ascii="宋体" w:hAnsi="宋体" w:eastAsia="宋体" w:cs="宋体"/>
          <w:color w:val="auto"/>
          <w:sz w:val="24"/>
          <w:szCs w:val="32"/>
          <w:highlight w:val="none"/>
          <w:lang w:val="en-GB"/>
        </w:rPr>
        <w:t>2</w:t>
      </w:r>
      <w:r>
        <w:rPr>
          <w:rFonts w:hint="eastAsia" w:ascii="宋体" w:hAnsi="宋体" w:eastAsia="宋体" w:cs="宋体"/>
          <w:color w:val="auto"/>
          <w:sz w:val="24"/>
          <w:szCs w:val="32"/>
          <w:highlight w:val="none"/>
          <w:lang w:val="zh-CN"/>
        </w:rPr>
        <w:t>投标文件分为</w:t>
      </w:r>
      <w:r>
        <w:rPr>
          <w:rFonts w:hint="eastAsia" w:ascii="宋体" w:hAnsi="宋体" w:eastAsia="宋体" w:cs="宋体"/>
          <w:color w:val="auto"/>
          <w:sz w:val="24"/>
          <w:szCs w:val="32"/>
          <w:highlight w:val="none"/>
          <w:lang w:val="en-GB"/>
        </w:rPr>
        <w:t>资格证明文件、商务技术文件、报价文件三部分</w:t>
      </w:r>
      <w:r>
        <w:rPr>
          <w:rFonts w:hint="eastAsia" w:ascii="宋体" w:hAnsi="宋体" w:eastAsia="宋体" w:cs="宋体"/>
          <w:color w:val="auto"/>
          <w:sz w:val="24"/>
          <w:szCs w:val="32"/>
          <w:highlight w:val="none"/>
          <w:lang w:val="zh-CN"/>
        </w:rPr>
        <w:t>。各投标人在编制投标文件时请按照采购文件第六章规定的格式进行，</w:t>
      </w:r>
      <w:r>
        <w:rPr>
          <w:rFonts w:hint="eastAsia" w:ascii="宋体" w:hAnsi="宋体" w:eastAsia="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并按格式要求在指定位置根据要求进行签章，否则视为未提供，未提供格式的，请各投标人自行拟定格式，并加盖单位公章并由法定代表人或其授权委托代理人签署（签字或盖章），否则视为未提供。</w:t>
      </w:r>
    </w:p>
    <w:p w14:paraId="111D326F">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1.3《投标文件》内容不完整、</w:t>
      </w:r>
      <w:r>
        <w:rPr>
          <w:rFonts w:hint="eastAsia" w:ascii="宋体" w:hAnsi="宋体" w:eastAsia="宋体" w:cs="宋体"/>
          <w:color w:val="auto"/>
          <w:sz w:val="24"/>
          <w:szCs w:val="32"/>
          <w:highlight w:val="none"/>
          <w:lang w:val="zh-CN"/>
        </w:rPr>
        <w:t>混乱的编排导致投标文件被误读或评标委员会查找不到有效文件是投标人的责任。</w:t>
      </w:r>
      <w:r>
        <w:rPr>
          <w:rFonts w:hint="eastAsia" w:ascii="宋体" w:hAnsi="宋体" w:eastAsia="宋体" w:cs="宋体"/>
          <w:color w:val="auto"/>
          <w:sz w:val="24"/>
          <w:szCs w:val="32"/>
          <w:highlight w:val="none"/>
          <w:lang w:val="en-GB"/>
        </w:rPr>
        <w:t>《投标文件》因字迹潦草或表达不清所引起的后果由投标人负责。</w:t>
      </w:r>
    </w:p>
    <w:p w14:paraId="64DB9BB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（2）以介质</w:t>
      </w:r>
      <w:r>
        <w:rPr>
          <w:rFonts w:hint="eastAsia" w:ascii="宋体" w:hAnsi="宋体" w:eastAsia="宋体" w:cs="宋体"/>
          <w:color w:val="auto"/>
          <w:sz w:val="24"/>
          <w:highlight w:val="none"/>
        </w:rPr>
        <w:t>（U盘）</w:t>
      </w:r>
      <w:r>
        <w:rPr>
          <w:rFonts w:hint="eastAsia" w:ascii="宋体" w:hAnsi="宋体" w:eastAsia="宋体" w:cs="宋体"/>
          <w:color w:val="auto"/>
          <w:sz w:val="24"/>
          <w:szCs w:val="32"/>
          <w:highlight w:val="none"/>
        </w:rPr>
        <w:t>存储的数据电文形式的备份投标文件，按政采云平台项目采购-电子招投标操作指南中上传的电子投标文件格式，以U盘形式提供。数量为1份。</w:t>
      </w:r>
    </w:p>
    <w:p w14:paraId="4AD89E7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（3）纸质备份投标文件以纸质文件的形式编制，按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分别编制并单独装订成册，</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须分别密封封装，</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未分别密封的</w:t>
      </w:r>
      <w:r>
        <w:rPr>
          <w:rFonts w:hint="eastAsia" w:ascii="宋体" w:hAnsi="宋体" w:eastAsia="宋体" w:cs="宋体"/>
          <w:color w:val="auto"/>
          <w:sz w:val="24"/>
          <w:szCs w:val="32"/>
          <w:highlight w:val="none"/>
          <w:lang w:val="en-US" w:eastAsia="zh-CN"/>
        </w:rPr>
        <w:t>备份</w:t>
      </w:r>
      <w:r>
        <w:rPr>
          <w:rFonts w:hint="eastAsia" w:ascii="宋体" w:hAnsi="宋体" w:eastAsia="宋体" w:cs="宋体"/>
          <w:color w:val="auto"/>
          <w:sz w:val="24"/>
          <w:szCs w:val="32"/>
          <w:highlight w:val="none"/>
        </w:rPr>
        <w:t>投标文件将为无效。除报价文件外其余一律不准出现数字报价。如有不同标项，请按标项号分别装订，密封要求同上。</w:t>
      </w:r>
    </w:p>
    <w:p w14:paraId="006CD4A5">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Ⅰ电子投标文件</w:t>
      </w:r>
    </w:p>
    <w:p w14:paraId="33964BB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7EBAECB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电子投标文件如内容不完整、编排混乱导致投标文件被误读、漏读，或者在按采购文件规定的部位查找不到相关内容的，由投标人自行承担。</w:t>
      </w:r>
    </w:p>
    <w:p w14:paraId="2CCD991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2.温馨提醒：CA签章上目前没有法人或授权代表签字信息，需要投标人联系</w:t>
      </w:r>
      <w:r>
        <w:rPr>
          <w:rFonts w:hint="eastAsia" w:ascii="宋体" w:hAnsi="宋体" w:eastAsia="宋体" w:cs="宋体"/>
          <w:b/>
          <w:bCs/>
          <w:color w:val="auto"/>
          <w:sz w:val="24"/>
          <w:szCs w:val="32"/>
          <w:highlight w:val="none"/>
        </w:rPr>
        <w:t>浙江汇信科技有限公司（400-8884636）、杭州天谷信息科技有限公司（400-0878198）</w:t>
      </w:r>
      <w:r>
        <w:rPr>
          <w:rFonts w:hint="eastAsia" w:ascii="宋体" w:hAnsi="宋体" w:eastAsia="宋体" w:cs="宋体"/>
          <w:color w:val="auto"/>
          <w:sz w:val="24"/>
          <w:szCs w:val="32"/>
          <w:highlight w:val="none"/>
        </w:rPr>
        <w:t>等相应公司进行办理，或在投标文件中涉及到签字的位置线下签好字然后扫描或者拍照做成PDF的格式亦可。</w:t>
      </w:r>
    </w:p>
    <w:p w14:paraId="1FB1871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eastAsia="宋体" w:cs="宋体"/>
          <w:b/>
          <w:bCs/>
          <w:color w:val="auto"/>
          <w:sz w:val="24"/>
          <w:szCs w:val="32"/>
          <w:highlight w:val="none"/>
        </w:rPr>
        <w:t>以介质（U盘）存储的数据电文形式的备份投标文件</w:t>
      </w:r>
      <w:r>
        <w:rPr>
          <w:rFonts w:hint="eastAsia" w:ascii="宋体" w:hAnsi="宋体" w:eastAsia="宋体" w:cs="宋体"/>
          <w:color w:val="auto"/>
          <w:sz w:val="24"/>
          <w:szCs w:val="32"/>
          <w:highlight w:val="none"/>
        </w:rPr>
        <w:t>，按政采云平台项目采购-电子招投标操作指南中上传的电子投标文件格式，以U盘形式提供。数量为1份。</w:t>
      </w:r>
    </w:p>
    <w:p w14:paraId="7FBCDA71">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Ⅱ纸质备份投标文件</w:t>
      </w:r>
    </w:p>
    <w:p w14:paraId="5CA9466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1.所有纸质投标资料应按投标文件的组成所列内容及顺序装订成册，</w:t>
      </w:r>
      <w:r>
        <w:rPr>
          <w:rFonts w:hint="eastAsia" w:ascii="宋体" w:hAnsi="宋体" w:eastAsia="宋体" w:cs="宋体"/>
          <w:color w:val="auto"/>
          <w:sz w:val="24"/>
          <w:szCs w:val="32"/>
          <w:highlight w:val="none"/>
          <w:lang w:val="zh-CN"/>
        </w:rPr>
        <w:t>并逐页连续标注页码。因投标文件内容不完整、编排混乱导致投标文件被误读、漏读或者查找不到相关内容的责任由投标人自行承担。</w:t>
      </w:r>
    </w:p>
    <w:p w14:paraId="6B75593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2.投标人应按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分别编制并单独装订成册，活页装订的投标文件将被拒绝。投标文件需打印或用不褪色的墨水填写。</w:t>
      </w:r>
    </w:p>
    <w:p w14:paraId="4A5EFED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3.投标人应按</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分别密封封装纸质备份投标文件。</w:t>
      </w:r>
      <w:r>
        <w:rPr>
          <w:rFonts w:hint="eastAsia" w:ascii="宋体" w:hAnsi="宋体" w:eastAsia="宋体" w:cs="宋体"/>
          <w:color w:val="auto"/>
          <w:sz w:val="24"/>
          <w:szCs w:val="32"/>
          <w:highlight w:val="none"/>
          <w:lang w:val="zh-CN"/>
        </w:rPr>
        <w:t>资格证明文件、商务技术文件、报价文件三部分</w:t>
      </w:r>
      <w:r>
        <w:rPr>
          <w:rFonts w:hint="eastAsia" w:ascii="宋体" w:hAnsi="宋体" w:eastAsia="宋体" w:cs="宋体"/>
          <w:color w:val="auto"/>
          <w:sz w:val="24"/>
          <w:szCs w:val="32"/>
          <w:highlight w:val="none"/>
        </w:rPr>
        <w:t>未分别密封的</w:t>
      </w:r>
      <w:r>
        <w:rPr>
          <w:rFonts w:hint="eastAsia" w:ascii="宋体" w:hAnsi="宋体" w:eastAsia="宋体" w:cs="宋体"/>
          <w:color w:val="auto"/>
          <w:sz w:val="24"/>
          <w:szCs w:val="32"/>
          <w:highlight w:val="none"/>
          <w:lang w:val="en-US" w:eastAsia="zh-CN"/>
        </w:rPr>
        <w:t>备份</w:t>
      </w:r>
      <w:r>
        <w:rPr>
          <w:rFonts w:hint="eastAsia" w:ascii="宋体" w:hAnsi="宋体" w:eastAsia="宋体" w:cs="宋体"/>
          <w:color w:val="auto"/>
          <w:sz w:val="24"/>
          <w:szCs w:val="32"/>
          <w:highlight w:val="none"/>
        </w:rPr>
        <w:t>投标文件将为无效。请在密封袋的封口处应有投标单位公章或投标授权委托代理人签字。封皮上写明项目编号、标项、招标项目名称、投标人名称，并注明“投标文件名称（</w:t>
      </w:r>
      <w:r>
        <w:rPr>
          <w:rFonts w:hint="eastAsia" w:ascii="宋体" w:hAnsi="宋体" w:eastAsia="宋体" w:cs="宋体"/>
          <w:color w:val="auto"/>
          <w:sz w:val="24"/>
          <w:szCs w:val="32"/>
          <w:highlight w:val="none"/>
          <w:lang w:val="zh-CN"/>
        </w:rPr>
        <w:t>资格证明文件、商务技术文件、报价文件</w:t>
      </w:r>
      <w:r>
        <w:rPr>
          <w:rFonts w:hint="eastAsia" w:ascii="宋体" w:hAnsi="宋体" w:eastAsia="宋体" w:cs="宋体"/>
          <w:color w:val="auto"/>
          <w:sz w:val="24"/>
          <w:szCs w:val="32"/>
          <w:highlight w:val="none"/>
        </w:rPr>
        <w:t>）”、“开标时启封”字样，未按上述要求密封及加写标记，采购组织机构对投标文件的误投和提前启封不负责任。</w:t>
      </w:r>
    </w:p>
    <w:p w14:paraId="068217D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4.项目如分标项，各标项投标文件必须分开编制，并按上述份数要求单独密封包装。</w:t>
      </w:r>
    </w:p>
    <w:p w14:paraId="3D9F63D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lang w:val="zh-CN"/>
        </w:rPr>
        <w:t>因密封不严、标记不明而造成失密、拒收、过早启封等情况，采购组织机构概不负责。</w:t>
      </w:r>
    </w:p>
    <w:p w14:paraId="13A8ECA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6C832B1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授权委托代理人）签署或盖章。投标截止时间后，投标人不得撤回、修改投标文件。修改后重新递交的投标文件应当按本招标文件的要求签署、盖章和密封。</w:t>
      </w:r>
    </w:p>
    <w:p w14:paraId="3CBD1AC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14:paraId="39A2040B">
      <w:pPr>
        <w:shd w:val="clear"/>
        <w:spacing w:line="360" w:lineRule="auto"/>
        <w:ind w:firstLine="480" w:firstLineChars="200"/>
        <w:rPr>
          <w:rFonts w:hint="eastAsia" w:ascii="宋体" w:hAnsi="宋体" w:eastAsia="宋体" w:cs="宋体"/>
          <w:b/>
          <w:bCs/>
          <w:color w:val="auto"/>
          <w:sz w:val="24"/>
          <w:szCs w:val="32"/>
          <w:highlight w:val="none"/>
        </w:rPr>
      </w:pPr>
      <w:r>
        <w:rPr>
          <w:rFonts w:hint="eastAsia" w:ascii="宋体" w:hAnsi="宋体" w:eastAsia="宋体" w:cs="宋体"/>
          <w:color w:val="auto"/>
          <w:sz w:val="24"/>
          <w:szCs w:val="32"/>
          <w:highlight w:val="none"/>
        </w:rPr>
        <w:t>8.纸质备份投标文件不得涂改，若有修改错漏处，须加盖单位公章或法定代表人或授权委托代理人签字或盖章。投标文件因字迹潦草或表达不清所引起的后果由投标人负责。</w:t>
      </w:r>
    </w:p>
    <w:p w14:paraId="382E8818">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2、投标文件的递交要求</w:t>
      </w:r>
    </w:p>
    <w:p w14:paraId="7B75C31D">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w:t>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）“投标文件”的上传、递交：见《前附表》。▲未传输递交电子投标文件的，投标无效。</w:t>
      </w:r>
    </w:p>
    <w:p w14:paraId="02D368A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（2）以介质</w:t>
      </w:r>
      <w:r>
        <w:rPr>
          <w:rFonts w:hint="eastAsia" w:ascii="宋体" w:hAnsi="宋体" w:eastAsia="宋体" w:cs="宋体"/>
          <w:color w:val="auto"/>
          <w:sz w:val="24"/>
          <w:highlight w:val="none"/>
        </w:rPr>
        <w:t>（U盘）</w:t>
      </w:r>
      <w:r>
        <w:rPr>
          <w:rFonts w:hint="eastAsia" w:ascii="宋体" w:hAnsi="宋体" w:eastAsia="宋体" w:cs="宋体"/>
          <w:color w:val="auto"/>
          <w:sz w:val="24"/>
          <w:szCs w:val="32"/>
          <w:highlight w:val="none"/>
        </w:rPr>
        <w:t>存储的数据电文形式的备份投标文件和纸质备份投标文件必须在规定时间前送达或邮寄至</w:t>
      </w:r>
      <w:r>
        <w:rPr>
          <w:rFonts w:hint="eastAsia" w:ascii="宋体" w:hAnsi="宋体" w:eastAsia="宋体" w:cs="宋体"/>
          <w:color w:val="auto"/>
          <w:sz w:val="24"/>
          <w:highlight w:val="none"/>
          <w:lang w:val="en-GB"/>
        </w:rPr>
        <w:t>公告规定的</w:t>
      </w:r>
      <w:r>
        <w:rPr>
          <w:rFonts w:hint="eastAsia" w:ascii="宋体" w:hAnsi="宋体" w:eastAsia="宋体" w:cs="宋体"/>
          <w:color w:val="auto"/>
          <w:sz w:val="24"/>
          <w:szCs w:val="32"/>
          <w:highlight w:val="none"/>
        </w:rPr>
        <w:t>地点。备份投标文件在截止时间后提交，采购组织机构将拒绝接收。</w:t>
      </w:r>
    </w:p>
    <w:p w14:paraId="5AA9776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（3）如有特殊情况，采购组织机构延长截止时间和开标时间，采购组织机构和投标人的权利和义务将受到新的截止时间和开标时间的约束。</w:t>
      </w:r>
    </w:p>
    <w:p w14:paraId="76ABA912">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w:t>
      </w: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lang w:val="en-GB"/>
        </w:rPr>
        <w:t>）投标文件的备选方案</w:t>
      </w:r>
    </w:p>
    <w:p w14:paraId="565EBB9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4909114B">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（三）投标文件的有效期</w:t>
      </w:r>
    </w:p>
    <w:p w14:paraId="68D20D8B">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自投标截止日起90天投标文件应保持有效。有效期不足的投标文件将被拒绝。</w:t>
      </w:r>
    </w:p>
    <w:p w14:paraId="13D33AC2">
      <w:pPr>
        <w:shd w:val="clear"/>
        <w:spacing w:line="360" w:lineRule="auto"/>
        <w:ind w:firstLine="480" w:firstLineChars="200"/>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en-GB"/>
        </w:rPr>
        <w:t>在特殊情况下，采购人可与投标人协商延长投标文件的有效期，这种要求和答复均以书面形式进行。</w:t>
      </w:r>
    </w:p>
    <w:p w14:paraId="4680F82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3.中标人的投标文件自开标之日起至合同履行完毕均应保持有效。</w:t>
      </w:r>
    </w:p>
    <w:p w14:paraId="3F2F8B47">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b/>
          <w:color w:val="auto"/>
          <w:kern w:val="0"/>
          <w:sz w:val="24"/>
          <w:highlight w:val="none"/>
        </w:rPr>
        <w:t>四、</w:t>
      </w:r>
      <w:r>
        <w:rPr>
          <w:rFonts w:hint="eastAsia" w:ascii="宋体" w:hAnsi="宋体" w:eastAsia="宋体" w:cs="宋体"/>
          <w:b/>
          <w:bCs/>
          <w:color w:val="auto"/>
          <w:sz w:val="24"/>
          <w:szCs w:val="32"/>
          <w:highlight w:val="none"/>
        </w:rPr>
        <w:t>开标</w:t>
      </w:r>
    </w:p>
    <w:p w14:paraId="37E6266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（一）开标事项</w:t>
      </w:r>
    </w:p>
    <w:p w14:paraId="2A50947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采购组织机构在“招标公告”规定的时间和地点公开开标，本次招标采用先评审商务资格和技术服务方案，后公开并评审报价的办法实施。</w:t>
      </w:r>
    </w:p>
    <w:p w14:paraId="2758505B">
      <w:pPr>
        <w:shd w:val="clea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特别说明：如遇政府采购云平台电子化开标或评审程序调整的，按调整后程序执行。</w:t>
      </w:r>
    </w:p>
    <w:p w14:paraId="0EA253F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5810AEF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（1）电子交易平台发生故障而无法登录访问的； </w:t>
      </w:r>
    </w:p>
    <w:p w14:paraId="3022BC9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（2）电子交易平台应用或数据库出现错误，不能进行正常操作的；</w:t>
      </w:r>
    </w:p>
    <w:p w14:paraId="18147C1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（3）电子交易平台发现严重安全漏洞，有潜在泄密危险的；</w:t>
      </w:r>
    </w:p>
    <w:p w14:paraId="34AF218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（4）病毒导致不能进行正常操作的； </w:t>
      </w:r>
    </w:p>
    <w:p w14:paraId="370D6C8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（5）其他无法保证电子交易的公平、公正和安全的情况。</w:t>
      </w:r>
    </w:p>
    <w:p w14:paraId="167BAEE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6B3163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 开标程序：</w:t>
      </w:r>
    </w:p>
    <w:p w14:paraId="1679D7E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1、开标会由招标项目负责人主持，主持人宣布开标会议开始；</w:t>
      </w:r>
    </w:p>
    <w:p w14:paraId="7C203FC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2、主持人介绍参加开标会的人员名单； </w:t>
      </w:r>
    </w:p>
    <w:p w14:paraId="518D1F3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3、主持人宣布评标期间的有关事项，告知应当回避的情形，提请有关人员回避；对投标人进行签到验证。</w:t>
      </w:r>
    </w:p>
    <w:p w14:paraId="557440D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47E815B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5、采购组织机构点击【开启标书信息】，开启标书成功后进入开标流程。</w:t>
      </w:r>
    </w:p>
    <w:p w14:paraId="1D5AED3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w:t>
      </w:r>
      <w:r>
        <w:rPr>
          <w:rFonts w:hint="eastAsia" w:ascii="宋体" w:hAnsi="宋体" w:eastAsia="宋体" w:cs="宋体"/>
          <w:color w:val="auto"/>
          <w:sz w:val="24"/>
          <w:szCs w:val="32"/>
          <w:highlight w:val="none"/>
          <w:lang w:val="zh-CN"/>
        </w:rPr>
        <w:t>资格证明文件和商务技术文件</w:t>
      </w:r>
      <w:r>
        <w:rPr>
          <w:rFonts w:hint="eastAsia" w:ascii="宋体" w:hAnsi="宋体" w:eastAsia="宋体" w:cs="宋体"/>
          <w:color w:val="auto"/>
          <w:sz w:val="24"/>
          <w:szCs w:val="32"/>
          <w:highlight w:val="none"/>
        </w:rPr>
        <w:t>评审；</w:t>
      </w:r>
    </w:p>
    <w:p w14:paraId="41EE1E0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7、由主持人公布无效投标的投标人名单、投标无效的原因及其他有效投标的评分汇总分；</w:t>
      </w:r>
    </w:p>
    <w:p w14:paraId="7DE6E24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8、开启报价响应文件：采购代理机构成功开启报价响应文件后，方可查看各供应商报价情况。</w:t>
      </w:r>
    </w:p>
    <w:p w14:paraId="73C0313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9、报价文件评审；</w:t>
      </w:r>
    </w:p>
    <w:p w14:paraId="7EC4B69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10、由主持人公布无效投标的投标人名单、投标无效的原因及其他有效投标的报价文件得分；</w:t>
      </w:r>
    </w:p>
    <w:p w14:paraId="71C0D96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11、宣布综合得分结果及中标候选人名单；</w:t>
      </w:r>
    </w:p>
    <w:p w14:paraId="52D4CFC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12、开标会议结束。</w:t>
      </w:r>
    </w:p>
    <w:p w14:paraId="3FB67917">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五、评标</w:t>
      </w:r>
    </w:p>
    <w:p w14:paraId="5B066D2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本项目采用电子评审方法。</w:t>
      </w:r>
    </w:p>
    <w:p w14:paraId="66F784B5">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（一）组建评标委员会</w:t>
      </w:r>
    </w:p>
    <w:p w14:paraId="7C7ADAB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评标委员会由采购人代表和评审专家组成，成员人数为</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人以上单数，其中评审专家不得少于成员总数的三分之二。</w:t>
      </w:r>
    </w:p>
    <w:p w14:paraId="630CD848">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（二）评标程序</w:t>
      </w:r>
    </w:p>
    <w:p w14:paraId="3C6DE869">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1、资格审查</w:t>
      </w:r>
    </w:p>
    <w:p w14:paraId="67D63B3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25D9F213">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2、符合性审查</w:t>
      </w:r>
    </w:p>
    <w:p w14:paraId="7DC8C22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2B4E01CC">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3、综合比较与评价</w:t>
      </w:r>
    </w:p>
    <w:p w14:paraId="5724427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25794CD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14:paraId="1E47A86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（3）评标时，评标委员会各成员应当独立对每个投标人的投标文件进行评价，并汇总每个投标人的得分。</w:t>
      </w:r>
    </w:p>
    <w:p w14:paraId="24C453FF">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4、得分确认及评审报告编写</w:t>
      </w:r>
    </w:p>
    <w:p w14:paraId="6C9565D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（1）评标委员会对报价文件进行复核，对于系统计算出的价格分及总得分进行确认；</w:t>
      </w:r>
    </w:p>
    <w:p w14:paraId="412D05E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（2）评标委员会应当按照招标文件中规定的评标方法和标准，对符合性审查合格的投标文件进行商务和技术评估，综合比较与评价。</w:t>
      </w:r>
    </w:p>
    <w:p w14:paraId="4B2ECC2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（3）评标委员会按评标原则及得分情况编写评审报告。</w:t>
      </w:r>
    </w:p>
    <w:p w14:paraId="4AE04A92">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5、评价</w:t>
      </w:r>
    </w:p>
    <w:p w14:paraId="5A4E365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采购组织机构对评标委员会评审专家进行评价。</w:t>
      </w:r>
    </w:p>
    <w:p w14:paraId="16DCF05F">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（三）澄清问题的形式</w:t>
      </w:r>
    </w:p>
    <w:p w14:paraId="4031F94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263B23B1">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（四）错误修正</w:t>
      </w:r>
    </w:p>
    <w:p w14:paraId="5590C87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投标文件报价出现前后不一致的，除招标文件另有规定外，按照下列规定修正：</w:t>
      </w:r>
    </w:p>
    <w:p w14:paraId="0B01DEC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32B8C78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2、大写金额和小写金额不一致的，以大写金额为准；</w:t>
      </w:r>
    </w:p>
    <w:p w14:paraId="1F326FF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3、单价金额小数点或者百分比有明显错位的，以开标一览表的总价为准，并修改单价；</w:t>
      </w:r>
    </w:p>
    <w:p w14:paraId="6325B5A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4、总价金额与按单价汇总金额不一致的，以单价金额计算结果为准。</w:t>
      </w:r>
    </w:p>
    <w:p w14:paraId="3B3E51F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6DE2091A">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（五）投标人存在下列情况之一的，投标无效：</w:t>
      </w:r>
    </w:p>
    <w:p w14:paraId="4B45983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14:paraId="48AE028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跟报价文件出现混装或在</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中出现投标报价的，或者报价文件中报价的货物跟</w:t>
      </w:r>
      <w:r>
        <w:rPr>
          <w:rFonts w:hint="eastAsia" w:ascii="宋体" w:hAnsi="宋体" w:eastAsia="宋体" w:cs="宋体"/>
          <w:color w:val="auto"/>
          <w:sz w:val="24"/>
          <w:szCs w:val="32"/>
          <w:highlight w:val="none"/>
          <w:lang w:val="zh-CN"/>
        </w:rPr>
        <w:t>资格证明文件、商务技术文件</w:t>
      </w:r>
      <w:r>
        <w:rPr>
          <w:rFonts w:hint="eastAsia" w:ascii="宋体" w:hAnsi="宋体" w:eastAsia="宋体" w:cs="宋体"/>
          <w:color w:val="auto"/>
          <w:sz w:val="24"/>
          <w:szCs w:val="32"/>
          <w:highlight w:val="none"/>
        </w:rPr>
        <w:t>中的投标货物出现重大偏差的。</w:t>
      </w:r>
    </w:p>
    <w:p w14:paraId="011CE5D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3、不具备招标文件中规定的资格要求的。</w:t>
      </w:r>
      <w:r>
        <w:rPr>
          <w:rFonts w:hint="eastAsia" w:ascii="宋体" w:hAnsi="宋体" w:eastAsia="宋体" w:cs="宋体"/>
          <w:color w:val="auto"/>
          <w:sz w:val="24"/>
          <w:szCs w:val="32"/>
          <w:highlight w:val="none"/>
        </w:rPr>
        <w:tab/>
      </w:r>
    </w:p>
    <w:p w14:paraId="0B111AD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4、投标文件含有采购人不能接受的附加条件的。</w:t>
      </w:r>
    </w:p>
    <w:p w14:paraId="5D3534B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5、授权委托代理人未能出具身份证明或与法定代表人授权委托代理人身份不符的。</w:t>
      </w:r>
    </w:p>
    <w:p w14:paraId="231E21BA">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04405A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7、报价超过招标文件中规定的预算金额/最高限价。</w:t>
      </w:r>
    </w:p>
    <w:p w14:paraId="1640CA4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8、投标文件提供虚假材料的。</w:t>
      </w:r>
    </w:p>
    <w:p w14:paraId="4D2862C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9、投标人的电子投标文件无法按时解密的。</w:t>
      </w:r>
    </w:p>
    <w:p w14:paraId="4C6F71E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10、不符合中华人民共和国财政部令第87号《政府采购货物和服务招标投标管理办法》第三十七条情形之一的，视为投标人串通投标，其投标无效，并移送采购监管部门：</w:t>
      </w:r>
    </w:p>
    <w:p w14:paraId="2C37813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（1）不同投标人的投标文件由同一单位或者个人编制；不同投标人的投标文件，由同一台电脑编制；</w:t>
      </w:r>
    </w:p>
    <w:p w14:paraId="61577FD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（2）不同投标人委托同一单位或者个人办理投标事宜；</w:t>
      </w:r>
    </w:p>
    <w:p w14:paraId="086CC7F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（3）不同投标人的投标文件载明的项目管理成员或者联系人员为同一人；</w:t>
      </w:r>
    </w:p>
    <w:p w14:paraId="76D16BD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（4）不同投标人的投标文件异常一致或者投标报价呈规律性差异；</w:t>
      </w:r>
    </w:p>
    <w:p w14:paraId="5AD6CFF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（5）不同投标人的投标文件相互混装。</w:t>
      </w:r>
    </w:p>
    <w:p w14:paraId="562FDED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11、不符合法律、法规和招标文件中规定的其他实质性要求的（招标文件中打“▲”内容及被拒绝的条款）。</w:t>
      </w:r>
    </w:p>
    <w:p w14:paraId="2CEB6776">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12、未传输递交电子投标文件的或者未按规定提供相应的备份投标文件，造成项目开评标活动无法进行下去的。</w:t>
      </w:r>
    </w:p>
    <w:p w14:paraId="7FDFA005">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（六）有下列情况之一的，本次招标作为废标处理：</w:t>
      </w:r>
    </w:p>
    <w:p w14:paraId="7387178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1、出现影响采购公正的违法、违规行为的；</w:t>
      </w:r>
    </w:p>
    <w:p w14:paraId="2989D98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2、评标委员会发现招标文件存在歧义、重大缺陷导致评标工作无法进行，或者招标文件内容违反国家有关强制性规定的； </w:t>
      </w:r>
    </w:p>
    <w:p w14:paraId="11A423A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3、因重大变故，采购任务取消的；</w:t>
      </w:r>
    </w:p>
    <w:p w14:paraId="37E9689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4、法律、法规和招标文件规定的其他导致评标结果无效的。</w:t>
      </w:r>
    </w:p>
    <w:p w14:paraId="7F1A0CEF">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（七）评标原则和评标办法</w:t>
      </w:r>
    </w:p>
    <w:p w14:paraId="374436D5">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AF1187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2、评标办法。具体评标内容及评分标准等详见《第三章 评标办法及评分标准》。</w:t>
      </w:r>
    </w:p>
    <w:p w14:paraId="61202247">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（八）评标过程的监控</w:t>
      </w:r>
    </w:p>
    <w:p w14:paraId="7B2278C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02EF1E1A">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六、定标</w:t>
      </w:r>
    </w:p>
    <w:p w14:paraId="75E6FC3C">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19B3EF4">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74EE334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3、发出中标通知书。采购组织机构在发布中标结果的同时，向中标人发出中标通知书。</w:t>
      </w:r>
    </w:p>
    <w:p w14:paraId="61761DA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AF4C4A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5、招标代理费：招标代理费用</w:t>
      </w:r>
      <w:r>
        <w:rPr>
          <w:rFonts w:hint="eastAsia" w:ascii="宋体" w:hAnsi="宋体" w:cs="宋体"/>
          <w:color w:val="auto"/>
          <w:sz w:val="24"/>
          <w:szCs w:val="32"/>
          <w:highlight w:val="none"/>
          <w:lang w:val="en-US" w:eastAsia="zh-CN"/>
        </w:rPr>
        <w:t>按照下列收费标准的38%</w:t>
      </w:r>
      <w:r>
        <w:rPr>
          <w:rFonts w:hint="eastAsia" w:ascii="宋体" w:hAnsi="宋体" w:eastAsia="宋体" w:cs="宋体"/>
          <w:color w:val="auto"/>
          <w:sz w:val="24"/>
          <w:szCs w:val="32"/>
          <w:highlight w:val="none"/>
          <w:lang w:val="zh-CN"/>
        </w:rPr>
        <w:t>执行，</w:t>
      </w:r>
      <w:r>
        <w:rPr>
          <w:rFonts w:hint="eastAsia" w:ascii="宋体" w:hAnsi="宋体" w:eastAsia="宋体" w:cs="宋体"/>
          <w:color w:val="auto"/>
          <w:sz w:val="24"/>
          <w:szCs w:val="32"/>
          <w:highlight w:val="none"/>
        </w:rPr>
        <w:t>向中标单位收取招标代理费，该费用中标方须在中标通知书发出前一次性付清。（户名：浙江五石中正工程咨询有限公司；账号：1202003209900014176；开户银行：中国工商银行杭州市潮王路支行）财务电话：0571-88271625。</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14:paraId="5E33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14:paraId="7D88AC7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服务类型、费率、中标金额（万元）</w:t>
            </w:r>
          </w:p>
        </w:tc>
        <w:tc>
          <w:tcPr>
            <w:tcW w:w="1777" w:type="dxa"/>
            <w:noWrap/>
            <w:vAlign w:val="center"/>
          </w:tcPr>
          <w:p w14:paraId="3A24612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货物招标</w:t>
            </w:r>
          </w:p>
        </w:tc>
        <w:tc>
          <w:tcPr>
            <w:tcW w:w="1640" w:type="dxa"/>
            <w:noWrap/>
            <w:vAlign w:val="center"/>
          </w:tcPr>
          <w:p w14:paraId="7C4944F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服务招标</w:t>
            </w:r>
          </w:p>
        </w:tc>
        <w:tc>
          <w:tcPr>
            <w:tcW w:w="2119" w:type="dxa"/>
            <w:noWrap/>
            <w:vAlign w:val="center"/>
          </w:tcPr>
          <w:p w14:paraId="6771219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工程招标</w:t>
            </w:r>
          </w:p>
        </w:tc>
      </w:tr>
      <w:tr w14:paraId="4A0C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14:paraId="6E9EEFD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1777" w:type="dxa"/>
            <w:noWrap/>
            <w:vAlign w:val="center"/>
          </w:tcPr>
          <w:p w14:paraId="076C885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640" w:type="dxa"/>
            <w:noWrap/>
            <w:vAlign w:val="center"/>
          </w:tcPr>
          <w:p w14:paraId="747F42E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2119" w:type="dxa"/>
            <w:noWrap/>
            <w:vAlign w:val="center"/>
          </w:tcPr>
          <w:p w14:paraId="0B64B8A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14:paraId="4F08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14:paraId="6BCE0F3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1777" w:type="dxa"/>
            <w:noWrap/>
            <w:vAlign w:val="center"/>
          </w:tcPr>
          <w:p w14:paraId="3D94967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w:t>
            </w:r>
          </w:p>
        </w:tc>
        <w:tc>
          <w:tcPr>
            <w:tcW w:w="1640" w:type="dxa"/>
            <w:noWrap/>
            <w:vAlign w:val="center"/>
          </w:tcPr>
          <w:p w14:paraId="2A8BF8E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2119" w:type="dxa"/>
            <w:noWrap/>
            <w:vAlign w:val="center"/>
          </w:tcPr>
          <w:p w14:paraId="04271E9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0.70%</w:t>
            </w:r>
          </w:p>
        </w:tc>
      </w:tr>
      <w:tr w14:paraId="793F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14:paraId="035E16C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1777" w:type="dxa"/>
            <w:noWrap/>
            <w:vAlign w:val="center"/>
          </w:tcPr>
          <w:p w14:paraId="7F5CA5F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640" w:type="dxa"/>
            <w:noWrap/>
            <w:vAlign w:val="center"/>
          </w:tcPr>
          <w:p w14:paraId="47270F4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0.45%</w:t>
            </w:r>
          </w:p>
        </w:tc>
        <w:tc>
          <w:tcPr>
            <w:tcW w:w="2119" w:type="dxa"/>
            <w:noWrap/>
            <w:vAlign w:val="center"/>
          </w:tcPr>
          <w:p w14:paraId="61CA1C0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0.55%</w:t>
            </w:r>
          </w:p>
        </w:tc>
      </w:tr>
      <w:tr w14:paraId="795E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14:paraId="0EDFB40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1777" w:type="dxa"/>
            <w:noWrap/>
            <w:vAlign w:val="center"/>
          </w:tcPr>
          <w:p w14:paraId="2A38D4D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0.50%</w:t>
            </w:r>
          </w:p>
        </w:tc>
        <w:tc>
          <w:tcPr>
            <w:tcW w:w="1640" w:type="dxa"/>
            <w:noWrap/>
            <w:vAlign w:val="center"/>
          </w:tcPr>
          <w:p w14:paraId="4ABBF2D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2119" w:type="dxa"/>
            <w:noWrap/>
            <w:vAlign w:val="center"/>
          </w:tcPr>
          <w:p w14:paraId="10D25CE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0.35%</w:t>
            </w:r>
          </w:p>
        </w:tc>
      </w:tr>
      <w:tr w14:paraId="6F87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14:paraId="2C91FE9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1777" w:type="dxa"/>
            <w:noWrap/>
            <w:vAlign w:val="center"/>
          </w:tcPr>
          <w:p w14:paraId="51B5015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640" w:type="dxa"/>
            <w:noWrap/>
            <w:vAlign w:val="center"/>
          </w:tcPr>
          <w:p w14:paraId="3B3E531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0.10%</w:t>
            </w:r>
          </w:p>
        </w:tc>
        <w:tc>
          <w:tcPr>
            <w:tcW w:w="2119" w:type="dxa"/>
            <w:noWrap/>
            <w:vAlign w:val="center"/>
          </w:tcPr>
          <w:p w14:paraId="235FA3D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0.20%</w:t>
            </w:r>
          </w:p>
        </w:tc>
      </w:tr>
      <w:tr w14:paraId="31AC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14:paraId="1DA3AA6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10000-100000</w:t>
            </w:r>
          </w:p>
        </w:tc>
        <w:tc>
          <w:tcPr>
            <w:tcW w:w="1777" w:type="dxa"/>
            <w:noWrap/>
            <w:vAlign w:val="center"/>
          </w:tcPr>
          <w:p w14:paraId="08C1666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640" w:type="dxa"/>
            <w:noWrap/>
            <w:vAlign w:val="center"/>
          </w:tcPr>
          <w:p w14:paraId="4A45987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2119" w:type="dxa"/>
            <w:noWrap/>
            <w:vAlign w:val="center"/>
          </w:tcPr>
          <w:p w14:paraId="355B4A8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r>
      <w:tr w14:paraId="17E4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5" w:type="dxa"/>
            <w:noWrap/>
            <w:vAlign w:val="center"/>
          </w:tcPr>
          <w:p w14:paraId="0FC6253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100000以上</w:t>
            </w:r>
          </w:p>
        </w:tc>
        <w:tc>
          <w:tcPr>
            <w:tcW w:w="1777" w:type="dxa"/>
            <w:noWrap/>
            <w:vAlign w:val="center"/>
          </w:tcPr>
          <w:p w14:paraId="65F0D6A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640" w:type="dxa"/>
            <w:noWrap/>
            <w:vAlign w:val="center"/>
          </w:tcPr>
          <w:p w14:paraId="07560A4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2119" w:type="dxa"/>
            <w:noWrap/>
            <w:vAlign w:val="center"/>
          </w:tcPr>
          <w:p w14:paraId="79DD9DB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r>
    </w:tbl>
    <w:p w14:paraId="550C4B48">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七、合同签订及公告</w:t>
      </w:r>
    </w:p>
    <w:p w14:paraId="3A3CF91F">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（一）签订合同</w:t>
      </w:r>
    </w:p>
    <w:p w14:paraId="63B66011">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34AF13D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2、采购人不得向中标人提出任何不合理的要求作为签订合同的条件。</w:t>
      </w:r>
    </w:p>
    <w:p w14:paraId="5F6B875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3、中标供应商无故拖延、拒签合同的，取消中标资格。</w:t>
      </w:r>
    </w:p>
    <w:p w14:paraId="3779716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7870B60">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1FF157F6">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（二）合同公告及备案</w:t>
      </w:r>
    </w:p>
    <w:p w14:paraId="60A9F8E3">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1、采购人应当自政府采购合同签订之日起2个工作日内，在省级以上财政部门指定的政府采购信息发布媒体及相关网站上公告。</w:t>
      </w:r>
    </w:p>
    <w:p w14:paraId="4A3DFAC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2、采购人应当自政府采购合同签订之日起7个工作日内，将政府采购合同副本报同级人民政府财政部门备案以及采购组织机构存档。</w:t>
      </w:r>
    </w:p>
    <w:p w14:paraId="78CAB19D">
      <w:pPr>
        <w:shd w:val="clear"/>
        <w:spacing w:line="360" w:lineRule="auto"/>
        <w:rPr>
          <w:rFonts w:hint="eastAsia" w:ascii="宋体" w:hAnsi="宋体" w:eastAsia="宋体" w:cs="宋体"/>
          <w:color w:val="auto"/>
          <w:sz w:val="24"/>
          <w:szCs w:val="32"/>
          <w:highlight w:val="none"/>
        </w:rPr>
      </w:pPr>
    </w:p>
    <w:p w14:paraId="077084E3">
      <w:pPr>
        <w:shd w:val="clear"/>
        <w:spacing w:line="360" w:lineRule="auto"/>
        <w:rPr>
          <w:rFonts w:hint="eastAsia" w:ascii="宋体" w:hAnsi="宋体" w:eastAsia="宋体" w:cs="宋体"/>
          <w:color w:val="auto"/>
          <w:sz w:val="24"/>
          <w:szCs w:val="32"/>
          <w:highlight w:val="none"/>
        </w:rPr>
      </w:pPr>
    </w:p>
    <w:p w14:paraId="01911566">
      <w:pPr>
        <w:shd w:val="clear"/>
        <w:spacing w:line="360" w:lineRule="auto"/>
        <w:rPr>
          <w:rFonts w:hint="eastAsia" w:ascii="宋体" w:hAnsi="宋体" w:eastAsia="宋体" w:cs="宋体"/>
          <w:color w:val="auto"/>
          <w:sz w:val="24"/>
          <w:szCs w:val="32"/>
          <w:highlight w:val="none"/>
        </w:rPr>
      </w:pPr>
    </w:p>
    <w:p w14:paraId="11CE4674">
      <w:pPr>
        <w:shd w:val="clear"/>
        <w:spacing w:line="360" w:lineRule="auto"/>
        <w:jc w:val="center"/>
        <w:rPr>
          <w:rFonts w:hint="eastAsia" w:ascii="宋体" w:hAnsi="宋体" w:eastAsia="宋体" w:cs="宋体"/>
          <w:b/>
          <w:bCs/>
          <w:color w:val="auto"/>
          <w:sz w:val="36"/>
          <w:szCs w:val="44"/>
          <w:highlight w:val="none"/>
        </w:rPr>
      </w:pPr>
    </w:p>
    <w:p w14:paraId="6D3A1DF2">
      <w:pPr>
        <w:shd w:val="clear"/>
        <w:spacing w:line="360" w:lineRule="auto"/>
        <w:jc w:val="center"/>
        <w:rPr>
          <w:rFonts w:hint="eastAsia" w:ascii="宋体" w:hAnsi="宋体" w:eastAsia="宋体" w:cs="宋体"/>
          <w:b/>
          <w:bCs/>
          <w:color w:val="auto"/>
          <w:sz w:val="36"/>
          <w:szCs w:val="44"/>
          <w:highlight w:val="none"/>
        </w:rPr>
      </w:pPr>
    </w:p>
    <w:p w14:paraId="4637CA2F">
      <w:pPr>
        <w:shd w:val="clear"/>
        <w:spacing w:line="360" w:lineRule="auto"/>
        <w:jc w:val="center"/>
        <w:rPr>
          <w:rFonts w:hint="eastAsia" w:ascii="宋体" w:hAnsi="宋体" w:eastAsia="宋体" w:cs="宋体"/>
          <w:b/>
          <w:bCs/>
          <w:color w:val="auto"/>
          <w:sz w:val="36"/>
          <w:szCs w:val="44"/>
          <w:highlight w:val="none"/>
        </w:rPr>
      </w:pPr>
    </w:p>
    <w:p w14:paraId="700DD644">
      <w:pPr>
        <w:shd w:val="clear"/>
        <w:spacing w:line="360" w:lineRule="auto"/>
        <w:jc w:val="center"/>
        <w:rPr>
          <w:rFonts w:hint="eastAsia" w:ascii="宋体" w:hAnsi="宋体" w:eastAsia="宋体" w:cs="宋体"/>
          <w:b/>
          <w:bCs/>
          <w:color w:val="auto"/>
          <w:sz w:val="36"/>
          <w:szCs w:val="44"/>
          <w:highlight w:val="none"/>
        </w:rPr>
      </w:pPr>
    </w:p>
    <w:p w14:paraId="69F03820">
      <w:pPr>
        <w:shd w:val="clear"/>
        <w:spacing w:line="360" w:lineRule="auto"/>
        <w:jc w:val="center"/>
        <w:rPr>
          <w:rFonts w:hint="eastAsia" w:ascii="宋体" w:hAnsi="宋体" w:eastAsia="宋体" w:cs="宋体"/>
          <w:b/>
          <w:bCs/>
          <w:color w:val="auto"/>
          <w:sz w:val="36"/>
          <w:szCs w:val="44"/>
          <w:highlight w:val="none"/>
        </w:rPr>
      </w:pPr>
    </w:p>
    <w:p w14:paraId="3F3AB3ED">
      <w:pPr>
        <w:shd w:val="clear"/>
        <w:spacing w:line="360" w:lineRule="auto"/>
        <w:jc w:val="center"/>
        <w:rPr>
          <w:rFonts w:hint="eastAsia" w:ascii="宋体" w:hAnsi="宋体" w:eastAsia="宋体" w:cs="宋体"/>
          <w:b/>
          <w:bCs/>
          <w:color w:val="auto"/>
          <w:sz w:val="36"/>
          <w:szCs w:val="44"/>
          <w:highlight w:val="none"/>
        </w:rPr>
      </w:pPr>
    </w:p>
    <w:p w14:paraId="046C8243">
      <w:pPr>
        <w:shd w:val="clear"/>
        <w:spacing w:line="360" w:lineRule="auto"/>
        <w:jc w:val="center"/>
        <w:rPr>
          <w:rFonts w:hint="eastAsia" w:ascii="宋体" w:hAnsi="宋体" w:eastAsia="宋体" w:cs="宋体"/>
          <w:b/>
          <w:bCs/>
          <w:color w:val="auto"/>
          <w:sz w:val="36"/>
          <w:szCs w:val="44"/>
          <w:highlight w:val="none"/>
        </w:rPr>
      </w:pPr>
    </w:p>
    <w:p w14:paraId="2A4B600E">
      <w:pPr>
        <w:shd w:val="clear"/>
        <w:spacing w:line="360" w:lineRule="auto"/>
        <w:jc w:val="center"/>
        <w:rPr>
          <w:rFonts w:hint="eastAsia" w:ascii="宋体" w:hAnsi="宋体" w:eastAsia="宋体" w:cs="宋体"/>
          <w:b/>
          <w:bCs/>
          <w:color w:val="auto"/>
          <w:sz w:val="36"/>
          <w:szCs w:val="44"/>
          <w:highlight w:val="none"/>
        </w:rPr>
      </w:pPr>
    </w:p>
    <w:p w14:paraId="51CDADA4">
      <w:pPr>
        <w:shd w:val="clear"/>
        <w:spacing w:line="360" w:lineRule="auto"/>
        <w:jc w:val="center"/>
        <w:rPr>
          <w:rFonts w:hint="eastAsia" w:ascii="宋体" w:hAnsi="宋体" w:eastAsia="宋体" w:cs="宋体"/>
          <w:b/>
          <w:bCs/>
          <w:color w:val="auto"/>
          <w:sz w:val="36"/>
          <w:szCs w:val="44"/>
          <w:highlight w:val="none"/>
        </w:rPr>
      </w:pPr>
    </w:p>
    <w:p w14:paraId="756576AB">
      <w:pPr>
        <w:shd w:val="clear"/>
        <w:spacing w:line="360" w:lineRule="auto"/>
        <w:jc w:val="center"/>
        <w:rPr>
          <w:rFonts w:hint="eastAsia" w:ascii="宋体" w:hAnsi="宋体" w:eastAsia="宋体" w:cs="宋体"/>
          <w:b/>
          <w:bCs/>
          <w:color w:val="auto"/>
          <w:sz w:val="36"/>
          <w:szCs w:val="44"/>
          <w:highlight w:val="none"/>
        </w:rPr>
      </w:pPr>
    </w:p>
    <w:p w14:paraId="1C203B95">
      <w:pPr>
        <w:shd w:val="clear"/>
        <w:spacing w:line="360" w:lineRule="auto"/>
        <w:jc w:val="center"/>
        <w:rPr>
          <w:rFonts w:hint="eastAsia" w:ascii="宋体" w:hAnsi="宋体" w:eastAsia="宋体" w:cs="宋体"/>
          <w:b/>
          <w:bCs/>
          <w:color w:val="auto"/>
          <w:sz w:val="36"/>
          <w:szCs w:val="44"/>
          <w:highlight w:val="none"/>
        </w:rPr>
      </w:pPr>
    </w:p>
    <w:p w14:paraId="50B488B9">
      <w:pPr>
        <w:shd w:val="clear"/>
        <w:spacing w:line="360" w:lineRule="auto"/>
        <w:jc w:val="center"/>
        <w:rPr>
          <w:rFonts w:hint="eastAsia" w:ascii="宋体" w:hAnsi="宋体" w:eastAsia="宋体" w:cs="宋体"/>
          <w:b/>
          <w:bCs/>
          <w:color w:val="auto"/>
          <w:sz w:val="36"/>
          <w:szCs w:val="44"/>
          <w:highlight w:val="none"/>
        </w:rPr>
      </w:pPr>
    </w:p>
    <w:p w14:paraId="4F934A8B">
      <w:pPr>
        <w:shd w:val="clear"/>
        <w:spacing w:line="360" w:lineRule="auto"/>
        <w:jc w:val="center"/>
        <w:rPr>
          <w:rFonts w:hint="eastAsia" w:ascii="宋体" w:hAnsi="宋体" w:eastAsia="宋体" w:cs="宋体"/>
          <w:b/>
          <w:bCs/>
          <w:color w:val="auto"/>
          <w:sz w:val="36"/>
          <w:szCs w:val="44"/>
          <w:highlight w:val="none"/>
        </w:rPr>
      </w:pPr>
    </w:p>
    <w:p w14:paraId="65EC3574">
      <w:pPr>
        <w:shd w:val="clear"/>
        <w:spacing w:line="360" w:lineRule="auto"/>
        <w:jc w:val="center"/>
        <w:rPr>
          <w:rFonts w:hint="eastAsia" w:ascii="宋体" w:hAnsi="宋体" w:eastAsia="宋体" w:cs="宋体"/>
          <w:b/>
          <w:bCs/>
          <w:color w:val="auto"/>
          <w:sz w:val="36"/>
          <w:szCs w:val="44"/>
          <w:highlight w:val="none"/>
        </w:rPr>
      </w:pPr>
    </w:p>
    <w:p w14:paraId="366EF09F">
      <w:pP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p>
    <w:p w14:paraId="4222AFDE">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第三章 评标办法及评分标准</w:t>
      </w:r>
    </w:p>
    <w:p w14:paraId="084E1CC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一、采购组织机构将组织评标委员会，对投标人提供的投标文件进行综合评审。</w:t>
      </w:r>
    </w:p>
    <w:p w14:paraId="008CC56D">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二、本次招标项目的评标方法为综合评分法，总计100分。</w:t>
      </w:r>
    </w:p>
    <w:p w14:paraId="5CE9E9BE">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（一）商务与技术文件中的客观分由评标委员会讨论后统一打分；其余在规定的分值内单独评定打分。</w:t>
      </w:r>
    </w:p>
    <w:p w14:paraId="4BD46911">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（二）各投标人商务与技术文件得分按照评标委员会成员的独立评分结果汇总后的算术平均分计算，计算公式为：</w:t>
      </w:r>
    </w:p>
    <w:p w14:paraId="7AA1D883">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商务与技术文件得分</w:t>
      </w:r>
      <w:r>
        <w:rPr>
          <w:rFonts w:hint="eastAsia" w:ascii="宋体" w:hAnsi="宋体" w:eastAsia="宋体" w:cs="宋体"/>
          <w:color w:val="auto"/>
          <w:sz w:val="24"/>
          <w:szCs w:val="32"/>
          <w:highlight w:val="none"/>
          <w:lang w:val="zh-CN"/>
        </w:rPr>
        <w:t>=评标委员会所有成员评分合计数/评标委员会组成人员数。</w:t>
      </w:r>
    </w:p>
    <w:p w14:paraId="196BCCEB">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22F9362C">
      <w:pPr>
        <w:shd w:val="clear"/>
        <w:spacing w:line="360" w:lineRule="auto"/>
        <w:ind w:firstLine="480" w:firstLineChars="200"/>
        <w:rPr>
          <w:rFonts w:hint="eastAsia" w:ascii="宋体" w:hAnsi="宋体" w:eastAsia="宋体" w:cs="宋体"/>
          <w:color w:val="auto"/>
          <w:sz w:val="24"/>
          <w:szCs w:val="32"/>
          <w:highlight w:val="none"/>
          <w:u w:val="single"/>
        </w:rPr>
      </w:pPr>
      <w:r>
        <w:rPr>
          <w:rFonts w:hint="eastAsia" w:ascii="宋体" w:hAnsi="宋体" w:eastAsia="宋体" w:cs="宋体"/>
          <w:color w:val="auto"/>
          <w:sz w:val="24"/>
          <w:szCs w:val="32"/>
          <w:highlight w:val="none"/>
          <w:u w:val="single"/>
        </w:rPr>
        <w:t>投标报价得分=（评标基准价／投标报价）×</w:t>
      </w:r>
      <w:r>
        <w:rPr>
          <w:rFonts w:hint="eastAsia" w:ascii="宋体" w:hAnsi="宋体" w:cs="宋体"/>
          <w:color w:val="auto"/>
          <w:sz w:val="24"/>
          <w:szCs w:val="32"/>
          <w:highlight w:val="none"/>
          <w:u w:val="single"/>
          <w:lang w:val="en-US" w:eastAsia="zh-CN"/>
        </w:rPr>
        <w:t>1</w:t>
      </w:r>
      <w:r>
        <w:rPr>
          <w:rFonts w:hint="eastAsia" w:ascii="宋体" w:hAnsi="宋体" w:eastAsia="宋体" w:cs="宋体"/>
          <w:color w:val="auto"/>
          <w:sz w:val="24"/>
          <w:szCs w:val="32"/>
          <w:highlight w:val="none"/>
          <w:u w:val="single"/>
        </w:rPr>
        <w:t>0%×100 。</w:t>
      </w:r>
    </w:p>
    <w:p w14:paraId="144CEF5A">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（四）投标人综合得分＝资格证明文件、商务技术文件得分＋投标报价得分。</w:t>
      </w:r>
    </w:p>
    <w:p w14:paraId="43362FF4">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（五）政府采购政策及优惠：</w:t>
      </w:r>
    </w:p>
    <w:p w14:paraId="28D75BF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641C208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%的扣除，用扣除后的价格参加评审。</w:t>
      </w:r>
    </w:p>
    <w:p w14:paraId="3D447E9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组成联合体或者接受分包的小微企业与联合体内其他企业、分包企业之间存在直接控股、管理关系的，不享受价格扣除优惠政策。</w:t>
      </w:r>
    </w:p>
    <w:p w14:paraId="5CCE8A0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4CAFC86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投标文件中须同时出具《政府采购促进中小企业发展管理办法》【财库（2020）46号】规定的《中小企业声明函》，否则不得享受价格扣除。</w:t>
      </w:r>
    </w:p>
    <w:p w14:paraId="263D98B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本项目对符合规定的小微企业（含小型企业）报价给予10%的扣除。</w:t>
      </w:r>
    </w:p>
    <w:p w14:paraId="1D0E293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（2）根据《关于政府采购支持监狱企业发展有关问题的通知》（财库[2014]68号）的规定，供应商如为监狱企业且所投产品为小型或微型企业生产的，其投标报价扣除10%后参与评审。</w:t>
      </w:r>
    </w:p>
    <w:p w14:paraId="3CFF4C1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14:paraId="3E2976DF">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7255AF3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享受政府采购支持政策的残疾人福利性单位应当同时满足以下条件：</w:t>
      </w:r>
    </w:p>
    <w:p w14:paraId="316187F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①安置的残疾人占本单位在职职工人数的比例不低于25%（含25%），并且安置的残疾人人数不少于10人（含10人）；</w:t>
      </w:r>
    </w:p>
    <w:p w14:paraId="6012C5C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②依法与安置的每位残疾人签订了一年以上（含一年）的劳动合同或服务协议；</w:t>
      </w:r>
    </w:p>
    <w:p w14:paraId="309068D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③为安置的每位残疾人按月足额缴纳了基本养老保险、基本医疗保险、失业保险、工伤保险和生育保险等社会保险费；</w:t>
      </w:r>
    </w:p>
    <w:p w14:paraId="0561B05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④通过银行等金融机构向安置的每位残疾人，按月支付了不低于单位所在区县适用的经省级人民政府批准的月最低工资标准的工资；</w:t>
      </w:r>
    </w:p>
    <w:p w14:paraId="0D0E0B1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14:paraId="7C03CA29">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highlight w:val="none"/>
        </w:rPr>
        <w:t>前款所称残疾人是指法定劳动年龄内，持有《中华人民共和国残疾人证》或者《中华人民共和国残疾军人证（1至8级）》的自然人，包括具有劳动条件和</w:t>
      </w:r>
      <w:r>
        <w:rPr>
          <w:rFonts w:hint="eastAsia" w:ascii="宋体" w:hAnsi="宋体" w:eastAsia="宋体" w:cs="宋体"/>
          <w:color w:val="auto"/>
          <w:sz w:val="24"/>
          <w:szCs w:val="32"/>
          <w:highlight w:val="none"/>
          <w:lang w:val="zh-CN"/>
        </w:rPr>
        <w:t>劳动意愿的精神残疾人。在职职工人数是指与残疾人福利性单位建立劳动关系并依法签订劳动合同或者服务协议的雇员人数。</w:t>
      </w:r>
    </w:p>
    <w:p w14:paraId="15756167">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注：得分以系统计算为准，保留2位小数。</w:t>
      </w:r>
    </w:p>
    <w:p w14:paraId="44D640B2">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45A5F32D">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14:paraId="4C927452">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五、提供相同品牌产品的不同投标人参加同一合同项下投标的，按一家供应商认定：</w:t>
      </w:r>
    </w:p>
    <w:p w14:paraId="36144370">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45A22C73">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5C9C52EB">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六、本次评分具体分值细化条款如下表：</w:t>
      </w:r>
    </w:p>
    <w:tbl>
      <w:tblPr>
        <w:tblStyle w:val="33"/>
        <w:tblW w:w="6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015"/>
        <w:gridCol w:w="1015"/>
        <w:gridCol w:w="6110"/>
        <w:gridCol w:w="1017"/>
      </w:tblGrid>
      <w:tr w14:paraId="1E37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256" w:type="dxa"/>
            <w:gridSpan w:val="3"/>
            <w:shd w:val="clear" w:color="auto" w:fill="auto"/>
            <w:vAlign w:val="center"/>
          </w:tcPr>
          <w:p w14:paraId="13063480">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评标内容</w:t>
            </w:r>
          </w:p>
        </w:tc>
        <w:tc>
          <w:tcPr>
            <w:tcW w:w="6111" w:type="dxa"/>
            <w:shd w:val="clear" w:color="auto" w:fill="auto"/>
            <w:vAlign w:val="center"/>
          </w:tcPr>
          <w:p w14:paraId="6D4E65AD">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细则内容</w:t>
            </w:r>
          </w:p>
        </w:tc>
        <w:tc>
          <w:tcPr>
            <w:tcW w:w="1017" w:type="dxa"/>
            <w:shd w:val="clear" w:color="auto" w:fill="auto"/>
            <w:vAlign w:val="center"/>
          </w:tcPr>
          <w:p w14:paraId="57198BF8">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分值</w:t>
            </w:r>
          </w:p>
        </w:tc>
      </w:tr>
      <w:tr w14:paraId="507B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1226" w:type="dxa"/>
            <w:vMerge w:val="restart"/>
            <w:shd w:val="clear" w:color="auto" w:fill="auto"/>
            <w:vAlign w:val="center"/>
          </w:tcPr>
          <w:p w14:paraId="09F703B4">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投标人企业信誉及实力（</w:t>
            </w:r>
            <w:r>
              <w:rPr>
                <w:rFonts w:hint="eastAsia" w:ascii="宋体" w:hAnsi="宋体" w:cs="宋体"/>
                <w:b/>
                <w:bCs/>
                <w:color w:val="auto"/>
                <w:kern w:val="0"/>
                <w:sz w:val="24"/>
                <w:highlight w:val="none"/>
                <w:lang w:val="en-US" w:eastAsia="zh-CN"/>
              </w:rPr>
              <w:t>19分</w:t>
            </w:r>
            <w:r>
              <w:rPr>
                <w:rFonts w:hint="eastAsia" w:ascii="宋体" w:hAnsi="宋体" w:cs="宋体"/>
                <w:b/>
                <w:bCs/>
                <w:color w:val="auto"/>
                <w:kern w:val="0"/>
                <w:sz w:val="24"/>
                <w:highlight w:val="none"/>
              </w:rPr>
              <w:t>）</w:t>
            </w:r>
          </w:p>
        </w:tc>
        <w:tc>
          <w:tcPr>
            <w:tcW w:w="2030" w:type="dxa"/>
            <w:gridSpan w:val="2"/>
            <w:shd w:val="clear" w:color="auto" w:fill="auto"/>
            <w:vAlign w:val="center"/>
          </w:tcPr>
          <w:p w14:paraId="0F48C884">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投标人企业综合实力</w:t>
            </w:r>
          </w:p>
        </w:tc>
        <w:tc>
          <w:tcPr>
            <w:tcW w:w="6111" w:type="dxa"/>
            <w:shd w:val="clear" w:color="auto" w:fill="auto"/>
            <w:vAlign w:val="center"/>
          </w:tcPr>
          <w:p w14:paraId="0F43CF11">
            <w:pPr>
              <w:keepNext w:val="0"/>
              <w:keepLines w:val="0"/>
              <w:pageBreakBefore w:val="0"/>
              <w:suppressLineNumbers w:val="0"/>
              <w:shd w:val="clear"/>
              <w:kinsoku/>
              <w:wordWrap/>
              <w:overflowPunct/>
              <w:topLinePunct w:val="0"/>
              <w:autoSpaceDE w:val="0"/>
              <w:autoSpaceDN w:val="0"/>
              <w:bidi w:val="0"/>
              <w:adjustRightInd/>
              <w:snapToGrid w:val="0"/>
              <w:spacing w:before="0" w:beforeAutospacing="0" w:after="0" w:afterAutospacing="0" w:line="360" w:lineRule="exact"/>
              <w:ind w:left="0" w:right="84"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投标人具有有效的质量体系认证证书、信息技术服务管理体系认证证书、信息安全管理体系认证证书</w:t>
            </w:r>
            <w:r>
              <w:rPr>
                <w:rFonts w:hint="eastAsia" w:ascii="宋体" w:hAnsi="宋体" w:cs="宋体"/>
                <w:color w:val="auto"/>
                <w:sz w:val="24"/>
                <w:szCs w:val="24"/>
                <w:highlight w:val="none"/>
                <w:lang w:val="en-US" w:eastAsia="zh-CN"/>
              </w:rPr>
              <w:t>、业务连续性管理体系认证证书、数据存储安全管理体系认证证书</w:t>
            </w:r>
            <w:r>
              <w:rPr>
                <w:rFonts w:hint="eastAsia" w:ascii="宋体" w:hAnsi="宋体" w:eastAsia="宋体" w:cs="宋体"/>
                <w:color w:val="auto"/>
                <w:sz w:val="24"/>
                <w:szCs w:val="24"/>
                <w:highlight w:val="none"/>
                <w:lang w:val="en-US" w:eastAsia="zh-CN"/>
              </w:rPr>
              <w:t>的每个得1分；</w:t>
            </w:r>
          </w:p>
          <w:p w14:paraId="5E4B0EB2">
            <w:pPr>
              <w:keepNext w:val="0"/>
              <w:keepLines w:val="0"/>
              <w:pageBreakBefore w:val="0"/>
              <w:suppressLineNumbers w:val="0"/>
              <w:shd w:val="clear"/>
              <w:kinsoku/>
              <w:wordWrap/>
              <w:overflowPunct/>
              <w:topLinePunct w:val="0"/>
              <w:autoSpaceDE w:val="0"/>
              <w:autoSpaceDN w:val="0"/>
              <w:bidi w:val="0"/>
              <w:adjustRightInd/>
              <w:snapToGrid w:val="0"/>
              <w:spacing w:before="0" w:beforeAutospacing="0" w:after="0" w:afterAutospacing="0" w:line="360" w:lineRule="exact"/>
              <w:ind w:left="0" w:right="84" w:firstLine="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投标人具有</w:t>
            </w:r>
            <w:r>
              <w:rPr>
                <w:rFonts w:hint="eastAsia" w:ascii="宋体" w:hAnsi="宋体" w:cs="宋体"/>
                <w:color w:val="auto"/>
                <w:sz w:val="24"/>
                <w:szCs w:val="24"/>
                <w:highlight w:val="none"/>
                <w:lang w:eastAsia="zh-CN"/>
              </w:rPr>
              <w:t>售后服务认证</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星及以上证书的</w:t>
            </w:r>
            <w:r>
              <w:rPr>
                <w:rFonts w:hint="eastAsia" w:ascii="宋体" w:hAnsi="宋体" w:cs="宋体"/>
                <w:color w:val="auto"/>
                <w:sz w:val="24"/>
                <w:szCs w:val="24"/>
                <w:highlight w:val="none"/>
                <w:lang w:val="en-US" w:eastAsia="zh-CN"/>
              </w:rPr>
              <w:t>得1分；</w:t>
            </w:r>
          </w:p>
          <w:p w14:paraId="4CCFEAC6">
            <w:pPr>
              <w:pStyle w:val="83"/>
              <w:keepNext w:val="0"/>
              <w:keepLines w:val="0"/>
              <w:suppressLineNumbers w:val="0"/>
              <w:spacing w:before="0" w:beforeAutospacing="0" w:after="0" w:afterAutospacing="0"/>
              <w:ind w:left="0" w:right="0"/>
              <w:rPr>
                <w:rFonts w:hint="default"/>
                <w:color w:val="auto"/>
                <w:highlight w:val="none"/>
                <w:lang w:val="en-US" w:eastAsia="zh-CN"/>
              </w:rPr>
            </w:pPr>
            <w:r>
              <w:rPr>
                <w:rFonts w:hint="eastAsia" w:hAnsi="宋体" w:cs="宋体"/>
                <w:color w:val="auto"/>
                <w:sz w:val="24"/>
                <w:szCs w:val="24"/>
                <w:highlight w:val="none"/>
                <w:lang w:val="en-US" w:eastAsia="zh-CN"/>
              </w:rPr>
              <w:t>投标人具有信息系统安全等级保护测评复评证明（政务云）三级的得1分</w:t>
            </w:r>
          </w:p>
          <w:p w14:paraId="43F2389F">
            <w:pPr>
              <w:keepNext w:val="0"/>
              <w:keepLines w:val="0"/>
              <w:pageBreakBefore w:val="0"/>
              <w:suppressLineNumbers w:val="0"/>
              <w:kinsoku/>
              <w:wordWrap/>
              <w:overflowPunct/>
              <w:topLinePunct w:val="0"/>
              <w:bidi w:val="0"/>
              <w:adjustRightInd/>
              <w:spacing w:before="0" w:beforeAutospacing="0" w:after="0" w:afterAutospacing="0" w:line="360" w:lineRule="auto"/>
              <w:ind w:left="0" w:right="0" w:firstLine="0" w:firstLineChars="0"/>
              <w:rPr>
                <w:rFonts w:hint="default" w:ascii="宋体" w:hAnsi="宋体" w:cs="宋体"/>
                <w:color w:val="auto"/>
                <w:kern w:val="0"/>
                <w:sz w:val="24"/>
                <w:highlight w:val="none"/>
              </w:rPr>
            </w:pPr>
            <w:r>
              <w:rPr>
                <w:rFonts w:hint="eastAsia" w:ascii="宋体" w:hAnsi="宋体" w:cs="宋体"/>
                <w:color w:val="auto"/>
                <w:sz w:val="24"/>
                <w:szCs w:val="24"/>
                <w:highlight w:val="none"/>
                <w:lang w:val="en-US" w:eastAsia="zh-CN"/>
              </w:rPr>
              <w:t>本项最高得7分，提供证书扫描件并加盖公章，否则不得分。</w:t>
            </w:r>
          </w:p>
        </w:tc>
        <w:tc>
          <w:tcPr>
            <w:tcW w:w="1017" w:type="dxa"/>
            <w:shd w:val="clear" w:color="auto" w:fill="auto"/>
            <w:vAlign w:val="center"/>
          </w:tcPr>
          <w:p w14:paraId="1D3AF34D">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7</w:t>
            </w:r>
          </w:p>
        </w:tc>
      </w:tr>
      <w:tr w14:paraId="4E29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26" w:type="dxa"/>
            <w:vMerge w:val="continue"/>
            <w:shd w:val="clear" w:color="auto" w:fill="auto"/>
            <w:vAlign w:val="center"/>
          </w:tcPr>
          <w:p w14:paraId="6AB257EE">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b/>
                <w:bCs/>
                <w:color w:val="auto"/>
                <w:kern w:val="0"/>
                <w:sz w:val="24"/>
                <w:highlight w:val="none"/>
              </w:rPr>
            </w:pPr>
          </w:p>
        </w:tc>
        <w:tc>
          <w:tcPr>
            <w:tcW w:w="2030" w:type="dxa"/>
            <w:gridSpan w:val="2"/>
            <w:shd w:val="clear" w:color="auto" w:fill="auto"/>
            <w:vAlign w:val="center"/>
          </w:tcPr>
          <w:p w14:paraId="6B8A1FB3">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同类业绩</w:t>
            </w:r>
          </w:p>
        </w:tc>
        <w:tc>
          <w:tcPr>
            <w:tcW w:w="6111" w:type="dxa"/>
            <w:shd w:val="clear" w:color="auto" w:fill="auto"/>
            <w:vAlign w:val="center"/>
          </w:tcPr>
          <w:p w14:paraId="4374BFD3">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default" w:ascii="宋体" w:hAnsi="宋体" w:cs="宋体"/>
                <w:color w:val="auto"/>
                <w:kern w:val="0"/>
                <w:sz w:val="24"/>
                <w:highlight w:val="none"/>
              </w:rPr>
            </w:pPr>
            <w:r>
              <w:rPr>
                <w:rFonts w:hint="eastAsia" w:ascii="宋体" w:hAnsi="宋体" w:cs="宋体"/>
                <w:color w:val="auto"/>
                <w:kern w:val="0"/>
                <w:sz w:val="24"/>
                <w:highlight w:val="none"/>
              </w:rPr>
              <w:t>近三年类似项目业绩，每提供一个得</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分，最多得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w:t>
            </w:r>
          </w:p>
          <w:p w14:paraId="165B5A25">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default" w:ascii="宋体" w:hAnsi="宋体" w:cs="宋体"/>
                <w:color w:val="auto"/>
                <w:kern w:val="0"/>
                <w:sz w:val="24"/>
                <w:highlight w:val="none"/>
              </w:rPr>
            </w:pPr>
            <w:r>
              <w:rPr>
                <w:rFonts w:hint="eastAsia" w:ascii="宋体" w:hAnsi="宋体" w:cs="宋体"/>
                <w:color w:val="auto"/>
                <w:kern w:val="0"/>
                <w:sz w:val="24"/>
                <w:highlight w:val="none"/>
              </w:rPr>
              <w:t>（上传合同原件扫描件加盖公章，否则不得分。）</w:t>
            </w:r>
          </w:p>
        </w:tc>
        <w:tc>
          <w:tcPr>
            <w:tcW w:w="1017" w:type="dxa"/>
            <w:shd w:val="clear" w:color="auto" w:fill="auto"/>
            <w:vAlign w:val="center"/>
          </w:tcPr>
          <w:p w14:paraId="4F2AAF6D">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1</w:t>
            </w:r>
          </w:p>
        </w:tc>
      </w:tr>
      <w:tr w14:paraId="5229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26" w:type="dxa"/>
            <w:vMerge w:val="continue"/>
            <w:vAlign w:val="center"/>
          </w:tcPr>
          <w:p w14:paraId="429F551C">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b/>
                <w:bCs/>
                <w:color w:val="auto"/>
                <w:kern w:val="0"/>
                <w:sz w:val="24"/>
                <w:highlight w:val="none"/>
              </w:rPr>
            </w:pPr>
          </w:p>
        </w:tc>
        <w:tc>
          <w:tcPr>
            <w:tcW w:w="2030" w:type="dxa"/>
            <w:gridSpan w:val="2"/>
            <w:vMerge w:val="restart"/>
            <w:shd w:val="clear" w:color="auto" w:fill="auto"/>
            <w:vAlign w:val="center"/>
          </w:tcPr>
          <w:p w14:paraId="2EA4188D">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投标人人员力量</w:t>
            </w:r>
          </w:p>
        </w:tc>
        <w:tc>
          <w:tcPr>
            <w:tcW w:w="6111" w:type="dxa"/>
            <w:shd w:val="clear" w:color="auto" w:fill="auto"/>
            <w:vAlign w:val="center"/>
          </w:tcPr>
          <w:p w14:paraId="4E9DD125">
            <w:pPr>
              <w:keepNext w:val="0"/>
              <w:keepLines w:val="0"/>
              <w:pageBreakBefore w:val="0"/>
              <w:widowControl/>
              <w:numPr>
                <w:ilvl w:val="0"/>
                <w:numId w:val="5"/>
              </w:numPr>
              <w:suppressLineNumbers w:val="0"/>
              <w:shd w:val="clear"/>
              <w:kinsoku/>
              <w:wordWrap/>
              <w:overflowPunct/>
              <w:topLinePunct w:val="0"/>
              <w:bidi w:val="0"/>
              <w:adjustRightInd/>
              <w:spacing w:before="0" w:beforeAutospacing="0" w:after="0" w:afterAutospacing="0"/>
              <w:ind w:left="0" w:right="0"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拟投入项目负责人</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项目负责人</w:t>
            </w:r>
            <w:r>
              <w:rPr>
                <w:rFonts w:hint="eastAsia" w:ascii="宋体" w:hAnsi="宋体" w:eastAsia="宋体" w:cs="宋体"/>
                <w:color w:val="auto"/>
                <w:sz w:val="24"/>
                <w:szCs w:val="24"/>
                <w:highlight w:val="none"/>
              </w:rPr>
              <w:t>具备信息系统项目管理师证书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系统架构设计师（高级）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信息安全工程师</w:t>
            </w:r>
            <w:r>
              <w:rPr>
                <w:rFonts w:hint="eastAsia" w:ascii="宋体" w:hAnsi="宋体" w:eastAsia="宋体" w:cs="宋体"/>
                <w:color w:val="auto"/>
                <w:sz w:val="24"/>
                <w:szCs w:val="24"/>
                <w:highlight w:val="none"/>
              </w:rPr>
              <w:t>、软件</w:t>
            </w:r>
            <w:r>
              <w:rPr>
                <w:rFonts w:hint="eastAsia" w:ascii="宋体" w:hAnsi="宋体" w:cs="宋体"/>
                <w:color w:val="auto"/>
                <w:sz w:val="24"/>
                <w:szCs w:val="24"/>
                <w:highlight w:val="none"/>
                <w:lang w:val="en-US" w:eastAsia="zh-CN"/>
              </w:rPr>
              <w:t>设计师</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中</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互联网技术（中级）、网络工程师（中级），每具有一个得1分，最高得5分。</w:t>
            </w:r>
          </w:p>
          <w:p w14:paraId="60524661">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default" w:ascii="宋体" w:hAnsi="宋体" w:cs="宋体"/>
                <w:color w:val="auto"/>
                <w:kern w:val="0"/>
                <w:sz w:val="24"/>
                <w:highlight w:val="none"/>
              </w:rPr>
            </w:pPr>
            <w:r>
              <w:rPr>
                <w:rFonts w:hint="eastAsia" w:ascii="宋体" w:hAnsi="宋体" w:cs="宋体"/>
                <w:color w:val="auto"/>
                <w:sz w:val="24"/>
                <w:szCs w:val="24"/>
                <w:highlight w:val="none"/>
                <w:lang w:val="en-US" w:eastAsia="zh-CN"/>
              </w:rPr>
              <w:t>注：提供相应的资质证书扫描件及近三个月投标人为其缴纳社保证明，并加盖投标人公章，未提供或提供不全的均不得分。</w:t>
            </w:r>
          </w:p>
        </w:tc>
        <w:tc>
          <w:tcPr>
            <w:tcW w:w="1017" w:type="dxa"/>
            <w:vMerge w:val="restart"/>
            <w:shd w:val="clear" w:color="auto" w:fill="auto"/>
            <w:vAlign w:val="center"/>
          </w:tcPr>
          <w:p w14:paraId="1EC3A2D1">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r>
      <w:tr w14:paraId="51E4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6" w:type="dxa"/>
            <w:vMerge w:val="continue"/>
            <w:vAlign w:val="center"/>
          </w:tcPr>
          <w:p w14:paraId="7F78F585">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b/>
                <w:bCs/>
                <w:color w:val="auto"/>
                <w:kern w:val="0"/>
                <w:sz w:val="24"/>
                <w:highlight w:val="none"/>
              </w:rPr>
            </w:pPr>
          </w:p>
        </w:tc>
        <w:tc>
          <w:tcPr>
            <w:tcW w:w="2030" w:type="dxa"/>
            <w:gridSpan w:val="2"/>
            <w:vMerge w:val="continue"/>
            <w:vAlign w:val="center"/>
          </w:tcPr>
          <w:p w14:paraId="5B295B8C">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color w:val="auto"/>
                <w:kern w:val="0"/>
                <w:sz w:val="24"/>
                <w:highlight w:val="none"/>
              </w:rPr>
            </w:pPr>
          </w:p>
        </w:tc>
        <w:tc>
          <w:tcPr>
            <w:tcW w:w="6111" w:type="dxa"/>
            <w:shd w:val="clear" w:color="auto" w:fill="auto"/>
            <w:vAlign w:val="center"/>
          </w:tcPr>
          <w:p w14:paraId="5B63B045">
            <w:pPr>
              <w:pStyle w:val="107"/>
              <w:keepNext w:val="0"/>
              <w:keepLines w:val="0"/>
              <w:widowControl/>
              <w:suppressLineNumbers w:val="0"/>
              <w:adjustRightInd/>
              <w:snapToGrid/>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拟投入项目技术负责人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除</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系统架构设计师（高级）、</w:t>
            </w:r>
            <w:r>
              <w:rPr>
                <w:rFonts w:hint="eastAsia" w:ascii="宋体" w:hAnsi="宋体" w:eastAsia="宋体" w:cs="宋体"/>
                <w:color w:val="auto"/>
                <w:sz w:val="24"/>
                <w:szCs w:val="24"/>
                <w:highlight w:val="none"/>
              </w:rPr>
              <w:t>网络规划设计师（高级）、网络工程师证书（中级）、</w:t>
            </w:r>
            <w:r>
              <w:rPr>
                <w:rFonts w:hint="eastAsia" w:ascii="宋体" w:hAnsi="宋体" w:eastAsia="宋体" w:cs="宋体"/>
                <w:color w:val="auto"/>
                <w:sz w:val="24"/>
                <w:szCs w:val="24"/>
                <w:highlight w:val="none"/>
                <w:lang w:val="en-US" w:eastAsia="zh-CN"/>
              </w:rPr>
              <w:t>互联网技术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中级</w:t>
            </w:r>
            <w:r>
              <w:rPr>
                <w:rFonts w:hint="eastAsia" w:ascii="宋体" w:hAnsi="宋体" w:eastAsia="宋体" w:cs="宋体"/>
                <w:color w:val="auto"/>
                <w:sz w:val="24"/>
                <w:szCs w:val="24"/>
                <w:highlight w:val="none"/>
              </w:rPr>
              <w:t>）的每具备一本得1分，本项最高得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分，没有不得分；</w:t>
            </w:r>
          </w:p>
          <w:p w14:paraId="2EF017A3">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default" w:ascii="宋体" w:hAnsi="宋体" w:cs="宋体"/>
                <w:color w:val="auto"/>
                <w:kern w:val="0"/>
                <w:sz w:val="24"/>
                <w:highlight w:val="none"/>
              </w:rPr>
            </w:pPr>
            <w:r>
              <w:rPr>
                <w:rFonts w:hint="eastAsia" w:ascii="宋体" w:hAnsi="宋体" w:cs="宋体"/>
                <w:color w:val="auto"/>
                <w:sz w:val="24"/>
                <w:szCs w:val="24"/>
                <w:highlight w:val="none"/>
                <w:lang w:val="en-US" w:eastAsia="zh-CN"/>
              </w:rPr>
              <w:t>注：提供相应的资质证书扫描件及近三个月投标人为其缴纳社保证明，并加盖投标人公章，未提供或提供不全的均不得分。</w:t>
            </w:r>
          </w:p>
        </w:tc>
        <w:tc>
          <w:tcPr>
            <w:tcW w:w="1017" w:type="dxa"/>
            <w:vMerge w:val="continue"/>
            <w:vAlign w:val="center"/>
          </w:tcPr>
          <w:p w14:paraId="7956D3FA">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color w:val="auto"/>
                <w:kern w:val="0"/>
                <w:sz w:val="24"/>
                <w:highlight w:val="none"/>
              </w:rPr>
            </w:pPr>
          </w:p>
        </w:tc>
      </w:tr>
      <w:tr w14:paraId="560F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26" w:type="dxa"/>
            <w:vMerge w:val="continue"/>
            <w:vAlign w:val="center"/>
          </w:tcPr>
          <w:p w14:paraId="113B0B15">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b/>
                <w:bCs/>
                <w:color w:val="auto"/>
                <w:kern w:val="0"/>
                <w:sz w:val="24"/>
                <w:highlight w:val="none"/>
              </w:rPr>
            </w:pPr>
          </w:p>
        </w:tc>
        <w:tc>
          <w:tcPr>
            <w:tcW w:w="2030" w:type="dxa"/>
            <w:gridSpan w:val="2"/>
            <w:vMerge w:val="continue"/>
            <w:vAlign w:val="center"/>
          </w:tcPr>
          <w:p w14:paraId="34993BCD">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color w:val="auto"/>
                <w:kern w:val="0"/>
                <w:sz w:val="24"/>
                <w:highlight w:val="none"/>
              </w:rPr>
            </w:pPr>
          </w:p>
        </w:tc>
        <w:tc>
          <w:tcPr>
            <w:tcW w:w="6111" w:type="dxa"/>
            <w:shd w:val="clear" w:color="auto" w:fill="auto"/>
            <w:vAlign w:val="center"/>
          </w:tcPr>
          <w:p w14:paraId="0EDDF19A">
            <w:pPr>
              <w:keepNext w:val="0"/>
              <w:keepLines w:val="0"/>
              <w:pageBreakBefore w:val="0"/>
              <w:widowControl/>
              <w:numPr>
                <w:numId w:val="0"/>
              </w:numPr>
              <w:suppressLineNumbers w:val="0"/>
              <w:shd w:val="clear"/>
              <w:kinsoku/>
              <w:wordWrap/>
              <w:overflowPunct/>
              <w:topLinePunct w:val="0"/>
              <w:bidi w:val="0"/>
              <w:adjustRightInd/>
              <w:spacing w:before="0" w:beforeAutospacing="0" w:after="0" w:afterAutospacing="0"/>
              <w:ind w:leftChars="0" w:right="0" w:rightChars="0"/>
              <w:textAlignment w:val="center"/>
              <w:rPr>
                <w:rFonts w:hint="eastAsia" w:ascii="宋体" w:hAnsi="宋体" w:eastAsia="宋体" w:cs="宋体"/>
                <w:b/>
                <w:bCs/>
                <w:color w:val="auto"/>
                <w:sz w:val="24"/>
                <w:szCs w:val="24"/>
                <w:highlight w:val="none"/>
              </w:rPr>
            </w:pPr>
            <w:r>
              <w:rPr>
                <w:rFonts w:hint="eastAsia" w:ascii="宋体" w:hAnsi="宋体" w:cs="宋体"/>
                <w:b/>
                <w:bCs/>
                <w:color w:val="auto"/>
                <w:kern w:val="0"/>
                <w:sz w:val="24"/>
                <w:szCs w:val="24"/>
                <w:highlight w:val="none"/>
                <w:lang w:val="en-US" w:eastAsia="zh-CN" w:bidi="ar"/>
              </w:rPr>
              <w:t>3、</w:t>
            </w:r>
            <w:bookmarkStart w:id="3" w:name="_GoBack"/>
            <w:bookmarkEnd w:id="3"/>
            <w:r>
              <w:rPr>
                <w:rFonts w:hint="eastAsia" w:ascii="宋体" w:hAnsi="宋体" w:eastAsia="宋体" w:cs="宋体"/>
                <w:b/>
                <w:bCs/>
                <w:color w:val="auto"/>
                <w:kern w:val="0"/>
                <w:sz w:val="24"/>
                <w:szCs w:val="24"/>
                <w:highlight w:val="none"/>
                <w:lang w:bidi="ar"/>
              </w:rPr>
              <w:t>项目成员（不含项目负责人、技术负责人）：</w:t>
            </w:r>
            <w:r>
              <w:rPr>
                <w:rFonts w:hint="eastAsia" w:ascii="宋体" w:hAnsi="宋体" w:eastAsia="宋体" w:cs="宋体"/>
                <w:color w:val="auto"/>
                <w:kern w:val="0"/>
                <w:sz w:val="24"/>
                <w:szCs w:val="24"/>
                <w:highlight w:val="none"/>
              </w:rPr>
              <w:t>团队成员应具备</w:t>
            </w:r>
            <w:r>
              <w:rPr>
                <w:rFonts w:hint="eastAsia" w:ascii="宋体" w:hAnsi="宋体" w:eastAsia="宋体" w:cs="宋体"/>
                <w:color w:val="auto"/>
                <w:kern w:val="0"/>
                <w:sz w:val="24"/>
                <w:szCs w:val="24"/>
                <w:highlight w:val="none"/>
                <w:lang w:eastAsia="zh-CN"/>
              </w:rPr>
              <w:t>信息系统项目管理师证书</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软件设计师、信息系统运维管理工程师（高级）</w:t>
            </w:r>
            <w:r>
              <w:rPr>
                <w:rFonts w:hint="eastAsia" w:ascii="宋体" w:hAnsi="宋体" w:cs="宋体"/>
                <w:color w:val="auto"/>
                <w:kern w:val="0"/>
                <w:sz w:val="24"/>
                <w:szCs w:val="24"/>
                <w:highlight w:val="none"/>
                <w:lang w:val="en-US" w:eastAsia="zh-CN"/>
              </w:rPr>
              <w:t>、网络规划设计师（高级），</w:t>
            </w:r>
            <w:r>
              <w:rPr>
                <w:rFonts w:hint="eastAsia" w:ascii="宋体" w:hAnsi="宋体" w:cs="宋体"/>
                <w:color w:val="auto"/>
                <w:sz w:val="24"/>
                <w:szCs w:val="24"/>
                <w:highlight w:val="none"/>
                <w:lang w:val="en-US" w:eastAsia="zh-CN"/>
              </w:rPr>
              <w:t>每具有一个得1分，最高得3分，且一人一证，若人员重复或同类证书则不重复计分。</w:t>
            </w:r>
          </w:p>
          <w:p w14:paraId="58234FCA">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default" w:ascii="宋体" w:hAnsi="宋体" w:cs="宋体"/>
                <w:color w:val="auto"/>
                <w:kern w:val="0"/>
                <w:sz w:val="24"/>
                <w:highlight w:val="none"/>
              </w:rPr>
            </w:pPr>
            <w:r>
              <w:rPr>
                <w:rFonts w:hint="eastAsia" w:ascii="宋体" w:hAnsi="宋体" w:cs="宋体"/>
                <w:color w:val="auto"/>
                <w:sz w:val="24"/>
                <w:szCs w:val="24"/>
                <w:highlight w:val="none"/>
                <w:lang w:val="en-US" w:eastAsia="zh-CN"/>
              </w:rPr>
              <w:t>注：提供相应的资质证书扫描件及近三个月投标人为其缴纳社保证明，并加盖投标人公章，未提供或提供不全的均不得分。</w:t>
            </w:r>
          </w:p>
        </w:tc>
        <w:tc>
          <w:tcPr>
            <w:tcW w:w="1017" w:type="dxa"/>
            <w:vMerge w:val="continue"/>
            <w:vAlign w:val="center"/>
          </w:tcPr>
          <w:p w14:paraId="4EE2825D">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color w:val="auto"/>
                <w:kern w:val="0"/>
                <w:sz w:val="24"/>
                <w:highlight w:val="none"/>
              </w:rPr>
            </w:pPr>
          </w:p>
        </w:tc>
      </w:tr>
      <w:tr w14:paraId="51ED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26" w:type="dxa"/>
            <w:vMerge w:val="restart"/>
            <w:shd w:val="clear" w:color="auto" w:fill="auto"/>
            <w:vAlign w:val="center"/>
          </w:tcPr>
          <w:p w14:paraId="36DA6ED2">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方案及响应（</w:t>
            </w:r>
            <w:r>
              <w:rPr>
                <w:rFonts w:hint="eastAsia" w:ascii="宋体" w:hAnsi="宋体" w:cs="宋体"/>
                <w:b/>
                <w:bCs/>
                <w:color w:val="auto"/>
                <w:kern w:val="0"/>
                <w:sz w:val="24"/>
                <w:highlight w:val="none"/>
                <w:lang w:val="en-US" w:eastAsia="zh-CN"/>
              </w:rPr>
              <w:t>45分</w:t>
            </w:r>
            <w:r>
              <w:rPr>
                <w:rFonts w:hint="eastAsia" w:ascii="宋体" w:hAnsi="宋体" w:cs="宋体"/>
                <w:b/>
                <w:bCs/>
                <w:color w:val="auto"/>
                <w:kern w:val="0"/>
                <w:sz w:val="24"/>
                <w:highlight w:val="none"/>
              </w:rPr>
              <w:t>）</w:t>
            </w:r>
          </w:p>
        </w:tc>
        <w:tc>
          <w:tcPr>
            <w:tcW w:w="2030" w:type="dxa"/>
            <w:gridSpan w:val="2"/>
            <w:shd w:val="clear" w:color="auto" w:fill="auto"/>
            <w:vAlign w:val="center"/>
          </w:tcPr>
          <w:p w14:paraId="000A3EB8">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项目需求</w:t>
            </w:r>
          </w:p>
          <w:p w14:paraId="17C1A8CD">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理解</w:t>
            </w:r>
          </w:p>
        </w:tc>
        <w:tc>
          <w:tcPr>
            <w:tcW w:w="6111" w:type="dxa"/>
            <w:shd w:val="clear" w:color="auto" w:fill="auto"/>
            <w:vAlign w:val="center"/>
          </w:tcPr>
          <w:p w14:paraId="0ABA7C2F">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根据投标人对项目建设需求的理解程度，对项目系统功能、业务逻辑、业务数据以及网络拓扑等情况熟悉程度进行综合评估:</w:t>
            </w:r>
          </w:p>
          <w:p w14:paraId="080150F9">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（1）方案描述清晰，针对性强，内容详细，且确实可行的得</w:t>
            </w:r>
            <w:r>
              <w:rPr>
                <w:rFonts w:hint="eastAsia" w:ascii="宋体" w:hAnsi="宋体" w:cs="宋体"/>
                <w:color w:val="auto"/>
                <w:sz w:val="24"/>
                <w:highlight w:val="none"/>
                <w:lang w:val="en-US" w:eastAsia="zh-CN"/>
              </w:rPr>
              <w:t>4.1-</w:t>
            </w:r>
            <w:r>
              <w:rPr>
                <w:rFonts w:hint="eastAsia" w:ascii="宋体" w:hAnsi="宋体" w:cs="宋体"/>
                <w:color w:val="auto"/>
                <w:kern w:val="0"/>
                <w:sz w:val="24"/>
                <w:highlight w:val="none"/>
                <w:lang w:val="en-US" w:eastAsia="zh-CN" w:bidi="ar"/>
              </w:rPr>
              <w:t>6</w:t>
            </w:r>
            <w:r>
              <w:rPr>
                <w:rFonts w:hint="eastAsia" w:ascii="宋体" w:hAnsi="宋体" w:cs="宋体"/>
                <w:color w:val="auto"/>
                <w:kern w:val="0"/>
                <w:sz w:val="24"/>
                <w:highlight w:val="none"/>
                <w:lang w:bidi="ar"/>
              </w:rPr>
              <w:t>分</w:t>
            </w:r>
            <w:r>
              <w:rPr>
                <w:rFonts w:hint="eastAsia" w:ascii="宋体" w:hAnsi="宋体" w:cs="宋体"/>
                <w:color w:val="auto"/>
                <w:sz w:val="24"/>
                <w:highlight w:val="none"/>
                <w:lang w:eastAsia="zh-CN"/>
              </w:rPr>
              <w:t>；</w:t>
            </w:r>
          </w:p>
          <w:p w14:paraId="2BC98C3B">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（2）方案描述基本清晰，内容比较齐全，但过于空泛，可行性不强的得</w:t>
            </w:r>
            <w:r>
              <w:rPr>
                <w:rFonts w:hint="eastAsia" w:ascii="宋体" w:hAnsi="宋体" w:cs="宋体"/>
                <w:color w:val="auto"/>
                <w:sz w:val="24"/>
                <w:highlight w:val="none"/>
                <w:lang w:val="en-US" w:eastAsia="zh-CN"/>
              </w:rPr>
              <w:t>2.1-</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分</w:t>
            </w:r>
            <w:r>
              <w:rPr>
                <w:rFonts w:hint="eastAsia" w:ascii="宋体" w:hAnsi="宋体" w:cs="宋体"/>
                <w:color w:val="auto"/>
                <w:sz w:val="24"/>
                <w:highlight w:val="none"/>
                <w:lang w:eastAsia="zh-CN"/>
              </w:rPr>
              <w:t>；</w:t>
            </w:r>
          </w:p>
          <w:p w14:paraId="148F9EA3">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cs="宋体"/>
                <w:color w:val="auto"/>
                <w:sz w:val="24"/>
                <w:highlight w:val="none"/>
              </w:rPr>
            </w:pPr>
            <w:r>
              <w:rPr>
                <w:rFonts w:hint="eastAsia" w:ascii="宋体" w:hAnsi="宋体" w:cs="宋体"/>
                <w:color w:val="auto"/>
                <w:sz w:val="24"/>
                <w:highlight w:val="none"/>
              </w:rPr>
              <w:t>（3）方案有缺失，内容简单，思路不清晰的得</w:t>
            </w:r>
            <w:r>
              <w:rPr>
                <w:rFonts w:hint="eastAsia" w:ascii="宋体" w:hAnsi="宋体" w:cs="宋体"/>
                <w:color w:val="auto"/>
                <w:sz w:val="24"/>
                <w:highlight w:val="none"/>
                <w:lang w:val="en-US" w:eastAsia="zh-CN"/>
              </w:rPr>
              <w:t>0.1-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w:t>
            </w:r>
            <w:r>
              <w:rPr>
                <w:rFonts w:hint="eastAsia" w:ascii="宋体" w:hAnsi="宋体" w:cs="宋体"/>
                <w:color w:val="auto"/>
                <w:sz w:val="24"/>
                <w:highlight w:val="none"/>
              </w:rPr>
              <w:t>。</w:t>
            </w:r>
          </w:p>
          <w:p w14:paraId="57D641E5">
            <w:pPr>
              <w:pStyle w:val="83"/>
              <w:keepNext w:val="0"/>
              <w:keepLines w:val="0"/>
              <w:suppressLineNumbers w:val="0"/>
              <w:spacing w:before="0" w:beforeAutospacing="0" w:after="0" w:afterAutospacing="0"/>
              <w:ind w:left="0" w:right="0"/>
              <w:rPr>
                <w:rFonts w:hint="default"/>
                <w:color w:val="auto"/>
                <w:highlight w:val="none"/>
                <w:lang w:val="en-US" w:eastAsia="zh-CN"/>
              </w:rPr>
            </w:pPr>
            <w:r>
              <w:rPr>
                <w:rFonts w:hint="eastAsia" w:ascii="宋体" w:hAnsi="宋体" w:cs="宋体"/>
                <w:color w:val="auto"/>
                <w:kern w:val="0"/>
                <w:sz w:val="24"/>
                <w:highlight w:val="none"/>
                <w:lang w:val="en-US" w:eastAsia="zh-CN"/>
              </w:rPr>
              <w:t>不提供对应内容不得分。</w:t>
            </w:r>
          </w:p>
        </w:tc>
        <w:tc>
          <w:tcPr>
            <w:tcW w:w="1017" w:type="dxa"/>
            <w:shd w:val="clear" w:color="auto" w:fill="auto"/>
            <w:vAlign w:val="center"/>
          </w:tcPr>
          <w:p w14:paraId="535EAC79">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r>
      <w:tr w14:paraId="1762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26" w:type="dxa"/>
            <w:vMerge w:val="continue"/>
            <w:shd w:val="clear" w:color="auto" w:fill="auto"/>
            <w:vAlign w:val="center"/>
          </w:tcPr>
          <w:p w14:paraId="173BDB12">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eastAsia" w:ascii="宋体" w:hAnsi="宋体" w:cs="宋体"/>
                <w:b/>
                <w:bCs/>
                <w:color w:val="auto"/>
                <w:kern w:val="0"/>
                <w:sz w:val="24"/>
                <w:highlight w:val="none"/>
              </w:rPr>
            </w:pPr>
          </w:p>
        </w:tc>
        <w:tc>
          <w:tcPr>
            <w:tcW w:w="2030" w:type="dxa"/>
            <w:gridSpan w:val="2"/>
            <w:shd w:val="clear" w:color="auto" w:fill="auto"/>
            <w:vAlign w:val="center"/>
          </w:tcPr>
          <w:p w14:paraId="25162412">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项目重难点分析</w:t>
            </w:r>
          </w:p>
        </w:tc>
        <w:tc>
          <w:tcPr>
            <w:tcW w:w="6111" w:type="dxa"/>
            <w:shd w:val="clear" w:color="auto" w:fill="auto"/>
            <w:vAlign w:val="center"/>
          </w:tcPr>
          <w:p w14:paraId="20612779">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根据投标人对本项目实施过程中的重难点进行分析并提供方案进行综合评估：</w:t>
            </w:r>
            <w:r>
              <w:rPr>
                <w:rFonts w:hint="eastAsia" w:ascii="宋体" w:hAnsi="宋体" w:cs="宋体"/>
                <w:color w:val="auto"/>
                <w:sz w:val="24"/>
                <w:highlight w:val="none"/>
              </w:rPr>
              <w:t>（1）方案描述清晰，针对性强，内容详细，且确实可行的得</w:t>
            </w:r>
            <w:r>
              <w:rPr>
                <w:rFonts w:hint="eastAsia" w:ascii="宋体" w:hAnsi="宋体" w:cs="宋体"/>
                <w:color w:val="auto"/>
                <w:sz w:val="24"/>
                <w:highlight w:val="none"/>
                <w:lang w:val="en-US" w:eastAsia="zh-CN"/>
              </w:rPr>
              <w:t>4.1-</w:t>
            </w:r>
            <w:r>
              <w:rPr>
                <w:rFonts w:hint="eastAsia" w:ascii="宋体" w:hAnsi="宋体" w:cs="宋体"/>
                <w:color w:val="auto"/>
                <w:kern w:val="0"/>
                <w:sz w:val="24"/>
                <w:highlight w:val="none"/>
                <w:lang w:val="en-US" w:eastAsia="zh-CN" w:bidi="ar"/>
              </w:rPr>
              <w:t>6</w:t>
            </w:r>
            <w:r>
              <w:rPr>
                <w:rFonts w:hint="eastAsia" w:ascii="宋体" w:hAnsi="宋体" w:cs="宋体"/>
                <w:color w:val="auto"/>
                <w:kern w:val="0"/>
                <w:sz w:val="24"/>
                <w:highlight w:val="none"/>
                <w:lang w:bidi="ar"/>
              </w:rPr>
              <w:t>分</w:t>
            </w:r>
            <w:r>
              <w:rPr>
                <w:rFonts w:hint="eastAsia" w:ascii="宋体" w:hAnsi="宋体" w:cs="宋体"/>
                <w:color w:val="auto"/>
                <w:sz w:val="24"/>
                <w:highlight w:val="none"/>
                <w:lang w:eastAsia="zh-CN"/>
              </w:rPr>
              <w:t>；</w:t>
            </w:r>
          </w:p>
          <w:p w14:paraId="6F61F0AF">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（2）方案描述基本清晰，内容比较齐全，但过于空泛，可行性不强的得</w:t>
            </w:r>
            <w:r>
              <w:rPr>
                <w:rFonts w:hint="eastAsia" w:ascii="宋体" w:hAnsi="宋体" w:cs="宋体"/>
                <w:color w:val="auto"/>
                <w:sz w:val="24"/>
                <w:highlight w:val="none"/>
                <w:lang w:val="en-US" w:eastAsia="zh-CN"/>
              </w:rPr>
              <w:t>2.1-</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分</w:t>
            </w:r>
            <w:r>
              <w:rPr>
                <w:rFonts w:hint="eastAsia" w:ascii="宋体" w:hAnsi="宋体" w:cs="宋体"/>
                <w:color w:val="auto"/>
                <w:sz w:val="24"/>
                <w:highlight w:val="none"/>
                <w:lang w:eastAsia="zh-CN"/>
              </w:rPr>
              <w:t>；</w:t>
            </w:r>
          </w:p>
          <w:p w14:paraId="604B8E3C">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cs="宋体"/>
                <w:color w:val="auto"/>
                <w:sz w:val="24"/>
                <w:highlight w:val="none"/>
              </w:rPr>
            </w:pPr>
            <w:r>
              <w:rPr>
                <w:rFonts w:hint="eastAsia" w:ascii="宋体" w:hAnsi="宋体" w:cs="宋体"/>
                <w:color w:val="auto"/>
                <w:sz w:val="24"/>
                <w:highlight w:val="none"/>
              </w:rPr>
              <w:t>（3）方案有缺失，内容简单，思路不清晰的得</w:t>
            </w:r>
            <w:r>
              <w:rPr>
                <w:rFonts w:hint="eastAsia" w:ascii="宋体" w:hAnsi="宋体" w:cs="宋体"/>
                <w:color w:val="auto"/>
                <w:sz w:val="24"/>
                <w:highlight w:val="none"/>
                <w:lang w:val="en-US" w:eastAsia="zh-CN"/>
              </w:rPr>
              <w:t>0.1-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w:t>
            </w:r>
            <w:r>
              <w:rPr>
                <w:rFonts w:hint="eastAsia" w:ascii="宋体" w:hAnsi="宋体" w:cs="宋体"/>
                <w:color w:val="auto"/>
                <w:sz w:val="24"/>
                <w:highlight w:val="none"/>
              </w:rPr>
              <w:t>。</w:t>
            </w:r>
          </w:p>
          <w:p w14:paraId="025DC3E1">
            <w:pPr>
              <w:pStyle w:val="83"/>
              <w:keepNext w:val="0"/>
              <w:keepLines w:val="0"/>
              <w:suppressLineNumbers w:val="0"/>
              <w:spacing w:before="0" w:beforeAutospacing="0" w:after="0" w:afterAutospacing="0"/>
              <w:ind w:left="0" w:right="0"/>
              <w:rPr>
                <w:rFonts w:hint="default"/>
                <w:color w:val="auto"/>
                <w:highlight w:val="none"/>
                <w:lang w:val="en-US" w:eastAsia="zh-CN"/>
              </w:rPr>
            </w:pPr>
            <w:r>
              <w:rPr>
                <w:rFonts w:hint="eastAsia" w:ascii="宋体" w:hAnsi="宋体" w:cs="宋体"/>
                <w:color w:val="auto"/>
                <w:kern w:val="0"/>
                <w:sz w:val="24"/>
                <w:highlight w:val="none"/>
                <w:lang w:val="en-US" w:eastAsia="zh-CN"/>
              </w:rPr>
              <w:t>不提供对应内容不得分。</w:t>
            </w:r>
          </w:p>
        </w:tc>
        <w:tc>
          <w:tcPr>
            <w:tcW w:w="1017" w:type="dxa"/>
            <w:shd w:val="clear" w:color="auto" w:fill="auto"/>
            <w:vAlign w:val="center"/>
          </w:tcPr>
          <w:p w14:paraId="2F24E9BA">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r>
      <w:tr w14:paraId="3AB2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6" w:type="dxa"/>
            <w:vMerge w:val="continue"/>
            <w:vAlign w:val="center"/>
          </w:tcPr>
          <w:p w14:paraId="6EE9DEF9">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b/>
                <w:bCs/>
                <w:color w:val="auto"/>
                <w:kern w:val="0"/>
                <w:sz w:val="24"/>
                <w:highlight w:val="none"/>
              </w:rPr>
            </w:pPr>
          </w:p>
        </w:tc>
        <w:tc>
          <w:tcPr>
            <w:tcW w:w="1015" w:type="dxa"/>
            <w:vMerge w:val="restart"/>
            <w:shd w:val="clear" w:color="auto" w:fill="auto"/>
            <w:vAlign w:val="center"/>
          </w:tcPr>
          <w:p w14:paraId="135AE6EA">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技术方案</w:t>
            </w:r>
          </w:p>
        </w:tc>
        <w:tc>
          <w:tcPr>
            <w:tcW w:w="1015" w:type="dxa"/>
            <w:shd w:val="clear" w:color="auto" w:fill="auto"/>
            <w:vAlign w:val="center"/>
          </w:tcPr>
          <w:p w14:paraId="1113BF0D">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档案预归档子系统</w:t>
            </w:r>
          </w:p>
        </w:tc>
        <w:tc>
          <w:tcPr>
            <w:tcW w:w="6111" w:type="dxa"/>
            <w:shd w:val="clear" w:color="auto" w:fill="auto"/>
            <w:vAlign w:val="center"/>
          </w:tcPr>
          <w:p w14:paraId="48213AEE">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cs="宋体"/>
                <w:b/>
                <w:bCs/>
                <w:color w:val="auto"/>
                <w:kern w:val="0"/>
                <w:sz w:val="24"/>
                <w:highlight w:val="none"/>
                <w:lang w:eastAsia="zh-CN"/>
              </w:rPr>
            </w:pPr>
            <w:r>
              <w:rPr>
                <w:rFonts w:hint="eastAsia" w:ascii="宋体" w:hAnsi="宋体" w:cs="宋体"/>
                <w:color w:val="auto"/>
                <w:kern w:val="0"/>
                <w:sz w:val="24"/>
                <w:highlight w:val="none"/>
              </w:rPr>
              <w:t>根据业务特点提供本</w:t>
            </w:r>
            <w:r>
              <w:rPr>
                <w:rFonts w:hint="eastAsia" w:ascii="宋体" w:hAnsi="宋体" w:cs="宋体"/>
                <w:color w:val="auto"/>
                <w:kern w:val="0"/>
                <w:sz w:val="24"/>
                <w:highlight w:val="none"/>
                <w:lang w:val="en-US" w:eastAsia="zh-CN"/>
              </w:rPr>
              <w:t>系统</w:t>
            </w:r>
            <w:r>
              <w:rPr>
                <w:rFonts w:hint="eastAsia" w:ascii="宋体" w:hAnsi="宋体" w:cs="宋体"/>
                <w:color w:val="auto"/>
                <w:kern w:val="0"/>
                <w:sz w:val="24"/>
                <w:highlight w:val="none"/>
              </w:rPr>
              <w:t>的</w:t>
            </w:r>
            <w:r>
              <w:rPr>
                <w:rFonts w:hint="eastAsia" w:ascii="宋体" w:hAnsi="宋体" w:cs="宋体"/>
                <w:b/>
                <w:bCs/>
                <w:color w:val="auto"/>
                <w:kern w:val="0"/>
                <w:sz w:val="24"/>
                <w:highlight w:val="none"/>
              </w:rPr>
              <w:t>详细技术方案</w:t>
            </w:r>
            <w:r>
              <w:rPr>
                <w:rFonts w:hint="eastAsia" w:ascii="宋体" w:hAnsi="宋体" w:cs="宋体"/>
                <w:b/>
                <w:bCs/>
                <w:color w:val="auto"/>
                <w:kern w:val="0"/>
                <w:sz w:val="24"/>
                <w:highlight w:val="none"/>
                <w:lang w:val="en-US" w:eastAsia="zh-CN"/>
              </w:rPr>
              <w:t>进行打分</w:t>
            </w:r>
            <w:r>
              <w:rPr>
                <w:rFonts w:hint="eastAsia" w:ascii="宋体" w:hAnsi="宋体" w:cs="宋体"/>
                <w:b/>
                <w:bCs/>
                <w:color w:val="auto"/>
                <w:kern w:val="0"/>
                <w:sz w:val="24"/>
                <w:highlight w:val="none"/>
                <w:lang w:eastAsia="zh-CN"/>
              </w:rPr>
              <w:t>，</w:t>
            </w:r>
          </w:p>
          <w:p w14:paraId="29E95493">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（1）方案描述清晰，针对性强，内容详细，且确实可行的得</w:t>
            </w:r>
            <w:r>
              <w:rPr>
                <w:rFonts w:hint="eastAsia" w:ascii="宋体" w:hAnsi="宋体" w:cs="宋体"/>
                <w:color w:val="auto"/>
                <w:sz w:val="24"/>
                <w:highlight w:val="none"/>
                <w:lang w:val="en-US" w:eastAsia="zh-CN"/>
              </w:rPr>
              <w:t>4.1-</w:t>
            </w:r>
            <w:r>
              <w:rPr>
                <w:rFonts w:hint="eastAsia" w:ascii="宋体" w:hAnsi="宋体" w:cs="宋体"/>
                <w:color w:val="auto"/>
                <w:kern w:val="0"/>
                <w:sz w:val="24"/>
                <w:highlight w:val="none"/>
                <w:lang w:val="en-US" w:eastAsia="zh-CN" w:bidi="ar"/>
              </w:rPr>
              <w:t>6</w:t>
            </w:r>
            <w:r>
              <w:rPr>
                <w:rFonts w:hint="eastAsia" w:ascii="宋体" w:hAnsi="宋体" w:cs="宋体"/>
                <w:color w:val="auto"/>
                <w:kern w:val="0"/>
                <w:sz w:val="24"/>
                <w:highlight w:val="none"/>
                <w:lang w:bidi="ar"/>
              </w:rPr>
              <w:t>分</w:t>
            </w:r>
            <w:r>
              <w:rPr>
                <w:rFonts w:hint="eastAsia" w:ascii="宋体" w:hAnsi="宋体" w:cs="宋体"/>
                <w:color w:val="auto"/>
                <w:sz w:val="24"/>
                <w:highlight w:val="none"/>
                <w:lang w:eastAsia="zh-CN"/>
              </w:rPr>
              <w:t>；</w:t>
            </w:r>
          </w:p>
          <w:p w14:paraId="76799428">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（2）方案描述基本清晰，内容比较齐全，但过于空泛，可行性不强的得</w:t>
            </w:r>
            <w:r>
              <w:rPr>
                <w:rFonts w:hint="eastAsia" w:ascii="宋体" w:hAnsi="宋体" w:cs="宋体"/>
                <w:color w:val="auto"/>
                <w:sz w:val="24"/>
                <w:highlight w:val="none"/>
                <w:lang w:val="en-US" w:eastAsia="zh-CN"/>
              </w:rPr>
              <w:t>2.1-</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分</w:t>
            </w:r>
            <w:r>
              <w:rPr>
                <w:rFonts w:hint="eastAsia" w:ascii="宋体" w:hAnsi="宋体" w:cs="宋体"/>
                <w:color w:val="auto"/>
                <w:sz w:val="24"/>
                <w:highlight w:val="none"/>
                <w:lang w:eastAsia="zh-CN"/>
              </w:rPr>
              <w:t>；</w:t>
            </w:r>
          </w:p>
          <w:p w14:paraId="047DED7D">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cs="宋体"/>
                <w:color w:val="auto"/>
                <w:sz w:val="24"/>
                <w:highlight w:val="none"/>
              </w:rPr>
            </w:pPr>
            <w:r>
              <w:rPr>
                <w:rFonts w:hint="eastAsia" w:ascii="宋体" w:hAnsi="宋体" w:cs="宋体"/>
                <w:color w:val="auto"/>
                <w:sz w:val="24"/>
                <w:highlight w:val="none"/>
              </w:rPr>
              <w:t>（3）方案有缺失，内容简单，思路不清晰的得</w:t>
            </w:r>
            <w:r>
              <w:rPr>
                <w:rFonts w:hint="eastAsia" w:ascii="宋体" w:hAnsi="宋体" w:cs="宋体"/>
                <w:color w:val="auto"/>
                <w:sz w:val="24"/>
                <w:highlight w:val="none"/>
                <w:lang w:val="en-US" w:eastAsia="zh-CN"/>
              </w:rPr>
              <w:t>0.1-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w:t>
            </w:r>
            <w:r>
              <w:rPr>
                <w:rFonts w:hint="eastAsia" w:ascii="宋体" w:hAnsi="宋体" w:cs="宋体"/>
                <w:color w:val="auto"/>
                <w:sz w:val="24"/>
                <w:highlight w:val="none"/>
              </w:rPr>
              <w:t>。</w:t>
            </w:r>
          </w:p>
          <w:p w14:paraId="39D990BA">
            <w:pPr>
              <w:pStyle w:val="83"/>
              <w:keepNext w:val="0"/>
              <w:keepLines w:val="0"/>
              <w:suppressLineNumbers w:val="0"/>
              <w:spacing w:before="0" w:beforeAutospacing="0" w:after="0" w:afterAutospacing="0"/>
              <w:ind w:left="0" w:right="0"/>
              <w:rPr>
                <w:rFonts w:hint="default"/>
                <w:color w:val="auto"/>
                <w:highlight w:val="none"/>
                <w:lang w:val="en-US" w:eastAsia="zh-CN"/>
              </w:rPr>
            </w:pPr>
            <w:r>
              <w:rPr>
                <w:rFonts w:hint="eastAsia" w:ascii="宋体" w:hAnsi="宋体" w:cs="宋体"/>
                <w:color w:val="auto"/>
                <w:kern w:val="0"/>
                <w:sz w:val="24"/>
                <w:highlight w:val="none"/>
                <w:lang w:val="en-US" w:eastAsia="zh-CN"/>
              </w:rPr>
              <w:t>不提供对应内容不得分。</w:t>
            </w:r>
          </w:p>
        </w:tc>
        <w:tc>
          <w:tcPr>
            <w:tcW w:w="1017" w:type="dxa"/>
            <w:shd w:val="clear" w:color="auto" w:fill="auto"/>
            <w:vAlign w:val="center"/>
          </w:tcPr>
          <w:p w14:paraId="0EC53A10">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r>
      <w:tr w14:paraId="4F1D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226" w:type="dxa"/>
            <w:vMerge w:val="continue"/>
            <w:vAlign w:val="center"/>
          </w:tcPr>
          <w:p w14:paraId="7D38D2E8">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b/>
                <w:bCs/>
                <w:color w:val="auto"/>
                <w:kern w:val="0"/>
                <w:sz w:val="24"/>
                <w:highlight w:val="none"/>
              </w:rPr>
            </w:pPr>
          </w:p>
        </w:tc>
        <w:tc>
          <w:tcPr>
            <w:tcW w:w="1015" w:type="dxa"/>
            <w:vMerge w:val="continue"/>
            <w:vAlign w:val="center"/>
          </w:tcPr>
          <w:p w14:paraId="3A4C795B">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color w:val="auto"/>
                <w:kern w:val="0"/>
                <w:sz w:val="24"/>
                <w:highlight w:val="none"/>
              </w:rPr>
            </w:pPr>
          </w:p>
        </w:tc>
        <w:tc>
          <w:tcPr>
            <w:tcW w:w="1015" w:type="dxa"/>
            <w:vAlign w:val="center"/>
          </w:tcPr>
          <w:p w14:paraId="5CF78F43">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会议管理子系统</w:t>
            </w:r>
          </w:p>
        </w:tc>
        <w:tc>
          <w:tcPr>
            <w:tcW w:w="6111" w:type="dxa"/>
            <w:shd w:val="clear" w:color="auto" w:fill="auto"/>
            <w:vAlign w:val="center"/>
          </w:tcPr>
          <w:p w14:paraId="38EE40B1">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cs="宋体"/>
                <w:b/>
                <w:bCs/>
                <w:color w:val="auto"/>
                <w:kern w:val="0"/>
                <w:sz w:val="24"/>
                <w:highlight w:val="none"/>
                <w:lang w:eastAsia="zh-CN"/>
              </w:rPr>
            </w:pPr>
            <w:r>
              <w:rPr>
                <w:rFonts w:hint="eastAsia" w:ascii="宋体" w:hAnsi="宋体" w:cs="宋体"/>
                <w:color w:val="auto"/>
                <w:kern w:val="0"/>
                <w:sz w:val="24"/>
                <w:highlight w:val="none"/>
              </w:rPr>
              <w:t>根据业务特点提供本</w:t>
            </w:r>
            <w:r>
              <w:rPr>
                <w:rFonts w:hint="eastAsia" w:ascii="宋体" w:hAnsi="宋体" w:cs="宋体"/>
                <w:color w:val="auto"/>
                <w:kern w:val="0"/>
                <w:sz w:val="24"/>
                <w:highlight w:val="none"/>
                <w:lang w:val="en-US" w:eastAsia="zh-CN"/>
              </w:rPr>
              <w:t>系统</w:t>
            </w:r>
            <w:r>
              <w:rPr>
                <w:rFonts w:hint="eastAsia" w:ascii="宋体" w:hAnsi="宋体" w:cs="宋体"/>
                <w:color w:val="auto"/>
                <w:kern w:val="0"/>
                <w:sz w:val="24"/>
                <w:highlight w:val="none"/>
              </w:rPr>
              <w:t>的</w:t>
            </w:r>
            <w:r>
              <w:rPr>
                <w:rFonts w:hint="eastAsia" w:ascii="宋体" w:hAnsi="宋体" w:cs="宋体"/>
                <w:b/>
                <w:bCs/>
                <w:color w:val="auto"/>
                <w:kern w:val="0"/>
                <w:sz w:val="24"/>
                <w:highlight w:val="none"/>
              </w:rPr>
              <w:t>详细技术方案</w:t>
            </w:r>
            <w:r>
              <w:rPr>
                <w:rFonts w:hint="eastAsia" w:ascii="宋体" w:hAnsi="宋体" w:cs="宋体"/>
                <w:b/>
                <w:bCs/>
                <w:color w:val="auto"/>
                <w:kern w:val="0"/>
                <w:sz w:val="24"/>
                <w:highlight w:val="none"/>
                <w:lang w:val="en-US" w:eastAsia="zh-CN"/>
              </w:rPr>
              <w:t>进行打分</w:t>
            </w:r>
            <w:r>
              <w:rPr>
                <w:rFonts w:hint="eastAsia" w:ascii="宋体" w:hAnsi="宋体" w:cs="宋体"/>
                <w:b/>
                <w:bCs/>
                <w:color w:val="auto"/>
                <w:kern w:val="0"/>
                <w:sz w:val="24"/>
                <w:highlight w:val="none"/>
                <w:lang w:eastAsia="zh-CN"/>
              </w:rPr>
              <w:t>，</w:t>
            </w:r>
          </w:p>
          <w:p w14:paraId="2309A3F8">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（1）方案描述清晰，针对性强，内容详细，且确实可行的得</w:t>
            </w:r>
            <w:r>
              <w:rPr>
                <w:rFonts w:hint="eastAsia" w:ascii="宋体" w:hAnsi="宋体" w:cs="宋体"/>
                <w:color w:val="auto"/>
                <w:sz w:val="24"/>
                <w:highlight w:val="none"/>
                <w:lang w:val="en-US" w:eastAsia="zh-CN"/>
              </w:rPr>
              <w:t>4.1-</w:t>
            </w:r>
            <w:r>
              <w:rPr>
                <w:rFonts w:hint="eastAsia" w:ascii="宋体" w:hAnsi="宋体" w:cs="宋体"/>
                <w:color w:val="auto"/>
                <w:kern w:val="0"/>
                <w:sz w:val="24"/>
                <w:highlight w:val="none"/>
                <w:lang w:val="en-US" w:eastAsia="zh-CN" w:bidi="ar"/>
              </w:rPr>
              <w:t>6</w:t>
            </w:r>
            <w:r>
              <w:rPr>
                <w:rFonts w:hint="eastAsia" w:ascii="宋体" w:hAnsi="宋体" w:cs="宋体"/>
                <w:color w:val="auto"/>
                <w:kern w:val="0"/>
                <w:sz w:val="24"/>
                <w:highlight w:val="none"/>
                <w:lang w:bidi="ar"/>
              </w:rPr>
              <w:t>分</w:t>
            </w:r>
            <w:r>
              <w:rPr>
                <w:rFonts w:hint="eastAsia" w:ascii="宋体" w:hAnsi="宋体" w:cs="宋体"/>
                <w:color w:val="auto"/>
                <w:sz w:val="24"/>
                <w:highlight w:val="none"/>
                <w:lang w:eastAsia="zh-CN"/>
              </w:rPr>
              <w:t>；</w:t>
            </w:r>
          </w:p>
          <w:p w14:paraId="41EA375D">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（2）方案描述基本清晰，内容比较齐全，但过于空泛，可行性不强的得</w:t>
            </w:r>
            <w:r>
              <w:rPr>
                <w:rFonts w:hint="eastAsia" w:ascii="宋体" w:hAnsi="宋体" w:cs="宋体"/>
                <w:color w:val="auto"/>
                <w:sz w:val="24"/>
                <w:highlight w:val="none"/>
                <w:lang w:val="en-US" w:eastAsia="zh-CN"/>
              </w:rPr>
              <w:t>2.1-</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分</w:t>
            </w:r>
            <w:r>
              <w:rPr>
                <w:rFonts w:hint="eastAsia" w:ascii="宋体" w:hAnsi="宋体" w:cs="宋体"/>
                <w:color w:val="auto"/>
                <w:sz w:val="24"/>
                <w:highlight w:val="none"/>
                <w:lang w:eastAsia="zh-CN"/>
              </w:rPr>
              <w:t>；</w:t>
            </w:r>
          </w:p>
          <w:p w14:paraId="2E402369">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cs="宋体"/>
                <w:color w:val="auto"/>
                <w:sz w:val="24"/>
                <w:highlight w:val="none"/>
              </w:rPr>
            </w:pPr>
            <w:r>
              <w:rPr>
                <w:rFonts w:hint="eastAsia" w:ascii="宋体" w:hAnsi="宋体" w:cs="宋体"/>
                <w:color w:val="auto"/>
                <w:sz w:val="24"/>
                <w:highlight w:val="none"/>
              </w:rPr>
              <w:t>（3）方案有缺失，内容简单，思路不清晰的得</w:t>
            </w:r>
            <w:r>
              <w:rPr>
                <w:rFonts w:hint="eastAsia" w:ascii="宋体" w:hAnsi="宋体" w:cs="宋体"/>
                <w:color w:val="auto"/>
                <w:sz w:val="24"/>
                <w:highlight w:val="none"/>
                <w:lang w:val="en-US" w:eastAsia="zh-CN"/>
              </w:rPr>
              <w:t>0.1-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w:t>
            </w:r>
            <w:r>
              <w:rPr>
                <w:rFonts w:hint="eastAsia" w:ascii="宋体" w:hAnsi="宋体" w:cs="宋体"/>
                <w:color w:val="auto"/>
                <w:sz w:val="24"/>
                <w:highlight w:val="none"/>
              </w:rPr>
              <w:t>。</w:t>
            </w:r>
          </w:p>
          <w:p w14:paraId="4C62121E">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不提供对应内容不得分。</w:t>
            </w:r>
          </w:p>
        </w:tc>
        <w:tc>
          <w:tcPr>
            <w:tcW w:w="1017" w:type="dxa"/>
            <w:shd w:val="clear" w:color="auto" w:fill="auto"/>
            <w:vAlign w:val="center"/>
          </w:tcPr>
          <w:p w14:paraId="5A632769">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r>
      <w:tr w14:paraId="6CA4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26" w:type="dxa"/>
            <w:vMerge w:val="continue"/>
            <w:vAlign w:val="center"/>
          </w:tcPr>
          <w:p w14:paraId="36881723">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b/>
                <w:bCs/>
                <w:color w:val="auto"/>
                <w:kern w:val="0"/>
                <w:sz w:val="24"/>
                <w:highlight w:val="none"/>
              </w:rPr>
            </w:pPr>
          </w:p>
        </w:tc>
        <w:tc>
          <w:tcPr>
            <w:tcW w:w="1015" w:type="dxa"/>
            <w:vMerge w:val="continue"/>
            <w:vAlign w:val="center"/>
          </w:tcPr>
          <w:p w14:paraId="73CA1141">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color w:val="auto"/>
                <w:kern w:val="0"/>
                <w:sz w:val="24"/>
                <w:highlight w:val="none"/>
              </w:rPr>
            </w:pPr>
          </w:p>
        </w:tc>
        <w:tc>
          <w:tcPr>
            <w:tcW w:w="1015" w:type="dxa"/>
            <w:shd w:val="clear" w:color="auto" w:fill="auto"/>
            <w:vAlign w:val="center"/>
          </w:tcPr>
          <w:p w14:paraId="7E348736">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both"/>
              <w:rPr>
                <w:rFonts w:hint="default"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协同办公子系统</w:t>
            </w:r>
          </w:p>
        </w:tc>
        <w:tc>
          <w:tcPr>
            <w:tcW w:w="6111" w:type="dxa"/>
            <w:shd w:val="clear" w:color="auto" w:fill="auto"/>
            <w:vAlign w:val="center"/>
          </w:tcPr>
          <w:p w14:paraId="36E4EABB">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cs="宋体"/>
                <w:b/>
                <w:bCs/>
                <w:color w:val="auto"/>
                <w:kern w:val="0"/>
                <w:sz w:val="24"/>
                <w:highlight w:val="none"/>
                <w:lang w:eastAsia="zh-CN"/>
              </w:rPr>
            </w:pPr>
            <w:r>
              <w:rPr>
                <w:rFonts w:hint="eastAsia" w:ascii="宋体" w:hAnsi="宋体" w:cs="宋体"/>
                <w:color w:val="auto"/>
                <w:kern w:val="0"/>
                <w:sz w:val="24"/>
                <w:highlight w:val="none"/>
              </w:rPr>
              <w:t>根据业务特点提供本</w:t>
            </w:r>
            <w:r>
              <w:rPr>
                <w:rFonts w:hint="eastAsia" w:ascii="宋体" w:hAnsi="宋体" w:cs="宋体"/>
                <w:color w:val="auto"/>
                <w:kern w:val="0"/>
                <w:sz w:val="24"/>
                <w:highlight w:val="none"/>
                <w:lang w:val="en-US" w:eastAsia="zh-CN"/>
              </w:rPr>
              <w:t>系统</w:t>
            </w:r>
            <w:r>
              <w:rPr>
                <w:rFonts w:hint="eastAsia" w:ascii="宋体" w:hAnsi="宋体" w:cs="宋体"/>
                <w:color w:val="auto"/>
                <w:kern w:val="0"/>
                <w:sz w:val="24"/>
                <w:highlight w:val="none"/>
              </w:rPr>
              <w:t>的</w:t>
            </w:r>
            <w:r>
              <w:rPr>
                <w:rFonts w:hint="eastAsia" w:ascii="宋体" w:hAnsi="宋体" w:cs="宋体"/>
                <w:b/>
                <w:bCs/>
                <w:color w:val="auto"/>
                <w:kern w:val="0"/>
                <w:sz w:val="24"/>
                <w:highlight w:val="none"/>
              </w:rPr>
              <w:t>详细技术方案</w:t>
            </w:r>
            <w:r>
              <w:rPr>
                <w:rFonts w:hint="eastAsia" w:ascii="宋体" w:hAnsi="宋体" w:cs="宋体"/>
                <w:b/>
                <w:bCs/>
                <w:color w:val="auto"/>
                <w:kern w:val="0"/>
                <w:sz w:val="24"/>
                <w:highlight w:val="none"/>
                <w:lang w:val="en-US" w:eastAsia="zh-CN"/>
              </w:rPr>
              <w:t>进行打分</w:t>
            </w:r>
            <w:r>
              <w:rPr>
                <w:rFonts w:hint="eastAsia" w:ascii="宋体" w:hAnsi="宋体" w:cs="宋体"/>
                <w:b/>
                <w:bCs/>
                <w:color w:val="auto"/>
                <w:kern w:val="0"/>
                <w:sz w:val="24"/>
                <w:highlight w:val="none"/>
                <w:lang w:eastAsia="zh-CN"/>
              </w:rPr>
              <w:t>，</w:t>
            </w:r>
          </w:p>
          <w:p w14:paraId="6D000C7D">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（1）方案描述清晰，针对性强，内容详细，且确实可行的得</w:t>
            </w:r>
            <w:r>
              <w:rPr>
                <w:rFonts w:hint="eastAsia" w:ascii="宋体" w:hAnsi="宋体" w:cs="宋体"/>
                <w:color w:val="auto"/>
                <w:sz w:val="24"/>
                <w:highlight w:val="none"/>
                <w:lang w:val="en-US" w:eastAsia="zh-CN"/>
              </w:rPr>
              <w:t>4.1-</w:t>
            </w:r>
            <w:r>
              <w:rPr>
                <w:rFonts w:hint="eastAsia" w:ascii="宋体" w:hAnsi="宋体" w:cs="宋体"/>
                <w:color w:val="auto"/>
                <w:kern w:val="0"/>
                <w:sz w:val="24"/>
                <w:highlight w:val="none"/>
                <w:lang w:val="en-US" w:eastAsia="zh-CN" w:bidi="ar"/>
              </w:rPr>
              <w:t>6</w:t>
            </w:r>
            <w:r>
              <w:rPr>
                <w:rFonts w:hint="eastAsia" w:ascii="宋体" w:hAnsi="宋体" w:cs="宋体"/>
                <w:color w:val="auto"/>
                <w:kern w:val="0"/>
                <w:sz w:val="24"/>
                <w:highlight w:val="none"/>
                <w:lang w:bidi="ar"/>
              </w:rPr>
              <w:t>分</w:t>
            </w:r>
            <w:r>
              <w:rPr>
                <w:rFonts w:hint="eastAsia" w:ascii="宋体" w:hAnsi="宋体" w:cs="宋体"/>
                <w:color w:val="auto"/>
                <w:sz w:val="24"/>
                <w:highlight w:val="none"/>
                <w:lang w:eastAsia="zh-CN"/>
              </w:rPr>
              <w:t>；</w:t>
            </w:r>
          </w:p>
          <w:p w14:paraId="167AD63E">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（2）方案描述基本清晰，内容比较齐全，但过于空泛，可行性不强的得</w:t>
            </w:r>
            <w:r>
              <w:rPr>
                <w:rFonts w:hint="eastAsia" w:ascii="宋体" w:hAnsi="宋体" w:cs="宋体"/>
                <w:color w:val="auto"/>
                <w:sz w:val="24"/>
                <w:highlight w:val="none"/>
                <w:lang w:val="en-US" w:eastAsia="zh-CN"/>
              </w:rPr>
              <w:t>2.1-</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分</w:t>
            </w:r>
            <w:r>
              <w:rPr>
                <w:rFonts w:hint="eastAsia" w:ascii="宋体" w:hAnsi="宋体" w:cs="宋体"/>
                <w:color w:val="auto"/>
                <w:sz w:val="24"/>
                <w:highlight w:val="none"/>
                <w:lang w:eastAsia="zh-CN"/>
              </w:rPr>
              <w:t>；</w:t>
            </w:r>
          </w:p>
          <w:p w14:paraId="38DBB561">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cs="宋体"/>
                <w:color w:val="auto"/>
                <w:sz w:val="24"/>
                <w:highlight w:val="none"/>
              </w:rPr>
            </w:pPr>
            <w:r>
              <w:rPr>
                <w:rFonts w:hint="eastAsia" w:ascii="宋体" w:hAnsi="宋体" w:cs="宋体"/>
                <w:color w:val="auto"/>
                <w:sz w:val="24"/>
                <w:highlight w:val="none"/>
              </w:rPr>
              <w:t>（3）方案有缺失，内容简单，思路不清晰的得</w:t>
            </w:r>
            <w:r>
              <w:rPr>
                <w:rFonts w:hint="eastAsia" w:ascii="宋体" w:hAnsi="宋体" w:cs="宋体"/>
                <w:color w:val="auto"/>
                <w:sz w:val="24"/>
                <w:highlight w:val="none"/>
                <w:lang w:val="en-US" w:eastAsia="zh-CN"/>
              </w:rPr>
              <w:t>0.1-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w:t>
            </w:r>
            <w:r>
              <w:rPr>
                <w:rFonts w:hint="eastAsia" w:ascii="宋体" w:hAnsi="宋体" w:cs="宋体"/>
                <w:color w:val="auto"/>
                <w:sz w:val="24"/>
                <w:highlight w:val="none"/>
              </w:rPr>
              <w:t>。</w:t>
            </w:r>
          </w:p>
          <w:p w14:paraId="5061A756">
            <w:pPr>
              <w:pStyle w:val="83"/>
              <w:keepNext w:val="0"/>
              <w:keepLines w:val="0"/>
              <w:suppressLineNumbers w:val="0"/>
              <w:spacing w:before="0" w:beforeAutospacing="0" w:after="0" w:afterAutospacing="0"/>
              <w:ind w:left="0" w:right="0"/>
              <w:rPr>
                <w:rFonts w:hint="default"/>
                <w:color w:val="auto"/>
                <w:highlight w:val="none"/>
                <w:lang w:val="en-US" w:eastAsia="zh-CN"/>
              </w:rPr>
            </w:pPr>
            <w:r>
              <w:rPr>
                <w:rFonts w:hint="eastAsia" w:ascii="宋体" w:hAnsi="宋体" w:cs="宋体"/>
                <w:color w:val="auto"/>
                <w:kern w:val="0"/>
                <w:sz w:val="24"/>
                <w:highlight w:val="none"/>
                <w:lang w:val="en-US" w:eastAsia="zh-CN"/>
              </w:rPr>
              <w:t>不提供对应内容不得分。</w:t>
            </w:r>
          </w:p>
        </w:tc>
        <w:tc>
          <w:tcPr>
            <w:tcW w:w="1017" w:type="dxa"/>
            <w:shd w:val="clear" w:color="auto" w:fill="auto"/>
            <w:vAlign w:val="center"/>
          </w:tcPr>
          <w:p w14:paraId="11D47C06">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r>
      <w:tr w14:paraId="436F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6" w:type="dxa"/>
            <w:vMerge w:val="continue"/>
            <w:vAlign w:val="center"/>
          </w:tcPr>
          <w:p w14:paraId="1E6BF04C">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b/>
                <w:bCs/>
                <w:color w:val="auto"/>
                <w:kern w:val="0"/>
                <w:sz w:val="24"/>
                <w:highlight w:val="none"/>
              </w:rPr>
            </w:pPr>
          </w:p>
        </w:tc>
        <w:tc>
          <w:tcPr>
            <w:tcW w:w="1015" w:type="dxa"/>
            <w:vMerge w:val="continue"/>
            <w:vAlign w:val="center"/>
          </w:tcPr>
          <w:p w14:paraId="2D83844A">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color w:val="auto"/>
                <w:kern w:val="0"/>
                <w:sz w:val="24"/>
                <w:highlight w:val="none"/>
              </w:rPr>
            </w:pPr>
          </w:p>
        </w:tc>
        <w:tc>
          <w:tcPr>
            <w:tcW w:w="1015" w:type="dxa"/>
            <w:vAlign w:val="center"/>
          </w:tcPr>
          <w:p w14:paraId="48DF0C8C">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color w:val="auto"/>
                <w:kern w:val="0"/>
                <w:sz w:val="24"/>
                <w:highlight w:val="none"/>
              </w:rPr>
            </w:pPr>
            <w:r>
              <w:rPr>
                <w:rFonts w:hint="eastAsia" w:ascii="宋体" w:hAnsi="宋体" w:eastAsia="宋体" w:cs="宋体"/>
                <w:i w:val="0"/>
                <w:iCs w:val="0"/>
                <w:color w:val="auto"/>
                <w:kern w:val="0"/>
                <w:sz w:val="24"/>
                <w:szCs w:val="24"/>
                <w:highlight w:val="none"/>
                <w:u w:val="none"/>
                <w:lang w:val="en-US" w:eastAsia="zh-CN" w:bidi="ar"/>
              </w:rPr>
              <w:t>公文交换子系统</w:t>
            </w:r>
          </w:p>
        </w:tc>
        <w:tc>
          <w:tcPr>
            <w:tcW w:w="6111" w:type="dxa"/>
            <w:shd w:val="clear" w:color="auto" w:fill="auto"/>
            <w:vAlign w:val="center"/>
          </w:tcPr>
          <w:p w14:paraId="5A983130">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cs="宋体"/>
                <w:b/>
                <w:bCs/>
                <w:color w:val="auto"/>
                <w:kern w:val="0"/>
                <w:sz w:val="24"/>
                <w:highlight w:val="none"/>
                <w:lang w:eastAsia="zh-CN"/>
              </w:rPr>
            </w:pPr>
            <w:r>
              <w:rPr>
                <w:rFonts w:hint="eastAsia" w:ascii="宋体" w:hAnsi="宋体" w:cs="宋体"/>
                <w:color w:val="auto"/>
                <w:kern w:val="0"/>
                <w:sz w:val="24"/>
                <w:highlight w:val="none"/>
              </w:rPr>
              <w:t>根据业务特点提供本</w:t>
            </w:r>
            <w:r>
              <w:rPr>
                <w:rFonts w:hint="eastAsia" w:ascii="宋体" w:hAnsi="宋体" w:cs="宋体"/>
                <w:color w:val="auto"/>
                <w:kern w:val="0"/>
                <w:sz w:val="24"/>
                <w:highlight w:val="none"/>
                <w:lang w:val="en-US" w:eastAsia="zh-CN"/>
              </w:rPr>
              <w:t>系统</w:t>
            </w:r>
            <w:r>
              <w:rPr>
                <w:rFonts w:hint="eastAsia" w:ascii="宋体" w:hAnsi="宋体" w:cs="宋体"/>
                <w:color w:val="auto"/>
                <w:kern w:val="0"/>
                <w:sz w:val="24"/>
                <w:highlight w:val="none"/>
              </w:rPr>
              <w:t>的</w:t>
            </w:r>
            <w:r>
              <w:rPr>
                <w:rFonts w:hint="eastAsia" w:ascii="宋体" w:hAnsi="宋体" w:cs="宋体"/>
                <w:b/>
                <w:bCs/>
                <w:color w:val="auto"/>
                <w:kern w:val="0"/>
                <w:sz w:val="24"/>
                <w:highlight w:val="none"/>
              </w:rPr>
              <w:t>详细技术方案</w:t>
            </w:r>
            <w:r>
              <w:rPr>
                <w:rFonts w:hint="eastAsia" w:ascii="宋体" w:hAnsi="宋体" w:cs="宋体"/>
                <w:b/>
                <w:bCs/>
                <w:color w:val="auto"/>
                <w:kern w:val="0"/>
                <w:sz w:val="24"/>
                <w:highlight w:val="none"/>
                <w:lang w:val="en-US" w:eastAsia="zh-CN"/>
              </w:rPr>
              <w:t>进行打分</w:t>
            </w:r>
            <w:r>
              <w:rPr>
                <w:rFonts w:hint="eastAsia" w:ascii="宋体" w:hAnsi="宋体" w:cs="宋体"/>
                <w:b/>
                <w:bCs/>
                <w:color w:val="auto"/>
                <w:kern w:val="0"/>
                <w:sz w:val="24"/>
                <w:highlight w:val="none"/>
                <w:lang w:eastAsia="zh-CN"/>
              </w:rPr>
              <w:t>，</w:t>
            </w:r>
          </w:p>
          <w:p w14:paraId="09BF389C">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（1）方案描述清晰，针对性强，内容详细，且确实可行的得</w:t>
            </w:r>
            <w:r>
              <w:rPr>
                <w:rFonts w:hint="eastAsia" w:ascii="宋体" w:hAnsi="宋体" w:cs="宋体"/>
                <w:color w:val="auto"/>
                <w:sz w:val="24"/>
                <w:highlight w:val="none"/>
                <w:lang w:val="en-US" w:eastAsia="zh-CN"/>
              </w:rPr>
              <w:t>4.1-</w:t>
            </w:r>
            <w:r>
              <w:rPr>
                <w:rFonts w:hint="eastAsia" w:ascii="宋体" w:hAnsi="宋体" w:cs="宋体"/>
                <w:color w:val="auto"/>
                <w:kern w:val="0"/>
                <w:sz w:val="24"/>
                <w:highlight w:val="none"/>
                <w:lang w:val="en-US" w:eastAsia="zh-CN" w:bidi="ar"/>
              </w:rPr>
              <w:t>6</w:t>
            </w:r>
            <w:r>
              <w:rPr>
                <w:rFonts w:hint="eastAsia" w:ascii="宋体" w:hAnsi="宋体" w:cs="宋体"/>
                <w:color w:val="auto"/>
                <w:kern w:val="0"/>
                <w:sz w:val="24"/>
                <w:highlight w:val="none"/>
                <w:lang w:bidi="ar"/>
              </w:rPr>
              <w:t>分</w:t>
            </w:r>
            <w:r>
              <w:rPr>
                <w:rFonts w:hint="eastAsia" w:ascii="宋体" w:hAnsi="宋体" w:cs="宋体"/>
                <w:color w:val="auto"/>
                <w:sz w:val="24"/>
                <w:highlight w:val="none"/>
                <w:lang w:eastAsia="zh-CN"/>
              </w:rPr>
              <w:t>；</w:t>
            </w:r>
          </w:p>
          <w:p w14:paraId="093F5B55">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（2）方案描述基本清晰，内容比较齐全，但过于空泛，可行性不强的得</w:t>
            </w:r>
            <w:r>
              <w:rPr>
                <w:rFonts w:hint="eastAsia" w:ascii="宋体" w:hAnsi="宋体" w:cs="宋体"/>
                <w:color w:val="auto"/>
                <w:sz w:val="24"/>
                <w:highlight w:val="none"/>
                <w:lang w:val="en-US" w:eastAsia="zh-CN"/>
              </w:rPr>
              <w:t>2.1-</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分</w:t>
            </w:r>
            <w:r>
              <w:rPr>
                <w:rFonts w:hint="eastAsia" w:ascii="宋体" w:hAnsi="宋体" w:cs="宋体"/>
                <w:color w:val="auto"/>
                <w:sz w:val="24"/>
                <w:highlight w:val="none"/>
                <w:lang w:eastAsia="zh-CN"/>
              </w:rPr>
              <w:t>；</w:t>
            </w:r>
          </w:p>
          <w:p w14:paraId="4ADCC98F">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cs="宋体"/>
                <w:color w:val="auto"/>
                <w:sz w:val="24"/>
                <w:highlight w:val="none"/>
              </w:rPr>
            </w:pPr>
            <w:r>
              <w:rPr>
                <w:rFonts w:hint="eastAsia" w:ascii="宋体" w:hAnsi="宋体" w:cs="宋体"/>
                <w:color w:val="auto"/>
                <w:sz w:val="24"/>
                <w:highlight w:val="none"/>
              </w:rPr>
              <w:t>（3）方案有缺失，内容简单，思路不清晰的得</w:t>
            </w:r>
            <w:r>
              <w:rPr>
                <w:rFonts w:hint="eastAsia" w:ascii="宋体" w:hAnsi="宋体" w:cs="宋体"/>
                <w:color w:val="auto"/>
                <w:sz w:val="24"/>
                <w:highlight w:val="none"/>
                <w:lang w:val="en-US" w:eastAsia="zh-CN"/>
              </w:rPr>
              <w:t>0.1-</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w:t>
            </w:r>
            <w:r>
              <w:rPr>
                <w:rFonts w:hint="eastAsia" w:ascii="宋体" w:hAnsi="宋体" w:cs="宋体"/>
                <w:color w:val="auto"/>
                <w:sz w:val="24"/>
                <w:highlight w:val="none"/>
              </w:rPr>
              <w:t>。</w:t>
            </w:r>
          </w:p>
          <w:p w14:paraId="6AC31F4C">
            <w:pPr>
              <w:pStyle w:val="83"/>
              <w:keepNext w:val="0"/>
              <w:keepLines w:val="0"/>
              <w:suppressLineNumbers w:val="0"/>
              <w:spacing w:before="0" w:beforeAutospacing="0" w:after="0" w:afterAutospacing="0"/>
              <w:ind w:left="0" w:right="0"/>
              <w:rPr>
                <w:rFonts w:hint="default"/>
                <w:color w:val="auto"/>
                <w:highlight w:val="none"/>
                <w:lang w:val="en-US" w:eastAsia="zh-CN"/>
              </w:rPr>
            </w:pPr>
            <w:r>
              <w:rPr>
                <w:rFonts w:hint="eastAsia" w:ascii="宋体" w:hAnsi="宋体" w:cs="宋体"/>
                <w:color w:val="auto"/>
                <w:kern w:val="0"/>
                <w:sz w:val="24"/>
                <w:highlight w:val="none"/>
                <w:lang w:val="en-US" w:eastAsia="zh-CN"/>
              </w:rPr>
              <w:t>不提供对应内容不得分。</w:t>
            </w:r>
          </w:p>
        </w:tc>
        <w:tc>
          <w:tcPr>
            <w:tcW w:w="1017" w:type="dxa"/>
            <w:shd w:val="clear" w:color="auto" w:fill="auto"/>
            <w:vAlign w:val="center"/>
          </w:tcPr>
          <w:p w14:paraId="53240B73">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r>
      <w:tr w14:paraId="7891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6" w:type="dxa"/>
            <w:vMerge w:val="continue"/>
            <w:vAlign w:val="center"/>
          </w:tcPr>
          <w:p w14:paraId="3E885F05">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b/>
                <w:bCs/>
                <w:color w:val="auto"/>
                <w:kern w:val="0"/>
                <w:sz w:val="24"/>
                <w:highlight w:val="none"/>
              </w:rPr>
            </w:pPr>
          </w:p>
        </w:tc>
        <w:tc>
          <w:tcPr>
            <w:tcW w:w="2030" w:type="dxa"/>
            <w:gridSpan w:val="2"/>
            <w:vAlign w:val="center"/>
          </w:tcPr>
          <w:p w14:paraId="010838F9">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对接方案</w:t>
            </w:r>
          </w:p>
        </w:tc>
        <w:tc>
          <w:tcPr>
            <w:tcW w:w="6111" w:type="dxa"/>
            <w:shd w:val="clear" w:color="auto" w:fill="auto"/>
            <w:vAlign w:val="center"/>
          </w:tcPr>
          <w:p w14:paraId="1D163009">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本项目涉及的第三方系统对接需求，根据各投标人提供的对接方案进行综合评分。</w:t>
            </w:r>
          </w:p>
          <w:p w14:paraId="20DE9564">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（1）方案描述清晰，</w:t>
            </w:r>
            <w:r>
              <w:rPr>
                <w:rFonts w:hint="eastAsia" w:ascii="宋体" w:hAnsi="宋体" w:cs="宋体"/>
                <w:color w:val="auto"/>
                <w:sz w:val="24"/>
                <w:highlight w:val="none"/>
                <w:lang w:val="en-US" w:eastAsia="zh-CN"/>
              </w:rPr>
              <w:t>对接可行</w:t>
            </w:r>
            <w:r>
              <w:rPr>
                <w:rFonts w:hint="eastAsia" w:ascii="宋体" w:hAnsi="宋体" w:cs="宋体"/>
                <w:color w:val="auto"/>
                <w:sz w:val="24"/>
                <w:highlight w:val="none"/>
              </w:rPr>
              <w:t>，内容详细的得</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分</w:t>
            </w:r>
            <w:r>
              <w:rPr>
                <w:rFonts w:hint="eastAsia" w:ascii="宋体" w:hAnsi="宋体" w:cs="宋体"/>
                <w:color w:val="auto"/>
                <w:sz w:val="24"/>
                <w:highlight w:val="none"/>
                <w:lang w:eastAsia="zh-CN"/>
              </w:rPr>
              <w:t>；</w:t>
            </w:r>
          </w:p>
          <w:p w14:paraId="59EA64E9">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（2）方案描述基本清晰，内容比较齐全，但过于空泛，可行性不强的得</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分</w:t>
            </w:r>
            <w:r>
              <w:rPr>
                <w:rFonts w:hint="eastAsia" w:ascii="宋体" w:hAnsi="宋体" w:cs="宋体"/>
                <w:color w:val="auto"/>
                <w:sz w:val="24"/>
                <w:highlight w:val="none"/>
                <w:lang w:eastAsia="zh-CN"/>
              </w:rPr>
              <w:t>；</w:t>
            </w:r>
          </w:p>
          <w:p w14:paraId="02612DC3">
            <w:pPr>
              <w:pStyle w:val="83"/>
              <w:keepNext w:val="0"/>
              <w:keepLines w:val="0"/>
              <w:suppressLineNumbers w:val="0"/>
              <w:spacing w:before="0" w:beforeAutospacing="0" w:after="0" w:afterAutospacing="0"/>
              <w:ind w:left="0" w:right="0"/>
              <w:rPr>
                <w:rFonts w:hint="eastAsia" w:ascii="宋体" w:hAnsi="宋体" w:cs="宋体"/>
                <w:color w:val="auto"/>
                <w:kern w:val="0"/>
                <w:sz w:val="24"/>
                <w:highlight w:val="none"/>
                <w:lang w:val="en-US" w:eastAsia="zh-CN" w:bidi="ar"/>
              </w:rPr>
            </w:pPr>
            <w:r>
              <w:rPr>
                <w:rFonts w:hint="eastAsia" w:ascii="宋体" w:hAnsi="宋体" w:cs="宋体"/>
                <w:color w:val="auto"/>
                <w:sz w:val="24"/>
                <w:highlight w:val="none"/>
              </w:rPr>
              <w:t>（3）方案有缺失，内容简单，思路不清晰的得</w:t>
            </w:r>
            <w:r>
              <w:rPr>
                <w:rFonts w:hint="eastAsia" w:ascii="宋体" w:hAnsi="宋体" w:cs="宋体"/>
                <w:color w:val="auto"/>
                <w:kern w:val="0"/>
                <w:sz w:val="24"/>
                <w:highlight w:val="none"/>
                <w:lang w:val="en-US" w:eastAsia="zh-CN" w:bidi="ar"/>
              </w:rPr>
              <w:t>1分。</w:t>
            </w:r>
          </w:p>
          <w:p w14:paraId="416B21A4">
            <w:pPr>
              <w:pStyle w:val="83"/>
              <w:keepNext w:val="0"/>
              <w:keepLines w:val="0"/>
              <w:suppressLineNumbers w:val="0"/>
              <w:spacing w:before="0" w:beforeAutospacing="0" w:after="0" w:afterAutospacing="0"/>
              <w:ind w:left="0" w:right="0"/>
              <w:rPr>
                <w:rFonts w:hint="default"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rPr>
              <w:t>不提供对应内容不得分。</w:t>
            </w:r>
          </w:p>
        </w:tc>
        <w:tc>
          <w:tcPr>
            <w:tcW w:w="1017" w:type="dxa"/>
            <w:shd w:val="clear" w:color="auto" w:fill="auto"/>
            <w:vAlign w:val="center"/>
          </w:tcPr>
          <w:p w14:paraId="074CE04B">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r>
      <w:tr w14:paraId="5398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6" w:type="dxa"/>
            <w:vMerge w:val="continue"/>
            <w:vAlign w:val="center"/>
          </w:tcPr>
          <w:p w14:paraId="1F7AEEEA">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b/>
                <w:bCs/>
                <w:color w:val="auto"/>
                <w:kern w:val="0"/>
                <w:sz w:val="24"/>
                <w:highlight w:val="none"/>
              </w:rPr>
            </w:pPr>
          </w:p>
        </w:tc>
        <w:tc>
          <w:tcPr>
            <w:tcW w:w="2030" w:type="dxa"/>
            <w:gridSpan w:val="2"/>
            <w:shd w:val="clear" w:color="auto" w:fill="auto"/>
            <w:vAlign w:val="center"/>
          </w:tcPr>
          <w:p w14:paraId="412ACA84">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项目实施方案</w:t>
            </w:r>
          </w:p>
        </w:tc>
        <w:tc>
          <w:tcPr>
            <w:tcW w:w="6111" w:type="dxa"/>
            <w:shd w:val="clear" w:color="auto" w:fill="auto"/>
            <w:vAlign w:val="center"/>
          </w:tcPr>
          <w:p w14:paraId="7C936C4E">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highlight w:val="none"/>
                <w:lang w:val="en-US" w:eastAsia="zh-CN"/>
              </w:rPr>
            </w:pPr>
            <w:r>
              <w:rPr>
                <w:rFonts w:hint="eastAsia" w:ascii="宋体" w:hAnsi="宋体" w:cs="宋体"/>
                <w:color w:val="auto"/>
                <w:sz w:val="24"/>
                <w:highlight w:val="none"/>
              </w:rPr>
              <w:t>（1）</w:t>
            </w:r>
            <w:r>
              <w:rPr>
                <w:rFonts w:hint="eastAsia" w:ascii="宋体" w:hAnsi="宋体" w:eastAsia="宋体" w:cs="宋体"/>
                <w:color w:val="auto"/>
                <w:kern w:val="0"/>
                <w:sz w:val="24"/>
                <w:highlight w:val="none"/>
                <w:lang w:val="en-US" w:eastAsia="zh-CN"/>
              </w:rPr>
              <w:t>根据实施计划、项目组织、进度控制方案打分，最高得1分。</w:t>
            </w:r>
          </w:p>
          <w:p w14:paraId="21BCF988">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（2）根据风险控制管理方案打分，最高得1分。</w:t>
            </w:r>
          </w:p>
          <w:p w14:paraId="33D3E35D">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（3）根据质量保障措施打分、最高得1分。</w:t>
            </w:r>
          </w:p>
          <w:p w14:paraId="16F32EAE">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（4）根据信息安全管理措施打分，最高得1分。</w:t>
            </w:r>
          </w:p>
          <w:p w14:paraId="22046C5D">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（5）根据文档管理措施打分，最高得1分。</w:t>
            </w:r>
          </w:p>
          <w:p w14:paraId="15A15051">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（6）根据软件测试方案打分，最高得1分。</w:t>
            </w:r>
          </w:p>
          <w:p w14:paraId="410CD148">
            <w:pPr>
              <w:pStyle w:val="83"/>
              <w:keepNext w:val="0"/>
              <w:keepLines w:val="0"/>
              <w:suppressLineNumbers w:val="0"/>
              <w:spacing w:before="0" w:beforeAutospacing="0" w:after="0" w:afterAutospacing="0"/>
              <w:ind w:left="0" w:right="0"/>
              <w:rPr>
                <w:rFonts w:hint="default"/>
                <w:color w:val="auto"/>
                <w:highlight w:val="none"/>
              </w:rPr>
            </w:pPr>
            <w:r>
              <w:rPr>
                <w:rFonts w:hint="eastAsia" w:ascii="宋体" w:hAnsi="宋体" w:cs="宋体"/>
                <w:color w:val="auto"/>
                <w:kern w:val="0"/>
                <w:sz w:val="24"/>
                <w:highlight w:val="none"/>
                <w:lang w:val="en-US" w:eastAsia="zh-CN"/>
              </w:rPr>
              <w:t>不提供对应内容不得分。</w:t>
            </w:r>
          </w:p>
        </w:tc>
        <w:tc>
          <w:tcPr>
            <w:tcW w:w="1017" w:type="dxa"/>
            <w:shd w:val="clear" w:color="auto" w:fill="auto"/>
            <w:vAlign w:val="center"/>
          </w:tcPr>
          <w:p w14:paraId="5FA72F3A">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r>
      <w:tr w14:paraId="5094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26" w:type="dxa"/>
            <w:vMerge w:val="restart"/>
            <w:shd w:val="clear" w:color="auto" w:fill="auto"/>
            <w:vAlign w:val="center"/>
          </w:tcPr>
          <w:p w14:paraId="53EB5D3B">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售后服务（</w:t>
            </w:r>
            <w:r>
              <w:rPr>
                <w:rFonts w:hint="eastAsia" w:ascii="宋体" w:hAnsi="宋体" w:cs="宋体"/>
                <w:b/>
                <w:bCs/>
                <w:color w:val="auto"/>
                <w:kern w:val="0"/>
                <w:sz w:val="24"/>
                <w:highlight w:val="none"/>
                <w:lang w:val="en-US" w:eastAsia="zh-CN"/>
              </w:rPr>
              <w:t>11分</w:t>
            </w:r>
            <w:r>
              <w:rPr>
                <w:rFonts w:hint="eastAsia" w:ascii="宋体" w:hAnsi="宋体" w:cs="宋体"/>
                <w:b/>
                <w:bCs/>
                <w:color w:val="auto"/>
                <w:kern w:val="0"/>
                <w:sz w:val="24"/>
                <w:highlight w:val="none"/>
              </w:rPr>
              <w:t>）</w:t>
            </w:r>
          </w:p>
        </w:tc>
        <w:tc>
          <w:tcPr>
            <w:tcW w:w="2030" w:type="dxa"/>
            <w:gridSpan w:val="2"/>
            <w:shd w:val="clear" w:color="auto" w:fill="auto"/>
            <w:vAlign w:val="center"/>
          </w:tcPr>
          <w:p w14:paraId="14F2E1F4">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售后服务</w:t>
            </w:r>
            <w:r>
              <w:rPr>
                <w:rFonts w:hint="eastAsia" w:ascii="宋体" w:hAnsi="宋体" w:cs="宋体"/>
                <w:color w:val="auto"/>
                <w:kern w:val="0"/>
                <w:sz w:val="24"/>
                <w:highlight w:val="none"/>
                <w:lang w:val="en-US" w:eastAsia="zh-CN"/>
              </w:rPr>
              <w:t>方案</w:t>
            </w:r>
          </w:p>
        </w:tc>
        <w:tc>
          <w:tcPr>
            <w:tcW w:w="6111" w:type="dxa"/>
            <w:shd w:val="clear" w:color="auto" w:fill="auto"/>
            <w:vAlign w:val="center"/>
          </w:tcPr>
          <w:p w14:paraId="04FA165B">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（1）根据投标人</w:t>
            </w:r>
            <w:r>
              <w:rPr>
                <w:rFonts w:hint="eastAsia" w:ascii="宋体" w:hAnsi="宋体" w:cs="宋体"/>
                <w:color w:val="auto"/>
                <w:kern w:val="0"/>
                <w:sz w:val="24"/>
                <w:highlight w:val="none"/>
              </w:rPr>
              <w:t>对售后服务质保期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技术力量、服务方式</w:t>
            </w:r>
            <w:r>
              <w:rPr>
                <w:rFonts w:hint="eastAsia" w:ascii="宋体" w:hAnsi="宋体" w:cs="宋体"/>
                <w:color w:val="auto"/>
                <w:kern w:val="0"/>
                <w:sz w:val="24"/>
                <w:highlight w:val="none"/>
                <w:lang w:val="en-US" w:eastAsia="zh-CN"/>
              </w:rPr>
              <w:t>打分，最高得2分。</w:t>
            </w:r>
          </w:p>
          <w:p w14:paraId="1D9F2F98">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（2）根据投标人</w:t>
            </w:r>
            <w:r>
              <w:rPr>
                <w:rFonts w:hint="eastAsia" w:ascii="宋体" w:hAnsi="宋体" w:cs="宋体"/>
                <w:color w:val="auto"/>
                <w:kern w:val="0"/>
                <w:sz w:val="24"/>
                <w:highlight w:val="none"/>
              </w:rPr>
              <w:t>服务网点数量、维护修复时间承诺</w:t>
            </w:r>
            <w:r>
              <w:rPr>
                <w:rFonts w:hint="eastAsia" w:ascii="宋体" w:hAnsi="宋体" w:cs="宋体"/>
                <w:color w:val="auto"/>
                <w:kern w:val="0"/>
                <w:sz w:val="24"/>
                <w:highlight w:val="none"/>
                <w:lang w:val="en-US" w:eastAsia="zh-CN"/>
              </w:rPr>
              <w:t>打分</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最高得2分。</w:t>
            </w:r>
          </w:p>
          <w:p w14:paraId="48332110">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（3）根据投标人对</w:t>
            </w:r>
            <w:r>
              <w:rPr>
                <w:rFonts w:hint="eastAsia" w:ascii="宋体" w:hAnsi="宋体" w:cs="宋体"/>
                <w:color w:val="auto"/>
                <w:kern w:val="0"/>
                <w:sz w:val="24"/>
                <w:highlight w:val="none"/>
              </w:rPr>
              <w:t>项目维护计划</w:t>
            </w:r>
            <w:r>
              <w:rPr>
                <w:rFonts w:hint="eastAsia" w:ascii="宋体" w:hAnsi="宋体" w:cs="宋体"/>
                <w:color w:val="auto"/>
                <w:kern w:val="0"/>
                <w:sz w:val="24"/>
                <w:highlight w:val="none"/>
                <w:lang w:val="en-US" w:eastAsia="zh-CN"/>
              </w:rPr>
              <w:t>打分</w:t>
            </w:r>
            <w:r>
              <w:rPr>
                <w:rFonts w:hint="eastAsia" w:ascii="宋体" w:hAnsi="宋体" w:cs="宋体"/>
                <w:color w:val="auto"/>
                <w:kern w:val="0"/>
                <w:sz w:val="24"/>
                <w:highlight w:val="none"/>
              </w:rPr>
              <w:t>（对用户故障的响应、处理、定期巡检等情况）</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最高得2分。</w:t>
            </w:r>
          </w:p>
          <w:p w14:paraId="2AED0ECC">
            <w:pPr>
              <w:pStyle w:val="83"/>
              <w:keepNext w:val="0"/>
              <w:keepLines w:val="0"/>
              <w:suppressLineNumbers w:val="0"/>
              <w:spacing w:before="0" w:beforeAutospacing="0" w:after="0" w:afterAutospacing="0"/>
              <w:ind w:left="0" w:right="0"/>
              <w:rPr>
                <w:rFonts w:hint="default"/>
                <w:color w:val="auto"/>
                <w:highlight w:val="none"/>
                <w:lang w:val="en-US" w:eastAsia="zh-CN"/>
              </w:rPr>
            </w:pPr>
            <w:r>
              <w:rPr>
                <w:rFonts w:hint="eastAsia" w:ascii="宋体" w:hAnsi="宋体" w:cs="宋体"/>
                <w:color w:val="auto"/>
                <w:kern w:val="0"/>
                <w:sz w:val="24"/>
                <w:highlight w:val="none"/>
                <w:lang w:val="en-US" w:eastAsia="zh-CN"/>
              </w:rPr>
              <w:t>不提供对应内容不得分。</w:t>
            </w:r>
          </w:p>
        </w:tc>
        <w:tc>
          <w:tcPr>
            <w:tcW w:w="1017" w:type="dxa"/>
            <w:shd w:val="clear" w:color="auto" w:fill="auto"/>
            <w:vAlign w:val="center"/>
          </w:tcPr>
          <w:p w14:paraId="0F83844F">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r>
      <w:tr w14:paraId="6899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26" w:type="dxa"/>
            <w:vMerge w:val="continue"/>
            <w:vAlign w:val="center"/>
          </w:tcPr>
          <w:p w14:paraId="62234829">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b/>
                <w:bCs/>
                <w:color w:val="auto"/>
                <w:kern w:val="0"/>
                <w:sz w:val="24"/>
                <w:highlight w:val="none"/>
              </w:rPr>
            </w:pPr>
          </w:p>
        </w:tc>
        <w:tc>
          <w:tcPr>
            <w:tcW w:w="2030" w:type="dxa"/>
            <w:gridSpan w:val="2"/>
            <w:shd w:val="clear" w:color="auto" w:fill="auto"/>
            <w:vAlign w:val="center"/>
          </w:tcPr>
          <w:p w14:paraId="5DBB697E">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培训方案</w:t>
            </w:r>
          </w:p>
        </w:tc>
        <w:tc>
          <w:tcPr>
            <w:tcW w:w="6111" w:type="dxa"/>
            <w:shd w:val="clear" w:color="auto" w:fill="auto"/>
            <w:vAlign w:val="center"/>
          </w:tcPr>
          <w:p w14:paraId="52329643">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有完整、可行的培训计划和培训实施方案，明确具体培训与实施计划（含对相关的系统维护管理人员、业务管理人员和业务经办人员等的培训）</w:t>
            </w:r>
            <w:r>
              <w:rPr>
                <w:rFonts w:hint="eastAsia" w:ascii="宋体" w:hAnsi="宋体" w:cs="宋体"/>
                <w:color w:val="auto"/>
                <w:kern w:val="0"/>
                <w:sz w:val="24"/>
                <w:highlight w:val="none"/>
                <w:lang w:val="en-US" w:eastAsia="zh-CN"/>
              </w:rPr>
              <w:t>得3.1-5分；</w:t>
            </w:r>
          </w:p>
          <w:p w14:paraId="3023A765">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（2）有较明确的培训方案</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但未明确具体的人员或时间节点得1.1-3分；</w:t>
            </w:r>
          </w:p>
          <w:p w14:paraId="02963CE0">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（3）培训方案不够明确得0.1-1分。</w:t>
            </w:r>
          </w:p>
          <w:p w14:paraId="0939B887">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olor w:val="auto"/>
                <w:highlight w:val="none"/>
                <w:lang w:eastAsia="zh-CN"/>
              </w:rPr>
            </w:pPr>
            <w:r>
              <w:rPr>
                <w:rFonts w:hint="eastAsia" w:ascii="宋体" w:hAnsi="宋体" w:cs="宋体"/>
                <w:color w:val="auto"/>
                <w:kern w:val="0"/>
                <w:sz w:val="24"/>
                <w:highlight w:val="none"/>
                <w:lang w:val="en-US" w:eastAsia="zh-CN"/>
              </w:rPr>
              <w:t>不提供对应内容不得分。</w:t>
            </w:r>
          </w:p>
        </w:tc>
        <w:tc>
          <w:tcPr>
            <w:tcW w:w="1017" w:type="dxa"/>
            <w:shd w:val="clear" w:color="auto" w:fill="auto"/>
            <w:vAlign w:val="center"/>
          </w:tcPr>
          <w:p w14:paraId="5E32FFFE">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r>
      <w:tr w14:paraId="2956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6" w:type="dxa"/>
            <w:vMerge w:val="restart"/>
            <w:vAlign w:val="center"/>
          </w:tcPr>
          <w:p w14:paraId="54D3B9C3">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系统演示（15分）</w:t>
            </w:r>
          </w:p>
        </w:tc>
        <w:tc>
          <w:tcPr>
            <w:tcW w:w="2030" w:type="dxa"/>
            <w:gridSpan w:val="2"/>
            <w:vMerge w:val="restart"/>
            <w:shd w:val="clear" w:color="auto" w:fill="auto"/>
            <w:vAlign w:val="center"/>
          </w:tcPr>
          <w:p w14:paraId="60311A10">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系统演示</w:t>
            </w:r>
          </w:p>
        </w:tc>
        <w:tc>
          <w:tcPr>
            <w:tcW w:w="6111" w:type="dxa"/>
            <w:shd w:val="clear" w:color="auto" w:fill="auto"/>
            <w:vAlign w:val="center"/>
          </w:tcPr>
          <w:p w14:paraId="43DBFD20">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b/>
                <w:bCs/>
                <w:color w:val="auto"/>
                <w:kern w:val="0"/>
                <w:sz w:val="24"/>
                <w:highlight w:val="none"/>
                <w:lang w:val="zh-CN" w:eastAsia="zh-CN"/>
              </w:rPr>
              <w:t>投标人将需演示的部分自行演示并录制成视频制作在U盘中，录制视频时长不超过</w:t>
            </w:r>
            <w:r>
              <w:rPr>
                <w:rFonts w:hint="eastAsia" w:ascii="宋体" w:hAnsi="宋体" w:cs="宋体"/>
                <w:b/>
                <w:bCs/>
                <w:color w:val="auto"/>
                <w:kern w:val="0"/>
                <w:sz w:val="24"/>
                <w:highlight w:val="none"/>
                <w:lang w:val="en-US" w:eastAsia="zh-CN"/>
              </w:rPr>
              <w:t>10</w:t>
            </w:r>
            <w:r>
              <w:rPr>
                <w:rFonts w:hint="eastAsia" w:ascii="宋体" w:hAnsi="宋体" w:eastAsia="宋体" w:cs="宋体"/>
                <w:b/>
                <w:bCs/>
                <w:color w:val="auto"/>
                <w:kern w:val="0"/>
                <w:sz w:val="24"/>
                <w:highlight w:val="none"/>
                <w:lang w:val="zh-CN" w:eastAsia="zh-CN"/>
              </w:rPr>
              <w:t>分钟，录制的视频为MP4格式，在投标截止时间前</w:t>
            </w:r>
            <w:r>
              <w:rPr>
                <w:rFonts w:hint="eastAsia" w:ascii="宋体" w:hAnsi="宋体" w:eastAsia="宋体" w:cs="宋体"/>
                <w:b/>
                <w:bCs/>
                <w:color w:val="auto"/>
                <w:kern w:val="0"/>
                <w:sz w:val="24"/>
                <w:highlight w:val="none"/>
                <w:lang w:val="en-US" w:eastAsia="zh-CN"/>
              </w:rPr>
              <w:t>将U盘密封完好</w:t>
            </w:r>
            <w:r>
              <w:rPr>
                <w:rFonts w:hint="eastAsia" w:ascii="宋体" w:hAnsi="宋体" w:eastAsia="宋体" w:cs="宋体"/>
                <w:b/>
                <w:bCs/>
                <w:color w:val="auto"/>
                <w:kern w:val="0"/>
                <w:sz w:val="24"/>
                <w:highlight w:val="none"/>
                <w:lang w:val="zh-CN" w:eastAsia="zh-CN"/>
              </w:rPr>
              <w:t>递交到招标代理机构处。专有钉钉作为浙政钉的测试环境，浙政钉的相关功能演示可用专有钉钉来代替进行演示。</w:t>
            </w:r>
            <w:r>
              <w:rPr>
                <w:rFonts w:hint="eastAsia" w:ascii="宋体" w:hAnsi="宋体" w:eastAsia="宋体" w:cs="宋体"/>
                <w:color w:val="auto"/>
                <w:sz w:val="24"/>
                <w:szCs w:val="24"/>
                <w:highlight w:val="none"/>
              </w:rPr>
              <w:t>由</w:t>
            </w:r>
            <w:r>
              <w:rPr>
                <w:rFonts w:hint="eastAsia" w:ascii="宋体" w:hAnsi="宋体" w:cs="宋体"/>
                <w:color w:val="auto"/>
                <w:kern w:val="0"/>
                <w:sz w:val="24"/>
                <w:highlight w:val="none"/>
              </w:rPr>
              <w:t>评委</w:t>
            </w:r>
            <w:r>
              <w:rPr>
                <w:rFonts w:hint="eastAsia" w:ascii="宋体" w:hAnsi="宋体" w:eastAsia="宋体" w:cs="宋体"/>
                <w:color w:val="auto"/>
                <w:sz w:val="24"/>
                <w:szCs w:val="24"/>
                <w:highlight w:val="none"/>
              </w:rPr>
              <w:t>根据演示内容是否实现，实现功能的成熟度、完善度进行评分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总计15分</w:t>
            </w:r>
            <w:r>
              <w:rPr>
                <w:rFonts w:hint="eastAsia" w:ascii="宋体" w:hAnsi="宋体" w:eastAsia="宋体" w:cs="宋体"/>
                <w:color w:val="auto"/>
                <w:sz w:val="24"/>
                <w:szCs w:val="24"/>
                <w:highlight w:val="none"/>
              </w:rPr>
              <w:t>。</w:t>
            </w:r>
          </w:p>
        </w:tc>
        <w:tc>
          <w:tcPr>
            <w:tcW w:w="1017" w:type="dxa"/>
            <w:shd w:val="clear" w:color="auto" w:fill="auto"/>
            <w:vAlign w:val="center"/>
          </w:tcPr>
          <w:p w14:paraId="0FC12174">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color w:val="auto"/>
                <w:kern w:val="0"/>
                <w:sz w:val="24"/>
                <w:highlight w:val="none"/>
                <w:lang w:val="en-US" w:eastAsia="zh-CN"/>
              </w:rPr>
            </w:pPr>
          </w:p>
        </w:tc>
      </w:tr>
      <w:tr w14:paraId="0297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6" w:type="dxa"/>
            <w:vMerge w:val="continue"/>
            <w:vAlign w:val="center"/>
          </w:tcPr>
          <w:p w14:paraId="5FB0E4DD">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b/>
                <w:bCs/>
                <w:color w:val="auto"/>
                <w:kern w:val="0"/>
                <w:sz w:val="24"/>
                <w:highlight w:val="none"/>
              </w:rPr>
            </w:pPr>
          </w:p>
        </w:tc>
        <w:tc>
          <w:tcPr>
            <w:tcW w:w="2030" w:type="dxa"/>
            <w:gridSpan w:val="2"/>
            <w:vMerge w:val="continue"/>
            <w:shd w:val="clear" w:color="auto" w:fill="auto"/>
            <w:vAlign w:val="center"/>
          </w:tcPr>
          <w:p w14:paraId="05B8C0CC">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highlight w:val="none"/>
              </w:rPr>
            </w:pPr>
          </w:p>
        </w:tc>
        <w:tc>
          <w:tcPr>
            <w:tcW w:w="6111" w:type="dxa"/>
            <w:shd w:val="clear" w:color="auto" w:fill="auto"/>
            <w:vAlign w:val="center"/>
          </w:tcPr>
          <w:p w14:paraId="6B460127">
            <w:pPr>
              <w:keepNext w:val="0"/>
              <w:keepLines w:val="0"/>
              <w:pageBreakBefore w:val="0"/>
              <w:widowControl/>
              <w:numPr>
                <w:ilvl w:val="0"/>
                <w:numId w:val="6"/>
              </w:numPr>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提供电子公文档案预归档全业务流程演示，包括归档、封装、检测等业务环节，最终形成的归档信息包符合相关标准。提供预归档检测规则配置功能演示。</w:t>
            </w:r>
          </w:p>
          <w:p w14:paraId="7376F1AC">
            <w:pPr>
              <w:keepNext w:val="0"/>
              <w:keepLines w:val="0"/>
              <w:pageBreakBefore w:val="0"/>
              <w:widowControl/>
              <w:numPr>
                <w:ilvl w:val="0"/>
                <w:numId w:val="0"/>
              </w:numPr>
              <w:suppressLineNumbers w:val="0"/>
              <w:kinsoku/>
              <w:wordWrap/>
              <w:overflowPunct/>
              <w:topLinePunct w:val="0"/>
              <w:bidi w:val="0"/>
              <w:adjustRightInd/>
              <w:spacing w:before="0" w:beforeAutospacing="0" w:after="0" w:afterAutospacing="0" w:line="360" w:lineRule="auto"/>
              <w:ind w:left="0" w:right="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演示内容完全符合要求，且演示流程完整清晰、合理，界面布局美观得2.1-4分；</w:t>
            </w:r>
          </w:p>
          <w:p w14:paraId="31C4E60B">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演示内容基本符合要求，且演示流程比较完整，界面布局较合理得1.1-2分；</w:t>
            </w:r>
          </w:p>
          <w:p w14:paraId="55C8B1C0">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演示内容偏离要求多，演示流程混乱，界面布局不合理得0.1-1分。</w:t>
            </w:r>
          </w:p>
          <w:p w14:paraId="583BBDDA">
            <w:pPr>
              <w:pStyle w:val="83"/>
              <w:keepNext w:val="0"/>
              <w:keepLines w:val="0"/>
              <w:suppressLineNumbers w:val="0"/>
              <w:spacing w:before="0" w:beforeAutospacing="0" w:after="0" w:afterAutospacing="0"/>
              <w:ind w:left="0" w:right="0"/>
              <w:rPr>
                <w:rFonts w:hint="default"/>
                <w:color w:val="auto"/>
                <w:highlight w:val="none"/>
                <w:lang w:val="en-US" w:eastAsia="zh-CN"/>
              </w:rPr>
            </w:pPr>
            <w:r>
              <w:rPr>
                <w:rFonts w:hint="eastAsia" w:ascii="宋体" w:hAnsi="宋体" w:cs="宋体"/>
                <w:color w:val="auto"/>
                <w:kern w:val="0"/>
                <w:sz w:val="24"/>
                <w:highlight w:val="none"/>
                <w:lang w:val="en-US" w:eastAsia="zh-CN"/>
              </w:rPr>
              <w:t>不提供对应内容不得分。</w:t>
            </w:r>
          </w:p>
        </w:tc>
        <w:tc>
          <w:tcPr>
            <w:tcW w:w="1017" w:type="dxa"/>
            <w:shd w:val="clear" w:color="auto" w:fill="auto"/>
            <w:vAlign w:val="center"/>
          </w:tcPr>
          <w:p w14:paraId="74709B39">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4</w:t>
            </w:r>
          </w:p>
        </w:tc>
      </w:tr>
      <w:tr w14:paraId="0889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6" w:type="dxa"/>
            <w:vMerge w:val="continue"/>
            <w:vAlign w:val="center"/>
          </w:tcPr>
          <w:p w14:paraId="6143C7E3">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b/>
                <w:bCs/>
                <w:color w:val="auto"/>
                <w:kern w:val="0"/>
                <w:sz w:val="24"/>
                <w:highlight w:val="none"/>
              </w:rPr>
            </w:pPr>
          </w:p>
        </w:tc>
        <w:tc>
          <w:tcPr>
            <w:tcW w:w="2030" w:type="dxa"/>
            <w:gridSpan w:val="2"/>
            <w:vMerge w:val="continue"/>
            <w:shd w:val="clear" w:color="auto" w:fill="auto"/>
            <w:vAlign w:val="center"/>
          </w:tcPr>
          <w:p w14:paraId="63E1A7EA">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highlight w:val="none"/>
              </w:rPr>
            </w:pPr>
          </w:p>
        </w:tc>
        <w:tc>
          <w:tcPr>
            <w:tcW w:w="6111" w:type="dxa"/>
            <w:shd w:val="clear" w:color="auto" w:fill="auto"/>
            <w:vAlign w:val="center"/>
          </w:tcPr>
          <w:p w14:paraId="5025CBCA">
            <w:pPr>
              <w:keepNext w:val="0"/>
              <w:keepLines w:val="0"/>
              <w:pageBreakBefore w:val="0"/>
              <w:widowControl/>
              <w:numPr>
                <w:ilvl w:val="0"/>
                <w:numId w:val="6"/>
              </w:numPr>
              <w:suppressLineNumbers w:val="0"/>
              <w:kinsoku/>
              <w:wordWrap/>
              <w:overflowPunct/>
              <w:topLinePunct w:val="0"/>
              <w:bidi w:val="0"/>
              <w:adjustRightInd/>
              <w:spacing w:before="0" w:beforeAutospacing="0" w:after="0" w:afterAutospacing="0" w:line="360" w:lineRule="auto"/>
              <w:ind w:left="0" w:leftChars="0" w:right="0" w:firstLine="0" w:firstLineChars="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提供符合日常会议需求的演示，包括议题审批、会议审批、通知下发、会议报名、一键建群的全流程业务。</w:t>
            </w:r>
          </w:p>
          <w:p w14:paraId="1F0D2F07">
            <w:pPr>
              <w:keepNext w:val="0"/>
              <w:keepLines w:val="0"/>
              <w:pageBreakBefore w:val="0"/>
              <w:widowControl/>
              <w:numPr>
                <w:ilvl w:val="0"/>
                <w:numId w:val="0"/>
              </w:numPr>
              <w:suppressLineNumbers w:val="0"/>
              <w:kinsoku/>
              <w:wordWrap/>
              <w:overflowPunct/>
              <w:topLinePunct w:val="0"/>
              <w:bidi w:val="0"/>
              <w:adjustRightInd/>
              <w:spacing w:before="0" w:beforeAutospacing="0" w:after="0" w:afterAutospacing="0" w:line="360" w:lineRule="auto"/>
              <w:ind w:left="0" w:leftChars="0" w:right="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演示内容完全符合要求，且演示流程完整清晰、合理，界面布局美观得2.1-4分；</w:t>
            </w:r>
          </w:p>
          <w:p w14:paraId="116389D1">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演示内容基本符合要求，且演示流程比较完整，界面布局较合理得1.1-2分；</w:t>
            </w:r>
          </w:p>
          <w:p w14:paraId="1C4D339F">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演示内容偏离要求多，演示流程混乱，界面布局不合理得0.1-1分；</w:t>
            </w:r>
          </w:p>
          <w:p w14:paraId="63B42A13">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不提供对应内容不得分。</w:t>
            </w:r>
          </w:p>
        </w:tc>
        <w:tc>
          <w:tcPr>
            <w:tcW w:w="1017" w:type="dxa"/>
            <w:shd w:val="clear" w:color="auto" w:fill="auto"/>
            <w:vAlign w:val="center"/>
          </w:tcPr>
          <w:p w14:paraId="2F64DF4B">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r>
      <w:tr w14:paraId="447E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6" w:type="dxa"/>
            <w:vMerge w:val="continue"/>
            <w:vAlign w:val="center"/>
          </w:tcPr>
          <w:p w14:paraId="0A527F51">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b/>
                <w:bCs/>
                <w:color w:val="auto"/>
                <w:kern w:val="0"/>
                <w:sz w:val="24"/>
                <w:highlight w:val="none"/>
              </w:rPr>
            </w:pPr>
          </w:p>
        </w:tc>
        <w:tc>
          <w:tcPr>
            <w:tcW w:w="2030" w:type="dxa"/>
            <w:gridSpan w:val="2"/>
            <w:vMerge w:val="continue"/>
            <w:shd w:val="clear" w:color="auto" w:fill="auto"/>
            <w:vAlign w:val="center"/>
          </w:tcPr>
          <w:p w14:paraId="1AD390A0">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highlight w:val="none"/>
              </w:rPr>
            </w:pPr>
          </w:p>
        </w:tc>
        <w:tc>
          <w:tcPr>
            <w:tcW w:w="6111" w:type="dxa"/>
            <w:shd w:val="clear" w:color="auto" w:fill="auto"/>
            <w:vAlign w:val="center"/>
          </w:tcPr>
          <w:p w14:paraId="1415A3E3">
            <w:pPr>
              <w:keepNext w:val="0"/>
              <w:keepLines w:val="0"/>
              <w:pageBreakBefore w:val="0"/>
              <w:widowControl/>
              <w:numPr>
                <w:ilvl w:val="0"/>
                <w:numId w:val="6"/>
              </w:numPr>
              <w:suppressLineNumbers w:val="0"/>
              <w:kinsoku/>
              <w:wordWrap/>
              <w:overflowPunct/>
              <w:topLinePunct w:val="0"/>
              <w:bidi w:val="0"/>
              <w:adjustRightInd/>
              <w:spacing w:before="0" w:beforeAutospacing="0" w:after="0" w:afterAutospacing="0" w:line="360" w:lineRule="auto"/>
              <w:ind w:left="0" w:leftChars="0" w:right="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提供公文中转系统按区县分级授权、分别分配接入参数、配置通知接口的功能演示。区县接口信息有变更时，可随时修改区县的通知接口信息，不影响中转系统功能，不需要重启中转系统。提供中转系统接口推送记录的查看功能演示，方便后续问题的定位和排查。</w:t>
            </w:r>
          </w:p>
          <w:p w14:paraId="21BD1905">
            <w:pPr>
              <w:keepNext w:val="0"/>
              <w:keepLines w:val="0"/>
              <w:pageBreakBefore w:val="0"/>
              <w:widowControl/>
              <w:numPr>
                <w:ilvl w:val="0"/>
                <w:numId w:val="0"/>
              </w:numPr>
              <w:suppressLineNumbers w:val="0"/>
              <w:kinsoku/>
              <w:wordWrap/>
              <w:overflowPunct/>
              <w:topLinePunct w:val="0"/>
              <w:bidi w:val="0"/>
              <w:adjustRightInd/>
              <w:spacing w:before="0" w:beforeAutospacing="0" w:after="0" w:afterAutospacing="0" w:line="360" w:lineRule="auto"/>
              <w:ind w:left="0" w:leftChars="0" w:right="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演示内容完全符合要求，且演示流程完整清晰、合理，界面布局美观得2.1-4分；</w:t>
            </w:r>
          </w:p>
          <w:p w14:paraId="0409B7C6">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演示内容基本符合要求，且演示流程比较完整，界面布局较合理得1.1-2分；</w:t>
            </w:r>
          </w:p>
          <w:p w14:paraId="4378AF24">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演示内容偏离要求多，演示流程混乱，界面布局不合理得0.1-1分；</w:t>
            </w:r>
          </w:p>
          <w:p w14:paraId="53663126">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不提供对应内容不得分。</w:t>
            </w:r>
          </w:p>
        </w:tc>
        <w:tc>
          <w:tcPr>
            <w:tcW w:w="1017" w:type="dxa"/>
            <w:shd w:val="clear" w:color="auto" w:fill="auto"/>
            <w:vAlign w:val="center"/>
          </w:tcPr>
          <w:p w14:paraId="3DD9E6B8">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r>
      <w:tr w14:paraId="301D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6" w:type="dxa"/>
            <w:vMerge w:val="continue"/>
            <w:vAlign w:val="center"/>
          </w:tcPr>
          <w:p w14:paraId="46339A6E">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left"/>
              <w:rPr>
                <w:rFonts w:hint="default" w:ascii="宋体" w:hAnsi="宋体" w:cs="宋体"/>
                <w:b/>
                <w:bCs/>
                <w:color w:val="auto"/>
                <w:kern w:val="0"/>
                <w:sz w:val="24"/>
                <w:highlight w:val="none"/>
              </w:rPr>
            </w:pPr>
          </w:p>
        </w:tc>
        <w:tc>
          <w:tcPr>
            <w:tcW w:w="2030" w:type="dxa"/>
            <w:gridSpan w:val="2"/>
            <w:vMerge w:val="continue"/>
            <w:shd w:val="clear" w:color="auto" w:fill="auto"/>
            <w:vAlign w:val="center"/>
          </w:tcPr>
          <w:p w14:paraId="38A18FAF">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highlight w:val="none"/>
              </w:rPr>
            </w:pPr>
          </w:p>
        </w:tc>
        <w:tc>
          <w:tcPr>
            <w:tcW w:w="6111" w:type="dxa"/>
            <w:shd w:val="clear" w:color="auto" w:fill="auto"/>
            <w:vAlign w:val="center"/>
          </w:tcPr>
          <w:p w14:paraId="7F68DCCB">
            <w:pPr>
              <w:keepNext w:val="0"/>
              <w:keepLines w:val="0"/>
              <w:pageBreakBefore w:val="0"/>
              <w:widowControl/>
              <w:numPr>
                <w:ilvl w:val="0"/>
                <w:numId w:val="6"/>
              </w:numPr>
              <w:suppressLineNumbers w:val="0"/>
              <w:kinsoku/>
              <w:wordWrap/>
              <w:overflowPunct/>
              <w:topLinePunct w:val="0"/>
              <w:bidi w:val="0"/>
              <w:adjustRightInd/>
              <w:spacing w:before="0" w:beforeAutospacing="0" w:after="0" w:afterAutospacing="0" w:line="360" w:lineRule="auto"/>
              <w:ind w:left="0" w:leftChars="0" w:right="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提供</w:t>
            </w:r>
            <w:r>
              <w:rPr>
                <w:rFonts w:hint="eastAsia" w:ascii="宋体" w:hAnsi="宋体" w:cs="宋体"/>
                <w:color w:val="auto"/>
                <w:kern w:val="0"/>
                <w:sz w:val="24"/>
                <w:highlight w:val="none"/>
                <w:lang w:val="en-US" w:eastAsia="zh-CN"/>
              </w:rPr>
              <w:t>公文交换系统浙政钉端文件签收、查看正文以及文件带水印预览的功能演示</w:t>
            </w:r>
            <w:r>
              <w:rPr>
                <w:rFonts w:hint="eastAsia" w:ascii="宋体" w:hAnsi="宋体" w:eastAsia="宋体" w:cs="宋体"/>
                <w:color w:val="auto"/>
                <w:kern w:val="0"/>
                <w:sz w:val="24"/>
                <w:highlight w:val="none"/>
                <w:lang w:val="en-US" w:eastAsia="zh-CN"/>
              </w:rPr>
              <w:t>。</w:t>
            </w:r>
          </w:p>
          <w:p w14:paraId="3DCEE25B">
            <w:pPr>
              <w:keepNext w:val="0"/>
              <w:keepLines w:val="0"/>
              <w:pageBreakBefore w:val="0"/>
              <w:widowControl/>
              <w:numPr>
                <w:ilvl w:val="0"/>
                <w:numId w:val="0"/>
              </w:numPr>
              <w:suppressLineNumbers w:val="0"/>
              <w:kinsoku/>
              <w:wordWrap/>
              <w:overflowPunct/>
              <w:topLinePunct w:val="0"/>
              <w:bidi w:val="0"/>
              <w:adjustRightInd/>
              <w:spacing w:before="0" w:beforeAutospacing="0" w:after="0" w:afterAutospacing="0" w:line="360" w:lineRule="auto"/>
              <w:ind w:left="0" w:leftChars="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演示内容完全符合要求，且演示流程完整清晰、合理，界面布局美观得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w:t>
            </w:r>
          </w:p>
          <w:p w14:paraId="2E9E3CC4">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演示内容基本符合要求，且演示流程比较完整，界面布局较合理得2分；</w:t>
            </w:r>
          </w:p>
          <w:p w14:paraId="1A236AEE">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演示内容偏离要求多，演示流程混乱，界面布局不合理得1分；</w:t>
            </w:r>
          </w:p>
          <w:p w14:paraId="494A8DE7">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不提供对应内容不得分。</w:t>
            </w:r>
          </w:p>
        </w:tc>
        <w:tc>
          <w:tcPr>
            <w:tcW w:w="1017" w:type="dxa"/>
            <w:shd w:val="clear" w:color="auto" w:fill="auto"/>
            <w:vAlign w:val="center"/>
          </w:tcPr>
          <w:p w14:paraId="370833B3">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3</w:t>
            </w:r>
          </w:p>
        </w:tc>
      </w:tr>
      <w:tr w14:paraId="34FE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3256" w:type="dxa"/>
            <w:gridSpan w:val="3"/>
            <w:shd w:val="clear" w:color="auto" w:fill="auto"/>
            <w:vAlign w:val="center"/>
          </w:tcPr>
          <w:p w14:paraId="74AD6E8E">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b/>
                <w:bCs/>
                <w:color w:val="auto"/>
                <w:kern w:val="0"/>
                <w:sz w:val="24"/>
                <w:highlight w:val="none"/>
              </w:rPr>
            </w:pPr>
          </w:p>
          <w:p w14:paraId="7692649E">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价格（1</w:t>
            </w:r>
            <w:r>
              <w:rPr>
                <w:rFonts w:hint="eastAsia" w:ascii="宋体" w:hAnsi="宋体" w:cs="宋体"/>
                <w:b/>
                <w:bCs/>
                <w:color w:val="auto"/>
                <w:kern w:val="0"/>
                <w:sz w:val="24"/>
                <w:highlight w:val="none"/>
                <w:lang w:val="en-US" w:eastAsia="zh-CN"/>
              </w:rPr>
              <w:t>0</w:t>
            </w:r>
            <w:r>
              <w:rPr>
                <w:rFonts w:hint="eastAsia" w:ascii="宋体" w:hAnsi="宋体" w:cs="宋体"/>
                <w:b/>
                <w:bCs/>
                <w:color w:val="auto"/>
                <w:kern w:val="0"/>
                <w:sz w:val="24"/>
                <w:highlight w:val="none"/>
              </w:rPr>
              <w:t>分）</w:t>
            </w:r>
          </w:p>
          <w:p w14:paraId="6EBD7FFD">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111" w:type="dxa"/>
            <w:shd w:val="clear" w:color="auto" w:fill="auto"/>
            <w:vAlign w:val="center"/>
          </w:tcPr>
          <w:p w14:paraId="495C8831">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rPr>
                <w:rFonts w:hint="default" w:ascii="宋体" w:hAnsi="宋体" w:cs="宋体"/>
                <w:color w:val="auto"/>
                <w:kern w:val="0"/>
                <w:sz w:val="24"/>
                <w:highlight w:val="none"/>
              </w:rPr>
            </w:pPr>
            <w:r>
              <w:rPr>
                <w:rFonts w:hint="eastAsia" w:ascii="宋体" w:hAnsi="宋体" w:cs="宋体"/>
                <w:color w:val="auto"/>
                <w:kern w:val="0"/>
                <w:sz w:val="24"/>
                <w:highlight w:val="none"/>
              </w:rPr>
              <w:t>满足招标文件要求且投标报价最低的投标报价为评标基准价，其价格分为满分。其他投标人的价格分统一按照下列公式计算：投标报价得分=（评标基准价/投标报价）×1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%×100。</w:t>
            </w:r>
            <w:r>
              <w:rPr>
                <w:rFonts w:hint="eastAsia" w:ascii="宋体" w:hAnsi="宋体" w:cs="宋体"/>
                <w:color w:val="auto"/>
                <w:kern w:val="0"/>
                <w:sz w:val="24"/>
                <w:highlight w:val="none"/>
                <w:lang w:val="en-US" w:eastAsia="zh-CN"/>
              </w:rPr>
              <w:t>小微</w:t>
            </w:r>
            <w:r>
              <w:rPr>
                <w:rFonts w:hint="eastAsia" w:ascii="宋体" w:hAnsi="宋体" w:cs="宋体"/>
                <w:color w:val="auto"/>
                <w:kern w:val="0"/>
                <w:sz w:val="24"/>
                <w:highlight w:val="none"/>
              </w:rPr>
              <w:t>企业用扣除后的价格参与评审。</w:t>
            </w:r>
          </w:p>
        </w:tc>
        <w:tc>
          <w:tcPr>
            <w:tcW w:w="1017" w:type="dxa"/>
            <w:shd w:val="clear" w:color="auto" w:fill="auto"/>
            <w:vAlign w:val="center"/>
          </w:tcPr>
          <w:p w14:paraId="20243577">
            <w:pPr>
              <w:keepNext w:val="0"/>
              <w:keepLines w:val="0"/>
              <w:pageBreakBefore w:val="0"/>
              <w:widowControl/>
              <w:suppressLineNumbers w:val="0"/>
              <w:kinsoku/>
              <w:wordWrap/>
              <w:overflowPunct/>
              <w:topLinePunct w:val="0"/>
              <w:bidi w:val="0"/>
              <w:adjustRightInd/>
              <w:spacing w:before="0" w:beforeAutospacing="0" w:after="0" w:afterAutospacing="0" w:line="360" w:lineRule="auto"/>
              <w:ind w:left="0" w:right="0" w:firstLine="0" w:firstLineChars="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0</w:t>
            </w:r>
          </w:p>
        </w:tc>
      </w:tr>
    </w:tbl>
    <w:p w14:paraId="43A7FC27">
      <w:pPr>
        <w:pStyle w:val="16"/>
        <w:rPr>
          <w:rFonts w:hint="eastAsia"/>
          <w:color w:val="auto"/>
          <w:highlight w:val="none"/>
        </w:rPr>
      </w:pPr>
    </w:p>
    <w:p w14:paraId="2FA5CB1E">
      <w:pPr>
        <w:shd w:val="clear"/>
        <w:spacing w:line="360" w:lineRule="auto"/>
        <w:rPr>
          <w:rFonts w:hint="eastAsia" w:ascii="宋体" w:hAnsi="宋体" w:eastAsia="宋体" w:cs="宋体"/>
          <w:color w:val="auto"/>
          <w:sz w:val="24"/>
          <w:szCs w:val="32"/>
          <w:highlight w:val="none"/>
        </w:rPr>
      </w:pPr>
    </w:p>
    <w:p w14:paraId="769E78F4">
      <w:pPr>
        <w:widowControl/>
        <w:shd w:val="clear"/>
        <w:jc w:val="both"/>
        <w:rPr>
          <w:rFonts w:hint="eastAsia" w:ascii="宋体" w:hAnsi="宋体" w:eastAsia="宋体" w:cs="宋体"/>
          <w:b/>
          <w:bCs/>
          <w:color w:val="auto"/>
          <w:sz w:val="36"/>
          <w:szCs w:val="44"/>
          <w:highlight w:val="none"/>
        </w:rPr>
      </w:pPr>
    </w:p>
    <w:p w14:paraId="68E755E2">
      <w:pPr>
        <w:widowControl/>
        <w:shd w:val="clear"/>
        <w:jc w:val="center"/>
        <w:rPr>
          <w:rFonts w:hint="eastAsia" w:ascii="宋体" w:hAnsi="宋体" w:eastAsia="宋体" w:cs="宋体"/>
          <w:b/>
          <w:bCs/>
          <w:color w:val="auto"/>
          <w:sz w:val="36"/>
          <w:szCs w:val="44"/>
          <w:highlight w:val="none"/>
        </w:rPr>
      </w:pPr>
    </w:p>
    <w:p w14:paraId="23745C56">
      <w:pPr>
        <w:widowControl/>
        <w:shd w:val="clear"/>
        <w:jc w:val="both"/>
        <w:rPr>
          <w:rFonts w:hint="eastAsia" w:ascii="宋体" w:hAnsi="宋体" w:eastAsia="宋体" w:cs="宋体"/>
          <w:b/>
          <w:bCs/>
          <w:color w:val="auto"/>
          <w:sz w:val="36"/>
          <w:szCs w:val="44"/>
          <w:highlight w:val="none"/>
        </w:rPr>
      </w:pPr>
    </w:p>
    <w:p w14:paraId="0F75F540">
      <w:pP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p>
    <w:p w14:paraId="7BEF3583">
      <w:pPr>
        <w:widowControl/>
        <w:shd w:val="clear"/>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第四章 公开招标需求</w:t>
      </w:r>
    </w:p>
    <w:p w14:paraId="2FA9F080">
      <w:pPr>
        <w:pStyle w:val="4"/>
        <w:widowControl/>
        <w:numPr>
          <w:ilvl w:val="1"/>
          <w:numId w:val="0"/>
        </w:numPr>
        <w:spacing w:before="0" w:beforeAutospacing="0" w:after="0" w:afterAutospacing="0" w:line="360" w:lineRule="auto"/>
        <w:ind w:left="575" w:leftChars="0" w:hanging="575" w:firstLineChars="0"/>
        <w:jc w:val="left"/>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GB" w:eastAsia="zh-CN" w:bidi="ar-SA"/>
        </w:rPr>
        <w:t>1.1.</w:t>
      </w:r>
      <w:r>
        <w:rPr>
          <w:rFonts w:hint="eastAsia" w:ascii="宋体" w:hAnsi="宋体" w:eastAsia="宋体" w:cs="宋体"/>
          <w:b/>
          <w:bCs w:val="0"/>
          <w:color w:val="auto"/>
          <w:kern w:val="2"/>
          <w:sz w:val="24"/>
          <w:szCs w:val="24"/>
          <w:highlight w:val="none"/>
        </w:rPr>
        <w:t>项目背景</w:t>
      </w:r>
    </w:p>
    <w:p w14:paraId="65C0EE0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台州市协同办公平台2019年上线，目前已有70余家市级单位在使用该平台，初步实现了无纸化公文办理。一期项目主要建设内容包含公文管理、会议管理、领导日程、请假出差、通知公告等功能，项目建设模块侧重点主要在公文流转和处理上，建设的应用基本上可以满足当时的业务需求和形式。随着政府</w:t>
      </w:r>
      <w:r>
        <w:rPr>
          <w:rFonts w:hint="eastAsia" w:ascii="宋体" w:hAnsi="宋体" w:eastAsia="宋体" w:cs="宋体"/>
          <w:b w:val="0"/>
          <w:bCs w:val="0"/>
          <w:color w:val="auto"/>
          <w:kern w:val="2"/>
          <w:sz w:val="24"/>
          <w:szCs w:val="24"/>
          <w:highlight w:val="none"/>
          <w:lang w:val="en-US" w:eastAsia="zh-CN" w:bidi="ar"/>
        </w:rPr>
        <w:t>部门对数字化建设提出新的需求，以</w:t>
      </w:r>
      <w:r>
        <w:rPr>
          <w:rFonts w:hint="eastAsia" w:ascii="宋体" w:hAnsi="宋体" w:eastAsia="宋体" w:cs="宋体"/>
          <w:color w:val="auto"/>
          <w:kern w:val="2"/>
          <w:sz w:val="24"/>
          <w:szCs w:val="24"/>
          <w:highlight w:val="none"/>
          <w:lang w:val="en-US" w:eastAsia="zh-CN" w:bidi="ar"/>
        </w:rPr>
        <w:t>及在实际使用过程中遇到的痛点，需对原协同办公系统进行升级和扩展，建设更加贴合台州市实际业务需求的办文办事办会系统。</w:t>
      </w:r>
    </w:p>
    <w:p w14:paraId="40D7098E">
      <w:pPr>
        <w:pStyle w:val="4"/>
        <w:widowControl/>
        <w:numPr>
          <w:ilvl w:val="1"/>
          <w:numId w:val="0"/>
        </w:numPr>
        <w:spacing w:before="0" w:beforeAutospacing="0" w:after="0" w:afterAutospacing="0" w:line="360" w:lineRule="auto"/>
        <w:ind w:left="575" w:leftChars="0" w:hanging="575" w:firstLineChars="0"/>
        <w:jc w:val="left"/>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GB" w:eastAsia="zh-CN" w:bidi="ar-SA"/>
        </w:rPr>
        <w:t>1.2.</w:t>
      </w:r>
      <w:r>
        <w:rPr>
          <w:rFonts w:hint="eastAsia" w:ascii="宋体" w:hAnsi="宋体" w:eastAsia="宋体" w:cs="宋体"/>
          <w:b/>
          <w:bCs w:val="0"/>
          <w:color w:val="auto"/>
          <w:kern w:val="2"/>
          <w:sz w:val="24"/>
          <w:szCs w:val="24"/>
          <w:highlight w:val="none"/>
        </w:rPr>
        <w:t>建设内容</w:t>
      </w:r>
    </w:p>
    <w:p w14:paraId="322526C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台州市协同办公平台升级改造项目主要建设内容包括：档案预归档子系统新建、会议管理子系统改造、协同办公子系统改造、公文交换子系统改造及相关配套建设。</w:t>
      </w:r>
    </w:p>
    <w:p w14:paraId="04C18008">
      <w:pPr>
        <w:pStyle w:val="4"/>
        <w:pageBreakBefore w:val="0"/>
        <w:widowControl/>
        <w:numPr>
          <w:ilvl w:val="1"/>
          <w:numId w:val="0"/>
        </w:numPr>
        <w:kinsoku/>
        <w:wordWrap/>
        <w:topLinePunct w:val="0"/>
        <w:bidi w:val="0"/>
        <w:snapToGrid/>
        <w:spacing w:before="0" w:beforeAutospacing="0" w:after="0" w:afterAutospacing="0" w:line="360" w:lineRule="auto"/>
        <w:ind w:left="575" w:leftChars="0" w:hanging="575" w:firstLineChars="0"/>
        <w:jc w:val="left"/>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GB" w:eastAsia="zh-CN" w:bidi="ar-SA"/>
        </w:rPr>
        <w:t>1.3.</w:t>
      </w:r>
      <w:r>
        <w:rPr>
          <w:rFonts w:hint="eastAsia" w:ascii="宋体" w:hAnsi="宋体" w:eastAsia="宋体" w:cs="宋体"/>
          <w:b/>
          <w:bCs w:val="0"/>
          <w:color w:val="auto"/>
          <w:kern w:val="2"/>
          <w:sz w:val="24"/>
          <w:szCs w:val="24"/>
          <w:highlight w:val="none"/>
        </w:rPr>
        <w:t>项目采购清单</w:t>
      </w:r>
    </w:p>
    <w:p w14:paraId="213B9556">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42"/>
        <w:gridCol w:w="4662"/>
        <w:gridCol w:w="2412"/>
      </w:tblGrid>
      <w:tr w14:paraId="58FB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443" w:type="dxa"/>
            <w:tcBorders>
              <w:top w:val="single" w:color="auto" w:sz="4" w:space="0"/>
              <w:left w:val="single" w:color="auto" w:sz="4" w:space="0"/>
              <w:bottom w:val="single" w:color="auto" w:sz="4" w:space="0"/>
              <w:right w:val="single" w:color="auto" w:sz="4" w:space="0"/>
            </w:tcBorders>
            <w:shd w:val="clear" w:color="auto" w:fill="D7D7D7"/>
            <w:vAlign w:val="top"/>
          </w:tcPr>
          <w:p w14:paraId="68B9960C">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2" w:firstLineChars="20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序号</w:t>
            </w:r>
          </w:p>
        </w:tc>
        <w:tc>
          <w:tcPr>
            <w:tcW w:w="4666" w:type="dxa"/>
            <w:tcBorders>
              <w:top w:val="single" w:color="auto" w:sz="4" w:space="0"/>
              <w:left w:val="single" w:color="auto" w:sz="4" w:space="0"/>
              <w:bottom w:val="single" w:color="auto" w:sz="4" w:space="0"/>
              <w:right w:val="single" w:color="auto" w:sz="4" w:space="0"/>
            </w:tcBorders>
            <w:shd w:val="clear" w:color="auto" w:fill="D7D7D7"/>
            <w:vAlign w:val="top"/>
          </w:tcPr>
          <w:p w14:paraId="7613EF58">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2" w:firstLineChars="20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名称</w:t>
            </w:r>
          </w:p>
        </w:tc>
        <w:tc>
          <w:tcPr>
            <w:tcW w:w="2413" w:type="dxa"/>
            <w:tcBorders>
              <w:top w:val="single" w:color="auto" w:sz="4" w:space="0"/>
              <w:left w:val="single" w:color="auto" w:sz="4" w:space="0"/>
              <w:bottom w:val="single" w:color="auto" w:sz="4" w:space="0"/>
              <w:right w:val="single" w:color="auto" w:sz="4" w:space="0"/>
            </w:tcBorders>
            <w:shd w:val="clear" w:color="auto" w:fill="D7D7D7"/>
            <w:vAlign w:val="top"/>
          </w:tcPr>
          <w:p w14:paraId="57D51E91">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2" w:firstLineChars="20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数量</w:t>
            </w:r>
          </w:p>
        </w:tc>
      </w:tr>
      <w:tr w14:paraId="1C4F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04CAEC04">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0" w:firstLineChars="20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一</w:t>
            </w:r>
          </w:p>
        </w:tc>
        <w:tc>
          <w:tcPr>
            <w:tcW w:w="4666" w:type="dxa"/>
            <w:tcBorders>
              <w:top w:val="single" w:color="auto" w:sz="4" w:space="0"/>
              <w:left w:val="single" w:color="auto" w:sz="4" w:space="0"/>
              <w:bottom w:val="single" w:color="auto" w:sz="4" w:space="0"/>
              <w:right w:val="single" w:color="auto" w:sz="4" w:space="0"/>
            </w:tcBorders>
            <w:shd w:val="clear" w:color="auto" w:fill="auto"/>
            <w:vAlign w:val="top"/>
          </w:tcPr>
          <w:p w14:paraId="354A0B8C">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0" w:firstLineChars="20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台州市协同办公平台升级改造项目</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top"/>
          </w:tcPr>
          <w:p w14:paraId="27E3AAEC">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0" w:firstLineChars="200"/>
              <w:jc w:val="center"/>
              <w:rPr>
                <w:rFonts w:hint="eastAsia" w:ascii="宋体" w:hAnsi="宋体" w:eastAsia="宋体" w:cs="宋体"/>
                <w:b w:val="0"/>
                <w:bCs w:val="0"/>
                <w:color w:val="auto"/>
                <w:kern w:val="2"/>
                <w:sz w:val="24"/>
                <w:szCs w:val="24"/>
                <w:highlight w:val="none"/>
              </w:rPr>
            </w:pPr>
          </w:p>
        </w:tc>
      </w:tr>
      <w:tr w14:paraId="41CD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270156CA">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0" w:firstLineChars="20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1</w:t>
            </w:r>
          </w:p>
        </w:tc>
        <w:tc>
          <w:tcPr>
            <w:tcW w:w="4666" w:type="dxa"/>
            <w:tcBorders>
              <w:top w:val="single" w:color="auto" w:sz="4" w:space="0"/>
              <w:left w:val="single" w:color="auto" w:sz="4" w:space="0"/>
              <w:bottom w:val="single" w:color="auto" w:sz="4" w:space="0"/>
              <w:right w:val="single" w:color="auto" w:sz="4" w:space="0"/>
            </w:tcBorders>
            <w:shd w:val="clear" w:color="auto" w:fill="auto"/>
            <w:vAlign w:val="center"/>
          </w:tcPr>
          <w:p w14:paraId="66427826">
            <w:pPr>
              <w:keepNext w:val="0"/>
              <w:keepLines w:val="0"/>
              <w:pageBreakBefore w:val="0"/>
              <w:widowControl/>
              <w:suppressLineNumbers w:val="0"/>
              <w:kinsoku/>
              <w:wordWrap/>
              <w:topLinePunct w:val="0"/>
              <w:bidi w:val="0"/>
              <w:snapToGrid/>
              <w:spacing w:before="0" w:beforeAutospacing="0" w:after="0" w:afterAutospacing="0" w:line="360" w:lineRule="auto"/>
              <w:ind w:left="0" w:right="0" w:firstLine="480" w:firstLineChars="200"/>
              <w:jc w:val="center"/>
              <w:textAlignment w:val="center"/>
              <w:rPr>
                <w:rFonts w:hint="eastAsia" w:ascii="宋体" w:hAnsi="宋体" w:eastAsia="宋体" w:cs="宋体"/>
                <w:b w:val="0"/>
                <w:b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档案预归档子系统</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top"/>
          </w:tcPr>
          <w:p w14:paraId="292F3B30">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0" w:firstLineChars="20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1套</w:t>
            </w:r>
          </w:p>
        </w:tc>
      </w:tr>
      <w:tr w14:paraId="32C1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06623BB1">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0" w:firstLineChars="20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2</w:t>
            </w:r>
          </w:p>
        </w:tc>
        <w:tc>
          <w:tcPr>
            <w:tcW w:w="4666" w:type="dxa"/>
            <w:tcBorders>
              <w:top w:val="single" w:color="auto" w:sz="4" w:space="0"/>
              <w:left w:val="single" w:color="auto" w:sz="4" w:space="0"/>
              <w:bottom w:val="single" w:color="auto" w:sz="4" w:space="0"/>
              <w:right w:val="single" w:color="auto" w:sz="4" w:space="0"/>
            </w:tcBorders>
            <w:shd w:val="clear" w:color="auto" w:fill="auto"/>
            <w:vAlign w:val="center"/>
          </w:tcPr>
          <w:p w14:paraId="16EC77DE">
            <w:pPr>
              <w:keepNext w:val="0"/>
              <w:keepLines w:val="0"/>
              <w:pageBreakBefore w:val="0"/>
              <w:widowControl/>
              <w:suppressLineNumbers w:val="0"/>
              <w:kinsoku/>
              <w:wordWrap/>
              <w:topLinePunct w:val="0"/>
              <w:bidi w:val="0"/>
              <w:snapToGrid/>
              <w:spacing w:before="0" w:beforeAutospacing="0" w:after="0" w:afterAutospacing="0" w:line="360" w:lineRule="auto"/>
              <w:ind w:left="0" w:right="0" w:firstLine="480" w:firstLineChars="200"/>
              <w:jc w:val="center"/>
              <w:textAlignment w:val="center"/>
              <w:rPr>
                <w:rFonts w:hint="eastAsia" w:ascii="宋体" w:hAnsi="宋体" w:eastAsia="宋体" w:cs="宋体"/>
                <w:b w:val="0"/>
                <w:b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会议管理子系统改造</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top"/>
          </w:tcPr>
          <w:p w14:paraId="66EA8E35">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0" w:firstLineChars="20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1项</w:t>
            </w:r>
          </w:p>
        </w:tc>
      </w:tr>
      <w:tr w14:paraId="6D64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297CA93B">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0" w:firstLineChars="20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3</w:t>
            </w:r>
          </w:p>
        </w:tc>
        <w:tc>
          <w:tcPr>
            <w:tcW w:w="4666" w:type="dxa"/>
            <w:tcBorders>
              <w:top w:val="single" w:color="auto" w:sz="4" w:space="0"/>
              <w:left w:val="single" w:color="auto" w:sz="4" w:space="0"/>
              <w:bottom w:val="single" w:color="auto" w:sz="4" w:space="0"/>
              <w:right w:val="single" w:color="auto" w:sz="4" w:space="0"/>
            </w:tcBorders>
            <w:shd w:val="clear" w:color="auto" w:fill="auto"/>
            <w:vAlign w:val="center"/>
          </w:tcPr>
          <w:p w14:paraId="2A4B3504">
            <w:pPr>
              <w:keepNext w:val="0"/>
              <w:keepLines w:val="0"/>
              <w:pageBreakBefore w:val="0"/>
              <w:widowControl/>
              <w:suppressLineNumbers w:val="0"/>
              <w:kinsoku/>
              <w:wordWrap/>
              <w:topLinePunct w:val="0"/>
              <w:bidi w:val="0"/>
              <w:snapToGrid/>
              <w:spacing w:before="0" w:beforeAutospacing="0" w:after="0" w:afterAutospacing="0" w:line="360" w:lineRule="auto"/>
              <w:ind w:left="0" w:right="0" w:firstLine="480" w:firstLineChars="200"/>
              <w:jc w:val="center"/>
              <w:textAlignment w:val="center"/>
              <w:rPr>
                <w:rFonts w:hint="eastAsia" w:ascii="宋体" w:hAnsi="宋体" w:eastAsia="宋体" w:cs="宋体"/>
                <w:b w:val="0"/>
                <w:b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协同办公子系统改造</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top"/>
          </w:tcPr>
          <w:p w14:paraId="4E947E68">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0" w:firstLineChars="20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1项</w:t>
            </w:r>
          </w:p>
        </w:tc>
      </w:tr>
      <w:tr w14:paraId="1A3C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10EFD4E7">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0" w:firstLineChars="20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4</w:t>
            </w:r>
          </w:p>
        </w:tc>
        <w:tc>
          <w:tcPr>
            <w:tcW w:w="4666" w:type="dxa"/>
            <w:tcBorders>
              <w:top w:val="single" w:color="auto" w:sz="4" w:space="0"/>
              <w:left w:val="single" w:color="auto" w:sz="4" w:space="0"/>
              <w:bottom w:val="single" w:color="auto" w:sz="4" w:space="0"/>
              <w:right w:val="single" w:color="auto" w:sz="4" w:space="0"/>
            </w:tcBorders>
            <w:shd w:val="clear" w:color="auto" w:fill="auto"/>
            <w:vAlign w:val="center"/>
          </w:tcPr>
          <w:p w14:paraId="12416DFC">
            <w:pPr>
              <w:keepNext w:val="0"/>
              <w:keepLines w:val="0"/>
              <w:pageBreakBefore w:val="0"/>
              <w:widowControl/>
              <w:suppressLineNumbers w:val="0"/>
              <w:kinsoku/>
              <w:wordWrap/>
              <w:topLinePunct w:val="0"/>
              <w:bidi w:val="0"/>
              <w:snapToGrid/>
              <w:spacing w:before="0" w:beforeAutospacing="0" w:after="0" w:afterAutospacing="0" w:line="360" w:lineRule="auto"/>
              <w:ind w:left="0" w:right="0" w:firstLine="480" w:firstLineChars="200"/>
              <w:jc w:val="center"/>
              <w:textAlignment w:val="center"/>
              <w:rPr>
                <w:rFonts w:hint="eastAsia" w:ascii="宋体" w:hAnsi="宋体" w:eastAsia="宋体" w:cs="宋体"/>
                <w:b w:val="0"/>
                <w:bCs w:val="0"/>
                <w:color w:val="auto"/>
                <w:kern w:val="2"/>
                <w:sz w:val="24"/>
                <w:szCs w:val="24"/>
                <w:highlight w:val="none"/>
              </w:rPr>
            </w:pPr>
            <w:r>
              <w:rPr>
                <w:rFonts w:hint="eastAsia" w:ascii="宋体" w:hAnsi="宋体" w:eastAsia="宋体" w:cs="宋体"/>
                <w:i w:val="0"/>
                <w:iCs w:val="0"/>
                <w:color w:val="auto"/>
                <w:kern w:val="0"/>
                <w:sz w:val="24"/>
                <w:szCs w:val="24"/>
                <w:highlight w:val="none"/>
                <w:lang w:val="en-US" w:eastAsia="zh-CN" w:bidi="ar"/>
              </w:rPr>
              <w:t>公文交换子系统改造</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top"/>
          </w:tcPr>
          <w:p w14:paraId="7F4BF7F4">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0" w:firstLineChars="20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1项</w:t>
            </w:r>
          </w:p>
        </w:tc>
      </w:tr>
      <w:tr w14:paraId="2086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70E6A8D1">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0" w:firstLineChars="20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5</w:t>
            </w:r>
          </w:p>
        </w:tc>
        <w:tc>
          <w:tcPr>
            <w:tcW w:w="4666" w:type="dxa"/>
            <w:tcBorders>
              <w:top w:val="single" w:color="auto" w:sz="4" w:space="0"/>
              <w:left w:val="single" w:color="auto" w:sz="4" w:space="0"/>
              <w:bottom w:val="single" w:color="auto" w:sz="4" w:space="0"/>
              <w:right w:val="single" w:color="auto" w:sz="4" w:space="0"/>
            </w:tcBorders>
            <w:shd w:val="clear" w:color="auto" w:fill="auto"/>
            <w:vAlign w:val="center"/>
          </w:tcPr>
          <w:p w14:paraId="3AC835A5">
            <w:pPr>
              <w:keepNext w:val="0"/>
              <w:keepLines w:val="0"/>
              <w:pageBreakBefore w:val="0"/>
              <w:widowControl/>
              <w:suppressLineNumbers w:val="0"/>
              <w:kinsoku/>
              <w:wordWrap/>
              <w:topLinePunct w:val="0"/>
              <w:bidi w:val="0"/>
              <w:snapToGrid/>
              <w:spacing w:before="0" w:beforeAutospacing="0" w:after="0" w:afterAutospacing="0" w:line="360" w:lineRule="auto"/>
              <w:ind w:left="0" w:right="0" w:firstLine="480" w:firstLineChars="20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其他配套建设</w:t>
            </w:r>
          </w:p>
        </w:tc>
        <w:tc>
          <w:tcPr>
            <w:tcW w:w="2413" w:type="dxa"/>
            <w:tcBorders>
              <w:top w:val="single" w:color="auto" w:sz="4" w:space="0"/>
              <w:left w:val="single" w:color="auto" w:sz="4" w:space="0"/>
              <w:bottom w:val="single" w:color="auto" w:sz="4" w:space="0"/>
              <w:right w:val="single" w:color="auto" w:sz="4" w:space="0"/>
            </w:tcBorders>
            <w:shd w:val="clear" w:color="auto" w:fill="auto"/>
            <w:vAlign w:val="top"/>
          </w:tcPr>
          <w:p w14:paraId="1C6A5205">
            <w:pPr>
              <w:keepNext w:val="0"/>
              <w:keepLines w:val="0"/>
              <w:pageBreakBefore w:val="0"/>
              <w:widowControl w:val="0"/>
              <w:suppressLineNumbers w:val="0"/>
              <w:kinsoku/>
              <w:wordWrap/>
              <w:topLinePunct w:val="0"/>
              <w:bidi w:val="0"/>
              <w:snapToGrid/>
              <w:spacing w:before="0" w:beforeAutospacing="0" w:after="0" w:afterAutospacing="0" w:line="360" w:lineRule="auto"/>
              <w:ind w:left="0" w:right="0" w:firstLine="480" w:firstLineChars="200"/>
              <w:jc w:val="center"/>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1项</w:t>
            </w:r>
          </w:p>
        </w:tc>
      </w:tr>
    </w:tbl>
    <w:p w14:paraId="12A04E7E">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宋体" w:hAnsi="宋体" w:eastAsia="宋体" w:cs="宋体"/>
          <w:b/>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b/>
          <w:bCs w:val="0"/>
          <w:color w:val="auto"/>
          <w:kern w:val="2"/>
          <w:sz w:val="24"/>
          <w:szCs w:val="24"/>
          <w:highlight w:val="none"/>
          <w:lang w:val="en-GB" w:eastAsia="zh-CN" w:bidi="ar-SA"/>
        </w:rPr>
        <w:t>1.4.</w:t>
      </w:r>
      <w:r>
        <w:rPr>
          <w:rFonts w:hint="eastAsia" w:ascii="宋体" w:hAnsi="宋体" w:eastAsia="宋体" w:cs="宋体"/>
          <w:b/>
          <w:bCs w:val="0"/>
          <w:color w:val="auto"/>
          <w:kern w:val="2"/>
          <w:sz w:val="24"/>
          <w:szCs w:val="24"/>
          <w:highlight w:val="none"/>
        </w:rPr>
        <w:t>技术需求</w:t>
      </w:r>
    </w:p>
    <w:p w14:paraId="1A213B51">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本次台州市协同办公平台建设包括：</w:t>
      </w:r>
    </w:p>
    <w:p w14:paraId="6BCB7E1F">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（1）新建档案预归档子系统；</w:t>
      </w:r>
    </w:p>
    <w:p w14:paraId="3DDEFD9E">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（2）对会议管理子系统、协同办公子系统基于原平台新增相关功能模块；</w:t>
      </w:r>
    </w:p>
    <w:p w14:paraId="6CF78811">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（3）在原公文交换子系统基础上新增全市公文中转功能，实现向上对接省公文交换系统，向下承接各区县公文交换系统，贯通省市县所有公文业务。同时新增公文交换子系统浙政钉端功能。</w:t>
      </w:r>
    </w:p>
    <w:p w14:paraId="11024F81">
      <w:pPr>
        <w:pStyle w:val="5"/>
        <w:widowControl/>
        <w:numPr>
          <w:ilvl w:val="2"/>
          <w:numId w:val="0"/>
        </w:numPr>
        <w:kinsoku/>
        <w:wordWrap/>
        <w:topLinePunct w:val="0"/>
        <w:bidi w:val="0"/>
        <w:snapToGrid/>
        <w:spacing w:before="0" w:beforeAutospacing="0" w:after="0" w:afterAutospacing="0" w:line="360" w:lineRule="auto"/>
        <w:ind w:left="720" w:leftChars="0" w:hanging="720"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1.4.1.</w:t>
      </w:r>
      <w:r>
        <w:rPr>
          <w:rFonts w:hint="eastAsia" w:ascii="宋体" w:hAnsi="宋体" w:eastAsia="宋体" w:cs="宋体"/>
          <w:b/>
          <w:bCs w:val="0"/>
          <w:color w:val="auto"/>
          <w:kern w:val="2"/>
          <w:sz w:val="24"/>
          <w:szCs w:val="24"/>
          <w:highlight w:val="none"/>
        </w:rPr>
        <w:t>档案预归档子系统</w:t>
      </w:r>
    </w:p>
    <w:p w14:paraId="086348DA">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1.4.1.1.</w:t>
      </w:r>
      <w:r>
        <w:rPr>
          <w:rFonts w:hint="eastAsia" w:ascii="宋体" w:hAnsi="宋体" w:eastAsia="宋体" w:cs="宋体"/>
          <w:b/>
          <w:bCs w:val="0"/>
          <w:color w:val="auto"/>
          <w:kern w:val="2"/>
          <w:sz w:val="24"/>
          <w:szCs w:val="24"/>
          <w:highlight w:val="none"/>
        </w:rPr>
        <w:t>首页报表模块</w:t>
      </w:r>
    </w:p>
    <w:p w14:paraId="3942177D">
      <w:pPr>
        <w:pStyle w:val="7"/>
        <w:pageBreakBefore w:val="0"/>
        <w:widowControl/>
        <w:numPr>
          <w:ilvl w:val="4"/>
          <w:numId w:val="0"/>
        </w:numPr>
        <w:tabs>
          <w:tab w:val="clear" w:pos="0"/>
        </w:tabs>
        <w:kinsoku/>
        <w:wordWrap/>
        <w:overflowPunct/>
        <w:topLinePunct w:val="0"/>
        <w:autoSpaceDE/>
        <w:autoSpaceDN/>
        <w:bidi w:val="0"/>
        <w:adjustRightInd/>
        <w:snapToGrid/>
        <w:spacing w:before="0" w:beforeAutospacing="0" w:after="0" w:line="360" w:lineRule="auto"/>
        <w:jc w:val="left"/>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1.4.1.1.1.</w:t>
      </w:r>
      <w:r>
        <w:rPr>
          <w:rFonts w:hint="eastAsia" w:ascii="宋体" w:hAnsi="宋体" w:eastAsia="宋体" w:cs="宋体"/>
          <w:b/>
          <w:bCs/>
          <w:color w:val="auto"/>
          <w:kern w:val="2"/>
          <w:sz w:val="24"/>
          <w:szCs w:val="24"/>
          <w:highlight w:val="none"/>
        </w:rPr>
        <w:t>首页</w:t>
      </w:r>
    </w:p>
    <w:p w14:paraId="658CA13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应提供登录信息、模块导航、消息及待办中心和修改密码等基础功能。</w:t>
      </w:r>
    </w:p>
    <w:p w14:paraId="2B6156E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（1）登录信息：接入协同办公平台统一用户管理模块，实现统一身份认证和授权，在首页醒目位置显示当前登录信息。</w:t>
      </w:r>
    </w:p>
    <w:p w14:paraId="39A85D6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（2）模块导航：提供档案预归档子系统模块入口导航功能，支持按角色控制模块权限。</w:t>
      </w:r>
    </w:p>
    <w:p w14:paraId="0B51ECB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（3）消息及待办中心：提供子系统内预警、待处理等消息集中推送和显示的模块。提供子系统内待办任务推送和显示的模块。</w:t>
      </w:r>
    </w:p>
    <w:p w14:paraId="30C0895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（4）修改密码：提供当前用户修改密码的功能。</w:t>
      </w:r>
    </w:p>
    <w:p w14:paraId="7CCCD409">
      <w:pPr>
        <w:pStyle w:val="7"/>
        <w:pageBreakBefore w:val="0"/>
        <w:widowControl/>
        <w:numPr>
          <w:ilvl w:val="4"/>
          <w:numId w:val="0"/>
        </w:numPr>
        <w:tabs>
          <w:tab w:val="clear" w:pos="0"/>
        </w:tabs>
        <w:kinsoku/>
        <w:wordWrap/>
        <w:overflowPunct/>
        <w:topLinePunct w:val="0"/>
        <w:autoSpaceDN/>
        <w:bidi w:val="0"/>
        <w:adjustRightInd/>
        <w:snapToGrid/>
        <w:spacing w:before="0" w:beforeAutospacing="0" w:after="0"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1.4.1.1.2.</w:t>
      </w:r>
      <w:r>
        <w:rPr>
          <w:rFonts w:hint="eastAsia" w:ascii="宋体" w:hAnsi="宋体" w:eastAsia="宋体" w:cs="宋体"/>
          <w:b/>
          <w:bCs/>
          <w:color w:val="auto"/>
          <w:kern w:val="2"/>
          <w:sz w:val="24"/>
          <w:szCs w:val="24"/>
          <w:highlight w:val="none"/>
        </w:rPr>
        <w:t>运行监控报表</w:t>
      </w:r>
    </w:p>
    <w:p w14:paraId="20AA15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应提供档案预归档子系统运行状态监控展示，包括且不限于业务量分布、检测率、数据交换等运行指标。</w:t>
      </w:r>
    </w:p>
    <w:p w14:paraId="5B208F3C">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1.4.1.3.</w:t>
      </w:r>
      <w:r>
        <w:rPr>
          <w:rFonts w:hint="eastAsia" w:ascii="宋体" w:hAnsi="宋体" w:eastAsia="宋体" w:cs="宋体"/>
          <w:b/>
          <w:bCs w:val="0"/>
          <w:color w:val="auto"/>
          <w:kern w:val="2"/>
          <w:sz w:val="24"/>
          <w:szCs w:val="24"/>
          <w:highlight w:val="none"/>
        </w:rPr>
        <w:t>预归档模块</w:t>
      </w:r>
    </w:p>
    <w:p w14:paraId="27710531">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按照《党政机关电子公文归档规范》（GB/T 39362-2020）和《浙江省党政机关电子公文归档与电子档案管理暂行办法》要求，预归档模块应提供对电子公文组件及其元数据的收集、整理、组件、检测、形成归档信息包等功能，实现电子公文的“一键归档”。</w:t>
      </w:r>
    </w:p>
    <w:p w14:paraId="72447769">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1.4.1.4.</w:t>
      </w:r>
      <w:r>
        <w:rPr>
          <w:rFonts w:hint="eastAsia" w:ascii="宋体" w:hAnsi="宋体" w:eastAsia="宋体" w:cs="宋体"/>
          <w:b/>
          <w:bCs w:val="0"/>
          <w:color w:val="auto"/>
          <w:kern w:val="2"/>
          <w:sz w:val="24"/>
          <w:szCs w:val="24"/>
          <w:highlight w:val="none"/>
        </w:rPr>
        <w:t>预归档检测模块</w:t>
      </w:r>
    </w:p>
    <w:p w14:paraId="512832BE">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预归档检测模块提供对归档信息包进行技术检测功能，能够按照配置的检测方案对归档信息包进行规范性检测，检测后记录检测结果，检测不合格的应及时提醒，检测合格后通过交换模块进行数据交换。应按照《党政机关电子公文归档规范》（GB/T 39362-2020）进行设计开发。</w:t>
      </w:r>
    </w:p>
    <w:p w14:paraId="0F490532">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1.4.1.5.</w:t>
      </w:r>
      <w:r>
        <w:rPr>
          <w:rFonts w:hint="eastAsia" w:ascii="宋体" w:hAnsi="宋体" w:eastAsia="宋体" w:cs="宋体"/>
          <w:b/>
          <w:bCs w:val="0"/>
          <w:color w:val="auto"/>
          <w:kern w:val="2"/>
          <w:sz w:val="24"/>
          <w:szCs w:val="24"/>
          <w:highlight w:val="none"/>
        </w:rPr>
        <w:t>预归档配置模块</w:t>
      </w:r>
    </w:p>
    <w:p w14:paraId="492D4007">
      <w:pPr>
        <w:pStyle w:val="7"/>
        <w:pageBreakBefore w:val="0"/>
        <w:widowControl/>
        <w:numPr>
          <w:ilvl w:val="4"/>
          <w:numId w:val="0"/>
        </w:numPr>
        <w:tabs>
          <w:tab w:val="clear" w:pos="0"/>
        </w:tabs>
        <w:kinsoku/>
        <w:wordWrap/>
        <w:overflowPunct/>
        <w:topLinePunct w:val="0"/>
        <w:autoSpaceDE/>
        <w:autoSpaceDN/>
        <w:bidi w:val="0"/>
        <w:adjustRightInd/>
        <w:snapToGrid/>
        <w:spacing w:before="0" w:beforeAutospacing="0" w:after="0"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1.4.1.5.1.</w:t>
      </w:r>
      <w:r>
        <w:rPr>
          <w:rFonts w:hint="eastAsia" w:ascii="宋体" w:hAnsi="宋体" w:eastAsia="宋体" w:cs="宋体"/>
          <w:b/>
          <w:bCs/>
          <w:color w:val="auto"/>
          <w:kern w:val="2"/>
          <w:sz w:val="24"/>
          <w:szCs w:val="24"/>
          <w:highlight w:val="none"/>
        </w:rPr>
        <w:t>业务参数配置管理</w:t>
      </w:r>
    </w:p>
    <w:p w14:paraId="19F626D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支持电子公文自动预归档的配置管理功能。设置参数包含：电子公文的归档范围、档案门类代码、保管期限和机构（问题）代码、元数据及组成材料等归档要素，以及档号生成规则、文件分类规则、检测规则、存储规则等。元数据方案依据《党政机关电子公文归档规范》（GB/T 39362-2020）进行设计。</w:t>
      </w:r>
    </w:p>
    <w:p w14:paraId="6E7E3AB5">
      <w:pPr>
        <w:pStyle w:val="7"/>
        <w:pageBreakBefore w:val="0"/>
        <w:widowControl/>
        <w:numPr>
          <w:ilvl w:val="4"/>
          <w:numId w:val="0"/>
        </w:numPr>
        <w:tabs>
          <w:tab w:val="clear" w:pos="0"/>
        </w:tabs>
        <w:kinsoku/>
        <w:wordWrap/>
        <w:overflowPunct/>
        <w:topLinePunct w:val="0"/>
        <w:autoSpaceDE/>
        <w:autoSpaceDN/>
        <w:bidi w:val="0"/>
        <w:adjustRightInd/>
        <w:snapToGrid/>
        <w:spacing w:before="0" w:beforeAutospacing="0" w:after="0"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1.4.1.5.2.</w:t>
      </w:r>
      <w:r>
        <w:rPr>
          <w:rFonts w:hint="eastAsia" w:ascii="宋体" w:hAnsi="宋体" w:eastAsia="宋体" w:cs="宋体"/>
          <w:b/>
          <w:bCs/>
          <w:color w:val="auto"/>
          <w:kern w:val="2"/>
          <w:sz w:val="24"/>
          <w:szCs w:val="24"/>
          <w:highlight w:val="none"/>
        </w:rPr>
        <w:t>系统参数配置管理</w:t>
      </w:r>
    </w:p>
    <w:p w14:paraId="24A948F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提供必要的系统管理功能包括系统安全和系统定制等管理功能。</w:t>
      </w:r>
    </w:p>
    <w:p w14:paraId="764175C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（1）系统安全：提供系统安全管理功能，包括：用户管理、角色管理、权限管理、操作日志等。</w:t>
      </w:r>
    </w:p>
    <w:p w14:paraId="5FBB1BF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（2）系统定制：系统提供字段（元数据）定制、辅助字典、档号格式定制和四性检测规则定。</w:t>
      </w:r>
    </w:p>
    <w:p w14:paraId="48F50B0E">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1.4.1.6.</w:t>
      </w:r>
      <w:r>
        <w:rPr>
          <w:rFonts w:hint="eastAsia" w:ascii="宋体" w:hAnsi="宋体" w:eastAsia="宋体" w:cs="宋体"/>
          <w:b/>
          <w:bCs w:val="0"/>
          <w:color w:val="auto"/>
          <w:kern w:val="2"/>
          <w:sz w:val="24"/>
          <w:szCs w:val="24"/>
          <w:highlight w:val="none"/>
        </w:rPr>
        <w:t>档案局接口对接改造</w:t>
      </w:r>
    </w:p>
    <w:p w14:paraId="4DE254A6">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档案预归档子系统建设完成后，应根据档案局要求完成与档案业务系统对接，实现电子公文在线移交归档。</w:t>
      </w:r>
    </w:p>
    <w:p w14:paraId="21150F29">
      <w:pPr>
        <w:pStyle w:val="5"/>
        <w:widowControl/>
        <w:numPr>
          <w:ilvl w:val="2"/>
          <w:numId w:val="0"/>
        </w:numPr>
        <w:kinsoku/>
        <w:wordWrap/>
        <w:topLinePunct w:val="0"/>
        <w:bidi w:val="0"/>
        <w:snapToGrid/>
        <w:spacing w:before="0" w:beforeAutospacing="0" w:after="0" w:afterAutospacing="0" w:line="360" w:lineRule="auto"/>
        <w:ind w:left="720" w:leftChars="0" w:hanging="720"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1.4.2.</w:t>
      </w:r>
      <w:r>
        <w:rPr>
          <w:rFonts w:hint="eastAsia" w:ascii="宋体" w:hAnsi="宋体" w:eastAsia="宋体" w:cs="宋体"/>
          <w:b/>
          <w:bCs w:val="0"/>
          <w:color w:val="auto"/>
          <w:kern w:val="2"/>
          <w:sz w:val="24"/>
          <w:szCs w:val="24"/>
          <w:highlight w:val="none"/>
        </w:rPr>
        <w:t>会议管理子系统改造</w:t>
      </w:r>
    </w:p>
    <w:p w14:paraId="15B37BDA">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PC端会议子系统二级首页，增加会议通知、会议审签、会议议题的待办列表，会议反馈列表集成；增加会议通知、会议审签、会议反馈、议题审签、来宾安排的待办及待阅的角标显示；提供会议通知、会议室预约、会议审签、会议反馈、议题审签、来宾安排、会议资料、会议签到等模块的入口</w:t>
      </w:r>
    </w:p>
    <w:p w14:paraId="134C76F3">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完善会议反馈功能，在会议参会人员反馈之后，会议发起人可实现浙政钉一键建群功能，自动建群并邀请所有参会人员入群。</w:t>
      </w:r>
    </w:p>
    <w:p w14:paraId="6A9892CD">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来宾安排模块，提供市政府重要接待活动的登记、审核和领导批示等功能，实现来宾安排的在线流转、查看及审批的功能。通过工作流程引擎控制流转程序，完成来宾安排的发送、办理、状态跟踪、催办提醒等全过程化管理。包括待办公文、在办公文、办结公文、待阅公文、已阅公文、收藏公文、来宾安排配置等功能。</w:t>
      </w:r>
    </w:p>
    <w:p w14:paraId="6740FC57">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新增议题管理模块，提供市政府常务会议及市长办公会议议题的登记、审批、入库及配置的功能。</w:t>
      </w:r>
    </w:p>
    <w:p w14:paraId="29946559">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新增会议资料管理模块，提供在线的会议资料管理，包括常务会议、市政府党组会、市府办党组会、其他专题会、市长办公会五大类会议资料的收集、分发以及查阅等功能。</w:t>
      </w:r>
    </w:p>
    <w:p w14:paraId="198DD60D">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移动端新增来宾安排，会议资料两个模块，新开发两个模块移动端页面，后端服务接口与PC端共用。</w:t>
      </w:r>
    </w:p>
    <w:p w14:paraId="4B441639">
      <w:pPr>
        <w:pStyle w:val="5"/>
        <w:widowControl/>
        <w:numPr>
          <w:ilvl w:val="2"/>
          <w:numId w:val="0"/>
        </w:numPr>
        <w:kinsoku/>
        <w:wordWrap/>
        <w:topLinePunct w:val="0"/>
        <w:bidi w:val="0"/>
        <w:snapToGrid/>
        <w:spacing w:before="0" w:beforeAutospacing="0" w:after="0" w:afterAutospacing="0" w:line="360" w:lineRule="auto"/>
        <w:ind w:left="720" w:leftChars="0" w:hanging="720"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w:t>
      </w:r>
      <w:r>
        <w:rPr>
          <w:rFonts w:hint="eastAsia" w:ascii="宋体" w:hAnsi="宋体" w:eastAsia="宋体" w:cs="宋体"/>
          <w:b/>
          <w:bCs w:val="0"/>
          <w:color w:val="auto"/>
          <w:kern w:val="2"/>
          <w:sz w:val="24"/>
          <w:szCs w:val="24"/>
          <w:highlight w:val="none"/>
        </w:rPr>
        <w:t>协同办公子系统改造</w:t>
      </w:r>
    </w:p>
    <w:p w14:paraId="0DECD3EF">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1.4.3.1.</w:t>
      </w:r>
      <w:r>
        <w:rPr>
          <w:rFonts w:hint="eastAsia" w:ascii="宋体" w:hAnsi="宋体" w:eastAsia="宋体" w:cs="宋体"/>
          <w:b/>
          <w:bCs w:val="0"/>
          <w:color w:val="auto"/>
          <w:kern w:val="2"/>
          <w:sz w:val="24"/>
          <w:szCs w:val="24"/>
          <w:highlight w:val="none"/>
        </w:rPr>
        <w:t>内跑办理模块</w:t>
      </w:r>
    </w:p>
    <w:p w14:paraId="77467243">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内跑办理模块，对接台州市机关内部最多跑一次系统，当内跑系统中有需要单位办理的文件时，可显示在内跑办理模块的待办理列表，相关人员可直接打开办件信息，查看并转入内跑办理模块进行办理，转入过程中自动获取办件的相关信息及附件。</w:t>
      </w:r>
    </w:p>
    <w:p w14:paraId="33FC8B87">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集成内跑系统的相关操作按钮，当内跑办理模块中办理流程完成时，可以在内跑办理模块中直接点击相关操作按钮，返回协同办公系统的办理信息（办理单、审批意见等）到内跑系统中，实现内部系统中对应的功能，无需再到内跑系统进行操作即可完成内跑系统的事项办理。</w:t>
      </w:r>
    </w:p>
    <w:p w14:paraId="25155ECB">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内跑建的流程需要实现内跑件流转过程中的信息查阅、附件文件上传和删除、发送至相关领导、相关主任、联办部门、主办部门等填写相关意见填写、转办、退回等基础操作、流程查看、并自动记录内跑件的全程流程信息。支持同一公文的不同传阅人员可同时办理公文，相关处室可同时查阅、各自办理，且不影响文件的流转和其他人员收阅，从而减少办理时间，提高工作效率。</w:t>
      </w:r>
    </w:p>
    <w:p w14:paraId="1989159B">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1.4.3.2.</w:t>
      </w:r>
      <w:r>
        <w:rPr>
          <w:rFonts w:hint="eastAsia" w:ascii="宋体" w:hAnsi="宋体" w:eastAsia="宋体" w:cs="宋体"/>
          <w:b/>
          <w:bCs w:val="0"/>
          <w:color w:val="auto"/>
          <w:kern w:val="2"/>
          <w:sz w:val="24"/>
          <w:szCs w:val="24"/>
          <w:highlight w:val="none"/>
        </w:rPr>
        <w:t>政务信息模块</w:t>
      </w:r>
    </w:p>
    <w:p w14:paraId="27EA2175">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新增政务信息模块，提供从起草、审核、签发、办结归档等全流程审批。正文部分可以在线起草正文，实现政务信息成稿后的在线流转和审批的功能，集成金格在线编辑插件，支持Microsoft Word、金山WPS等文字处理工具，支持各种采编模板的配置，提供在线编辑、痕迹保留、模板更换、红头套打等功能；附件部分可以上传文件。通过工作流程引擎，严格控制流转程序，完成发送、办理、状态跟踪、催办提醒等全过程化管理。政务信息模块应包括待办、在办、办结、待阅、已阅、收藏等功能。</w:t>
      </w:r>
    </w:p>
    <w:p w14:paraId="4BFEA362">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1.4.3.3.</w:t>
      </w:r>
      <w:r>
        <w:rPr>
          <w:rFonts w:hint="eastAsia" w:ascii="宋体" w:hAnsi="宋体" w:eastAsia="宋体" w:cs="宋体"/>
          <w:b/>
          <w:bCs w:val="0"/>
          <w:color w:val="auto"/>
          <w:kern w:val="2"/>
          <w:sz w:val="24"/>
          <w:szCs w:val="24"/>
          <w:highlight w:val="none"/>
        </w:rPr>
        <w:t>督查督办模块</w:t>
      </w:r>
    </w:p>
    <w:p w14:paraId="66F94D3A">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新增督查督办模块，提供督查件的起草、审核和领导批示、编号、制版、盖章等功能，实现政务督查件的在线流转和审批的功能。集成金格在线编辑插件，支持Microsoft Word、金山WPS等文字处理工具，支持各种采编模板的配置，提供在线编辑、痕迹保留、模板更换、红头套打等功能。通过工作流程引擎，严格控制流转程序，完成督查件的发送、办理、状态跟踪、催办提醒等全过程化管理。督查督办应包括待办公文拟稿、在办公文菜单、办结公文、待阅模块、已阅模块、收藏公文等功能。</w:t>
      </w:r>
    </w:p>
    <w:p w14:paraId="0729EF3E">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1.4.3.4.</w:t>
      </w:r>
      <w:r>
        <w:rPr>
          <w:rFonts w:hint="eastAsia" w:ascii="宋体" w:hAnsi="宋体" w:eastAsia="宋体" w:cs="宋体"/>
          <w:b/>
          <w:bCs w:val="0"/>
          <w:color w:val="auto"/>
          <w:kern w:val="2"/>
          <w:sz w:val="24"/>
          <w:szCs w:val="24"/>
          <w:highlight w:val="none"/>
        </w:rPr>
        <w:t>合同管理模块</w:t>
      </w:r>
    </w:p>
    <w:p w14:paraId="75BD7B47">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新、旧合同审批流程及相关的办理单设计。提供新合同签批申请审批、历史旧合同的备案登记审批及所有合同按标题、业主单位、时间、所属项目、编号等维度的查询、展示和导出等功能。提供合同的起草、审核、编号、制版等功能，实现合同的在线流转和审批的功能。集成在线编辑插件，支持Microsoft Word、金山WPS等文字处理工具，提供在线编辑、痕迹保留等功能。</w:t>
      </w:r>
    </w:p>
    <w:p w14:paraId="7C2DA25F">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合同管理包括新合同签批申请、新合同待办、新合同在办、新合同办结、新合同配置等功能；旧合同备案模块、旧合同配置、所有合同、合同在线归档等功能。</w:t>
      </w:r>
    </w:p>
    <w:p w14:paraId="6A914390">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1.4.3.5.</w:t>
      </w:r>
      <w:r>
        <w:rPr>
          <w:rFonts w:hint="eastAsia" w:ascii="宋体" w:hAnsi="宋体" w:eastAsia="宋体" w:cs="宋体"/>
          <w:b/>
          <w:bCs w:val="0"/>
          <w:color w:val="auto"/>
          <w:kern w:val="2"/>
          <w:sz w:val="24"/>
          <w:szCs w:val="24"/>
          <w:highlight w:val="none"/>
        </w:rPr>
        <w:t>会议审批经费报销模块</w:t>
      </w:r>
    </w:p>
    <w:p w14:paraId="45225B69">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会议审批经费报销模块，提供从经办人发起审批、处室负责人审核、分管领导审批、办结归档等全流程审批。通过工作流程引擎，严格控制流转程序，完成发送、办理、状态跟踪、催办提醒等全过程化管理。相关的劳务费用根据经办人填写和选择的职称、课时、讲课费等内容，系统自动根据预设值的规则计算出整体的劳务费用。会议审批经费报销模块应包括待办、在办、办结等功能。</w:t>
      </w:r>
    </w:p>
    <w:p w14:paraId="02872507">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1.4.3.6.</w:t>
      </w:r>
      <w:r>
        <w:rPr>
          <w:rFonts w:hint="eastAsia" w:ascii="宋体" w:hAnsi="宋体" w:eastAsia="宋体" w:cs="宋体"/>
          <w:b/>
          <w:bCs w:val="0"/>
          <w:color w:val="auto"/>
          <w:kern w:val="2"/>
          <w:sz w:val="24"/>
          <w:szCs w:val="24"/>
          <w:highlight w:val="none"/>
        </w:rPr>
        <w:t>全文检索模块</w:t>
      </w:r>
    </w:p>
    <w:p w14:paraId="1466C08B">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全文检索（历史文件库）开发，根据用户实际要求，按系统模块的分类进行展示，提供各种类型的查询字段条件，精确查找。定制文件查询权限，分为普通用户权限和超级用户权限，普通用户只可查看自身相关权限的文件，超级用户权限可查看本单位所有的文件。</w:t>
      </w:r>
    </w:p>
    <w:p w14:paraId="5B5910BF">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1.4.3.7.</w:t>
      </w:r>
      <w:r>
        <w:rPr>
          <w:rFonts w:hint="eastAsia" w:ascii="宋体" w:hAnsi="宋体" w:eastAsia="宋体" w:cs="宋体"/>
          <w:b/>
          <w:bCs w:val="0"/>
          <w:color w:val="auto"/>
          <w:kern w:val="2"/>
          <w:sz w:val="24"/>
          <w:szCs w:val="24"/>
          <w:highlight w:val="none"/>
        </w:rPr>
        <w:t>管理角色功能定制</w:t>
      </w:r>
    </w:p>
    <w:p w14:paraId="6A4302F5">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增加特殊定制功能，针对特定人员，各端首页面（如PC、浙政钉等）的待办、待阅、已阅菜单和收文模块的待办、在办、办结、待阅、已阅菜单，根据重要程度及分类中选择的内容展示不同的颜色预警，重写以上8个菜单所对应的接口业务处理逻辑，确保普通人员和定制人员不同的展示效果。</w:t>
      </w:r>
    </w:p>
    <w:p w14:paraId="1E5B5DFD">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1.4.3.8.</w:t>
      </w:r>
      <w:r>
        <w:rPr>
          <w:rFonts w:hint="eastAsia" w:ascii="宋体" w:hAnsi="宋体" w:eastAsia="宋体" w:cs="宋体"/>
          <w:b/>
          <w:bCs w:val="0"/>
          <w:color w:val="auto"/>
          <w:kern w:val="2"/>
          <w:sz w:val="24"/>
          <w:szCs w:val="24"/>
          <w:highlight w:val="none"/>
        </w:rPr>
        <w:t>浙政钉工作通知对接</w:t>
      </w:r>
    </w:p>
    <w:p w14:paraId="3788C5DC">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新增浙政钉工作通知提醒方式，协同办公系统发送时可选择发送浙政钉工作通知，点击工作通知免登跳转到协同办公系统对应的文件办理页面。</w:t>
      </w:r>
    </w:p>
    <w:p w14:paraId="2722EEB4">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1.4.3.9.</w:t>
      </w:r>
      <w:r>
        <w:rPr>
          <w:rFonts w:hint="eastAsia" w:ascii="宋体" w:hAnsi="宋体" w:eastAsia="宋体" w:cs="宋体"/>
          <w:b/>
          <w:bCs w:val="0"/>
          <w:color w:val="auto"/>
          <w:kern w:val="2"/>
          <w:sz w:val="24"/>
          <w:szCs w:val="24"/>
          <w:highlight w:val="none"/>
        </w:rPr>
        <w:t>办理单主送改造</w:t>
      </w:r>
    </w:p>
    <w:p w14:paraId="674F7E39">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PC、移动端前端办理单增加公文交换组织树组件，后端增加获取公文交换组织信息的接口，实现特定单位发文办理单上主送一栏可以直接选择公文交换的实时组织信息。</w:t>
      </w:r>
    </w:p>
    <w:p w14:paraId="57036ABC">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1.4.3.10.</w:t>
      </w:r>
      <w:r>
        <w:rPr>
          <w:rFonts w:hint="eastAsia" w:ascii="宋体" w:hAnsi="宋体" w:eastAsia="宋体" w:cs="宋体"/>
          <w:b/>
          <w:bCs w:val="0"/>
          <w:color w:val="auto"/>
          <w:kern w:val="2"/>
          <w:sz w:val="24"/>
          <w:szCs w:val="24"/>
          <w:highlight w:val="none"/>
        </w:rPr>
        <w:t>与台州市公文交换系统对接改造</w:t>
      </w:r>
    </w:p>
    <w:p w14:paraId="5695A5C6">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新增发文模块直接发送公文到省级部门、各平行地市及台州所属县（市、区）的功能。支持发布后可进行取消发布、查看签收情况、查看反馈情况等操作。</w:t>
      </w:r>
    </w:p>
    <w:p w14:paraId="3D73405A">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1.4.3.11.</w:t>
      </w:r>
      <w:r>
        <w:rPr>
          <w:rFonts w:hint="eastAsia" w:ascii="宋体" w:hAnsi="宋体" w:eastAsia="宋体" w:cs="宋体"/>
          <w:b/>
          <w:bCs w:val="0"/>
          <w:color w:val="auto"/>
          <w:kern w:val="2"/>
          <w:sz w:val="24"/>
          <w:szCs w:val="24"/>
          <w:highlight w:val="none"/>
        </w:rPr>
        <w:t>移动端改造</w:t>
      </w:r>
    </w:p>
    <w:p w14:paraId="0DEDF354">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移动端新增内跑办理，政务信息、督查督办三个模块，新开发三个模块移动端页面，后端服务接口与PC端共用。</w:t>
      </w:r>
    </w:p>
    <w:p w14:paraId="78373CFA">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1.4.3.12.</w:t>
      </w:r>
      <w:r>
        <w:rPr>
          <w:rFonts w:hint="eastAsia" w:ascii="宋体" w:hAnsi="宋体" w:eastAsia="宋体" w:cs="宋体"/>
          <w:b/>
          <w:bCs w:val="0"/>
          <w:color w:val="auto"/>
          <w:kern w:val="2"/>
          <w:sz w:val="24"/>
          <w:szCs w:val="24"/>
          <w:highlight w:val="none"/>
        </w:rPr>
        <w:t>浙政钉端托管改造</w:t>
      </w:r>
    </w:p>
    <w:p w14:paraId="787527C2">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根据省局浙政钉应用发布工作要求，对协同办公系统浙政钉端完成代码托管改造。投标单位需根据台州市协同办公系统浙政钉应用现状以及托管平台的相关要求规范，提供改造方案并完成托管改造。</w:t>
      </w:r>
    </w:p>
    <w:p w14:paraId="7885AF13">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1.4.3.13.</w:t>
      </w:r>
      <w:r>
        <w:rPr>
          <w:rFonts w:hint="eastAsia" w:ascii="宋体" w:hAnsi="宋体" w:eastAsia="宋体" w:cs="宋体"/>
          <w:b/>
          <w:bCs w:val="0"/>
          <w:color w:val="auto"/>
          <w:kern w:val="2"/>
          <w:sz w:val="24"/>
          <w:szCs w:val="24"/>
          <w:highlight w:val="none"/>
        </w:rPr>
        <w:t>会海智治系统对接</w:t>
      </w:r>
    </w:p>
    <w:p w14:paraId="6618684C">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新增与省政府会海智治系统对接，推送地市的会议信息到省会海智治系统。根据会海智治系统接口规范，应完成对市公文交换会议模块改造。</w:t>
      </w:r>
    </w:p>
    <w:p w14:paraId="2B293C39">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开发台州市公文交换系统接收各区县会议信息的接口，实现各区县会议信息先推送到市里，再由市公文交换系统转发到省公文交换系统。</w:t>
      </w:r>
    </w:p>
    <w:p w14:paraId="7CABBEC4">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1.4.3.14.</w:t>
      </w:r>
      <w:r>
        <w:rPr>
          <w:rFonts w:hint="eastAsia" w:ascii="宋体" w:hAnsi="宋体" w:eastAsia="宋体" w:cs="宋体"/>
          <w:b/>
          <w:bCs w:val="0"/>
          <w:color w:val="auto"/>
          <w:kern w:val="2"/>
          <w:sz w:val="24"/>
          <w:szCs w:val="24"/>
          <w:highlight w:val="none"/>
        </w:rPr>
        <w:t>台州市数字e会务系统对接</w:t>
      </w:r>
    </w:p>
    <w:p w14:paraId="0EA48825">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公文交换系统与E会务系统的接口对接，提供按单位信息获取本单位已发会议信息、按会议id获取会议的参会人员信息、按会议id获取会议正文信息三个接口。实现E会务系统从公文交换系统获取相关数据实现相关业务需求。</w:t>
      </w:r>
    </w:p>
    <w:p w14:paraId="0B565CF1">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1.4.3.15.</w:t>
      </w:r>
      <w:r>
        <w:rPr>
          <w:rFonts w:hint="eastAsia" w:ascii="宋体" w:hAnsi="宋体" w:eastAsia="宋体" w:cs="宋体"/>
          <w:b/>
          <w:bCs w:val="0"/>
          <w:color w:val="auto"/>
          <w:kern w:val="2"/>
          <w:sz w:val="24"/>
          <w:szCs w:val="24"/>
          <w:highlight w:val="none"/>
        </w:rPr>
        <w:t>直通车系统对接</w:t>
      </w:r>
    </w:p>
    <w:p w14:paraId="09DDF264">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新增直通车模块，对接省委统战部直通车系统，接收直通车系统的文件并转入直通车模块办理，转入过程中自动获取文件的相关信息及附件。</w:t>
      </w:r>
    </w:p>
    <w:p w14:paraId="7F444027">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1.4.3.16.</w:t>
      </w:r>
      <w:r>
        <w:rPr>
          <w:rFonts w:hint="eastAsia" w:ascii="宋体" w:hAnsi="宋体" w:eastAsia="宋体" w:cs="宋体"/>
          <w:b/>
          <w:bCs w:val="0"/>
          <w:color w:val="auto"/>
          <w:kern w:val="2"/>
          <w:sz w:val="24"/>
          <w:szCs w:val="24"/>
          <w:highlight w:val="none"/>
        </w:rPr>
        <w:t>干部之家系统对接</w:t>
      </w:r>
    </w:p>
    <w:p w14:paraId="7068EBFB">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与省委组织部干部之家系统的接口对接，提供按浙政钉id单点登录的接口、按当前用户获取个人待办及待阅信息的接口、提供协同办公系统文件PC端直接跳转的接口，实现在干部之家系统展示个人协同办公系统的待办、待阅信息以及点击文件直接打协同办公系统对应文件办理界面的功能。</w:t>
      </w:r>
    </w:p>
    <w:p w14:paraId="0A866D83">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1.4.3.17.</w:t>
      </w:r>
      <w:r>
        <w:rPr>
          <w:rFonts w:hint="eastAsia" w:ascii="宋体" w:hAnsi="宋体" w:eastAsia="宋体" w:cs="宋体"/>
          <w:b/>
          <w:bCs w:val="0"/>
          <w:color w:val="auto"/>
          <w:kern w:val="2"/>
          <w:sz w:val="24"/>
          <w:szCs w:val="24"/>
          <w:highlight w:val="none"/>
        </w:rPr>
        <w:t>发改大脑系统对接</w:t>
      </w:r>
    </w:p>
    <w:p w14:paraId="56C41BEB">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新增对接省发改大脑系统。实现台州市发改委统一通过发改大脑系统单点登录到台州市OA系统。</w:t>
      </w:r>
    </w:p>
    <w:p w14:paraId="54031687">
      <w:pPr>
        <w:pStyle w:val="6"/>
        <w:widowControl/>
        <w:numPr>
          <w:ilvl w:val="3"/>
          <w:numId w:val="0"/>
        </w:numPr>
        <w:kinsoku/>
        <w:wordWrap/>
        <w:topLinePunct w:val="0"/>
        <w:bidi w:val="0"/>
        <w:snapToGrid/>
        <w:spacing w:before="0" w:beforeAutospacing="0" w:after="0" w:afterAutospacing="0" w:line="360" w:lineRule="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1.4.3.18.</w:t>
      </w:r>
      <w:r>
        <w:rPr>
          <w:rFonts w:hint="eastAsia" w:ascii="宋体" w:hAnsi="宋体" w:eastAsia="宋体" w:cs="宋体"/>
          <w:b/>
          <w:bCs/>
          <w:color w:val="auto"/>
          <w:kern w:val="2"/>
          <w:sz w:val="24"/>
          <w:szCs w:val="24"/>
          <w:highlight w:val="none"/>
        </w:rPr>
        <w:t>台州市浙政钉门户组件对接</w:t>
      </w:r>
    </w:p>
    <w:p w14:paraId="256A2761">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新增与台州市浙政钉门户组件系统对接，实现浙政钉门户组件显示协同系统相关文件、并免登跳转到协同系统对应文件的办理页面进行处理的功能。</w:t>
      </w:r>
    </w:p>
    <w:p w14:paraId="1AC6E8CC">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1.4.3.19.</w:t>
      </w:r>
      <w:r>
        <w:rPr>
          <w:rFonts w:hint="eastAsia" w:ascii="宋体" w:hAnsi="宋体" w:eastAsia="宋体" w:cs="宋体"/>
          <w:b/>
          <w:bCs w:val="0"/>
          <w:color w:val="auto"/>
          <w:kern w:val="2"/>
          <w:sz w:val="24"/>
          <w:szCs w:val="24"/>
          <w:highlight w:val="none"/>
        </w:rPr>
        <w:t>统一用户系统对接</w:t>
      </w:r>
    </w:p>
    <w:p w14:paraId="303363FC">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对接省统一用户IDaaS，主要包括组织用户对接、单点登录到协同办公系统首页面等功能。</w:t>
      </w:r>
    </w:p>
    <w:p w14:paraId="5A07D03A">
      <w:pPr>
        <w:pStyle w:val="6"/>
        <w:widowControl/>
        <w:numPr>
          <w:ilvl w:val="3"/>
          <w:numId w:val="0"/>
        </w:numPr>
        <w:kinsoku/>
        <w:wordWrap/>
        <w:topLinePunct w:val="0"/>
        <w:bidi w:val="0"/>
        <w:snapToGrid/>
        <w:spacing w:before="0" w:beforeAutospacing="0" w:after="0" w:afterAutospacing="0" w:line="360" w:lineRule="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1.4.3.20.</w:t>
      </w:r>
      <w:r>
        <w:rPr>
          <w:rFonts w:hint="eastAsia" w:ascii="宋体" w:hAnsi="宋体" w:eastAsia="宋体" w:cs="宋体"/>
          <w:b/>
          <w:bCs/>
          <w:color w:val="auto"/>
          <w:kern w:val="2"/>
          <w:sz w:val="24"/>
          <w:szCs w:val="24"/>
          <w:highlight w:val="none"/>
        </w:rPr>
        <w:t>在线预览功能升级</w:t>
      </w:r>
    </w:p>
    <w:p w14:paraId="21288E4D">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支持文字(docx、doc、wps等常用格式)、表格(xlsx、xls、csv、et等常用格式)、版式（PDF、OFD）等格式的在线预览能力。</w:t>
      </w:r>
    </w:p>
    <w:p w14:paraId="5F5AD72A">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提供文字（docx、doc、wps、dot、htm、html、xml等常用格式）、表格（xlsx、xls、csv、et等常用格式）、UOF、图片、图表等多种组件格式转换成PDF、OFD格式能力。</w:t>
      </w:r>
    </w:p>
    <w:p w14:paraId="1CD8F578">
      <w:pPr>
        <w:keepNext w:val="0"/>
        <w:keepLines w:val="0"/>
        <w:widowControl w:val="0"/>
        <w:suppressLineNumbers w:val="0"/>
        <w:kinsoku/>
        <w:wordWrap/>
        <w:topLinePunct w:val="0"/>
        <w:bidi w:val="0"/>
        <w:snapToGrid/>
        <w:spacing w:before="0" w:beforeAutospacing="0" w:after="0" w:afterAutospacing="0" w:line="360" w:lineRule="auto"/>
        <w:ind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1.4.4.</w:t>
      </w:r>
      <w:r>
        <w:rPr>
          <w:rFonts w:hint="eastAsia" w:ascii="宋体" w:hAnsi="宋体" w:eastAsia="宋体" w:cs="宋体"/>
          <w:b/>
          <w:bCs w:val="0"/>
          <w:color w:val="auto"/>
          <w:kern w:val="2"/>
          <w:sz w:val="24"/>
          <w:szCs w:val="24"/>
          <w:highlight w:val="none"/>
        </w:rPr>
        <w:t>公文交换子系统改造</w:t>
      </w:r>
    </w:p>
    <w:p w14:paraId="1C1D9DA9">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1.4.4.1.</w:t>
      </w:r>
      <w:r>
        <w:rPr>
          <w:rFonts w:hint="eastAsia" w:ascii="宋体" w:hAnsi="宋体" w:eastAsia="宋体" w:cs="宋体"/>
          <w:b/>
          <w:bCs w:val="0"/>
          <w:color w:val="auto"/>
          <w:kern w:val="2"/>
          <w:sz w:val="24"/>
          <w:szCs w:val="24"/>
          <w:highlight w:val="none"/>
        </w:rPr>
        <w:t>全市公文中转模块建设</w:t>
      </w:r>
    </w:p>
    <w:p w14:paraId="2989EE3E">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组织用户对接省内跑电子公文交换系统，完成组织用户对接；实现全市（含区县）公文交换与全省公文交换业务对接，涵盖所有与省级单位有公文业务往来的单位。</w:t>
      </w:r>
    </w:p>
    <w:p w14:paraId="31E2EAE6">
      <w:pPr>
        <w:pStyle w:val="7"/>
        <w:pageBreakBefore w:val="0"/>
        <w:widowControl/>
        <w:numPr>
          <w:ilvl w:val="4"/>
          <w:numId w:val="0"/>
        </w:numPr>
        <w:tabs>
          <w:tab w:val="clear" w:pos="0"/>
        </w:tabs>
        <w:kinsoku/>
        <w:wordWrap/>
        <w:overflowPunct/>
        <w:topLinePunct w:val="0"/>
        <w:autoSpaceDE/>
        <w:autoSpaceDN/>
        <w:bidi w:val="0"/>
        <w:adjustRightInd/>
        <w:snapToGrid/>
        <w:spacing w:before="0" w:beforeAutospacing="0" w:after="0"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1.4.4.1.1.</w:t>
      </w:r>
      <w:r>
        <w:rPr>
          <w:rFonts w:hint="eastAsia" w:ascii="宋体" w:hAnsi="宋体" w:eastAsia="宋体" w:cs="宋体"/>
          <w:b/>
          <w:bCs/>
          <w:color w:val="auto"/>
          <w:kern w:val="2"/>
          <w:sz w:val="24"/>
          <w:szCs w:val="24"/>
          <w:highlight w:val="none"/>
        </w:rPr>
        <w:t>组织信息服务</w:t>
      </w:r>
    </w:p>
    <w:p w14:paraId="07717A4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对接省公文交换的全省组织机构，提供对应的组织用户接口，供市本级和区县公文交换请求调用。</w:t>
      </w:r>
    </w:p>
    <w:p w14:paraId="5C35A13E">
      <w:pPr>
        <w:pStyle w:val="7"/>
        <w:pageBreakBefore w:val="0"/>
        <w:widowControl/>
        <w:numPr>
          <w:ilvl w:val="4"/>
          <w:numId w:val="0"/>
        </w:numPr>
        <w:tabs>
          <w:tab w:val="clear" w:pos="0"/>
        </w:tabs>
        <w:kinsoku/>
        <w:wordWrap/>
        <w:overflowPunct/>
        <w:topLinePunct w:val="0"/>
        <w:autoSpaceDE/>
        <w:autoSpaceDN/>
        <w:bidi w:val="0"/>
        <w:adjustRightInd/>
        <w:snapToGrid/>
        <w:spacing w:before="0" w:beforeAutospacing="0" w:after="0"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1.4.4.1.2.</w:t>
      </w:r>
      <w:r>
        <w:rPr>
          <w:rFonts w:hint="eastAsia" w:ascii="宋体" w:hAnsi="宋体" w:eastAsia="宋体" w:cs="宋体"/>
          <w:b/>
          <w:bCs/>
          <w:color w:val="auto"/>
          <w:kern w:val="2"/>
          <w:sz w:val="24"/>
          <w:szCs w:val="24"/>
          <w:highlight w:val="none"/>
        </w:rPr>
        <w:t>省公文交换文件下发</w:t>
      </w:r>
    </w:p>
    <w:p w14:paraId="367C38A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用于接收省公文交换下发的文件、接收文件下发通知，获取公文交换详细，获取公文交换详情落地推送到市本级和各区县相应系统等功能。</w:t>
      </w:r>
    </w:p>
    <w:p w14:paraId="288F1A2D">
      <w:pPr>
        <w:pStyle w:val="7"/>
        <w:pageBreakBefore w:val="0"/>
        <w:widowControl/>
        <w:numPr>
          <w:ilvl w:val="4"/>
          <w:numId w:val="0"/>
        </w:numPr>
        <w:tabs>
          <w:tab w:val="clear" w:pos="0"/>
        </w:tabs>
        <w:kinsoku/>
        <w:wordWrap/>
        <w:overflowPunct/>
        <w:topLinePunct w:val="0"/>
        <w:autoSpaceDE/>
        <w:autoSpaceDN/>
        <w:bidi w:val="0"/>
        <w:adjustRightInd/>
        <w:snapToGrid/>
        <w:spacing w:before="0" w:beforeAutospacing="0" w:after="0"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1.4.4.1.3.</w:t>
      </w:r>
      <w:r>
        <w:rPr>
          <w:rFonts w:hint="eastAsia" w:ascii="宋体" w:hAnsi="宋体" w:eastAsia="宋体" w:cs="宋体"/>
          <w:b/>
          <w:bCs/>
          <w:color w:val="auto"/>
          <w:kern w:val="2"/>
          <w:sz w:val="24"/>
          <w:szCs w:val="24"/>
          <w:highlight w:val="none"/>
        </w:rPr>
        <w:t>上行发文至省公文交换系统</w:t>
      </w:r>
    </w:p>
    <w:p w14:paraId="48F1B5E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用于接收市公文交换及各区县相应系统上行到省公文交换系统的文件，接收文件发送通知，获取公文交换详细，获取公文交换详情落地推送到省公文交换系统等功能。</w:t>
      </w:r>
    </w:p>
    <w:p w14:paraId="3D51062E">
      <w:pPr>
        <w:pStyle w:val="7"/>
        <w:pageBreakBefore w:val="0"/>
        <w:widowControl/>
        <w:numPr>
          <w:ilvl w:val="4"/>
          <w:numId w:val="0"/>
        </w:numPr>
        <w:tabs>
          <w:tab w:val="clear" w:pos="0"/>
        </w:tabs>
        <w:kinsoku/>
        <w:wordWrap/>
        <w:overflowPunct/>
        <w:topLinePunct w:val="0"/>
        <w:autoSpaceDE/>
        <w:autoSpaceDN/>
        <w:bidi w:val="0"/>
        <w:adjustRightInd/>
        <w:snapToGrid/>
        <w:spacing w:before="0" w:beforeAutospacing="0" w:after="0"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1.4.4.1.4.</w:t>
      </w:r>
      <w:r>
        <w:rPr>
          <w:rFonts w:hint="eastAsia" w:ascii="宋体" w:hAnsi="宋体" w:eastAsia="宋体" w:cs="宋体"/>
          <w:b/>
          <w:bCs/>
          <w:color w:val="auto"/>
          <w:kern w:val="2"/>
          <w:sz w:val="24"/>
          <w:szCs w:val="24"/>
          <w:highlight w:val="none"/>
        </w:rPr>
        <w:t>公文效能监督</w:t>
      </w:r>
    </w:p>
    <w:p w14:paraId="59CFE5C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实现实时的公文效能报送，在发送公文时实时报送公文效能给全省公文交换。</w:t>
      </w:r>
    </w:p>
    <w:p w14:paraId="409D5473">
      <w:pPr>
        <w:pStyle w:val="7"/>
        <w:pageBreakBefore w:val="0"/>
        <w:widowControl/>
        <w:numPr>
          <w:ilvl w:val="4"/>
          <w:numId w:val="0"/>
        </w:numPr>
        <w:tabs>
          <w:tab w:val="clear" w:pos="0"/>
        </w:tabs>
        <w:kinsoku/>
        <w:wordWrap/>
        <w:overflowPunct/>
        <w:topLinePunct w:val="0"/>
        <w:autoSpaceDE/>
        <w:autoSpaceDN/>
        <w:bidi w:val="0"/>
        <w:adjustRightInd/>
        <w:snapToGrid/>
        <w:spacing w:before="0" w:beforeAutospacing="0" w:after="0"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1.4.4.1.5.</w:t>
      </w:r>
      <w:r>
        <w:rPr>
          <w:rFonts w:hint="eastAsia" w:ascii="宋体" w:hAnsi="宋体" w:eastAsia="宋体" w:cs="宋体"/>
          <w:b/>
          <w:bCs/>
          <w:color w:val="auto"/>
          <w:kern w:val="2"/>
          <w:sz w:val="24"/>
          <w:szCs w:val="24"/>
          <w:highlight w:val="none"/>
        </w:rPr>
        <w:t>意见征求</w:t>
      </w:r>
    </w:p>
    <w:p w14:paraId="4078A0C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提供发送征求意见到全省公文交换的功能，支持征求意见的撤回，省级接收并反馈意见后，推送相关结果到市本级和各区县的系统。实现接收省公文交换系统征求意见并推送至市本级和各区县对应系统，实现征求意见签收、反馈。</w:t>
      </w:r>
    </w:p>
    <w:p w14:paraId="621AE887">
      <w:pPr>
        <w:pStyle w:val="7"/>
        <w:pageBreakBefore w:val="0"/>
        <w:widowControl/>
        <w:numPr>
          <w:ilvl w:val="4"/>
          <w:numId w:val="0"/>
        </w:numPr>
        <w:tabs>
          <w:tab w:val="clear" w:pos="0"/>
        </w:tabs>
        <w:kinsoku/>
        <w:wordWrap/>
        <w:overflowPunct/>
        <w:topLinePunct w:val="0"/>
        <w:autoSpaceDE/>
        <w:autoSpaceDN/>
        <w:bidi w:val="0"/>
        <w:adjustRightInd/>
        <w:snapToGrid/>
        <w:spacing w:before="0" w:beforeAutospacing="0" w:after="0"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1.4.4.1.6.</w:t>
      </w:r>
      <w:r>
        <w:rPr>
          <w:rFonts w:hint="eastAsia" w:ascii="宋体" w:hAnsi="宋体" w:eastAsia="宋体" w:cs="宋体"/>
          <w:b/>
          <w:bCs/>
          <w:color w:val="auto"/>
          <w:kern w:val="2"/>
          <w:sz w:val="24"/>
          <w:szCs w:val="24"/>
          <w:highlight w:val="none"/>
        </w:rPr>
        <w:t>系统基础功能</w:t>
      </w:r>
    </w:p>
    <w:p w14:paraId="05DE82F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（1）接入浙政钉组织用户体系，与全省公文交换组织用户体系对接，完成映射。</w:t>
      </w:r>
    </w:p>
    <w:p w14:paraId="069CFA4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（2）公文交换中转路由功能：建设全市（含区县）公文交换路由转发服务，作为省、市、县三级互通的桥梁。</w:t>
      </w:r>
    </w:p>
    <w:p w14:paraId="746FEDA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（3）公文交换中转系统授权框架：实现各接入系统的分级授权、群组功能。</w:t>
      </w:r>
    </w:p>
    <w:p w14:paraId="2A91FC1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（4）技术支撑服务：提供市本级和各区县系统对接服务，提供技术支撑服务。</w:t>
      </w:r>
    </w:p>
    <w:p w14:paraId="2961685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（5）为确保系统接口的安全性，提供接口的准入验证功能。</w:t>
      </w:r>
    </w:p>
    <w:p w14:paraId="395EA64C">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（6）提供与省公文交换及台州市公文交换（包括区县）之间的接口推送记录查看功能。</w:t>
      </w:r>
    </w:p>
    <w:p w14:paraId="1C0B7A98">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1.4.4.2.</w:t>
      </w:r>
      <w:r>
        <w:rPr>
          <w:rFonts w:hint="eastAsia" w:ascii="宋体" w:hAnsi="宋体" w:eastAsia="宋体" w:cs="宋体"/>
          <w:b/>
          <w:bCs w:val="0"/>
          <w:strike/>
          <w:dstrike w:val="0"/>
          <w:color w:val="auto"/>
          <w:kern w:val="2"/>
          <w:sz w:val="24"/>
          <w:szCs w:val="24"/>
          <w:highlight w:val="none"/>
        </w:rPr>
        <w:t>全</w:t>
      </w:r>
      <w:r>
        <w:rPr>
          <w:rFonts w:hint="eastAsia" w:ascii="宋体" w:hAnsi="宋体" w:eastAsia="宋体" w:cs="宋体"/>
          <w:b/>
          <w:bCs w:val="0"/>
          <w:color w:val="auto"/>
          <w:kern w:val="2"/>
          <w:sz w:val="24"/>
          <w:szCs w:val="24"/>
          <w:highlight w:val="none"/>
        </w:rPr>
        <w:t>市公文交换系统改造</w:t>
      </w:r>
      <w:r>
        <w:rPr>
          <w:rFonts w:hint="eastAsia" w:ascii="宋体" w:hAnsi="宋体" w:eastAsia="宋体" w:cs="宋体"/>
          <w:b/>
          <w:bCs w:val="0"/>
          <w:color w:val="auto"/>
          <w:kern w:val="2"/>
          <w:sz w:val="24"/>
          <w:szCs w:val="24"/>
          <w:highlight w:val="none"/>
        </w:rPr>
        <w:tab/>
      </w:r>
    </w:p>
    <w:p w14:paraId="30B83442">
      <w:pPr>
        <w:pStyle w:val="7"/>
        <w:pageBreakBefore w:val="0"/>
        <w:widowControl/>
        <w:numPr>
          <w:ilvl w:val="4"/>
          <w:numId w:val="0"/>
        </w:numPr>
        <w:tabs>
          <w:tab w:val="clear" w:pos="0"/>
        </w:tabs>
        <w:kinsoku/>
        <w:wordWrap/>
        <w:overflowPunct/>
        <w:topLinePunct w:val="0"/>
        <w:autoSpaceDE/>
        <w:autoSpaceDN/>
        <w:bidi w:val="0"/>
        <w:adjustRightInd/>
        <w:snapToGrid/>
        <w:spacing w:before="0" w:beforeAutospacing="0" w:after="0"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1.4.4.2.1.</w:t>
      </w:r>
      <w:r>
        <w:rPr>
          <w:rFonts w:hint="eastAsia" w:ascii="宋体" w:hAnsi="宋体" w:eastAsia="宋体" w:cs="宋体"/>
          <w:b/>
          <w:bCs/>
          <w:color w:val="auto"/>
          <w:kern w:val="2"/>
          <w:sz w:val="24"/>
          <w:szCs w:val="24"/>
          <w:highlight w:val="none"/>
        </w:rPr>
        <w:t>组织用户对接改造</w:t>
      </w:r>
    </w:p>
    <w:p w14:paraId="6A2AC1D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市公文交换系统对接浙政钉组织改造，安排人员手动绑定原自建组织与浙政钉组织的对应关系。</w:t>
      </w:r>
    </w:p>
    <w:p w14:paraId="55D46ACD">
      <w:pPr>
        <w:pStyle w:val="7"/>
        <w:pageBreakBefore w:val="0"/>
        <w:widowControl/>
        <w:numPr>
          <w:ilvl w:val="4"/>
          <w:numId w:val="0"/>
        </w:numPr>
        <w:tabs>
          <w:tab w:val="clear" w:pos="0"/>
        </w:tabs>
        <w:kinsoku/>
        <w:wordWrap/>
        <w:overflowPunct/>
        <w:topLinePunct w:val="0"/>
        <w:autoSpaceDE/>
        <w:autoSpaceDN/>
        <w:bidi w:val="0"/>
        <w:adjustRightInd/>
        <w:snapToGrid/>
        <w:spacing w:before="0" w:beforeAutospacing="0" w:after="0"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1.4.4.2.2.</w:t>
      </w:r>
      <w:r>
        <w:rPr>
          <w:rFonts w:hint="eastAsia" w:ascii="宋体" w:hAnsi="宋体" w:eastAsia="宋体" w:cs="宋体"/>
          <w:b/>
          <w:bCs/>
          <w:color w:val="auto"/>
          <w:kern w:val="2"/>
          <w:sz w:val="24"/>
          <w:szCs w:val="24"/>
          <w:highlight w:val="none"/>
        </w:rPr>
        <w:t>相关业务改造</w:t>
      </w:r>
    </w:p>
    <w:p w14:paraId="77C4CE7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（1）接收通知</w:t>
      </w:r>
    </w:p>
    <w:p w14:paraId="637963BA">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接收公文交换中转系统的通知，获取省公文交换系统文件详细，获取公文交换详情落地。</w:t>
      </w:r>
    </w:p>
    <w:p w14:paraId="25B49D92">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（2）发送公文</w:t>
      </w:r>
    </w:p>
    <w:p w14:paraId="35C71453">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发送公文至公文交换中转系统，再由中转系统转发至省公文交换系统。</w:t>
      </w:r>
    </w:p>
    <w:p w14:paraId="3F67766C">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（3）补发公文</w:t>
      </w:r>
    </w:p>
    <w:p w14:paraId="0725BFBF">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补发公文至公文交换中转系统，再由中转系统转发至省公文交换系统。</w:t>
      </w:r>
    </w:p>
    <w:p w14:paraId="09392A88">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（4）催办公文</w:t>
      </w:r>
    </w:p>
    <w:p w14:paraId="759BFDE6">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催办公文至公文交换中转系统，再由中转系统转发至省公文交换系统。</w:t>
      </w:r>
    </w:p>
    <w:p w14:paraId="0B26F572">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（5）撤回公文</w:t>
      </w:r>
    </w:p>
    <w:p w14:paraId="51FDA225">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撤回公文至公文交换中转系统，再由中转系统转发至省公文交换系统。</w:t>
      </w:r>
    </w:p>
    <w:p w14:paraId="11D24DE9">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（6）获取公文列表</w:t>
      </w:r>
    </w:p>
    <w:p w14:paraId="484FF329">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获取省公文交换系统公文的待签收、已签收、已退回等列表详情。</w:t>
      </w:r>
    </w:p>
    <w:p w14:paraId="1762B05F">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（7）下载公文附件</w:t>
      </w:r>
    </w:p>
    <w:p w14:paraId="5AEB0CF4">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通过公文交换中转系统，实现省公文交换系统公文附件下载。</w:t>
      </w:r>
    </w:p>
    <w:p w14:paraId="53B7FA08">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（8）签收公文</w:t>
      </w:r>
    </w:p>
    <w:p w14:paraId="1BCC9F85">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通过公文交换中转系统，实现省公文交换系统公文签收。</w:t>
      </w:r>
    </w:p>
    <w:p w14:paraId="565952EF">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（9）反馈公文</w:t>
      </w:r>
    </w:p>
    <w:p w14:paraId="5A0C97A5">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通过公文交换中转系统，提供公文的反馈功能。</w:t>
      </w:r>
    </w:p>
    <w:p w14:paraId="30F59F04">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（10）退回公文</w:t>
      </w:r>
    </w:p>
    <w:p w14:paraId="3F92813F">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通过公文交换中转系统，实现公文退回的功能。</w:t>
      </w:r>
    </w:p>
    <w:p w14:paraId="50AAEA9E">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（11）内跑事项</w:t>
      </w:r>
    </w:p>
    <w:p w14:paraId="59E015CA">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发文详情页新增是否内跑事项选项，选择内跑事项后，通过公文交换中转系统获取当前单位内跑事项列表并发送内跑事项内容到全省公文交换。</w:t>
      </w:r>
    </w:p>
    <w:p w14:paraId="61C22573">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（12）公文效能监督</w:t>
      </w:r>
    </w:p>
    <w:p w14:paraId="54CB643D">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实时公文效能报送，在发送公文时，通过公文中转系统，实时报送公文效能给全省公文交换。公文效能统计数据获取，通过公文id获取当前文件效能统计数据并展示到页面。</w:t>
      </w:r>
    </w:p>
    <w:p w14:paraId="2E604B20">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（13）征求意见</w:t>
      </w:r>
    </w:p>
    <w:p w14:paraId="0570DA02">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新增征求意见模块，通过公文中转系统，实现征求意见发送至省公文交换交换系统，支持征求意见撤回。实现省政府公文交换系统下发的支持征求意见签收、反馈、退回等功能。</w:t>
      </w:r>
    </w:p>
    <w:p w14:paraId="062EF6D1">
      <w:pPr>
        <w:pStyle w:val="7"/>
        <w:pageBreakBefore w:val="0"/>
        <w:widowControl/>
        <w:numPr>
          <w:ilvl w:val="4"/>
          <w:numId w:val="0"/>
        </w:numPr>
        <w:tabs>
          <w:tab w:val="clear" w:pos="0"/>
        </w:tabs>
        <w:kinsoku/>
        <w:wordWrap/>
        <w:overflowPunct/>
        <w:topLinePunct w:val="0"/>
        <w:autoSpaceDE/>
        <w:autoSpaceDN/>
        <w:bidi w:val="0"/>
        <w:adjustRightInd/>
        <w:snapToGrid/>
        <w:spacing w:before="0" w:beforeAutospacing="0" w:after="0"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1.4.4.2.3.</w:t>
      </w:r>
      <w:r>
        <w:rPr>
          <w:rFonts w:hint="eastAsia" w:ascii="宋体" w:hAnsi="宋体" w:eastAsia="宋体" w:cs="宋体"/>
          <w:b/>
          <w:bCs/>
          <w:color w:val="auto"/>
          <w:kern w:val="2"/>
          <w:sz w:val="24"/>
          <w:szCs w:val="24"/>
          <w:highlight w:val="none"/>
        </w:rPr>
        <w:t>与协同办公系统对接改造</w:t>
      </w:r>
    </w:p>
    <w:p w14:paraId="0B420FF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新增送省公文交换接口，供协同办公子系统调用。在系统中可以直接选择省公文交换系统的相关收文单位进行公文发布、取消发布、查看签收情况等功能。</w:t>
      </w:r>
    </w:p>
    <w:p w14:paraId="788C5BC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新增以下接口：省公文交换组织树展示接口、按组织身份获取组织电子签章编码接口、省公文发布接口、省公文取消发布接口、省公文交换签收情况查询接口。</w:t>
      </w:r>
    </w:p>
    <w:p w14:paraId="3BC703AE">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1.4.4.3.</w:t>
      </w:r>
      <w:r>
        <w:rPr>
          <w:rFonts w:hint="eastAsia" w:ascii="宋体" w:hAnsi="宋体" w:eastAsia="宋体" w:cs="宋体"/>
          <w:b/>
          <w:bCs w:val="0"/>
          <w:color w:val="auto"/>
          <w:kern w:val="2"/>
          <w:sz w:val="24"/>
          <w:szCs w:val="24"/>
          <w:highlight w:val="none"/>
        </w:rPr>
        <w:t>公文交换浙政钉端建设</w:t>
      </w:r>
    </w:p>
    <w:p w14:paraId="4514763D">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根据台州市浙政钉托管平台的代码规范，开发公文交换系统的浙政钉端应用，完成应用上架。包括浙政钉接口集成、应用门户、公文管理、会议管理以及集成预览服务，应支持文件带水印预览。</w:t>
      </w:r>
    </w:p>
    <w:p w14:paraId="734A3189">
      <w:pPr>
        <w:pStyle w:val="5"/>
        <w:widowControl/>
        <w:numPr>
          <w:ilvl w:val="2"/>
          <w:numId w:val="0"/>
        </w:numPr>
        <w:kinsoku/>
        <w:wordWrap/>
        <w:topLinePunct w:val="0"/>
        <w:bidi w:val="0"/>
        <w:snapToGrid/>
        <w:spacing w:before="0" w:beforeAutospacing="0" w:after="0" w:afterAutospacing="0" w:line="360" w:lineRule="auto"/>
        <w:ind w:left="720" w:leftChars="0" w:hanging="720"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1.4.5.</w:t>
      </w:r>
      <w:r>
        <w:rPr>
          <w:rFonts w:hint="eastAsia" w:ascii="宋体" w:hAnsi="宋体" w:eastAsia="宋体" w:cs="宋体"/>
          <w:b/>
          <w:bCs w:val="0"/>
          <w:color w:val="auto"/>
          <w:kern w:val="2"/>
          <w:sz w:val="24"/>
          <w:szCs w:val="24"/>
          <w:highlight w:val="none"/>
        </w:rPr>
        <w:t>其他配套建设</w:t>
      </w:r>
    </w:p>
    <w:p w14:paraId="4CC17025">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1.4.5.1.</w:t>
      </w:r>
      <w:r>
        <w:rPr>
          <w:rFonts w:hint="eastAsia" w:ascii="宋体" w:hAnsi="宋体" w:eastAsia="宋体" w:cs="宋体"/>
          <w:b/>
          <w:bCs w:val="0"/>
          <w:color w:val="auto"/>
          <w:kern w:val="2"/>
          <w:sz w:val="24"/>
          <w:szCs w:val="24"/>
          <w:highlight w:val="none"/>
        </w:rPr>
        <w:t>短信下发</w:t>
      </w:r>
    </w:p>
    <w:p w14:paraId="0121D31E">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对接运营商短信平台,用于公文交换系统及协同办公系统消息下发。本项目建设包含三年180万条短信采购。</w:t>
      </w:r>
    </w:p>
    <w:p w14:paraId="68ACA5A1">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1.4.5.2.</w:t>
      </w:r>
      <w:r>
        <w:rPr>
          <w:rFonts w:hint="eastAsia" w:ascii="宋体" w:hAnsi="宋体" w:eastAsia="宋体" w:cs="宋体"/>
          <w:b/>
          <w:bCs w:val="0"/>
          <w:color w:val="auto"/>
          <w:kern w:val="2"/>
          <w:sz w:val="24"/>
          <w:szCs w:val="24"/>
          <w:highlight w:val="none"/>
        </w:rPr>
        <w:t>国密建设</w:t>
      </w:r>
    </w:p>
    <w:p w14:paraId="5A4B58D4">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集成国密证书和国密浏览器，包含2套国密证书（三年）和150套国密浏览器（密码二级产品认证，具有国家密码管理局商用密码检测中心颁发的《商用密码产品认证证书》，支持主流操作系统）采购。</w:t>
      </w:r>
    </w:p>
    <w:p w14:paraId="4718D930">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1.4.5.3.</w:t>
      </w:r>
      <w:r>
        <w:rPr>
          <w:rFonts w:hint="eastAsia" w:ascii="宋体" w:hAnsi="宋体" w:eastAsia="宋体" w:cs="宋体"/>
          <w:b/>
          <w:bCs w:val="0"/>
          <w:color w:val="auto"/>
          <w:kern w:val="2"/>
          <w:sz w:val="24"/>
          <w:szCs w:val="24"/>
          <w:highlight w:val="none"/>
        </w:rPr>
        <w:t>日志规范改造</w:t>
      </w:r>
    </w:p>
    <w:p w14:paraId="2A13A4E0">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根据浙江省政务应用系统日志建设规范要求对原平台进行日志规范改造。</w:t>
      </w:r>
    </w:p>
    <w:p w14:paraId="53058647">
      <w:pPr>
        <w:pStyle w:val="6"/>
        <w:widowControl/>
        <w:numPr>
          <w:ilvl w:val="3"/>
          <w:numId w:val="0"/>
        </w:numPr>
        <w:kinsoku/>
        <w:wordWrap/>
        <w:topLinePunct w:val="0"/>
        <w:bidi w:val="0"/>
        <w:snapToGrid/>
        <w:spacing w:before="0" w:beforeAutospacing="0" w:after="0" w:afterAutospacing="0" w:line="360" w:lineRule="auto"/>
        <w:ind w:left="864" w:leftChars="0" w:hanging="864" w:firstLineChars="0"/>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SA"/>
        </w:rPr>
        <w:t>1.4.5.4.</w:t>
      </w:r>
      <w:r>
        <w:rPr>
          <w:rFonts w:hint="eastAsia" w:ascii="宋体" w:hAnsi="宋体" w:eastAsia="宋体" w:cs="宋体"/>
          <w:b/>
          <w:bCs w:val="0"/>
          <w:color w:val="auto"/>
          <w:kern w:val="2"/>
          <w:sz w:val="24"/>
          <w:szCs w:val="24"/>
          <w:highlight w:val="none"/>
        </w:rPr>
        <w:t>商用密码改造</w:t>
      </w:r>
    </w:p>
    <w:p w14:paraId="0EE46F43">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信息系统密码应用基本要求，对原平台的数据和应用安全进行密码改造，配合建设单位完成密评相关工作。通过调用台州市统一密码服务平台相关能力，解决身份认证、数据加密保护、权限管理、安全审计以及责任认定等一系列安全问题。</w:t>
      </w:r>
    </w:p>
    <w:p w14:paraId="1B48F1B2">
      <w:pPr>
        <w:pStyle w:val="30"/>
        <w:keepNext w:val="0"/>
        <w:keepLines w:val="0"/>
        <w:widowControl w:val="0"/>
        <w:suppressLineNumbers w:val="0"/>
        <w:kinsoku/>
        <w:wordWrap/>
        <w:topLinePunct w:val="0"/>
        <w:autoSpaceDE w:val="0"/>
        <w:autoSpaceDN w:val="0"/>
        <w:bidi w:val="0"/>
        <w:adjustRightInd w:val="0"/>
        <w:snapToGrid/>
        <w:spacing w:before="0" w:beforeAutospacing="0" w:after="0" w:afterAutospacing="0" w:line="360" w:lineRule="auto"/>
        <w:ind w:left="0" w:right="0" w:firstLine="0" w:firstLineChars="0"/>
        <w:jc w:val="left"/>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GB" w:eastAsia="zh-CN" w:bidi="ar-SA"/>
        </w:rPr>
        <w:t>1.5.</w:t>
      </w:r>
      <w:r>
        <w:rPr>
          <w:rFonts w:hint="eastAsia" w:ascii="宋体" w:hAnsi="宋体" w:eastAsia="宋体" w:cs="宋体"/>
          <w:b/>
          <w:bCs w:val="0"/>
          <w:color w:val="auto"/>
          <w:kern w:val="2"/>
          <w:sz w:val="24"/>
          <w:szCs w:val="24"/>
          <w:highlight w:val="none"/>
        </w:rPr>
        <w:t>安全要求</w:t>
      </w:r>
    </w:p>
    <w:p w14:paraId="478ADF4A">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根据国家标准《信息安全技术网络安全等级保护基本要求》(GB/T22239-2019)有关要求，结合本项目实际情况，本项目系统需要达到安全等级三级的等保要求。</w:t>
      </w:r>
    </w:p>
    <w:p w14:paraId="4C8626CE">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对本项目开展第三方软件测评，包括功能测试和性能测试。</w:t>
      </w:r>
    </w:p>
    <w:p w14:paraId="19479565">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本项目系统需完成系统等级保护测评（三级）、商用密码应用安全性评估测评和第三方软件测评，相关测评费用由中标人负责。</w:t>
      </w:r>
    </w:p>
    <w:p w14:paraId="7B630A5D">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系统的网络拓扑结构需要符合台州市政务外网相关安全规范的要求。</w:t>
      </w:r>
    </w:p>
    <w:p w14:paraId="328A51DF">
      <w:pPr>
        <w:pStyle w:val="4"/>
        <w:keepNext/>
        <w:keepLines/>
        <w:widowControl w:val="0"/>
        <w:numPr>
          <w:ilvl w:val="1"/>
          <w:numId w:val="0"/>
        </w:numPr>
        <w:suppressLineNumbers w:val="0"/>
        <w:kinsoku/>
        <w:wordWrap/>
        <w:topLinePunct w:val="0"/>
        <w:autoSpaceDE w:val="0"/>
        <w:autoSpaceDN/>
        <w:bidi w:val="0"/>
        <w:snapToGrid/>
        <w:spacing w:before="0" w:beforeAutospacing="0" w:after="0" w:afterAutospacing="0" w:line="360" w:lineRule="auto"/>
        <w:ind w:left="575" w:leftChars="0" w:hanging="575" w:firstLineChars="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GB" w:eastAsia="zh-CN" w:bidi="ar-SA"/>
        </w:rPr>
        <w:t>1.6.</w:t>
      </w:r>
      <w:r>
        <w:rPr>
          <w:rFonts w:hint="eastAsia" w:ascii="宋体" w:hAnsi="宋体" w:eastAsia="宋体" w:cs="宋体"/>
          <w:b/>
          <w:bCs w:val="0"/>
          <w:color w:val="auto"/>
          <w:kern w:val="2"/>
          <w:sz w:val="24"/>
          <w:szCs w:val="24"/>
          <w:highlight w:val="none"/>
        </w:rPr>
        <w:t>信创要求</w:t>
      </w:r>
    </w:p>
    <w:p w14:paraId="0607E204">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本次升级改造基于原系统进行升级改造，原系统已完成信创改造，部署于信创云中。采用统信UOS操作系统和达梦数据库，并适配相关终端设备。要求本次改造新增功能符合信创要求。</w:t>
      </w:r>
    </w:p>
    <w:p w14:paraId="25EDD35E">
      <w:pPr>
        <w:pStyle w:val="4"/>
        <w:keepNext/>
        <w:keepLines/>
        <w:widowControl w:val="0"/>
        <w:numPr>
          <w:ilvl w:val="1"/>
          <w:numId w:val="0"/>
        </w:numPr>
        <w:suppressLineNumbers w:val="0"/>
        <w:kinsoku/>
        <w:wordWrap/>
        <w:topLinePunct w:val="0"/>
        <w:autoSpaceDE w:val="0"/>
        <w:autoSpaceDN/>
        <w:bidi w:val="0"/>
        <w:snapToGrid/>
        <w:spacing w:before="0" w:beforeAutospacing="0" w:after="0" w:afterAutospacing="0" w:line="360" w:lineRule="auto"/>
        <w:ind w:left="575" w:leftChars="0" w:hanging="575" w:firstLineChars="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GB" w:eastAsia="zh-CN" w:bidi="ar-SA"/>
        </w:rPr>
        <w:t>1.7.</w:t>
      </w:r>
      <w:r>
        <w:rPr>
          <w:rFonts w:hint="eastAsia" w:ascii="宋体" w:hAnsi="宋体" w:eastAsia="宋体" w:cs="宋体"/>
          <w:b/>
          <w:bCs w:val="0"/>
          <w:color w:val="auto"/>
          <w:kern w:val="2"/>
          <w:sz w:val="24"/>
          <w:szCs w:val="24"/>
          <w:highlight w:val="none"/>
        </w:rPr>
        <w:t>工期要求</w:t>
      </w:r>
    </w:p>
    <w:p w14:paraId="3C720542">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完成时间：合同签订后，中标人需在4个月内完成整个项目系统及功能模块开发、测试和部署上线，并完成初步验收。初步验收完成后系统上线试运行期为3个月，试运行结束后组织最终验收。</w:t>
      </w:r>
    </w:p>
    <w:p w14:paraId="40FB0DBC">
      <w:pPr>
        <w:pStyle w:val="4"/>
        <w:keepNext/>
        <w:keepLines/>
        <w:widowControl w:val="0"/>
        <w:numPr>
          <w:ilvl w:val="1"/>
          <w:numId w:val="0"/>
        </w:numPr>
        <w:suppressLineNumbers w:val="0"/>
        <w:kinsoku/>
        <w:wordWrap/>
        <w:topLinePunct w:val="0"/>
        <w:autoSpaceDE w:val="0"/>
        <w:autoSpaceDN/>
        <w:bidi w:val="0"/>
        <w:snapToGrid/>
        <w:spacing w:before="0" w:beforeAutospacing="0" w:after="0" w:afterAutospacing="0" w:line="360" w:lineRule="auto"/>
        <w:ind w:left="575" w:leftChars="0" w:hanging="575" w:firstLineChars="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GB" w:eastAsia="zh-CN" w:bidi="ar-SA"/>
        </w:rPr>
        <w:t>1.8.</w:t>
      </w:r>
      <w:r>
        <w:rPr>
          <w:rFonts w:hint="eastAsia" w:ascii="宋体" w:hAnsi="宋体" w:eastAsia="宋体" w:cs="宋体"/>
          <w:b/>
          <w:bCs w:val="0"/>
          <w:color w:val="auto"/>
          <w:kern w:val="2"/>
          <w:sz w:val="24"/>
          <w:szCs w:val="24"/>
          <w:highlight w:val="none"/>
        </w:rPr>
        <w:t>付款方式</w:t>
      </w:r>
    </w:p>
    <w:p w14:paraId="1D78CAC7">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合同生效及具备实施条件后7个工作日内支付，采购人向中标人支付合同总价的50%预付款，完成初步验收后支付合同总价的30%，项目竣工验收合格后支付合同总价的20%。</w:t>
      </w:r>
    </w:p>
    <w:p w14:paraId="2B7323C9">
      <w:pPr>
        <w:keepNext w:val="0"/>
        <w:keepLines w:val="0"/>
        <w:widowControl w:val="0"/>
        <w:suppressLineNumbers w:val="0"/>
        <w:kinsoku/>
        <w:wordWrap/>
        <w:topLinePunct w:val="0"/>
        <w:bidi w:val="0"/>
        <w:snapToGrid/>
        <w:spacing w:before="0" w:beforeAutospacing="0" w:after="0" w:afterAutospacing="0" w:line="360" w:lineRule="auto"/>
        <w:ind w:right="0"/>
        <w:jc w:val="both"/>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1.9.</w:t>
      </w:r>
      <w:r>
        <w:rPr>
          <w:rFonts w:hint="eastAsia" w:ascii="宋体" w:hAnsi="宋体" w:eastAsia="宋体" w:cs="宋体"/>
          <w:color w:val="auto"/>
          <w:kern w:val="2"/>
          <w:sz w:val="24"/>
          <w:szCs w:val="24"/>
          <w:highlight w:val="none"/>
          <w:lang w:val="en-US" w:eastAsia="zh-CN" w:bidi="ar"/>
        </w:rPr>
        <w:t>系统性能要求</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eastAsia="宋体" w:cs="宋体"/>
          <w:color w:val="auto"/>
          <w:kern w:val="2"/>
          <w:sz w:val="24"/>
          <w:szCs w:val="24"/>
          <w:highlight w:val="none"/>
          <w:lang w:val="en-US" w:eastAsia="zh-CN" w:bidi="ar"/>
        </w:rPr>
        <w:t>本项目改造后系统性能应满足以下要求：</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（1）系统支持并发不小于300用户数，支持5000个用户同时在线。</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（2） 系统应具有友好的提示与系统处理等待界面，按钮响应时间≤3秒。</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（3）一般查询时间≤3秒。</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（4）网页接口响应时间一般不超过500毫秒。</w:t>
      </w:r>
    </w:p>
    <w:p w14:paraId="438A519E">
      <w:pPr>
        <w:pStyle w:val="4"/>
        <w:keepNext/>
        <w:keepLines/>
        <w:widowControl w:val="0"/>
        <w:numPr>
          <w:ilvl w:val="1"/>
          <w:numId w:val="0"/>
        </w:numPr>
        <w:suppressLineNumbers w:val="0"/>
        <w:kinsoku/>
        <w:wordWrap/>
        <w:topLinePunct w:val="0"/>
        <w:autoSpaceDE w:val="0"/>
        <w:autoSpaceDN/>
        <w:bidi w:val="0"/>
        <w:snapToGrid/>
        <w:spacing w:before="0" w:beforeAutospacing="0" w:after="0" w:afterAutospacing="0" w:line="360" w:lineRule="auto"/>
        <w:ind w:left="575" w:leftChars="0" w:hanging="575" w:firstLineChars="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GB" w:eastAsia="zh-CN" w:bidi="ar-SA"/>
        </w:rPr>
        <w:t>1.</w:t>
      </w:r>
      <w:r>
        <w:rPr>
          <w:rFonts w:hint="eastAsia" w:ascii="宋体" w:hAnsi="宋体" w:eastAsia="宋体" w:cs="宋体"/>
          <w:b/>
          <w:bCs w:val="0"/>
          <w:color w:val="auto"/>
          <w:kern w:val="2"/>
          <w:sz w:val="24"/>
          <w:szCs w:val="24"/>
          <w:highlight w:val="none"/>
          <w:lang w:val="en-US" w:eastAsia="zh-CN" w:bidi="ar-SA"/>
        </w:rPr>
        <w:t>10</w:t>
      </w:r>
      <w:r>
        <w:rPr>
          <w:rFonts w:hint="eastAsia" w:ascii="宋体" w:hAnsi="宋体" w:eastAsia="宋体" w:cs="宋体"/>
          <w:b/>
          <w:bCs w:val="0"/>
          <w:color w:val="auto"/>
          <w:kern w:val="2"/>
          <w:sz w:val="24"/>
          <w:szCs w:val="24"/>
          <w:highlight w:val="none"/>
          <w:lang w:val="en-GB" w:eastAsia="zh-CN" w:bidi="ar-SA"/>
        </w:rPr>
        <w:t>.</w:t>
      </w:r>
      <w:r>
        <w:rPr>
          <w:rFonts w:hint="eastAsia" w:ascii="宋体" w:hAnsi="宋体" w:eastAsia="宋体" w:cs="宋体"/>
          <w:b/>
          <w:bCs w:val="0"/>
          <w:color w:val="auto"/>
          <w:kern w:val="2"/>
          <w:sz w:val="24"/>
          <w:szCs w:val="24"/>
          <w:highlight w:val="none"/>
        </w:rPr>
        <w:t>售后服务</w:t>
      </w:r>
    </w:p>
    <w:p w14:paraId="778A5853">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项目质保期：自项目终验合格之日起计，中标人提供3年项目质保。</w:t>
      </w:r>
    </w:p>
    <w:p w14:paraId="5EA770D5">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质保期内，提供</w:t>
      </w:r>
      <w:r>
        <w:rPr>
          <w:rFonts w:hint="eastAsia" w:ascii="宋体" w:hAnsi="宋体" w:cs="宋体"/>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人驻场运维服务，驻场人员要求具备计算机相关专业和2年相关工作经验。提供7x24小时技术支持服务。本项目系统发生故障时，响应时间不得超过 30分钟，故障排除时间不得超过2小时，如故障超过2小时无法解决，应在接下来的1个工作日内提交书面说明及故障解决方案。</w:t>
      </w:r>
    </w:p>
    <w:p w14:paraId="360EB974">
      <w:pPr>
        <w:pStyle w:val="4"/>
        <w:keepNext/>
        <w:keepLines/>
        <w:widowControl w:val="0"/>
        <w:numPr>
          <w:ilvl w:val="1"/>
          <w:numId w:val="0"/>
        </w:numPr>
        <w:suppressLineNumbers w:val="0"/>
        <w:kinsoku/>
        <w:wordWrap/>
        <w:topLinePunct w:val="0"/>
        <w:autoSpaceDE w:val="0"/>
        <w:autoSpaceDN/>
        <w:bidi w:val="0"/>
        <w:snapToGrid/>
        <w:spacing w:before="0" w:beforeAutospacing="0" w:after="0" w:afterAutospacing="0" w:line="360" w:lineRule="auto"/>
        <w:ind w:left="575" w:leftChars="0" w:hanging="575" w:firstLineChars="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GB" w:eastAsia="zh-CN" w:bidi="ar-SA"/>
        </w:rPr>
        <w:t>1.1</w:t>
      </w:r>
      <w:r>
        <w:rPr>
          <w:rFonts w:hint="eastAsia" w:ascii="宋体" w:hAnsi="宋体" w:eastAsia="宋体" w:cs="宋体"/>
          <w:b/>
          <w:bCs w:val="0"/>
          <w:color w:val="auto"/>
          <w:kern w:val="2"/>
          <w:sz w:val="24"/>
          <w:szCs w:val="24"/>
          <w:highlight w:val="none"/>
          <w:lang w:val="en-US" w:eastAsia="zh-CN" w:bidi="ar-SA"/>
        </w:rPr>
        <w:t>1</w:t>
      </w:r>
      <w:r>
        <w:rPr>
          <w:rFonts w:hint="eastAsia" w:ascii="宋体" w:hAnsi="宋体" w:eastAsia="宋体" w:cs="宋体"/>
          <w:b/>
          <w:bCs w:val="0"/>
          <w:color w:val="auto"/>
          <w:kern w:val="2"/>
          <w:sz w:val="24"/>
          <w:szCs w:val="24"/>
          <w:highlight w:val="none"/>
          <w:lang w:val="en-GB" w:eastAsia="zh-CN" w:bidi="ar-SA"/>
        </w:rPr>
        <w:t>.</w:t>
      </w:r>
      <w:r>
        <w:rPr>
          <w:rFonts w:hint="eastAsia" w:ascii="宋体" w:hAnsi="宋体" w:eastAsia="宋体" w:cs="宋体"/>
          <w:b/>
          <w:bCs w:val="0"/>
          <w:color w:val="auto"/>
          <w:kern w:val="2"/>
          <w:sz w:val="24"/>
          <w:szCs w:val="24"/>
          <w:highlight w:val="none"/>
        </w:rPr>
        <w:t>培训要求</w:t>
      </w:r>
    </w:p>
    <w:p w14:paraId="35D89669">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为了使用户能对系统的设计、应用、管理、维护及事故的处理等有全面的认识和了解，方便用户对整个系统的日常使用、维护和管理，由中标人提供满足系统建设、管理、维护等要求的技术培训服务，并达到预定的培训目标。</w:t>
      </w:r>
    </w:p>
    <w:p w14:paraId="40B642F2">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在合同签定后征得采购人同意后实施培训工作，并按采购人要求对使用人员和技术人员等不同岗位人员进行培训，以提供业务系统的正常运行。</w:t>
      </w:r>
    </w:p>
    <w:p w14:paraId="28D7F5DB">
      <w:pPr>
        <w:widowControl/>
        <w:shd w:val="clear"/>
        <w:jc w:val="center"/>
        <w:rPr>
          <w:rFonts w:hint="eastAsia" w:ascii="宋体" w:hAnsi="宋体" w:eastAsia="宋体" w:cs="宋体"/>
          <w:b/>
          <w:bCs/>
          <w:color w:val="auto"/>
          <w:sz w:val="36"/>
          <w:szCs w:val="44"/>
          <w:highlight w:val="none"/>
        </w:rPr>
      </w:pPr>
    </w:p>
    <w:p w14:paraId="2013ADC1">
      <w:pPr>
        <w:widowControl/>
        <w:shd w:val="clear"/>
        <w:jc w:val="both"/>
        <w:rPr>
          <w:rFonts w:hint="eastAsia" w:ascii="宋体" w:hAnsi="宋体" w:eastAsia="宋体" w:cs="宋体"/>
          <w:b/>
          <w:bCs/>
          <w:color w:val="auto"/>
          <w:sz w:val="36"/>
          <w:szCs w:val="44"/>
          <w:highlight w:val="none"/>
        </w:rPr>
      </w:pPr>
    </w:p>
    <w:p w14:paraId="7605242A">
      <w:pPr>
        <w:widowControl/>
        <w:shd w:val="clear"/>
        <w:jc w:val="center"/>
        <w:rPr>
          <w:rFonts w:hint="eastAsia" w:ascii="宋体" w:hAnsi="宋体" w:eastAsia="宋体" w:cs="宋体"/>
          <w:b/>
          <w:bCs/>
          <w:color w:val="auto"/>
          <w:sz w:val="36"/>
          <w:szCs w:val="44"/>
          <w:highlight w:val="none"/>
        </w:rPr>
      </w:pPr>
    </w:p>
    <w:p w14:paraId="2C9519C0">
      <w:pPr>
        <w:widowControl/>
        <w:shd w:val="clear"/>
        <w:jc w:val="center"/>
        <w:rPr>
          <w:rFonts w:hint="eastAsia" w:ascii="宋体" w:hAnsi="宋体" w:eastAsia="宋体" w:cs="宋体"/>
          <w:b/>
          <w:bCs/>
          <w:color w:val="auto"/>
          <w:sz w:val="36"/>
          <w:szCs w:val="44"/>
          <w:highlight w:val="none"/>
        </w:rPr>
      </w:pPr>
    </w:p>
    <w:p w14:paraId="58797774">
      <w:pPr>
        <w:widowControl/>
        <w:shd w:val="clear"/>
        <w:jc w:val="center"/>
        <w:rPr>
          <w:rFonts w:hint="eastAsia" w:ascii="宋体" w:hAnsi="宋体" w:eastAsia="宋体" w:cs="宋体"/>
          <w:b/>
          <w:bCs/>
          <w:color w:val="auto"/>
          <w:sz w:val="36"/>
          <w:szCs w:val="44"/>
          <w:highlight w:val="none"/>
        </w:rPr>
      </w:pPr>
    </w:p>
    <w:p w14:paraId="4E6D63FA">
      <w:pPr>
        <w:widowControl/>
        <w:shd w:val="clear"/>
        <w:jc w:val="center"/>
        <w:rPr>
          <w:rFonts w:hint="eastAsia" w:ascii="宋体" w:hAnsi="宋体" w:eastAsia="宋体" w:cs="宋体"/>
          <w:b/>
          <w:bCs/>
          <w:color w:val="auto"/>
          <w:sz w:val="36"/>
          <w:szCs w:val="44"/>
          <w:highlight w:val="none"/>
        </w:rPr>
      </w:pPr>
    </w:p>
    <w:p w14:paraId="0828FCA6">
      <w:pPr>
        <w:widowControl/>
        <w:shd w:val="clear"/>
        <w:jc w:val="center"/>
        <w:rPr>
          <w:rFonts w:hint="eastAsia" w:ascii="宋体" w:hAnsi="宋体" w:eastAsia="宋体" w:cs="宋体"/>
          <w:b/>
          <w:bCs/>
          <w:color w:val="auto"/>
          <w:sz w:val="36"/>
          <w:szCs w:val="44"/>
          <w:highlight w:val="none"/>
        </w:rPr>
      </w:pPr>
    </w:p>
    <w:p w14:paraId="5E66BE60">
      <w:pPr>
        <w:widowControl/>
        <w:shd w:val="clear"/>
        <w:jc w:val="center"/>
        <w:rPr>
          <w:rFonts w:hint="eastAsia" w:ascii="宋体" w:hAnsi="宋体" w:eastAsia="宋体" w:cs="宋体"/>
          <w:b/>
          <w:bCs/>
          <w:color w:val="auto"/>
          <w:sz w:val="36"/>
          <w:szCs w:val="44"/>
          <w:highlight w:val="none"/>
        </w:rPr>
      </w:pPr>
    </w:p>
    <w:p w14:paraId="31D4BB4E">
      <w:pPr>
        <w:widowControl/>
        <w:shd w:val="clear"/>
        <w:jc w:val="center"/>
        <w:rPr>
          <w:rFonts w:hint="eastAsia" w:ascii="宋体" w:hAnsi="宋体" w:eastAsia="宋体" w:cs="宋体"/>
          <w:b/>
          <w:bCs/>
          <w:color w:val="auto"/>
          <w:sz w:val="36"/>
          <w:szCs w:val="44"/>
          <w:highlight w:val="none"/>
        </w:rPr>
      </w:pPr>
    </w:p>
    <w:p w14:paraId="748D994F">
      <w:pPr>
        <w:widowControl/>
        <w:shd w:val="clear"/>
        <w:jc w:val="center"/>
        <w:rPr>
          <w:rFonts w:hint="eastAsia" w:ascii="宋体" w:hAnsi="宋体" w:eastAsia="宋体" w:cs="宋体"/>
          <w:b/>
          <w:bCs/>
          <w:color w:val="auto"/>
          <w:sz w:val="36"/>
          <w:szCs w:val="44"/>
          <w:highlight w:val="none"/>
        </w:rPr>
      </w:pPr>
    </w:p>
    <w:p w14:paraId="40D667E8">
      <w:pPr>
        <w:widowControl/>
        <w:shd w:val="clear"/>
        <w:jc w:val="center"/>
        <w:rPr>
          <w:rFonts w:hint="eastAsia" w:ascii="宋体" w:hAnsi="宋体" w:eastAsia="宋体" w:cs="宋体"/>
          <w:b/>
          <w:bCs/>
          <w:color w:val="auto"/>
          <w:sz w:val="36"/>
          <w:szCs w:val="44"/>
          <w:highlight w:val="none"/>
        </w:rPr>
      </w:pPr>
    </w:p>
    <w:p w14:paraId="3ADF0742">
      <w:pPr>
        <w:widowControl/>
        <w:shd w:val="clear"/>
        <w:jc w:val="center"/>
        <w:rPr>
          <w:rFonts w:hint="eastAsia" w:ascii="宋体" w:hAnsi="宋体" w:eastAsia="宋体" w:cs="宋体"/>
          <w:b/>
          <w:bCs/>
          <w:color w:val="auto"/>
          <w:sz w:val="36"/>
          <w:szCs w:val="44"/>
          <w:highlight w:val="none"/>
        </w:rPr>
      </w:pPr>
    </w:p>
    <w:p w14:paraId="7ABF0528">
      <w:pPr>
        <w:widowControl/>
        <w:shd w:val="clear"/>
        <w:jc w:val="center"/>
        <w:rPr>
          <w:rFonts w:hint="eastAsia" w:ascii="宋体" w:hAnsi="宋体" w:eastAsia="宋体" w:cs="宋体"/>
          <w:b/>
          <w:bCs/>
          <w:color w:val="auto"/>
          <w:sz w:val="36"/>
          <w:szCs w:val="44"/>
          <w:highlight w:val="none"/>
        </w:rPr>
      </w:pPr>
    </w:p>
    <w:p w14:paraId="2BF5DAE6">
      <w:pPr>
        <w:widowControl/>
        <w:shd w:val="clear"/>
        <w:jc w:val="center"/>
        <w:rPr>
          <w:rFonts w:hint="eastAsia" w:ascii="宋体" w:hAnsi="宋体" w:eastAsia="宋体" w:cs="宋体"/>
          <w:b/>
          <w:bCs/>
          <w:color w:val="auto"/>
          <w:sz w:val="36"/>
          <w:szCs w:val="44"/>
          <w:highlight w:val="none"/>
        </w:rPr>
      </w:pPr>
    </w:p>
    <w:p w14:paraId="10560289">
      <w:pPr>
        <w:widowControl/>
        <w:shd w:val="clear"/>
        <w:jc w:val="center"/>
        <w:rPr>
          <w:rFonts w:hint="eastAsia" w:ascii="宋体" w:hAnsi="宋体" w:eastAsia="宋体" w:cs="宋体"/>
          <w:b/>
          <w:bCs/>
          <w:color w:val="auto"/>
          <w:sz w:val="36"/>
          <w:szCs w:val="44"/>
          <w:highlight w:val="none"/>
        </w:rPr>
      </w:pPr>
    </w:p>
    <w:p w14:paraId="4EE72547">
      <w:pPr>
        <w:widowControl/>
        <w:shd w:val="clear"/>
        <w:jc w:val="center"/>
        <w:rPr>
          <w:rFonts w:hint="eastAsia" w:ascii="宋体" w:hAnsi="宋体" w:eastAsia="宋体" w:cs="宋体"/>
          <w:b/>
          <w:bCs/>
          <w:color w:val="auto"/>
          <w:sz w:val="36"/>
          <w:szCs w:val="44"/>
          <w:highlight w:val="none"/>
        </w:rPr>
      </w:pPr>
    </w:p>
    <w:p w14:paraId="62C3EA90">
      <w:pPr>
        <w:widowControl/>
        <w:shd w:val="clear"/>
        <w:jc w:val="center"/>
        <w:rPr>
          <w:rFonts w:hint="eastAsia" w:ascii="宋体" w:hAnsi="宋体" w:eastAsia="宋体" w:cs="宋体"/>
          <w:b/>
          <w:bCs/>
          <w:color w:val="auto"/>
          <w:sz w:val="36"/>
          <w:szCs w:val="44"/>
          <w:highlight w:val="none"/>
        </w:rPr>
      </w:pPr>
    </w:p>
    <w:p w14:paraId="47E05C55">
      <w:pPr>
        <w:widowControl/>
        <w:shd w:val="clear"/>
        <w:jc w:val="center"/>
        <w:rPr>
          <w:rFonts w:hint="eastAsia" w:ascii="宋体" w:hAnsi="宋体" w:eastAsia="宋体" w:cs="宋体"/>
          <w:b/>
          <w:bCs/>
          <w:color w:val="auto"/>
          <w:sz w:val="36"/>
          <w:szCs w:val="44"/>
          <w:highlight w:val="none"/>
        </w:rPr>
      </w:pPr>
    </w:p>
    <w:p w14:paraId="0927DACC">
      <w:pPr>
        <w:widowControl/>
        <w:shd w:val="clear"/>
        <w:jc w:val="center"/>
        <w:rPr>
          <w:rFonts w:hint="eastAsia" w:ascii="宋体" w:hAnsi="宋体" w:eastAsia="宋体" w:cs="宋体"/>
          <w:b/>
          <w:bCs/>
          <w:color w:val="auto"/>
          <w:sz w:val="36"/>
          <w:szCs w:val="44"/>
          <w:highlight w:val="none"/>
        </w:rPr>
      </w:pPr>
    </w:p>
    <w:p w14:paraId="69FBBEA6">
      <w:pPr>
        <w:widowControl/>
        <w:shd w:val="clear"/>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第五章 合同主要条款</w:t>
      </w:r>
    </w:p>
    <w:p w14:paraId="4BBFA73B">
      <w:pPr>
        <w:shd w:val="clea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台州市协同办公平台升级改造项目</w:t>
      </w:r>
    </w:p>
    <w:p w14:paraId="43DEDD76">
      <w:pPr>
        <w:shd w:val="clea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ZJWS2024-JJ315</w:t>
      </w:r>
    </w:p>
    <w:p w14:paraId="1EC80D11">
      <w:pPr>
        <w:shd w:val="clear"/>
        <w:spacing w:line="44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甲方（采购人）：</w:t>
      </w:r>
      <w:r>
        <w:rPr>
          <w:rFonts w:hint="eastAsia" w:ascii="宋体" w:hAnsi="宋体" w:cs="宋体"/>
          <w:color w:val="auto"/>
          <w:sz w:val="24"/>
          <w:szCs w:val="24"/>
          <w:highlight w:val="none"/>
          <w:lang w:eastAsia="zh-CN"/>
        </w:rPr>
        <w:t>台州市</w:t>
      </w:r>
      <w:r>
        <w:rPr>
          <w:rFonts w:hint="eastAsia" w:ascii="宋体" w:hAnsi="宋体" w:cs="宋体"/>
          <w:color w:val="auto"/>
          <w:sz w:val="24"/>
          <w:szCs w:val="24"/>
          <w:highlight w:val="none"/>
          <w:lang w:val="en-US" w:eastAsia="zh-CN"/>
        </w:rPr>
        <w:t>数据</w:t>
      </w:r>
      <w:r>
        <w:rPr>
          <w:rFonts w:hint="eastAsia" w:ascii="宋体" w:hAnsi="宋体" w:cs="宋体"/>
          <w:color w:val="auto"/>
          <w:sz w:val="24"/>
          <w:szCs w:val="24"/>
          <w:highlight w:val="none"/>
          <w:lang w:eastAsia="zh-CN"/>
        </w:rPr>
        <w:t xml:space="preserve">局 </w:t>
      </w:r>
    </w:p>
    <w:p w14:paraId="6C799D0C">
      <w:pPr>
        <w:shd w:val="clear"/>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乙方（供应商）：</w:t>
      </w:r>
    </w:p>
    <w:p w14:paraId="5E74B99D">
      <w:pPr>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zh-CN"/>
        </w:rPr>
        <w:t>乙双方根据</w:t>
      </w:r>
      <w:r>
        <w:rPr>
          <w:rFonts w:hint="eastAsia" w:ascii="宋体" w:hAnsi="宋体" w:eastAsia="宋体" w:cs="宋体"/>
          <w:b/>
          <w:bCs/>
          <w:color w:val="auto"/>
          <w:sz w:val="24"/>
          <w:szCs w:val="24"/>
          <w:highlight w:val="none"/>
        </w:rPr>
        <w:t>浙江五石中正工程咨询有限公司</w:t>
      </w:r>
      <w:r>
        <w:rPr>
          <w:rFonts w:hint="eastAsia" w:ascii="宋体" w:hAnsi="宋体" w:eastAsia="宋体" w:cs="宋体"/>
          <w:color w:val="auto"/>
          <w:sz w:val="24"/>
          <w:szCs w:val="24"/>
          <w:highlight w:val="none"/>
          <w:lang w:val="zh-CN"/>
        </w:rPr>
        <w:t>关于</w:t>
      </w:r>
      <w:r>
        <w:rPr>
          <w:rFonts w:hint="eastAsia" w:ascii="宋体" w:hAnsi="宋体" w:cs="宋体"/>
          <w:b/>
          <w:bCs/>
          <w:color w:val="auto"/>
          <w:sz w:val="24"/>
          <w:szCs w:val="24"/>
          <w:highlight w:val="none"/>
          <w:lang w:eastAsia="zh-CN"/>
        </w:rPr>
        <w:t>台州市</w:t>
      </w:r>
      <w:r>
        <w:rPr>
          <w:rFonts w:hint="eastAsia" w:ascii="宋体" w:hAnsi="宋体" w:cs="宋体"/>
          <w:b/>
          <w:bCs/>
          <w:color w:val="auto"/>
          <w:sz w:val="24"/>
          <w:szCs w:val="24"/>
          <w:highlight w:val="none"/>
          <w:lang w:val="en-US" w:eastAsia="zh-CN"/>
        </w:rPr>
        <w:t>数据局</w:t>
      </w:r>
      <w:r>
        <w:rPr>
          <w:rFonts w:hint="eastAsia" w:ascii="宋体" w:hAnsi="宋体" w:eastAsia="宋体" w:cs="宋体"/>
          <w:b/>
          <w:bCs/>
          <w:color w:val="auto"/>
          <w:sz w:val="24"/>
          <w:szCs w:val="24"/>
          <w:highlight w:val="none"/>
          <w:lang w:val="en-US" w:eastAsia="zh-CN"/>
        </w:rPr>
        <w:t>的</w:t>
      </w:r>
      <w:r>
        <w:rPr>
          <w:rFonts w:hint="eastAsia" w:ascii="宋体" w:hAnsi="宋体" w:cs="宋体"/>
          <w:b/>
          <w:bCs/>
          <w:color w:val="auto"/>
          <w:sz w:val="24"/>
          <w:szCs w:val="24"/>
          <w:highlight w:val="none"/>
          <w:u w:val="single"/>
          <w:lang w:eastAsia="zh-CN"/>
        </w:rPr>
        <w:t>台州市协同办公平台升级改造项目</w:t>
      </w:r>
      <w:r>
        <w:rPr>
          <w:rFonts w:hint="eastAsia" w:ascii="宋体" w:hAnsi="宋体" w:eastAsia="宋体" w:cs="宋体"/>
          <w:color w:val="auto"/>
          <w:sz w:val="24"/>
          <w:szCs w:val="24"/>
          <w:highlight w:val="none"/>
          <w:lang w:val="zh-CN"/>
        </w:rPr>
        <w:t>（编号为</w:t>
      </w:r>
      <w:r>
        <w:rPr>
          <w:rFonts w:hint="eastAsia" w:ascii="宋体" w:hAnsi="宋体" w:cs="宋体"/>
          <w:b/>
          <w:bCs/>
          <w:color w:val="auto"/>
          <w:sz w:val="24"/>
          <w:szCs w:val="24"/>
          <w:highlight w:val="none"/>
          <w:u w:val="single"/>
          <w:lang w:eastAsia="zh-CN"/>
        </w:rPr>
        <w:t>ZJWS2024-JJ315</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，经双方协商一致，就本项目事宜达成以下条款：</w:t>
      </w:r>
    </w:p>
    <w:p w14:paraId="189BA2B3">
      <w:pPr>
        <w:shd w:val="clear"/>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一、合同文件</w:t>
      </w:r>
    </w:p>
    <w:p w14:paraId="53125728">
      <w:pPr>
        <w:shd w:val="clear"/>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1.合同条款。</w:t>
      </w:r>
    </w:p>
    <w:p w14:paraId="7882ED34">
      <w:pPr>
        <w:shd w:val="clear"/>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2.中标通知书。</w:t>
      </w:r>
    </w:p>
    <w:p w14:paraId="62DEDC7B">
      <w:pPr>
        <w:shd w:val="clear"/>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3.更正补充文件。</w:t>
      </w:r>
    </w:p>
    <w:p w14:paraId="082D84BE">
      <w:pPr>
        <w:shd w:val="clear"/>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4.招标文件。</w:t>
      </w:r>
    </w:p>
    <w:p w14:paraId="394171D1">
      <w:pPr>
        <w:shd w:val="clear"/>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5.中标供应商投标文件。</w:t>
      </w:r>
    </w:p>
    <w:p w14:paraId="7992A289">
      <w:pPr>
        <w:shd w:val="clear"/>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6.其他。</w:t>
      </w:r>
    </w:p>
    <w:p w14:paraId="654C1AF6">
      <w:pPr>
        <w:shd w:val="clear"/>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上述所指合同文件应认为是互相补充和解释的，但是有模棱两可或互相矛盾之处，以其所列内容顺序为准。</w:t>
      </w:r>
    </w:p>
    <w:p w14:paraId="5CB9BADB">
      <w:pPr>
        <w:shd w:val="clear"/>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二、工作内容</w:t>
      </w:r>
    </w:p>
    <w:p w14:paraId="7AD8DFA0">
      <w:pPr>
        <w:shd w:val="clear"/>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（具体见项目需求）</w:t>
      </w:r>
    </w:p>
    <w:p w14:paraId="048018C2">
      <w:pPr>
        <w:shd w:val="clear"/>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三、合同金额</w:t>
      </w:r>
    </w:p>
    <w:p w14:paraId="3ED62F02">
      <w:pPr>
        <w:shd w:val="clear"/>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本合同金额为</w:t>
      </w:r>
      <w:r>
        <w:rPr>
          <w:rFonts w:hint="eastAsia" w:ascii="宋体" w:hAnsi="宋体" w:eastAsia="宋体" w:cs="宋体"/>
          <w:color w:val="auto"/>
          <w:sz w:val="24"/>
          <w:szCs w:val="24"/>
          <w:highlight w:val="none"/>
          <w:lang w:val="zh-CN"/>
        </w:rPr>
        <w:t>：大写</w:t>
      </w:r>
      <w:r>
        <w:rPr>
          <w:rFonts w:hint="eastAsia" w:ascii="宋体" w:hAnsi="宋体" w:eastAsia="宋体" w:cs="宋体"/>
          <w:color w:val="auto"/>
          <w:sz w:val="24"/>
          <w:szCs w:val="24"/>
          <w:highlight w:val="none"/>
        </w:rPr>
        <w:t xml:space="preserve"> 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元；小写</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元。</w:t>
      </w:r>
    </w:p>
    <w:p w14:paraId="07C0BB2D">
      <w:pPr>
        <w:shd w:val="clear"/>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四、知识产权</w:t>
      </w:r>
    </w:p>
    <w:p w14:paraId="3FA72794">
      <w:pPr>
        <w:shd w:val="clear"/>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乙方应保证提供服务过程中不会侵犯任何第三方的知识产权。</w:t>
      </w:r>
    </w:p>
    <w:p w14:paraId="5BB49F36">
      <w:pPr>
        <w:shd w:val="clear"/>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4"/>
          <w:szCs w:val="24"/>
          <w:highlight w:val="none"/>
          <w:lang w:val="zh-CN"/>
        </w:rPr>
        <w:t>、履约保证金</w:t>
      </w:r>
    </w:p>
    <w:p w14:paraId="1AAD1F17">
      <w:pPr>
        <w:shd w:val="clear"/>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无</w:t>
      </w:r>
      <w:r>
        <w:rPr>
          <w:rFonts w:hint="eastAsia" w:ascii="宋体" w:hAnsi="宋体" w:eastAsia="宋体" w:cs="宋体"/>
          <w:bCs/>
          <w:color w:val="auto"/>
          <w:sz w:val="24"/>
          <w:szCs w:val="24"/>
          <w:highlight w:val="none"/>
        </w:rPr>
        <w:t>。</w:t>
      </w:r>
    </w:p>
    <w:p w14:paraId="09206163">
      <w:pPr>
        <w:shd w:val="clear"/>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六</w:t>
      </w:r>
      <w:r>
        <w:rPr>
          <w:rFonts w:hint="eastAsia" w:ascii="宋体" w:hAnsi="宋体" w:eastAsia="宋体" w:cs="宋体"/>
          <w:b/>
          <w:bCs/>
          <w:color w:val="auto"/>
          <w:sz w:val="24"/>
          <w:szCs w:val="24"/>
          <w:highlight w:val="none"/>
          <w:lang w:val="zh-CN"/>
        </w:rPr>
        <w:t>、转包或分包</w:t>
      </w:r>
    </w:p>
    <w:p w14:paraId="6FA2045E">
      <w:pPr>
        <w:shd w:val="clear"/>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1.本合同范围的服务，应由乙方直接供应，不得转让他人供应；</w:t>
      </w:r>
    </w:p>
    <w:p w14:paraId="2595E120">
      <w:pPr>
        <w:shd w:val="clear"/>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2.除非得到甲方的书面同意，乙方不得将本合同范围的服务全部或部分分包给他人供应；</w:t>
      </w:r>
    </w:p>
    <w:p w14:paraId="19D12224">
      <w:pPr>
        <w:shd w:val="clear"/>
        <w:spacing w:line="440" w:lineRule="exact"/>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3.如有转让和未经甲方同意的分包行为，甲方有权解除合同并追究乙方的违约责任。</w:t>
      </w:r>
    </w:p>
    <w:p w14:paraId="4CEF2BBD">
      <w:pPr>
        <w:shd w:val="clear"/>
        <w:spacing w:line="440" w:lineRule="exac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七</w:t>
      </w:r>
      <w:r>
        <w:rPr>
          <w:rFonts w:hint="eastAsia" w:ascii="宋体" w:hAnsi="宋体" w:eastAsia="宋体" w:cs="宋体"/>
          <w:b/>
          <w:color w:val="auto"/>
          <w:sz w:val="24"/>
          <w:szCs w:val="24"/>
          <w:highlight w:val="none"/>
          <w:lang w:val="zh-CN"/>
        </w:rPr>
        <w:t>、合同履行时间及履行地点</w:t>
      </w:r>
    </w:p>
    <w:p w14:paraId="4EE8577F">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1.履行时间：自合同签订之日起至202</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日止。</w:t>
      </w:r>
    </w:p>
    <w:p w14:paraId="6B7E9AEB">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2.履行地点：甲方指定地点。</w:t>
      </w:r>
    </w:p>
    <w:p w14:paraId="68A6543A">
      <w:pPr>
        <w:shd w:val="clear"/>
        <w:spacing w:line="440" w:lineRule="exac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八</w:t>
      </w:r>
      <w:r>
        <w:rPr>
          <w:rFonts w:hint="eastAsia" w:ascii="宋体" w:hAnsi="宋体" w:eastAsia="宋体" w:cs="宋体"/>
          <w:b/>
          <w:color w:val="auto"/>
          <w:sz w:val="24"/>
          <w:szCs w:val="24"/>
          <w:highlight w:val="none"/>
          <w:lang w:val="zh-CN"/>
        </w:rPr>
        <w:t>、款项支付</w:t>
      </w:r>
    </w:p>
    <w:p w14:paraId="345A360F">
      <w:pPr>
        <w:keepNext w:val="0"/>
        <w:keepLines w:val="0"/>
        <w:widowControl w:val="0"/>
        <w:suppressLineNumbers w:val="0"/>
        <w:kinsoku/>
        <w:wordWrap/>
        <w:topLinePunct w:val="0"/>
        <w:bidi w:val="0"/>
        <w:snapToGrid/>
        <w:spacing w:before="0" w:beforeAutospacing="0" w:after="0" w:afterAutospacing="0" w:line="360" w:lineRule="auto"/>
        <w:ind w:left="0" w:right="0" w:firstLine="480" w:firstLineChars="200"/>
        <w:jc w:val="both"/>
        <w:rPr>
          <w:rFonts w:hint="eastAsia"/>
          <w:color w:val="auto"/>
          <w:highlight w:val="none"/>
        </w:rPr>
      </w:pPr>
      <w:r>
        <w:rPr>
          <w:rFonts w:hint="eastAsia" w:ascii="宋体" w:hAnsi="宋体" w:eastAsia="宋体" w:cs="宋体"/>
          <w:color w:val="auto"/>
          <w:kern w:val="2"/>
          <w:sz w:val="24"/>
          <w:szCs w:val="24"/>
          <w:highlight w:val="none"/>
          <w:lang w:val="en-US" w:eastAsia="zh-CN" w:bidi="ar"/>
        </w:rPr>
        <w:t>合同生效及具备实施条件后7个工作日内支付，甲方支付合同总价的50%预付款，完成初步验收后支付合同总价的30%，项目竣工验收合格后支付合同总价的20%。</w:t>
      </w:r>
    </w:p>
    <w:p w14:paraId="7B4E963F">
      <w:pPr>
        <w:shd w:val="clear"/>
        <w:spacing w:line="440" w:lineRule="exac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九</w:t>
      </w:r>
      <w:r>
        <w:rPr>
          <w:rFonts w:hint="eastAsia" w:ascii="宋体" w:hAnsi="宋体" w:eastAsia="宋体" w:cs="宋体"/>
          <w:b/>
          <w:color w:val="auto"/>
          <w:sz w:val="24"/>
          <w:szCs w:val="24"/>
          <w:highlight w:val="none"/>
          <w:lang w:val="zh-CN"/>
        </w:rPr>
        <w:t>、税费</w:t>
      </w:r>
    </w:p>
    <w:p w14:paraId="1B991C2A">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本合同执行中相关的一切税费均由乙方负担。</w:t>
      </w:r>
    </w:p>
    <w:p w14:paraId="5D05F1A3">
      <w:pPr>
        <w:shd w:val="clear"/>
        <w:spacing w:line="440" w:lineRule="exac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十、质量保证及后续服务</w:t>
      </w:r>
    </w:p>
    <w:p w14:paraId="4599FFBF">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1.乙方应按招标文件规定向甲方提供服务。</w:t>
      </w:r>
    </w:p>
    <w:p w14:paraId="00FBE11A">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2.乙方提供的服务成果在服务期内出现问题，乙方应负责免费提供后续服务。对达不到要求者，根据实际情况，经双方协商，可按以下办法处理：</w:t>
      </w:r>
    </w:p>
    <w:p w14:paraId="3E42B667">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⑴重做：由乙方承担所发生的全部费用。</w:t>
      </w:r>
    </w:p>
    <w:p w14:paraId="6E0B5A31">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⑵贬值处理：由甲乙双方合议定价。</w:t>
      </w:r>
    </w:p>
    <w:p w14:paraId="48B49CC3">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⑶解除合同。</w:t>
      </w:r>
    </w:p>
    <w:p w14:paraId="1DC0AE46">
      <w:pPr>
        <w:shd w:val="clear"/>
        <w:spacing w:line="44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3.如在</w:t>
      </w:r>
      <w:r>
        <w:rPr>
          <w:rFonts w:hint="eastAsia" w:ascii="宋体" w:hAnsi="宋体" w:eastAsia="宋体" w:cs="宋体"/>
          <w:bCs/>
          <w:color w:val="auto"/>
          <w:sz w:val="24"/>
          <w:szCs w:val="24"/>
          <w:highlight w:val="none"/>
        </w:rPr>
        <w:t>服务</w:t>
      </w:r>
      <w:r>
        <w:rPr>
          <w:rFonts w:hint="eastAsia" w:ascii="宋体" w:hAnsi="宋体" w:eastAsia="宋体" w:cs="宋体"/>
          <w:bCs/>
          <w:color w:val="auto"/>
          <w:sz w:val="24"/>
          <w:szCs w:val="24"/>
          <w:highlight w:val="none"/>
          <w:lang w:val="zh-CN"/>
        </w:rPr>
        <w:t>过程中发生问题，乙方在接到甲方通知后在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lang w:val="zh-CN"/>
        </w:rPr>
        <w:t>小时内到达甲方现场。</w:t>
      </w:r>
    </w:p>
    <w:p w14:paraId="2781A6E2">
      <w:pPr>
        <w:shd w:val="clear"/>
        <w:spacing w:line="440" w:lineRule="exact"/>
        <w:ind w:firstLine="480"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在服务期内，乙方应对出现的质量及安全问题负责处理解决并承担一切费用。</w:t>
      </w:r>
    </w:p>
    <w:p w14:paraId="4D6EE694">
      <w:pPr>
        <w:shd w:val="clear"/>
        <w:spacing w:line="440" w:lineRule="exac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w:t>
      </w: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zh-CN"/>
        </w:rPr>
        <w:t>、违约责任</w:t>
      </w:r>
    </w:p>
    <w:p w14:paraId="06565E45">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1.甲方无正当理由拒收接受服务的，甲方向乙方偿付合同款项百分之五作为违约金。</w:t>
      </w:r>
    </w:p>
    <w:p w14:paraId="38A20F60">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2.甲方无故逾期验收和办理款项支付手续的,甲方应按逾期付款总额每日万分之五向乙方支付违约金。</w:t>
      </w:r>
    </w:p>
    <w:p w14:paraId="755CC3E2">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65E312F3">
      <w:pPr>
        <w:shd w:val="clear"/>
        <w:spacing w:line="440" w:lineRule="exac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w:t>
      </w: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zh-CN"/>
        </w:rPr>
        <w:t>、不可抗力事件处理</w:t>
      </w:r>
    </w:p>
    <w:p w14:paraId="769AC636">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1.在合同有效期内，任何一方因不可抗力事件导致不能履行合同，则合同履行期可延长，其延长期与不可抗力影响期相同。</w:t>
      </w:r>
    </w:p>
    <w:p w14:paraId="39ED70CB">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2.不可抗力事件发生后，应立即通知对方，并寄送有关权威机构出具的证明。</w:t>
      </w:r>
    </w:p>
    <w:p w14:paraId="3081B3E0">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3.不可抗力事件延续120天以上，双方应通过友好协商，确定是否继续履行合同。</w:t>
      </w:r>
    </w:p>
    <w:p w14:paraId="5EE7E26E">
      <w:pPr>
        <w:shd w:val="clear"/>
        <w:spacing w:line="440" w:lineRule="exac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十三、</w:t>
      </w:r>
      <w:r>
        <w:rPr>
          <w:rFonts w:hint="eastAsia" w:ascii="宋体" w:hAnsi="宋体" w:eastAsia="宋体" w:cs="宋体"/>
          <w:b/>
          <w:color w:val="auto"/>
          <w:sz w:val="24"/>
          <w:szCs w:val="24"/>
          <w:highlight w:val="none"/>
          <w:lang w:val="zh-CN"/>
        </w:rPr>
        <w:t>解决争议的方法</w:t>
      </w:r>
    </w:p>
    <w:p w14:paraId="557FEF9D">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如双方在履行合同时发生纠纷，应协商解决；协商不成时，可提请政府采购管理部门调解；调解不成的通过以下方式解决（两种解决方式只能择其一）：</w:t>
      </w:r>
    </w:p>
    <w:p w14:paraId="14C229CC">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（1）提交台州仲裁委员会仲裁。</w:t>
      </w:r>
    </w:p>
    <w:p w14:paraId="1EDAD8F5">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（2）依法向甲方所在地人民法院提起诉讼。</w:t>
      </w:r>
    </w:p>
    <w:p w14:paraId="40538D42">
      <w:pPr>
        <w:shd w:val="clear"/>
        <w:spacing w:line="440" w:lineRule="exac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十</w:t>
      </w:r>
      <w:r>
        <w:rPr>
          <w:rFonts w:hint="eastAsia" w:ascii="宋体" w:hAnsi="宋体" w:eastAsia="宋体" w:cs="宋体"/>
          <w:b/>
          <w:color w:val="auto"/>
          <w:sz w:val="24"/>
          <w:szCs w:val="24"/>
          <w:highlight w:val="none"/>
        </w:rPr>
        <w:t>四</w:t>
      </w:r>
      <w:r>
        <w:rPr>
          <w:rFonts w:hint="eastAsia" w:ascii="宋体" w:hAnsi="宋体" w:eastAsia="宋体" w:cs="宋体"/>
          <w:b/>
          <w:color w:val="auto"/>
          <w:sz w:val="24"/>
          <w:szCs w:val="24"/>
          <w:highlight w:val="none"/>
          <w:lang w:val="zh-CN"/>
        </w:rPr>
        <w:t>、合同生效及其它</w:t>
      </w:r>
    </w:p>
    <w:p w14:paraId="2F90ACD5">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1.合同经双方法定代表人或授权委托代理人签字并加盖单位公章后生效。</w:t>
      </w:r>
    </w:p>
    <w:p w14:paraId="032D008C">
      <w:pPr>
        <w:shd w:val="clea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2.本合同未尽事宜，遵照《中华人民共和国民法典》有关条文执行。</w:t>
      </w:r>
    </w:p>
    <w:p w14:paraId="28380595">
      <w:pPr>
        <w:shd w:val="clea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本合同</w:t>
      </w:r>
      <w:r>
        <w:rPr>
          <w:rFonts w:hint="eastAsia" w:ascii="宋体" w:hAnsi="宋体" w:cs="宋体"/>
          <w:color w:val="auto"/>
          <w:sz w:val="24"/>
          <w:szCs w:val="24"/>
          <w:highlight w:val="none"/>
          <w:lang w:val="en-US" w:eastAsia="zh-CN"/>
        </w:rPr>
        <w:t>壹</w:t>
      </w:r>
      <w:r>
        <w:rPr>
          <w:rFonts w:hint="eastAsia" w:ascii="宋体" w:hAnsi="宋体" w:eastAsia="宋体" w:cs="宋体"/>
          <w:color w:val="auto"/>
          <w:sz w:val="24"/>
          <w:szCs w:val="24"/>
          <w:highlight w:val="none"/>
          <w:lang w:val="zh-CN"/>
        </w:rPr>
        <w:t>式陆份，甲、乙双方、招标代理公司各执贰份，具有同等法律效力。本项目未尽事宜以招标文件、</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zh-CN"/>
        </w:rPr>
        <w:t>及澄清文件等为准。</w:t>
      </w:r>
    </w:p>
    <w:p w14:paraId="6F8A640B">
      <w:pPr>
        <w:shd w:val="clear"/>
        <w:rPr>
          <w:rFonts w:hint="eastAsia" w:ascii="宋体" w:hAnsi="宋体" w:eastAsia="宋体" w:cs="宋体"/>
          <w:color w:val="auto"/>
          <w:sz w:val="24"/>
          <w:szCs w:val="24"/>
          <w:highlight w:val="none"/>
        </w:rPr>
      </w:pPr>
    </w:p>
    <w:p w14:paraId="5FDD44D8">
      <w:pPr>
        <w:shd w:val="clea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                         乙方（公章）：</w:t>
      </w:r>
    </w:p>
    <w:p w14:paraId="2EE08431">
      <w:pPr>
        <w:shd w:val="clea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           法定代表人或授权委托代理人：</w:t>
      </w:r>
    </w:p>
    <w:p w14:paraId="7E3366D9">
      <w:pPr>
        <w:shd w:val="clea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                           项目负责人：</w:t>
      </w:r>
    </w:p>
    <w:p w14:paraId="4074A514">
      <w:pPr>
        <w:shd w:val="clea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                           项目联系人：</w:t>
      </w:r>
    </w:p>
    <w:p w14:paraId="2908C614">
      <w:pPr>
        <w:shd w:val="clear"/>
        <w:spacing w:line="440" w:lineRule="exact"/>
        <w:rPr>
          <w:rFonts w:hint="eastAsia" w:ascii="宋体" w:hAnsi="宋体" w:eastAsia="宋体" w:cs="宋体"/>
          <w:color w:val="auto"/>
          <w:sz w:val="24"/>
          <w:szCs w:val="24"/>
          <w:highlight w:val="none"/>
        </w:rPr>
      </w:pPr>
    </w:p>
    <w:p w14:paraId="7BF6A98C">
      <w:pPr>
        <w:shd w:val="clea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签订时间：    年   月   日          </w:t>
      </w:r>
    </w:p>
    <w:p w14:paraId="245DE2EB">
      <w:pPr>
        <w:pStyle w:val="3"/>
        <w:shd w:val="clear"/>
        <w:rPr>
          <w:rFonts w:hint="eastAsia" w:ascii="宋体" w:hAnsi="宋体" w:eastAsia="宋体" w:cs="宋体"/>
          <w:color w:val="auto"/>
          <w:sz w:val="24"/>
          <w:szCs w:val="24"/>
          <w:highlight w:val="none"/>
        </w:rPr>
      </w:pPr>
    </w:p>
    <w:p w14:paraId="26B46D7D">
      <w:pPr>
        <w:shd w:val="clea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合同鉴证方（鉴证章）：</w:t>
      </w:r>
    </w:p>
    <w:p w14:paraId="7BD41055">
      <w:pPr>
        <w:shd w:val="clear"/>
        <w:jc w:val="center"/>
        <w:rPr>
          <w:rFonts w:hint="eastAsia" w:ascii="宋体" w:hAnsi="宋体" w:eastAsia="宋体" w:cs="宋体"/>
          <w:b/>
          <w:color w:val="auto"/>
          <w:sz w:val="36"/>
          <w:szCs w:val="36"/>
          <w:highlight w:val="none"/>
        </w:rPr>
      </w:pPr>
    </w:p>
    <w:p w14:paraId="50C2F734">
      <w:pPr>
        <w:shd w:val="clear"/>
        <w:spacing w:line="360" w:lineRule="auto"/>
        <w:jc w:val="both"/>
        <w:rPr>
          <w:rFonts w:hint="eastAsia" w:ascii="宋体" w:hAnsi="宋体" w:eastAsia="宋体" w:cs="宋体"/>
          <w:b/>
          <w:bCs/>
          <w:color w:val="auto"/>
          <w:sz w:val="36"/>
          <w:szCs w:val="44"/>
          <w:highlight w:val="none"/>
        </w:rPr>
      </w:pPr>
    </w:p>
    <w:p w14:paraId="2775BDCE">
      <w:pPr>
        <w:shd w:val="clear"/>
        <w:spacing w:line="360" w:lineRule="auto"/>
        <w:jc w:val="center"/>
        <w:rPr>
          <w:rFonts w:hint="eastAsia" w:ascii="宋体" w:hAnsi="宋体" w:eastAsia="宋体" w:cs="宋体"/>
          <w:b/>
          <w:bCs/>
          <w:color w:val="auto"/>
          <w:sz w:val="36"/>
          <w:szCs w:val="44"/>
          <w:highlight w:val="none"/>
        </w:rPr>
      </w:pPr>
    </w:p>
    <w:p w14:paraId="404FF544">
      <w:pP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p>
    <w:p w14:paraId="64CF739A">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第六章 投标文件格式附件</w:t>
      </w:r>
    </w:p>
    <w:p w14:paraId="7F202D68">
      <w:pPr>
        <w:shd w:val="clea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 xml:space="preserve">附件1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14:paraId="7AA598D4">
      <w:pPr>
        <w:shd w:val="clear"/>
        <w:spacing w:line="360" w:lineRule="auto"/>
        <w:rPr>
          <w:rFonts w:hint="eastAsia" w:ascii="宋体" w:hAnsi="宋体" w:eastAsia="宋体" w:cs="宋体"/>
          <w:b/>
          <w:color w:val="auto"/>
          <w:sz w:val="30"/>
          <w:szCs w:val="30"/>
          <w:highlight w:val="none"/>
        </w:rPr>
      </w:pPr>
    </w:p>
    <w:p w14:paraId="19DFCB87">
      <w:pPr>
        <w:shd w:val="clear"/>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ABBA4FE">
      <w:pPr>
        <w:shd w:val="clea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0283779C">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7A5AA7BC">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BD8A82">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1D43E6B9">
      <w:pPr>
        <w:shd w:val="clea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3C58CE4">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05111ECB">
      <w:pPr>
        <w:shd w:val="clear"/>
        <w:autoSpaceDE w:val="0"/>
        <w:autoSpaceDN w:val="0"/>
        <w:adjustRightInd w:val="0"/>
        <w:spacing w:line="360" w:lineRule="auto"/>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3DF4388B">
      <w:pPr>
        <w:shd w:val="clear"/>
        <w:autoSpaceDE w:val="0"/>
        <w:autoSpaceDN w:val="0"/>
        <w:adjustRightInd w:val="0"/>
        <w:spacing w:line="360" w:lineRule="auto"/>
        <w:rPr>
          <w:rFonts w:hint="eastAsia" w:ascii="宋体" w:hAnsi="宋体" w:eastAsia="宋体" w:cs="宋体"/>
          <w:color w:val="auto"/>
          <w:sz w:val="36"/>
          <w:szCs w:val="36"/>
          <w:highlight w:val="none"/>
        </w:rPr>
      </w:pPr>
    </w:p>
    <w:p w14:paraId="4809E114">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w:t>
      </w:r>
      <w:r>
        <w:rPr>
          <w:rFonts w:hint="eastAsia" w:ascii="宋体" w:hAnsi="宋体" w:eastAsia="宋体" w:cs="宋体"/>
          <w:color w:val="auto"/>
          <w:sz w:val="32"/>
          <w:szCs w:val="32"/>
          <w:highlight w:val="none"/>
        </w:rPr>
        <w:t>（加盖公章）</w:t>
      </w:r>
      <w:r>
        <w:rPr>
          <w:rFonts w:hint="eastAsia" w:ascii="宋体" w:hAnsi="宋体" w:eastAsia="宋体" w:cs="宋体"/>
          <w:color w:val="auto"/>
          <w:sz w:val="36"/>
          <w:szCs w:val="36"/>
          <w:highlight w:val="none"/>
        </w:rPr>
        <w:t>：</w:t>
      </w:r>
    </w:p>
    <w:p w14:paraId="4D148164">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78829E26">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5382E2A0">
      <w:pPr>
        <w:shd w:val="clear"/>
        <w:spacing w:line="360" w:lineRule="auto"/>
        <w:rPr>
          <w:rFonts w:hint="eastAsia" w:ascii="宋体" w:hAnsi="宋体" w:eastAsia="宋体" w:cs="宋体"/>
          <w:color w:val="auto"/>
          <w:sz w:val="24"/>
          <w:szCs w:val="32"/>
          <w:highlight w:val="none"/>
        </w:rPr>
      </w:pPr>
    </w:p>
    <w:p w14:paraId="5602C71C">
      <w:pPr>
        <w:shd w:val="clear"/>
        <w:spacing w:line="360" w:lineRule="auto"/>
        <w:rPr>
          <w:rFonts w:hint="eastAsia" w:ascii="宋体" w:hAnsi="宋体" w:eastAsia="宋体" w:cs="宋体"/>
          <w:color w:val="auto"/>
          <w:sz w:val="24"/>
          <w:szCs w:val="32"/>
          <w:highlight w:val="none"/>
        </w:rPr>
      </w:pPr>
    </w:p>
    <w:p w14:paraId="52F4CF87">
      <w:pPr>
        <w:shd w:val="clear"/>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b/>
          <w:bCs/>
          <w:color w:val="auto"/>
          <w:sz w:val="36"/>
          <w:szCs w:val="44"/>
          <w:highlight w:val="none"/>
        </w:rPr>
        <w:t>资格证明文件目录</w:t>
      </w:r>
    </w:p>
    <w:p w14:paraId="2A5B3B2E">
      <w:pPr>
        <w:shd w:val="clear"/>
        <w:spacing w:line="360" w:lineRule="auto"/>
        <w:rPr>
          <w:rFonts w:hint="eastAsia" w:ascii="宋体" w:hAnsi="宋体" w:eastAsia="宋体" w:cs="宋体"/>
          <w:color w:val="auto"/>
          <w:sz w:val="24"/>
          <w:szCs w:val="32"/>
          <w:highlight w:val="none"/>
        </w:rPr>
      </w:pPr>
    </w:p>
    <w:p w14:paraId="3B99DDC4">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（1）投标声明书（附件2）；</w:t>
      </w:r>
    </w:p>
    <w:p w14:paraId="0BF5477C">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（2）授权委托书（法定代表人亲自办理投标事宜的，则无需提交）（附件3）；</w:t>
      </w:r>
    </w:p>
    <w:p w14:paraId="5C83BEF6">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（3）法人或者其他组织的营业执照等证明文件，自然人的身份证明（附件4）；</w:t>
      </w:r>
    </w:p>
    <w:p w14:paraId="1FEC9D49">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（4）具有良好的商业信誉和健全的财务会计制度的承诺（附件5）；</w:t>
      </w:r>
    </w:p>
    <w:p w14:paraId="6064C6AF">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（5）依法缴纳税收和社会保障资金的承诺（附件6）；</w:t>
      </w:r>
    </w:p>
    <w:p w14:paraId="62B3FFBB">
      <w:pPr>
        <w:shd w:val="clear"/>
        <w:spacing w:line="360" w:lineRule="auto"/>
        <w:ind w:firstLine="560" w:firstLineChars="200"/>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rPr>
        <w:t>（6）</w:t>
      </w:r>
      <w:r>
        <w:rPr>
          <w:rFonts w:hint="eastAsia" w:ascii="宋体" w:hAnsi="宋体" w:eastAsia="宋体" w:cs="宋体"/>
          <w:color w:val="auto"/>
          <w:sz w:val="28"/>
          <w:szCs w:val="36"/>
          <w:highlight w:val="none"/>
          <w:lang w:val="zh-CN"/>
        </w:rPr>
        <w:t>参加政府采购活动前三年内，在经营活动中没有重大违法记录（声明函）</w:t>
      </w:r>
      <w:r>
        <w:rPr>
          <w:rFonts w:hint="eastAsia" w:ascii="宋体" w:hAnsi="宋体" w:eastAsia="宋体" w:cs="宋体"/>
          <w:color w:val="auto"/>
          <w:sz w:val="28"/>
          <w:szCs w:val="36"/>
          <w:highlight w:val="none"/>
        </w:rPr>
        <w:t>（附件7）</w:t>
      </w:r>
      <w:r>
        <w:rPr>
          <w:rFonts w:hint="eastAsia" w:ascii="宋体" w:hAnsi="宋体" w:eastAsia="宋体" w:cs="宋体"/>
          <w:color w:val="auto"/>
          <w:sz w:val="28"/>
          <w:szCs w:val="36"/>
          <w:highlight w:val="none"/>
          <w:lang w:val="zh-CN"/>
        </w:rPr>
        <w:t>；</w:t>
      </w:r>
    </w:p>
    <w:p w14:paraId="5840E539">
      <w:pPr>
        <w:shd w:val="clear"/>
        <w:spacing w:line="360" w:lineRule="auto"/>
        <w:ind w:firstLine="560" w:firstLineChars="200"/>
        <w:rPr>
          <w:rFonts w:hint="eastAsia" w:ascii="宋体" w:hAnsi="宋体" w:eastAsia="宋体" w:cs="宋体"/>
          <w:color w:val="auto"/>
          <w:sz w:val="28"/>
          <w:szCs w:val="36"/>
          <w:highlight w:val="none"/>
          <w:lang w:val="zh-CN"/>
        </w:rPr>
      </w:pPr>
      <w:r>
        <w:rPr>
          <w:rFonts w:hint="eastAsia" w:ascii="宋体" w:hAnsi="宋体" w:eastAsia="宋体" w:cs="宋体"/>
          <w:color w:val="auto"/>
          <w:sz w:val="28"/>
          <w:szCs w:val="36"/>
          <w:highlight w:val="none"/>
          <w:lang w:val="zh-CN"/>
        </w:rPr>
        <w:t>（7）</w:t>
      </w:r>
      <w:r>
        <w:rPr>
          <w:rFonts w:hint="eastAsia" w:ascii="宋体" w:hAnsi="宋体" w:eastAsia="宋体" w:cs="宋体"/>
          <w:color w:val="auto"/>
          <w:sz w:val="28"/>
          <w:szCs w:val="36"/>
          <w:highlight w:val="none"/>
          <w:lang w:val="en-US" w:eastAsia="zh-CN"/>
        </w:rPr>
        <w:t>具备履行合同所必需的设备和专业技术能力的承诺函</w:t>
      </w:r>
      <w:r>
        <w:rPr>
          <w:rFonts w:hint="eastAsia" w:ascii="宋体" w:hAnsi="宋体" w:eastAsia="宋体" w:cs="宋体"/>
          <w:color w:val="auto"/>
          <w:sz w:val="28"/>
          <w:szCs w:val="36"/>
          <w:highlight w:val="none"/>
          <w:lang w:val="zh-CN"/>
        </w:rPr>
        <w:t>。</w:t>
      </w:r>
    </w:p>
    <w:p w14:paraId="2D18135E">
      <w:pPr>
        <w:shd w:val="clear"/>
        <w:spacing w:line="360" w:lineRule="auto"/>
        <w:rPr>
          <w:rFonts w:hint="eastAsia" w:ascii="宋体" w:hAnsi="宋体" w:eastAsia="宋体" w:cs="宋体"/>
          <w:b/>
          <w:bCs/>
          <w:color w:val="auto"/>
          <w:sz w:val="24"/>
          <w:szCs w:val="32"/>
          <w:highlight w:val="none"/>
        </w:rPr>
      </w:pPr>
    </w:p>
    <w:p w14:paraId="36058EE6">
      <w:pPr>
        <w:shd w:val="clear"/>
        <w:spacing w:line="360" w:lineRule="auto"/>
        <w:rPr>
          <w:rFonts w:hint="eastAsia" w:ascii="宋体" w:hAnsi="宋体" w:eastAsia="宋体" w:cs="宋体"/>
          <w:b/>
          <w:bCs/>
          <w:color w:val="auto"/>
          <w:sz w:val="24"/>
          <w:szCs w:val="32"/>
          <w:highlight w:val="none"/>
        </w:rPr>
      </w:pPr>
    </w:p>
    <w:p w14:paraId="0D14297C">
      <w:pPr>
        <w:shd w:val="clear"/>
        <w:spacing w:line="360" w:lineRule="auto"/>
        <w:rPr>
          <w:rFonts w:hint="eastAsia" w:ascii="宋体" w:hAnsi="宋体" w:eastAsia="宋体" w:cs="宋体"/>
          <w:b/>
          <w:bCs/>
          <w:color w:val="auto"/>
          <w:sz w:val="24"/>
          <w:szCs w:val="32"/>
          <w:highlight w:val="none"/>
        </w:rPr>
      </w:pPr>
    </w:p>
    <w:p w14:paraId="0AE5547D">
      <w:pPr>
        <w:shd w:val="clear"/>
        <w:spacing w:line="360" w:lineRule="auto"/>
        <w:rPr>
          <w:rFonts w:hint="eastAsia" w:ascii="宋体" w:hAnsi="宋体" w:eastAsia="宋体" w:cs="宋体"/>
          <w:b/>
          <w:bCs/>
          <w:color w:val="auto"/>
          <w:sz w:val="24"/>
          <w:szCs w:val="32"/>
          <w:highlight w:val="none"/>
        </w:rPr>
      </w:pPr>
    </w:p>
    <w:p w14:paraId="0E00CC5B">
      <w:pPr>
        <w:shd w:val="clear"/>
        <w:spacing w:line="360" w:lineRule="auto"/>
        <w:rPr>
          <w:rFonts w:hint="eastAsia" w:ascii="宋体" w:hAnsi="宋体" w:eastAsia="宋体" w:cs="宋体"/>
          <w:b/>
          <w:bCs/>
          <w:color w:val="auto"/>
          <w:sz w:val="24"/>
          <w:szCs w:val="32"/>
          <w:highlight w:val="none"/>
        </w:rPr>
      </w:pPr>
    </w:p>
    <w:p w14:paraId="08AD76B4">
      <w:pPr>
        <w:shd w:val="clear"/>
        <w:spacing w:line="360" w:lineRule="auto"/>
        <w:rPr>
          <w:rFonts w:hint="eastAsia" w:ascii="宋体" w:hAnsi="宋体" w:eastAsia="宋体" w:cs="宋体"/>
          <w:b/>
          <w:bCs/>
          <w:color w:val="auto"/>
          <w:sz w:val="24"/>
          <w:szCs w:val="32"/>
          <w:highlight w:val="none"/>
        </w:rPr>
      </w:pPr>
    </w:p>
    <w:p w14:paraId="4E7F2DD7">
      <w:pPr>
        <w:shd w:val="clear"/>
        <w:spacing w:line="360" w:lineRule="auto"/>
        <w:rPr>
          <w:rFonts w:hint="eastAsia" w:ascii="宋体" w:hAnsi="宋体" w:eastAsia="宋体" w:cs="宋体"/>
          <w:b/>
          <w:bCs/>
          <w:color w:val="auto"/>
          <w:sz w:val="24"/>
          <w:szCs w:val="32"/>
          <w:highlight w:val="none"/>
        </w:rPr>
      </w:pPr>
    </w:p>
    <w:p w14:paraId="5B934351">
      <w:pPr>
        <w:shd w:val="clear"/>
        <w:spacing w:line="360" w:lineRule="auto"/>
        <w:rPr>
          <w:rFonts w:hint="eastAsia" w:ascii="宋体" w:hAnsi="宋体" w:eastAsia="宋体" w:cs="宋体"/>
          <w:b/>
          <w:bCs/>
          <w:color w:val="auto"/>
          <w:sz w:val="24"/>
          <w:szCs w:val="32"/>
          <w:highlight w:val="none"/>
        </w:rPr>
      </w:pPr>
    </w:p>
    <w:p w14:paraId="36EB4291">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br w:type="page"/>
      </w:r>
    </w:p>
    <w:p w14:paraId="3FC23B72">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附件2</w:t>
      </w:r>
    </w:p>
    <w:p w14:paraId="15F3ED47">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投标声明书</w:t>
      </w:r>
    </w:p>
    <w:p w14:paraId="6881988A">
      <w:pPr>
        <w:shd w:val="clear"/>
        <w:spacing w:line="460" w:lineRule="exac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浙江五石中正工程咨询有限公司</w:t>
      </w:r>
      <w:r>
        <w:rPr>
          <w:rFonts w:hint="eastAsia" w:ascii="宋体" w:hAnsi="宋体" w:eastAsia="宋体" w:cs="宋体"/>
          <w:color w:val="auto"/>
          <w:sz w:val="24"/>
          <w:szCs w:val="32"/>
          <w:highlight w:val="none"/>
        </w:rPr>
        <w:t>（采购代理机构名称）：</w:t>
      </w:r>
    </w:p>
    <w:p w14:paraId="3E3A95D7">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（供应商名称）</w:t>
      </w:r>
      <w:r>
        <w:rPr>
          <w:rFonts w:hint="eastAsia" w:ascii="宋体" w:hAnsi="宋体" w:eastAsia="宋体" w:cs="宋体"/>
          <w:color w:val="auto"/>
          <w:sz w:val="24"/>
          <w:szCs w:val="32"/>
          <w:highlight w:val="none"/>
        </w:rPr>
        <w:t>系中华人民共和国合法企业，经营地址</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w:t>
      </w:r>
    </w:p>
    <w:p w14:paraId="6D0EC27C">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w:t>
      </w:r>
      <w:r>
        <w:rPr>
          <w:rFonts w:hint="eastAsia" w:ascii="宋体" w:hAnsi="宋体" w:eastAsia="宋体" w:cs="宋体"/>
          <w:color w:val="auto"/>
          <w:sz w:val="24"/>
          <w:szCs w:val="32"/>
          <w:highlight w:val="none"/>
          <w:u w:val="single"/>
        </w:rPr>
        <w:t xml:space="preserve"> 姓名 </w:t>
      </w:r>
      <w:r>
        <w:rPr>
          <w:rFonts w:hint="eastAsia" w:ascii="宋体" w:hAnsi="宋体" w:eastAsia="宋体" w:cs="宋体"/>
          <w:color w:val="auto"/>
          <w:sz w:val="24"/>
          <w:szCs w:val="32"/>
          <w:highlight w:val="none"/>
        </w:rPr>
        <w:t>）系（</w:t>
      </w:r>
      <w:r>
        <w:rPr>
          <w:rFonts w:hint="eastAsia" w:ascii="宋体" w:hAnsi="宋体" w:eastAsia="宋体" w:cs="宋体"/>
          <w:color w:val="auto"/>
          <w:sz w:val="24"/>
          <w:szCs w:val="32"/>
          <w:highlight w:val="none"/>
          <w:u w:val="single"/>
        </w:rPr>
        <w:t xml:space="preserve"> 供应商名称 </w:t>
      </w:r>
      <w:r>
        <w:rPr>
          <w:rFonts w:hint="eastAsia" w:ascii="宋体" w:hAnsi="宋体" w:eastAsia="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台州市协同办公平台升级改造项目</w:t>
      </w:r>
      <w:r>
        <w:rPr>
          <w:rFonts w:hint="eastAsia" w:ascii="宋体" w:hAnsi="宋体" w:eastAsia="宋体" w:cs="宋体"/>
          <w:color w:val="auto"/>
          <w:sz w:val="24"/>
          <w:szCs w:val="32"/>
          <w:highlight w:val="none"/>
        </w:rPr>
        <w:t>）（编号为</w:t>
      </w:r>
      <w:r>
        <w:rPr>
          <w:rFonts w:hint="eastAsia" w:ascii="宋体" w:hAnsi="宋体" w:cs="宋体"/>
          <w:color w:val="auto"/>
          <w:sz w:val="24"/>
          <w:szCs w:val="32"/>
          <w:highlight w:val="none"/>
          <w:u w:val="single"/>
          <w:lang w:eastAsia="zh-CN"/>
        </w:rPr>
        <w:t>ZJWS2024-JJ315</w:t>
      </w:r>
      <w:r>
        <w:rPr>
          <w:rFonts w:hint="eastAsia" w:ascii="宋体" w:hAnsi="宋体" w:eastAsia="宋体" w:cs="宋体"/>
          <w:color w:val="auto"/>
          <w:sz w:val="24"/>
          <w:szCs w:val="32"/>
          <w:highlight w:val="none"/>
        </w:rPr>
        <w:t>）的公开招标，为此，我公司就本次投标有关事项郑重声明如下：</w:t>
      </w:r>
    </w:p>
    <w:p w14:paraId="75182AE9">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我公司声明截止投标时间近三年以来：在参加政府采购活动过程中无任何不良行为记录；无重大违法记录（重大违法记录是指供应商因违法经营受到刑事处罚或者责令停产停业、吊销许可证或者执照、较大数额罚款等行政处罚）。</w:t>
      </w:r>
    </w:p>
    <w:p w14:paraId="5739C6AA">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14:paraId="58934A05">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不是采购人的附属机构；在获知本项目采购信息后，与采购人聘请的为此项目提供咨询服务的公司及其附属机构没有任何联系。</w:t>
      </w:r>
    </w:p>
    <w:p w14:paraId="202477C5">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保证，采购人在中华人民共和国境内使用我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lang w:val="af-ZA"/>
        </w:rPr>
        <w:t>投标</w:t>
      </w:r>
      <w:r>
        <w:rPr>
          <w:rFonts w:hint="eastAsia" w:ascii="宋体" w:hAnsi="宋体" w:eastAsia="宋体" w:cs="宋体"/>
          <w:color w:val="auto"/>
          <w:sz w:val="24"/>
          <w:szCs w:val="32"/>
          <w:highlight w:val="none"/>
          <w:lang w:val="en-US" w:eastAsia="zh-CN"/>
        </w:rPr>
        <w:t>产品</w:t>
      </w:r>
      <w:r>
        <w:rPr>
          <w:rFonts w:hint="eastAsia" w:ascii="宋体" w:hAnsi="宋体" w:eastAsia="宋体" w:cs="宋体"/>
          <w:color w:val="auto"/>
          <w:sz w:val="24"/>
          <w:szCs w:val="32"/>
          <w:highlight w:val="none"/>
        </w:rPr>
        <w:t>、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3CB6A5D">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严格履行政府采购合同，不降低合同约定的产品质量和服务，不擅自变更、中止、终止合同，或拒绝履行合同义务；</w:t>
      </w:r>
    </w:p>
    <w:p w14:paraId="1F8CDBA7">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6、以上事项如有虚假或隐瞒，我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愿意承担一切后果，并不再寻求任何旨在减轻或免除法律责任的辩解。</w:t>
      </w:r>
    </w:p>
    <w:p w14:paraId="046BA1B6">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14:paraId="11AA3970">
      <w:pPr>
        <w:shd w:val="clear"/>
        <w:spacing w:line="430" w:lineRule="exact"/>
        <w:ind w:firstLine="3840" w:firstLineChars="16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投标人名称（公章）：</w:t>
      </w:r>
    </w:p>
    <w:p w14:paraId="30FD1C28">
      <w:pPr>
        <w:shd w:val="clear"/>
        <w:spacing w:line="430" w:lineRule="exact"/>
        <w:ind w:firstLine="1200" w:firstLineChars="5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法定代表人或授权委托代理人（签字</w:t>
      </w:r>
      <w:r>
        <w:rPr>
          <w:rFonts w:hint="eastAsia" w:ascii="宋体" w:hAnsi="宋体" w:eastAsia="宋体" w:cs="宋体"/>
          <w:color w:val="auto"/>
          <w:sz w:val="24"/>
          <w:szCs w:val="32"/>
          <w:highlight w:val="none"/>
        </w:rPr>
        <w:t>或盖章</w:t>
      </w:r>
      <w:r>
        <w:rPr>
          <w:rFonts w:hint="eastAsia" w:ascii="宋体" w:hAnsi="宋体" w:eastAsia="宋体" w:cs="宋体"/>
          <w:color w:val="auto"/>
          <w:sz w:val="24"/>
          <w:szCs w:val="32"/>
          <w:highlight w:val="none"/>
          <w:lang w:val="zh-CN"/>
        </w:rPr>
        <w:t>）：</w:t>
      </w:r>
    </w:p>
    <w:p w14:paraId="1D37ED11">
      <w:pPr>
        <w:shd w:val="clear"/>
        <w:spacing w:line="430" w:lineRule="exact"/>
        <w:ind w:firstLine="3840" w:firstLineChars="1600"/>
        <w:rPr>
          <w:rFonts w:hint="eastAsia" w:ascii="宋体" w:hAnsi="宋体" w:eastAsia="宋体" w:cs="宋体"/>
          <w:b/>
          <w:color w:val="auto"/>
          <w:sz w:val="28"/>
          <w:highlight w:val="none"/>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日</w:t>
      </w:r>
    </w:p>
    <w:p w14:paraId="4BEDE73C">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br w:type="page"/>
      </w:r>
    </w:p>
    <w:p w14:paraId="309B9D38">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附件3</w:t>
      </w:r>
    </w:p>
    <w:p w14:paraId="01ACBFB0">
      <w:pPr>
        <w:shd w:val="clea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授权委托书</w:t>
      </w:r>
    </w:p>
    <w:p w14:paraId="58B2F18A">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浙江五石中正工程咨询有限公司</w:t>
      </w:r>
      <w:r>
        <w:rPr>
          <w:rFonts w:hint="eastAsia" w:ascii="宋体" w:hAnsi="宋体" w:eastAsia="宋体" w:cs="宋体"/>
          <w:color w:val="auto"/>
          <w:sz w:val="24"/>
          <w:highlight w:val="none"/>
        </w:rPr>
        <w:t>（采购代理机构名称）：</w:t>
      </w:r>
    </w:p>
    <w:p w14:paraId="54E76E4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（投标人全称）</w:t>
      </w:r>
      <w:r>
        <w:rPr>
          <w:rFonts w:hint="eastAsia" w:ascii="宋体" w:hAnsi="宋体" w:eastAsia="宋体" w:cs="宋体"/>
          <w:color w:val="auto"/>
          <w:sz w:val="24"/>
          <w:highlight w:val="none"/>
        </w:rPr>
        <w:t>法定代表人（或营业执照中单位负责人）</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（法定代表人或营业执照中单位负责人姓名） </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 xml:space="preserve"> （授权委托代理人姓名） </w:t>
      </w:r>
      <w:r>
        <w:rPr>
          <w:rFonts w:hint="eastAsia" w:ascii="宋体" w:hAnsi="宋体" w:eastAsia="宋体" w:cs="宋体"/>
          <w:color w:val="auto"/>
          <w:sz w:val="24"/>
          <w:highlight w:val="none"/>
        </w:rPr>
        <w:t>为授权委托代理人，参加贵单位组织的</w:t>
      </w:r>
      <w:r>
        <w:rPr>
          <w:rFonts w:hint="eastAsia" w:ascii="宋体" w:hAnsi="宋体" w:cs="宋体"/>
          <w:color w:val="auto"/>
          <w:sz w:val="24"/>
          <w:highlight w:val="none"/>
          <w:u w:val="single"/>
          <w:lang w:eastAsia="zh-CN"/>
        </w:rPr>
        <w:t>台州市协同办公平台升级改造项目</w:t>
      </w:r>
      <w:r>
        <w:rPr>
          <w:rFonts w:hint="eastAsia" w:ascii="宋体" w:hAnsi="宋体" w:eastAsia="宋体" w:cs="宋体"/>
          <w:color w:val="auto"/>
          <w:sz w:val="24"/>
          <w:highlight w:val="none"/>
        </w:rPr>
        <w:t>的采购活动，并代表我方全权办理针对上述项目的投标、开标、评标、签约等具体事务和签署相关文件。我方对授权委托代理人的签字事项负全部责任。</w:t>
      </w:r>
    </w:p>
    <w:p w14:paraId="06C10CB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在撤销授权的书面通知以前，本授权书一直有效。授权委托代理人在授权委托书有效期内签署的所有文件不因授权的撤销而失效。</w:t>
      </w:r>
    </w:p>
    <w:p w14:paraId="0012671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授权委托代理人无转委托权，特此委托。</w:t>
      </w:r>
    </w:p>
    <w:p w14:paraId="1B07B27A">
      <w:pPr>
        <w:shd w:val="clear"/>
        <w:spacing w:line="360" w:lineRule="auto"/>
        <w:ind w:firstLine="480" w:firstLineChars="200"/>
        <w:rPr>
          <w:rFonts w:hint="eastAsia" w:ascii="宋体" w:hAnsi="宋体" w:eastAsia="宋体" w:cs="宋体"/>
          <w:color w:val="auto"/>
          <w:sz w:val="24"/>
          <w:highlight w:val="none"/>
        </w:rPr>
      </w:pPr>
    </w:p>
    <w:p w14:paraId="4763BD6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591FF6DE">
      <w:pPr>
        <w:shd w:val="clear"/>
        <w:spacing w:line="360" w:lineRule="auto"/>
        <w:ind w:firstLine="480" w:firstLineChars="200"/>
        <w:rPr>
          <w:rFonts w:hint="eastAsia" w:ascii="宋体" w:hAnsi="宋体" w:eastAsia="宋体" w:cs="宋体"/>
          <w:color w:val="auto"/>
          <w:sz w:val="24"/>
          <w:highlight w:val="none"/>
        </w:rPr>
      </w:pPr>
    </w:p>
    <w:p w14:paraId="3DBE46C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投标人全称（公章）：                      </w:t>
      </w:r>
      <w:r>
        <w:rPr>
          <w:rFonts w:hint="eastAsia" w:ascii="宋体" w:hAnsi="宋体" w:eastAsia="宋体" w:cs="宋体"/>
          <w:color w:val="auto"/>
          <w:sz w:val="24"/>
          <w:highlight w:val="none"/>
          <w:lang w:val="zh-CN"/>
        </w:rPr>
        <w:t>日期：年月日</w:t>
      </w:r>
    </w:p>
    <w:p w14:paraId="7FE03880">
      <w:pPr>
        <w:shd w:val="clear"/>
        <w:spacing w:line="360" w:lineRule="auto"/>
        <w:ind w:firstLine="480" w:firstLineChars="200"/>
        <w:rPr>
          <w:rFonts w:hint="eastAsia" w:ascii="宋体" w:hAnsi="宋体" w:eastAsia="宋体" w:cs="宋体"/>
          <w:color w:val="auto"/>
          <w:sz w:val="24"/>
          <w:highlight w:val="none"/>
        </w:rPr>
      </w:pPr>
    </w:p>
    <w:p w14:paraId="71E83A6B">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w:t>
      </w:r>
    </w:p>
    <w:tbl>
      <w:tblPr>
        <w:tblStyle w:val="3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46D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13A76B9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14:paraId="3BD690B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法定代表人姓名：</w:t>
      </w:r>
    </w:p>
    <w:p w14:paraId="475BCA7F">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0F3D39E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手机：</w:t>
      </w:r>
    </w:p>
    <w:p w14:paraId="292426D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14:paraId="4850A3B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14:paraId="614242FA">
      <w:pPr>
        <w:shd w:val="clear"/>
        <w:spacing w:line="360" w:lineRule="auto"/>
        <w:rPr>
          <w:rFonts w:hint="eastAsia" w:ascii="宋体" w:hAnsi="宋体" w:eastAsia="宋体" w:cs="宋体"/>
          <w:b/>
          <w:color w:val="auto"/>
          <w:sz w:val="24"/>
          <w:highlight w:val="none"/>
        </w:rPr>
      </w:pPr>
    </w:p>
    <w:tbl>
      <w:tblPr>
        <w:tblStyle w:val="3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E53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6816AAF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授权委托代理人身份证复印件粘帖处</w:t>
            </w:r>
          </w:p>
        </w:tc>
      </w:tr>
    </w:tbl>
    <w:p w14:paraId="07FEBBF2">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授权委托代理人姓名：</w:t>
      </w:r>
    </w:p>
    <w:p w14:paraId="5AD0E4D5">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p w14:paraId="5781C963">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7E10EFC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手机：</w:t>
      </w:r>
    </w:p>
    <w:p w14:paraId="08A4D4A8">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14:paraId="1CADEC17">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14:paraId="287A6363">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A4E8D06">
      <w:pPr>
        <w:shd w:val="clea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附件4</w:t>
      </w:r>
    </w:p>
    <w:p w14:paraId="5E6E6216">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有效的法人或者其他组织的营业执照等证明文件（复印件），自然人的身份证明</w:t>
      </w:r>
    </w:p>
    <w:p w14:paraId="6AE9C08B">
      <w:pPr>
        <w:shd w:val="clear"/>
        <w:spacing w:line="360" w:lineRule="auto"/>
        <w:rPr>
          <w:rFonts w:hint="eastAsia" w:ascii="宋体" w:hAnsi="宋体" w:eastAsia="宋体" w:cs="宋体"/>
          <w:color w:val="auto"/>
          <w:sz w:val="24"/>
          <w:szCs w:val="32"/>
          <w:highlight w:val="none"/>
        </w:rPr>
      </w:pPr>
    </w:p>
    <w:p w14:paraId="07B2041D">
      <w:pPr>
        <w:shd w:val="clear"/>
        <w:spacing w:line="360" w:lineRule="auto"/>
        <w:rPr>
          <w:rFonts w:hint="eastAsia" w:ascii="宋体" w:hAnsi="宋体" w:eastAsia="宋体" w:cs="宋体"/>
          <w:color w:val="auto"/>
          <w:sz w:val="24"/>
          <w:szCs w:val="32"/>
          <w:highlight w:val="none"/>
        </w:rPr>
      </w:pPr>
    </w:p>
    <w:p w14:paraId="5FF11E17">
      <w:pPr>
        <w:shd w:val="clear"/>
        <w:spacing w:line="360" w:lineRule="auto"/>
        <w:rPr>
          <w:rFonts w:hint="eastAsia" w:ascii="宋体" w:hAnsi="宋体" w:eastAsia="宋体" w:cs="宋体"/>
          <w:color w:val="auto"/>
          <w:sz w:val="24"/>
          <w:szCs w:val="32"/>
          <w:highlight w:val="none"/>
        </w:rPr>
      </w:pPr>
    </w:p>
    <w:p w14:paraId="3DA1B210">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说明：</w:t>
      </w:r>
    </w:p>
    <w:p w14:paraId="121D2FDE">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1.如供应商是企业（包括合伙企业），提供在工商部门注册的有效“企业法人营业执照”或“营业执照”；</w:t>
      </w:r>
    </w:p>
    <w:p w14:paraId="5C3967D8">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2.如供应商是事业单位，提供有效的“事业单位法人证书”；</w:t>
      </w:r>
    </w:p>
    <w:p w14:paraId="5EE35FBD">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3.如供应商是非企业专业服务机构的，提供执业许可证等证明文件；</w:t>
      </w:r>
    </w:p>
    <w:p w14:paraId="22A95BAD">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4.如供应商是个体工商户，提供有效的“个体工商户营业执照”；</w:t>
      </w:r>
    </w:p>
    <w:p w14:paraId="16D32516">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5.如供应商是自然人，提供有效的自然人身份证明。</w:t>
      </w:r>
    </w:p>
    <w:p w14:paraId="430E79E4">
      <w:pPr>
        <w:shd w:val="clear"/>
        <w:spacing w:line="360" w:lineRule="auto"/>
        <w:rPr>
          <w:rFonts w:hint="eastAsia" w:ascii="宋体" w:hAnsi="宋体" w:eastAsia="宋体" w:cs="宋体"/>
          <w:color w:val="auto"/>
          <w:sz w:val="24"/>
          <w:szCs w:val="32"/>
          <w:highlight w:val="none"/>
        </w:rPr>
      </w:pPr>
    </w:p>
    <w:p w14:paraId="02EB63C0">
      <w:pPr>
        <w:shd w:val="clear"/>
        <w:spacing w:line="360" w:lineRule="auto"/>
        <w:rPr>
          <w:rFonts w:hint="eastAsia" w:ascii="宋体" w:hAnsi="宋体" w:eastAsia="宋体" w:cs="宋体"/>
          <w:color w:val="auto"/>
          <w:sz w:val="24"/>
          <w:szCs w:val="32"/>
          <w:highlight w:val="none"/>
        </w:rPr>
      </w:pPr>
    </w:p>
    <w:p w14:paraId="4E54434B">
      <w:pPr>
        <w:shd w:val="clear"/>
        <w:spacing w:line="360" w:lineRule="auto"/>
        <w:rPr>
          <w:rFonts w:hint="eastAsia" w:ascii="宋体" w:hAnsi="宋体" w:eastAsia="宋体" w:cs="宋体"/>
          <w:color w:val="auto"/>
          <w:sz w:val="24"/>
          <w:szCs w:val="32"/>
          <w:highlight w:val="none"/>
        </w:rPr>
      </w:pPr>
    </w:p>
    <w:p w14:paraId="587DD219">
      <w:pPr>
        <w:shd w:val="clear"/>
        <w:spacing w:line="360" w:lineRule="auto"/>
        <w:rPr>
          <w:rFonts w:hint="eastAsia" w:ascii="宋体" w:hAnsi="宋体" w:eastAsia="宋体" w:cs="宋体"/>
          <w:color w:val="auto"/>
          <w:sz w:val="24"/>
          <w:szCs w:val="32"/>
          <w:highlight w:val="none"/>
        </w:rPr>
      </w:pPr>
    </w:p>
    <w:p w14:paraId="083D2829">
      <w:pPr>
        <w:shd w:val="clear"/>
        <w:spacing w:line="360" w:lineRule="auto"/>
        <w:rPr>
          <w:rFonts w:hint="eastAsia" w:ascii="宋体" w:hAnsi="宋体" w:eastAsia="宋体" w:cs="宋体"/>
          <w:color w:val="auto"/>
          <w:sz w:val="24"/>
          <w:szCs w:val="32"/>
          <w:highlight w:val="none"/>
        </w:rPr>
      </w:pPr>
    </w:p>
    <w:p w14:paraId="3BE9CFD5">
      <w:pPr>
        <w:shd w:val="clear"/>
        <w:spacing w:line="360" w:lineRule="auto"/>
        <w:rPr>
          <w:rFonts w:hint="eastAsia" w:ascii="宋体" w:hAnsi="宋体" w:eastAsia="宋体" w:cs="宋体"/>
          <w:color w:val="auto"/>
          <w:sz w:val="24"/>
          <w:szCs w:val="32"/>
          <w:highlight w:val="none"/>
        </w:rPr>
      </w:pPr>
    </w:p>
    <w:p w14:paraId="6D8C949D">
      <w:pPr>
        <w:shd w:val="clear"/>
        <w:spacing w:line="360" w:lineRule="auto"/>
        <w:rPr>
          <w:rFonts w:hint="eastAsia" w:ascii="宋体" w:hAnsi="宋体" w:eastAsia="宋体" w:cs="宋体"/>
          <w:color w:val="auto"/>
          <w:sz w:val="24"/>
          <w:szCs w:val="32"/>
          <w:highlight w:val="none"/>
        </w:rPr>
      </w:pPr>
    </w:p>
    <w:p w14:paraId="57814820">
      <w:pPr>
        <w:shd w:val="clear"/>
        <w:spacing w:line="360" w:lineRule="auto"/>
        <w:rPr>
          <w:rFonts w:hint="eastAsia" w:ascii="宋体" w:hAnsi="宋体" w:eastAsia="宋体" w:cs="宋体"/>
          <w:color w:val="auto"/>
          <w:sz w:val="24"/>
          <w:szCs w:val="32"/>
          <w:highlight w:val="none"/>
        </w:rPr>
      </w:pPr>
    </w:p>
    <w:p w14:paraId="33626713">
      <w:pPr>
        <w:shd w:val="clear"/>
        <w:spacing w:line="360" w:lineRule="auto"/>
        <w:rPr>
          <w:rFonts w:hint="eastAsia" w:ascii="宋体" w:hAnsi="宋体" w:eastAsia="宋体" w:cs="宋体"/>
          <w:color w:val="auto"/>
          <w:sz w:val="24"/>
          <w:szCs w:val="32"/>
          <w:highlight w:val="none"/>
        </w:rPr>
      </w:pPr>
    </w:p>
    <w:p w14:paraId="1E2DAC0B">
      <w:pPr>
        <w:shd w:val="clear"/>
        <w:spacing w:line="360" w:lineRule="auto"/>
        <w:rPr>
          <w:rFonts w:hint="eastAsia" w:ascii="宋体" w:hAnsi="宋体" w:eastAsia="宋体" w:cs="宋体"/>
          <w:color w:val="auto"/>
          <w:sz w:val="24"/>
          <w:szCs w:val="32"/>
          <w:highlight w:val="none"/>
        </w:rPr>
      </w:pPr>
    </w:p>
    <w:p w14:paraId="56213BF3">
      <w:pPr>
        <w:shd w:val="clear"/>
        <w:spacing w:line="360" w:lineRule="auto"/>
        <w:rPr>
          <w:rFonts w:hint="eastAsia" w:ascii="宋体" w:hAnsi="宋体" w:eastAsia="宋体" w:cs="宋体"/>
          <w:color w:val="auto"/>
          <w:sz w:val="24"/>
          <w:szCs w:val="32"/>
          <w:highlight w:val="none"/>
        </w:rPr>
      </w:pPr>
    </w:p>
    <w:p w14:paraId="7095FB4C">
      <w:pPr>
        <w:shd w:val="clear"/>
        <w:spacing w:line="360" w:lineRule="auto"/>
        <w:rPr>
          <w:rFonts w:hint="eastAsia" w:ascii="宋体" w:hAnsi="宋体" w:eastAsia="宋体" w:cs="宋体"/>
          <w:color w:val="auto"/>
          <w:sz w:val="24"/>
          <w:szCs w:val="32"/>
          <w:highlight w:val="none"/>
        </w:rPr>
      </w:pPr>
    </w:p>
    <w:p w14:paraId="06A69CD9">
      <w:pPr>
        <w:shd w:val="clear"/>
        <w:spacing w:line="360" w:lineRule="auto"/>
        <w:rPr>
          <w:rFonts w:hint="eastAsia" w:ascii="宋体" w:hAnsi="宋体" w:eastAsia="宋体" w:cs="宋体"/>
          <w:color w:val="auto"/>
          <w:sz w:val="24"/>
          <w:szCs w:val="32"/>
          <w:highlight w:val="none"/>
        </w:rPr>
      </w:pPr>
    </w:p>
    <w:p w14:paraId="4FE69EE7">
      <w:pPr>
        <w:shd w:val="clear"/>
        <w:spacing w:line="360" w:lineRule="auto"/>
        <w:rPr>
          <w:rFonts w:hint="eastAsia" w:ascii="宋体" w:hAnsi="宋体" w:eastAsia="宋体" w:cs="宋体"/>
          <w:color w:val="auto"/>
          <w:sz w:val="24"/>
          <w:szCs w:val="32"/>
          <w:highlight w:val="none"/>
        </w:rPr>
      </w:pPr>
    </w:p>
    <w:p w14:paraId="52CFC59B">
      <w:pPr>
        <w:shd w:val="clear"/>
        <w:spacing w:line="360" w:lineRule="auto"/>
        <w:rPr>
          <w:rFonts w:hint="eastAsia" w:ascii="宋体" w:hAnsi="宋体" w:eastAsia="宋体" w:cs="宋体"/>
          <w:color w:val="auto"/>
          <w:sz w:val="24"/>
          <w:szCs w:val="32"/>
          <w:highlight w:val="none"/>
        </w:rPr>
      </w:pPr>
    </w:p>
    <w:p w14:paraId="318BC1BC">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20252CE9">
      <w:pPr>
        <w:shd w:val="clea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附件5</w:t>
      </w:r>
    </w:p>
    <w:p w14:paraId="4FD75811">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具备健全的财务会计制度的承诺函</w:t>
      </w:r>
    </w:p>
    <w:p w14:paraId="4894C4B5">
      <w:pPr>
        <w:shd w:val="clear"/>
        <w:spacing w:line="360" w:lineRule="auto"/>
        <w:rPr>
          <w:rFonts w:hint="eastAsia" w:ascii="宋体" w:hAnsi="宋体" w:eastAsia="宋体" w:cs="宋体"/>
          <w:color w:val="auto"/>
          <w:sz w:val="24"/>
          <w:szCs w:val="32"/>
          <w:highlight w:val="none"/>
        </w:rPr>
      </w:pPr>
    </w:p>
    <w:p w14:paraId="6BEDED52">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致：</w:t>
      </w:r>
      <w:r>
        <w:rPr>
          <w:rFonts w:hint="eastAsia" w:ascii="宋体" w:hAnsi="宋体" w:cs="宋体"/>
          <w:color w:val="auto"/>
          <w:sz w:val="24"/>
          <w:szCs w:val="32"/>
          <w:highlight w:val="none"/>
          <w:u w:val="single"/>
          <w:lang w:eastAsia="zh-CN"/>
        </w:rPr>
        <w:t>台州市数据局</w:t>
      </w:r>
      <w:r>
        <w:rPr>
          <w:rFonts w:hint="eastAsia" w:ascii="宋体" w:hAnsi="宋体" w:eastAsia="宋体" w:cs="宋体"/>
          <w:color w:val="auto"/>
          <w:sz w:val="24"/>
          <w:szCs w:val="32"/>
          <w:highlight w:val="none"/>
          <w:u w:val="single"/>
        </w:rPr>
        <w:t>、浙江五石中正工程咨询有限公司</w:t>
      </w:r>
    </w:p>
    <w:p w14:paraId="52A64BCE">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我公司参加</w:t>
      </w:r>
      <w:r>
        <w:rPr>
          <w:rFonts w:hint="eastAsia" w:ascii="宋体" w:hAnsi="宋体" w:cs="宋体"/>
          <w:color w:val="auto"/>
          <w:sz w:val="24"/>
          <w:szCs w:val="32"/>
          <w:highlight w:val="none"/>
          <w:u w:val="single"/>
          <w:lang w:eastAsia="zh-CN"/>
        </w:rPr>
        <w:t>台州市协同办公平台升级改造项目</w:t>
      </w:r>
      <w:r>
        <w:rPr>
          <w:rFonts w:hint="eastAsia" w:ascii="宋体" w:hAnsi="宋体" w:eastAsia="宋体" w:cs="宋体"/>
          <w:color w:val="auto"/>
          <w:sz w:val="24"/>
          <w:szCs w:val="32"/>
          <w:highlight w:val="none"/>
        </w:rPr>
        <w:t>（编号为</w:t>
      </w:r>
      <w:r>
        <w:rPr>
          <w:rFonts w:hint="eastAsia" w:ascii="宋体" w:hAnsi="宋体" w:cs="宋体"/>
          <w:color w:val="auto"/>
          <w:sz w:val="24"/>
          <w:szCs w:val="32"/>
          <w:highlight w:val="none"/>
          <w:lang w:eastAsia="zh-CN"/>
        </w:rPr>
        <w:t>ZJWS2024-JJ315</w:t>
      </w:r>
      <w:r>
        <w:rPr>
          <w:rFonts w:hint="eastAsia" w:ascii="宋体" w:hAnsi="宋体" w:eastAsia="宋体" w:cs="宋体"/>
          <w:color w:val="auto"/>
          <w:sz w:val="24"/>
          <w:szCs w:val="32"/>
          <w:highlight w:val="none"/>
        </w:rPr>
        <w:t>）的投标活动，作如下承诺：</w:t>
      </w:r>
    </w:p>
    <w:p w14:paraId="033BB05B">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14:paraId="037E7F4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如违反以上承诺，本公司愿承担一切法律责任。</w:t>
      </w:r>
    </w:p>
    <w:p w14:paraId="4FD8A41D">
      <w:pPr>
        <w:shd w:val="clear"/>
        <w:spacing w:line="360" w:lineRule="auto"/>
        <w:rPr>
          <w:rFonts w:hint="eastAsia" w:ascii="宋体" w:hAnsi="宋体" w:eastAsia="宋体" w:cs="宋体"/>
          <w:color w:val="auto"/>
          <w:sz w:val="24"/>
          <w:szCs w:val="32"/>
          <w:highlight w:val="none"/>
          <w:u w:val="single"/>
          <w:lang w:val="zh-CN"/>
        </w:rPr>
      </w:pPr>
    </w:p>
    <w:p w14:paraId="651D0CAD">
      <w:pPr>
        <w:shd w:val="clear"/>
        <w:spacing w:line="360" w:lineRule="auto"/>
        <w:rPr>
          <w:rFonts w:hint="eastAsia" w:ascii="宋体" w:hAnsi="宋体" w:eastAsia="宋体" w:cs="宋体"/>
          <w:color w:val="auto"/>
          <w:sz w:val="24"/>
          <w:szCs w:val="32"/>
          <w:highlight w:val="none"/>
          <w:lang w:val="zh-CN"/>
        </w:rPr>
      </w:pPr>
    </w:p>
    <w:p w14:paraId="2E4E1F33">
      <w:pPr>
        <w:shd w:val="clear"/>
        <w:spacing w:line="360" w:lineRule="auto"/>
        <w:rPr>
          <w:rFonts w:hint="eastAsia" w:ascii="宋体" w:hAnsi="宋体" w:eastAsia="宋体" w:cs="宋体"/>
          <w:color w:val="auto"/>
          <w:sz w:val="24"/>
          <w:szCs w:val="32"/>
          <w:highlight w:val="none"/>
          <w:lang w:val="zh-CN"/>
        </w:rPr>
      </w:pPr>
    </w:p>
    <w:p w14:paraId="36EEC8E2">
      <w:pPr>
        <w:shd w:val="clear"/>
        <w:spacing w:line="360" w:lineRule="auto"/>
        <w:rPr>
          <w:rFonts w:hint="eastAsia" w:ascii="宋体" w:hAnsi="宋体" w:eastAsia="宋体" w:cs="宋体"/>
          <w:color w:val="auto"/>
          <w:sz w:val="24"/>
          <w:szCs w:val="32"/>
          <w:highlight w:val="none"/>
          <w:lang w:val="zh-CN"/>
        </w:rPr>
      </w:pPr>
    </w:p>
    <w:p w14:paraId="3A7507B1">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投标人名称（公章）：</w:t>
      </w:r>
    </w:p>
    <w:p w14:paraId="5CB26E42">
      <w:pPr>
        <w:shd w:val="clear"/>
        <w:spacing w:line="360" w:lineRule="auto"/>
        <w:rPr>
          <w:rFonts w:hint="eastAsia" w:ascii="宋体" w:hAnsi="宋体" w:eastAsia="宋体" w:cs="宋体"/>
          <w:color w:val="auto"/>
          <w:sz w:val="24"/>
          <w:szCs w:val="32"/>
          <w:highlight w:val="none"/>
        </w:rPr>
      </w:pPr>
    </w:p>
    <w:p w14:paraId="582D384A">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14:paraId="54CC98BC">
      <w:pPr>
        <w:shd w:val="clear"/>
        <w:spacing w:line="360" w:lineRule="auto"/>
        <w:rPr>
          <w:rFonts w:hint="eastAsia" w:ascii="宋体" w:hAnsi="宋体" w:eastAsia="宋体" w:cs="宋体"/>
          <w:color w:val="auto"/>
          <w:sz w:val="24"/>
          <w:szCs w:val="32"/>
          <w:highlight w:val="none"/>
        </w:rPr>
      </w:pPr>
    </w:p>
    <w:p w14:paraId="3D05A84D">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32"/>
          <w:highlight w:val="none"/>
          <w:lang w:val="zh-CN"/>
        </w:rPr>
        <w:t>日</w:t>
      </w:r>
    </w:p>
    <w:p w14:paraId="34501B04">
      <w:pPr>
        <w:shd w:val="clear"/>
        <w:spacing w:line="360" w:lineRule="auto"/>
        <w:rPr>
          <w:rFonts w:hint="eastAsia" w:ascii="宋体" w:hAnsi="宋体" w:eastAsia="宋体" w:cs="宋体"/>
          <w:color w:val="auto"/>
          <w:sz w:val="24"/>
          <w:szCs w:val="32"/>
          <w:highlight w:val="none"/>
        </w:rPr>
      </w:pPr>
    </w:p>
    <w:p w14:paraId="62CC45C9">
      <w:pPr>
        <w:shd w:val="clear"/>
        <w:spacing w:line="360" w:lineRule="auto"/>
        <w:rPr>
          <w:rFonts w:hint="eastAsia" w:ascii="宋体" w:hAnsi="宋体" w:eastAsia="宋体" w:cs="宋体"/>
          <w:color w:val="auto"/>
          <w:sz w:val="24"/>
          <w:szCs w:val="32"/>
          <w:highlight w:val="none"/>
        </w:rPr>
      </w:pPr>
    </w:p>
    <w:p w14:paraId="1010EFCF">
      <w:pPr>
        <w:shd w:val="clear"/>
        <w:spacing w:line="360" w:lineRule="auto"/>
        <w:rPr>
          <w:rFonts w:hint="eastAsia" w:ascii="宋体" w:hAnsi="宋体" w:eastAsia="宋体" w:cs="宋体"/>
          <w:color w:val="auto"/>
          <w:sz w:val="24"/>
          <w:szCs w:val="32"/>
          <w:highlight w:val="none"/>
        </w:rPr>
      </w:pPr>
    </w:p>
    <w:p w14:paraId="2ED60D12">
      <w:pPr>
        <w:shd w:val="clear"/>
        <w:spacing w:line="360" w:lineRule="auto"/>
        <w:rPr>
          <w:rFonts w:hint="eastAsia" w:ascii="宋体" w:hAnsi="宋体" w:eastAsia="宋体" w:cs="宋体"/>
          <w:color w:val="auto"/>
          <w:sz w:val="24"/>
          <w:szCs w:val="32"/>
          <w:highlight w:val="none"/>
        </w:rPr>
      </w:pPr>
    </w:p>
    <w:p w14:paraId="664F9EFB">
      <w:pPr>
        <w:shd w:val="clear"/>
        <w:spacing w:line="360" w:lineRule="auto"/>
        <w:rPr>
          <w:rFonts w:hint="eastAsia" w:ascii="宋体" w:hAnsi="宋体" w:eastAsia="宋体" w:cs="宋体"/>
          <w:color w:val="auto"/>
          <w:sz w:val="24"/>
          <w:szCs w:val="32"/>
          <w:highlight w:val="none"/>
        </w:rPr>
      </w:pPr>
    </w:p>
    <w:p w14:paraId="6BAE3114">
      <w:pPr>
        <w:shd w:val="clear"/>
        <w:spacing w:line="360" w:lineRule="auto"/>
        <w:rPr>
          <w:rFonts w:hint="eastAsia" w:ascii="宋体" w:hAnsi="宋体" w:eastAsia="宋体" w:cs="宋体"/>
          <w:color w:val="auto"/>
          <w:sz w:val="24"/>
          <w:szCs w:val="32"/>
          <w:highlight w:val="none"/>
        </w:rPr>
      </w:pPr>
    </w:p>
    <w:p w14:paraId="385E2E55">
      <w:pPr>
        <w:shd w:val="clear"/>
        <w:spacing w:line="360" w:lineRule="auto"/>
        <w:rPr>
          <w:rFonts w:hint="eastAsia" w:ascii="宋体" w:hAnsi="宋体" w:eastAsia="宋体" w:cs="宋体"/>
          <w:color w:val="auto"/>
          <w:sz w:val="24"/>
          <w:szCs w:val="32"/>
          <w:highlight w:val="none"/>
        </w:rPr>
      </w:pPr>
    </w:p>
    <w:p w14:paraId="77033293">
      <w:pPr>
        <w:shd w:val="clear"/>
        <w:spacing w:line="360" w:lineRule="auto"/>
        <w:rPr>
          <w:rFonts w:hint="eastAsia" w:ascii="宋体" w:hAnsi="宋体" w:eastAsia="宋体" w:cs="宋体"/>
          <w:color w:val="auto"/>
          <w:sz w:val="24"/>
          <w:szCs w:val="32"/>
          <w:highlight w:val="none"/>
        </w:rPr>
      </w:pPr>
    </w:p>
    <w:p w14:paraId="6F7D6C3A">
      <w:pPr>
        <w:shd w:val="clear"/>
        <w:spacing w:line="360" w:lineRule="auto"/>
        <w:rPr>
          <w:rFonts w:hint="eastAsia" w:ascii="宋体" w:hAnsi="宋体" w:eastAsia="宋体" w:cs="宋体"/>
          <w:color w:val="auto"/>
          <w:sz w:val="24"/>
          <w:szCs w:val="32"/>
          <w:highlight w:val="none"/>
        </w:rPr>
      </w:pPr>
    </w:p>
    <w:p w14:paraId="6E9FD16A">
      <w:pPr>
        <w:shd w:val="clear"/>
        <w:spacing w:line="360" w:lineRule="auto"/>
        <w:rPr>
          <w:rFonts w:hint="eastAsia" w:ascii="宋体" w:hAnsi="宋体" w:eastAsia="宋体" w:cs="宋体"/>
          <w:color w:val="auto"/>
          <w:sz w:val="24"/>
          <w:szCs w:val="32"/>
          <w:highlight w:val="none"/>
        </w:rPr>
      </w:pPr>
    </w:p>
    <w:p w14:paraId="095B0724">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38DBAB04">
      <w:pPr>
        <w:shd w:val="clea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附件6</w:t>
      </w:r>
    </w:p>
    <w:p w14:paraId="4AB1D575">
      <w:pPr>
        <w:shd w:val="clear"/>
        <w:spacing w:line="360" w:lineRule="auto"/>
        <w:rPr>
          <w:rFonts w:hint="eastAsia" w:ascii="宋体" w:hAnsi="宋体" w:eastAsia="宋体" w:cs="宋体"/>
          <w:color w:val="auto"/>
          <w:sz w:val="24"/>
          <w:szCs w:val="32"/>
          <w:highlight w:val="none"/>
        </w:rPr>
      </w:pPr>
    </w:p>
    <w:p w14:paraId="5D6FF9A9">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无税收缴纳、社会保障等方面的失信记录的承诺函</w:t>
      </w:r>
    </w:p>
    <w:p w14:paraId="0CFC0A73">
      <w:pPr>
        <w:shd w:val="clear"/>
        <w:spacing w:line="360" w:lineRule="auto"/>
        <w:rPr>
          <w:rFonts w:hint="eastAsia" w:ascii="宋体" w:hAnsi="宋体" w:eastAsia="宋体" w:cs="宋体"/>
          <w:color w:val="auto"/>
          <w:sz w:val="24"/>
          <w:szCs w:val="32"/>
          <w:highlight w:val="none"/>
        </w:rPr>
      </w:pPr>
    </w:p>
    <w:p w14:paraId="24CF5519">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致：</w:t>
      </w:r>
      <w:r>
        <w:rPr>
          <w:rFonts w:hint="eastAsia" w:ascii="宋体" w:hAnsi="宋体" w:cs="宋体"/>
          <w:color w:val="auto"/>
          <w:sz w:val="24"/>
          <w:szCs w:val="32"/>
          <w:highlight w:val="none"/>
          <w:u w:val="single"/>
          <w:lang w:eastAsia="zh-CN"/>
        </w:rPr>
        <w:t>台州市数据局</w:t>
      </w:r>
      <w:r>
        <w:rPr>
          <w:rFonts w:hint="eastAsia" w:ascii="宋体" w:hAnsi="宋体" w:eastAsia="宋体" w:cs="宋体"/>
          <w:color w:val="auto"/>
          <w:sz w:val="24"/>
          <w:szCs w:val="32"/>
          <w:highlight w:val="none"/>
          <w:u w:val="single"/>
        </w:rPr>
        <w:t>、浙江五石中正工程咨询有限公司</w:t>
      </w:r>
    </w:p>
    <w:p w14:paraId="78233CC8">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我公司参加</w:t>
      </w:r>
      <w:r>
        <w:rPr>
          <w:rFonts w:hint="eastAsia" w:ascii="宋体" w:hAnsi="宋体" w:cs="宋体"/>
          <w:color w:val="auto"/>
          <w:sz w:val="24"/>
          <w:szCs w:val="32"/>
          <w:highlight w:val="none"/>
          <w:u w:val="single"/>
          <w:lang w:eastAsia="zh-CN"/>
        </w:rPr>
        <w:t>台州市协同办公平台升级改造项目</w:t>
      </w:r>
      <w:r>
        <w:rPr>
          <w:rFonts w:hint="eastAsia" w:ascii="宋体" w:hAnsi="宋体" w:eastAsia="宋体" w:cs="宋体"/>
          <w:color w:val="auto"/>
          <w:sz w:val="24"/>
          <w:szCs w:val="32"/>
          <w:highlight w:val="none"/>
        </w:rPr>
        <w:t>（编号为</w:t>
      </w:r>
      <w:r>
        <w:rPr>
          <w:rFonts w:hint="eastAsia" w:ascii="宋体" w:hAnsi="宋体" w:cs="宋体"/>
          <w:color w:val="auto"/>
          <w:sz w:val="24"/>
          <w:szCs w:val="32"/>
          <w:highlight w:val="none"/>
          <w:u w:val="single"/>
          <w:lang w:eastAsia="zh-CN"/>
        </w:rPr>
        <w:t>ZJWS2024-JJ315</w:t>
      </w:r>
      <w:r>
        <w:rPr>
          <w:rFonts w:hint="eastAsia" w:ascii="宋体" w:hAnsi="宋体" w:eastAsia="宋体" w:cs="宋体"/>
          <w:color w:val="auto"/>
          <w:sz w:val="24"/>
          <w:szCs w:val="32"/>
          <w:highlight w:val="none"/>
        </w:rPr>
        <w:t>）的投标活动，作如下承诺：</w:t>
      </w:r>
    </w:p>
    <w:p w14:paraId="694CB0E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54B44B67">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如违反以上承诺，本公司愿承担一切法律责任。</w:t>
      </w:r>
    </w:p>
    <w:p w14:paraId="6F0E3E4D">
      <w:pPr>
        <w:shd w:val="clear"/>
        <w:spacing w:line="360" w:lineRule="auto"/>
        <w:rPr>
          <w:rFonts w:hint="eastAsia" w:ascii="宋体" w:hAnsi="宋体" w:eastAsia="宋体" w:cs="宋体"/>
          <w:color w:val="auto"/>
          <w:sz w:val="24"/>
          <w:szCs w:val="32"/>
          <w:highlight w:val="none"/>
          <w:lang w:val="zh-CN"/>
        </w:rPr>
      </w:pPr>
    </w:p>
    <w:p w14:paraId="4030795B">
      <w:pPr>
        <w:shd w:val="clear"/>
        <w:spacing w:line="360" w:lineRule="auto"/>
        <w:rPr>
          <w:rFonts w:hint="eastAsia" w:ascii="宋体" w:hAnsi="宋体" w:eastAsia="宋体" w:cs="宋体"/>
          <w:color w:val="auto"/>
          <w:sz w:val="24"/>
          <w:szCs w:val="32"/>
          <w:highlight w:val="none"/>
          <w:lang w:val="zh-CN"/>
        </w:rPr>
      </w:pPr>
    </w:p>
    <w:p w14:paraId="70CCC8E1">
      <w:pPr>
        <w:shd w:val="clear"/>
        <w:spacing w:line="360" w:lineRule="auto"/>
        <w:rPr>
          <w:rFonts w:hint="eastAsia" w:ascii="宋体" w:hAnsi="宋体" w:eastAsia="宋体" w:cs="宋体"/>
          <w:color w:val="auto"/>
          <w:sz w:val="24"/>
          <w:szCs w:val="32"/>
          <w:highlight w:val="none"/>
          <w:lang w:val="zh-CN"/>
        </w:rPr>
      </w:pPr>
    </w:p>
    <w:p w14:paraId="14C201E6">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投标人名称（公章）：</w:t>
      </w:r>
    </w:p>
    <w:p w14:paraId="24115D9C">
      <w:pPr>
        <w:shd w:val="clear"/>
        <w:spacing w:line="360" w:lineRule="auto"/>
        <w:rPr>
          <w:rFonts w:hint="eastAsia" w:ascii="宋体" w:hAnsi="宋体" w:eastAsia="宋体" w:cs="宋体"/>
          <w:color w:val="auto"/>
          <w:sz w:val="24"/>
          <w:szCs w:val="32"/>
          <w:highlight w:val="none"/>
        </w:rPr>
      </w:pPr>
    </w:p>
    <w:p w14:paraId="44AA8C1E">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14:paraId="5D22180E">
      <w:pPr>
        <w:shd w:val="clear"/>
        <w:spacing w:line="360" w:lineRule="auto"/>
        <w:rPr>
          <w:rFonts w:hint="eastAsia" w:ascii="宋体" w:hAnsi="宋体" w:eastAsia="宋体" w:cs="宋体"/>
          <w:color w:val="auto"/>
          <w:sz w:val="24"/>
          <w:szCs w:val="32"/>
          <w:highlight w:val="none"/>
        </w:rPr>
      </w:pPr>
    </w:p>
    <w:p w14:paraId="61B62407">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32"/>
          <w:highlight w:val="none"/>
          <w:lang w:val="zh-CN"/>
        </w:rPr>
        <w:t>日</w:t>
      </w:r>
    </w:p>
    <w:p w14:paraId="1FC5DA7D">
      <w:pPr>
        <w:shd w:val="clear"/>
        <w:spacing w:line="360" w:lineRule="auto"/>
        <w:rPr>
          <w:rFonts w:hint="eastAsia" w:ascii="宋体" w:hAnsi="宋体" w:eastAsia="宋体" w:cs="宋体"/>
          <w:color w:val="auto"/>
          <w:sz w:val="24"/>
          <w:szCs w:val="32"/>
          <w:highlight w:val="none"/>
        </w:rPr>
      </w:pPr>
    </w:p>
    <w:p w14:paraId="78980474">
      <w:pPr>
        <w:shd w:val="clear"/>
        <w:spacing w:line="360" w:lineRule="auto"/>
        <w:rPr>
          <w:rFonts w:hint="eastAsia" w:ascii="宋体" w:hAnsi="宋体" w:eastAsia="宋体" w:cs="宋体"/>
          <w:color w:val="auto"/>
          <w:sz w:val="24"/>
          <w:szCs w:val="32"/>
          <w:highlight w:val="none"/>
        </w:rPr>
      </w:pPr>
    </w:p>
    <w:p w14:paraId="644698CE">
      <w:pPr>
        <w:shd w:val="clear"/>
        <w:spacing w:line="360" w:lineRule="auto"/>
        <w:rPr>
          <w:rFonts w:hint="eastAsia" w:ascii="宋体" w:hAnsi="宋体" w:eastAsia="宋体" w:cs="宋体"/>
          <w:color w:val="auto"/>
          <w:sz w:val="24"/>
          <w:szCs w:val="32"/>
          <w:highlight w:val="none"/>
        </w:rPr>
      </w:pPr>
    </w:p>
    <w:p w14:paraId="69964F33">
      <w:pPr>
        <w:shd w:val="clear"/>
        <w:spacing w:line="360" w:lineRule="auto"/>
        <w:rPr>
          <w:rFonts w:hint="eastAsia" w:ascii="宋体" w:hAnsi="宋体" w:eastAsia="宋体" w:cs="宋体"/>
          <w:color w:val="auto"/>
          <w:sz w:val="24"/>
          <w:szCs w:val="32"/>
          <w:highlight w:val="none"/>
        </w:rPr>
      </w:pPr>
    </w:p>
    <w:p w14:paraId="2CC7DC00">
      <w:pPr>
        <w:shd w:val="clear"/>
        <w:spacing w:line="360" w:lineRule="auto"/>
        <w:rPr>
          <w:rFonts w:hint="eastAsia" w:ascii="宋体" w:hAnsi="宋体" w:eastAsia="宋体" w:cs="宋体"/>
          <w:color w:val="auto"/>
          <w:sz w:val="24"/>
          <w:szCs w:val="32"/>
          <w:highlight w:val="none"/>
        </w:rPr>
      </w:pPr>
    </w:p>
    <w:p w14:paraId="10243846">
      <w:pPr>
        <w:shd w:val="clear"/>
        <w:spacing w:line="360" w:lineRule="auto"/>
        <w:rPr>
          <w:rFonts w:hint="eastAsia" w:ascii="宋体" w:hAnsi="宋体" w:eastAsia="宋体" w:cs="宋体"/>
          <w:color w:val="auto"/>
          <w:sz w:val="24"/>
          <w:szCs w:val="32"/>
          <w:highlight w:val="none"/>
        </w:rPr>
      </w:pPr>
    </w:p>
    <w:p w14:paraId="19928D6F">
      <w:pPr>
        <w:shd w:val="clear"/>
        <w:spacing w:line="360" w:lineRule="auto"/>
        <w:rPr>
          <w:rFonts w:hint="eastAsia" w:ascii="宋体" w:hAnsi="宋体" w:eastAsia="宋体" w:cs="宋体"/>
          <w:color w:val="auto"/>
          <w:sz w:val="24"/>
          <w:szCs w:val="32"/>
          <w:highlight w:val="none"/>
        </w:rPr>
      </w:pPr>
    </w:p>
    <w:p w14:paraId="02207A64">
      <w:pPr>
        <w:shd w:val="clear"/>
        <w:spacing w:line="360" w:lineRule="auto"/>
        <w:rPr>
          <w:rFonts w:hint="eastAsia" w:ascii="宋体" w:hAnsi="宋体" w:eastAsia="宋体" w:cs="宋体"/>
          <w:color w:val="auto"/>
          <w:sz w:val="24"/>
          <w:szCs w:val="32"/>
          <w:highlight w:val="none"/>
        </w:rPr>
      </w:pPr>
    </w:p>
    <w:p w14:paraId="4091A6B6">
      <w:pPr>
        <w:pStyle w:val="16"/>
        <w:shd w:val="clear"/>
        <w:rPr>
          <w:rFonts w:hint="eastAsia" w:ascii="宋体" w:hAnsi="宋体" w:eastAsia="宋体" w:cs="宋体"/>
          <w:color w:val="auto"/>
          <w:highlight w:val="none"/>
        </w:rPr>
      </w:pPr>
    </w:p>
    <w:p w14:paraId="56E6E0A7">
      <w:pPr>
        <w:shd w:val="clear"/>
        <w:spacing w:line="360" w:lineRule="auto"/>
        <w:rPr>
          <w:rFonts w:hint="eastAsia" w:ascii="宋体" w:hAnsi="宋体" w:eastAsia="宋体" w:cs="宋体"/>
          <w:color w:val="auto"/>
          <w:sz w:val="24"/>
          <w:szCs w:val="32"/>
          <w:highlight w:val="none"/>
        </w:rPr>
      </w:pPr>
    </w:p>
    <w:p w14:paraId="39F8E7DB">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D352385">
      <w:pPr>
        <w:shd w:val="clea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附件7</w:t>
      </w:r>
    </w:p>
    <w:p w14:paraId="5A27BD1C">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参加政府采购活动前3年内在经营活动中没有重大违法记录的书面声明</w:t>
      </w:r>
    </w:p>
    <w:p w14:paraId="2B09529D">
      <w:pPr>
        <w:shd w:val="clear"/>
        <w:spacing w:line="360" w:lineRule="auto"/>
        <w:rPr>
          <w:rFonts w:hint="eastAsia" w:ascii="宋体" w:hAnsi="宋体" w:eastAsia="宋体" w:cs="宋体"/>
          <w:color w:val="auto"/>
          <w:sz w:val="24"/>
          <w:szCs w:val="32"/>
          <w:highlight w:val="none"/>
        </w:rPr>
      </w:pPr>
    </w:p>
    <w:p w14:paraId="18BA2300">
      <w:pPr>
        <w:shd w:val="clear"/>
        <w:spacing w:line="360" w:lineRule="auto"/>
        <w:jc w:val="cente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声明函</w:t>
      </w:r>
    </w:p>
    <w:p w14:paraId="5C59FB9F">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致：</w:t>
      </w:r>
      <w:r>
        <w:rPr>
          <w:rFonts w:hint="eastAsia" w:ascii="宋体" w:hAnsi="宋体" w:cs="宋体"/>
          <w:color w:val="auto"/>
          <w:sz w:val="24"/>
          <w:szCs w:val="32"/>
          <w:highlight w:val="none"/>
          <w:u w:val="single"/>
          <w:lang w:eastAsia="zh-CN"/>
        </w:rPr>
        <w:t>台州市数据局</w:t>
      </w:r>
      <w:r>
        <w:rPr>
          <w:rFonts w:hint="eastAsia" w:ascii="宋体" w:hAnsi="宋体" w:eastAsia="宋体" w:cs="宋体"/>
          <w:color w:val="auto"/>
          <w:sz w:val="24"/>
          <w:szCs w:val="32"/>
          <w:highlight w:val="none"/>
          <w:u w:val="single"/>
        </w:rPr>
        <w:t>、浙江五石中正工程咨询有限公司</w:t>
      </w:r>
    </w:p>
    <w:p w14:paraId="2C9D1072">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我公司郑重承诺在参加本项目政府采购活动前三年内，在经营活动中</w:t>
      </w:r>
    </w:p>
    <w:p w14:paraId="3A3181E5">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w:t>
      </w:r>
      <w:r>
        <w:rPr>
          <w:rFonts w:hint="eastAsia" w:ascii="宋体" w:hAnsi="宋体" w:eastAsia="宋体" w:cs="宋体"/>
          <w:b/>
          <w:bCs/>
          <w:color w:val="auto"/>
          <w:sz w:val="24"/>
          <w:szCs w:val="32"/>
          <w:highlight w:val="none"/>
        </w:rPr>
        <w:t>填写“有”或“没有”，如实填写，如不填写视同未提供本声明函</w:t>
      </w:r>
      <w:r>
        <w:rPr>
          <w:rFonts w:hint="eastAsia" w:ascii="宋体" w:hAnsi="宋体" w:eastAsia="宋体" w:cs="宋体"/>
          <w:color w:val="auto"/>
          <w:sz w:val="24"/>
          <w:szCs w:val="32"/>
          <w:highlight w:val="none"/>
        </w:rPr>
        <w:t>）重大违法记录，重大违法记录是指供应商因违法经营受到刑事处罚或者责令停产停业、吊销许可证或者执照、较大数额罚款等行政处罚。</w:t>
      </w:r>
    </w:p>
    <w:p w14:paraId="149AAD2F">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以上事项如有虚假或隐瞒，我方愿意承担一切后果和责任。</w:t>
      </w:r>
    </w:p>
    <w:p w14:paraId="78A2B28F">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特此声明。</w:t>
      </w:r>
    </w:p>
    <w:p w14:paraId="422C257A">
      <w:pPr>
        <w:shd w:val="clear"/>
        <w:spacing w:line="360" w:lineRule="auto"/>
        <w:rPr>
          <w:rFonts w:hint="eastAsia" w:ascii="宋体" w:hAnsi="宋体" w:eastAsia="宋体" w:cs="宋体"/>
          <w:color w:val="auto"/>
          <w:sz w:val="24"/>
          <w:szCs w:val="32"/>
          <w:highlight w:val="none"/>
        </w:rPr>
      </w:pPr>
    </w:p>
    <w:p w14:paraId="7DEA2C2F">
      <w:pPr>
        <w:shd w:val="clear"/>
        <w:spacing w:line="360" w:lineRule="auto"/>
        <w:rPr>
          <w:rFonts w:hint="eastAsia" w:ascii="宋体" w:hAnsi="宋体" w:eastAsia="宋体" w:cs="宋体"/>
          <w:color w:val="auto"/>
          <w:sz w:val="24"/>
          <w:szCs w:val="32"/>
          <w:highlight w:val="none"/>
        </w:rPr>
      </w:pPr>
    </w:p>
    <w:p w14:paraId="4C4651C5">
      <w:pPr>
        <w:shd w:val="clear"/>
        <w:spacing w:line="360" w:lineRule="auto"/>
        <w:rPr>
          <w:rFonts w:hint="eastAsia" w:ascii="宋体" w:hAnsi="宋体" w:eastAsia="宋体" w:cs="宋体"/>
          <w:color w:val="auto"/>
          <w:sz w:val="24"/>
          <w:szCs w:val="32"/>
          <w:highlight w:val="none"/>
        </w:rPr>
      </w:pPr>
    </w:p>
    <w:p w14:paraId="6A72C8E0">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投标人名称（公章）：</w:t>
      </w:r>
    </w:p>
    <w:p w14:paraId="621EABD2">
      <w:pPr>
        <w:shd w:val="clear"/>
        <w:spacing w:line="360" w:lineRule="auto"/>
        <w:rPr>
          <w:rFonts w:hint="eastAsia" w:ascii="宋体" w:hAnsi="宋体" w:eastAsia="宋体" w:cs="宋体"/>
          <w:color w:val="auto"/>
          <w:sz w:val="24"/>
          <w:szCs w:val="32"/>
          <w:highlight w:val="none"/>
        </w:rPr>
      </w:pPr>
    </w:p>
    <w:p w14:paraId="0F29EF4A">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法定代表人（签字或盖章）或授权委托代理人（签字或盖章）：</w:t>
      </w:r>
    </w:p>
    <w:p w14:paraId="1443862D">
      <w:pPr>
        <w:shd w:val="clear"/>
        <w:spacing w:line="360" w:lineRule="auto"/>
        <w:rPr>
          <w:rFonts w:hint="eastAsia" w:ascii="宋体" w:hAnsi="宋体" w:eastAsia="宋体" w:cs="宋体"/>
          <w:color w:val="auto"/>
          <w:sz w:val="24"/>
          <w:szCs w:val="32"/>
          <w:highlight w:val="none"/>
        </w:rPr>
      </w:pPr>
    </w:p>
    <w:p w14:paraId="366B3383">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日期：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32"/>
          <w:highlight w:val="none"/>
          <w:lang w:val="zh-CN"/>
        </w:rPr>
        <w:t>日</w:t>
      </w:r>
    </w:p>
    <w:p w14:paraId="558B74B1">
      <w:pPr>
        <w:shd w:val="clear"/>
        <w:spacing w:line="360" w:lineRule="auto"/>
        <w:rPr>
          <w:rFonts w:hint="eastAsia" w:ascii="宋体" w:hAnsi="宋体" w:eastAsia="宋体" w:cs="宋体"/>
          <w:color w:val="auto"/>
          <w:sz w:val="24"/>
          <w:szCs w:val="32"/>
          <w:highlight w:val="none"/>
        </w:rPr>
      </w:pPr>
    </w:p>
    <w:p w14:paraId="2AC36E2F">
      <w:pPr>
        <w:shd w:val="clear"/>
        <w:spacing w:line="360" w:lineRule="auto"/>
        <w:rPr>
          <w:rFonts w:hint="eastAsia" w:ascii="宋体" w:hAnsi="宋体" w:eastAsia="宋体" w:cs="宋体"/>
          <w:color w:val="auto"/>
          <w:sz w:val="24"/>
          <w:szCs w:val="32"/>
          <w:highlight w:val="none"/>
        </w:rPr>
      </w:pPr>
    </w:p>
    <w:p w14:paraId="59C8C2A9">
      <w:pPr>
        <w:pStyle w:val="16"/>
        <w:shd w:val="clear"/>
        <w:rPr>
          <w:rFonts w:hint="eastAsia" w:ascii="宋体" w:hAnsi="宋体" w:eastAsia="宋体" w:cs="宋体"/>
          <w:color w:val="auto"/>
          <w:szCs w:val="32"/>
          <w:highlight w:val="none"/>
        </w:rPr>
      </w:pPr>
    </w:p>
    <w:p w14:paraId="28CAE28E">
      <w:pPr>
        <w:pStyle w:val="17"/>
        <w:shd w:val="clear"/>
        <w:rPr>
          <w:rFonts w:hint="eastAsia" w:ascii="宋体" w:hAnsi="宋体" w:eastAsia="宋体" w:cs="宋体"/>
          <w:color w:val="auto"/>
          <w:sz w:val="24"/>
          <w:szCs w:val="32"/>
          <w:highlight w:val="none"/>
        </w:rPr>
      </w:pPr>
    </w:p>
    <w:p w14:paraId="4F01D91C">
      <w:pPr>
        <w:pStyle w:val="29"/>
        <w:shd w:val="clear"/>
        <w:rPr>
          <w:rFonts w:hint="eastAsia" w:ascii="宋体" w:hAnsi="宋体" w:eastAsia="宋体" w:cs="宋体"/>
          <w:color w:val="auto"/>
          <w:sz w:val="24"/>
          <w:szCs w:val="32"/>
          <w:highlight w:val="none"/>
        </w:rPr>
      </w:pPr>
    </w:p>
    <w:p w14:paraId="2059FC8F">
      <w:pPr>
        <w:shd w:val="clear"/>
        <w:rPr>
          <w:rFonts w:hint="eastAsia" w:ascii="宋体" w:hAnsi="宋体" w:eastAsia="宋体" w:cs="宋体"/>
          <w:color w:val="auto"/>
          <w:sz w:val="24"/>
          <w:szCs w:val="32"/>
          <w:highlight w:val="none"/>
        </w:rPr>
      </w:pPr>
    </w:p>
    <w:p w14:paraId="7D8158A2">
      <w:pPr>
        <w:pStyle w:val="16"/>
        <w:shd w:val="clear"/>
        <w:rPr>
          <w:rFonts w:hint="eastAsia" w:ascii="宋体" w:hAnsi="宋体" w:eastAsia="宋体" w:cs="宋体"/>
          <w:color w:val="auto"/>
          <w:szCs w:val="32"/>
          <w:highlight w:val="none"/>
        </w:rPr>
      </w:pPr>
    </w:p>
    <w:p w14:paraId="2685CE12">
      <w:pPr>
        <w:pStyle w:val="17"/>
        <w:shd w:val="clear"/>
        <w:rPr>
          <w:rFonts w:hint="eastAsia" w:ascii="宋体" w:hAnsi="宋体" w:eastAsia="宋体" w:cs="宋体"/>
          <w:color w:val="auto"/>
          <w:sz w:val="24"/>
          <w:szCs w:val="32"/>
          <w:highlight w:val="none"/>
        </w:rPr>
      </w:pPr>
    </w:p>
    <w:p w14:paraId="44FC3947">
      <w:pPr>
        <w:pStyle w:val="29"/>
        <w:shd w:val="clear"/>
        <w:rPr>
          <w:rFonts w:hint="eastAsia" w:ascii="宋体" w:hAnsi="宋体" w:eastAsia="宋体" w:cs="宋体"/>
          <w:color w:val="auto"/>
          <w:sz w:val="24"/>
          <w:szCs w:val="32"/>
          <w:highlight w:val="none"/>
        </w:rPr>
      </w:pPr>
    </w:p>
    <w:p w14:paraId="5AF0CB0F">
      <w:pPr>
        <w:spacing w:line="360" w:lineRule="auto"/>
        <w:ind w:firstLine="1405" w:firstLineChars="500"/>
        <w:rPr>
          <w:rFonts w:hint="eastAsia" w:ascii="宋体" w:hAnsi="宋体" w:cs="宋体"/>
          <w:b/>
          <w:bCs/>
          <w:color w:val="auto"/>
          <w:sz w:val="28"/>
          <w:szCs w:val="28"/>
          <w:highlight w:val="none"/>
        </w:rPr>
      </w:pPr>
    </w:p>
    <w:p w14:paraId="14E47B71">
      <w:pPr>
        <w:spacing w:line="360" w:lineRule="auto"/>
        <w:ind w:firstLine="1405" w:firstLineChars="500"/>
        <w:rPr>
          <w:rFonts w:hint="eastAsia" w:ascii="宋体" w:hAnsi="宋体" w:cs="宋体"/>
          <w:b/>
          <w:bCs/>
          <w:color w:val="auto"/>
          <w:sz w:val="28"/>
          <w:szCs w:val="28"/>
          <w:highlight w:val="none"/>
        </w:rPr>
      </w:pPr>
    </w:p>
    <w:p w14:paraId="5252F24E">
      <w:pPr>
        <w:spacing w:line="360" w:lineRule="auto"/>
        <w:ind w:firstLine="1405" w:firstLineChars="5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具有履行合同所必需的设备和专业技术能力</w:t>
      </w:r>
      <w:r>
        <w:rPr>
          <w:rFonts w:hint="eastAsia" w:ascii="宋体" w:hAnsi="宋体" w:cs="宋体"/>
          <w:b/>
          <w:bCs/>
          <w:color w:val="auto"/>
          <w:sz w:val="28"/>
          <w:szCs w:val="28"/>
          <w:highlight w:val="none"/>
          <w:lang w:val="zh-CN"/>
        </w:rPr>
        <w:t>承诺函</w:t>
      </w:r>
    </w:p>
    <w:p w14:paraId="223447A4">
      <w:pPr>
        <w:spacing w:line="360" w:lineRule="auto"/>
        <w:rPr>
          <w:rFonts w:hint="eastAsia" w:ascii="宋体" w:hAnsi="宋体" w:cs="宋体"/>
          <w:color w:val="auto"/>
          <w:sz w:val="24"/>
          <w:szCs w:val="32"/>
          <w:highlight w:val="none"/>
        </w:rPr>
      </w:pPr>
    </w:p>
    <w:p w14:paraId="50154664">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lang w:val="en-US" w:eastAsia="zh-CN"/>
        </w:rPr>
        <w:t>台州市数据局</w:t>
      </w:r>
      <w:r>
        <w:rPr>
          <w:rFonts w:hint="eastAsia" w:ascii="宋体" w:hAnsi="宋体" w:cs="宋体"/>
          <w:color w:val="auto"/>
          <w:sz w:val="24"/>
          <w:szCs w:val="32"/>
          <w:highlight w:val="none"/>
          <w:u w:val="single"/>
        </w:rPr>
        <w:t>、浙江五石中正工程咨询有限公司</w:t>
      </w:r>
    </w:p>
    <w:p w14:paraId="5511B329">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台州市协同办公平台升级改造项目</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ZJWS2024-</w:t>
      </w:r>
      <w:r>
        <w:rPr>
          <w:rFonts w:hint="eastAsia" w:ascii="宋体" w:hAnsi="宋体" w:cs="宋体"/>
          <w:color w:val="auto"/>
          <w:sz w:val="24"/>
          <w:szCs w:val="32"/>
          <w:highlight w:val="none"/>
          <w:u w:val="single"/>
          <w:lang w:val="en-US" w:eastAsia="zh-CN"/>
        </w:rPr>
        <w:t>JJ315</w:t>
      </w:r>
      <w:r>
        <w:rPr>
          <w:rFonts w:hint="eastAsia" w:ascii="宋体" w:hAnsi="宋体" w:cs="宋体"/>
          <w:color w:val="auto"/>
          <w:sz w:val="24"/>
          <w:szCs w:val="32"/>
          <w:highlight w:val="none"/>
        </w:rPr>
        <w:t>）的投标活动，作如下承诺：</w:t>
      </w:r>
    </w:p>
    <w:p w14:paraId="2D93C7AB">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我公司在参加本项目政府采购活动前，符合参与政府采购活动的资格条件，具有履行合同所必需的设备和专业技术能力。</w:t>
      </w:r>
    </w:p>
    <w:p w14:paraId="14298E3E">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2269A1B1">
      <w:pPr>
        <w:spacing w:line="360" w:lineRule="auto"/>
        <w:rPr>
          <w:rFonts w:hint="eastAsia" w:ascii="宋体" w:hAnsi="宋体" w:cs="宋体"/>
          <w:color w:val="auto"/>
          <w:sz w:val="24"/>
          <w:szCs w:val="32"/>
          <w:highlight w:val="none"/>
          <w:lang w:val="zh-CN"/>
        </w:rPr>
      </w:pPr>
    </w:p>
    <w:p w14:paraId="5FBE3A37">
      <w:pPr>
        <w:spacing w:line="360" w:lineRule="auto"/>
        <w:rPr>
          <w:rFonts w:hint="eastAsia" w:ascii="宋体" w:hAnsi="宋体" w:cs="宋体"/>
          <w:color w:val="auto"/>
          <w:sz w:val="24"/>
          <w:szCs w:val="32"/>
          <w:highlight w:val="none"/>
          <w:lang w:val="zh-CN"/>
        </w:rPr>
      </w:pPr>
    </w:p>
    <w:p w14:paraId="783FE2E2">
      <w:pPr>
        <w:spacing w:line="360" w:lineRule="auto"/>
        <w:rPr>
          <w:rFonts w:hint="eastAsia" w:ascii="宋体" w:hAnsi="宋体" w:cs="宋体"/>
          <w:color w:val="auto"/>
          <w:sz w:val="24"/>
          <w:szCs w:val="32"/>
          <w:highlight w:val="none"/>
          <w:lang w:val="zh-CN"/>
        </w:rPr>
      </w:pPr>
    </w:p>
    <w:p w14:paraId="20403645">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06FE98A5">
      <w:pPr>
        <w:spacing w:line="360" w:lineRule="auto"/>
        <w:rPr>
          <w:rFonts w:hint="eastAsia" w:ascii="宋体" w:hAnsi="宋体" w:cs="宋体"/>
          <w:color w:val="auto"/>
          <w:sz w:val="24"/>
          <w:szCs w:val="32"/>
          <w:highlight w:val="none"/>
        </w:rPr>
      </w:pPr>
    </w:p>
    <w:p w14:paraId="34F9EBF5">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w:t>
      </w:r>
    </w:p>
    <w:p w14:paraId="54D30006">
      <w:pPr>
        <w:spacing w:line="360" w:lineRule="auto"/>
        <w:rPr>
          <w:rFonts w:hint="eastAsia" w:ascii="宋体" w:hAnsi="宋体" w:cs="宋体"/>
          <w:color w:val="auto"/>
          <w:sz w:val="24"/>
          <w:szCs w:val="32"/>
          <w:highlight w:val="none"/>
        </w:rPr>
      </w:pPr>
    </w:p>
    <w:p w14:paraId="017AC349">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zh-CN"/>
        </w:rPr>
        <w:t>日</w:t>
      </w:r>
    </w:p>
    <w:p w14:paraId="71B778AB">
      <w:pPr>
        <w:spacing w:line="360" w:lineRule="auto"/>
        <w:rPr>
          <w:rFonts w:hint="eastAsia" w:ascii="宋体" w:hAnsi="宋体" w:cs="宋体"/>
          <w:color w:val="auto"/>
          <w:sz w:val="24"/>
          <w:szCs w:val="32"/>
          <w:highlight w:val="none"/>
        </w:rPr>
      </w:pPr>
    </w:p>
    <w:p w14:paraId="29BBF709">
      <w:pPr>
        <w:spacing w:line="360" w:lineRule="auto"/>
        <w:rPr>
          <w:rFonts w:hint="eastAsia" w:ascii="宋体" w:hAnsi="宋体" w:cs="宋体"/>
          <w:color w:val="auto"/>
          <w:sz w:val="24"/>
          <w:szCs w:val="32"/>
          <w:highlight w:val="none"/>
        </w:rPr>
      </w:pPr>
    </w:p>
    <w:p w14:paraId="1DE8862E">
      <w:pPr>
        <w:spacing w:line="360" w:lineRule="auto"/>
        <w:rPr>
          <w:rFonts w:hint="eastAsia" w:ascii="宋体" w:hAnsi="宋体" w:cs="宋体"/>
          <w:color w:val="auto"/>
          <w:sz w:val="24"/>
          <w:szCs w:val="32"/>
          <w:highlight w:val="none"/>
        </w:rPr>
      </w:pPr>
    </w:p>
    <w:p w14:paraId="27FC0E6A">
      <w:pPr>
        <w:spacing w:line="360" w:lineRule="auto"/>
        <w:rPr>
          <w:rFonts w:hint="eastAsia" w:ascii="宋体" w:hAnsi="宋体" w:cs="宋体"/>
          <w:b/>
          <w:bCs/>
          <w:color w:val="auto"/>
          <w:sz w:val="28"/>
          <w:szCs w:val="36"/>
          <w:highlight w:val="none"/>
        </w:rPr>
      </w:pPr>
    </w:p>
    <w:p w14:paraId="64504156">
      <w:pPr>
        <w:spacing w:line="360" w:lineRule="auto"/>
        <w:rPr>
          <w:rFonts w:hint="eastAsia" w:ascii="宋体" w:hAnsi="宋体" w:cs="宋体"/>
          <w:b/>
          <w:bCs/>
          <w:color w:val="auto"/>
          <w:sz w:val="28"/>
          <w:szCs w:val="36"/>
          <w:highlight w:val="none"/>
        </w:rPr>
      </w:pPr>
    </w:p>
    <w:p w14:paraId="5B5F7318">
      <w:pPr>
        <w:shd w:val="clear"/>
        <w:rPr>
          <w:rFonts w:hint="eastAsia" w:ascii="宋体" w:hAnsi="宋体" w:eastAsia="宋体" w:cs="宋体"/>
          <w:color w:val="auto"/>
          <w:sz w:val="24"/>
          <w:szCs w:val="32"/>
          <w:highlight w:val="none"/>
        </w:rPr>
      </w:pPr>
    </w:p>
    <w:p w14:paraId="06CC11BB">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br w:type="page"/>
      </w:r>
    </w:p>
    <w:p w14:paraId="7D2C3700">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 xml:space="preserve">附件8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14:paraId="17480499">
      <w:pPr>
        <w:shd w:val="clear"/>
        <w:spacing w:line="360" w:lineRule="auto"/>
        <w:rPr>
          <w:rFonts w:hint="eastAsia" w:ascii="宋体" w:hAnsi="宋体" w:eastAsia="宋体" w:cs="宋体"/>
          <w:color w:val="auto"/>
          <w:sz w:val="24"/>
          <w:szCs w:val="32"/>
          <w:highlight w:val="none"/>
        </w:rPr>
      </w:pPr>
    </w:p>
    <w:p w14:paraId="3A5B1577">
      <w:pPr>
        <w:shd w:val="clear"/>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46DAFBC">
      <w:pPr>
        <w:shd w:val="clea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6B49F677">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058A630A">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1ED24F32">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CC0E0D1">
      <w:pPr>
        <w:shd w:val="clea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7E89027E">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0A87C5D2">
      <w:pPr>
        <w:shd w:val="clear"/>
        <w:autoSpaceDE w:val="0"/>
        <w:autoSpaceDN w:val="0"/>
        <w:adjustRightInd w:val="0"/>
        <w:spacing w:line="360" w:lineRule="auto"/>
        <w:jc w:val="center"/>
        <w:rPr>
          <w:rFonts w:hint="eastAsia" w:ascii="宋体" w:hAnsi="宋体" w:eastAsia="宋体" w:cs="宋体"/>
          <w:b/>
          <w:bCs/>
          <w:color w:val="auto"/>
          <w:spacing w:val="40"/>
          <w:sz w:val="28"/>
          <w:szCs w:val="28"/>
          <w:highlight w:val="none"/>
        </w:rPr>
      </w:pPr>
      <w:r>
        <w:rPr>
          <w:rFonts w:hint="eastAsia" w:ascii="宋体" w:hAnsi="宋体" w:eastAsia="宋体" w:cs="宋体"/>
          <w:b/>
          <w:bCs/>
          <w:color w:val="auto"/>
          <w:sz w:val="28"/>
          <w:szCs w:val="28"/>
          <w:highlight w:val="none"/>
          <w:lang w:val="zh-CN"/>
        </w:rPr>
        <w:t>（商务与技术文件</w:t>
      </w:r>
      <w:r>
        <w:rPr>
          <w:rFonts w:hint="eastAsia" w:ascii="宋体" w:hAnsi="宋体" w:eastAsia="宋体" w:cs="宋体"/>
          <w:b/>
          <w:bCs/>
          <w:color w:val="auto"/>
          <w:spacing w:val="40"/>
          <w:sz w:val="28"/>
          <w:szCs w:val="28"/>
          <w:highlight w:val="none"/>
        </w:rPr>
        <w:t>）</w:t>
      </w:r>
    </w:p>
    <w:p w14:paraId="1955A2AD">
      <w:pPr>
        <w:shd w:val="clear"/>
        <w:autoSpaceDE w:val="0"/>
        <w:autoSpaceDN w:val="0"/>
        <w:adjustRightInd w:val="0"/>
        <w:spacing w:line="360" w:lineRule="auto"/>
        <w:rPr>
          <w:rFonts w:hint="eastAsia" w:ascii="宋体" w:hAnsi="宋体" w:eastAsia="宋体" w:cs="宋体"/>
          <w:color w:val="auto"/>
          <w:sz w:val="36"/>
          <w:szCs w:val="36"/>
          <w:highlight w:val="none"/>
        </w:rPr>
      </w:pPr>
    </w:p>
    <w:p w14:paraId="668D6276">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w:t>
      </w:r>
      <w:r>
        <w:rPr>
          <w:rFonts w:hint="eastAsia" w:ascii="宋体" w:hAnsi="宋体" w:eastAsia="宋体" w:cs="宋体"/>
          <w:color w:val="auto"/>
          <w:sz w:val="32"/>
          <w:szCs w:val="32"/>
          <w:highlight w:val="none"/>
        </w:rPr>
        <w:t>（加盖公章）</w:t>
      </w:r>
      <w:r>
        <w:rPr>
          <w:rFonts w:hint="eastAsia" w:ascii="宋体" w:hAnsi="宋体" w:eastAsia="宋体" w:cs="宋体"/>
          <w:color w:val="auto"/>
          <w:sz w:val="36"/>
          <w:szCs w:val="36"/>
          <w:highlight w:val="none"/>
        </w:rPr>
        <w:t>：</w:t>
      </w:r>
    </w:p>
    <w:p w14:paraId="6A51CA0D">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78536F08">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3EE2AD18">
      <w:pPr>
        <w:shd w:val="clear"/>
        <w:spacing w:line="360" w:lineRule="auto"/>
        <w:rPr>
          <w:rFonts w:hint="eastAsia" w:ascii="宋体" w:hAnsi="宋体" w:eastAsia="宋体" w:cs="宋体"/>
          <w:color w:val="auto"/>
          <w:sz w:val="24"/>
          <w:szCs w:val="32"/>
          <w:highlight w:val="none"/>
        </w:rPr>
      </w:pPr>
    </w:p>
    <w:p w14:paraId="79A00A3C">
      <w:pPr>
        <w:shd w:val="clear"/>
        <w:spacing w:line="360" w:lineRule="auto"/>
        <w:rPr>
          <w:rFonts w:hint="eastAsia" w:ascii="宋体" w:hAnsi="宋体" w:eastAsia="宋体" w:cs="宋体"/>
          <w:color w:val="auto"/>
          <w:sz w:val="24"/>
          <w:szCs w:val="32"/>
          <w:highlight w:val="none"/>
        </w:rPr>
      </w:pPr>
    </w:p>
    <w:p w14:paraId="0722BF9E">
      <w:pPr>
        <w:shd w:val="clear"/>
        <w:spacing w:line="360" w:lineRule="auto"/>
        <w:rPr>
          <w:rFonts w:hint="eastAsia" w:ascii="宋体" w:hAnsi="宋体" w:eastAsia="宋体" w:cs="宋体"/>
          <w:color w:val="auto"/>
          <w:sz w:val="24"/>
          <w:szCs w:val="32"/>
          <w:highlight w:val="none"/>
        </w:rPr>
      </w:pPr>
    </w:p>
    <w:p w14:paraId="4D7368CB">
      <w:pPr>
        <w:shd w:val="clear"/>
        <w:spacing w:line="360" w:lineRule="auto"/>
        <w:rPr>
          <w:rFonts w:hint="eastAsia" w:ascii="宋体" w:hAnsi="宋体" w:eastAsia="宋体" w:cs="宋体"/>
          <w:color w:val="auto"/>
          <w:sz w:val="24"/>
          <w:szCs w:val="32"/>
          <w:highlight w:val="none"/>
        </w:rPr>
      </w:pPr>
    </w:p>
    <w:p w14:paraId="0BF2C406">
      <w:pP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br w:type="page"/>
      </w:r>
    </w:p>
    <w:p w14:paraId="1512BC43">
      <w:pPr>
        <w:shd w:val="clear"/>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lang w:val="zh-CN"/>
        </w:rPr>
        <w:t>商务与技术文件</w:t>
      </w:r>
      <w:r>
        <w:rPr>
          <w:rFonts w:hint="eastAsia" w:ascii="宋体" w:hAnsi="宋体" w:eastAsia="宋体" w:cs="宋体"/>
          <w:b/>
          <w:bCs/>
          <w:color w:val="auto"/>
          <w:sz w:val="32"/>
          <w:szCs w:val="40"/>
          <w:highlight w:val="none"/>
        </w:rPr>
        <w:t>目录</w:t>
      </w:r>
    </w:p>
    <w:p w14:paraId="68E3AD68">
      <w:pPr>
        <w:shd w:val="clear"/>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第一部分技术方案描述部分</w:t>
      </w:r>
    </w:p>
    <w:p w14:paraId="5C75B9B9">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1、投标人情况介绍；</w:t>
      </w:r>
    </w:p>
    <w:p w14:paraId="148EC7A9">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2、项目需求的理解与分析；</w:t>
      </w:r>
    </w:p>
    <w:p w14:paraId="57893FA0">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 xml:space="preserve">3、项目组织实施方案； </w:t>
      </w:r>
    </w:p>
    <w:p w14:paraId="557DA150">
      <w:pPr>
        <w:shd w:val="clear"/>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第二部分投标产品描述部分</w:t>
      </w:r>
    </w:p>
    <w:p w14:paraId="51D3D65F">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1、投标产品描述及相关资料；</w:t>
      </w:r>
    </w:p>
    <w:p w14:paraId="025D434F">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2、投标人需要说明的其他内容（包括可能影响投标人技术性能评分项的各类证明材料）；</w:t>
      </w:r>
    </w:p>
    <w:p w14:paraId="053C1504">
      <w:pPr>
        <w:shd w:val="clear"/>
        <w:spacing w:line="360" w:lineRule="auto"/>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t>第三部分商务响应部分</w:t>
      </w:r>
    </w:p>
    <w:p w14:paraId="38706B8D">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1、证书一览表；</w:t>
      </w:r>
    </w:p>
    <w:p w14:paraId="0EDE80AC">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2、近三年来类似项目的成功案例；</w:t>
      </w:r>
    </w:p>
    <w:p w14:paraId="2EC3F02C">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3、售后服务描述及承诺；</w:t>
      </w:r>
    </w:p>
    <w:p w14:paraId="03DA0EC5">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4、投标人需要说明的其他内容（包括可能影响投标人企业实力及信誉评分项以及售后服务评分项的各类证明材料）。</w:t>
      </w:r>
    </w:p>
    <w:p w14:paraId="532DE1E7">
      <w:pPr>
        <w:shd w:val="clear"/>
        <w:spacing w:line="360" w:lineRule="auto"/>
        <w:rPr>
          <w:rFonts w:hint="eastAsia" w:ascii="宋体" w:hAnsi="宋体" w:eastAsia="宋体" w:cs="宋体"/>
          <w:color w:val="auto"/>
          <w:sz w:val="24"/>
          <w:szCs w:val="32"/>
          <w:highlight w:val="none"/>
          <w:lang w:val="zh-CN"/>
        </w:rPr>
      </w:pPr>
    </w:p>
    <w:p w14:paraId="49496454">
      <w:pPr>
        <w:shd w:val="clear"/>
        <w:spacing w:line="360" w:lineRule="auto"/>
        <w:rPr>
          <w:rFonts w:hint="eastAsia" w:ascii="宋体" w:hAnsi="宋体" w:eastAsia="宋体" w:cs="宋体"/>
          <w:color w:val="auto"/>
          <w:sz w:val="24"/>
          <w:szCs w:val="32"/>
          <w:highlight w:val="none"/>
          <w:lang w:val="zh-CN"/>
        </w:rPr>
      </w:pPr>
    </w:p>
    <w:p w14:paraId="73C2DF5D">
      <w:pPr>
        <w:shd w:val="clear"/>
        <w:spacing w:line="360" w:lineRule="auto"/>
        <w:rPr>
          <w:rFonts w:hint="eastAsia" w:ascii="宋体" w:hAnsi="宋体" w:eastAsia="宋体" w:cs="宋体"/>
          <w:color w:val="auto"/>
          <w:sz w:val="24"/>
          <w:szCs w:val="32"/>
          <w:highlight w:val="none"/>
          <w:lang w:val="zh-CN"/>
        </w:rPr>
      </w:pPr>
    </w:p>
    <w:p w14:paraId="763BA78D">
      <w:pPr>
        <w:shd w:val="clear"/>
        <w:spacing w:line="360" w:lineRule="auto"/>
        <w:rPr>
          <w:rFonts w:hint="eastAsia" w:ascii="宋体" w:hAnsi="宋体" w:eastAsia="宋体" w:cs="宋体"/>
          <w:color w:val="auto"/>
          <w:sz w:val="24"/>
          <w:szCs w:val="32"/>
          <w:highlight w:val="none"/>
          <w:lang w:val="zh-CN"/>
        </w:rPr>
      </w:pPr>
    </w:p>
    <w:p w14:paraId="6D1916F2">
      <w:pPr>
        <w:shd w:val="clear"/>
        <w:spacing w:line="360" w:lineRule="auto"/>
        <w:rPr>
          <w:rFonts w:hint="eastAsia" w:ascii="宋体" w:hAnsi="宋体" w:eastAsia="宋体" w:cs="宋体"/>
          <w:color w:val="auto"/>
          <w:sz w:val="24"/>
          <w:szCs w:val="32"/>
          <w:highlight w:val="none"/>
          <w:lang w:val="zh-CN"/>
        </w:rPr>
      </w:pPr>
    </w:p>
    <w:p w14:paraId="3FF88196">
      <w:pPr>
        <w:shd w:val="clear"/>
        <w:spacing w:line="360" w:lineRule="auto"/>
        <w:rPr>
          <w:rFonts w:hint="eastAsia" w:ascii="宋体" w:hAnsi="宋体" w:eastAsia="宋体" w:cs="宋体"/>
          <w:color w:val="auto"/>
          <w:sz w:val="24"/>
          <w:szCs w:val="32"/>
          <w:highlight w:val="none"/>
          <w:lang w:val="zh-CN"/>
        </w:rPr>
      </w:pPr>
    </w:p>
    <w:p w14:paraId="6300E505">
      <w:pPr>
        <w:shd w:val="clear"/>
        <w:spacing w:line="360" w:lineRule="auto"/>
        <w:rPr>
          <w:rFonts w:hint="eastAsia" w:ascii="宋体" w:hAnsi="宋体" w:eastAsia="宋体" w:cs="宋体"/>
          <w:color w:val="auto"/>
          <w:sz w:val="24"/>
          <w:szCs w:val="32"/>
          <w:highlight w:val="none"/>
          <w:lang w:val="zh-CN"/>
        </w:rPr>
      </w:pPr>
    </w:p>
    <w:p w14:paraId="3C293883">
      <w:pPr>
        <w:shd w:val="clear"/>
        <w:spacing w:line="360" w:lineRule="auto"/>
        <w:rPr>
          <w:rFonts w:hint="eastAsia" w:ascii="宋体" w:hAnsi="宋体" w:eastAsia="宋体" w:cs="宋体"/>
          <w:color w:val="auto"/>
          <w:sz w:val="24"/>
          <w:szCs w:val="32"/>
          <w:highlight w:val="none"/>
          <w:lang w:val="zh-CN"/>
        </w:rPr>
      </w:pPr>
    </w:p>
    <w:p w14:paraId="319546D6">
      <w:pPr>
        <w:pStyle w:val="16"/>
        <w:shd w:val="clear"/>
        <w:rPr>
          <w:rFonts w:hint="eastAsia" w:ascii="宋体" w:hAnsi="宋体" w:eastAsia="宋体" w:cs="宋体"/>
          <w:color w:val="auto"/>
          <w:sz w:val="24"/>
          <w:szCs w:val="32"/>
          <w:highlight w:val="none"/>
          <w:lang w:val="zh-CN"/>
        </w:rPr>
      </w:pPr>
    </w:p>
    <w:p w14:paraId="447D3758">
      <w:pPr>
        <w:pStyle w:val="17"/>
        <w:shd w:val="clear"/>
        <w:rPr>
          <w:rFonts w:hint="eastAsia" w:ascii="宋体" w:hAnsi="宋体" w:eastAsia="宋体" w:cs="宋体"/>
          <w:color w:val="auto"/>
          <w:highlight w:val="none"/>
          <w:lang w:val="zh-CN"/>
        </w:rPr>
      </w:pPr>
    </w:p>
    <w:p w14:paraId="745F1994">
      <w:pPr>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14:paraId="4A275988">
      <w:pPr>
        <w:shd w:val="clear"/>
        <w:spacing w:line="480" w:lineRule="exac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9</w:t>
      </w:r>
    </w:p>
    <w:p w14:paraId="72985B73">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投标人基本情况表</w:t>
      </w:r>
    </w:p>
    <w:tbl>
      <w:tblPr>
        <w:tblStyle w:val="3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2CBA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68263901">
            <w:pPr>
              <w:pStyle w:val="73"/>
              <w:keepNext w:val="0"/>
              <w:keepLines w:val="0"/>
              <w:suppressLineNumbers w:val="0"/>
              <w:shd w:val="clear" w:color="auto"/>
              <w:spacing w:line="360" w:lineRule="auto"/>
              <w:ind w:left="0" w:right="0"/>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企业名称</w:t>
            </w:r>
          </w:p>
        </w:tc>
        <w:tc>
          <w:tcPr>
            <w:tcW w:w="3765" w:type="dxa"/>
            <w:gridSpan w:val="6"/>
            <w:vAlign w:val="center"/>
          </w:tcPr>
          <w:p w14:paraId="1AB8EE53">
            <w:pPr>
              <w:pStyle w:val="73"/>
              <w:keepNext w:val="0"/>
              <w:keepLines w:val="0"/>
              <w:suppressLineNumbers w:val="0"/>
              <w:shd w:val="clear" w:color="auto"/>
              <w:spacing w:line="360" w:lineRule="auto"/>
              <w:ind w:left="0" w:right="0"/>
              <w:jc w:val="both"/>
              <w:rPr>
                <w:rFonts w:hint="eastAsia" w:ascii="宋体" w:hAnsi="宋体" w:eastAsia="宋体" w:cs="宋体"/>
                <w:bCs/>
                <w:color w:val="auto"/>
                <w:highlight w:val="none"/>
              </w:rPr>
            </w:pPr>
          </w:p>
        </w:tc>
        <w:tc>
          <w:tcPr>
            <w:tcW w:w="1560" w:type="dxa"/>
            <w:vAlign w:val="center"/>
          </w:tcPr>
          <w:p w14:paraId="138C79F8">
            <w:pPr>
              <w:pStyle w:val="73"/>
              <w:keepNext w:val="0"/>
              <w:keepLines w:val="0"/>
              <w:suppressLineNumbers w:val="0"/>
              <w:shd w:val="clear" w:color="auto"/>
              <w:spacing w:line="360" w:lineRule="auto"/>
              <w:ind w:left="0" w:right="0"/>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法人代表</w:t>
            </w:r>
          </w:p>
        </w:tc>
        <w:tc>
          <w:tcPr>
            <w:tcW w:w="2608" w:type="dxa"/>
            <w:gridSpan w:val="3"/>
            <w:vAlign w:val="center"/>
          </w:tcPr>
          <w:p w14:paraId="2BA5F131">
            <w:pPr>
              <w:pStyle w:val="73"/>
              <w:keepNext w:val="0"/>
              <w:keepLines w:val="0"/>
              <w:suppressLineNumbers w:val="0"/>
              <w:shd w:val="clear" w:color="auto"/>
              <w:spacing w:line="360" w:lineRule="auto"/>
              <w:ind w:left="0" w:right="0"/>
              <w:jc w:val="both"/>
              <w:rPr>
                <w:rFonts w:hint="eastAsia" w:ascii="宋体" w:hAnsi="宋体" w:eastAsia="宋体" w:cs="宋体"/>
                <w:bCs/>
                <w:color w:val="auto"/>
                <w:highlight w:val="none"/>
              </w:rPr>
            </w:pPr>
          </w:p>
        </w:tc>
      </w:tr>
      <w:tr w14:paraId="494E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5EA2113D">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地址</w:t>
            </w:r>
          </w:p>
        </w:tc>
        <w:tc>
          <w:tcPr>
            <w:tcW w:w="3765" w:type="dxa"/>
            <w:gridSpan w:val="6"/>
            <w:tcBorders>
              <w:bottom w:val="single" w:color="auto" w:sz="4" w:space="0"/>
            </w:tcBorders>
            <w:vAlign w:val="center"/>
          </w:tcPr>
          <w:p w14:paraId="376679AA">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p>
        </w:tc>
        <w:tc>
          <w:tcPr>
            <w:tcW w:w="1560" w:type="dxa"/>
            <w:vAlign w:val="center"/>
          </w:tcPr>
          <w:p w14:paraId="4D64117E">
            <w:pPr>
              <w:pStyle w:val="73"/>
              <w:keepNext w:val="0"/>
              <w:keepLines w:val="0"/>
              <w:suppressLineNumbers w:val="0"/>
              <w:shd w:val="clear" w:color="auto"/>
              <w:spacing w:line="360" w:lineRule="auto"/>
              <w:ind w:left="0" w:right="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企业性质</w:t>
            </w:r>
          </w:p>
        </w:tc>
        <w:tc>
          <w:tcPr>
            <w:tcW w:w="2608" w:type="dxa"/>
            <w:gridSpan w:val="3"/>
            <w:vAlign w:val="center"/>
          </w:tcPr>
          <w:p w14:paraId="6CF25F8C">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p>
        </w:tc>
      </w:tr>
      <w:tr w14:paraId="388B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59801BBD">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股东姓名</w:t>
            </w:r>
          </w:p>
        </w:tc>
        <w:tc>
          <w:tcPr>
            <w:tcW w:w="690" w:type="dxa"/>
            <w:tcBorders>
              <w:bottom w:val="single" w:color="auto" w:sz="4" w:space="0"/>
            </w:tcBorders>
            <w:vAlign w:val="center"/>
          </w:tcPr>
          <w:p w14:paraId="7462F342">
            <w:pPr>
              <w:pStyle w:val="73"/>
              <w:keepNext w:val="0"/>
              <w:keepLines w:val="0"/>
              <w:suppressLineNumbers w:val="0"/>
              <w:shd w:val="clear" w:color="auto"/>
              <w:spacing w:before="0" w:beforeAutospacing="0" w:after="0" w:afterAutospacing="0" w:line="360" w:lineRule="auto"/>
              <w:ind w:left="0" w:right="0"/>
              <w:jc w:val="both"/>
              <w:rPr>
                <w:rFonts w:hint="eastAsia" w:ascii="宋体" w:hAnsi="宋体" w:eastAsia="宋体" w:cs="宋体"/>
                <w:bCs/>
                <w:color w:val="auto"/>
                <w:spacing w:val="16"/>
                <w:highlight w:val="none"/>
              </w:rPr>
            </w:pPr>
          </w:p>
        </w:tc>
        <w:tc>
          <w:tcPr>
            <w:tcW w:w="960" w:type="dxa"/>
            <w:gridSpan w:val="2"/>
            <w:tcBorders>
              <w:bottom w:val="single" w:color="auto" w:sz="4" w:space="0"/>
            </w:tcBorders>
            <w:vAlign w:val="center"/>
          </w:tcPr>
          <w:p w14:paraId="2F5B3C8F">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股权结构（%）</w:t>
            </w:r>
          </w:p>
        </w:tc>
        <w:tc>
          <w:tcPr>
            <w:tcW w:w="2115" w:type="dxa"/>
            <w:gridSpan w:val="3"/>
            <w:tcBorders>
              <w:bottom w:val="single" w:color="auto" w:sz="4" w:space="0"/>
            </w:tcBorders>
            <w:vAlign w:val="center"/>
          </w:tcPr>
          <w:p w14:paraId="018DFEFB">
            <w:pPr>
              <w:keepNext w:val="0"/>
              <w:keepLines w:val="0"/>
              <w:widowControl/>
              <w:suppressLineNumbers w:val="0"/>
              <w:shd w:val="clear"/>
              <w:spacing w:before="0" w:beforeAutospacing="0" w:after="0" w:afterAutospacing="0" w:line="360" w:lineRule="auto"/>
              <w:ind w:left="0" w:right="0"/>
              <w:rPr>
                <w:rFonts w:hint="eastAsia" w:ascii="宋体" w:hAnsi="宋体" w:eastAsia="宋体" w:cs="宋体"/>
                <w:bCs/>
                <w:color w:val="auto"/>
                <w:spacing w:val="16"/>
                <w:kern w:val="0"/>
                <w:sz w:val="24"/>
                <w:highlight w:val="none"/>
              </w:rPr>
            </w:pPr>
          </w:p>
          <w:p w14:paraId="47606CC9">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p>
        </w:tc>
        <w:tc>
          <w:tcPr>
            <w:tcW w:w="1560" w:type="dxa"/>
            <w:vAlign w:val="center"/>
          </w:tcPr>
          <w:p w14:paraId="39579F7E">
            <w:pPr>
              <w:pStyle w:val="73"/>
              <w:keepNext w:val="0"/>
              <w:keepLines w:val="0"/>
              <w:suppressLineNumbers w:val="0"/>
              <w:shd w:val="clear" w:color="auto"/>
              <w:spacing w:line="360" w:lineRule="auto"/>
              <w:ind w:left="107" w:right="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股东关系</w:t>
            </w:r>
          </w:p>
        </w:tc>
        <w:tc>
          <w:tcPr>
            <w:tcW w:w="2608" w:type="dxa"/>
            <w:gridSpan w:val="3"/>
            <w:vAlign w:val="center"/>
          </w:tcPr>
          <w:p w14:paraId="669D72BF">
            <w:pPr>
              <w:pStyle w:val="73"/>
              <w:keepNext w:val="0"/>
              <w:keepLines w:val="0"/>
              <w:suppressLineNumbers w:val="0"/>
              <w:shd w:val="clear" w:color="auto"/>
              <w:spacing w:line="360" w:lineRule="auto"/>
              <w:ind w:left="107" w:right="0"/>
              <w:jc w:val="both"/>
              <w:rPr>
                <w:rFonts w:hint="eastAsia" w:ascii="宋体" w:hAnsi="宋体" w:eastAsia="宋体" w:cs="宋体"/>
                <w:bCs/>
                <w:color w:val="auto"/>
                <w:spacing w:val="16"/>
                <w:highlight w:val="none"/>
              </w:rPr>
            </w:pPr>
          </w:p>
        </w:tc>
      </w:tr>
      <w:tr w14:paraId="4DAE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151CFF05">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联系人</w:t>
            </w:r>
            <w:r>
              <w:rPr>
                <w:rFonts w:hint="eastAsia" w:ascii="宋体" w:hAnsi="宋体" w:eastAsia="宋体" w:cs="宋体"/>
                <w:bCs/>
                <w:color w:val="auto"/>
                <w:spacing w:val="27"/>
                <w:highlight w:val="none"/>
              </w:rPr>
              <w:t>姓名</w:t>
            </w:r>
          </w:p>
        </w:tc>
        <w:tc>
          <w:tcPr>
            <w:tcW w:w="690" w:type="dxa"/>
            <w:vMerge w:val="restart"/>
            <w:tcBorders>
              <w:top w:val="nil"/>
            </w:tcBorders>
            <w:vAlign w:val="center"/>
          </w:tcPr>
          <w:p w14:paraId="69E7C3D4">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p>
        </w:tc>
        <w:tc>
          <w:tcPr>
            <w:tcW w:w="960" w:type="dxa"/>
            <w:gridSpan w:val="2"/>
            <w:tcBorders>
              <w:top w:val="nil"/>
              <w:bottom w:val="single" w:color="auto" w:sz="4" w:space="0"/>
            </w:tcBorders>
            <w:vAlign w:val="center"/>
          </w:tcPr>
          <w:p w14:paraId="54C9CB5B">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固定电话</w:t>
            </w:r>
          </w:p>
        </w:tc>
        <w:tc>
          <w:tcPr>
            <w:tcW w:w="2115" w:type="dxa"/>
            <w:gridSpan w:val="3"/>
            <w:tcBorders>
              <w:top w:val="nil"/>
              <w:bottom w:val="single" w:color="auto" w:sz="4" w:space="0"/>
            </w:tcBorders>
            <w:vAlign w:val="center"/>
          </w:tcPr>
          <w:p w14:paraId="65196D57">
            <w:pPr>
              <w:keepNext w:val="0"/>
              <w:keepLines w:val="0"/>
              <w:widowControl/>
              <w:suppressLineNumbers w:val="0"/>
              <w:shd w:val="clear"/>
              <w:spacing w:before="0" w:beforeAutospacing="0" w:after="0" w:afterAutospacing="0" w:line="360" w:lineRule="auto"/>
              <w:ind w:left="0" w:right="0"/>
              <w:rPr>
                <w:rFonts w:hint="eastAsia" w:ascii="宋体" w:hAnsi="宋体" w:eastAsia="宋体" w:cs="宋体"/>
                <w:bCs/>
                <w:color w:val="auto"/>
                <w:spacing w:val="16"/>
                <w:kern w:val="0"/>
                <w:sz w:val="24"/>
                <w:highlight w:val="none"/>
              </w:rPr>
            </w:pPr>
          </w:p>
          <w:p w14:paraId="4511B126">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p>
        </w:tc>
        <w:tc>
          <w:tcPr>
            <w:tcW w:w="1560" w:type="dxa"/>
            <w:vMerge w:val="restart"/>
            <w:vAlign w:val="center"/>
          </w:tcPr>
          <w:p w14:paraId="4956A305">
            <w:pPr>
              <w:pStyle w:val="73"/>
              <w:keepNext w:val="0"/>
              <w:keepLines w:val="0"/>
              <w:suppressLineNumbers w:val="0"/>
              <w:shd w:val="clear" w:color="auto"/>
              <w:spacing w:before="0" w:beforeAutospacing="0" w:after="0" w:afterAutospacing="0" w:line="360" w:lineRule="auto"/>
              <w:ind w:left="0" w:right="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传真</w:t>
            </w:r>
          </w:p>
        </w:tc>
        <w:tc>
          <w:tcPr>
            <w:tcW w:w="2608" w:type="dxa"/>
            <w:gridSpan w:val="3"/>
            <w:vMerge w:val="restart"/>
            <w:vAlign w:val="center"/>
          </w:tcPr>
          <w:p w14:paraId="7A6DEAB9">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p>
        </w:tc>
      </w:tr>
      <w:tr w14:paraId="5522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1590A0E8">
            <w:pPr>
              <w:pStyle w:val="73"/>
              <w:keepNext w:val="0"/>
              <w:keepLines w:val="0"/>
              <w:suppressLineNumbers w:val="0"/>
              <w:shd w:val="clear" w:color="auto"/>
              <w:spacing w:line="360" w:lineRule="auto"/>
              <w:ind w:left="107" w:right="0"/>
              <w:jc w:val="both"/>
              <w:rPr>
                <w:rFonts w:hint="eastAsia" w:ascii="宋体" w:hAnsi="宋体" w:eastAsia="宋体" w:cs="宋体"/>
                <w:bCs/>
                <w:color w:val="auto"/>
                <w:highlight w:val="none"/>
              </w:rPr>
            </w:pPr>
          </w:p>
        </w:tc>
        <w:tc>
          <w:tcPr>
            <w:tcW w:w="690" w:type="dxa"/>
            <w:vMerge w:val="continue"/>
            <w:tcBorders>
              <w:bottom w:val="single" w:color="auto" w:sz="4" w:space="0"/>
            </w:tcBorders>
            <w:vAlign w:val="center"/>
          </w:tcPr>
          <w:p w14:paraId="082760FA">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p>
        </w:tc>
        <w:tc>
          <w:tcPr>
            <w:tcW w:w="960" w:type="dxa"/>
            <w:gridSpan w:val="2"/>
            <w:tcBorders>
              <w:bottom w:val="single" w:color="auto" w:sz="4" w:space="0"/>
            </w:tcBorders>
            <w:vAlign w:val="center"/>
          </w:tcPr>
          <w:p w14:paraId="44223754">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手机</w:t>
            </w:r>
          </w:p>
        </w:tc>
        <w:tc>
          <w:tcPr>
            <w:tcW w:w="2115" w:type="dxa"/>
            <w:gridSpan w:val="3"/>
            <w:tcBorders>
              <w:bottom w:val="single" w:color="auto" w:sz="4" w:space="0"/>
            </w:tcBorders>
            <w:vAlign w:val="center"/>
          </w:tcPr>
          <w:p w14:paraId="13EF7E3F">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p>
        </w:tc>
        <w:tc>
          <w:tcPr>
            <w:tcW w:w="1560" w:type="dxa"/>
            <w:vMerge w:val="continue"/>
            <w:vAlign w:val="center"/>
          </w:tcPr>
          <w:p w14:paraId="1EE51513">
            <w:pPr>
              <w:pStyle w:val="73"/>
              <w:keepNext w:val="0"/>
              <w:keepLines w:val="0"/>
              <w:suppressLineNumbers w:val="0"/>
              <w:shd w:val="clear" w:color="auto"/>
              <w:spacing w:line="360" w:lineRule="auto"/>
              <w:ind w:left="0" w:right="0"/>
              <w:jc w:val="center"/>
              <w:rPr>
                <w:rFonts w:hint="eastAsia" w:ascii="宋体" w:hAnsi="宋体" w:eastAsia="宋体" w:cs="宋体"/>
                <w:bCs/>
                <w:color w:val="auto"/>
                <w:spacing w:val="16"/>
                <w:highlight w:val="none"/>
              </w:rPr>
            </w:pPr>
          </w:p>
        </w:tc>
        <w:tc>
          <w:tcPr>
            <w:tcW w:w="2608" w:type="dxa"/>
            <w:gridSpan w:val="3"/>
            <w:vMerge w:val="continue"/>
            <w:vAlign w:val="center"/>
          </w:tcPr>
          <w:p w14:paraId="6762B56B">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p>
        </w:tc>
      </w:tr>
      <w:tr w14:paraId="3B9B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23050E43">
            <w:pPr>
              <w:pStyle w:val="73"/>
              <w:keepNext w:val="0"/>
              <w:keepLines w:val="0"/>
              <w:suppressLineNumbers w:val="0"/>
              <w:shd w:val="clear" w:color="auto"/>
              <w:spacing w:line="360" w:lineRule="auto"/>
              <w:ind w:left="107" w:right="0"/>
              <w:jc w:val="both"/>
              <w:rPr>
                <w:rFonts w:hint="eastAsia" w:ascii="宋体" w:hAnsi="宋体" w:eastAsia="宋体" w:cs="宋体"/>
                <w:bCs/>
                <w:color w:val="auto"/>
                <w:highlight w:val="none"/>
              </w:rPr>
            </w:pPr>
            <w:r>
              <w:rPr>
                <w:rFonts w:hint="eastAsia" w:ascii="宋体" w:hAnsi="宋体" w:eastAsia="宋体" w:cs="宋体"/>
                <w:bCs/>
                <w:color w:val="auto"/>
                <w:highlight w:val="none"/>
              </w:rPr>
              <w:t>1.</w:t>
            </w:r>
          </w:p>
          <w:p w14:paraId="754079F7">
            <w:pPr>
              <w:pStyle w:val="73"/>
              <w:keepNext w:val="0"/>
              <w:keepLines w:val="0"/>
              <w:suppressLineNumbers w:val="0"/>
              <w:shd w:val="clear" w:color="auto"/>
              <w:spacing w:line="360" w:lineRule="auto"/>
              <w:ind w:left="107" w:right="0"/>
              <w:jc w:val="both"/>
              <w:rPr>
                <w:rFonts w:hint="eastAsia" w:ascii="宋体" w:hAnsi="宋体" w:eastAsia="宋体" w:cs="宋体"/>
                <w:bCs/>
                <w:color w:val="auto"/>
                <w:highlight w:val="none"/>
              </w:rPr>
            </w:pPr>
            <w:r>
              <w:rPr>
                <w:rFonts w:hint="eastAsia" w:ascii="宋体" w:hAnsi="宋体" w:eastAsia="宋体" w:cs="宋体"/>
                <w:bCs/>
                <w:color w:val="auto"/>
                <w:highlight w:val="none"/>
              </w:rPr>
              <w:t>企</w:t>
            </w:r>
          </w:p>
          <w:p w14:paraId="5672C2B4">
            <w:pPr>
              <w:pStyle w:val="73"/>
              <w:keepNext w:val="0"/>
              <w:keepLines w:val="0"/>
              <w:suppressLineNumbers w:val="0"/>
              <w:shd w:val="clear" w:color="auto"/>
              <w:spacing w:line="360" w:lineRule="auto"/>
              <w:ind w:left="107" w:right="0"/>
              <w:jc w:val="both"/>
              <w:rPr>
                <w:rFonts w:hint="eastAsia" w:ascii="宋体" w:hAnsi="宋体" w:eastAsia="宋体" w:cs="宋体"/>
                <w:bCs/>
                <w:color w:val="auto"/>
                <w:highlight w:val="none"/>
              </w:rPr>
            </w:pPr>
            <w:r>
              <w:rPr>
                <w:rFonts w:hint="eastAsia" w:ascii="宋体" w:hAnsi="宋体" w:eastAsia="宋体" w:cs="宋体"/>
                <w:bCs/>
                <w:color w:val="auto"/>
                <w:highlight w:val="none"/>
              </w:rPr>
              <w:t>业</w:t>
            </w:r>
          </w:p>
          <w:p w14:paraId="547C4AF6">
            <w:pPr>
              <w:pStyle w:val="73"/>
              <w:keepNext w:val="0"/>
              <w:keepLines w:val="0"/>
              <w:suppressLineNumbers w:val="0"/>
              <w:shd w:val="clear" w:color="auto"/>
              <w:spacing w:line="360" w:lineRule="auto"/>
              <w:ind w:left="107" w:right="0"/>
              <w:jc w:val="both"/>
              <w:rPr>
                <w:rFonts w:hint="eastAsia" w:ascii="宋体" w:hAnsi="宋体" w:eastAsia="宋体" w:cs="宋体"/>
                <w:bCs/>
                <w:color w:val="auto"/>
                <w:spacing w:val="27"/>
                <w:highlight w:val="none"/>
              </w:rPr>
            </w:pPr>
            <w:r>
              <w:rPr>
                <w:rFonts w:hint="eastAsia" w:ascii="宋体" w:hAnsi="宋体" w:eastAsia="宋体" w:cs="宋体"/>
                <w:bCs/>
                <w:color w:val="auto"/>
                <w:spacing w:val="27"/>
                <w:highlight w:val="none"/>
              </w:rPr>
              <w:t>概</w:t>
            </w:r>
          </w:p>
          <w:p w14:paraId="4D4868A0">
            <w:pPr>
              <w:pStyle w:val="73"/>
              <w:keepNext w:val="0"/>
              <w:keepLines w:val="0"/>
              <w:suppressLineNumbers w:val="0"/>
              <w:shd w:val="clear" w:color="auto"/>
              <w:spacing w:line="360" w:lineRule="auto"/>
              <w:ind w:left="107" w:right="0"/>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况</w:t>
            </w:r>
          </w:p>
        </w:tc>
        <w:tc>
          <w:tcPr>
            <w:tcW w:w="690" w:type="dxa"/>
            <w:tcBorders>
              <w:top w:val="nil"/>
            </w:tcBorders>
            <w:vAlign w:val="center"/>
          </w:tcPr>
          <w:p w14:paraId="59047B76">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职工人数</w:t>
            </w:r>
          </w:p>
        </w:tc>
        <w:tc>
          <w:tcPr>
            <w:tcW w:w="960" w:type="dxa"/>
            <w:gridSpan w:val="2"/>
            <w:tcBorders>
              <w:top w:val="nil"/>
            </w:tcBorders>
            <w:vAlign w:val="center"/>
          </w:tcPr>
          <w:p w14:paraId="1F97CB67">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p>
        </w:tc>
        <w:tc>
          <w:tcPr>
            <w:tcW w:w="926" w:type="dxa"/>
            <w:tcBorders>
              <w:top w:val="nil"/>
            </w:tcBorders>
            <w:vAlign w:val="center"/>
          </w:tcPr>
          <w:p w14:paraId="6A507C0C">
            <w:pPr>
              <w:pStyle w:val="73"/>
              <w:keepNext w:val="0"/>
              <w:keepLines w:val="0"/>
              <w:suppressLineNumbers w:val="0"/>
              <w:shd w:val="clear" w:color="auto"/>
              <w:spacing w:before="0" w:beforeAutospacing="0" w:after="0" w:afterAutospacing="0" w:line="360" w:lineRule="auto"/>
              <w:ind w:left="0" w:right="0"/>
              <w:jc w:val="both"/>
              <w:rPr>
                <w:rFonts w:hint="eastAsia" w:ascii="宋体" w:hAnsi="宋体" w:eastAsia="宋体" w:cs="宋体"/>
                <w:bCs/>
                <w:color w:val="auto"/>
                <w:highlight w:val="none"/>
              </w:rPr>
            </w:pPr>
            <w:r>
              <w:rPr>
                <w:rFonts w:hint="eastAsia" w:ascii="宋体" w:hAnsi="宋体" w:eastAsia="宋体" w:cs="宋体"/>
                <w:bCs/>
                <w:color w:val="auto"/>
                <w:spacing w:val="18"/>
                <w:highlight w:val="none"/>
              </w:rPr>
              <w:t>具备大专以</w:t>
            </w:r>
            <w:r>
              <w:rPr>
                <w:rFonts w:hint="eastAsia" w:ascii="宋体" w:hAnsi="宋体" w:eastAsia="宋体" w:cs="宋体"/>
                <w:bCs/>
                <w:color w:val="auto"/>
                <w:spacing w:val="12"/>
                <w:highlight w:val="none"/>
              </w:rPr>
              <w:t>上学历人数</w:t>
            </w:r>
          </w:p>
        </w:tc>
        <w:tc>
          <w:tcPr>
            <w:tcW w:w="1189" w:type="dxa"/>
            <w:gridSpan w:val="2"/>
            <w:tcBorders>
              <w:top w:val="nil"/>
            </w:tcBorders>
            <w:vAlign w:val="center"/>
          </w:tcPr>
          <w:p w14:paraId="1FC6BB67">
            <w:pPr>
              <w:keepNext w:val="0"/>
              <w:keepLines w:val="0"/>
              <w:widowControl/>
              <w:suppressLineNumbers w:val="0"/>
              <w:shd w:val="clear"/>
              <w:spacing w:before="0" w:beforeAutospacing="0" w:after="0" w:afterAutospacing="0" w:line="360" w:lineRule="auto"/>
              <w:ind w:left="0" w:right="0"/>
              <w:rPr>
                <w:rFonts w:hint="eastAsia" w:ascii="宋体" w:hAnsi="宋体" w:eastAsia="宋体" w:cs="宋体"/>
                <w:bCs/>
                <w:color w:val="auto"/>
                <w:spacing w:val="16"/>
                <w:kern w:val="0"/>
                <w:sz w:val="24"/>
                <w:highlight w:val="none"/>
              </w:rPr>
            </w:pPr>
          </w:p>
          <w:p w14:paraId="7AC49843">
            <w:pPr>
              <w:keepNext w:val="0"/>
              <w:keepLines w:val="0"/>
              <w:widowControl/>
              <w:suppressLineNumbers w:val="0"/>
              <w:shd w:val="clear"/>
              <w:spacing w:before="0" w:beforeAutospacing="0" w:after="0" w:afterAutospacing="0" w:line="360" w:lineRule="auto"/>
              <w:ind w:left="0" w:right="0"/>
              <w:rPr>
                <w:rFonts w:hint="eastAsia" w:ascii="宋体" w:hAnsi="宋体" w:eastAsia="宋体" w:cs="宋体"/>
                <w:bCs/>
                <w:color w:val="auto"/>
                <w:spacing w:val="16"/>
                <w:kern w:val="0"/>
                <w:sz w:val="24"/>
                <w:highlight w:val="none"/>
              </w:rPr>
            </w:pPr>
          </w:p>
          <w:p w14:paraId="7D567576">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p>
        </w:tc>
        <w:tc>
          <w:tcPr>
            <w:tcW w:w="1560" w:type="dxa"/>
            <w:vAlign w:val="center"/>
          </w:tcPr>
          <w:p w14:paraId="2D254954">
            <w:pPr>
              <w:pStyle w:val="73"/>
              <w:keepNext w:val="0"/>
              <w:keepLines w:val="0"/>
              <w:suppressLineNumbers w:val="0"/>
              <w:shd w:val="clear" w:color="auto"/>
              <w:spacing w:line="360" w:lineRule="auto"/>
              <w:ind w:left="0" w:right="0"/>
              <w:jc w:val="center"/>
              <w:rPr>
                <w:rFonts w:hint="eastAsia" w:ascii="宋体" w:hAnsi="宋体" w:eastAsia="宋体" w:cs="宋体"/>
                <w:bCs/>
                <w:color w:val="auto"/>
                <w:spacing w:val="16"/>
                <w:highlight w:val="none"/>
              </w:rPr>
            </w:pPr>
            <w:r>
              <w:rPr>
                <w:rFonts w:hint="eastAsia" w:ascii="宋体" w:hAnsi="宋体" w:eastAsia="宋体" w:cs="宋体"/>
                <w:bCs/>
                <w:color w:val="auto"/>
                <w:spacing w:val="65"/>
                <w:highlight w:val="none"/>
              </w:rPr>
              <w:t>国家授予技</w:t>
            </w:r>
            <w:r>
              <w:rPr>
                <w:rFonts w:hint="eastAsia" w:ascii="宋体" w:hAnsi="宋体" w:eastAsia="宋体" w:cs="宋体"/>
                <w:bCs/>
                <w:color w:val="auto"/>
                <w:spacing w:val="12"/>
                <w:highlight w:val="none"/>
              </w:rPr>
              <w:t>术职称人数</w:t>
            </w:r>
          </w:p>
        </w:tc>
        <w:tc>
          <w:tcPr>
            <w:tcW w:w="2608" w:type="dxa"/>
            <w:gridSpan w:val="3"/>
            <w:vAlign w:val="center"/>
          </w:tcPr>
          <w:p w14:paraId="10303A60">
            <w:pPr>
              <w:keepNext w:val="0"/>
              <w:keepLines w:val="0"/>
              <w:widowControl/>
              <w:suppressLineNumbers w:val="0"/>
              <w:shd w:val="clear"/>
              <w:spacing w:before="0" w:beforeAutospacing="0" w:after="0" w:afterAutospacing="0" w:line="360" w:lineRule="auto"/>
              <w:ind w:left="0" w:right="0"/>
              <w:rPr>
                <w:rFonts w:hint="eastAsia" w:ascii="宋体" w:hAnsi="宋体" w:eastAsia="宋体" w:cs="宋体"/>
                <w:bCs/>
                <w:color w:val="auto"/>
                <w:spacing w:val="16"/>
                <w:kern w:val="0"/>
                <w:sz w:val="24"/>
                <w:highlight w:val="none"/>
              </w:rPr>
            </w:pPr>
          </w:p>
          <w:p w14:paraId="6A76D543">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p>
        </w:tc>
      </w:tr>
      <w:tr w14:paraId="4A29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1546C577">
            <w:pPr>
              <w:pStyle w:val="73"/>
              <w:keepNext w:val="0"/>
              <w:keepLines w:val="0"/>
              <w:suppressLineNumbers w:val="0"/>
              <w:shd w:val="clear" w:color="auto"/>
              <w:spacing w:line="360" w:lineRule="auto"/>
              <w:ind w:left="107" w:right="0"/>
              <w:jc w:val="both"/>
              <w:rPr>
                <w:rFonts w:hint="eastAsia" w:ascii="宋体" w:hAnsi="宋体" w:eastAsia="宋体" w:cs="宋体"/>
                <w:bCs/>
                <w:color w:val="auto"/>
                <w:highlight w:val="none"/>
              </w:rPr>
            </w:pPr>
          </w:p>
        </w:tc>
        <w:tc>
          <w:tcPr>
            <w:tcW w:w="690" w:type="dxa"/>
            <w:vAlign w:val="center"/>
          </w:tcPr>
          <w:p w14:paraId="7FADFA11">
            <w:pPr>
              <w:pStyle w:val="73"/>
              <w:keepNext w:val="0"/>
              <w:keepLines w:val="0"/>
              <w:suppressLineNumbers w:val="0"/>
              <w:shd w:val="clear" w:color="auto"/>
              <w:spacing w:line="360" w:lineRule="auto"/>
              <w:ind w:left="0" w:right="0"/>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占地面积</w:t>
            </w:r>
          </w:p>
        </w:tc>
        <w:tc>
          <w:tcPr>
            <w:tcW w:w="960" w:type="dxa"/>
            <w:gridSpan w:val="2"/>
            <w:vAlign w:val="center"/>
          </w:tcPr>
          <w:p w14:paraId="534532BC">
            <w:pPr>
              <w:pStyle w:val="73"/>
              <w:keepNext w:val="0"/>
              <w:keepLines w:val="0"/>
              <w:suppressLineNumbers w:val="0"/>
              <w:shd w:val="clear" w:color="auto"/>
              <w:spacing w:line="360" w:lineRule="auto"/>
              <w:ind w:left="0" w:right="0"/>
              <w:jc w:val="both"/>
              <w:rPr>
                <w:rFonts w:hint="eastAsia" w:ascii="宋体" w:hAnsi="宋体" w:eastAsia="宋体" w:cs="宋体"/>
                <w:bCs/>
                <w:color w:val="auto"/>
                <w:highlight w:val="none"/>
              </w:rPr>
            </w:pPr>
          </w:p>
        </w:tc>
        <w:tc>
          <w:tcPr>
            <w:tcW w:w="926" w:type="dxa"/>
            <w:vAlign w:val="center"/>
          </w:tcPr>
          <w:p w14:paraId="2F127DB4">
            <w:pPr>
              <w:pStyle w:val="73"/>
              <w:keepNext w:val="0"/>
              <w:keepLines w:val="0"/>
              <w:suppressLineNumbers w:val="0"/>
              <w:shd w:val="clear" w:color="auto"/>
              <w:spacing w:line="360" w:lineRule="auto"/>
              <w:ind w:left="0" w:right="0"/>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建筑面积</w:t>
            </w:r>
          </w:p>
        </w:tc>
        <w:tc>
          <w:tcPr>
            <w:tcW w:w="1189" w:type="dxa"/>
            <w:gridSpan w:val="2"/>
            <w:vAlign w:val="center"/>
          </w:tcPr>
          <w:p w14:paraId="3E721D55">
            <w:pPr>
              <w:pStyle w:val="73"/>
              <w:keepNext w:val="0"/>
              <w:keepLines w:val="0"/>
              <w:suppressLineNumbers w:val="0"/>
              <w:shd w:val="clear" w:color="auto"/>
              <w:spacing w:line="360" w:lineRule="auto"/>
              <w:ind w:left="0" w:right="0"/>
              <w:jc w:val="both"/>
              <w:rPr>
                <w:rFonts w:hint="eastAsia" w:ascii="宋体" w:hAnsi="宋体" w:eastAsia="宋体" w:cs="宋体"/>
                <w:bCs/>
                <w:color w:val="auto"/>
                <w:highlight w:val="none"/>
              </w:rPr>
            </w:pPr>
            <w:r>
              <w:rPr>
                <w:rFonts w:hint="eastAsia" w:ascii="宋体" w:hAnsi="宋体" w:eastAsia="宋体" w:cs="宋体"/>
                <w:bCs/>
                <w:color w:val="auto"/>
                <w:highlight w:val="none"/>
              </w:rPr>
              <w:t>平方米</w:t>
            </w:r>
          </w:p>
          <w:p w14:paraId="78227EA5">
            <w:pPr>
              <w:pStyle w:val="73"/>
              <w:keepNext w:val="0"/>
              <w:keepLines w:val="0"/>
              <w:suppressLineNumbers w:val="0"/>
              <w:shd w:val="clear" w:color="auto"/>
              <w:spacing w:line="360" w:lineRule="auto"/>
              <w:ind w:left="0" w:right="0"/>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□自有□租赁</w:t>
            </w:r>
          </w:p>
        </w:tc>
        <w:tc>
          <w:tcPr>
            <w:tcW w:w="1560" w:type="dxa"/>
            <w:vAlign w:val="center"/>
          </w:tcPr>
          <w:p w14:paraId="0E3218FA">
            <w:pPr>
              <w:pStyle w:val="73"/>
              <w:keepNext w:val="0"/>
              <w:keepLines w:val="0"/>
              <w:suppressLineNumbers w:val="0"/>
              <w:shd w:val="clear" w:color="auto"/>
              <w:spacing w:line="360" w:lineRule="auto"/>
              <w:ind w:left="0" w:right="0"/>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生产经营场所及场所的设施与设备</w:t>
            </w:r>
          </w:p>
        </w:tc>
        <w:tc>
          <w:tcPr>
            <w:tcW w:w="2608" w:type="dxa"/>
            <w:gridSpan w:val="3"/>
            <w:vAlign w:val="center"/>
          </w:tcPr>
          <w:p w14:paraId="04FC1AE4">
            <w:pPr>
              <w:pStyle w:val="73"/>
              <w:keepNext w:val="0"/>
              <w:keepLines w:val="0"/>
              <w:suppressLineNumbers w:val="0"/>
              <w:shd w:val="clear" w:color="auto"/>
              <w:spacing w:before="0" w:beforeAutospacing="0" w:after="0" w:afterAutospacing="0" w:line="360" w:lineRule="auto"/>
              <w:ind w:left="0" w:right="0"/>
              <w:jc w:val="both"/>
              <w:rPr>
                <w:rFonts w:hint="eastAsia" w:ascii="宋体" w:hAnsi="宋体" w:eastAsia="宋体" w:cs="宋体"/>
                <w:bCs/>
                <w:color w:val="auto"/>
                <w:spacing w:val="16"/>
                <w:highlight w:val="none"/>
              </w:rPr>
            </w:pPr>
          </w:p>
        </w:tc>
      </w:tr>
      <w:tr w14:paraId="01B1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40348BE8">
            <w:pPr>
              <w:pStyle w:val="73"/>
              <w:keepNext w:val="0"/>
              <w:keepLines w:val="0"/>
              <w:suppressLineNumbers w:val="0"/>
              <w:shd w:val="clear" w:color="auto"/>
              <w:spacing w:line="360" w:lineRule="auto"/>
              <w:ind w:left="107" w:right="0"/>
              <w:jc w:val="both"/>
              <w:rPr>
                <w:rFonts w:hint="eastAsia" w:ascii="宋体" w:hAnsi="宋体" w:eastAsia="宋体" w:cs="宋体"/>
                <w:bCs/>
                <w:color w:val="auto"/>
                <w:highlight w:val="none"/>
              </w:rPr>
            </w:pPr>
          </w:p>
        </w:tc>
        <w:tc>
          <w:tcPr>
            <w:tcW w:w="690" w:type="dxa"/>
            <w:vAlign w:val="center"/>
          </w:tcPr>
          <w:p w14:paraId="37BB5242">
            <w:pPr>
              <w:pStyle w:val="73"/>
              <w:keepNext w:val="0"/>
              <w:keepLines w:val="0"/>
              <w:suppressLineNumbers w:val="0"/>
              <w:shd w:val="clear" w:color="auto"/>
              <w:spacing w:line="360" w:lineRule="auto"/>
              <w:ind w:left="2" w:right="0"/>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注册资金</w:t>
            </w:r>
          </w:p>
        </w:tc>
        <w:tc>
          <w:tcPr>
            <w:tcW w:w="960" w:type="dxa"/>
            <w:gridSpan w:val="2"/>
            <w:vAlign w:val="center"/>
          </w:tcPr>
          <w:p w14:paraId="749C0C12">
            <w:pPr>
              <w:pStyle w:val="73"/>
              <w:keepNext w:val="0"/>
              <w:keepLines w:val="0"/>
              <w:suppressLineNumbers w:val="0"/>
              <w:shd w:val="clear" w:color="auto"/>
              <w:spacing w:line="360" w:lineRule="auto"/>
              <w:ind w:left="2" w:right="0"/>
              <w:jc w:val="both"/>
              <w:rPr>
                <w:rFonts w:hint="eastAsia" w:ascii="宋体" w:hAnsi="宋体" w:eastAsia="宋体" w:cs="宋体"/>
                <w:bCs/>
                <w:color w:val="auto"/>
                <w:highlight w:val="none"/>
              </w:rPr>
            </w:pPr>
          </w:p>
        </w:tc>
        <w:tc>
          <w:tcPr>
            <w:tcW w:w="926" w:type="dxa"/>
            <w:vAlign w:val="center"/>
          </w:tcPr>
          <w:p w14:paraId="03CC0E94">
            <w:pPr>
              <w:pStyle w:val="73"/>
              <w:keepNext w:val="0"/>
              <w:keepLines w:val="0"/>
              <w:suppressLineNumbers w:val="0"/>
              <w:shd w:val="clear" w:color="auto"/>
              <w:spacing w:line="360" w:lineRule="auto"/>
              <w:ind w:left="107" w:right="0"/>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注册发证</w:t>
            </w:r>
            <w:r>
              <w:rPr>
                <w:rFonts w:hint="eastAsia" w:ascii="宋体" w:hAnsi="宋体" w:eastAsia="宋体" w:cs="宋体"/>
                <w:bCs/>
                <w:color w:val="auto"/>
                <w:spacing w:val="27"/>
                <w:highlight w:val="none"/>
              </w:rPr>
              <w:t>机关</w:t>
            </w:r>
          </w:p>
        </w:tc>
        <w:tc>
          <w:tcPr>
            <w:tcW w:w="2749" w:type="dxa"/>
            <w:gridSpan w:val="3"/>
            <w:vAlign w:val="center"/>
          </w:tcPr>
          <w:p w14:paraId="4A26A3FA">
            <w:pPr>
              <w:keepNext w:val="0"/>
              <w:keepLines w:val="0"/>
              <w:widowControl/>
              <w:suppressLineNumbers w:val="0"/>
              <w:shd w:val="clear"/>
              <w:spacing w:before="0" w:beforeAutospacing="0" w:after="0" w:afterAutospacing="0" w:line="360" w:lineRule="auto"/>
              <w:ind w:left="0" w:right="0"/>
              <w:rPr>
                <w:rFonts w:hint="eastAsia" w:ascii="宋体" w:hAnsi="宋体" w:eastAsia="宋体" w:cs="宋体"/>
                <w:bCs/>
                <w:color w:val="auto"/>
                <w:kern w:val="0"/>
                <w:sz w:val="24"/>
                <w:highlight w:val="none"/>
              </w:rPr>
            </w:pPr>
          </w:p>
          <w:p w14:paraId="4B0D253C">
            <w:pPr>
              <w:pStyle w:val="73"/>
              <w:keepNext w:val="0"/>
              <w:keepLines w:val="0"/>
              <w:suppressLineNumbers w:val="0"/>
              <w:shd w:val="clear" w:color="auto"/>
              <w:spacing w:line="360" w:lineRule="auto"/>
              <w:ind w:left="107" w:right="0"/>
              <w:jc w:val="both"/>
              <w:rPr>
                <w:rFonts w:hint="eastAsia" w:ascii="宋体" w:hAnsi="宋体" w:eastAsia="宋体" w:cs="宋体"/>
                <w:bCs/>
                <w:color w:val="auto"/>
                <w:highlight w:val="none"/>
              </w:rPr>
            </w:pPr>
          </w:p>
        </w:tc>
        <w:tc>
          <w:tcPr>
            <w:tcW w:w="1675" w:type="dxa"/>
            <w:gridSpan w:val="2"/>
            <w:vAlign w:val="center"/>
          </w:tcPr>
          <w:p w14:paraId="6DE450CA">
            <w:pPr>
              <w:pStyle w:val="73"/>
              <w:keepNext w:val="0"/>
              <w:keepLines w:val="0"/>
              <w:suppressLineNumbers w:val="0"/>
              <w:shd w:val="clear" w:color="auto"/>
              <w:spacing w:line="360" w:lineRule="auto"/>
              <w:ind w:left="107" w:right="0"/>
              <w:jc w:val="both"/>
              <w:rPr>
                <w:rFonts w:hint="eastAsia" w:ascii="宋体" w:hAnsi="宋体" w:eastAsia="宋体" w:cs="宋体"/>
                <w:bCs/>
                <w:color w:val="auto"/>
                <w:highlight w:val="none"/>
              </w:rPr>
            </w:pPr>
            <w:r>
              <w:rPr>
                <w:rFonts w:hint="eastAsia" w:ascii="宋体" w:hAnsi="宋体" w:eastAsia="宋体" w:cs="宋体"/>
                <w:bCs/>
                <w:color w:val="auto"/>
                <w:highlight w:val="none"/>
              </w:rPr>
              <w:t>公司成</w:t>
            </w:r>
            <w:r>
              <w:rPr>
                <w:rFonts w:hint="eastAsia" w:ascii="宋体" w:hAnsi="宋体" w:eastAsia="宋体" w:cs="宋体"/>
                <w:bCs/>
                <w:color w:val="auto"/>
                <w:spacing w:val="12"/>
                <w:highlight w:val="none"/>
              </w:rPr>
              <w:t>立时间</w:t>
            </w:r>
          </w:p>
        </w:tc>
        <w:tc>
          <w:tcPr>
            <w:tcW w:w="933" w:type="dxa"/>
            <w:vAlign w:val="center"/>
          </w:tcPr>
          <w:p w14:paraId="585B2ECA">
            <w:pPr>
              <w:pStyle w:val="73"/>
              <w:keepNext w:val="0"/>
              <w:keepLines w:val="0"/>
              <w:suppressLineNumbers w:val="0"/>
              <w:shd w:val="clear" w:color="auto"/>
              <w:spacing w:line="360" w:lineRule="auto"/>
              <w:ind w:left="107" w:right="0"/>
              <w:jc w:val="both"/>
              <w:rPr>
                <w:rFonts w:hint="eastAsia" w:ascii="宋体" w:hAnsi="宋体" w:eastAsia="宋体" w:cs="宋体"/>
                <w:bCs/>
                <w:color w:val="auto"/>
                <w:highlight w:val="none"/>
              </w:rPr>
            </w:pPr>
          </w:p>
        </w:tc>
      </w:tr>
      <w:tr w14:paraId="4438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09440B67">
            <w:pPr>
              <w:pStyle w:val="73"/>
              <w:keepNext w:val="0"/>
              <w:keepLines w:val="0"/>
              <w:suppressLineNumbers w:val="0"/>
              <w:shd w:val="clear" w:color="auto"/>
              <w:spacing w:line="360" w:lineRule="auto"/>
              <w:ind w:left="107" w:right="0"/>
              <w:jc w:val="both"/>
              <w:rPr>
                <w:rFonts w:hint="eastAsia" w:ascii="宋体" w:hAnsi="宋体" w:eastAsia="宋体" w:cs="宋体"/>
                <w:bCs/>
                <w:color w:val="auto"/>
                <w:highlight w:val="none"/>
              </w:rPr>
            </w:pPr>
          </w:p>
        </w:tc>
        <w:tc>
          <w:tcPr>
            <w:tcW w:w="690" w:type="dxa"/>
            <w:vAlign w:val="center"/>
          </w:tcPr>
          <w:p w14:paraId="2E0DAE6D">
            <w:pPr>
              <w:pStyle w:val="73"/>
              <w:keepNext w:val="0"/>
              <w:keepLines w:val="0"/>
              <w:suppressLineNumbers w:val="0"/>
              <w:shd w:val="clear" w:color="auto"/>
              <w:spacing w:line="360" w:lineRule="auto"/>
              <w:ind w:left="2" w:right="0"/>
              <w:jc w:val="both"/>
              <w:rPr>
                <w:rFonts w:hint="eastAsia" w:ascii="宋体" w:hAnsi="宋体" w:eastAsia="宋体" w:cs="宋体"/>
                <w:bCs/>
                <w:color w:val="auto"/>
                <w:highlight w:val="none"/>
              </w:rPr>
            </w:pPr>
            <w:r>
              <w:rPr>
                <w:rFonts w:hint="eastAsia" w:ascii="宋体" w:hAnsi="宋体" w:eastAsia="宋体" w:cs="宋体"/>
                <w:bCs/>
                <w:color w:val="auto"/>
                <w:highlight w:val="none"/>
              </w:rPr>
              <w:t>核准经营范围</w:t>
            </w:r>
          </w:p>
        </w:tc>
        <w:tc>
          <w:tcPr>
            <w:tcW w:w="7243" w:type="dxa"/>
            <w:gridSpan w:val="9"/>
            <w:vAlign w:val="center"/>
          </w:tcPr>
          <w:p w14:paraId="3768C91D">
            <w:pPr>
              <w:pStyle w:val="73"/>
              <w:keepNext w:val="0"/>
              <w:keepLines w:val="0"/>
              <w:suppressLineNumbers w:val="0"/>
              <w:shd w:val="clear" w:color="auto"/>
              <w:spacing w:line="360" w:lineRule="auto"/>
              <w:ind w:left="107" w:right="0"/>
              <w:jc w:val="both"/>
              <w:rPr>
                <w:rFonts w:hint="eastAsia" w:ascii="宋体" w:hAnsi="宋体" w:eastAsia="宋体" w:cs="宋体"/>
                <w:bCs/>
                <w:color w:val="auto"/>
                <w:highlight w:val="none"/>
              </w:rPr>
            </w:pPr>
          </w:p>
        </w:tc>
      </w:tr>
      <w:tr w14:paraId="0483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43AF221B">
            <w:pPr>
              <w:pStyle w:val="73"/>
              <w:keepNext w:val="0"/>
              <w:keepLines w:val="0"/>
              <w:suppressLineNumbers w:val="0"/>
              <w:shd w:val="clear" w:color="auto"/>
              <w:spacing w:line="360" w:lineRule="auto"/>
              <w:ind w:left="107" w:right="0"/>
              <w:jc w:val="both"/>
              <w:rPr>
                <w:rFonts w:hint="eastAsia" w:ascii="宋体" w:hAnsi="宋体" w:eastAsia="宋体" w:cs="宋体"/>
                <w:bCs/>
                <w:color w:val="auto"/>
                <w:highlight w:val="none"/>
              </w:rPr>
            </w:pPr>
          </w:p>
        </w:tc>
        <w:tc>
          <w:tcPr>
            <w:tcW w:w="7933" w:type="dxa"/>
            <w:gridSpan w:val="10"/>
            <w:vAlign w:val="center"/>
          </w:tcPr>
          <w:p w14:paraId="63BB33BC">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3"/>
                <w:highlight w:val="none"/>
              </w:rPr>
            </w:pPr>
            <w:r>
              <w:rPr>
                <w:rFonts w:hint="eastAsia" w:ascii="宋体" w:hAnsi="宋体" w:eastAsia="宋体" w:cs="宋体"/>
                <w:bCs/>
                <w:color w:val="auto"/>
                <w:spacing w:val="13"/>
                <w:highlight w:val="none"/>
              </w:rPr>
              <w:t>发展历程及主要荣誉：</w:t>
            </w:r>
          </w:p>
        </w:tc>
      </w:tr>
      <w:tr w14:paraId="4571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50F8282B">
            <w:pPr>
              <w:pStyle w:val="73"/>
              <w:keepNext w:val="0"/>
              <w:keepLines w:val="0"/>
              <w:suppressLineNumbers w:val="0"/>
              <w:shd w:val="clear" w:color="auto"/>
              <w:spacing w:line="360" w:lineRule="auto"/>
              <w:ind w:left="107" w:right="0"/>
              <w:jc w:val="both"/>
              <w:rPr>
                <w:rFonts w:hint="eastAsia" w:ascii="宋体" w:hAnsi="宋体" w:eastAsia="宋体" w:cs="宋体"/>
                <w:bCs/>
                <w:color w:val="auto"/>
                <w:highlight w:val="none"/>
              </w:rPr>
            </w:pPr>
            <w:r>
              <w:rPr>
                <w:rFonts w:hint="eastAsia" w:ascii="宋体" w:hAnsi="宋体" w:eastAsia="宋体" w:cs="宋体"/>
                <w:bCs/>
                <w:color w:val="auto"/>
                <w:highlight w:val="none"/>
              </w:rPr>
              <w:t>2．</w:t>
            </w:r>
          </w:p>
          <w:p w14:paraId="14D45C0D">
            <w:pPr>
              <w:pStyle w:val="73"/>
              <w:keepNext w:val="0"/>
              <w:keepLines w:val="0"/>
              <w:suppressLineNumbers w:val="0"/>
              <w:shd w:val="clear" w:color="auto"/>
              <w:spacing w:line="360" w:lineRule="auto"/>
              <w:ind w:left="107" w:right="0"/>
              <w:jc w:val="both"/>
              <w:rPr>
                <w:rFonts w:hint="eastAsia" w:ascii="宋体" w:hAnsi="宋体" w:eastAsia="宋体" w:cs="宋体"/>
                <w:bCs/>
                <w:color w:val="auto"/>
                <w:spacing w:val="16"/>
                <w:highlight w:val="none"/>
              </w:rPr>
            </w:pPr>
            <w:r>
              <w:rPr>
                <w:rFonts w:hint="eastAsia" w:ascii="宋体" w:hAnsi="宋体" w:eastAsia="宋体" w:cs="宋体"/>
                <w:bCs/>
                <w:color w:val="auto"/>
                <w:highlight w:val="none"/>
              </w:rPr>
              <w:t>企</w:t>
            </w:r>
            <w:r>
              <w:rPr>
                <w:rFonts w:hint="eastAsia" w:ascii="宋体" w:hAnsi="宋体" w:eastAsia="宋体" w:cs="宋体"/>
                <w:bCs/>
                <w:color w:val="auto"/>
                <w:spacing w:val="12"/>
                <w:highlight w:val="none"/>
              </w:rPr>
              <w:t>业有关资质获证情况</w:t>
            </w:r>
          </w:p>
        </w:tc>
        <w:tc>
          <w:tcPr>
            <w:tcW w:w="1355" w:type="dxa"/>
            <w:gridSpan w:val="2"/>
            <w:vMerge w:val="restart"/>
            <w:vAlign w:val="center"/>
          </w:tcPr>
          <w:p w14:paraId="1DB52020">
            <w:pPr>
              <w:pStyle w:val="73"/>
              <w:keepNext w:val="0"/>
              <w:keepLines w:val="0"/>
              <w:suppressLineNumbers w:val="0"/>
              <w:shd w:val="clear" w:color="auto"/>
              <w:spacing w:before="0" w:beforeAutospacing="0" w:after="0" w:afterAutospacing="0" w:line="360" w:lineRule="auto"/>
              <w:ind w:left="0" w:right="0"/>
              <w:jc w:val="both"/>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产品生产许可证情况</w:t>
            </w:r>
            <w:r>
              <w:rPr>
                <w:rFonts w:hint="eastAsia" w:ascii="宋体" w:hAnsi="宋体" w:eastAsia="宋体" w:cs="宋体"/>
                <w:bCs/>
                <w:color w:val="auto"/>
                <w:spacing w:val="41"/>
                <w:highlight w:val="none"/>
              </w:rPr>
              <w:t>（对需获得生产许可证的</w:t>
            </w:r>
            <w:r>
              <w:rPr>
                <w:rFonts w:hint="eastAsia" w:ascii="宋体" w:hAnsi="宋体" w:eastAsia="宋体" w:cs="宋体"/>
                <w:bCs/>
                <w:color w:val="auto"/>
                <w:spacing w:val="11"/>
                <w:highlight w:val="none"/>
              </w:rPr>
              <w:t>产品要填写此栏）</w:t>
            </w:r>
          </w:p>
        </w:tc>
        <w:tc>
          <w:tcPr>
            <w:tcW w:w="1333" w:type="dxa"/>
            <w:gridSpan w:val="3"/>
            <w:vAlign w:val="center"/>
          </w:tcPr>
          <w:p w14:paraId="6C1DB1E0">
            <w:pPr>
              <w:pStyle w:val="73"/>
              <w:keepNext w:val="0"/>
              <w:keepLines w:val="0"/>
              <w:suppressLineNumbers w:val="0"/>
              <w:shd w:val="clear" w:color="auto"/>
              <w:spacing w:line="360" w:lineRule="auto"/>
              <w:ind w:left="0" w:right="-78" w:rightChars="-37"/>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产品名称</w:t>
            </w:r>
          </w:p>
        </w:tc>
        <w:tc>
          <w:tcPr>
            <w:tcW w:w="1077" w:type="dxa"/>
            <w:vAlign w:val="center"/>
          </w:tcPr>
          <w:p w14:paraId="7F91E2C2">
            <w:pPr>
              <w:pStyle w:val="73"/>
              <w:keepNext w:val="0"/>
              <w:keepLines w:val="0"/>
              <w:suppressLineNumbers w:val="0"/>
              <w:shd w:val="clear" w:color="auto"/>
              <w:spacing w:before="0" w:beforeAutospacing="0" w:after="0" w:afterAutospacing="0" w:line="360" w:lineRule="auto"/>
              <w:ind w:left="0" w:right="0"/>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发证机关</w:t>
            </w:r>
          </w:p>
        </w:tc>
        <w:tc>
          <w:tcPr>
            <w:tcW w:w="1617" w:type="dxa"/>
            <w:gridSpan w:val="2"/>
            <w:vAlign w:val="center"/>
          </w:tcPr>
          <w:p w14:paraId="747B7EBE">
            <w:pPr>
              <w:pStyle w:val="73"/>
              <w:keepNext w:val="0"/>
              <w:keepLines w:val="0"/>
              <w:suppressLineNumbers w:val="0"/>
              <w:shd w:val="clear" w:color="auto"/>
              <w:spacing w:line="360" w:lineRule="auto"/>
              <w:ind w:left="0" w:right="0"/>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编号</w:t>
            </w:r>
          </w:p>
        </w:tc>
        <w:tc>
          <w:tcPr>
            <w:tcW w:w="1618" w:type="dxa"/>
            <w:vAlign w:val="center"/>
          </w:tcPr>
          <w:p w14:paraId="47DC1AA4">
            <w:pPr>
              <w:pStyle w:val="73"/>
              <w:keepNext w:val="0"/>
              <w:keepLines w:val="0"/>
              <w:suppressLineNumbers w:val="0"/>
              <w:shd w:val="clear" w:color="auto"/>
              <w:spacing w:line="360" w:lineRule="auto"/>
              <w:ind w:left="0" w:right="0"/>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发证时间</w:t>
            </w:r>
          </w:p>
        </w:tc>
        <w:tc>
          <w:tcPr>
            <w:tcW w:w="933" w:type="dxa"/>
            <w:vAlign w:val="center"/>
          </w:tcPr>
          <w:p w14:paraId="6FDF343A">
            <w:pPr>
              <w:pStyle w:val="73"/>
              <w:keepNext w:val="0"/>
              <w:keepLines w:val="0"/>
              <w:suppressLineNumbers w:val="0"/>
              <w:shd w:val="clear" w:color="auto"/>
              <w:spacing w:before="0" w:beforeAutospacing="0" w:after="0" w:afterAutospacing="0" w:line="360" w:lineRule="auto"/>
              <w:ind w:left="0" w:right="0"/>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期限</w:t>
            </w:r>
          </w:p>
        </w:tc>
      </w:tr>
      <w:tr w14:paraId="38E3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2880F8F6">
            <w:pPr>
              <w:pStyle w:val="73"/>
              <w:keepNext w:val="0"/>
              <w:keepLines w:val="0"/>
              <w:suppressLineNumbers w:val="0"/>
              <w:shd w:val="clear" w:color="auto"/>
              <w:spacing w:line="360" w:lineRule="auto"/>
              <w:ind w:left="107" w:right="0"/>
              <w:jc w:val="both"/>
              <w:rPr>
                <w:rFonts w:hint="eastAsia" w:ascii="宋体" w:hAnsi="宋体" w:eastAsia="宋体" w:cs="宋体"/>
                <w:bCs/>
                <w:color w:val="auto"/>
                <w:highlight w:val="none"/>
              </w:rPr>
            </w:pPr>
          </w:p>
        </w:tc>
        <w:tc>
          <w:tcPr>
            <w:tcW w:w="1355" w:type="dxa"/>
            <w:gridSpan w:val="2"/>
            <w:vMerge w:val="continue"/>
            <w:vAlign w:val="center"/>
          </w:tcPr>
          <w:p w14:paraId="2B888C56">
            <w:pPr>
              <w:pStyle w:val="73"/>
              <w:keepNext w:val="0"/>
              <w:keepLines w:val="0"/>
              <w:suppressLineNumbers w:val="0"/>
              <w:shd w:val="clear" w:color="auto"/>
              <w:spacing w:line="360" w:lineRule="auto"/>
              <w:ind w:left="0" w:right="0"/>
              <w:jc w:val="both"/>
              <w:rPr>
                <w:rFonts w:hint="eastAsia" w:ascii="宋体" w:hAnsi="宋体" w:eastAsia="宋体" w:cs="宋体"/>
                <w:bCs/>
                <w:color w:val="auto"/>
                <w:highlight w:val="none"/>
              </w:rPr>
            </w:pPr>
          </w:p>
        </w:tc>
        <w:tc>
          <w:tcPr>
            <w:tcW w:w="1333" w:type="dxa"/>
            <w:gridSpan w:val="3"/>
            <w:vAlign w:val="center"/>
          </w:tcPr>
          <w:p w14:paraId="1A722BBD">
            <w:pPr>
              <w:pStyle w:val="73"/>
              <w:keepNext w:val="0"/>
              <w:keepLines w:val="0"/>
              <w:suppressLineNumbers w:val="0"/>
              <w:shd w:val="clear" w:color="auto"/>
              <w:spacing w:line="360" w:lineRule="auto"/>
              <w:ind w:left="0" w:right="0"/>
              <w:jc w:val="both"/>
              <w:rPr>
                <w:rFonts w:hint="eastAsia" w:ascii="宋体" w:hAnsi="宋体" w:eastAsia="宋体" w:cs="宋体"/>
                <w:bCs/>
                <w:color w:val="auto"/>
                <w:highlight w:val="none"/>
              </w:rPr>
            </w:pPr>
          </w:p>
        </w:tc>
        <w:tc>
          <w:tcPr>
            <w:tcW w:w="1077" w:type="dxa"/>
            <w:vAlign w:val="center"/>
          </w:tcPr>
          <w:p w14:paraId="555CE7E9">
            <w:pPr>
              <w:pStyle w:val="73"/>
              <w:keepNext w:val="0"/>
              <w:keepLines w:val="0"/>
              <w:suppressLineNumbers w:val="0"/>
              <w:shd w:val="clear" w:color="auto"/>
              <w:spacing w:line="360" w:lineRule="auto"/>
              <w:ind w:left="0" w:right="0"/>
              <w:jc w:val="both"/>
              <w:rPr>
                <w:rFonts w:hint="eastAsia" w:ascii="宋体" w:hAnsi="宋体" w:eastAsia="宋体" w:cs="宋体"/>
                <w:bCs/>
                <w:color w:val="auto"/>
                <w:highlight w:val="none"/>
              </w:rPr>
            </w:pPr>
          </w:p>
        </w:tc>
        <w:tc>
          <w:tcPr>
            <w:tcW w:w="1617" w:type="dxa"/>
            <w:gridSpan w:val="2"/>
            <w:vAlign w:val="center"/>
          </w:tcPr>
          <w:p w14:paraId="33C9C7A6">
            <w:pPr>
              <w:pStyle w:val="73"/>
              <w:keepNext w:val="0"/>
              <w:keepLines w:val="0"/>
              <w:suppressLineNumbers w:val="0"/>
              <w:shd w:val="clear" w:color="auto"/>
              <w:spacing w:line="360" w:lineRule="auto"/>
              <w:ind w:left="0" w:right="0"/>
              <w:jc w:val="both"/>
              <w:rPr>
                <w:rFonts w:hint="eastAsia" w:ascii="宋体" w:hAnsi="宋体" w:eastAsia="宋体" w:cs="宋体"/>
                <w:bCs/>
                <w:color w:val="auto"/>
                <w:highlight w:val="none"/>
              </w:rPr>
            </w:pPr>
          </w:p>
        </w:tc>
        <w:tc>
          <w:tcPr>
            <w:tcW w:w="2551" w:type="dxa"/>
            <w:gridSpan w:val="2"/>
            <w:vAlign w:val="center"/>
          </w:tcPr>
          <w:p w14:paraId="709ECB49">
            <w:pPr>
              <w:pStyle w:val="73"/>
              <w:keepNext w:val="0"/>
              <w:keepLines w:val="0"/>
              <w:suppressLineNumbers w:val="0"/>
              <w:shd w:val="clear" w:color="auto"/>
              <w:spacing w:line="360" w:lineRule="auto"/>
              <w:ind w:left="0" w:right="0"/>
              <w:jc w:val="both"/>
              <w:rPr>
                <w:rFonts w:hint="eastAsia" w:ascii="宋体" w:hAnsi="宋体" w:eastAsia="宋体" w:cs="宋体"/>
                <w:bCs/>
                <w:color w:val="auto"/>
                <w:highlight w:val="none"/>
              </w:rPr>
            </w:pPr>
          </w:p>
        </w:tc>
      </w:tr>
      <w:tr w14:paraId="0AAD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724FCB14">
            <w:pPr>
              <w:pStyle w:val="73"/>
              <w:keepNext w:val="0"/>
              <w:keepLines w:val="0"/>
              <w:suppressLineNumbers w:val="0"/>
              <w:shd w:val="clear" w:color="auto"/>
              <w:spacing w:line="360" w:lineRule="auto"/>
              <w:ind w:left="107" w:right="0"/>
              <w:jc w:val="both"/>
              <w:rPr>
                <w:rFonts w:hint="eastAsia" w:ascii="宋体" w:hAnsi="宋体" w:eastAsia="宋体" w:cs="宋体"/>
                <w:bCs/>
                <w:color w:val="auto"/>
                <w:spacing w:val="16"/>
                <w:highlight w:val="none"/>
              </w:rPr>
            </w:pPr>
          </w:p>
        </w:tc>
        <w:tc>
          <w:tcPr>
            <w:tcW w:w="1355" w:type="dxa"/>
            <w:gridSpan w:val="2"/>
            <w:vAlign w:val="center"/>
          </w:tcPr>
          <w:p w14:paraId="238AA6A2">
            <w:pPr>
              <w:pStyle w:val="73"/>
              <w:keepNext w:val="0"/>
              <w:keepLines w:val="0"/>
              <w:suppressLineNumbers w:val="0"/>
              <w:shd w:val="clear" w:color="auto"/>
              <w:spacing w:before="0" w:beforeAutospacing="0" w:after="0" w:afterAutospacing="0" w:line="360" w:lineRule="auto"/>
              <w:ind w:left="0" w:right="-107" w:rightChars="-51"/>
              <w:jc w:val="both"/>
              <w:rPr>
                <w:rFonts w:hint="eastAsia" w:ascii="宋体" w:hAnsi="宋体" w:eastAsia="宋体" w:cs="宋体"/>
                <w:bCs/>
                <w:color w:val="auto"/>
                <w:spacing w:val="41"/>
                <w:highlight w:val="none"/>
              </w:rPr>
            </w:pPr>
            <w:r>
              <w:rPr>
                <w:rFonts w:hint="eastAsia" w:ascii="宋体" w:hAnsi="宋体" w:eastAsia="宋体" w:cs="宋体"/>
                <w:bCs/>
                <w:color w:val="auto"/>
                <w:spacing w:val="41"/>
                <w:highlight w:val="none"/>
              </w:rPr>
              <w:t>企业通过质量体系、环保</w:t>
            </w:r>
            <w:r>
              <w:rPr>
                <w:rFonts w:hint="eastAsia" w:ascii="宋体" w:hAnsi="宋体" w:eastAsia="宋体" w:cs="宋体"/>
                <w:bCs/>
                <w:color w:val="auto"/>
                <w:spacing w:val="11"/>
                <w:highlight w:val="none"/>
              </w:rPr>
              <w:t>体系、计量等认证情况</w:t>
            </w:r>
          </w:p>
        </w:tc>
        <w:tc>
          <w:tcPr>
            <w:tcW w:w="6578" w:type="dxa"/>
            <w:gridSpan w:val="8"/>
            <w:vAlign w:val="center"/>
          </w:tcPr>
          <w:p w14:paraId="1949A114">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p>
        </w:tc>
      </w:tr>
      <w:tr w14:paraId="63A6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02157664">
            <w:pPr>
              <w:pStyle w:val="73"/>
              <w:keepNext w:val="0"/>
              <w:keepLines w:val="0"/>
              <w:suppressLineNumbers w:val="0"/>
              <w:shd w:val="clear" w:color="auto"/>
              <w:spacing w:line="360" w:lineRule="auto"/>
              <w:ind w:left="107" w:right="0"/>
              <w:jc w:val="both"/>
              <w:rPr>
                <w:rFonts w:hint="eastAsia" w:ascii="宋体" w:hAnsi="宋体" w:eastAsia="宋体" w:cs="宋体"/>
                <w:bCs/>
                <w:color w:val="auto"/>
                <w:spacing w:val="27"/>
                <w:highlight w:val="none"/>
              </w:rPr>
            </w:pPr>
          </w:p>
        </w:tc>
        <w:tc>
          <w:tcPr>
            <w:tcW w:w="1355" w:type="dxa"/>
            <w:gridSpan w:val="2"/>
            <w:vAlign w:val="center"/>
          </w:tcPr>
          <w:p w14:paraId="765DB25B">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r>
              <w:rPr>
                <w:rFonts w:hint="eastAsia" w:ascii="宋体" w:hAnsi="宋体" w:eastAsia="宋体" w:cs="宋体"/>
                <w:bCs/>
                <w:color w:val="auto"/>
                <w:spacing w:val="10"/>
                <w:highlight w:val="none"/>
              </w:rPr>
              <w:t>企业获得专利情况</w:t>
            </w:r>
          </w:p>
        </w:tc>
        <w:tc>
          <w:tcPr>
            <w:tcW w:w="6578" w:type="dxa"/>
            <w:gridSpan w:val="8"/>
            <w:vAlign w:val="center"/>
          </w:tcPr>
          <w:p w14:paraId="0568D3CB">
            <w:pPr>
              <w:pStyle w:val="73"/>
              <w:keepNext w:val="0"/>
              <w:keepLines w:val="0"/>
              <w:suppressLineNumbers w:val="0"/>
              <w:shd w:val="clear" w:color="auto"/>
              <w:spacing w:line="360" w:lineRule="auto"/>
              <w:ind w:left="0" w:right="0"/>
              <w:jc w:val="both"/>
              <w:rPr>
                <w:rFonts w:hint="eastAsia" w:ascii="宋体" w:hAnsi="宋体" w:eastAsia="宋体" w:cs="宋体"/>
                <w:bCs/>
                <w:color w:val="auto"/>
                <w:spacing w:val="16"/>
                <w:highlight w:val="none"/>
              </w:rPr>
            </w:pPr>
          </w:p>
        </w:tc>
      </w:tr>
    </w:tbl>
    <w:p w14:paraId="5D84CBEA">
      <w:pPr>
        <w:shd w:val="clear"/>
        <w:spacing w:line="360" w:lineRule="auto"/>
        <w:rPr>
          <w:rFonts w:hint="eastAsia" w:ascii="宋体" w:hAnsi="宋体" w:eastAsia="宋体" w:cs="宋体"/>
          <w:color w:val="auto"/>
          <w:sz w:val="24"/>
          <w:szCs w:val="32"/>
          <w:highlight w:val="none"/>
        </w:rPr>
      </w:pPr>
    </w:p>
    <w:p w14:paraId="5ECB34F3">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14:paraId="514DCD96">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1.姓名栏必须将所有股东都统计在内，若非股份公司此行（第三行）无需填写；</w:t>
      </w:r>
    </w:p>
    <w:p w14:paraId="3355B49E">
      <w:pPr>
        <w:shd w:val="clear"/>
        <w:spacing w:line="360" w:lineRule="auto"/>
        <w:rPr>
          <w:rFonts w:hint="eastAsia" w:ascii="宋体" w:hAnsi="宋体" w:eastAsia="宋体" w:cs="宋体"/>
          <w:color w:val="auto"/>
          <w:sz w:val="24"/>
          <w:szCs w:val="32"/>
          <w:highlight w:val="none"/>
        </w:rPr>
      </w:pPr>
    </w:p>
    <w:p w14:paraId="5249E0CD">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1DC1D42C">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704E3436">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64319770">
      <w:pPr>
        <w:shd w:val="clear"/>
        <w:spacing w:line="360" w:lineRule="auto"/>
        <w:rPr>
          <w:rFonts w:hint="eastAsia" w:ascii="宋体" w:hAnsi="宋体" w:eastAsia="宋体" w:cs="宋体"/>
          <w:color w:val="auto"/>
          <w:sz w:val="24"/>
          <w:szCs w:val="32"/>
          <w:highlight w:val="none"/>
        </w:rPr>
      </w:pPr>
    </w:p>
    <w:p w14:paraId="120E6E6E">
      <w:pPr>
        <w:shd w:val="clear"/>
        <w:spacing w:line="360" w:lineRule="auto"/>
        <w:rPr>
          <w:rFonts w:hint="eastAsia" w:ascii="宋体" w:hAnsi="宋体" w:eastAsia="宋体" w:cs="宋体"/>
          <w:color w:val="auto"/>
          <w:sz w:val="24"/>
          <w:szCs w:val="32"/>
          <w:highlight w:val="none"/>
        </w:rPr>
      </w:pPr>
    </w:p>
    <w:p w14:paraId="0098EBAD">
      <w:pPr>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14:paraId="34E119DB">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10</w:t>
      </w:r>
    </w:p>
    <w:p w14:paraId="606B93E9">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项目实施人员一览表</w:t>
      </w:r>
    </w:p>
    <w:p w14:paraId="1642715F">
      <w:pPr>
        <w:shd w:val="clear"/>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（主要从业人员及其技术资格）</w:t>
      </w:r>
    </w:p>
    <w:tbl>
      <w:tblPr>
        <w:tblStyle w:val="3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26B33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00200EB1">
            <w:pPr>
              <w:keepNext w:val="0"/>
              <w:keepLines w:val="0"/>
              <w:suppressLineNumbers w:val="0"/>
              <w:shd w:val="clear"/>
              <w:snapToGrid w:val="0"/>
              <w:spacing w:before="156" w:beforeLines="50" w:beforeAutospacing="0" w:after="5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25F70ECC">
            <w:pPr>
              <w:keepNext w:val="0"/>
              <w:keepLines w:val="0"/>
              <w:suppressLineNumbers w:val="0"/>
              <w:shd w:val="clear"/>
              <w:snapToGrid w:val="0"/>
              <w:spacing w:before="156" w:beforeLines="50" w:beforeAutospacing="0" w:after="5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4B66CFD">
            <w:pPr>
              <w:keepNext w:val="0"/>
              <w:keepLines w:val="0"/>
              <w:suppressLineNumbers w:val="0"/>
              <w:shd w:val="clear"/>
              <w:snapToGrid w:val="0"/>
              <w:spacing w:before="156" w:beforeLines="50" w:beforeAutospacing="0" w:after="5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94664C1">
            <w:pPr>
              <w:keepNext w:val="0"/>
              <w:keepLines w:val="0"/>
              <w:suppressLineNumbers w:val="0"/>
              <w:shd w:val="clear"/>
              <w:snapToGrid w:val="0"/>
              <w:spacing w:before="156" w:beforeLines="50" w:beforeAutospacing="0" w:after="5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397827F8">
            <w:pPr>
              <w:keepNext w:val="0"/>
              <w:keepLines w:val="0"/>
              <w:suppressLineNumbers w:val="0"/>
              <w:shd w:val="clear"/>
              <w:snapToGrid w:val="0"/>
              <w:spacing w:before="156" w:beforeLines="50" w:beforeAutospacing="0" w:after="5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1A573D14">
            <w:pPr>
              <w:keepNext w:val="0"/>
              <w:keepLines w:val="0"/>
              <w:suppressLineNumbers w:val="0"/>
              <w:shd w:val="clear"/>
              <w:snapToGrid w:val="0"/>
              <w:spacing w:before="156" w:beforeLines="50" w:beforeAutospacing="0" w:after="5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67AF07D3">
            <w:pPr>
              <w:keepNext w:val="0"/>
              <w:keepLines w:val="0"/>
              <w:suppressLineNumbers w:val="0"/>
              <w:shd w:val="clear"/>
              <w:snapToGrid w:val="0"/>
              <w:spacing w:before="156" w:beforeLines="50" w:beforeAutospacing="0" w:after="50" w:afterAutospacing="0" w:line="360" w:lineRule="auto"/>
              <w:ind w:left="0" w:right="0"/>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469DE97A">
            <w:pPr>
              <w:keepNext w:val="0"/>
              <w:keepLines w:val="0"/>
              <w:suppressLineNumbers w:val="0"/>
              <w:shd w:val="clear"/>
              <w:snapToGrid w:val="0"/>
              <w:spacing w:before="156" w:beforeLines="50" w:beforeAutospacing="0" w:after="50" w:afterAutospacing="0" w:line="360" w:lineRule="auto"/>
              <w:ind w:left="0" w:right="0"/>
              <w:jc w:val="center"/>
              <w:rPr>
                <w:rFonts w:hint="eastAsia" w:ascii="宋体" w:hAnsi="宋体" w:eastAsia="宋体" w:cs="宋体"/>
                <w:b/>
                <w:bCs/>
                <w:color w:val="auto"/>
                <w:sz w:val="24"/>
                <w:szCs w:val="20"/>
                <w:highlight w:val="none"/>
              </w:rPr>
            </w:pPr>
            <w:r>
              <w:rPr>
                <w:rFonts w:hint="eastAsia" w:ascii="宋体" w:hAnsi="宋体" w:eastAsia="宋体" w:cs="宋体"/>
                <w:b/>
                <w:color w:val="auto"/>
                <w:sz w:val="24"/>
                <w:highlight w:val="none"/>
              </w:rPr>
              <w:t>劳动合同编号</w:t>
            </w:r>
          </w:p>
        </w:tc>
      </w:tr>
      <w:tr w14:paraId="415D4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ACFC038">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CB9AA8A">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DFC4C1F">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A9E0F8B">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F06D4A0">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150FDC2">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13E2084">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19B857D">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r>
      <w:tr w14:paraId="0A366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E9E918F">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C738B47">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19A3E38">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AF5F4B7">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64B2B8C">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D211F7F">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F7856FA">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4D5E977">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r>
      <w:tr w14:paraId="44A0D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94FF80E">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A65FD9A">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0BB43C8">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2811157">
            <w:pPr>
              <w:pStyle w:val="22"/>
              <w:keepNext w:val="0"/>
              <w:keepLines w:val="0"/>
              <w:suppressLineNumbers w:val="0"/>
              <w:shd w:val="clear"/>
              <w:snapToGrid w:val="0"/>
              <w:spacing w:before="156" w:beforeLines="50" w:beforeAutospacing="0" w:after="50" w:afterAutospacing="0" w:line="360" w:lineRule="auto"/>
              <w:ind w:left="5250" w:right="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69EBB85">
            <w:pPr>
              <w:pStyle w:val="22"/>
              <w:keepNext w:val="0"/>
              <w:keepLines w:val="0"/>
              <w:suppressLineNumbers w:val="0"/>
              <w:shd w:val="clear"/>
              <w:snapToGrid w:val="0"/>
              <w:spacing w:before="156" w:beforeLines="50" w:beforeAutospacing="0" w:after="50" w:afterAutospacing="0" w:line="360" w:lineRule="auto"/>
              <w:ind w:left="5250" w:right="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4B00D6A">
            <w:pPr>
              <w:pStyle w:val="22"/>
              <w:keepNext w:val="0"/>
              <w:keepLines w:val="0"/>
              <w:suppressLineNumbers w:val="0"/>
              <w:shd w:val="clear"/>
              <w:spacing w:before="0" w:beforeAutospacing="0" w:after="0" w:afterAutospacing="0" w:line="360" w:lineRule="auto"/>
              <w:ind w:left="5250" w:right="0"/>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65A108E">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C8F5F7B">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r>
      <w:tr w14:paraId="50E3D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E2F3307">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F464CF8">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B0CB93C">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6778A5E">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045B6FE">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0B4FAFB">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00D5EF9">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1E852AE">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r>
      <w:tr w14:paraId="06ED6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930DA2A">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8548C0D">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55D70A5">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D0E97E5">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95B9A12">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BE853C6">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8BB858A">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0E650C4">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r>
      <w:tr w14:paraId="184B9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2C3FB37">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38DA73F">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47829DD">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CF4DAF5">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E42A8E0">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9DE28D4">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9CEEC34">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2AB94F5">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r>
      <w:tr w14:paraId="60B46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2DDDEC7">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CC29CD9">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E397F9B">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233BE3A2">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A7B8F28">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5DE9F0C">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ECBE3F6">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4BB6AC4">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r>
      <w:tr w14:paraId="26018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53C73B1">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D075A2A">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29F1EA1">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BB2C21A">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8E033CB">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2E88D5F">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D560FC7">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90487CD">
            <w:pPr>
              <w:keepNext w:val="0"/>
              <w:keepLines w:val="0"/>
              <w:suppressLineNumbers w:val="0"/>
              <w:shd w:val="clear"/>
              <w:snapToGrid w:val="0"/>
              <w:spacing w:before="156" w:beforeLines="50" w:beforeAutospacing="0" w:after="50" w:afterAutospacing="0" w:line="360" w:lineRule="auto"/>
              <w:ind w:left="0" w:right="0"/>
              <w:rPr>
                <w:rFonts w:hint="eastAsia" w:ascii="宋体" w:hAnsi="宋体" w:eastAsia="宋体" w:cs="宋体"/>
                <w:b/>
                <w:color w:val="auto"/>
                <w:kern w:val="44"/>
                <w:sz w:val="24"/>
                <w:szCs w:val="20"/>
                <w:highlight w:val="none"/>
              </w:rPr>
            </w:pPr>
          </w:p>
        </w:tc>
      </w:tr>
    </w:tbl>
    <w:p w14:paraId="6164008F">
      <w:pPr>
        <w:shd w:val="clea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14:paraId="4B165A82">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1.在填写时，如本表格不适合投标单位的实际情况，可根据本表格式自行划表填写。</w:t>
      </w:r>
    </w:p>
    <w:p w14:paraId="2A72C9DF">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2.附人员证书复印件；</w:t>
      </w:r>
    </w:p>
    <w:p w14:paraId="4C31A4D7">
      <w:pPr>
        <w:shd w:val="clea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3.出具上述人员在本单位服务的外部证明。</w:t>
      </w:r>
    </w:p>
    <w:p w14:paraId="3746F03E">
      <w:pPr>
        <w:shd w:val="clear"/>
        <w:spacing w:line="360" w:lineRule="auto"/>
        <w:rPr>
          <w:rFonts w:hint="eastAsia" w:ascii="宋体" w:hAnsi="宋体" w:eastAsia="宋体" w:cs="宋体"/>
          <w:color w:val="auto"/>
          <w:sz w:val="24"/>
          <w:szCs w:val="32"/>
          <w:highlight w:val="none"/>
        </w:rPr>
      </w:pPr>
    </w:p>
    <w:p w14:paraId="17D6A4EB">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42406726">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6F4C5A1A">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4D4C1D0D">
      <w:pPr>
        <w:widowControl/>
        <w:shd w:val="clear"/>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6A53B675">
      <w:pPr>
        <w:shd w:val="clear"/>
        <w:spacing w:line="480" w:lineRule="exac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附件11</w:t>
      </w:r>
    </w:p>
    <w:p w14:paraId="46E12401">
      <w:pPr>
        <w:shd w:val="clear"/>
        <w:spacing w:before="156" w:beforeLines="50" w:after="156" w:afterLines="50" w:line="480" w:lineRule="exact"/>
        <w:ind w:right="-1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项目负责人资格情况表</w:t>
      </w:r>
    </w:p>
    <w:p w14:paraId="52E1B493">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采购项目：                                        </w:t>
      </w:r>
      <w:r>
        <w:rPr>
          <w:rFonts w:hint="eastAsia" w:ascii="宋体" w:hAnsi="宋体" w:eastAsia="宋体" w:cs="宋体"/>
          <w:color w:val="auto"/>
          <w:sz w:val="24"/>
          <w:szCs w:val="32"/>
          <w:highlight w:val="none"/>
          <w:lang w:val="en-US" w:eastAsia="zh-CN"/>
        </w:rPr>
        <w:t>项目</w:t>
      </w:r>
      <w:r>
        <w:rPr>
          <w:rFonts w:hint="eastAsia" w:ascii="宋体" w:hAnsi="宋体" w:eastAsia="宋体" w:cs="宋体"/>
          <w:color w:val="auto"/>
          <w:sz w:val="24"/>
          <w:szCs w:val="32"/>
          <w:highlight w:val="none"/>
        </w:rPr>
        <w:t>编号：</w:t>
      </w:r>
    </w:p>
    <w:tbl>
      <w:tblPr>
        <w:tblStyle w:val="33"/>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DB2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5E586AA4">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620B976">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6D3BD0C8">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近年来主要工作业绩</w:t>
            </w:r>
          </w:p>
        </w:tc>
      </w:tr>
      <w:tr w14:paraId="46FA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0DCAE1E">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57EC4875">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26D97E49">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注：业绩证明应提供旁证材料</w:t>
            </w:r>
          </w:p>
          <w:p w14:paraId="4B62849D">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（供货合同或中标通知书）。</w:t>
            </w:r>
          </w:p>
        </w:tc>
      </w:tr>
      <w:tr w14:paraId="75C5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5480A68">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6C8A4C1A">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C6EDA67">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p>
        </w:tc>
      </w:tr>
      <w:tr w14:paraId="481F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FE008F2">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107790E8">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082ACA5">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p>
        </w:tc>
      </w:tr>
      <w:tr w14:paraId="4671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E45E756">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262D3378">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5CFC19A">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p>
        </w:tc>
      </w:tr>
      <w:tr w14:paraId="71F5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07542046">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4422808A">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AAE6659">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p>
        </w:tc>
      </w:tr>
      <w:tr w14:paraId="6B15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D188011">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55FC989B">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6E1D14E">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p>
        </w:tc>
      </w:tr>
      <w:tr w14:paraId="485C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A411D61">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745E83CA">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5CAA9FB">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p>
        </w:tc>
      </w:tr>
      <w:tr w14:paraId="333E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7422CB8A">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3116DCDD">
            <w:pPr>
              <w:keepNext w:val="0"/>
              <w:keepLines w:val="0"/>
              <w:suppressLineNumbers w:val="0"/>
              <w:shd w:val="clear"/>
              <w:spacing w:before="0" w:beforeAutospacing="0" w:after="0" w:afterAutospacing="0"/>
              <w:ind w:left="0" w:right="0"/>
              <w:jc w:val="center"/>
              <w:rPr>
                <w:rFonts w:hint="eastAsia" w:ascii="宋体" w:hAnsi="宋体" w:eastAsia="宋体" w:cs="宋体"/>
                <w:b/>
                <w:bCs/>
                <w:color w:val="auto"/>
                <w:sz w:val="24"/>
                <w:highlight w:val="none"/>
                <w:lang w:val="zh-CN"/>
              </w:rPr>
            </w:pPr>
          </w:p>
        </w:tc>
      </w:tr>
    </w:tbl>
    <w:p w14:paraId="2CA9CF9B">
      <w:pPr>
        <w:shd w:val="clear"/>
        <w:spacing w:line="360" w:lineRule="auto"/>
        <w:rPr>
          <w:rFonts w:hint="eastAsia" w:ascii="宋体" w:hAnsi="宋体" w:eastAsia="宋体" w:cs="宋体"/>
          <w:color w:val="auto"/>
          <w:sz w:val="24"/>
          <w:highlight w:val="none"/>
        </w:rPr>
      </w:pPr>
    </w:p>
    <w:p w14:paraId="6CE95C90">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795839ED">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4EEA2DD0">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4901BC3F">
      <w:pPr>
        <w:shd w:val="clear"/>
        <w:spacing w:line="360" w:lineRule="auto"/>
        <w:rPr>
          <w:rFonts w:hint="eastAsia" w:ascii="宋体" w:hAnsi="宋体" w:eastAsia="宋体" w:cs="宋体"/>
          <w:color w:val="auto"/>
          <w:sz w:val="24"/>
          <w:szCs w:val="32"/>
          <w:highlight w:val="none"/>
        </w:rPr>
      </w:pPr>
    </w:p>
    <w:p w14:paraId="718BBBCF">
      <w:pPr>
        <w:shd w:val="clear"/>
        <w:spacing w:line="360" w:lineRule="auto"/>
        <w:rPr>
          <w:rFonts w:hint="eastAsia" w:ascii="宋体" w:hAnsi="宋体" w:eastAsia="宋体" w:cs="宋体"/>
          <w:color w:val="auto"/>
          <w:sz w:val="24"/>
          <w:szCs w:val="32"/>
          <w:highlight w:val="none"/>
        </w:rPr>
      </w:pPr>
    </w:p>
    <w:p w14:paraId="279CA0B2">
      <w:pPr>
        <w:shd w:val="clear"/>
        <w:spacing w:line="360" w:lineRule="auto"/>
        <w:rPr>
          <w:rFonts w:hint="eastAsia" w:ascii="宋体" w:hAnsi="宋体" w:eastAsia="宋体" w:cs="宋体"/>
          <w:color w:val="auto"/>
          <w:sz w:val="24"/>
          <w:szCs w:val="32"/>
          <w:highlight w:val="none"/>
        </w:rPr>
      </w:pPr>
    </w:p>
    <w:p w14:paraId="7770CBF0">
      <w:pPr>
        <w:widowControl/>
        <w:shd w:val="clear"/>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14:paraId="4E494EBA">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12</w:t>
      </w:r>
    </w:p>
    <w:p w14:paraId="7AD45338">
      <w:pPr>
        <w:shd w:val="clear"/>
        <w:spacing w:line="480" w:lineRule="exact"/>
        <w:jc w:val="center"/>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配置</w:t>
      </w:r>
      <w:r>
        <w:rPr>
          <w:rFonts w:hint="eastAsia" w:ascii="宋体" w:hAnsi="宋体" w:eastAsia="宋体" w:cs="宋体"/>
          <w:b/>
          <w:bCs/>
          <w:color w:val="auto"/>
          <w:sz w:val="32"/>
          <w:szCs w:val="40"/>
          <w:highlight w:val="none"/>
          <w:lang w:val="zh-CN"/>
        </w:rPr>
        <w:t>清单（</w:t>
      </w:r>
      <w:r>
        <w:rPr>
          <w:rFonts w:hint="eastAsia" w:ascii="宋体" w:hAnsi="宋体" w:eastAsia="宋体" w:cs="宋体"/>
          <w:b/>
          <w:bCs/>
          <w:color w:val="auto"/>
          <w:sz w:val="32"/>
          <w:szCs w:val="40"/>
          <w:highlight w:val="none"/>
          <w:lang w:val="en-US" w:eastAsia="zh-CN"/>
        </w:rPr>
        <w:t>如有）</w:t>
      </w:r>
    </w:p>
    <w:p w14:paraId="28A45905">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33"/>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14:paraId="2FCD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5AD89DC">
            <w:pPr>
              <w:keepNext w:val="0"/>
              <w:keepLines w:val="0"/>
              <w:suppressLineNumbers w:val="0"/>
              <w:shd w:val="clear"/>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169" w:type="dxa"/>
            <w:vAlign w:val="center"/>
          </w:tcPr>
          <w:p w14:paraId="0E233DA1">
            <w:pPr>
              <w:keepNext w:val="0"/>
              <w:keepLines w:val="0"/>
              <w:suppressLineNumbers w:val="0"/>
              <w:shd w:val="clear"/>
              <w:tabs>
                <w:tab w:val="left" w:pos="8280"/>
              </w:tabs>
              <w:autoSpaceDE w:val="0"/>
              <w:autoSpaceDN w:val="0"/>
              <w:adjustRightInd w:val="0"/>
              <w:spacing w:before="0" w:beforeAutospacing="0" w:after="0" w:afterAutospacing="0"/>
              <w:ind w:left="0"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34" w:type="dxa"/>
            <w:vAlign w:val="center"/>
          </w:tcPr>
          <w:p w14:paraId="40AF4763">
            <w:pPr>
              <w:keepNext w:val="0"/>
              <w:keepLines w:val="0"/>
              <w:suppressLineNumbers w:val="0"/>
              <w:shd w:val="clear"/>
              <w:tabs>
                <w:tab w:val="left" w:pos="8280"/>
              </w:tabs>
              <w:autoSpaceDE w:val="0"/>
              <w:autoSpaceDN w:val="0"/>
              <w:adjustRightInd w:val="0"/>
              <w:spacing w:before="0" w:beforeAutospacing="0" w:after="0" w:afterAutospacing="0"/>
              <w:ind w:left="0"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tc>
        <w:tc>
          <w:tcPr>
            <w:tcW w:w="1842" w:type="dxa"/>
            <w:vAlign w:val="center"/>
          </w:tcPr>
          <w:p w14:paraId="5A55649C">
            <w:pPr>
              <w:keepNext w:val="0"/>
              <w:keepLines w:val="0"/>
              <w:suppressLineNumbers w:val="0"/>
              <w:shd w:val="clear"/>
              <w:tabs>
                <w:tab w:val="left" w:pos="8280"/>
              </w:tabs>
              <w:autoSpaceDE w:val="0"/>
              <w:autoSpaceDN w:val="0"/>
              <w:adjustRightInd w:val="0"/>
              <w:spacing w:before="0" w:beforeAutospacing="0" w:after="0" w:afterAutospacing="0"/>
              <w:ind w:left="0"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3E5B1A92">
            <w:pPr>
              <w:keepNext w:val="0"/>
              <w:keepLines w:val="0"/>
              <w:suppressLineNumbers w:val="0"/>
              <w:shd w:val="clear"/>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产地</w:t>
            </w:r>
          </w:p>
        </w:tc>
        <w:tc>
          <w:tcPr>
            <w:tcW w:w="1559" w:type="dxa"/>
            <w:vAlign w:val="center"/>
          </w:tcPr>
          <w:p w14:paraId="76D88FC1">
            <w:pPr>
              <w:keepNext w:val="0"/>
              <w:keepLines w:val="0"/>
              <w:suppressLineNumbers w:val="0"/>
              <w:shd w:val="clear"/>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r>
      <w:tr w14:paraId="3262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3F1243A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2169" w:type="dxa"/>
            <w:vAlign w:val="center"/>
          </w:tcPr>
          <w:p w14:paraId="5A0927A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134" w:type="dxa"/>
            <w:vAlign w:val="center"/>
          </w:tcPr>
          <w:p w14:paraId="2501B6A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842" w:type="dxa"/>
            <w:vAlign w:val="center"/>
          </w:tcPr>
          <w:p w14:paraId="3FE7E17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993" w:type="dxa"/>
            <w:vAlign w:val="center"/>
          </w:tcPr>
          <w:p w14:paraId="0B2DB30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559" w:type="dxa"/>
            <w:vAlign w:val="center"/>
          </w:tcPr>
          <w:p w14:paraId="3A30CDD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r>
      <w:tr w14:paraId="79DC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51C794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2169" w:type="dxa"/>
            <w:vAlign w:val="center"/>
          </w:tcPr>
          <w:p w14:paraId="1336FCD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134" w:type="dxa"/>
            <w:vAlign w:val="center"/>
          </w:tcPr>
          <w:p w14:paraId="3DDA75A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842" w:type="dxa"/>
            <w:vAlign w:val="center"/>
          </w:tcPr>
          <w:p w14:paraId="73C65BF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993" w:type="dxa"/>
            <w:vAlign w:val="center"/>
          </w:tcPr>
          <w:p w14:paraId="2B99DF7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559" w:type="dxa"/>
            <w:vAlign w:val="center"/>
          </w:tcPr>
          <w:p w14:paraId="044F748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r>
      <w:tr w14:paraId="72BB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F740BB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2169" w:type="dxa"/>
            <w:vAlign w:val="center"/>
          </w:tcPr>
          <w:p w14:paraId="445A178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134" w:type="dxa"/>
            <w:vAlign w:val="center"/>
          </w:tcPr>
          <w:p w14:paraId="232DFE3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842" w:type="dxa"/>
            <w:vAlign w:val="center"/>
          </w:tcPr>
          <w:p w14:paraId="72269EA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993" w:type="dxa"/>
            <w:vAlign w:val="center"/>
          </w:tcPr>
          <w:p w14:paraId="29496E1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559" w:type="dxa"/>
            <w:vAlign w:val="center"/>
          </w:tcPr>
          <w:p w14:paraId="46D75E12">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r>
      <w:tr w14:paraId="26AD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F90EF8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2169" w:type="dxa"/>
            <w:vAlign w:val="center"/>
          </w:tcPr>
          <w:p w14:paraId="02F8EE3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134" w:type="dxa"/>
            <w:vAlign w:val="center"/>
          </w:tcPr>
          <w:p w14:paraId="0A74C1D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842" w:type="dxa"/>
            <w:vAlign w:val="center"/>
          </w:tcPr>
          <w:p w14:paraId="1FBCA2A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993" w:type="dxa"/>
            <w:vAlign w:val="center"/>
          </w:tcPr>
          <w:p w14:paraId="186CAFD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559" w:type="dxa"/>
            <w:vAlign w:val="center"/>
          </w:tcPr>
          <w:p w14:paraId="7B53BEB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r>
      <w:tr w14:paraId="7AC0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008D8B1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2169" w:type="dxa"/>
            <w:vAlign w:val="center"/>
          </w:tcPr>
          <w:p w14:paraId="7FD69BE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134" w:type="dxa"/>
            <w:vAlign w:val="center"/>
          </w:tcPr>
          <w:p w14:paraId="7FE4C19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842" w:type="dxa"/>
            <w:vAlign w:val="center"/>
          </w:tcPr>
          <w:p w14:paraId="5739043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993" w:type="dxa"/>
            <w:vAlign w:val="center"/>
          </w:tcPr>
          <w:p w14:paraId="125046CD">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559" w:type="dxa"/>
            <w:vAlign w:val="center"/>
          </w:tcPr>
          <w:p w14:paraId="19672A2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r>
      <w:tr w14:paraId="2763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49D9EAF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2169" w:type="dxa"/>
            <w:vAlign w:val="center"/>
          </w:tcPr>
          <w:p w14:paraId="2EC34CB4">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134" w:type="dxa"/>
            <w:vAlign w:val="center"/>
          </w:tcPr>
          <w:p w14:paraId="1A22FB01">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842" w:type="dxa"/>
            <w:vAlign w:val="center"/>
          </w:tcPr>
          <w:p w14:paraId="6C40480A">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993" w:type="dxa"/>
            <w:vAlign w:val="center"/>
          </w:tcPr>
          <w:p w14:paraId="425E3607">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559" w:type="dxa"/>
            <w:vAlign w:val="center"/>
          </w:tcPr>
          <w:p w14:paraId="1BC3A303">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r>
      <w:tr w14:paraId="54DE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14:paraId="6616BF0B">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2169" w:type="dxa"/>
            <w:vAlign w:val="center"/>
          </w:tcPr>
          <w:p w14:paraId="4C9748B6">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134" w:type="dxa"/>
            <w:vAlign w:val="center"/>
          </w:tcPr>
          <w:p w14:paraId="4629DBD0">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842" w:type="dxa"/>
            <w:vAlign w:val="center"/>
          </w:tcPr>
          <w:p w14:paraId="25CD9B7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993" w:type="dxa"/>
            <w:vAlign w:val="center"/>
          </w:tcPr>
          <w:p w14:paraId="2473FE79">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1559" w:type="dxa"/>
            <w:vAlign w:val="center"/>
          </w:tcPr>
          <w:p w14:paraId="7A09D58E">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r>
    </w:tbl>
    <w:p w14:paraId="657751F4">
      <w:pPr>
        <w:shd w:val="clear"/>
        <w:spacing w:line="360" w:lineRule="auto"/>
        <w:rPr>
          <w:rFonts w:hint="eastAsia" w:ascii="宋体" w:hAnsi="宋体" w:eastAsia="宋体" w:cs="宋体"/>
          <w:color w:val="auto"/>
          <w:sz w:val="24"/>
          <w:highlight w:val="none"/>
        </w:rPr>
      </w:pPr>
    </w:p>
    <w:p w14:paraId="505A86D9">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6C93421A">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1.本表中的名称、数量应与报价明细表中相对应的报价名称、数量一致。</w:t>
      </w:r>
    </w:p>
    <w:p w14:paraId="4900181F">
      <w:pPr>
        <w:shd w:val="clear"/>
        <w:spacing w:line="360" w:lineRule="auto"/>
        <w:rPr>
          <w:rFonts w:hint="eastAsia" w:ascii="宋体" w:hAnsi="宋体" w:eastAsia="宋体" w:cs="宋体"/>
          <w:color w:val="auto"/>
          <w:sz w:val="24"/>
          <w:highlight w:val="none"/>
        </w:rPr>
      </w:pPr>
    </w:p>
    <w:p w14:paraId="36C3824E">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1E695E9B">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126AD3FB">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2107B7CA">
      <w:pPr>
        <w:shd w:val="clear"/>
        <w:spacing w:line="360" w:lineRule="auto"/>
        <w:rPr>
          <w:rFonts w:hint="eastAsia" w:ascii="宋体" w:hAnsi="宋体" w:eastAsia="宋体" w:cs="宋体"/>
          <w:color w:val="auto"/>
          <w:sz w:val="24"/>
          <w:highlight w:val="none"/>
        </w:rPr>
      </w:pPr>
    </w:p>
    <w:p w14:paraId="6C9FA010">
      <w:pPr>
        <w:shd w:val="clear"/>
        <w:spacing w:line="360" w:lineRule="auto"/>
        <w:rPr>
          <w:rFonts w:hint="eastAsia" w:ascii="宋体" w:hAnsi="宋体" w:eastAsia="宋体" w:cs="宋体"/>
          <w:color w:val="auto"/>
          <w:sz w:val="24"/>
          <w:highlight w:val="none"/>
        </w:rPr>
      </w:pPr>
    </w:p>
    <w:p w14:paraId="32F0C64B">
      <w:pPr>
        <w:shd w:val="clear"/>
        <w:spacing w:line="360" w:lineRule="auto"/>
        <w:rPr>
          <w:rFonts w:hint="eastAsia" w:ascii="宋体" w:hAnsi="宋体" w:eastAsia="宋体" w:cs="宋体"/>
          <w:color w:val="auto"/>
          <w:sz w:val="24"/>
          <w:highlight w:val="none"/>
        </w:rPr>
      </w:pPr>
    </w:p>
    <w:p w14:paraId="00E4AE02">
      <w:pPr>
        <w:shd w:val="clear"/>
        <w:spacing w:line="360" w:lineRule="auto"/>
        <w:rPr>
          <w:rFonts w:hint="eastAsia" w:ascii="宋体" w:hAnsi="宋体" w:eastAsia="宋体" w:cs="宋体"/>
          <w:color w:val="auto"/>
          <w:sz w:val="24"/>
          <w:highlight w:val="none"/>
        </w:rPr>
      </w:pPr>
    </w:p>
    <w:p w14:paraId="73ED728F">
      <w:pPr>
        <w:shd w:val="clear"/>
        <w:spacing w:line="360" w:lineRule="auto"/>
        <w:rPr>
          <w:rFonts w:hint="eastAsia" w:ascii="宋体" w:hAnsi="宋体" w:eastAsia="宋体" w:cs="宋体"/>
          <w:color w:val="auto"/>
          <w:sz w:val="24"/>
          <w:highlight w:val="none"/>
        </w:rPr>
      </w:pPr>
    </w:p>
    <w:p w14:paraId="7C0F58F5">
      <w:pPr>
        <w:shd w:val="clear"/>
        <w:spacing w:line="360" w:lineRule="auto"/>
        <w:rPr>
          <w:rFonts w:hint="eastAsia" w:ascii="宋体" w:hAnsi="宋体" w:eastAsia="宋体" w:cs="宋体"/>
          <w:color w:val="auto"/>
          <w:sz w:val="24"/>
          <w:highlight w:val="none"/>
        </w:rPr>
      </w:pPr>
    </w:p>
    <w:p w14:paraId="056A66DB">
      <w:pPr>
        <w:shd w:val="clear"/>
        <w:spacing w:line="360" w:lineRule="auto"/>
        <w:rPr>
          <w:rFonts w:hint="eastAsia" w:ascii="宋体" w:hAnsi="宋体" w:eastAsia="宋体" w:cs="宋体"/>
          <w:color w:val="auto"/>
          <w:sz w:val="24"/>
          <w:highlight w:val="none"/>
        </w:rPr>
      </w:pPr>
    </w:p>
    <w:p w14:paraId="4573C800">
      <w:pPr>
        <w:shd w:val="clear"/>
        <w:spacing w:line="360" w:lineRule="auto"/>
        <w:rPr>
          <w:rFonts w:hint="eastAsia" w:ascii="宋体" w:hAnsi="宋体" w:eastAsia="宋体" w:cs="宋体"/>
          <w:color w:val="auto"/>
          <w:sz w:val="24"/>
          <w:highlight w:val="none"/>
        </w:rPr>
      </w:pPr>
    </w:p>
    <w:p w14:paraId="47FA2003">
      <w:pPr>
        <w:shd w:val="clear"/>
        <w:spacing w:line="360" w:lineRule="auto"/>
        <w:rPr>
          <w:rFonts w:hint="eastAsia" w:ascii="宋体" w:hAnsi="宋体" w:eastAsia="宋体" w:cs="宋体"/>
          <w:color w:val="auto"/>
          <w:sz w:val="24"/>
          <w:highlight w:val="none"/>
        </w:rPr>
      </w:pPr>
    </w:p>
    <w:p w14:paraId="095539C2">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13</w:t>
      </w:r>
    </w:p>
    <w:p w14:paraId="23B86681">
      <w:pPr>
        <w:shd w:val="clear"/>
        <w:spacing w:line="480" w:lineRule="exact"/>
        <w:ind w:left="48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技术需求响应表</w:t>
      </w:r>
    </w:p>
    <w:tbl>
      <w:tblPr>
        <w:tblStyle w:val="3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00"/>
        <w:gridCol w:w="2394"/>
        <w:gridCol w:w="1401"/>
        <w:gridCol w:w="1365"/>
      </w:tblGrid>
      <w:tr w14:paraId="2B79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12DDD752">
            <w:pPr>
              <w:keepNext w:val="0"/>
              <w:keepLines w:val="0"/>
              <w:suppressLineNumbers w:val="0"/>
              <w:shd w:val="clear"/>
              <w:spacing w:before="0" w:beforeAutospacing="0" w:after="0" w:afterAutospacing="0" w:line="360" w:lineRule="auto"/>
              <w:ind w:left="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400" w:type="dxa"/>
            <w:vAlign w:val="center"/>
          </w:tcPr>
          <w:p w14:paraId="55BF1C62">
            <w:pPr>
              <w:keepNext w:val="0"/>
              <w:keepLines w:val="0"/>
              <w:suppressLineNumbers w:val="0"/>
              <w:shd w:val="clear"/>
              <w:spacing w:before="0" w:beforeAutospacing="0" w:after="0" w:afterAutospacing="0" w:line="360" w:lineRule="auto"/>
              <w:ind w:left="52" w:right="0" w:firstLine="1205" w:firstLineChars="5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394" w:type="dxa"/>
            <w:vAlign w:val="center"/>
          </w:tcPr>
          <w:p w14:paraId="2FE82699">
            <w:pPr>
              <w:keepNext w:val="0"/>
              <w:keepLines w:val="0"/>
              <w:suppressLineNumbers w:val="0"/>
              <w:shd w:val="clear"/>
              <w:spacing w:before="0" w:beforeAutospacing="0" w:after="0" w:afterAutospacing="0" w:line="360" w:lineRule="auto"/>
              <w:ind w:left="152" w:right="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招标</w:t>
            </w:r>
            <w:r>
              <w:rPr>
                <w:rFonts w:hint="eastAsia" w:ascii="宋体" w:hAnsi="宋体" w:eastAsia="宋体" w:cs="宋体"/>
                <w:b/>
                <w:color w:val="auto"/>
                <w:sz w:val="24"/>
                <w:highlight w:val="none"/>
                <w:lang w:val="en-US" w:eastAsia="zh-CN"/>
              </w:rPr>
              <w:t>要求</w:t>
            </w:r>
          </w:p>
        </w:tc>
        <w:tc>
          <w:tcPr>
            <w:tcW w:w="1401" w:type="dxa"/>
            <w:vAlign w:val="center"/>
          </w:tcPr>
          <w:p w14:paraId="3B46BCAF">
            <w:pPr>
              <w:keepNext w:val="0"/>
              <w:keepLines w:val="0"/>
              <w:suppressLineNumbers w:val="0"/>
              <w:shd w:val="clear"/>
              <w:spacing w:before="0" w:beforeAutospacing="0" w:after="0" w:afterAutospacing="0" w:line="360" w:lineRule="auto"/>
              <w:ind w:left="0" w:right="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投标</w:t>
            </w:r>
            <w:r>
              <w:rPr>
                <w:rFonts w:hint="eastAsia" w:ascii="宋体" w:hAnsi="宋体" w:eastAsia="宋体" w:cs="宋体"/>
                <w:b/>
                <w:color w:val="auto"/>
                <w:sz w:val="24"/>
                <w:highlight w:val="none"/>
                <w:lang w:val="en-US" w:eastAsia="zh-CN"/>
              </w:rPr>
              <w:t>响应</w:t>
            </w:r>
          </w:p>
        </w:tc>
        <w:tc>
          <w:tcPr>
            <w:tcW w:w="1365" w:type="dxa"/>
            <w:vAlign w:val="center"/>
          </w:tcPr>
          <w:p w14:paraId="2BF578CA">
            <w:pPr>
              <w:keepNext w:val="0"/>
              <w:keepLines w:val="0"/>
              <w:suppressLineNumbers w:val="0"/>
              <w:shd w:val="clear"/>
              <w:spacing w:before="0" w:beforeAutospacing="0" w:after="0" w:afterAutospacing="0" w:line="360" w:lineRule="auto"/>
              <w:ind w:left="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14:paraId="7684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6B56214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400" w:type="dxa"/>
            <w:vAlign w:val="center"/>
          </w:tcPr>
          <w:p w14:paraId="09048E3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394" w:type="dxa"/>
            <w:vAlign w:val="center"/>
          </w:tcPr>
          <w:p w14:paraId="6D86102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401" w:type="dxa"/>
            <w:vAlign w:val="center"/>
          </w:tcPr>
          <w:p w14:paraId="03C803B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365" w:type="dxa"/>
            <w:vAlign w:val="center"/>
          </w:tcPr>
          <w:p w14:paraId="709FBC2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38DA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CAE3516">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400" w:type="dxa"/>
            <w:vAlign w:val="center"/>
          </w:tcPr>
          <w:p w14:paraId="5B75573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394" w:type="dxa"/>
            <w:vAlign w:val="center"/>
          </w:tcPr>
          <w:p w14:paraId="3301564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401" w:type="dxa"/>
            <w:vAlign w:val="center"/>
          </w:tcPr>
          <w:p w14:paraId="7736CA1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365" w:type="dxa"/>
            <w:vAlign w:val="center"/>
          </w:tcPr>
          <w:p w14:paraId="2634A235">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270F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DF6F66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400" w:type="dxa"/>
            <w:vAlign w:val="center"/>
          </w:tcPr>
          <w:p w14:paraId="332BFEF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394" w:type="dxa"/>
            <w:vAlign w:val="center"/>
          </w:tcPr>
          <w:p w14:paraId="3C01053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401" w:type="dxa"/>
            <w:vAlign w:val="center"/>
          </w:tcPr>
          <w:p w14:paraId="4EE60CF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365" w:type="dxa"/>
            <w:vAlign w:val="center"/>
          </w:tcPr>
          <w:p w14:paraId="181074E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4C94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FD7B3C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400" w:type="dxa"/>
            <w:vAlign w:val="center"/>
          </w:tcPr>
          <w:p w14:paraId="59E3592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394" w:type="dxa"/>
            <w:vAlign w:val="center"/>
          </w:tcPr>
          <w:p w14:paraId="3824BFC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401" w:type="dxa"/>
            <w:vAlign w:val="center"/>
          </w:tcPr>
          <w:p w14:paraId="3DA2617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365" w:type="dxa"/>
            <w:vAlign w:val="center"/>
          </w:tcPr>
          <w:p w14:paraId="09B655B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5A21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1F4E48A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400" w:type="dxa"/>
            <w:vAlign w:val="center"/>
          </w:tcPr>
          <w:p w14:paraId="3BE4735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394" w:type="dxa"/>
            <w:vAlign w:val="center"/>
          </w:tcPr>
          <w:p w14:paraId="090C32D9">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401" w:type="dxa"/>
            <w:vAlign w:val="center"/>
          </w:tcPr>
          <w:p w14:paraId="2248330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365" w:type="dxa"/>
            <w:vAlign w:val="center"/>
          </w:tcPr>
          <w:p w14:paraId="6AF1BEE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7E70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3650A56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400" w:type="dxa"/>
            <w:vAlign w:val="center"/>
          </w:tcPr>
          <w:p w14:paraId="585ADD58">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394" w:type="dxa"/>
            <w:vAlign w:val="center"/>
          </w:tcPr>
          <w:p w14:paraId="1C9DF1B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401" w:type="dxa"/>
            <w:vAlign w:val="center"/>
          </w:tcPr>
          <w:p w14:paraId="6C0BF7A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365" w:type="dxa"/>
            <w:vAlign w:val="center"/>
          </w:tcPr>
          <w:p w14:paraId="150724B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49AB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763D8F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400" w:type="dxa"/>
            <w:vAlign w:val="center"/>
          </w:tcPr>
          <w:p w14:paraId="32BBCE4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394" w:type="dxa"/>
            <w:vAlign w:val="center"/>
          </w:tcPr>
          <w:p w14:paraId="3353C55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401" w:type="dxa"/>
            <w:vAlign w:val="center"/>
          </w:tcPr>
          <w:p w14:paraId="5F137AE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365" w:type="dxa"/>
            <w:vAlign w:val="center"/>
          </w:tcPr>
          <w:p w14:paraId="2199807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bl>
    <w:p w14:paraId="257439D5">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0EDC087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1.本表的名称须与《报价明细表》一致。</w:t>
      </w:r>
    </w:p>
    <w:p w14:paraId="3FC7079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2.本表参照本招标文件“招标需求”内第二条“具体技术需求”填制，投标人应根据</w:t>
      </w:r>
      <w:r>
        <w:rPr>
          <w:rFonts w:hint="eastAsia" w:ascii="宋体" w:hAnsi="宋体" w:eastAsia="宋体" w:cs="宋体"/>
          <w:color w:val="auto"/>
          <w:sz w:val="24"/>
          <w:highlight w:val="none"/>
          <w:lang w:val="en-US" w:eastAsia="zh-CN"/>
        </w:rPr>
        <w:t>投标产品或服务</w:t>
      </w:r>
      <w:r>
        <w:rPr>
          <w:rFonts w:hint="eastAsia" w:ascii="宋体" w:hAnsi="宋体" w:eastAsia="宋体" w:cs="宋体"/>
          <w:color w:val="auto"/>
          <w:sz w:val="24"/>
          <w:highlight w:val="none"/>
        </w:rPr>
        <w:t>的性能指标、服务指标，对照招标文件要求在“偏离情况”栏注明“正偏离”、“负偏离”或“无偏离”。</w:t>
      </w:r>
    </w:p>
    <w:p w14:paraId="6A77EB99">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57ECC1C8">
      <w:pPr>
        <w:shd w:val="clear"/>
        <w:spacing w:line="360" w:lineRule="auto"/>
        <w:rPr>
          <w:rFonts w:hint="eastAsia" w:ascii="宋体" w:hAnsi="宋体" w:eastAsia="宋体" w:cs="宋体"/>
          <w:color w:val="auto"/>
          <w:sz w:val="24"/>
          <w:highlight w:val="none"/>
        </w:rPr>
      </w:pPr>
    </w:p>
    <w:p w14:paraId="1AD6A293">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788C7A48">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5FC3C57A">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1239BC18">
      <w:pPr>
        <w:shd w:val="clear"/>
        <w:spacing w:line="360" w:lineRule="auto"/>
        <w:rPr>
          <w:rFonts w:hint="eastAsia" w:ascii="宋体" w:hAnsi="宋体" w:eastAsia="宋体" w:cs="宋体"/>
          <w:color w:val="auto"/>
          <w:sz w:val="24"/>
          <w:highlight w:val="none"/>
        </w:rPr>
      </w:pPr>
    </w:p>
    <w:p w14:paraId="4D4FF465">
      <w:pPr>
        <w:shd w:val="clear"/>
        <w:spacing w:line="360" w:lineRule="auto"/>
        <w:rPr>
          <w:rFonts w:hint="eastAsia" w:ascii="宋体" w:hAnsi="宋体" w:eastAsia="宋体" w:cs="宋体"/>
          <w:color w:val="auto"/>
          <w:sz w:val="24"/>
          <w:highlight w:val="none"/>
        </w:rPr>
      </w:pPr>
    </w:p>
    <w:p w14:paraId="6F42AADE">
      <w:pPr>
        <w:shd w:val="clear"/>
        <w:spacing w:line="360" w:lineRule="auto"/>
        <w:rPr>
          <w:rFonts w:hint="eastAsia" w:ascii="宋体" w:hAnsi="宋体" w:eastAsia="宋体" w:cs="宋体"/>
          <w:color w:val="auto"/>
          <w:sz w:val="24"/>
          <w:highlight w:val="none"/>
        </w:rPr>
      </w:pPr>
    </w:p>
    <w:p w14:paraId="50211D7F">
      <w:pPr>
        <w:widowControl/>
        <w:shd w:val="clear"/>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14:paraId="02E75933">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14</w:t>
      </w:r>
    </w:p>
    <w:p w14:paraId="266E0EA3">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证书一览表</w:t>
      </w:r>
    </w:p>
    <w:tbl>
      <w:tblPr>
        <w:tblStyle w:val="3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E0834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18941111">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证书名称</w:t>
            </w:r>
          </w:p>
        </w:tc>
        <w:tc>
          <w:tcPr>
            <w:tcW w:w="2258" w:type="dxa"/>
            <w:tcBorders>
              <w:top w:val="double" w:color="auto" w:sz="4" w:space="0"/>
            </w:tcBorders>
          </w:tcPr>
          <w:p w14:paraId="5F06012A">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发证单位</w:t>
            </w:r>
          </w:p>
        </w:tc>
        <w:tc>
          <w:tcPr>
            <w:tcW w:w="2260" w:type="dxa"/>
            <w:tcBorders>
              <w:top w:val="double" w:color="auto" w:sz="4" w:space="0"/>
            </w:tcBorders>
          </w:tcPr>
          <w:p w14:paraId="0F15B84E">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证书等级</w:t>
            </w:r>
          </w:p>
        </w:tc>
        <w:tc>
          <w:tcPr>
            <w:tcW w:w="2047" w:type="dxa"/>
            <w:tcBorders>
              <w:top w:val="double" w:color="auto" w:sz="4" w:space="0"/>
              <w:right w:val="single" w:color="auto" w:sz="4" w:space="0"/>
            </w:tcBorders>
          </w:tcPr>
          <w:p w14:paraId="3235B57A">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证书有效期</w:t>
            </w:r>
          </w:p>
        </w:tc>
      </w:tr>
      <w:tr w14:paraId="77EBB6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CF5F3E3">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58" w:type="dxa"/>
          </w:tcPr>
          <w:p w14:paraId="5DDF5FA5">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0" w:type="dxa"/>
          </w:tcPr>
          <w:p w14:paraId="605F5B9E">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047" w:type="dxa"/>
            <w:tcBorders>
              <w:right w:val="single" w:color="auto" w:sz="4" w:space="0"/>
            </w:tcBorders>
          </w:tcPr>
          <w:p w14:paraId="71E9D8A6">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0D462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4E952D">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58" w:type="dxa"/>
          </w:tcPr>
          <w:p w14:paraId="126268BB">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0" w:type="dxa"/>
          </w:tcPr>
          <w:p w14:paraId="737B4D64">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047" w:type="dxa"/>
            <w:tcBorders>
              <w:right w:val="single" w:color="auto" w:sz="4" w:space="0"/>
            </w:tcBorders>
          </w:tcPr>
          <w:p w14:paraId="1C292A4B">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01CA80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E8CC90D">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58" w:type="dxa"/>
          </w:tcPr>
          <w:p w14:paraId="77FC6E1D">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0" w:type="dxa"/>
          </w:tcPr>
          <w:p w14:paraId="14A3E5FC">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047" w:type="dxa"/>
            <w:tcBorders>
              <w:right w:val="single" w:color="auto" w:sz="4" w:space="0"/>
            </w:tcBorders>
          </w:tcPr>
          <w:p w14:paraId="7751F97F">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4522E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3FAD8DE">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58" w:type="dxa"/>
          </w:tcPr>
          <w:p w14:paraId="256D01F3">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0" w:type="dxa"/>
          </w:tcPr>
          <w:p w14:paraId="4F3FA583">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047" w:type="dxa"/>
            <w:tcBorders>
              <w:right w:val="single" w:color="auto" w:sz="4" w:space="0"/>
            </w:tcBorders>
          </w:tcPr>
          <w:p w14:paraId="456E15BB">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7578E2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D666AD5">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58" w:type="dxa"/>
          </w:tcPr>
          <w:p w14:paraId="4863E6B6">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0" w:type="dxa"/>
          </w:tcPr>
          <w:p w14:paraId="2CE2032B">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047" w:type="dxa"/>
            <w:tcBorders>
              <w:right w:val="single" w:color="auto" w:sz="4" w:space="0"/>
            </w:tcBorders>
          </w:tcPr>
          <w:p w14:paraId="27B62D4C">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629A6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436ADE3">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58" w:type="dxa"/>
          </w:tcPr>
          <w:p w14:paraId="0F4C94BE">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0" w:type="dxa"/>
          </w:tcPr>
          <w:p w14:paraId="54EB01B0">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047" w:type="dxa"/>
            <w:tcBorders>
              <w:right w:val="single" w:color="auto" w:sz="4" w:space="0"/>
            </w:tcBorders>
          </w:tcPr>
          <w:p w14:paraId="418E7F6F">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423488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06107FAF">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58" w:type="dxa"/>
            <w:tcBorders>
              <w:bottom w:val="double" w:color="auto" w:sz="4" w:space="0"/>
            </w:tcBorders>
          </w:tcPr>
          <w:p w14:paraId="07BD82CF">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260" w:type="dxa"/>
            <w:tcBorders>
              <w:bottom w:val="double" w:color="auto" w:sz="4" w:space="0"/>
            </w:tcBorders>
          </w:tcPr>
          <w:p w14:paraId="3FD99211">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2047" w:type="dxa"/>
            <w:tcBorders>
              <w:bottom w:val="double" w:color="auto" w:sz="4" w:space="0"/>
              <w:right w:val="single" w:color="auto" w:sz="4" w:space="0"/>
            </w:tcBorders>
          </w:tcPr>
          <w:p w14:paraId="18FE6481">
            <w:pPr>
              <w:pStyle w:val="63"/>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00BDFB1F">
      <w:pPr>
        <w:shd w:val="clear"/>
        <w:spacing w:line="360" w:lineRule="auto"/>
        <w:jc w:val="left"/>
        <w:rPr>
          <w:rFonts w:hint="eastAsia" w:ascii="宋体" w:hAnsi="宋体" w:eastAsia="宋体" w:cs="宋体"/>
          <w:b/>
          <w:bCs/>
          <w:color w:val="auto"/>
          <w:sz w:val="24"/>
          <w:szCs w:val="32"/>
          <w:highlight w:val="none"/>
          <w:lang w:val="zh-CN"/>
        </w:rPr>
      </w:pPr>
    </w:p>
    <w:p w14:paraId="1E6902A3">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5899108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1.填写投标人获得资质、认证或企业信誉证书；</w:t>
      </w:r>
    </w:p>
    <w:p w14:paraId="754239D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2.附所列证书复印件或其他证明材料。</w:t>
      </w:r>
    </w:p>
    <w:p w14:paraId="2630E0FF">
      <w:pPr>
        <w:shd w:val="clear"/>
        <w:spacing w:line="360" w:lineRule="auto"/>
        <w:jc w:val="left"/>
        <w:rPr>
          <w:rFonts w:hint="eastAsia" w:ascii="宋体" w:hAnsi="宋体" w:eastAsia="宋体" w:cs="宋体"/>
          <w:b/>
          <w:bCs/>
          <w:color w:val="auto"/>
          <w:sz w:val="24"/>
          <w:szCs w:val="32"/>
          <w:highlight w:val="none"/>
          <w:lang w:val="zh-CN"/>
        </w:rPr>
      </w:pPr>
    </w:p>
    <w:p w14:paraId="0FDFF853">
      <w:pPr>
        <w:shd w:val="clear"/>
        <w:spacing w:line="360" w:lineRule="auto"/>
        <w:jc w:val="left"/>
        <w:rPr>
          <w:rFonts w:hint="eastAsia" w:ascii="宋体" w:hAnsi="宋体" w:eastAsia="宋体" w:cs="宋体"/>
          <w:b/>
          <w:bCs/>
          <w:color w:val="auto"/>
          <w:sz w:val="24"/>
          <w:szCs w:val="32"/>
          <w:highlight w:val="none"/>
          <w:lang w:val="zh-CN"/>
        </w:rPr>
      </w:pPr>
    </w:p>
    <w:p w14:paraId="1795A9F6">
      <w:pPr>
        <w:shd w:val="clear"/>
        <w:spacing w:line="360" w:lineRule="auto"/>
        <w:jc w:val="left"/>
        <w:rPr>
          <w:rFonts w:hint="eastAsia" w:ascii="宋体" w:hAnsi="宋体" w:eastAsia="宋体" w:cs="宋体"/>
          <w:b/>
          <w:bCs/>
          <w:color w:val="auto"/>
          <w:sz w:val="24"/>
          <w:szCs w:val="32"/>
          <w:highlight w:val="none"/>
          <w:lang w:val="zh-CN"/>
        </w:rPr>
      </w:pPr>
    </w:p>
    <w:p w14:paraId="2E0439F8">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5BCCC643">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2B008CBB">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06DDF8E0">
      <w:pPr>
        <w:shd w:val="clear"/>
        <w:spacing w:line="360" w:lineRule="auto"/>
        <w:rPr>
          <w:rFonts w:hint="eastAsia" w:ascii="宋体" w:hAnsi="宋体" w:eastAsia="宋体" w:cs="宋体"/>
          <w:b/>
          <w:bCs/>
          <w:color w:val="auto"/>
          <w:sz w:val="24"/>
          <w:highlight w:val="none"/>
        </w:rPr>
      </w:pPr>
    </w:p>
    <w:p w14:paraId="116D14BB">
      <w:pPr>
        <w:shd w:val="clear"/>
        <w:spacing w:line="360" w:lineRule="auto"/>
        <w:rPr>
          <w:rFonts w:hint="eastAsia" w:ascii="宋体" w:hAnsi="宋体" w:eastAsia="宋体" w:cs="宋体"/>
          <w:b/>
          <w:bCs/>
          <w:color w:val="auto"/>
          <w:sz w:val="24"/>
          <w:highlight w:val="none"/>
        </w:rPr>
      </w:pPr>
    </w:p>
    <w:p w14:paraId="706420DD">
      <w:pPr>
        <w:shd w:val="clear"/>
        <w:spacing w:line="360" w:lineRule="auto"/>
        <w:rPr>
          <w:rFonts w:hint="eastAsia" w:ascii="宋体" w:hAnsi="宋体" w:eastAsia="宋体" w:cs="宋体"/>
          <w:b/>
          <w:bCs/>
          <w:color w:val="auto"/>
          <w:sz w:val="24"/>
          <w:highlight w:val="none"/>
        </w:rPr>
      </w:pPr>
    </w:p>
    <w:p w14:paraId="0D91D3C9">
      <w:pPr>
        <w:shd w:val="clear"/>
        <w:spacing w:line="360" w:lineRule="auto"/>
        <w:rPr>
          <w:rFonts w:hint="eastAsia" w:ascii="宋体" w:hAnsi="宋体" w:eastAsia="宋体" w:cs="宋体"/>
          <w:b/>
          <w:bCs/>
          <w:color w:val="auto"/>
          <w:sz w:val="24"/>
          <w:highlight w:val="none"/>
        </w:rPr>
      </w:pPr>
    </w:p>
    <w:p w14:paraId="1D42DBBE">
      <w:pPr>
        <w:shd w:val="clear"/>
        <w:spacing w:line="360" w:lineRule="auto"/>
        <w:rPr>
          <w:rFonts w:hint="eastAsia" w:ascii="宋体" w:hAnsi="宋体" w:eastAsia="宋体" w:cs="宋体"/>
          <w:b/>
          <w:bCs/>
          <w:color w:val="auto"/>
          <w:sz w:val="24"/>
          <w:highlight w:val="none"/>
        </w:rPr>
      </w:pPr>
    </w:p>
    <w:p w14:paraId="3CA27535">
      <w:pPr>
        <w:shd w:val="clear"/>
        <w:spacing w:line="360" w:lineRule="auto"/>
        <w:rPr>
          <w:rFonts w:hint="eastAsia" w:ascii="宋体" w:hAnsi="宋体" w:eastAsia="宋体" w:cs="宋体"/>
          <w:b/>
          <w:bCs/>
          <w:color w:val="auto"/>
          <w:sz w:val="24"/>
          <w:highlight w:val="none"/>
        </w:rPr>
      </w:pPr>
    </w:p>
    <w:p w14:paraId="317EADB1">
      <w:pPr>
        <w:widowControl/>
        <w:shd w:val="clear"/>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14:paraId="3FA3EC85">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15</w:t>
      </w:r>
    </w:p>
    <w:p w14:paraId="7817F1D7">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投标人类似项目实施情况一览表</w:t>
      </w:r>
    </w:p>
    <w:tbl>
      <w:tblPr>
        <w:tblStyle w:val="3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312B9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4491602E">
            <w:pPr>
              <w:pStyle w:val="69"/>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DF46630">
            <w:pPr>
              <w:pStyle w:val="69"/>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C015EE3">
            <w:pPr>
              <w:pStyle w:val="69"/>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EE41EAE">
            <w:pPr>
              <w:pStyle w:val="69"/>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C06277D">
            <w:pPr>
              <w:pStyle w:val="69"/>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18110D6E">
            <w:pPr>
              <w:pStyle w:val="69"/>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5B3FB332">
            <w:pPr>
              <w:pStyle w:val="69"/>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项目单位名称及其联系人电话</w:t>
            </w:r>
          </w:p>
        </w:tc>
      </w:tr>
      <w:tr w14:paraId="28B81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12A8A768">
            <w:pPr>
              <w:pStyle w:val="69"/>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7B226DE6">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C1D1D67">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13DF2FD">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ED26118">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57DB683">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BEB6090">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217BB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41210514">
            <w:pPr>
              <w:pStyle w:val="69"/>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065E11A8">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91B34CE">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B85D940">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CCFB143">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19460E8">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7362C3B">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65523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3A6C253">
            <w:pPr>
              <w:pStyle w:val="69"/>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45B32B1E">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8D84E52">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0EFB1B5">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7EAEDD3">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2DFAB17">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D61FDC9">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150DF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5E76DE7">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774703C6">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9BEC189">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A66336D">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E4063D7">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888458C">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1FB0937">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21BC9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2AF57B3">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5AA616D">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47E5AC1">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4131F45">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EEF7860">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D875973">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157FD5A">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74ECA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447A96B">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263E455">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C9D8D99">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BC6DB4F">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AD94E4F">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9CF775A">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7658582">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2CE93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25B6E43">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45604BF8">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BD9AF41">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96C7428">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108DEA1">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0F8FF86">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194F74B">
            <w:pPr>
              <w:pStyle w:val="69"/>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bl>
    <w:p w14:paraId="2C02DD49">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14:paraId="64287D7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1.业绩证明应提供证明材料（合同复印件可只提供首页、含金额页、盖章页并加盖投标人公章）；</w:t>
      </w:r>
    </w:p>
    <w:p w14:paraId="0E3B2AD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2.报价供应商可按此表格式复制。</w:t>
      </w:r>
    </w:p>
    <w:p w14:paraId="4C860E27">
      <w:pPr>
        <w:shd w:val="clear"/>
        <w:spacing w:line="360" w:lineRule="auto"/>
        <w:ind w:firstLine="480" w:firstLineChars="200"/>
        <w:rPr>
          <w:rFonts w:hint="eastAsia" w:ascii="宋体" w:hAnsi="宋体" w:eastAsia="宋体" w:cs="宋体"/>
          <w:color w:val="auto"/>
          <w:sz w:val="24"/>
          <w:highlight w:val="none"/>
        </w:rPr>
      </w:pPr>
    </w:p>
    <w:p w14:paraId="1CDE1B39">
      <w:pPr>
        <w:shd w:val="clear"/>
        <w:spacing w:line="360" w:lineRule="auto"/>
        <w:ind w:firstLine="480" w:firstLineChars="200"/>
        <w:rPr>
          <w:rFonts w:hint="eastAsia" w:ascii="宋体" w:hAnsi="宋体" w:eastAsia="宋体" w:cs="宋体"/>
          <w:color w:val="auto"/>
          <w:sz w:val="24"/>
          <w:highlight w:val="none"/>
        </w:rPr>
      </w:pPr>
    </w:p>
    <w:p w14:paraId="36E4C484">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36F35525">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03F928C6">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7C05C312">
      <w:pPr>
        <w:shd w:val="clear"/>
        <w:spacing w:line="360" w:lineRule="auto"/>
        <w:ind w:firstLine="480" w:firstLineChars="200"/>
        <w:rPr>
          <w:rFonts w:hint="eastAsia" w:ascii="宋体" w:hAnsi="宋体" w:eastAsia="宋体" w:cs="宋体"/>
          <w:color w:val="auto"/>
          <w:sz w:val="24"/>
          <w:highlight w:val="none"/>
        </w:rPr>
      </w:pPr>
    </w:p>
    <w:p w14:paraId="475BF0D8">
      <w:pPr>
        <w:shd w:val="clear"/>
        <w:spacing w:line="360" w:lineRule="auto"/>
        <w:ind w:firstLine="480" w:firstLineChars="200"/>
        <w:rPr>
          <w:rFonts w:hint="eastAsia" w:ascii="宋体" w:hAnsi="宋体" w:eastAsia="宋体" w:cs="宋体"/>
          <w:color w:val="auto"/>
          <w:sz w:val="24"/>
          <w:highlight w:val="none"/>
        </w:rPr>
      </w:pPr>
    </w:p>
    <w:p w14:paraId="7F368D95">
      <w:pPr>
        <w:shd w:val="clear"/>
        <w:spacing w:line="360" w:lineRule="auto"/>
        <w:ind w:firstLine="480" w:firstLineChars="200"/>
        <w:rPr>
          <w:rFonts w:hint="eastAsia" w:ascii="宋体" w:hAnsi="宋体" w:eastAsia="宋体" w:cs="宋体"/>
          <w:color w:val="auto"/>
          <w:sz w:val="24"/>
          <w:highlight w:val="none"/>
        </w:rPr>
      </w:pPr>
    </w:p>
    <w:p w14:paraId="30EBFBCA">
      <w:pPr>
        <w:shd w:val="clear"/>
        <w:spacing w:line="360" w:lineRule="auto"/>
        <w:ind w:firstLine="480" w:firstLineChars="200"/>
        <w:rPr>
          <w:rFonts w:hint="eastAsia" w:ascii="宋体" w:hAnsi="宋体" w:eastAsia="宋体" w:cs="宋体"/>
          <w:color w:val="auto"/>
          <w:sz w:val="24"/>
          <w:highlight w:val="none"/>
        </w:rPr>
      </w:pPr>
    </w:p>
    <w:p w14:paraId="34A31088">
      <w:pPr>
        <w:shd w:val="clear"/>
        <w:spacing w:line="360" w:lineRule="auto"/>
        <w:ind w:firstLine="480" w:firstLineChars="200"/>
        <w:rPr>
          <w:rFonts w:hint="eastAsia" w:ascii="宋体" w:hAnsi="宋体" w:eastAsia="宋体" w:cs="宋体"/>
          <w:color w:val="auto"/>
          <w:sz w:val="24"/>
          <w:highlight w:val="none"/>
        </w:rPr>
      </w:pPr>
    </w:p>
    <w:p w14:paraId="4175DF92">
      <w:pPr>
        <w:widowControl/>
        <w:shd w:val="clear"/>
        <w:jc w:val="left"/>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lang w:val="zh-CN"/>
        </w:rPr>
        <w:br w:type="page"/>
      </w:r>
    </w:p>
    <w:p w14:paraId="2A27CD55">
      <w:pPr>
        <w:shd w:val="clear"/>
        <w:spacing w:line="480" w:lineRule="exact"/>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16</w:t>
      </w:r>
    </w:p>
    <w:p w14:paraId="31F2C232">
      <w:pPr>
        <w:shd w:val="clea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资信及商务需求响应表</w:t>
      </w:r>
    </w:p>
    <w:tbl>
      <w:tblPr>
        <w:tblStyle w:val="3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1C5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5C67A019">
            <w:pPr>
              <w:keepNext w:val="0"/>
              <w:keepLines w:val="0"/>
              <w:suppressLineNumbers w:val="0"/>
              <w:shd w:val="clear"/>
              <w:spacing w:before="0" w:beforeAutospacing="0" w:after="0" w:afterAutospacing="0"/>
              <w:ind w:left="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85" w:type="dxa"/>
            <w:vAlign w:val="center"/>
          </w:tcPr>
          <w:p w14:paraId="2AF543AD">
            <w:pPr>
              <w:keepNext w:val="0"/>
              <w:keepLines w:val="0"/>
              <w:suppressLineNumbers w:val="0"/>
              <w:shd w:val="clear"/>
              <w:spacing w:before="0" w:beforeAutospacing="0" w:after="0" w:afterAutospacing="0"/>
              <w:ind w:left="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c>
          <w:tcPr>
            <w:tcW w:w="1785" w:type="dxa"/>
            <w:vAlign w:val="center"/>
          </w:tcPr>
          <w:p w14:paraId="56F9ABA8">
            <w:pPr>
              <w:keepNext w:val="0"/>
              <w:keepLines w:val="0"/>
              <w:suppressLineNumbers w:val="0"/>
              <w:shd w:val="clear"/>
              <w:spacing w:before="0" w:beforeAutospacing="0" w:after="0" w:afterAutospacing="0"/>
              <w:ind w:left="53" w:leftChars="25" w:right="0"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招标需求</w:t>
            </w:r>
          </w:p>
        </w:tc>
        <w:tc>
          <w:tcPr>
            <w:tcW w:w="1365" w:type="dxa"/>
            <w:vAlign w:val="center"/>
          </w:tcPr>
          <w:p w14:paraId="3E7FD14F">
            <w:pPr>
              <w:keepNext w:val="0"/>
              <w:keepLines w:val="0"/>
              <w:suppressLineNumbers w:val="0"/>
              <w:shd w:val="clear"/>
              <w:spacing w:before="0" w:beforeAutospacing="0" w:after="0" w:afterAutospacing="0"/>
              <w:ind w:left="152"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是否响应</w:t>
            </w:r>
          </w:p>
        </w:tc>
        <w:tc>
          <w:tcPr>
            <w:tcW w:w="2625" w:type="dxa"/>
            <w:vAlign w:val="center"/>
          </w:tcPr>
          <w:p w14:paraId="25EA24EE">
            <w:pPr>
              <w:keepNext w:val="0"/>
              <w:keepLines w:val="0"/>
              <w:suppressLineNumbers w:val="0"/>
              <w:shd w:val="clear"/>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投标人的承诺或说明</w:t>
            </w:r>
          </w:p>
        </w:tc>
      </w:tr>
      <w:tr w14:paraId="4DA5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AC62D97">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785" w:type="dxa"/>
          </w:tcPr>
          <w:p w14:paraId="3C582041">
            <w:pPr>
              <w:keepNext w:val="0"/>
              <w:keepLines w:val="0"/>
              <w:suppressLineNumbers w:val="0"/>
              <w:shd w:val="clear"/>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售后服务保障要求</w:t>
            </w:r>
          </w:p>
        </w:tc>
        <w:tc>
          <w:tcPr>
            <w:tcW w:w="1785" w:type="dxa"/>
            <w:vAlign w:val="center"/>
          </w:tcPr>
          <w:p w14:paraId="23DBC9FF">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365" w:type="dxa"/>
            <w:vAlign w:val="center"/>
          </w:tcPr>
          <w:p w14:paraId="0EDC2CC3">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2625" w:type="dxa"/>
            <w:vAlign w:val="center"/>
          </w:tcPr>
          <w:p w14:paraId="210D8762">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r>
      <w:tr w14:paraId="3204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DAD6F79">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785" w:type="dxa"/>
          </w:tcPr>
          <w:p w14:paraId="354284F8">
            <w:pPr>
              <w:keepNext w:val="0"/>
              <w:keepLines w:val="0"/>
              <w:suppressLineNumbers w:val="0"/>
              <w:shd w:val="clear"/>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备品备件及耗材等要求</w:t>
            </w:r>
          </w:p>
        </w:tc>
        <w:tc>
          <w:tcPr>
            <w:tcW w:w="1785" w:type="dxa"/>
            <w:vAlign w:val="center"/>
          </w:tcPr>
          <w:p w14:paraId="19397A19">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365" w:type="dxa"/>
            <w:vAlign w:val="center"/>
          </w:tcPr>
          <w:p w14:paraId="3EBD3DB4">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2625" w:type="dxa"/>
            <w:vAlign w:val="center"/>
          </w:tcPr>
          <w:p w14:paraId="195D7719">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r>
      <w:tr w14:paraId="7355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4ED0824">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785" w:type="dxa"/>
          </w:tcPr>
          <w:p w14:paraId="7841B947">
            <w:pPr>
              <w:keepNext w:val="0"/>
              <w:keepLines w:val="0"/>
              <w:suppressLineNumbers w:val="0"/>
              <w:shd w:val="clear"/>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1785" w:type="dxa"/>
            <w:vAlign w:val="center"/>
          </w:tcPr>
          <w:p w14:paraId="6225DD9F">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365" w:type="dxa"/>
            <w:vAlign w:val="center"/>
          </w:tcPr>
          <w:p w14:paraId="10C43275">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2625" w:type="dxa"/>
            <w:vAlign w:val="center"/>
          </w:tcPr>
          <w:p w14:paraId="4CF8252B">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r>
      <w:tr w14:paraId="2DEB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3BE8EE4">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785" w:type="dxa"/>
          </w:tcPr>
          <w:p w14:paraId="6C3FCC11">
            <w:pPr>
              <w:keepNext w:val="0"/>
              <w:keepLines w:val="0"/>
              <w:suppressLineNumbers w:val="0"/>
              <w:shd w:val="clear"/>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成成</w:t>
            </w:r>
            <w:r>
              <w:rPr>
                <w:rFonts w:hint="eastAsia" w:ascii="宋体" w:hAnsi="宋体" w:eastAsia="宋体" w:cs="宋体"/>
                <w:color w:val="auto"/>
                <w:sz w:val="24"/>
                <w:highlight w:val="none"/>
              </w:rPr>
              <w:t>和服务</w:t>
            </w:r>
          </w:p>
          <w:p w14:paraId="311B70D5">
            <w:pPr>
              <w:keepNext w:val="0"/>
              <w:keepLines w:val="0"/>
              <w:suppressLineNumbers w:val="0"/>
              <w:shd w:val="clear"/>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时间及地点</w:t>
            </w:r>
          </w:p>
        </w:tc>
        <w:tc>
          <w:tcPr>
            <w:tcW w:w="1785" w:type="dxa"/>
            <w:vAlign w:val="center"/>
          </w:tcPr>
          <w:p w14:paraId="1AECED76">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365" w:type="dxa"/>
            <w:vAlign w:val="center"/>
          </w:tcPr>
          <w:p w14:paraId="1FE86188">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2625" w:type="dxa"/>
            <w:vAlign w:val="center"/>
          </w:tcPr>
          <w:p w14:paraId="34F90F22">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r>
      <w:tr w14:paraId="66F1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473D69E">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785" w:type="dxa"/>
          </w:tcPr>
          <w:p w14:paraId="6B6C31D2">
            <w:pPr>
              <w:keepNext w:val="0"/>
              <w:keepLines w:val="0"/>
              <w:suppressLineNumbers w:val="0"/>
              <w:shd w:val="clear"/>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w:t>
            </w:r>
          </w:p>
        </w:tc>
        <w:tc>
          <w:tcPr>
            <w:tcW w:w="1785" w:type="dxa"/>
            <w:vAlign w:val="center"/>
          </w:tcPr>
          <w:p w14:paraId="0C26C716">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365" w:type="dxa"/>
            <w:vAlign w:val="center"/>
          </w:tcPr>
          <w:p w14:paraId="35C484B5">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2625" w:type="dxa"/>
            <w:vAlign w:val="center"/>
          </w:tcPr>
          <w:p w14:paraId="14AB4167">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r>
      <w:tr w14:paraId="61C2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EDC3CF6">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785" w:type="dxa"/>
          </w:tcPr>
          <w:p w14:paraId="46BA7456">
            <w:pPr>
              <w:keepNext w:val="0"/>
              <w:keepLines w:val="0"/>
              <w:suppressLineNumbers w:val="0"/>
              <w:shd w:val="clear"/>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85" w:type="dxa"/>
            <w:vAlign w:val="center"/>
          </w:tcPr>
          <w:p w14:paraId="60FD658C">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365" w:type="dxa"/>
            <w:vAlign w:val="center"/>
          </w:tcPr>
          <w:p w14:paraId="45A12FE6">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2625" w:type="dxa"/>
            <w:vAlign w:val="center"/>
          </w:tcPr>
          <w:p w14:paraId="4BB99231">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r>
      <w:tr w14:paraId="1437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19D1D00B">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785" w:type="dxa"/>
          </w:tcPr>
          <w:p w14:paraId="0FFE8AEA">
            <w:pPr>
              <w:keepNext w:val="0"/>
              <w:keepLines w:val="0"/>
              <w:suppressLineNumbers w:val="0"/>
              <w:shd w:val="clear"/>
              <w:snapToGrid w:val="0"/>
              <w:spacing w:before="0" w:beforeAutospacing="0" w:after="0" w:afterAutospacing="0"/>
              <w:ind w:left="0" w:right="0"/>
              <w:rPr>
                <w:rFonts w:hint="eastAsia" w:ascii="宋体" w:hAnsi="宋体" w:eastAsia="宋体" w:cs="宋体"/>
                <w:color w:val="auto"/>
                <w:sz w:val="24"/>
                <w:highlight w:val="none"/>
              </w:rPr>
            </w:pPr>
          </w:p>
        </w:tc>
        <w:tc>
          <w:tcPr>
            <w:tcW w:w="1785" w:type="dxa"/>
            <w:vAlign w:val="center"/>
          </w:tcPr>
          <w:p w14:paraId="2CD2BB81">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365" w:type="dxa"/>
            <w:vAlign w:val="center"/>
          </w:tcPr>
          <w:p w14:paraId="21738752">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2625" w:type="dxa"/>
            <w:vAlign w:val="center"/>
          </w:tcPr>
          <w:p w14:paraId="3072E167">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r>
      <w:tr w14:paraId="2C91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B8F6314">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785" w:type="dxa"/>
          </w:tcPr>
          <w:p w14:paraId="7111932D">
            <w:pPr>
              <w:keepNext w:val="0"/>
              <w:keepLines w:val="0"/>
              <w:suppressLineNumbers w:val="0"/>
              <w:shd w:val="clear"/>
              <w:snapToGrid w:val="0"/>
              <w:spacing w:before="0" w:beforeAutospacing="0" w:after="0" w:afterAutospacing="0"/>
              <w:ind w:left="0" w:right="0"/>
              <w:rPr>
                <w:rFonts w:hint="eastAsia" w:ascii="宋体" w:hAnsi="宋体" w:eastAsia="宋体" w:cs="宋体"/>
                <w:color w:val="auto"/>
                <w:sz w:val="24"/>
                <w:highlight w:val="none"/>
              </w:rPr>
            </w:pPr>
          </w:p>
        </w:tc>
        <w:tc>
          <w:tcPr>
            <w:tcW w:w="1785" w:type="dxa"/>
            <w:vAlign w:val="center"/>
          </w:tcPr>
          <w:p w14:paraId="4825D989">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365" w:type="dxa"/>
            <w:vAlign w:val="center"/>
          </w:tcPr>
          <w:p w14:paraId="7BF33D57">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2625" w:type="dxa"/>
            <w:vAlign w:val="center"/>
          </w:tcPr>
          <w:p w14:paraId="670B738E">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r>
    </w:tbl>
    <w:p w14:paraId="0DB8ACEA">
      <w:pPr>
        <w:shd w:val="clear"/>
        <w:spacing w:line="360" w:lineRule="auto"/>
        <w:rPr>
          <w:rFonts w:hint="eastAsia" w:ascii="宋体" w:hAnsi="宋体" w:eastAsia="宋体" w:cs="宋体"/>
          <w:b/>
          <w:color w:val="auto"/>
          <w:sz w:val="24"/>
          <w:highlight w:val="none"/>
        </w:rPr>
      </w:pPr>
    </w:p>
    <w:p w14:paraId="5DB74746">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06F76B14">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6A4972EC">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16E05B39">
      <w:pPr>
        <w:shd w:val="clear"/>
        <w:spacing w:line="360" w:lineRule="auto"/>
        <w:rPr>
          <w:rFonts w:hint="eastAsia" w:ascii="宋体" w:hAnsi="宋体" w:eastAsia="宋体" w:cs="宋体"/>
          <w:b/>
          <w:color w:val="auto"/>
          <w:sz w:val="24"/>
          <w:highlight w:val="none"/>
        </w:rPr>
      </w:pPr>
    </w:p>
    <w:p w14:paraId="45EF2BBC">
      <w:pPr>
        <w:shd w:val="clear"/>
        <w:spacing w:line="360" w:lineRule="auto"/>
        <w:rPr>
          <w:rFonts w:hint="eastAsia" w:ascii="宋体" w:hAnsi="宋体" w:eastAsia="宋体" w:cs="宋体"/>
          <w:b/>
          <w:color w:val="auto"/>
          <w:sz w:val="24"/>
          <w:highlight w:val="none"/>
        </w:rPr>
      </w:pPr>
    </w:p>
    <w:p w14:paraId="7B94A582">
      <w:pPr>
        <w:shd w:val="clear"/>
        <w:spacing w:line="360" w:lineRule="auto"/>
        <w:rPr>
          <w:rFonts w:hint="eastAsia" w:ascii="宋体" w:hAnsi="宋体" w:eastAsia="宋体" w:cs="宋体"/>
          <w:b/>
          <w:color w:val="auto"/>
          <w:sz w:val="24"/>
          <w:highlight w:val="none"/>
        </w:rPr>
      </w:pPr>
    </w:p>
    <w:p w14:paraId="442B9280">
      <w:pPr>
        <w:shd w:val="clear"/>
        <w:spacing w:line="360" w:lineRule="auto"/>
        <w:rPr>
          <w:rFonts w:hint="eastAsia" w:ascii="宋体" w:hAnsi="宋体" w:eastAsia="宋体" w:cs="宋体"/>
          <w:b/>
          <w:color w:val="auto"/>
          <w:sz w:val="24"/>
          <w:highlight w:val="none"/>
        </w:rPr>
      </w:pPr>
    </w:p>
    <w:p w14:paraId="78A6D598">
      <w:pPr>
        <w:shd w:val="clear"/>
        <w:spacing w:line="360" w:lineRule="auto"/>
        <w:rPr>
          <w:rFonts w:hint="eastAsia" w:ascii="宋体" w:hAnsi="宋体" w:eastAsia="宋体" w:cs="宋体"/>
          <w:b/>
          <w:color w:val="auto"/>
          <w:sz w:val="24"/>
          <w:highlight w:val="none"/>
        </w:rPr>
      </w:pPr>
    </w:p>
    <w:p w14:paraId="088E473A">
      <w:pPr>
        <w:shd w:val="clear"/>
        <w:spacing w:line="360" w:lineRule="auto"/>
        <w:rPr>
          <w:rFonts w:hint="eastAsia" w:ascii="宋体" w:hAnsi="宋体" w:eastAsia="宋体" w:cs="宋体"/>
          <w:b/>
          <w:color w:val="auto"/>
          <w:sz w:val="24"/>
          <w:highlight w:val="none"/>
        </w:rPr>
      </w:pPr>
    </w:p>
    <w:p w14:paraId="21DBF01E">
      <w:pPr>
        <w:shd w:val="clear"/>
        <w:spacing w:line="360" w:lineRule="auto"/>
        <w:rPr>
          <w:rFonts w:hint="eastAsia" w:ascii="宋体" w:hAnsi="宋体" w:eastAsia="宋体" w:cs="宋体"/>
          <w:b/>
          <w:color w:val="auto"/>
          <w:sz w:val="24"/>
          <w:highlight w:val="none"/>
        </w:rPr>
      </w:pPr>
    </w:p>
    <w:p w14:paraId="54D708CC">
      <w:pPr>
        <w:shd w:val="clear"/>
        <w:spacing w:line="360" w:lineRule="auto"/>
        <w:rPr>
          <w:rFonts w:hint="eastAsia" w:ascii="宋体" w:hAnsi="宋体" w:eastAsia="宋体" w:cs="宋体"/>
          <w:b/>
          <w:color w:val="auto"/>
          <w:sz w:val="24"/>
          <w:highlight w:val="none"/>
        </w:rPr>
      </w:pPr>
    </w:p>
    <w:p w14:paraId="4B900044">
      <w:pPr>
        <w:shd w:val="clear"/>
        <w:spacing w:line="360" w:lineRule="auto"/>
        <w:rPr>
          <w:rFonts w:hint="eastAsia" w:ascii="宋体" w:hAnsi="宋体" w:eastAsia="宋体" w:cs="宋体"/>
          <w:b/>
          <w:color w:val="auto"/>
          <w:sz w:val="24"/>
          <w:highlight w:val="none"/>
        </w:rPr>
      </w:pPr>
    </w:p>
    <w:p w14:paraId="4EF3176B">
      <w:pPr>
        <w:widowControl/>
        <w:shd w:val="clear"/>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379CA9D">
      <w:pPr>
        <w:shd w:val="clear"/>
        <w:tabs>
          <w:tab w:val="left" w:pos="2460"/>
        </w:tabs>
        <w:spacing w:line="480" w:lineRule="exact"/>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附件17</w:t>
      </w:r>
    </w:p>
    <w:p w14:paraId="7F459A40">
      <w:pPr>
        <w:shd w:val="clear"/>
        <w:spacing w:line="480" w:lineRule="exact"/>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tbl>
      <w:tblPr>
        <w:tblStyle w:val="3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A48B3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6E05B9C2">
            <w:pPr>
              <w:pStyle w:val="6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55" w:type="dxa"/>
            <w:tcBorders>
              <w:top w:val="single" w:color="auto" w:sz="4" w:space="0"/>
            </w:tcBorders>
            <w:vAlign w:val="center"/>
          </w:tcPr>
          <w:p w14:paraId="7416AE34">
            <w:pPr>
              <w:pStyle w:val="6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4061" w:type="dxa"/>
            <w:tcBorders>
              <w:top w:val="single" w:color="auto" w:sz="4" w:space="0"/>
            </w:tcBorders>
            <w:vAlign w:val="center"/>
          </w:tcPr>
          <w:p w14:paraId="4019F034">
            <w:pPr>
              <w:pStyle w:val="6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投标人情况</w:t>
            </w:r>
          </w:p>
        </w:tc>
        <w:tc>
          <w:tcPr>
            <w:tcW w:w="1373" w:type="dxa"/>
            <w:tcBorders>
              <w:top w:val="single" w:color="auto" w:sz="4" w:space="0"/>
            </w:tcBorders>
            <w:vAlign w:val="center"/>
          </w:tcPr>
          <w:p w14:paraId="394F8097">
            <w:pPr>
              <w:pStyle w:val="6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2CF32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3D3F0D81">
            <w:pPr>
              <w:pStyle w:val="6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355" w:type="dxa"/>
            <w:vMerge w:val="restart"/>
            <w:vAlign w:val="center"/>
          </w:tcPr>
          <w:p w14:paraId="3E044FE4">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保修期内售后服务情况（服务方式、服务网点、售后服务的内容和措施等等，可用附页和宣传材料）</w:t>
            </w:r>
          </w:p>
        </w:tc>
        <w:tc>
          <w:tcPr>
            <w:tcW w:w="4061" w:type="dxa"/>
          </w:tcPr>
          <w:p w14:paraId="09D61F8D">
            <w:pPr>
              <w:pStyle w:val="62"/>
              <w:keepNext w:val="0"/>
              <w:keepLines w:val="0"/>
              <w:suppressLineNumbers w:val="0"/>
              <w:shd w:val="clear"/>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生产厂商售后服务情况：</w:t>
            </w:r>
          </w:p>
        </w:tc>
        <w:tc>
          <w:tcPr>
            <w:tcW w:w="1373" w:type="dxa"/>
          </w:tcPr>
          <w:p w14:paraId="16B47915">
            <w:pPr>
              <w:pStyle w:val="62"/>
              <w:keepNext w:val="0"/>
              <w:keepLines w:val="0"/>
              <w:suppressLineNumbers w:val="0"/>
              <w:shd w:val="clear"/>
              <w:spacing w:before="0" w:beforeAutospacing="0" w:after="0" w:afterAutospacing="0" w:line="360" w:lineRule="auto"/>
              <w:ind w:left="0" w:right="0"/>
              <w:rPr>
                <w:rFonts w:hint="eastAsia" w:ascii="宋体" w:hAnsi="宋体" w:eastAsia="宋体" w:cs="宋体"/>
                <w:bCs/>
                <w:color w:val="auto"/>
                <w:sz w:val="24"/>
                <w:highlight w:val="none"/>
              </w:rPr>
            </w:pPr>
          </w:p>
        </w:tc>
      </w:tr>
      <w:tr w14:paraId="6B8A1D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5CC7121D">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color w:val="auto"/>
                <w:sz w:val="24"/>
                <w:highlight w:val="none"/>
              </w:rPr>
            </w:pPr>
          </w:p>
        </w:tc>
        <w:tc>
          <w:tcPr>
            <w:tcW w:w="2355" w:type="dxa"/>
            <w:vMerge w:val="continue"/>
            <w:vAlign w:val="center"/>
          </w:tcPr>
          <w:p w14:paraId="578680A7">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color w:val="auto"/>
                <w:sz w:val="24"/>
                <w:highlight w:val="none"/>
              </w:rPr>
            </w:pPr>
          </w:p>
        </w:tc>
        <w:tc>
          <w:tcPr>
            <w:tcW w:w="4061" w:type="dxa"/>
          </w:tcPr>
          <w:p w14:paraId="67DDC8D4">
            <w:pPr>
              <w:pStyle w:val="62"/>
              <w:keepNext w:val="0"/>
              <w:keepLines w:val="0"/>
              <w:suppressLineNumbers w:val="0"/>
              <w:shd w:val="clear"/>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投标人售后服务情况：</w:t>
            </w:r>
          </w:p>
        </w:tc>
        <w:tc>
          <w:tcPr>
            <w:tcW w:w="1373" w:type="dxa"/>
          </w:tcPr>
          <w:p w14:paraId="69CE76AE">
            <w:pPr>
              <w:pStyle w:val="62"/>
              <w:keepNext w:val="0"/>
              <w:keepLines w:val="0"/>
              <w:suppressLineNumbers w:val="0"/>
              <w:shd w:val="clear"/>
              <w:spacing w:before="0" w:beforeAutospacing="0" w:after="0" w:afterAutospacing="0" w:line="360" w:lineRule="auto"/>
              <w:ind w:left="0" w:right="0"/>
              <w:jc w:val="left"/>
              <w:rPr>
                <w:rFonts w:hint="eastAsia" w:ascii="宋体" w:hAnsi="宋体" w:eastAsia="宋体" w:cs="宋体"/>
                <w:bCs/>
                <w:color w:val="auto"/>
                <w:sz w:val="24"/>
                <w:highlight w:val="none"/>
              </w:rPr>
            </w:pPr>
          </w:p>
        </w:tc>
      </w:tr>
      <w:tr w14:paraId="152876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CC7DEF6">
            <w:pPr>
              <w:pStyle w:val="62"/>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355" w:type="dxa"/>
            <w:vAlign w:val="center"/>
          </w:tcPr>
          <w:p w14:paraId="24DBC4BC">
            <w:pPr>
              <w:pStyle w:val="62"/>
              <w:keepNext w:val="0"/>
              <w:keepLines w:val="0"/>
              <w:suppressLineNumbers w:val="0"/>
              <w:shd w:val="clear"/>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保修期后售后服务</w:t>
            </w:r>
          </w:p>
        </w:tc>
        <w:tc>
          <w:tcPr>
            <w:tcW w:w="4061" w:type="dxa"/>
          </w:tcPr>
          <w:p w14:paraId="65D6D72E">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color w:val="auto"/>
                <w:sz w:val="24"/>
                <w:highlight w:val="none"/>
              </w:rPr>
            </w:pPr>
          </w:p>
          <w:p w14:paraId="2EC9609A">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color w:val="auto"/>
                <w:sz w:val="24"/>
                <w:highlight w:val="none"/>
              </w:rPr>
            </w:pPr>
          </w:p>
          <w:p w14:paraId="1CC38408">
            <w:pPr>
              <w:pStyle w:val="62"/>
              <w:keepNext w:val="0"/>
              <w:keepLines w:val="0"/>
              <w:suppressLineNumbers w:val="0"/>
              <w:shd w:val="clear"/>
              <w:spacing w:before="0" w:beforeAutospacing="0" w:after="0" w:afterAutospacing="0" w:line="360" w:lineRule="auto"/>
              <w:ind w:left="0" w:right="0"/>
              <w:rPr>
                <w:rFonts w:hint="eastAsia" w:ascii="宋体" w:hAnsi="宋体" w:eastAsia="宋体" w:cs="宋体"/>
                <w:bCs/>
                <w:color w:val="auto"/>
                <w:sz w:val="24"/>
                <w:highlight w:val="none"/>
              </w:rPr>
            </w:pPr>
          </w:p>
        </w:tc>
        <w:tc>
          <w:tcPr>
            <w:tcW w:w="1373" w:type="dxa"/>
          </w:tcPr>
          <w:p w14:paraId="60C31333">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color w:val="auto"/>
                <w:sz w:val="24"/>
                <w:highlight w:val="none"/>
              </w:rPr>
            </w:pPr>
          </w:p>
          <w:p w14:paraId="63ADD33C">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color w:val="auto"/>
                <w:sz w:val="24"/>
                <w:highlight w:val="none"/>
              </w:rPr>
            </w:pPr>
          </w:p>
          <w:p w14:paraId="296CB510">
            <w:pPr>
              <w:pStyle w:val="62"/>
              <w:keepNext w:val="0"/>
              <w:keepLines w:val="0"/>
              <w:suppressLineNumbers w:val="0"/>
              <w:shd w:val="clear"/>
              <w:spacing w:before="0" w:beforeAutospacing="0" w:after="0" w:afterAutospacing="0" w:line="360" w:lineRule="auto"/>
              <w:ind w:left="0" w:right="0"/>
              <w:rPr>
                <w:rFonts w:hint="eastAsia" w:ascii="宋体" w:hAnsi="宋体" w:eastAsia="宋体" w:cs="宋体"/>
                <w:bCs/>
                <w:color w:val="auto"/>
                <w:sz w:val="24"/>
                <w:highlight w:val="none"/>
              </w:rPr>
            </w:pPr>
          </w:p>
        </w:tc>
      </w:tr>
      <w:tr w14:paraId="054982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44A351CF">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3</w:t>
            </w:r>
          </w:p>
        </w:tc>
        <w:tc>
          <w:tcPr>
            <w:tcW w:w="2355" w:type="dxa"/>
            <w:vAlign w:val="center"/>
          </w:tcPr>
          <w:p w14:paraId="2D311121">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培训方案（可用附页）</w:t>
            </w:r>
          </w:p>
        </w:tc>
        <w:tc>
          <w:tcPr>
            <w:tcW w:w="4061" w:type="dxa"/>
          </w:tcPr>
          <w:p w14:paraId="18B888CD">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i/>
                <w:color w:val="auto"/>
                <w:sz w:val="24"/>
                <w:highlight w:val="none"/>
              </w:rPr>
            </w:pPr>
          </w:p>
          <w:p w14:paraId="769EC4A9">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i/>
                <w:color w:val="auto"/>
                <w:sz w:val="24"/>
                <w:highlight w:val="none"/>
              </w:rPr>
            </w:pPr>
          </w:p>
        </w:tc>
        <w:tc>
          <w:tcPr>
            <w:tcW w:w="1373" w:type="dxa"/>
          </w:tcPr>
          <w:p w14:paraId="5733AF76">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i/>
                <w:color w:val="auto"/>
                <w:sz w:val="24"/>
                <w:highlight w:val="none"/>
              </w:rPr>
            </w:pPr>
          </w:p>
          <w:p w14:paraId="05FF2B57">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i/>
                <w:color w:val="auto"/>
                <w:sz w:val="24"/>
                <w:highlight w:val="none"/>
              </w:rPr>
            </w:pPr>
          </w:p>
          <w:p w14:paraId="02D67FC0">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i/>
                <w:color w:val="auto"/>
                <w:sz w:val="24"/>
                <w:highlight w:val="none"/>
              </w:rPr>
            </w:pPr>
          </w:p>
        </w:tc>
      </w:tr>
      <w:tr w14:paraId="52269F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117F9EFD">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2355" w:type="dxa"/>
            <w:tcBorders>
              <w:bottom w:val="single" w:color="auto" w:sz="4" w:space="0"/>
            </w:tcBorders>
            <w:vAlign w:val="center"/>
          </w:tcPr>
          <w:p w14:paraId="5A3F4B40">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4061" w:type="dxa"/>
            <w:tcBorders>
              <w:bottom w:val="single" w:color="auto" w:sz="4" w:space="0"/>
            </w:tcBorders>
          </w:tcPr>
          <w:p w14:paraId="59D55D6F">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color w:val="auto"/>
                <w:sz w:val="24"/>
                <w:highlight w:val="none"/>
              </w:rPr>
            </w:pPr>
          </w:p>
        </w:tc>
        <w:tc>
          <w:tcPr>
            <w:tcW w:w="1373" w:type="dxa"/>
            <w:tcBorders>
              <w:bottom w:val="single" w:color="auto" w:sz="4" w:space="0"/>
            </w:tcBorders>
          </w:tcPr>
          <w:p w14:paraId="3A4BF207">
            <w:pPr>
              <w:pStyle w:val="62"/>
              <w:keepNext w:val="0"/>
              <w:keepLines w:val="0"/>
              <w:widowControl/>
              <w:suppressLineNumbers w:val="0"/>
              <w:shd w:val="clear"/>
              <w:spacing w:before="0" w:beforeAutospacing="0" w:after="0" w:afterAutospacing="0" w:line="360" w:lineRule="auto"/>
              <w:ind w:left="0" w:right="0"/>
              <w:jc w:val="left"/>
              <w:rPr>
                <w:rFonts w:hint="eastAsia" w:ascii="宋体" w:hAnsi="宋体" w:eastAsia="宋体" w:cs="宋体"/>
                <w:bCs/>
                <w:color w:val="auto"/>
                <w:sz w:val="24"/>
                <w:highlight w:val="none"/>
              </w:rPr>
            </w:pPr>
          </w:p>
        </w:tc>
      </w:tr>
    </w:tbl>
    <w:p w14:paraId="55587D74">
      <w:pPr>
        <w:shd w:val="clear"/>
        <w:spacing w:line="360" w:lineRule="auto"/>
        <w:rPr>
          <w:rFonts w:hint="eastAsia" w:ascii="宋体" w:hAnsi="宋体" w:eastAsia="宋体" w:cs="宋体"/>
          <w:b/>
          <w:color w:val="auto"/>
          <w:sz w:val="24"/>
          <w:highlight w:val="none"/>
        </w:rPr>
      </w:pPr>
    </w:p>
    <w:p w14:paraId="6C134707">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6EDA9FA2">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3DD15549">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02D7F5C2">
      <w:pPr>
        <w:shd w:val="clear"/>
        <w:spacing w:line="360" w:lineRule="auto"/>
        <w:rPr>
          <w:rFonts w:hint="eastAsia" w:ascii="宋体" w:hAnsi="宋体" w:eastAsia="宋体" w:cs="宋体"/>
          <w:b/>
          <w:color w:val="auto"/>
          <w:sz w:val="24"/>
          <w:highlight w:val="none"/>
        </w:rPr>
      </w:pPr>
    </w:p>
    <w:p w14:paraId="35AE9820">
      <w:pPr>
        <w:shd w:val="clear"/>
        <w:spacing w:line="360" w:lineRule="auto"/>
        <w:rPr>
          <w:rFonts w:hint="eastAsia" w:ascii="宋体" w:hAnsi="宋体" w:eastAsia="宋体" w:cs="宋体"/>
          <w:b/>
          <w:color w:val="auto"/>
          <w:sz w:val="24"/>
          <w:highlight w:val="none"/>
        </w:rPr>
      </w:pPr>
    </w:p>
    <w:p w14:paraId="5A55FF9B">
      <w:pPr>
        <w:shd w:val="clear"/>
        <w:spacing w:line="360" w:lineRule="auto"/>
        <w:rPr>
          <w:rFonts w:hint="eastAsia" w:ascii="宋体" w:hAnsi="宋体" w:eastAsia="宋体" w:cs="宋体"/>
          <w:b/>
          <w:color w:val="auto"/>
          <w:sz w:val="24"/>
          <w:highlight w:val="none"/>
        </w:rPr>
      </w:pPr>
    </w:p>
    <w:p w14:paraId="7F94AE62">
      <w:pPr>
        <w:shd w:val="clear"/>
        <w:spacing w:line="360" w:lineRule="auto"/>
        <w:rPr>
          <w:rFonts w:hint="eastAsia" w:ascii="宋体" w:hAnsi="宋体" w:eastAsia="宋体" w:cs="宋体"/>
          <w:b/>
          <w:color w:val="auto"/>
          <w:sz w:val="24"/>
          <w:highlight w:val="none"/>
        </w:rPr>
      </w:pPr>
    </w:p>
    <w:p w14:paraId="351C357D">
      <w:pPr>
        <w:shd w:val="clear"/>
        <w:spacing w:line="360" w:lineRule="auto"/>
        <w:rPr>
          <w:rFonts w:hint="eastAsia" w:ascii="宋体" w:hAnsi="宋体" w:eastAsia="宋体" w:cs="宋体"/>
          <w:b/>
          <w:color w:val="auto"/>
          <w:sz w:val="24"/>
          <w:highlight w:val="none"/>
        </w:rPr>
      </w:pPr>
    </w:p>
    <w:p w14:paraId="3D53A468">
      <w:pPr>
        <w:shd w:val="clear"/>
        <w:spacing w:line="360" w:lineRule="auto"/>
        <w:rPr>
          <w:rFonts w:hint="eastAsia" w:ascii="宋体" w:hAnsi="宋体" w:eastAsia="宋体" w:cs="宋体"/>
          <w:b/>
          <w:color w:val="auto"/>
          <w:sz w:val="24"/>
          <w:highlight w:val="none"/>
        </w:rPr>
      </w:pPr>
    </w:p>
    <w:p w14:paraId="0A69D7AB">
      <w:pPr>
        <w:shd w:val="clear"/>
        <w:spacing w:line="360" w:lineRule="auto"/>
        <w:rPr>
          <w:rFonts w:hint="eastAsia" w:ascii="宋体" w:hAnsi="宋体" w:eastAsia="宋体" w:cs="宋体"/>
          <w:b/>
          <w:color w:val="auto"/>
          <w:sz w:val="24"/>
          <w:highlight w:val="none"/>
        </w:rPr>
      </w:pPr>
    </w:p>
    <w:p w14:paraId="77944EAB">
      <w:pPr>
        <w:shd w:val="clear"/>
        <w:spacing w:line="360" w:lineRule="auto"/>
        <w:rPr>
          <w:rFonts w:hint="eastAsia" w:ascii="宋体" w:hAnsi="宋体" w:eastAsia="宋体" w:cs="宋体"/>
          <w:b/>
          <w:color w:val="auto"/>
          <w:sz w:val="24"/>
          <w:highlight w:val="none"/>
        </w:rPr>
      </w:pPr>
    </w:p>
    <w:p w14:paraId="3477B56E">
      <w:pPr>
        <w:widowControl/>
        <w:shd w:val="clear"/>
        <w:jc w:val="left"/>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br w:type="page"/>
      </w:r>
    </w:p>
    <w:p w14:paraId="223331AC">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 xml:space="preserve">附件18　                                            </w:t>
      </w:r>
      <w:r>
        <w:rPr>
          <w:rFonts w:hint="eastAsia" w:ascii="宋体" w:hAnsi="宋体" w:eastAsia="宋体" w:cs="宋体"/>
          <w:b/>
          <w:bCs/>
          <w:color w:val="auto"/>
          <w:sz w:val="28"/>
          <w:szCs w:val="36"/>
          <w:highlight w:val="none"/>
          <w:u w:val="single"/>
        </w:rPr>
        <w:t xml:space="preserve">  　</w:t>
      </w:r>
      <w:r>
        <w:rPr>
          <w:rFonts w:hint="eastAsia" w:ascii="宋体" w:hAnsi="宋体" w:eastAsia="宋体" w:cs="宋体"/>
          <w:b/>
          <w:bCs/>
          <w:color w:val="auto"/>
          <w:sz w:val="28"/>
          <w:szCs w:val="36"/>
          <w:highlight w:val="none"/>
        </w:rPr>
        <w:t>本</w:t>
      </w:r>
    </w:p>
    <w:p w14:paraId="72A33BD5">
      <w:pPr>
        <w:shd w:val="clear"/>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402C98C">
      <w:pPr>
        <w:shd w:val="clea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530F6520">
      <w:pPr>
        <w:shd w:val="clear"/>
        <w:jc w:val="center"/>
        <w:rPr>
          <w:rFonts w:hint="eastAsia" w:ascii="宋体" w:hAnsi="宋体" w:eastAsia="宋体" w:cs="宋体"/>
          <w:b/>
          <w:color w:val="auto"/>
          <w:spacing w:val="40"/>
          <w:sz w:val="84"/>
          <w:szCs w:val="84"/>
          <w:highlight w:val="none"/>
        </w:rPr>
      </w:pPr>
    </w:p>
    <w:p w14:paraId="3021DA13">
      <w:pPr>
        <w:shd w:val="clear"/>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01D0BCAC">
      <w:pPr>
        <w:shd w:val="clear"/>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10FDC5AB">
      <w:pPr>
        <w:shd w:val="clear"/>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21565707">
      <w:pPr>
        <w:shd w:val="clear"/>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3AA90B4E">
      <w:pPr>
        <w:shd w:val="clear"/>
        <w:jc w:val="center"/>
        <w:rPr>
          <w:rFonts w:hint="eastAsia" w:ascii="宋体" w:hAnsi="宋体" w:eastAsia="宋体" w:cs="宋体"/>
          <w:color w:val="auto"/>
          <w:sz w:val="36"/>
          <w:szCs w:val="36"/>
          <w:highlight w:val="none"/>
        </w:rPr>
      </w:pPr>
    </w:p>
    <w:p w14:paraId="4BF2B95B">
      <w:pPr>
        <w:shd w:val="clear"/>
        <w:jc w:val="center"/>
        <w:rPr>
          <w:rFonts w:hint="eastAsia" w:ascii="宋体" w:hAnsi="宋体" w:eastAsia="宋体" w:cs="宋体"/>
          <w:color w:val="auto"/>
          <w:sz w:val="36"/>
          <w:szCs w:val="36"/>
          <w:highlight w:val="none"/>
        </w:rPr>
      </w:pPr>
    </w:p>
    <w:p w14:paraId="3EA98FF8">
      <w:pPr>
        <w:shd w:val="clear"/>
        <w:jc w:val="center"/>
        <w:rPr>
          <w:rFonts w:hint="eastAsia" w:ascii="宋体" w:hAnsi="宋体" w:eastAsia="宋体" w:cs="宋体"/>
          <w:color w:val="auto"/>
          <w:sz w:val="36"/>
          <w:szCs w:val="36"/>
          <w:highlight w:val="none"/>
        </w:rPr>
      </w:pPr>
    </w:p>
    <w:p w14:paraId="481BD15E">
      <w:pPr>
        <w:shd w:val="clea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w:t>
      </w:r>
      <w:r>
        <w:rPr>
          <w:rFonts w:hint="eastAsia" w:ascii="宋体" w:hAnsi="宋体" w:eastAsia="宋体" w:cs="宋体"/>
          <w:color w:val="auto"/>
          <w:sz w:val="32"/>
          <w:szCs w:val="32"/>
          <w:highlight w:val="none"/>
        </w:rPr>
        <w:t>（加盖公章）</w:t>
      </w:r>
      <w:r>
        <w:rPr>
          <w:rFonts w:hint="eastAsia" w:ascii="宋体" w:hAnsi="宋体" w:eastAsia="宋体" w:cs="宋体"/>
          <w:color w:val="auto"/>
          <w:sz w:val="36"/>
          <w:szCs w:val="36"/>
          <w:highlight w:val="none"/>
        </w:rPr>
        <w:t>：</w:t>
      </w:r>
    </w:p>
    <w:p w14:paraId="490489B9">
      <w:pPr>
        <w:shd w:val="clea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1B30741B">
      <w:pPr>
        <w:shd w:val="clea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2414771B">
      <w:pPr>
        <w:shd w:val="clear"/>
        <w:spacing w:line="360" w:lineRule="auto"/>
        <w:rPr>
          <w:rFonts w:hint="eastAsia" w:ascii="宋体" w:hAnsi="宋体" w:eastAsia="宋体" w:cs="宋体"/>
          <w:color w:val="auto"/>
          <w:sz w:val="24"/>
          <w:szCs w:val="32"/>
          <w:highlight w:val="none"/>
        </w:rPr>
      </w:pPr>
    </w:p>
    <w:p w14:paraId="21A94730">
      <w:pPr>
        <w:shd w:val="clear"/>
        <w:spacing w:line="360" w:lineRule="auto"/>
        <w:rPr>
          <w:rFonts w:hint="eastAsia" w:ascii="宋体" w:hAnsi="宋体" w:eastAsia="宋体" w:cs="宋体"/>
          <w:color w:val="auto"/>
          <w:sz w:val="24"/>
          <w:szCs w:val="32"/>
          <w:highlight w:val="none"/>
        </w:rPr>
      </w:pPr>
    </w:p>
    <w:p w14:paraId="0408F6FD">
      <w:pPr>
        <w:shd w:val="clear"/>
        <w:spacing w:line="360" w:lineRule="auto"/>
        <w:rPr>
          <w:rFonts w:hint="eastAsia" w:ascii="宋体" w:hAnsi="宋体" w:eastAsia="宋体" w:cs="宋体"/>
          <w:color w:val="auto"/>
          <w:sz w:val="24"/>
          <w:szCs w:val="32"/>
          <w:highlight w:val="none"/>
        </w:rPr>
      </w:pPr>
    </w:p>
    <w:p w14:paraId="7E732EE4">
      <w:pPr>
        <w:shd w:val="clear"/>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报价文件目录</w:t>
      </w:r>
    </w:p>
    <w:p w14:paraId="5D899B05">
      <w:pPr>
        <w:shd w:val="clear"/>
        <w:spacing w:line="360" w:lineRule="auto"/>
        <w:rPr>
          <w:rFonts w:hint="eastAsia" w:ascii="宋体" w:hAnsi="宋体" w:eastAsia="宋体" w:cs="宋体"/>
          <w:color w:val="auto"/>
          <w:sz w:val="24"/>
          <w:highlight w:val="none"/>
        </w:rPr>
      </w:pPr>
    </w:p>
    <w:p w14:paraId="7BA229D7">
      <w:pPr>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1、开标一览表（附件19）；</w:t>
      </w:r>
    </w:p>
    <w:p w14:paraId="703DA3B6">
      <w:pPr>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2、报价明细表（附件20）；</w:t>
      </w:r>
    </w:p>
    <w:p w14:paraId="37395CCF">
      <w:pPr>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3、针对报价投标人认为其他需要说明的；</w:t>
      </w:r>
    </w:p>
    <w:p w14:paraId="29DB2D91">
      <w:pPr>
        <w:shd w:val="clea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4、中小企业等声明函及落实政府采购政策需满足的资格要求所对应的证明材料（附件21）。</w:t>
      </w:r>
    </w:p>
    <w:p w14:paraId="1A138335">
      <w:pPr>
        <w:shd w:val="clear"/>
        <w:spacing w:line="360" w:lineRule="auto"/>
        <w:ind w:firstLine="480" w:firstLineChars="200"/>
        <w:rPr>
          <w:rFonts w:hint="eastAsia" w:ascii="宋体" w:hAnsi="宋体" w:eastAsia="宋体" w:cs="宋体"/>
          <w:color w:val="auto"/>
          <w:sz w:val="24"/>
          <w:szCs w:val="32"/>
          <w:highlight w:val="none"/>
        </w:rPr>
      </w:pPr>
    </w:p>
    <w:p w14:paraId="15D31ED1">
      <w:pPr>
        <w:shd w:val="clear"/>
        <w:spacing w:line="360" w:lineRule="auto"/>
        <w:rPr>
          <w:rFonts w:hint="eastAsia" w:ascii="宋体" w:hAnsi="宋体" w:eastAsia="宋体" w:cs="宋体"/>
          <w:color w:val="auto"/>
          <w:sz w:val="24"/>
          <w:szCs w:val="32"/>
          <w:highlight w:val="none"/>
        </w:rPr>
      </w:pPr>
    </w:p>
    <w:p w14:paraId="1377D580">
      <w:pPr>
        <w:shd w:val="clear"/>
        <w:spacing w:line="360" w:lineRule="auto"/>
        <w:rPr>
          <w:rFonts w:hint="eastAsia" w:ascii="宋体" w:hAnsi="宋体" w:eastAsia="宋体" w:cs="宋体"/>
          <w:color w:val="auto"/>
          <w:sz w:val="24"/>
          <w:szCs w:val="32"/>
          <w:highlight w:val="none"/>
        </w:rPr>
      </w:pPr>
    </w:p>
    <w:p w14:paraId="6210D515">
      <w:pPr>
        <w:pStyle w:val="16"/>
        <w:shd w:val="clear"/>
        <w:rPr>
          <w:rFonts w:hint="eastAsia" w:ascii="宋体" w:hAnsi="宋体" w:eastAsia="宋体" w:cs="宋体"/>
          <w:color w:val="auto"/>
          <w:szCs w:val="32"/>
          <w:highlight w:val="none"/>
        </w:rPr>
      </w:pPr>
    </w:p>
    <w:p w14:paraId="382158F4">
      <w:pPr>
        <w:pStyle w:val="17"/>
        <w:shd w:val="clear"/>
        <w:rPr>
          <w:rFonts w:hint="eastAsia" w:ascii="宋体" w:hAnsi="宋体" w:eastAsia="宋体" w:cs="宋体"/>
          <w:color w:val="auto"/>
          <w:sz w:val="24"/>
          <w:szCs w:val="32"/>
          <w:highlight w:val="none"/>
        </w:rPr>
      </w:pPr>
    </w:p>
    <w:p w14:paraId="1015DB69">
      <w:pPr>
        <w:pStyle w:val="29"/>
        <w:shd w:val="clear"/>
        <w:rPr>
          <w:rFonts w:hint="eastAsia" w:ascii="宋体" w:hAnsi="宋体" w:eastAsia="宋体" w:cs="宋体"/>
          <w:color w:val="auto"/>
          <w:sz w:val="24"/>
          <w:szCs w:val="32"/>
          <w:highlight w:val="none"/>
        </w:rPr>
      </w:pPr>
    </w:p>
    <w:p w14:paraId="18A02D14">
      <w:pPr>
        <w:shd w:val="clear"/>
        <w:rPr>
          <w:rFonts w:hint="eastAsia" w:ascii="宋体" w:hAnsi="宋体" w:eastAsia="宋体" w:cs="宋体"/>
          <w:color w:val="auto"/>
          <w:sz w:val="24"/>
          <w:szCs w:val="32"/>
          <w:highlight w:val="none"/>
        </w:rPr>
      </w:pPr>
    </w:p>
    <w:p w14:paraId="1EA6F59A">
      <w:pPr>
        <w:pStyle w:val="16"/>
        <w:shd w:val="clear"/>
        <w:rPr>
          <w:rFonts w:hint="eastAsia" w:ascii="宋体" w:hAnsi="宋体" w:eastAsia="宋体" w:cs="宋体"/>
          <w:color w:val="auto"/>
          <w:szCs w:val="32"/>
          <w:highlight w:val="none"/>
        </w:rPr>
      </w:pPr>
    </w:p>
    <w:p w14:paraId="63832AF8">
      <w:pPr>
        <w:pStyle w:val="17"/>
        <w:shd w:val="clear"/>
        <w:rPr>
          <w:rFonts w:hint="eastAsia" w:ascii="宋体" w:hAnsi="宋体" w:eastAsia="宋体" w:cs="宋体"/>
          <w:color w:val="auto"/>
          <w:sz w:val="24"/>
          <w:szCs w:val="32"/>
          <w:highlight w:val="none"/>
        </w:rPr>
      </w:pPr>
    </w:p>
    <w:p w14:paraId="58C7C975">
      <w:pPr>
        <w:pStyle w:val="29"/>
        <w:shd w:val="clear"/>
        <w:rPr>
          <w:rFonts w:hint="eastAsia" w:ascii="宋体" w:hAnsi="宋体" w:eastAsia="宋体" w:cs="宋体"/>
          <w:color w:val="auto"/>
          <w:sz w:val="24"/>
          <w:szCs w:val="32"/>
          <w:highlight w:val="none"/>
        </w:rPr>
      </w:pPr>
    </w:p>
    <w:p w14:paraId="645FEB50">
      <w:pPr>
        <w:shd w:val="clear"/>
        <w:rPr>
          <w:rFonts w:hint="eastAsia" w:ascii="宋体" w:hAnsi="宋体" w:eastAsia="宋体" w:cs="宋体"/>
          <w:color w:val="auto"/>
          <w:sz w:val="24"/>
          <w:szCs w:val="32"/>
          <w:highlight w:val="none"/>
        </w:rPr>
      </w:pPr>
    </w:p>
    <w:p w14:paraId="718FCB5E">
      <w:pPr>
        <w:pStyle w:val="16"/>
        <w:shd w:val="clear"/>
        <w:rPr>
          <w:rFonts w:hint="eastAsia" w:ascii="宋体" w:hAnsi="宋体" w:eastAsia="宋体" w:cs="宋体"/>
          <w:color w:val="auto"/>
          <w:szCs w:val="32"/>
          <w:highlight w:val="none"/>
        </w:rPr>
      </w:pPr>
    </w:p>
    <w:p w14:paraId="5AD0CBA5">
      <w:pPr>
        <w:pStyle w:val="17"/>
        <w:shd w:val="clear"/>
        <w:rPr>
          <w:rFonts w:hint="eastAsia" w:ascii="宋体" w:hAnsi="宋体" w:eastAsia="宋体" w:cs="宋体"/>
          <w:color w:val="auto"/>
          <w:sz w:val="24"/>
          <w:szCs w:val="32"/>
          <w:highlight w:val="none"/>
        </w:rPr>
      </w:pPr>
    </w:p>
    <w:p w14:paraId="7EEC8E71">
      <w:pPr>
        <w:pStyle w:val="29"/>
        <w:shd w:val="clear"/>
        <w:rPr>
          <w:rFonts w:hint="eastAsia" w:ascii="宋体" w:hAnsi="宋体" w:eastAsia="宋体" w:cs="宋体"/>
          <w:color w:val="auto"/>
          <w:sz w:val="24"/>
          <w:szCs w:val="32"/>
          <w:highlight w:val="none"/>
        </w:rPr>
      </w:pPr>
    </w:p>
    <w:p w14:paraId="35195D99">
      <w:pPr>
        <w:shd w:val="clear"/>
        <w:rPr>
          <w:rFonts w:hint="eastAsia" w:ascii="宋体" w:hAnsi="宋体" w:eastAsia="宋体" w:cs="宋体"/>
          <w:color w:val="auto"/>
          <w:sz w:val="24"/>
          <w:szCs w:val="32"/>
          <w:highlight w:val="none"/>
        </w:rPr>
      </w:pPr>
    </w:p>
    <w:p w14:paraId="7D3A089B">
      <w:pPr>
        <w:pStyle w:val="16"/>
        <w:shd w:val="clear"/>
        <w:rPr>
          <w:rFonts w:hint="eastAsia" w:ascii="宋体" w:hAnsi="宋体" w:eastAsia="宋体" w:cs="宋体"/>
          <w:color w:val="auto"/>
          <w:szCs w:val="32"/>
          <w:highlight w:val="none"/>
        </w:rPr>
      </w:pPr>
    </w:p>
    <w:p w14:paraId="2CBDDF39">
      <w:pPr>
        <w:pStyle w:val="17"/>
        <w:shd w:val="clear"/>
        <w:rPr>
          <w:rFonts w:hint="eastAsia" w:ascii="宋体" w:hAnsi="宋体" w:eastAsia="宋体" w:cs="宋体"/>
          <w:color w:val="auto"/>
          <w:sz w:val="24"/>
          <w:szCs w:val="32"/>
          <w:highlight w:val="none"/>
        </w:rPr>
      </w:pPr>
    </w:p>
    <w:p w14:paraId="784B0576">
      <w:pPr>
        <w:pStyle w:val="29"/>
        <w:shd w:val="clear"/>
        <w:rPr>
          <w:rFonts w:hint="eastAsia" w:ascii="宋体" w:hAnsi="宋体" w:eastAsia="宋体" w:cs="宋体"/>
          <w:color w:val="auto"/>
          <w:sz w:val="24"/>
          <w:szCs w:val="32"/>
          <w:highlight w:val="none"/>
        </w:rPr>
      </w:pPr>
    </w:p>
    <w:p w14:paraId="2DB13B1D">
      <w:pPr>
        <w:shd w:val="clear"/>
        <w:rPr>
          <w:rFonts w:hint="eastAsia" w:ascii="宋体" w:hAnsi="宋体" w:eastAsia="宋体" w:cs="宋体"/>
          <w:color w:val="auto"/>
          <w:sz w:val="24"/>
          <w:szCs w:val="32"/>
          <w:highlight w:val="none"/>
        </w:rPr>
      </w:pPr>
    </w:p>
    <w:p w14:paraId="4112F452">
      <w:pPr>
        <w:pStyle w:val="16"/>
        <w:shd w:val="clear"/>
        <w:rPr>
          <w:rFonts w:hint="eastAsia" w:ascii="宋体" w:hAnsi="宋体" w:eastAsia="宋体" w:cs="宋体"/>
          <w:color w:val="auto"/>
          <w:szCs w:val="32"/>
          <w:highlight w:val="none"/>
        </w:rPr>
      </w:pPr>
    </w:p>
    <w:p w14:paraId="0019BFE9">
      <w:pPr>
        <w:pStyle w:val="17"/>
        <w:shd w:val="clear"/>
        <w:rPr>
          <w:rFonts w:hint="eastAsia" w:ascii="宋体" w:hAnsi="宋体" w:eastAsia="宋体" w:cs="宋体"/>
          <w:color w:val="auto"/>
          <w:sz w:val="24"/>
          <w:szCs w:val="32"/>
          <w:highlight w:val="none"/>
        </w:rPr>
      </w:pPr>
    </w:p>
    <w:p w14:paraId="3F2CAEA4">
      <w:pPr>
        <w:pStyle w:val="29"/>
        <w:shd w:val="clear"/>
        <w:rPr>
          <w:rFonts w:hint="eastAsia" w:ascii="宋体" w:hAnsi="宋体" w:eastAsia="宋体" w:cs="宋体"/>
          <w:color w:val="auto"/>
          <w:sz w:val="24"/>
          <w:szCs w:val="32"/>
          <w:highlight w:val="none"/>
        </w:rPr>
      </w:pPr>
    </w:p>
    <w:p w14:paraId="4419B904">
      <w:pPr>
        <w:shd w:val="clear"/>
        <w:rPr>
          <w:rFonts w:hint="eastAsia" w:ascii="宋体" w:hAnsi="宋体" w:eastAsia="宋体" w:cs="宋体"/>
          <w:color w:val="auto"/>
          <w:sz w:val="24"/>
          <w:szCs w:val="32"/>
          <w:highlight w:val="none"/>
        </w:rPr>
      </w:pPr>
    </w:p>
    <w:p w14:paraId="64E36EB2">
      <w:pPr>
        <w:pStyle w:val="16"/>
        <w:shd w:val="clear"/>
        <w:rPr>
          <w:rFonts w:hint="eastAsia" w:ascii="宋体" w:hAnsi="宋体" w:eastAsia="宋体" w:cs="宋体"/>
          <w:color w:val="auto"/>
          <w:szCs w:val="32"/>
          <w:highlight w:val="none"/>
        </w:rPr>
      </w:pPr>
    </w:p>
    <w:p w14:paraId="1747029C">
      <w:pPr>
        <w:pStyle w:val="17"/>
        <w:shd w:val="clear"/>
        <w:rPr>
          <w:rFonts w:hint="eastAsia" w:ascii="宋体" w:hAnsi="宋体" w:eastAsia="宋体" w:cs="宋体"/>
          <w:color w:val="auto"/>
          <w:sz w:val="24"/>
          <w:szCs w:val="32"/>
          <w:highlight w:val="none"/>
        </w:rPr>
      </w:pPr>
    </w:p>
    <w:p w14:paraId="188EAABC">
      <w:pPr>
        <w:pStyle w:val="29"/>
        <w:shd w:val="clear"/>
        <w:rPr>
          <w:rFonts w:hint="eastAsia" w:ascii="宋体" w:hAnsi="宋体" w:eastAsia="宋体" w:cs="宋体"/>
          <w:color w:val="auto"/>
          <w:sz w:val="24"/>
          <w:szCs w:val="32"/>
          <w:highlight w:val="none"/>
        </w:rPr>
      </w:pPr>
    </w:p>
    <w:p w14:paraId="099E1062">
      <w:pPr>
        <w:shd w:val="clear"/>
        <w:rPr>
          <w:rFonts w:hint="eastAsia" w:ascii="宋体" w:hAnsi="宋体" w:eastAsia="宋体" w:cs="宋体"/>
          <w:color w:val="auto"/>
          <w:sz w:val="24"/>
          <w:szCs w:val="32"/>
          <w:highlight w:val="none"/>
        </w:rPr>
      </w:pPr>
    </w:p>
    <w:p w14:paraId="74ABAC97">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附件19</w:t>
      </w:r>
    </w:p>
    <w:p w14:paraId="0BF862A2">
      <w:pPr>
        <w:shd w:val="clea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44FC0201">
      <w:pPr>
        <w:shd w:val="clear"/>
        <w:spacing w:line="360" w:lineRule="auto"/>
        <w:ind w:left="-2" w:hanging="2"/>
        <w:jc w:val="center"/>
        <w:rPr>
          <w:rFonts w:hint="eastAsia" w:ascii="宋体" w:hAnsi="宋体" w:eastAsia="宋体" w:cs="宋体"/>
          <w:b/>
          <w:color w:val="auto"/>
          <w:sz w:val="32"/>
          <w:szCs w:val="32"/>
          <w:highlight w:val="none"/>
        </w:rPr>
      </w:pPr>
    </w:p>
    <w:p w14:paraId="2B8DB84A">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p w14:paraId="440A2054">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项目编号：                                       [单位：人民币/元]</w:t>
      </w:r>
    </w:p>
    <w:tbl>
      <w:tblPr>
        <w:tblStyle w:val="33"/>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293E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07D1E942">
            <w:pPr>
              <w:keepNext w:val="0"/>
              <w:keepLines w:val="0"/>
              <w:suppressLineNumbers w:val="0"/>
              <w:shd w:val="clear"/>
              <w:autoSpaceDE w:val="0"/>
              <w:autoSpaceDN w:val="0"/>
              <w:spacing w:before="0" w:beforeAutospacing="0" w:after="0" w:afterAutospacing="0" w:line="450" w:lineRule="exact"/>
              <w:ind w:left="0" w:right="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投标报价（元）</w:t>
            </w:r>
          </w:p>
        </w:tc>
        <w:tc>
          <w:tcPr>
            <w:tcW w:w="1349" w:type="dxa"/>
            <w:vAlign w:val="center"/>
          </w:tcPr>
          <w:p w14:paraId="5C304A09">
            <w:pPr>
              <w:keepNext w:val="0"/>
              <w:keepLines w:val="0"/>
              <w:suppressLineNumbers w:val="0"/>
              <w:shd w:val="clear"/>
              <w:autoSpaceDE w:val="0"/>
              <w:autoSpaceDN w:val="0"/>
              <w:spacing w:before="0" w:beforeAutospacing="0" w:after="0" w:afterAutospacing="0" w:line="450" w:lineRule="exact"/>
              <w:ind w:left="0" w:right="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4629" w:type="dxa"/>
            <w:vAlign w:val="center"/>
          </w:tcPr>
          <w:p w14:paraId="19E0E108">
            <w:pPr>
              <w:keepNext w:val="0"/>
              <w:keepLines w:val="0"/>
              <w:suppressLineNumbers w:val="0"/>
              <w:shd w:val="clear"/>
              <w:autoSpaceDE w:val="0"/>
              <w:autoSpaceDN w:val="0"/>
              <w:spacing w:before="0" w:beforeAutospacing="0" w:after="0" w:afterAutospacing="0" w:line="450" w:lineRule="exact"/>
              <w:ind w:left="0" w:right="0"/>
              <w:jc w:val="center"/>
              <w:textAlignment w:val="bottom"/>
              <w:rPr>
                <w:rFonts w:hint="eastAsia" w:ascii="宋体" w:hAnsi="宋体" w:eastAsia="宋体" w:cs="宋体"/>
                <w:color w:val="auto"/>
                <w:sz w:val="24"/>
                <w:highlight w:val="none"/>
              </w:rPr>
            </w:pPr>
          </w:p>
        </w:tc>
      </w:tr>
      <w:tr w14:paraId="70A3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17991300">
            <w:pPr>
              <w:keepNext w:val="0"/>
              <w:keepLines w:val="0"/>
              <w:suppressLineNumbers w:val="0"/>
              <w:shd w:val="clear"/>
              <w:spacing w:before="0" w:beforeAutospacing="0" w:after="0" w:afterAutospacing="0"/>
              <w:ind w:left="0" w:right="0"/>
              <w:rPr>
                <w:rFonts w:hint="eastAsia" w:ascii="宋体" w:hAnsi="宋体" w:eastAsia="宋体" w:cs="宋体"/>
                <w:color w:val="auto"/>
                <w:sz w:val="24"/>
                <w:highlight w:val="none"/>
              </w:rPr>
            </w:pPr>
          </w:p>
        </w:tc>
        <w:tc>
          <w:tcPr>
            <w:tcW w:w="1349" w:type="dxa"/>
            <w:vAlign w:val="center"/>
          </w:tcPr>
          <w:p w14:paraId="5B746812">
            <w:pPr>
              <w:keepNext w:val="0"/>
              <w:keepLines w:val="0"/>
              <w:suppressLineNumbers w:val="0"/>
              <w:shd w:val="clear"/>
              <w:autoSpaceDE w:val="0"/>
              <w:autoSpaceDN w:val="0"/>
              <w:spacing w:before="0" w:beforeAutospacing="0" w:after="0" w:afterAutospacing="0" w:line="450" w:lineRule="exact"/>
              <w:ind w:left="0" w:right="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4629" w:type="dxa"/>
            <w:vAlign w:val="center"/>
          </w:tcPr>
          <w:p w14:paraId="614334C7">
            <w:pPr>
              <w:keepNext w:val="0"/>
              <w:keepLines w:val="0"/>
              <w:suppressLineNumbers w:val="0"/>
              <w:shd w:val="clear"/>
              <w:autoSpaceDE w:val="0"/>
              <w:autoSpaceDN w:val="0"/>
              <w:spacing w:before="0" w:beforeAutospacing="0" w:after="0" w:afterAutospacing="0" w:line="450" w:lineRule="exact"/>
              <w:ind w:left="0" w:right="0"/>
              <w:jc w:val="center"/>
              <w:textAlignment w:val="bottom"/>
              <w:rPr>
                <w:rFonts w:hint="eastAsia" w:ascii="宋体" w:hAnsi="宋体" w:eastAsia="宋体" w:cs="宋体"/>
                <w:color w:val="auto"/>
                <w:sz w:val="24"/>
                <w:highlight w:val="none"/>
              </w:rPr>
            </w:pPr>
          </w:p>
        </w:tc>
      </w:tr>
    </w:tbl>
    <w:p w14:paraId="26C496BE">
      <w:pPr>
        <w:shd w:val="clear"/>
        <w:spacing w:line="360" w:lineRule="auto"/>
        <w:ind w:firstLine="480" w:firstLineChars="200"/>
        <w:jc w:val="left"/>
        <w:rPr>
          <w:rFonts w:hint="eastAsia" w:ascii="宋体" w:hAnsi="宋体" w:eastAsia="宋体" w:cs="宋体"/>
          <w:color w:val="auto"/>
          <w:sz w:val="24"/>
          <w:szCs w:val="32"/>
          <w:highlight w:val="none"/>
        </w:rPr>
      </w:pPr>
    </w:p>
    <w:p w14:paraId="380098DC">
      <w:pPr>
        <w:shd w:val="clea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填报要求：</w:t>
      </w:r>
    </w:p>
    <w:p w14:paraId="52AE8270">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39049461">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2.报价一经涂改，应在涂改处加盖单位公章，或者由法定代表人或授权委托代理人签字或盖章，否则其投标作无效标处理。</w:t>
      </w:r>
    </w:p>
    <w:p w14:paraId="6E1D860B">
      <w:pPr>
        <w:shd w:val="clear"/>
        <w:spacing w:line="360" w:lineRule="auto"/>
        <w:rPr>
          <w:rFonts w:hint="eastAsia" w:ascii="宋体" w:hAnsi="宋体" w:eastAsia="宋体" w:cs="宋体"/>
          <w:color w:val="auto"/>
          <w:sz w:val="24"/>
          <w:highlight w:val="none"/>
        </w:rPr>
      </w:pPr>
    </w:p>
    <w:p w14:paraId="319E3C54">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3D3B76B7">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7BB7EA84">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0FC423FD">
      <w:pPr>
        <w:shd w:val="clear"/>
        <w:spacing w:line="360" w:lineRule="auto"/>
        <w:jc w:val="left"/>
        <w:rPr>
          <w:rFonts w:hint="eastAsia" w:ascii="宋体" w:hAnsi="宋体" w:eastAsia="宋体" w:cs="宋体"/>
          <w:color w:val="auto"/>
          <w:sz w:val="24"/>
          <w:szCs w:val="32"/>
          <w:highlight w:val="none"/>
        </w:rPr>
      </w:pPr>
    </w:p>
    <w:p w14:paraId="7D1B45ED">
      <w:pPr>
        <w:shd w:val="clear"/>
        <w:spacing w:line="360" w:lineRule="auto"/>
        <w:ind w:firstLine="480" w:firstLineChars="200"/>
        <w:jc w:val="left"/>
        <w:rPr>
          <w:rFonts w:hint="eastAsia" w:ascii="宋体" w:hAnsi="宋体" w:eastAsia="宋体" w:cs="宋体"/>
          <w:color w:val="auto"/>
          <w:sz w:val="24"/>
          <w:szCs w:val="32"/>
          <w:highlight w:val="none"/>
        </w:rPr>
      </w:pPr>
    </w:p>
    <w:p w14:paraId="436C883C">
      <w:pPr>
        <w:shd w:val="clear"/>
        <w:spacing w:line="360" w:lineRule="auto"/>
        <w:ind w:firstLine="480" w:firstLineChars="200"/>
        <w:jc w:val="left"/>
        <w:rPr>
          <w:rFonts w:hint="eastAsia" w:ascii="宋体" w:hAnsi="宋体" w:eastAsia="宋体" w:cs="宋体"/>
          <w:color w:val="auto"/>
          <w:sz w:val="24"/>
          <w:szCs w:val="32"/>
          <w:highlight w:val="none"/>
        </w:rPr>
      </w:pPr>
    </w:p>
    <w:p w14:paraId="5B8E5FFB">
      <w:pPr>
        <w:shd w:val="clear"/>
        <w:spacing w:line="360" w:lineRule="auto"/>
        <w:ind w:firstLine="480" w:firstLineChars="200"/>
        <w:jc w:val="left"/>
        <w:rPr>
          <w:rFonts w:hint="eastAsia" w:ascii="宋体" w:hAnsi="宋体" w:eastAsia="宋体" w:cs="宋体"/>
          <w:color w:val="auto"/>
          <w:sz w:val="24"/>
          <w:szCs w:val="32"/>
          <w:highlight w:val="none"/>
        </w:rPr>
      </w:pPr>
    </w:p>
    <w:p w14:paraId="18DA2503">
      <w:pPr>
        <w:shd w:val="clear"/>
        <w:spacing w:line="360" w:lineRule="auto"/>
        <w:ind w:firstLine="480" w:firstLineChars="200"/>
        <w:jc w:val="left"/>
        <w:rPr>
          <w:rFonts w:hint="eastAsia" w:ascii="宋体" w:hAnsi="宋体" w:eastAsia="宋体" w:cs="宋体"/>
          <w:color w:val="auto"/>
          <w:sz w:val="24"/>
          <w:szCs w:val="32"/>
          <w:highlight w:val="none"/>
        </w:rPr>
      </w:pPr>
    </w:p>
    <w:p w14:paraId="00743DB7">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附件20</w:t>
      </w:r>
    </w:p>
    <w:p w14:paraId="3590ADAC">
      <w:pPr>
        <w:shd w:val="clea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报价明细表</w:t>
      </w:r>
    </w:p>
    <w:p w14:paraId="208E6710">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p w14:paraId="1954401F">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项目编号：                                       [单位：人民币/元]</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14:paraId="62E5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14:paraId="0CB933A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536" w:type="dxa"/>
            <w:vAlign w:val="center"/>
          </w:tcPr>
          <w:p w14:paraId="63D515DC">
            <w:pPr>
              <w:keepNext w:val="0"/>
              <w:keepLines w:val="0"/>
              <w:suppressLineNumbers w:val="0"/>
              <w:shd w:val="clear"/>
              <w:spacing w:before="0" w:beforeAutospacing="0" w:after="0" w:afterAutospacing="0" w:line="360" w:lineRule="auto"/>
              <w:ind w:left="52"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报价项目</w:t>
            </w:r>
          </w:p>
        </w:tc>
        <w:tc>
          <w:tcPr>
            <w:tcW w:w="851" w:type="dxa"/>
            <w:vAlign w:val="center"/>
          </w:tcPr>
          <w:p w14:paraId="20FFE028">
            <w:pPr>
              <w:keepNext w:val="0"/>
              <w:keepLines w:val="0"/>
              <w:suppressLineNumbers w:val="0"/>
              <w:shd w:val="clear"/>
              <w:spacing w:before="0" w:beforeAutospacing="0" w:after="0" w:afterAutospacing="0" w:line="360" w:lineRule="auto"/>
              <w:ind w:left="152"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2" w:type="dxa"/>
            <w:vAlign w:val="center"/>
          </w:tcPr>
          <w:p w14:paraId="50A8FE1B">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vAlign w:val="center"/>
          </w:tcPr>
          <w:p w14:paraId="73531F3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w:t>
            </w:r>
          </w:p>
        </w:tc>
        <w:tc>
          <w:tcPr>
            <w:tcW w:w="709" w:type="dxa"/>
            <w:vAlign w:val="center"/>
          </w:tcPr>
          <w:p w14:paraId="2D1C114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0D0C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14:paraId="21657276">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536" w:type="dxa"/>
            <w:vAlign w:val="center"/>
          </w:tcPr>
          <w:p w14:paraId="2F5F435C">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0B073B64">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92" w:type="dxa"/>
            <w:vAlign w:val="center"/>
          </w:tcPr>
          <w:p w14:paraId="12B9114A">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992" w:type="dxa"/>
            <w:vAlign w:val="center"/>
          </w:tcPr>
          <w:p w14:paraId="7F8B5BE1">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709" w:type="dxa"/>
            <w:vAlign w:val="center"/>
          </w:tcPr>
          <w:p w14:paraId="6516F16D">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0525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14:paraId="0C1145D0">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536" w:type="dxa"/>
            <w:vAlign w:val="center"/>
          </w:tcPr>
          <w:p w14:paraId="77374158">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104D97A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92" w:type="dxa"/>
            <w:vAlign w:val="center"/>
          </w:tcPr>
          <w:p w14:paraId="04CC595B">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992" w:type="dxa"/>
            <w:vAlign w:val="center"/>
          </w:tcPr>
          <w:p w14:paraId="2B164A8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709" w:type="dxa"/>
            <w:vAlign w:val="center"/>
          </w:tcPr>
          <w:p w14:paraId="55B353D4">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0027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1D2DA691">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536" w:type="dxa"/>
            <w:vAlign w:val="center"/>
          </w:tcPr>
          <w:p w14:paraId="0707BE6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rPr>
            </w:pPr>
          </w:p>
        </w:tc>
        <w:tc>
          <w:tcPr>
            <w:tcW w:w="851" w:type="dxa"/>
            <w:vAlign w:val="center"/>
          </w:tcPr>
          <w:p w14:paraId="40FD2E9F">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92" w:type="dxa"/>
            <w:vAlign w:val="center"/>
          </w:tcPr>
          <w:p w14:paraId="1C03DEBF">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992" w:type="dxa"/>
            <w:vAlign w:val="center"/>
          </w:tcPr>
          <w:p w14:paraId="40E48C30">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709" w:type="dxa"/>
            <w:vAlign w:val="center"/>
          </w:tcPr>
          <w:p w14:paraId="3ADDB99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3987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17C4901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536" w:type="dxa"/>
            <w:vAlign w:val="center"/>
          </w:tcPr>
          <w:p w14:paraId="3B0CC929">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851" w:type="dxa"/>
            <w:vAlign w:val="center"/>
          </w:tcPr>
          <w:p w14:paraId="787FC54A">
            <w:pPr>
              <w:keepNext w:val="0"/>
              <w:keepLines w:val="0"/>
              <w:suppressLineNumbers w:val="0"/>
              <w:shd w:val="clear"/>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92" w:type="dxa"/>
            <w:vAlign w:val="center"/>
          </w:tcPr>
          <w:p w14:paraId="32838212">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992" w:type="dxa"/>
            <w:vAlign w:val="center"/>
          </w:tcPr>
          <w:p w14:paraId="2975E22E">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c>
          <w:tcPr>
            <w:tcW w:w="709" w:type="dxa"/>
            <w:vAlign w:val="center"/>
          </w:tcPr>
          <w:p w14:paraId="44FA3183">
            <w:pPr>
              <w:keepNext w:val="0"/>
              <w:keepLines w:val="0"/>
              <w:suppressLineNumbers w:val="0"/>
              <w:shd w:val="clear"/>
              <w:spacing w:before="0" w:beforeAutospacing="0" w:after="0" w:afterAutospacing="0" w:line="360" w:lineRule="auto"/>
              <w:ind w:left="0" w:right="0"/>
              <w:rPr>
                <w:rFonts w:hint="eastAsia" w:ascii="宋体" w:hAnsi="宋体" w:eastAsia="宋体" w:cs="宋体"/>
                <w:color w:val="auto"/>
                <w:sz w:val="24"/>
                <w:highlight w:val="none"/>
              </w:rPr>
            </w:pPr>
          </w:p>
        </w:tc>
      </w:tr>
      <w:tr w14:paraId="6A9D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14:paraId="426C31D7">
            <w:pPr>
              <w:keepNext w:val="0"/>
              <w:keepLines w:val="0"/>
              <w:suppressLineNumbers w:val="0"/>
              <w:shd w:val="clear"/>
              <w:spacing w:before="0" w:beforeAutospacing="0" w:after="0" w:afterAutospacing="0" w:line="360" w:lineRule="auto"/>
              <w:ind w:left="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合计人民币：大写                               小写</w:t>
            </w:r>
          </w:p>
        </w:tc>
      </w:tr>
    </w:tbl>
    <w:p w14:paraId="1F393AC4">
      <w:pPr>
        <w:shd w:val="clear"/>
        <w:spacing w:line="360" w:lineRule="auto"/>
        <w:jc w:val="left"/>
        <w:rPr>
          <w:rFonts w:hint="eastAsia" w:ascii="宋体" w:hAnsi="宋体" w:eastAsia="宋体" w:cs="宋体"/>
          <w:b/>
          <w:bCs/>
          <w:color w:val="auto"/>
          <w:sz w:val="24"/>
          <w:szCs w:val="32"/>
          <w:highlight w:val="none"/>
        </w:rPr>
      </w:pPr>
    </w:p>
    <w:p w14:paraId="1C6908AC">
      <w:pPr>
        <w:shd w:val="clea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14:paraId="40A3C36C">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1.本表为《开标一览表》的报价明细表，如有缺项、漏项，视为投标报价中已包含相关费用，采购人无需另外支付任何费用。</w:t>
      </w:r>
    </w:p>
    <w:p w14:paraId="3CD9A2B8">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zh-CN"/>
        </w:rPr>
        <w:t>“报价明细表”中的报价合计应与“开标一览表”中的投标报价相一致，不一致时，以开标一览表为准。</w:t>
      </w:r>
    </w:p>
    <w:p w14:paraId="577E13CA">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投标报价明细表所填内容按招标文件采购要求为准。如有漏报的，视同已包含在投标报价内或已作优惠处理。有重大缺项的将作无效标处理。</w:t>
      </w:r>
    </w:p>
    <w:p w14:paraId="0C214632">
      <w:pPr>
        <w:shd w:val="clear"/>
        <w:spacing w:line="360" w:lineRule="auto"/>
        <w:jc w:val="left"/>
        <w:rPr>
          <w:rFonts w:hint="eastAsia" w:ascii="宋体" w:hAnsi="宋体" w:eastAsia="宋体" w:cs="宋体"/>
          <w:color w:val="auto"/>
          <w:sz w:val="24"/>
          <w:szCs w:val="32"/>
          <w:highlight w:val="none"/>
        </w:rPr>
      </w:pPr>
    </w:p>
    <w:p w14:paraId="2CFD562C">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14:paraId="2AE104F6">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p>
    <w:p w14:paraId="65884BA5">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443BDB6C">
      <w:pPr>
        <w:shd w:val="clear"/>
        <w:spacing w:line="360" w:lineRule="auto"/>
        <w:rPr>
          <w:rFonts w:hint="eastAsia" w:ascii="宋体" w:hAnsi="宋体" w:eastAsia="宋体" w:cs="宋体"/>
          <w:color w:val="auto"/>
          <w:sz w:val="24"/>
          <w:szCs w:val="32"/>
          <w:highlight w:val="none"/>
        </w:rPr>
      </w:pPr>
    </w:p>
    <w:p w14:paraId="5815435C">
      <w:pPr>
        <w:shd w:val="clear"/>
        <w:spacing w:line="360" w:lineRule="auto"/>
        <w:rPr>
          <w:rFonts w:hint="eastAsia" w:ascii="宋体" w:hAnsi="宋体" w:eastAsia="宋体" w:cs="宋体"/>
          <w:color w:val="auto"/>
          <w:sz w:val="24"/>
          <w:szCs w:val="32"/>
          <w:highlight w:val="none"/>
        </w:rPr>
      </w:pPr>
    </w:p>
    <w:p w14:paraId="65C60E57">
      <w:pPr>
        <w:shd w:val="clear"/>
        <w:spacing w:line="360" w:lineRule="auto"/>
        <w:rPr>
          <w:rFonts w:hint="eastAsia" w:ascii="宋体" w:hAnsi="宋体" w:eastAsia="宋体" w:cs="宋体"/>
          <w:color w:val="auto"/>
          <w:sz w:val="24"/>
          <w:szCs w:val="32"/>
          <w:highlight w:val="none"/>
        </w:rPr>
      </w:pPr>
    </w:p>
    <w:p w14:paraId="72BAF77C">
      <w:pPr>
        <w:shd w:val="clear"/>
        <w:spacing w:line="360" w:lineRule="auto"/>
        <w:rPr>
          <w:rFonts w:hint="eastAsia" w:ascii="宋体" w:hAnsi="宋体" w:eastAsia="宋体" w:cs="宋体"/>
          <w:color w:val="auto"/>
          <w:sz w:val="24"/>
          <w:szCs w:val="32"/>
          <w:highlight w:val="none"/>
        </w:rPr>
      </w:pPr>
    </w:p>
    <w:p w14:paraId="58E00F7A">
      <w:pPr>
        <w:shd w:val="clear"/>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附件21</w:t>
      </w:r>
    </w:p>
    <w:p w14:paraId="7061827B">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34DD065F">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lang w:eastAsia="zh-CN"/>
        </w:rPr>
        <w:t>台州市数据局</w:t>
      </w:r>
      <w:r>
        <w:rPr>
          <w:rFonts w:hint="eastAsia" w:ascii="宋体" w:hAnsi="宋体" w:eastAsia="宋体" w:cs="宋体"/>
          <w:bCs/>
          <w:color w:val="auto"/>
          <w:sz w:val="24"/>
          <w:highlight w:val="none"/>
        </w:rPr>
        <w:t>（单位名称）的</w:t>
      </w:r>
      <w:r>
        <w:rPr>
          <w:rFonts w:hint="eastAsia" w:ascii="宋体" w:hAnsi="宋体" w:cs="宋体"/>
          <w:bCs/>
          <w:color w:val="auto"/>
          <w:sz w:val="24"/>
          <w:highlight w:val="none"/>
          <w:u w:val="single"/>
          <w:lang w:eastAsia="zh-CN"/>
        </w:rPr>
        <w:t>台州市协同办公平台升级改造项目</w:t>
      </w:r>
      <w:r>
        <w:rPr>
          <w:rFonts w:hint="eastAsia" w:ascii="宋体" w:hAnsi="宋体" w:eastAsia="宋体" w:cs="宋体"/>
          <w:bCs/>
          <w:color w:val="auto"/>
          <w:sz w:val="24"/>
          <w:highlight w:val="none"/>
        </w:rPr>
        <w:t>（项目名称）采购活动，工程的施工单位全部为符合政策要求的中小企业（或者：服务全部由符合政策要求的中小企业承接）。相关企业的具体情况如下：</w:t>
      </w:r>
    </w:p>
    <w:p w14:paraId="3EA84C27">
      <w:pPr>
        <w:shd w:val="clear"/>
        <w:spacing w:line="360" w:lineRule="auto"/>
        <w:ind w:firstLine="480" w:firstLineChars="200"/>
        <w:jc w:val="left"/>
        <w:rPr>
          <w:rFonts w:hint="eastAsia" w:ascii="宋体" w:hAnsi="宋体" w:eastAsia="宋体" w:cs="宋体"/>
          <w:bCs/>
          <w:color w:val="auto"/>
          <w:sz w:val="24"/>
          <w:highlight w:val="none"/>
        </w:rPr>
      </w:pPr>
      <w:r>
        <w:rPr>
          <w:rStyle w:val="41"/>
          <w:rFonts w:hint="eastAsia" w:ascii="宋体" w:hAnsi="宋体" w:eastAsia="宋体" w:cs="宋体"/>
          <w:bCs/>
          <w:color w:val="auto"/>
          <w:sz w:val="24"/>
          <w:szCs w:val="24"/>
          <w:highlight w:val="none"/>
        </w:rPr>
        <w:t>1.</w:t>
      </w:r>
      <w:r>
        <w:rPr>
          <w:rStyle w:val="41"/>
          <w:rFonts w:hint="eastAsia" w:ascii="宋体" w:hAnsi="宋体" w:eastAsia="宋体" w:cs="宋体"/>
          <w:bCs/>
          <w:color w:val="auto"/>
          <w:sz w:val="24"/>
          <w:szCs w:val="24"/>
          <w:highlight w:val="none"/>
          <w:u w:val="single" w:color="000000"/>
        </w:rPr>
        <w:t>（标的名称）</w:t>
      </w:r>
      <w:r>
        <w:rPr>
          <w:rStyle w:val="41"/>
          <w:rFonts w:hint="eastAsia" w:ascii="宋体" w:hAnsi="宋体" w:eastAsia="宋体" w:cs="宋体"/>
          <w:bCs/>
          <w:color w:val="auto"/>
          <w:sz w:val="24"/>
          <w:szCs w:val="24"/>
          <w:highlight w:val="none"/>
        </w:rPr>
        <w:t>，属于</w:t>
      </w:r>
      <w:r>
        <w:rPr>
          <w:rStyle w:val="41"/>
          <w:rFonts w:hint="eastAsia" w:ascii="宋体" w:hAnsi="宋体" w:eastAsia="宋体" w:cs="宋体"/>
          <w:bCs/>
          <w:color w:val="auto"/>
          <w:sz w:val="24"/>
          <w:szCs w:val="24"/>
          <w:highlight w:val="none"/>
          <w:u w:val="single" w:color="000000"/>
        </w:rPr>
        <w:t>（采购文件中明确的所属行业）</w:t>
      </w:r>
      <w:r>
        <w:rPr>
          <w:rStyle w:val="41"/>
          <w:rFonts w:hint="eastAsia" w:ascii="宋体" w:hAnsi="宋体" w:eastAsia="宋体" w:cs="宋体"/>
          <w:bCs/>
          <w:color w:val="auto"/>
          <w:sz w:val="24"/>
          <w:szCs w:val="24"/>
          <w:highlight w:val="none"/>
        </w:rPr>
        <w:t>；承建（承接）企业为</w:t>
      </w:r>
      <w:r>
        <w:rPr>
          <w:rStyle w:val="41"/>
          <w:rFonts w:hint="eastAsia" w:ascii="宋体" w:hAnsi="宋体" w:eastAsia="宋体" w:cs="宋体"/>
          <w:bCs/>
          <w:color w:val="auto"/>
          <w:sz w:val="24"/>
          <w:szCs w:val="24"/>
          <w:highlight w:val="none"/>
          <w:u w:val="single" w:color="000000"/>
        </w:rPr>
        <w:t>（企业名称）</w:t>
      </w:r>
      <w:r>
        <w:rPr>
          <w:rStyle w:val="41"/>
          <w:rFonts w:hint="eastAsia" w:ascii="宋体" w:hAnsi="宋体" w:eastAsia="宋体" w:cs="宋体"/>
          <w:bCs/>
          <w:color w:val="auto"/>
          <w:sz w:val="24"/>
          <w:szCs w:val="24"/>
          <w:highlight w:val="none"/>
        </w:rPr>
        <w:t>，从业人员</w:t>
      </w:r>
      <w:r>
        <w:rPr>
          <w:rStyle w:val="41"/>
          <w:rFonts w:hint="eastAsia" w:ascii="宋体" w:hAnsi="宋体" w:eastAsia="宋体" w:cs="宋体"/>
          <w:bCs/>
          <w:color w:val="auto"/>
          <w:sz w:val="24"/>
          <w:szCs w:val="24"/>
          <w:highlight w:val="none"/>
          <w:u w:val="single" w:color="000000"/>
        </w:rPr>
        <w:t xml:space="preserve">     </w:t>
      </w:r>
      <w:r>
        <w:rPr>
          <w:rStyle w:val="41"/>
          <w:rFonts w:hint="eastAsia" w:ascii="宋体" w:hAnsi="宋体" w:eastAsia="宋体" w:cs="宋体"/>
          <w:bCs/>
          <w:color w:val="auto"/>
          <w:sz w:val="24"/>
          <w:szCs w:val="24"/>
          <w:highlight w:val="none"/>
        </w:rPr>
        <w:t>人，营业收入为</w:t>
      </w:r>
      <w:r>
        <w:rPr>
          <w:rStyle w:val="41"/>
          <w:rFonts w:hint="eastAsia" w:ascii="宋体" w:hAnsi="宋体" w:eastAsia="宋体" w:cs="宋体"/>
          <w:bCs/>
          <w:color w:val="auto"/>
          <w:sz w:val="24"/>
          <w:szCs w:val="24"/>
          <w:highlight w:val="none"/>
          <w:u w:val="single" w:color="000000"/>
        </w:rPr>
        <w:t xml:space="preserve">     </w:t>
      </w:r>
      <w:r>
        <w:rPr>
          <w:rStyle w:val="41"/>
          <w:rFonts w:hint="eastAsia" w:ascii="宋体" w:hAnsi="宋体" w:eastAsia="宋体" w:cs="宋体"/>
          <w:bCs/>
          <w:color w:val="auto"/>
          <w:sz w:val="24"/>
          <w:szCs w:val="24"/>
          <w:highlight w:val="none"/>
        </w:rPr>
        <w:t>万元，资产总额为</w:t>
      </w:r>
      <w:r>
        <w:rPr>
          <w:rStyle w:val="41"/>
          <w:rFonts w:hint="eastAsia" w:ascii="宋体" w:hAnsi="宋体" w:eastAsia="宋体" w:cs="宋体"/>
          <w:bCs/>
          <w:color w:val="auto"/>
          <w:sz w:val="24"/>
          <w:szCs w:val="24"/>
          <w:highlight w:val="none"/>
          <w:u w:val="single" w:color="000000"/>
        </w:rPr>
        <w:t xml:space="preserve">     </w:t>
      </w:r>
      <w:r>
        <w:rPr>
          <w:rFonts w:hint="eastAsia" w:ascii="宋体" w:hAnsi="宋体" w:eastAsia="宋体" w:cs="宋体"/>
          <w:bCs/>
          <w:color w:val="auto"/>
          <w:sz w:val="24"/>
          <w:highlight w:val="none"/>
        </w:rPr>
        <w:t>万元</w:t>
      </w:r>
      <w:r>
        <w:rPr>
          <w:rStyle w:val="40"/>
          <w:rFonts w:hint="eastAsia" w:ascii="宋体" w:hAnsi="宋体" w:eastAsia="宋体" w:cs="宋体"/>
          <w:bCs/>
          <w:color w:val="auto"/>
          <w:sz w:val="24"/>
          <w:highlight w:val="none"/>
        </w:rPr>
        <w:footnoteReference w:id="0"/>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40E2EA57">
      <w:pPr>
        <w:shd w:val="clear"/>
        <w:spacing w:line="360" w:lineRule="auto"/>
        <w:ind w:firstLine="480" w:firstLineChars="200"/>
        <w:jc w:val="left"/>
        <w:rPr>
          <w:rFonts w:hint="eastAsia" w:ascii="宋体" w:hAnsi="宋体" w:eastAsia="宋体" w:cs="宋体"/>
          <w:bCs/>
          <w:color w:val="auto"/>
          <w:sz w:val="24"/>
          <w:highlight w:val="none"/>
        </w:rPr>
      </w:pPr>
      <w:r>
        <w:rPr>
          <w:rStyle w:val="41"/>
          <w:rFonts w:hint="eastAsia" w:ascii="宋体" w:hAnsi="宋体" w:eastAsia="宋体" w:cs="宋体"/>
          <w:bCs/>
          <w:color w:val="auto"/>
          <w:sz w:val="24"/>
          <w:szCs w:val="24"/>
          <w:highlight w:val="none"/>
        </w:rPr>
        <w:t>2.</w:t>
      </w:r>
      <w:r>
        <w:rPr>
          <w:rStyle w:val="41"/>
          <w:rFonts w:hint="eastAsia" w:ascii="宋体" w:hAnsi="宋体" w:eastAsia="宋体" w:cs="宋体"/>
          <w:bCs/>
          <w:color w:val="auto"/>
          <w:sz w:val="24"/>
          <w:szCs w:val="24"/>
          <w:highlight w:val="none"/>
          <w:u w:val="single" w:color="000000"/>
        </w:rPr>
        <w:t>（标的名称）</w:t>
      </w:r>
      <w:r>
        <w:rPr>
          <w:rStyle w:val="41"/>
          <w:rFonts w:hint="eastAsia" w:ascii="宋体" w:hAnsi="宋体" w:eastAsia="宋体" w:cs="宋体"/>
          <w:bCs/>
          <w:color w:val="auto"/>
          <w:sz w:val="24"/>
          <w:szCs w:val="24"/>
          <w:highlight w:val="none"/>
        </w:rPr>
        <w:t>，属于</w:t>
      </w:r>
      <w:r>
        <w:rPr>
          <w:rStyle w:val="41"/>
          <w:rFonts w:hint="eastAsia" w:ascii="宋体" w:hAnsi="宋体" w:eastAsia="宋体" w:cs="宋体"/>
          <w:bCs/>
          <w:color w:val="auto"/>
          <w:sz w:val="24"/>
          <w:szCs w:val="24"/>
          <w:highlight w:val="none"/>
          <w:u w:val="single" w:color="000000"/>
        </w:rPr>
        <w:t>（采购文件中明确的所属行业）</w:t>
      </w:r>
      <w:r>
        <w:rPr>
          <w:rStyle w:val="41"/>
          <w:rFonts w:hint="eastAsia" w:ascii="宋体" w:hAnsi="宋体" w:eastAsia="宋体" w:cs="宋体"/>
          <w:bCs/>
          <w:color w:val="auto"/>
          <w:sz w:val="24"/>
          <w:szCs w:val="24"/>
          <w:highlight w:val="none"/>
        </w:rPr>
        <w:t>；承建（承接）企业为</w:t>
      </w:r>
      <w:r>
        <w:rPr>
          <w:rStyle w:val="41"/>
          <w:rFonts w:hint="eastAsia" w:ascii="宋体" w:hAnsi="宋体" w:eastAsia="宋体" w:cs="宋体"/>
          <w:bCs/>
          <w:color w:val="auto"/>
          <w:sz w:val="24"/>
          <w:szCs w:val="24"/>
          <w:highlight w:val="none"/>
          <w:u w:val="single" w:color="000000"/>
        </w:rPr>
        <w:t>（企业名称）</w:t>
      </w:r>
      <w:r>
        <w:rPr>
          <w:rStyle w:val="41"/>
          <w:rFonts w:hint="eastAsia" w:ascii="宋体" w:hAnsi="宋体" w:eastAsia="宋体" w:cs="宋体"/>
          <w:bCs/>
          <w:color w:val="auto"/>
          <w:sz w:val="24"/>
          <w:szCs w:val="24"/>
          <w:highlight w:val="none"/>
        </w:rPr>
        <w:t>，从业人员</w:t>
      </w:r>
      <w:r>
        <w:rPr>
          <w:rStyle w:val="41"/>
          <w:rFonts w:hint="eastAsia" w:ascii="宋体" w:hAnsi="宋体" w:eastAsia="宋体" w:cs="宋体"/>
          <w:bCs/>
          <w:color w:val="auto"/>
          <w:sz w:val="24"/>
          <w:szCs w:val="24"/>
          <w:highlight w:val="none"/>
          <w:u w:val="single" w:color="000000"/>
        </w:rPr>
        <w:t xml:space="preserve">     </w:t>
      </w:r>
      <w:r>
        <w:rPr>
          <w:rStyle w:val="41"/>
          <w:rFonts w:hint="eastAsia" w:ascii="宋体" w:hAnsi="宋体" w:eastAsia="宋体" w:cs="宋体"/>
          <w:bCs/>
          <w:color w:val="auto"/>
          <w:sz w:val="24"/>
          <w:szCs w:val="24"/>
          <w:highlight w:val="none"/>
        </w:rPr>
        <w:t>人，营业收入为</w:t>
      </w:r>
      <w:r>
        <w:rPr>
          <w:rStyle w:val="41"/>
          <w:rFonts w:hint="eastAsia" w:ascii="宋体" w:hAnsi="宋体" w:eastAsia="宋体" w:cs="宋体"/>
          <w:bCs/>
          <w:color w:val="auto"/>
          <w:sz w:val="24"/>
          <w:szCs w:val="24"/>
          <w:highlight w:val="none"/>
          <w:u w:val="single" w:color="000000"/>
        </w:rPr>
        <w:t xml:space="preserve">     </w:t>
      </w:r>
      <w:r>
        <w:rPr>
          <w:rStyle w:val="41"/>
          <w:rFonts w:hint="eastAsia" w:ascii="宋体" w:hAnsi="宋体" w:eastAsia="宋体" w:cs="宋体"/>
          <w:bCs/>
          <w:color w:val="auto"/>
          <w:sz w:val="24"/>
          <w:szCs w:val="24"/>
          <w:highlight w:val="none"/>
        </w:rPr>
        <w:t>万元，资产总额为</w:t>
      </w:r>
      <w:r>
        <w:rPr>
          <w:rStyle w:val="41"/>
          <w:rFonts w:hint="eastAsia" w:ascii="宋体" w:hAnsi="宋体" w:eastAsia="宋体" w:cs="宋体"/>
          <w:bCs/>
          <w:color w:val="auto"/>
          <w:sz w:val="24"/>
          <w:szCs w:val="24"/>
          <w:highlight w:val="none"/>
          <w:u w:val="single" w:color="000000"/>
        </w:rPr>
        <w:t xml:space="preserve">     </w:t>
      </w:r>
      <w:r>
        <w:rPr>
          <w:rFonts w:hint="eastAsia" w:ascii="宋体" w:hAnsi="宋体" w:eastAsia="宋体" w:cs="宋体"/>
          <w:bCs/>
          <w:color w:val="auto"/>
          <w:sz w:val="24"/>
          <w:highlight w:val="none"/>
        </w:rPr>
        <w:t>万元，属于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24D658B1">
      <w:pPr>
        <w:shd w:val="clear"/>
        <w:spacing w:line="360" w:lineRule="auto"/>
        <w:ind w:firstLine="480" w:firstLineChars="200"/>
        <w:jc w:val="left"/>
        <w:textAlignment w:val="baseline"/>
        <w:rPr>
          <w:rStyle w:val="41"/>
          <w:rFonts w:hint="eastAsia" w:ascii="宋体" w:hAnsi="宋体" w:eastAsia="宋体" w:cs="宋体"/>
          <w:bCs/>
          <w:color w:val="auto"/>
          <w:sz w:val="24"/>
          <w:szCs w:val="24"/>
          <w:highlight w:val="none"/>
        </w:rPr>
      </w:pPr>
      <w:r>
        <w:rPr>
          <w:rStyle w:val="41"/>
          <w:rFonts w:hint="eastAsia" w:ascii="宋体" w:hAnsi="宋体" w:eastAsia="宋体" w:cs="宋体"/>
          <w:bCs/>
          <w:color w:val="auto"/>
          <w:sz w:val="24"/>
          <w:szCs w:val="24"/>
          <w:highlight w:val="none"/>
        </w:rPr>
        <w:t>……</w:t>
      </w:r>
    </w:p>
    <w:p w14:paraId="6E033093">
      <w:pPr>
        <w:shd w:val="clear"/>
        <w:spacing w:line="360" w:lineRule="auto"/>
        <w:ind w:firstLine="480" w:firstLineChars="200"/>
        <w:jc w:val="left"/>
        <w:textAlignment w:val="baseline"/>
        <w:rPr>
          <w:rStyle w:val="41"/>
          <w:rFonts w:hint="eastAsia" w:ascii="宋体" w:hAnsi="宋体" w:eastAsia="宋体" w:cs="宋体"/>
          <w:bCs/>
          <w:color w:val="auto"/>
          <w:sz w:val="24"/>
          <w:szCs w:val="24"/>
          <w:highlight w:val="none"/>
        </w:rPr>
      </w:pPr>
      <w:r>
        <w:rPr>
          <w:rStyle w:val="41"/>
          <w:rFonts w:hint="eastAsia" w:ascii="宋体" w:hAnsi="宋体" w:eastAsia="宋体" w:cs="宋体"/>
          <w:bCs/>
          <w:color w:val="auto"/>
          <w:sz w:val="24"/>
          <w:szCs w:val="24"/>
          <w:highlight w:val="none"/>
        </w:rPr>
        <w:t>以上企业，不属于大企业的分支机构，不存在控股股东为大企业的情形，也不存在与大企业的负责人为同一人的情形。</w:t>
      </w:r>
    </w:p>
    <w:p w14:paraId="715D2BFC">
      <w:pPr>
        <w:shd w:val="clear"/>
        <w:spacing w:line="360" w:lineRule="auto"/>
        <w:ind w:firstLine="480" w:firstLineChars="200"/>
        <w:jc w:val="left"/>
        <w:rPr>
          <w:rFonts w:hint="eastAsia" w:ascii="宋体" w:hAnsi="宋体" w:eastAsia="宋体" w:cs="宋体"/>
          <w:bCs/>
          <w:color w:val="auto"/>
          <w:sz w:val="24"/>
          <w:highlight w:val="none"/>
        </w:rPr>
      </w:pPr>
      <w:r>
        <w:rPr>
          <w:rStyle w:val="41"/>
          <w:rFonts w:hint="eastAsia" w:ascii="宋体" w:hAnsi="宋体" w:eastAsia="宋体" w:cs="宋体"/>
          <w:bCs/>
          <w:color w:val="auto"/>
          <w:sz w:val="24"/>
          <w:szCs w:val="24"/>
          <w:highlight w:val="none"/>
        </w:rPr>
        <w:t>本企业对上述声明内容的真实性负责。如有虚假，将依法承担相应责任</w:t>
      </w:r>
      <w:r>
        <w:rPr>
          <w:rFonts w:hint="eastAsia" w:ascii="宋体" w:hAnsi="宋体" w:eastAsia="宋体" w:cs="宋体"/>
          <w:bCs/>
          <w:color w:val="auto"/>
          <w:sz w:val="24"/>
          <w:highlight w:val="none"/>
        </w:rPr>
        <w:t xml:space="preserve">。 </w:t>
      </w:r>
    </w:p>
    <w:p w14:paraId="5D770F09">
      <w:pPr>
        <w:shd w:val="clear"/>
        <w:spacing w:line="360" w:lineRule="auto"/>
        <w:jc w:val="left"/>
        <w:rPr>
          <w:rFonts w:hint="eastAsia" w:ascii="宋体" w:hAnsi="宋体" w:eastAsia="宋体" w:cs="宋体"/>
          <w:bCs/>
          <w:color w:val="auto"/>
          <w:sz w:val="24"/>
          <w:highlight w:val="none"/>
        </w:rPr>
      </w:pPr>
    </w:p>
    <w:p w14:paraId="3A6AED69">
      <w:pPr>
        <w:shd w:val="clea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企业名称（盖章）：</w:t>
      </w:r>
    </w:p>
    <w:p w14:paraId="5F1FECE7">
      <w:pPr>
        <w:shd w:val="clea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p>
    <w:p w14:paraId="7D1A490D">
      <w:pPr>
        <w:shd w:val="clear"/>
        <w:spacing w:line="360" w:lineRule="auto"/>
        <w:jc w:val="left"/>
        <w:rPr>
          <w:rFonts w:hint="eastAsia" w:ascii="宋体" w:hAnsi="宋体" w:eastAsia="宋体" w:cs="宋体"/>
          <w:bCs/>
          <w:color w:val="auto"/>
          <w:sz w:val="24"/>
          <w:highlight w:val="none"/>
        </w:rPr>
      </w:pPr>
    </w:p>
    <w:p w14:paraId="5776B2DC">
      <w:pPr>
        <w:shd w:val="clear"/>
        <w:spacing w:line="360" w:lineRule="auto"/>
        <w:jc w:val="left"/>
        <w:rPr>
          <w:rFonts w:hint="eastAsia" w:ascii="宋体" w:hAnsi="宋体" w:eastAsia="宋体" w:cs="宋体"/>
          <w:bCs/>
          <w:color w:val="auto"/>
          <w:sz w:val="24"/>
          <w:highlight w:val="none"/>
        </w:rPr>
      </w:pPr>
    </w:p>
    <w:p w14:paraId="6B2C76CA">
      <w:pPr>
        <w:shd w:val="clear"/>
        <w:spacing w:line="360" w:lineRule="auto"/>
        <w:jc w:val="left"/>
        <w:rPr>
          <w:rFonts w:hint="eastAsia" w:ascii="宋体" w:hAnsi="宋体" w:eastAsia="宋体" w:cs="宋体"/>
          <w:bCs/>
          <w:color w:val="auto"/>
          <w:sz w:val="24"/>
          <w:highlight w:val="none"/>
        </w:rPr>
      </w:pPr>
    </w:p>
    <w:p w14:paraId="7E91508F">
      <w:pPr>
        <w:shd w:val="clear"/>
        <w:spacing w:line="360" w:lineRule="auto"/>
        <w:jc w:val="left"/>
        <w:rPr>
          <w:rFonts w:hint="eastAsia" w:ascii="宋体" w:hAnsi="宋体" w:eastAsia="宋体" w:cs="宋体"/>
          <w:bCs/>
          <w:color w:val="auto"/>
          <w:sz w:val="24"/>
          <w:highlight w:val="none"/>
        </w:rPr>
      </w:pPr>
    </w:p>
    <w:p w14:paraId="55DF01ED">
      <w:pPr>
        <w:shd w:val="clear"/>
        <w:spacing w:line="360" w:lineRule="auto"/>
        <w:jc w:val="left"/>
        <w:rPr>
          <w:rFonts w:hint="eastAsia" w:ascii="宋体" w:hAnsi="宋体" w:eastAsia="宋体" w:cs="宋体"/>
          <w:bCs/>
          <w:color w:val="auto"/>
          <w:sz w:val="24"/>
          <w:highlight w:val="none"/>
        </w:rPr>
      </w:pPr>
    </w:p>
    <w:p w14:paraId="4680051E">
      <w:pPr>
        <w:shd w:val="clear"/>
        <w:spacing w:line="360" w:lineRule="auto"/>
        <w:jc w:val="left"/>
        <w:rPr>
          <w:rFonts w:hint="eastAsia" w:ascii="宋体" w:hAnsi="宋体" w:eastAsia="宋体" w:cs="宋体"/>
          <w:bCs/>
          <w:color w:val="auto"/>
          <w:sz w:val="24"/>
          <w:highlight w:val="none"/>
        </w:rPr>
      </w:pPr>
    </w:p>
    <w:p w14:paraId="279A93D6">
      <w:pPr>
        <w:shd w:val="clear"/>
        <w:spacing w:line="360" w:lineRule="auto"/>
        <w:jc w:val="left"/>
        <w:rPr>
          <w:rFonts w:hint="eastAsia" w:ascii="宋体" w:hAnsi="宋体" w:eastAsia="宋体" w:cs="宋体"/>
          <w:bCs/>
          <w:color w:val="auto"/>
          <w:sz w:val="24"/>
          <w:highlight w:val="none"/>
        </w:rPr>
      </w:pPr>
    </w:p>
    <w:p w14:paraId="4B73BB7B">
      <w:pPr>
        <w:shd w:val="clear"/>
        <w:spacing w:line="360" w:lineRule="auto"/>
        <w:ind w:left="-2" w:hanging="2"/>
        <w:jc w:val="center"/>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533EBB0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lang w:eastAsia="zh-CN"/>
        </w:rPr>
        <w:t>台州市数据局</w:t>
      </w:r>
      <w:r>
        <w:rPr>
          <w:rFonts w:hint="eastAsia" w:ascii="宋体" w:hAnsi="宋体" w:eastAsia="宋体" w:cs="宋体"/>
          <w:color w:val="auto"/>
          <w:sz w:val="24"/>
          <w:highlight w:val="none"/>
        </w:rPr>
        <w:t>的</w:t>
      </w:r>
      <w:r>
        <w:rPr>
          <w:rFonts w:hint="eastAsia" w:ascii="宋体" w:hAnsi="宋体" w:cs="宋体"/>
          <w:color w:val="auto"/>
          <w:sz w:val="24"/>
          <w:highlight w:val="none"/>
          <w:u w:val="single"/>
          <w:lang w:eastAsia="zh-CN"/>
        </w:rPr>
        <w:t>台州市协同办公平台升级改造项目</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D175C24">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7B37E91">
      <w:pPr>
        <w:shd w:val="clear"/>
        <w:spacing w:line="360" w:lineRule="auto"/>
        <w:rPr>
          <w:rFonts w:hint="eastAsia" w:ascii="宋体" w:hAnsi="宋体" w:eastAsia="宋体" w:cs="宋体"/>
          <w:bCs/>
          <w:color w:val="auto"/>
          <w:sz w:val="24"/>
          <w:highlight w:val="none"/>
        </w:rPr>
      </w:pPr>
    </w:p>
    <w:p w14:paraId="3AAB072D">
      <w:pPr>
        <w:shd w:val="clear"/>
        <w:spacing w:line="360" w:lineRule="auto"/>
        <w:ind w:firstLine="3120" w:firstLineChars="1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单位名称（单位公章）：</w:t>
      </w:r>
    </w:p>
    <w:p w14:paraId="2BF47147">
      <w:pPr>
        <w:shd w:val="clear"/>
        <w:spacing w:line="360" w:lineRule="auto"/>
        <w:ind w:firstLine="5040" w:firstLineChars="2100"/>
        <w:rPr>
          <w:rFonts w:hint="eastAsia" w:ascii="宋体" w:hAnsi="宋体" w:eastAsia="宋体" w:cs="宋体"/>
          <w:color w:val="auto"/>
          <w:highlight w:val="none"/>
        </w:rPr>
      </w:pPr>
      <w:r>
        <w:rPr>
          <w:rFonts w:hint="eastAsia" w:ascii="宋体" w:hAnsi="宋体" w:eastAsia="宋体" w:cs="宋体"/>
          <w:bCs/>
          <w:color w:val="auto"/>
          <w:sz w:val="24"/>
          <w:highlight w:val="none"/>
        </w:rPr>
        <w:t>日期：</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p>
    <w:p w14:paraId="06CC0E78">
      <w:pPr>
        <w:shd w:val="clear"/>
        <w:spacing w:line="360" w:lineRule="auto"/>
        <w:jc w:val="left"/>
        <w:rPr>
          <w:rFonts w:hint="eastAsia" w:ascii="宋体" w:hAnsi="宋体" w:eastAsia="宋体" w:cs="宋体"/>
          <w:bCs/>
          <w:color w:val="auto"/>
          <w:sz w:val="24"/>
          <w:highlight w:val="none"/>
        </w:rPr>
      </w:pPr>
    </w:p>
    <w:p w14:paraId="093C25FD">
      <w:pPr>
        <w:shd w:val="clear"/>
        <w:spacing w:line="360" w:lineRule="auto"/>
        <w:jc w:val="left"/>
        <w:rPr>
          <w:rFonts w:hint="eastAsia" w:ascii="宋体" w:hAnsi="宋体" w:eastAsia="宋体" w:cs="宋体"/>
          <w:bCs/>
          <w:color w:val="auto"/>
          <w:sz w:val="24"/>
          <w:highlight w:val="none"/>
        </w:rPr>
      </w:pPr>
    </w:p>
    <w:p w14:paraId="576E6809">
      <w:pPr>
        <w:shd w:val="clear"/>
        <w:spacing w:line="360" w:lineRule="auto"/>
        <w:jc w:val="left"/>
        <w:rPr>
          <w:rFonts w:hint="eastAsia" w:ascii="宋体" w:hAnsi="宋体" w:eastAsia="宋体" w:cs="宋体"/>
          <w:bCs/>
          <w:color w:val="auto"/>
          <w:sz w:val="24"/>
          <w:highlight w:val="none"/>
        </w:rPr>
      </w:pPr>
    </w:p>
    <w:p w14:paraId="0ED07D9F">
      <w:pPr>
        <w:shd w:val="clear"/>
        <w:spacing w:line="360" w:lineRule="auto"/>
        <w:jc w:val="left"/>
        <w:rPr>
          <w:rFonts w:hint="eastAsia" w:ascii="宋体" w:hAnsi="宋体" w:eastAsia="宋体" w:cs="宋体"/>
          <w:bCs/>
          <w:color w:val="auto"/>
          <w:sz w:val="24"/>
          <w:highlight w:val="none"/>
        </w:rPr>
      </w:pPr>
    </w:p>
    <w:p w14:paraId="72A6D9D3">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中小企业等声明函填表说明：</w:t>
      </w:r>
    </w:p>
    <w:p w14:paraId="191F65E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（1）标的设备分别由不同制造商制造的，请按序号填写齐全所有标的</w:t>
      </w:r>
      <w:r>
        <w:rPr>
          <w:rFonts w:hint="eastAsia" w:ascii="宋体" w:hAnsi="宋体" w:eastAsia="宋体" w:cs="宋体"/>
          <w:b/>
          <w:bCs/>
          <w:color w:val="auto"/>
          <w:sz w:val="24"/>
          <w:highlight w:val="none"/>
          <w:u w:val="single"/>
        </w:rPr>
        <w:t>货物制造商</w:t>
      </w:r>
      <w:r>
        <w:rPr>
          <w:rFonts w:hint="eastAsia" w:ascii="宋体" w:hAnsi="宋体" w:eastAsia="宋体" w:cs="宋体"/>
          <w:color w:val="auto"/>
          <w:sz w:val="24"/>
          <w:highlight w:val="none"/>
        </w:rPr>
        <w:t>的信息。</w:t>
      </w:r>
    </w:p>
    <w:p w14:paraId="5A4FBA65">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（2）从业人员、营业收入、资产总额填报上一年度数据，无上一年度数据的新成立企业可不填报。</w:t>
      </w:r>
    </w:p>
    <w:p w14:paraId="350F603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（3）为了更加准确判定制造商是否为小微企业，请供应商根据工业和信息化部官方网站---中小企业规模类型自测小程序来辨别制造商企业规模类型，中小企业规模类型自测小程序链接网址为</w:t>
      </w:r>
    </w:p>
    <w:p w14:paraId="0F3910AF">
      <w:pPr>
        <w:shd w:val="clea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"http://202.106.120.146/baosong/appweb/orgScale.html" </w:instrText>
      </w:r>
      <w:r>
        <w:rPr>
          <w:rFonts w:hint="eastAsia" w:ascii="宋体" w:hAnsi="宋体" w:eastAsia="宋体" w:cs="宋体"/>
          <w:color w:val="auto"/>
          <w:highlight w:val="none"/>
        </w:rPr>
        <w:fldChar w:fldCharType="separate"/>
      </w:r>
      <w:r>
        <w:rPr>
          <w:rStyle w:val="38"/>
          <w:rFonts w:hint="eastAsia" w:ascii="宋体" w:hAnsi="宋体" w:eastAsia="宋体" w:cs="宋体"/>
          <w:color w:val="auto"/>
          <w:sz w:val="24"/>
          <w:highlight w:val="none"/>
        </w:rPr>
        <w:t>http://202.106.120.146/baosong/appweb/orgScale.html</w:t>
      </w:r>
      <w:r>
        <w:rPr>
          <w:rStyle w:val="38"/>
          <w:rFonts w:hint="eastAsia" w:ascii="宋体" w:hAnsi="宋体" w:eastAsia="宋体" w:cs="宋体"/>
          <w:color w:val="auto"/>
          <w:sz w:val="24"/>
          <w:highlight w:val="none"/>
        </w:rPr>
        <w:fldChar w:fldCharType="end"/>
      </w:r>
    </w:p>
    <w:p w14:paraId="3348ED62">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（4）供应商未提供《中小企业声明函》的、《中小企业声明函》中内容应填写而未进行填写或未如实填写的，将不给予供应商小微企业报价优惠扣除。</w:t>
      </w:r>
    </w:p>
    <w:p w14:paraId="0DD7C2B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预成交供应商享受小微企业报价优惠扣除的，将按规定公开预成交供应商的《中小企业声明函》。</w:t>
      </w:r>
    </w:p>
    <w:p w14:paraId="0CF5465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（5）如国家对中小企业划型标准有新的规定的，从其规定。</w:t>
      </w:r>
    </w:p>
    <w:p w14:paraId="7F93B1C7">
      <w:pPr>
        <w:shd w:val="clear"/>
        <w:spacing w:line="420" w:lineRule="exact"/>
        <w:rPr>
          <w:rFonts w:hint="eastAsia" w:ascii="宋体" w:hAnsi="宋体" w:eastAsia="宋体" w:cs="宋体"/>
          <w:b/>
          <w:bCs/>
          <w:color w:val="auto"/>
          <w:sz w:val="28"/>
          <w:szCs w:val="36"/>
          <w:highlight w:val="none"/>
          <w:lang w:val="en-GB"/>
        </w:rPr>
      </w:pPr>
      <w:r>
        <w:rPr>
          <w:rFonts w:hint="eastAsia" w:ascii="宋体" w:hAnsi="宋体" w:eastAsia="宋体" w:cs="宋体"/>
          <w:b/>
          <w:bCs/>
          <w:color w:val="auto"/>
          <w:sz w:val="28"/>
          <w:szCs w:val="36"/>
          <w:highlight w:val="none"/>
          <w:lang w:val="en-GB"/>
        </w:rPr>
        <w:t>附件：</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lang w:val="en-GB"/>
        </w:rPr>
        <w:t>政府采购活动确认声明书</w:t>
      </w:r>
    </w:p>
    <w:p w14:paraId="23B6D4CE">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浙江五石中正工程咨询有限公司</w:t>
      </w:r>
      <w:r>
        <w:rPr>
          <w:rFonts w:hint="eastAsia" w:ascii="宋体" w:hAnsi="宋体" w:eastAsia="宋体" w:cs="宋体"/>
          <w:color w:val="auto"/>
          <w:sz w:val="24"/>
          <w:highlight w:val="none"/>
        </w:rPr>
        <w:t>（采购组织机构名称）：</w:t>
      </w:r>
    </w:p>
    <w:p w14:paraId="7F32F08F">
      <w:pPr>
        <w:shd w:val="clea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本人经由</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单位</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（法人代表）合法授权参加</w:t>
      </w:r>
      <w:r>
        <w:rPr>
          <w:rFonts w:hint="eastAsia" w:ascii="宋体" w:hAnsi="宋体" w:cs="宋体"/>
          <w:b/>
          <w:bCs/>
          <w:color w:val="auto"/>
          <w:sz w:val="24"/>
          <w:highlight w:val="none"/>
          <w:u w:val="single"/>
          <w:lang w:val="zh-CN"/>
        </w:rPr>
        <w:t>台州市协同办公平台升级改造项目</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zh-CN"/>
        </w:rPr>
        <w:t>编号：</w:t>
      </w:r>
      <w:r>
        <w:rPr>
          <w:rFonts w:hint="eastAsia" w:ascii="宋体" w:hAnsi="宋体" w:cs="宋体"/>
          <w:b/>
          <w:bCs/>
          <w:color w:val="auto"/>
          <w:sz w:val="24"/>
          <w:highlight w:val="none"/>
          <w:u w:val="single"/>
          <w:lang w:val="zh-CN"/>
        </w:rPr>
        <w:t>ZJWS2024-JJ315</w:t>
      </w:r>
      <w:r>
        <w:rPr>
          <w:rFonts w:hint="eastAsia" w:ascii="宋体" w:hAnsi="宋体" w:eastAsia="宋体" w:cs="宋体"/>
          <w:color w:val="auto"/>
          <w:sz w:val="24"/>
          <w:highlight w:val="none"/>
          <w:lang w:val="zh-CN"/>
        </w:rPr>
        <w:t>）政府采购活动，经与本单位法人代表（负责人）联系确认，现就有关公平竞争事项郑重声明如下：</w:t>
      </w:r>
    </w:p>
    <w:p w14:paraId="76F8AD46">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 □不存在利害关系 □存在下列利害关系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F3126CE">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    B.行政隶属关系    C.业务指导关系</w:t>
      </w:r>
    </w:p>
    <w:p w14:paraId="29D79EB4">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D.其他可能影响采购公正的利害关系（如有，请如实说明）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DE84CC4">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（供应商名称）之间存在下列利害关系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333C550">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w:t>
      </w:r>
    </w:p>
    <w:p w14:paraId="7E087FE2">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B.法定代表人或负责人或实际控制人是夫妻关系</w:t>
      </w:r>
    </w:p>
    <w:p w14:paraId="694AE803">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C.法定代表人或负责人或实际控制人是直系血亲关系</w:t>
      </w:r>
    </w:p>
    <w:p w14:paraId="6E8A6BA1">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D.法定代表人或负责人或实际控制人存在三代以内旁系血亲关系</w:t>
      </w:r>
    </w:p>
    <w:p w14:paraId="728C2332">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14:paraId="77135110">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14:paraId="42612287">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14:paraId="2B71B349">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H.存在分级代理或代销关系、同一生产制造商关系、管理关系、重要业务（占主营业务收入50%以上）或重要财务往来关系（如融资）等其他实质性控制关系</w:t>
      </w:r>
    </w:p>
    <w:p w14:paraId="4B43EDE5">
      <w:pPr>
        <w:shd w:val="clea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I.其他利害关系情况</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8EE51D6">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三、现已清楚知道并严格遵守政府采购法律法规和现场纪律。</w:t>
      </w:r>
    </w:p>
    <w:p w14:paraId="65043984">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项利害关系。</w:t>
      </w:r>
    </w:p>
    <w:p w14:paraId="014A2AE5">
      <w:pPr>
        <w:shd w:val="clea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2ACF2AEF">
      <w:pPr>
        <w:shd w:val="clear"/>
        <w:spacing w:line="420" w:lineRule="exact"/>
        <w:ind w:firstLine="4819" w:firstLineChars="20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供应商代表签名：</w:t>
      </w:r>
    </w:p>
    <w:p w14:paraId="31C5D302">
      <w:pPr>
        <w:shd w:val="clear"/>
        <w:spacing w:line="42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  月  日</w:t>
      </w:r>
    </w:p>
    <w:p w14:paraId="311F59AC">
      <w:pPr>
        <w:shd w:val="clear"/>
        <w:spacing w:line="42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highlight w:val="none"/>
        </w:rPr>
        <w:t>说明：商务技术文件开启后30分钟内，供应商通过邮件形式将经授权代表签署的《</w:t>
      </w:r>
      <w:r>
        <w:rPr>
          <w:rFonts w:hint="eastAsia" w:ascii="宋体" w:hAnsi="宋体" w:eastAsia="宋体" w:cs="宋体"/>
          <w:b/>
          <w:bCs/>
          <w:color w:val="auto"/>
          <w:sz w:val="24"/>
          <w:highlight w:val="none"/>
          <w:lang w:val="en-GB"/>
        </w:rPr>
        <w:t>政府采购活动确认声明书</w:t>
      </w:r>
      <w:r>
        <w:rPr>
          <w:rFonts w:hint="eastAsia" w:ascii="宋体" w:hAnsi="宋体" w:eastAsia="宋体" w:cs="宋体"/>
          <w:b/>
          <w:bCs/>
          <w:color w:val="auto"/>
          <w:sz w:val="24"/>
          <w:highlight w:val="none"/>
        </w:rPr>
        <w:t>》扫描件发至代理机构经办人邮箱（邮箱地址：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"mailto:303054329@qq.com）；"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24"/>
          <w:highlight w:val="none"/>
        </w:rPr>
        <w:t>zjwstz@163.com）；</w:t>
      </w:r>
      <w:r>
        <w:rPr>
          <w:rFonts w:hint="eastAsia" w:ascii="宋体" w:hAnsi="宋体" w:eastAsia="宋体" w:cs="宋体"/>
          <w:b/>
          <w:bCs/>
          <w:color w:val="auto"/>
          <w:sz w:val="24"/>
          <w:highlight w:val="none"/>
        </w:rPr>
        <w:fldChar w:fldCharType="end"/>
      </w:r>
      <w:r>
        <w:rPr>
          <w:rFonts w:hint="eastAsia" w:ascii="宋体" w:hAnsi="宋体" w:eastAsia="宋体" w:cs="宋体"/>
          <w:b/>
          <w:bCs/>
          <w:color w:val="auto"/>
          <w:sz w:val="24"/>
          <w:highlight w:val="none"/>
        </w:rPr>
        <w:t>不填写或未按规定发出邮件的，视同默认不存在确认声明书中的相关违规情形。</w:t>
      </w:r>
    </w:p>
    <w:sectPr>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265918C">
      <w:pPr>
        <w:pStyle w:val="28"/>
      </w:pPr>
      <w:r>
        <w:rPr>
          <w:rStyle w:val="40"/>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E71EB">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14:paraId="5A1F2CB9">
    <w:pPr>
      <w:pStyle w:val="2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11"/>
      <w:lvlText w:val="%1."/>
      <w:lvlJc w:val="left"/>
      <w:pPr>
        <w:tabs>
          <w:tab w:val="left" w:pos="360"/>
        </w:tabs>
        <w:ind w:left="360" w:hanging="360"/>
      </w:pPr>
      <w:rPr>
        <w:rFonts w:cs="Times New Roman"/>
      </w:rPr>
    </w:lvl>
  </w:abstractNum>
  <w:abstractNum w:abstractNumId="1">
    <w:nsid w:val="01967728"/>
    <w:multiLevelType w:val="multilevel"/>
    <w:tmpl w:val="01967728"/>
    <w:lvl w:ilvl="0" w:tentative="0">
      <w:start w:val="1"/>
      <w:numFmt w:val="chineseCounting"/>
      <w:suff w:val="nothing"/>
      <w:lvlText w:val="%1、"/>
      <w:lvlJc w:val="left"/>
      <w:pPr>
        <w:ind w:left="432" w:hanging="432"/>
      </w:pPr>
      <w:rPr>
        <w:rFonts w:hint="eastAsia" w:ascii="宋体" w:hAnsi="宋体" w:eastAsia="宋体" w:cs="宋体"/>
      </w:rPr>
    </w:lvl>
    <w:lvl w:ilvl="1" w:tentative="0">
      <w:start w:val="1"/>
      <w:numFmt w:val="decimal"/>
      <w:isLgl/>
      <w:lvlText w:val="%1.%2. "/>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
      <w:lvlJc w:val="left"/>
      <w:pPr>
        <w:ind w:left="864" w:hanging="864"/>
      </w:pPr>
      <w:rPr>
        <w:rFonts w:hint="eastAsia"/>
        <w:b w:val="0"/>
        <w:bCs w:val="0"/>
        <w:i w:val="0"/>
        <w:iCs w:val="0"/>
        <w:caps w:val="0"/>
        <w:smallCaps w:val="0"/>
        <w:strike w:val="0"/>
        <w:dstrike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7"/>
      <w:isLgl/>
      <w:lvlText w:val="%1.%2.%3.%4.%5."/>
      <w:lvlJc w:val="left"/>
      <w:pPr>
        <w:ind w:left="1008" w:hanging="1008"/>
      </w:pPr>
      <w:rPr>
        <w:rFonts w:hint="eastAsia"/>
        <w:b w:val="0"/>
        <w:bCs w:val="0"/>
        <w:i w:val="0"/>
        <w:iCs w:val="0"/>
        <w:caps w:val="0"/>
        <w:smallCaps w:val="0"/>
        <w:strike w:val="0"/>
        <w:dstrike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239E0CCD"/>
    <w:multiLevelType w:val="singleLevel"/>
    <w:tmpl w:val="239E0CCD"/>
    <w:lvl w:ilvl="0" w:tentative="0">
      <w:start w:val="1"/>
      <w:numFmt w:val="decimal"/>
      <w:suff w:val="nothing"/>
      <w:lvlText w:val="%1、"/>
      <w:lvlJc w:val="left"/>
    </w:lvl>
  </w:abstractNum>
  <w:abstractNum w:abstractNumId="3">
    <w:nsid w:val="313A22BF"/>
    <w:multiLevelType w:val="singleLevel"/>
    <w:tmpl w:val="313A22BF"/>
    <w:lvl w:ilvl="0" w:tentative="0">
      <w:start w:val="1"/>
      <w:numFmt w:val="decimal"/>
      <w:suff w:val="nothing"/>
      <w:lvlText w:val="%1、"/>
      <w:lvlJc w:val="left"/>
    </w:lvl>
  </w:abstractNum>
  <w:abstractNum w:abstractNumId="4">
    <w:nsid w:val="3B363D98"/>
    <w:multiLevelType w:val="multilevel"/>
    <w:tmpl w:val="3B363D98"/>
    <w:lvl w:ilvl="0" w:tentative="0">
      <w:start w:val="1"/>
      <w:numFmt w:val="decimal"/>
      <w:pStyle w:val="14"/>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5">
    <w:nsid w:val="3EBB3C91"/>
    <w:multiLevelType w:val="multilevel"/>
    <w:tmpl w:val="3EBB3C91"/>
    <w:lvl w:ilvl="0" w:tentative="0">
      <w:start w:val="1"/>
      <w:numFmt w:val="chineseCountingThousand"/>
      <w:pStyle w:val="95"/>
      <w:suff w:val="space"/>
      <w:lvlText w:val="%1. "/>
      <w:lvlJc w:val="left"/>
      <w:pPr>
        <w:ind w:left="907" w:hanging="907"/>
      </w:pPr>
      <w:rPr>
        <w:rFonts w:hint="eastAsia"/>
      </w:rPr>
    </w:lvl>
    <w:lvl w:ilvl="1" w:tentative="0">
      <w:start w:val="1"/>
      <w:numFmt w:val="decimal"/>
      <w:isLgl/>
      <w:suff w:val="space"/>
      <w:lvlText w:val="%1.%2 "/>
      <w:lvlJc w:val="left"/>
      <w:pPr>
        <w:ind w:left="794" w:hanging="794"/>
      </w:pPr>
      <w:rPr>
        <w:rFonts w:hint="eastAsia"/>
      </w:rPr>
    </w:lvl>
    <w:lvl w:ilvl="2" w:tentative="0">
      <w:start w:val="1"/>
      <w:numFmt w:val="decimal"/>
      <w:isLgl/>
      <w:suff w:val="space"/>
      <w:lvlText w:val="%1.%2.%3 "/>
      <w:lvlJc w:val="left"/>
      <w:pPr>
        <w:ind w:left="907"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MjRlMDI0ZDhjNDg5YjhmNTdlNjI5ZTE2NjIxNjMifQ=="/>
  </w:docVars>
  <w:rsids>
    <w:rsidRoot w:val="00172A27"/>
    <w:rsid w:val="00016260"/>
    <w:rsid w:val="0002035B"/>
    <w:rsid w:val="0002543B"/>
    <w:rsid w:val="000403F7"/>
    <w:rsid w:val="0006294D"/>
    <w:rsid w:val="00062AB3"/>
    <w:rsid w:val="000630DA"/>
    <w:rsid w:val="00082C5B"/>
    <w:rsid w:val="000B56EF"/>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9436A"/>
    <w:rsid w:val="002A1620"/>
    <w:rsid w:val="002D20B8"/>
    <w:rsid w:val="003102FB"/>
    <w:rsid w:val="0033011F"/>
    <w:rsid w:val="00332E30"/>
    <w:rsid w:val="00353DAF"/>
    <w:rsid w:val="00394F4B"/>
    <w:rsid w:val="003C020E"/>
    <w:rsid w:val="003C5E00"/>
    <w:rsid w:val="003E6DE1"/>
    <w:rsid w:val="003F595C"/>
    <w:rsid w:val="003F78E0"/>
    <w:rsid w:val="00441FAE"/>
    <w:rsid w:val="00446CEF"/>
    <w:rsid w:val="00457FF7"/>
    <w:rsid w:val="00491BDF"/>
    <w:rsid w:val="004A6193"/>
    <w:rsid w:val="004B4165"/>
    <w:rsid w:val="004E7C86"/>
    <w:rsid w:val="00501A00"/>
    <w:rsid w:val="00531666"/>
    <w:rsid w:val="00542F87"/>
    <w:rsid w:val="00616E31"/>
    <w:rsid w:val="00623B87"/>
    <w:rsid w:val="00636172"/>
    <w:rsid w:val="006413F0"/>
    <w:rsid w:val="00646CA0"/>
    <w:rsid w:val="006540F3"/>
    <w:rsid w:val="00655E3C"/>
    <w:rsid w:val="00674C42"/>
    <w:rsid w:val="006E05BE"/>
    <w:rsid w:val="006E5A80"/>
    <w:rsid w:val="006F4DFE"/>
    <w:rsid w:val="00702C0D"/>
    <w:rsid w:val="0075349E"/>
    <w:rsid w:val="00783370"/>
    <w:rsid w:val="00793C81"/>
    <w:rsid w:val="007A2629"/>
    <w:rsid w:val="007B32AB"/>
    <w:rsid w:val="007B765D"/>
    <w:rsid w:val="007C1005"/>
    <w:rsid w:val="007C340B"/>
    <w:rsid w:val="007F5FAF"/>
    <w:rsid w:val="00802325"/>
    <w:rsid w:val="008154BD"/>
    <w:rsid w:val="00823978"/>
    <w:rsid w:val="00847BE5"/>
    <w:rsid w:val="00874489"/>
    <w:rsid w:val="0088066B"/>
    <w:rsid w:val="008A4030"/>
    <w:rsid w:val="008E781F"/>
    <w:rsid w:val="008F0FD2"/>
    <w:rsid w:val="00912983"/>
    <w:rsid w:val="00944004"/>
    <w:rsid w:val="00992C73"/>
    <w:rsid w:val="0099553A"/>
    <w:rsid w:val="009B3E22"/>
    <w:rsid w:val="009F3459"/>
    <w:rsid w:val="009F36F6"/>
    <w:rsid w:val="00A12F71"/>
    <w:rsid w:val="00A17880"/>
    <w:rsid w:val="00A30B75"/>
    <w:rsid w:val="00A730CA"/>
    <w:rsid w:val="00AD4E26"/>
    <w:rsid w:val="00AF276E"/>
    <w:rsid w:val="00B0420E"/>
    <w:rsid w:val="00B468A8"/>
    <w:rsid w:val="00BB526C"/>
    <w:rsid w:val="00BE0ADF"/>
    <w:rsid w:val="00C44AFB"/>
    <w:rsid w:val="00C52E14"/>
    <w:rsid w:val="00C767D4"/>
    <w:rsid w:val="00CB0437"/>
    <w:rsid w:val="00CC232E"/>
    <w:rsid w:val="00CD1804"/>
    <w:rsid w:val="00CD1B4A"/>
    <w:rsid w:val="00D264AC"/>
    <w:rsid w:val="00D5269F"/>
    <w:rsid w:val="00DA25C4"/>
    <w:rsid w:val="00DB2B95"/>
    <w:rsid w:val="00DB6334"/>
    <w:rsid w:val="00E319E7"/>
    <w:rsid w:val="00E372BC"/>
    <w:rsid w:val="00EC69CC"/>
    <w:rsid w:val="00EF2797"/>
    <w:rsid w:val="00F127FF"/>
    <w:rsid w:val="00F64E95"/>
    <w:rsid w:val="00F74D1E"/>
    <w:rsid w:val="00F835F4"/>
    <w:rsid w:val="00F94869"/>
    <w:rsid w:val="00FA1085"/>
    <w:rsid w:val="01033AB9"/>
    <w:rsid w:val="014E75F2"/>
    <w:rsid w:val="0162067B"/>
    <w:rsid w:val="01935887"/>
    <w:rsid w:val="01BB35F9"/>
    <w:rsid w:val="022F3D89"/>
    <w:rsid w:val="0248373E"/>
    <w:rsid w:val="026B5F45"/>
    <w:rsid w:val="02997B42"/>
    <w:rsid w:val="02E12711"/>
    <w:rsid w:val="02E64D83"/>
    <w:rsid w:val="03887300"/>
    <w:rsid w:val="04220E8F"/>
    <w:rsid w:val="047F2580"/>
    <w:rsid w:val="04AE50DC"/>
    <w:rsid w:val="04CC341D"/>
    <w:rsid w:val="04E672BC"/>
    <w:rsid w:val="050E015C"/>
    <w:rsid w:val="05137CD7"/>
    <w:rsid w:val="060B26E0"/>
    <w:rsid w:val="060D6019"/>
    <w:rsid w:val="061B4D44"/>
    <w:rsid w:val="061E65E2"/>
    <w:rsid w:val="06302C70"/>
    <w:rsid w:val="06711B15"/>
    <w:rsid w:val="06A72333"/>
    <w:rsid w:val="06BD404D"/>
    <w:rsid w:val="06C447CC"/>
    <w:rsid w:val="06F26AFB"/>
    <w:rsid w:val="07367BC9"/>
    <w:rsid w:val="0746610F"/>
    <w:rsid w:val="07A02299"/>
    <w:rsid w:val="07AB7419"/>
    <w:rsid w:val="08234384"/>
    <w:rsid w:val="086C0E69"/>
    <w:rsid w:val="097A796A"/>
    <w:rsid w:val="0A3D172D"/>
    <w:rsid w:val="0ADB4F19"/>
    <w:rsid w:val="0B982374"/>
    <w:rsid w:val="0BB25A4B"/>
    <w:rsid w:val="0C00559E"/>
    <w:rsid w:val="0C1E2BA0"/>
    <w:rsid w:val="0C765CB2"/>
    <w:rsid w:val="0CC47EE3"/>
    <w:rsid w:val="0CC72065"/>
    <w:rsid w:val="0CCE3D8B"/>
    <w:rsid w:val="0D026C5D"/>
    <w:rsid w:val="0D5301A6"/>
    <w:rsid w:val="0D9E5A54"/>
    <w:rsid w:val="0DCB4A28"/>
    <w:rsid w:val="0E4F7C80"/>
    <w:rsid w:val="0E970358"/>
    <w:rsid w:val="0EF06582"/>
    <w:rsid w:val="0EFB63D6"/>
    <w:rsid w:val="0F38476A"/>
    <w:rsid w:val="0F525C3A"/>
    <w:rsid w:val="0F7F533D"/>
    <w:rsid w:val="0FA21B2E"/>
    <w:rsid w:val="0FC1695C"/>
    <w:rsid w:val="10053DFB"/>
    <w:rsid w:val="1021564D"/>
    <w:rsid w:val="10392EAE"/>
    <w:rsid w:val="10706EC2"/>
    <w:rsid w:val="109A6009"/>
    <w:rsid w:val="10B67F26"/>
    <w:rsid w:val="112127F4"/>
    <w:rsid w:val="112B7DF2"/>
    <w:rsid w:val="114D620F"/>
    <w:rsid w:val="12362DDE"/>
    <w:rsid w:val="127549CB"/>
    <w:rsid w:val="12767ED2"/>
    <w:rsid w:val="12807280"/>
    <w:rsid w:val="12C37550"/>
    <w:rsid w:val="13CE2B23"/>
    <w:rsid w:val="13E64BE3"/>
    <w:rsid w:val="13FC1BC3"/>
    <w:rsid w:val="141379A2"/>
    <w:rsid w:val="148463E6"/>
    <w:rsid w:val="14BE246C"/>
    <w:rsid w:val="14D20D9B"/>
    <w:rsid w:val="14F714F9"/>
    <w:rsid w:val="1527076B"/>
    <w:rsid w:val="15785FB4"/>
    <w:rsid w:val="15A72BED"/>
    <w:rsid w:val="15AE1060"/>
    <w:rsid w:val="15D171CD"/>
    <w:rsid w:val="15DD5B72"/>
    <w:rsid w:val="16082E04"/>
    <w:rsid w:val="1621170E"/>
    <w:rsid w:val="162524B4"/>
    <w:rsid w:val="16655BAA"/>
    <w:rsid w:val="16E3540A"/>
    <w:rsid w:val="16F20AA9"/>
    <w:rsid w:val="18297C96"/>
    <w:rsid w:val="182D2DC4"/>
    <w:rsid w:val="18820ED2"/>
    <w:rsid w:val="188B546E"/>
    <w:rsid w:val="189D4520"/>
    <w:rsid w:val="18B91D2B"/>
    <w:rsid w:val="18C40414"/>
    <w:rsid w:val="18E11A7C"/>
    <w:rsid w:val="18EF453A"/>
    <w:rsid w:val="19450AEE"/>
    <w:rsid w:val="19A8293B"/>
    <w:rsid w:val="19D0528C"/>
    <w:rsid w:val="19D37365"/>
    <w:rsid w:val="1A255D39"/>
    <w:rsid w:val="1A35626C"/>
    <w:rsid w:val="1A6525DA"/>
    <w:rsid w:val="1A6A6D44"/>
    <w:rsid w:val="1A6E2EB9"/>
    <w:rsid w:val="1A727F64"/>
    <w:rsid w:val="1A817123"/>
    <w:rsid w:val="1A9C1AC5"/>
    <w:rsid w:val="1AC8084D"/>
    <w:rsid w:val="1B674FFA"/>
    <w:rsid w:val="1B9F5145"/>
    <w:rsid w:val="1C093ECB"/>
    <w:rsid w:val="1C2A1FDB"/>
    <w:rsid w:val="1C5F4698"/>
    <w:rsid w:val="1C8170E0"/>
    <w:rsid w:val="1C925590"/>
    <w:rsid w:val="1C96375A"/>
    <w:rsid w:val="1CE4433A"/>
    <w:rsid w:val="1CEF09F5"/>
    <w:rsid w:val="1D955145"/>
    <w:rsid w:val="1DAA4E99"/>
    <w:rsid w:val="1DC530BD"/>
    <w:rsid w:val="1DF513D6"/>
    <w:rsid w:val="1E3E4D04"/>
    <w:rsid w:val="1E58234F"/>
    <w:rsid w:val="1E763007"/>
    <w:rsid w:val="1EB000C3"/>
    <w:rsid w:val="1EE84AA8"/>
    <w:rsid w:val="1EEA12FF"/>
    <w:rsid w:val="1F031196"/>
    <w:rsid w:val="20340911"/>
    <w:rsid w:val="205B0BA4"/>
    <w:rsid w:val="20C17471"/>
    <w:rsid w:val="212B2D67"/>
    <w:rsid w:val="217F0425"/>
    <w:rsid w:val="21B14797"/>
    <w:rsid w:val="2259413E"/>
    <w:rsid w:val="228447E5"/>
    <w:rsid w:val="22F23E66"/>
    <w:rsid w:val="23424F53"/>
    <w:rsid w:val="236E14E2"/>
    <w:rsid w:val="23931399"/>
    <w:rsid w:val="242E3EC2"/>
    <w:rsid w:val="2432505E"/>
    <w:rsid w:val="244D0366"/>
    <w:rsid w:val="24585E27"/>
    <w:rsid w:val="24D82326"/>
    <w:rsid w:val="250B1C22"/>
    <w:rsid w:val="252E28FE"/>
    <w:rsid w:val="254A6A74"/>
    <w:rsid w:val="25733D33"/>
    <w:rsid w:val="25E54514"/>
    <w:rsid w:val="25EC42FB"/>
    <w:rsid w:val="268A132E"/>
    <w:rsid w:val="26B51612"/>
    <w:rsid w:val="270C4AA5"/>
    <w:rsid w:val="270F224B"/>
    <w:rsid w:val="276F6846"/>
    <w:rsid w:val="28076A74"/>
    <w:rsid w:val="283B0257"/>
    <w:rsid w:val="283B2A21"/>
    <w:rsid w:val="28EE5691"/>
    <w:rsid w:val="29803A90"/>
    <w:rsid w:val="29D148D0"/>
    <w:rsid w:val="29E30E59"/>
    <w:rsid w:val="2A3E177C"/>
    <w:rsid w:val="2A3F4BF5"/>
    <w:rsid w:val="2AC803DC"/>
    <w:rsid w:val="2AF71430"/>
    <w:rsid w:val="2AFB4FC0"/>
    <w:rsid w:val="2B38078E"/>
    <w:rsid w:val="2B520C88"/>
    <w:rsid w:val="2BE65381"/>
    <w:rsid w:val="2C0954BB"/>
    <w:rsid w:val="2CBA0A59"/>
    <w:rsid w:val="2D0219A9"/>
    <w:rsid w:val="2D0E4908"/>
    <w:rsid w:val="2DA51213"/>
    <w:rsid w:val="2DEA4E78"/>
    <w:rsid w:val="2E494294"/>
    <w:rsid w:val="2E831505"/>
    <w:rsid w:val="2EF469A2"/>
    <w:rsid w:val="2F402F53"/>
    <w:rsid w:val="2F6F7D2B"/>
    <w:rsid w:val="30143D85"/>
    <w:rsid w:val="301E14DD"/>
    <w:rsid w:val="303845C1"/>
    <w:rsid w:val="305742C4"/>
    <w:rsid w:val="30B362CA"/>
    <w:rsid w:val="315930F3"/>
    <w:rsid w:val="3167588E"/>
    <w:rsid w:val="31752B09"/>
    <w:rsid w:val="31A813B1"/>
    <w:rsid w:val="31A87135"/>
    <w:rsid w:val="31C4449A"/>
    <w:rsid w:val="32851613"/>
    <w:rsid w:val="32CC5C35"/>
    <w:rsid w:val="32CC7242"/>
    <w:rsid w:val="3361798A"/>
    <w:rsid w:val="3392089F"/>
    <w:rsid w:val="341548E3"/>
    <w:rsid w:val="3417273F"/>
    <w:rsid w:val="343236E2"/>
    <w:rsid w:val="34390907"/>
    <w:rsid w:val="343B0120"/>
    <w:rsid w:val="34E96C65"/>
    <w:rsid w:val="35571045"/>
    <w:rsid w:val="35671120"/>
    <w:rsid w:val="359B739A"/>
    <w:rsid w:val="35C76FD3"/>
    <w:rsid w:val="360971EA"/>
    <w:rsid w:val="363C3B54"/>
    <w:rsid w:val="36414F4F"/>
    <w:rsid w:val="36623E0E"/>
    <w:rsid w:val="36AD2EE7"/>
    <w:rsid w:val="373A6E70"/>
    <w:rsid w:val="37712A39"/>
    <w:rsid w:val="38353194"/>
    <w:rsid w:val="387D18D5"/>
    <w:rsid w:val="388E0DA1"/>
    <w:rsid w:val="38983E4E"/>
    <w:rsid w:val="38B247E4"/>
    <w:rsid w:val="3A7C6150"/>
    <w:rsid w:val="3ACA2A7C"/>
    <w:rsid w:val="3AE50133"/>
    <w:rsid w:val="3AFB084A"/>
    <w:rsid w:val="3B07233D"/>
    <w:rsid w:val="3B164EDD"/>
    <w:rsid w:val="3B345EA5"/>
    <w:rsid w:val="3B7641EF"/>
    <w:rsid w:val="3B907037"/>
    <w:rsid w:val="3BDA6648"/>
    <w:rsid w:val="3BFD046C"/>
    <w:rsid w:val="3D09356D"/>
    <w:rsid w:val="3D1275D3"/>
    <w:rsid w:val="3D96448A"/>
    <w:rsid w:val="3D980DA4"/>
    <w:rsid w:val="3DB531EC"/>
    <w:rsid w:val="3DBB71E5"/>
    <w:rsid w:val="3E4F2DCA"/>
    <w:rsid w:val="3EA4532B"/>
    <w:rsid w:val="3F0F2990"/>
    <w:rsid w:val="3F6A5E19"/>
    <w:rsid w:val="3F77220A"/>
    <w:rsid w:val="3FAA5168"/>
    <w:rsid w:val="3FED78DC"/>
    <w:rsid w:val="3FF43934"/>
    <w:rsid w:val="406E1939"/>
    <w:rsid w:val="408C3D93"/>
    <w:rsid w:val="40D83598"/>
    <w:rsid w:val="414D0521"/>
    <w:rsid w:val="41FF0180"/>
    <w:rsid w:val="42A472AC"/>
    <w:rsid w:val="42A47894"/>
    <w:rsid w:val="42A96C58"/>
    <w:rsid w:val="42C65079"/>
    <w:rsid w:val="43036342"/>
    <w:rsid w:val="431C0EEF"/>
    <w:rsid w:val="43346686"/>
    <w:rsid w:val="43855031"/>
    <w:rsid w:val="43D911A2"/>
    <w:rsid w:val="441D78FE"/>
    <w:rsid w:val="44394287"/>
    <w:rsid w:val="444A7FC7"/>
    <w:rsid w:val="44957494"/>
    <w:rsid w:val="44A616A1"/>
    <w:rsid w:val="44E23928"/>
    <w:rsid w:val="4563730C"/>
    <w:rsid w:val="456B496E"/>
    <w:rsid w:val="45C269AF"/>
    <w:rsid w:val="45DA6384"/>
    <w:rsid w:val="461448C9"/>
    <w:rsid w:val="472F3AEF"/>
    <w:rsid w:val="4822246F"/>
    <w:rsid w:val="48694FA0"/>
    <w:rsid w:val="486D03FD"/>
    <w:rsid w:val="488E768B"/>
    <w:rsid w:val="48936506"/>
    <w:rsid w:val="48CD043A"/>
    <w:rsid w:val="48D717C4"/>
    <w:rsid w:val="48F41BA0"/>
    <w:rsid w:val="495D72B2"/>
    <w:rsid w:val="496A3798"/>
    <w:rsid w:val="497F6965"/>
    <w:rsid w:val="49A8192A"/>
    <w:rsid w:val="49CE67D2"/>
    <w:rsid w:val="49F41D5E"/>
    <w:rsid w:val="49FF5646"/>
    <w:rsid w:val="4A3F6378"/>
    <w:rsid w:val="4A6358C8"/>
    <w:rsid w:val="4AA82D78"/>
    <w:rsid w:val="4B1972CC"/>
    <w:rsid w:val="4B1E31F7"/>
    <w:rsid w:val="4B3F0159"/>
    <w:rsid w:val="4B55797D"/>
    <w:rsid w:val="4B624AA3"/>
    <w:rsid w:val="4B7B0985"/>
    <w:rsid w:val="4BC1596D"/>
    <w:rsid w:val="4BC82643"/>
    <w:rsid w:val="4BCB3573"/>
    <w:rsid w:val="4C3870A4"/>
    <w:rsid w:val="4C5D5B32"/>
    <w:rsid w:val="4C745B35"/>
    <w:rsid w:val="4CA846B1"/>
    <w:rsid w:val="4CE75373"/>
    <w:rsid w:val="4D397978"/>
    <w:rsid w:val="4D490AA1"/>
    <w:rsid w:val="4D52234C"/>
    <w:rsid w:val="4D5934CA"/>
    <w:rsid w:val="4DB64580"/>
    <w:rsid w:val="4DBA747C"/>
    <w:rsid w:val="4DC60D92"/>
    <w:rsid w:val="4E437F61"/>
    <w:rsid w:val="4E8578F7"/>
    <w:rsid w:val="4EFC0CFC"/>
    <w:rsid w:val="4F643C80"/>
    <w:rsid w:val="4F73095A"/>
    <w:rsid w:val="50043D0D"/>
    <w:rsid w:val="506F7733"/>
    <w:rsid w:val="50C963FC"/>
    <w:rsid w:val="515661FD"/>
    <w:rsid w:val="51776BB3"/>
    <w:rsid w:val="519F5797"/>
    <w:rsid w:val="51DC5980"/>
    <w:rsid w:val="51EC090F"/>
    <w:rsid w:val="521D5543"/>
    <w:rsid w:val="524457F9"/>
    <w:rsid w:val="537A3277"/>
    <w:rsid w:val="53E65C00"/>
    <w:rsid w:val="53FE144A"/>
    <w:rsid w:val="543566EE"/>
    <w:rsid w:val="54DA14BE"/>
    <w:rsid w:val="55106ABC"/>
    <w:rsid w:val="55341E11"/>
    <w:rsid w:val="553A4203"/>
    <w:rsid w:val="563848A4"/>
    <w:rsid w:val="56414B4E"/>
    <w:rsid w:val="564B3E56"/>
    <w:rsid w:val="56674A08"/>
    <w:rsid w:val="566D4B95"/>
    <w:rsid w:val="56DC1295"/>
    <w:rsid w:val="56ED13B1"/>
    <w:rsid w:val="56EE365E"/>
    <w:rsid w:val="572656D4"/>
    <w:rsid w:val="575B4D4B"/>
    <w:rsid w:val="577A076D"/>
    <w:rsid w:val="578671EF"/>
    <w:rsid w:val="578D0B51"/>
    <w:rsid w:val="57A674E7"/>
    <w:rsid w:val="57E45422"/>
    <w:rsid w:val="585C0362"/>
    <w:rsid w:val="587316F1"/>
    <w:rsid w:val="58874B22"/>
    <w:rsid w:val="58DA3BB7"/>
    <w:rsid w:val="59080873"/>
    <w:rsid w:val="59234CED"/>
    <w:rsid w:val="59837876"/>
    <w:rsid w:val="599646D3"/>
    <w:rsid w:val="59AD06A4"/>
    <w:rsid w:val="59B84BD4"/>
    <w:rsid w:val="59DE1B9E"/>
    <w:rsid w:val="5A4D586D"/>
    <w:rsid w:val="5A56726E"/>
    <w:rsid w:val="5A5D1EF9"/>
    <w:rsid w:val="5A6249B0"/>
    <w:rsid w:val="5A9E1939"/>
    <w:rsid w:val="5AB43CB6"/>
    <w:rsid w:val="5AD20FEA"/>
    <w:rsid w:val="5AE03DE2"/>
    <w:rsid w:val="5B3C1575"/>
    <w:rsid w:val="5B6634E0"/>
    <w:rsid w:val="5B8754F4"/>
    <w:rsid w:val="5C1473E0"/>
    <w:rsid w:val="5C484BB0"/>
    <w:rsid w:val="5C835F40"/>
    <w:rsid w:val="5C995E78"/>
    <w:rsid w:val="5CAD763C"/>
    <w:rsid w:val="5D107BA8"/>
    <w:rsid w:val="5D775FB8"/>
    <w:rsid w:val="5DBB3FB7"/>
    <w:rsid w:val="5DF4050C"/>
    <w:rsid w:val="5E3A0E23"/>
    <w:rsid w:val="5E3A2E3F"/>
    <w:rsid w:val="5E4B3E44"/>
    <w:rsid w:val="5EE84C68"/>
    <w:rsid w:val="5F1871E8"/>
    <w:rsid w:val="5F8E01C3"/>
    <w:rsid w:val="5FA703FC"/>
    <w:rsid w:val="602463B0"/>
    <w:rsid w:val="6026592A"/>
    <w:rsid w:val="60E07B05"/>
    <w:rsid w:val="61161505"/>
    <w:rsid w:val="61E75867"/>
    <w:rsid w:val="621D5BA4"/>
    <w:rsid w:val="623460E6"/>
    <w:rsid w:val="627C6443"/>
    <w:rsid w:val="63197EAF"/>
    <w:rsid w:val="635B6748"/>
    <w:rsid w:val="63947A95"/>
    <w:rsid w:val="63C91A2B"/>
    <w:rsid w:val="63DA2CBD"/>
    <w:rsid w:val="64281C7B"/>
    <w:rsid w:val="64B50764"/>
    <w:rsid w:val="64BB18CD"/>
    <w:rsid w:val="656E5279"/>
    <w:rsid w:val="65AA5AF0"/>
    <w:rsid w:val="65D413C3"/>
    <w:rsid w:val="66282447"/>
    <w:rsid w:val="666B2102"/>
    <w:rsid w:val="669358D0"/>
    <w:rsid w:val="671A13DA"/>
    <w:rsid w:val="675937EA"/>
    <w:rsid w:val="67B05ABC"/>
    <w:rsid w:val="67B167D1"/>
    <w:rsid w:val="67DB0789"/>
    <w:rsid w:val="680779EE"/>
    <w:rsid w:val="683F6098"/>
    <w:rsid w:val="685F1C50"/>
    <w:rsid w:val="688F22C8"/>
    <w:rsid w:val="68D20B8D"/>
    <w:rsid w:val="68EC61A0"/>
    <w:rsid w:val="692755F0"/>
    <w:rsid w:val="699022E9"/>
    <w:rsid w:val="69BE6B2E"/>
    <w:rsid w:val="69DB026F"/>
    <w:rsid w:val="6A6E6CFE"/>
    <w:rsid w:val="6A714498"/>
    <w:rsid w:val="6AB97AD1"/>
    <w:rsid w:val="6ABB5F80"/>
    <w:rsid w:val="6ADF5030"/>
    <w:rsid w:val="6B0B3BC7"/>
    <w:rsid w:val="6BF84F47"/>
    <w:rsid w:val="6CB01564"/>
    <w:rsid w:val="6CC13BE1"/>
    <w:rsid w:val="6CD419AC"/>
    <w:rsid w:val="6D151169"/>
    <w:rsid w:val="6DCC7B1B"/>
    <w:rsid w:val="6E970129"/>
    <w:rsid w:val="7031632F"/>
    <w:rsid w:val="70500E79"/>
    <w:rsid w:val="719D1874"/>
    <w:rsid w:val="725014B0"/>
    <w:rsid w:val="727151E7"/>
    <w:rsid w:val="72977757"/>
    <w:rsid w:val="729B2130"/>
    <w:rsid w:val="72BB301A"/>
    <w:rsid w:val="730C7BC8"/>
    <w:rsid w:val="73344DC7"/>
    <w:rsid w:val="73637E23"/>
    <w:rsid w:val="73A111F6"/>
    <w:rsid w:val="745919C6"/>
    <w:rsid w:val="74702A9A"/>
    <w:rsid w:val="74BC2C75"/>
    <w:rsid w:val="74C046C2"/>
    <w:rsid w:val="74FB50AE"/>
    <w:rsid w:val="750B780B"/>
    <w:rsid w:val="75432CCF"/>
    <w:rsid w:val="75445CB6"/>
    <w:rsid w:val="75745308"/>
    <w:rsid w:val="75F12EBC"/>
    <w:rsid w:val="761C2BBB"/>
    <w:rsid w:val="7671701C"/>
    <w:rsid w:val="767E61E2"/>
    <w:rsid w:val="76E64746"/>
    <w:rsid w:val="774150D6"/>
    <w:rsid w:val="775824F2"/>
    <w:rsid w:val="776A1DE8"/>
    <w:rsid w:val="77AA6501"/>
    <w:rsid w:val="77E00C00"/>
    <w:rsid w:val="780D2FE5"/>
    <w:rsid w:val="78232A2D"/>
    <w:rsid w:val="785D00CA"/>
    <w:rsid w:val="790675C3"/>
    <w:rsid w:val="79362E73"/>
    <w:rsid w:val="79B42F8A"/>
    <w:rsid w:val="79B91022"/>
    <w:rsid w:val="79E65AC0"/>
    <w:rsid w:val="7A403646"/>
    <w:rsid w:val="7A8B3167"/>
    <w:rsid w:val="7B3369D6"/>
    <w:rsid w:val="7B9A7235"/>
    <w:rsid w:val="7C8434BE"/>
    <w:rsid w:val="7CF625BB"/>
    <w:rsid w:val="7D292894"/>
    <w:rsid w:val="7D2A21A8"/>
    <w:rsid w:val="7D6E784A"/>
    <w:rsid w:val="7DDD6CEA"/>
    <w:rsid w:val="7DED0920"/>
    <w:rsid w:val="7E3A10B9"/>
    <w:rsid w:val="7E636E14"/>
    <w:rsid w:val="7E912529"/>
    <w:rsid w:val="7ED03F3C"/>
    <w:rsid w:val="7EF94B31"/>
    <w:rsid w:val="7F447F6D"/>
    <w:rsid w:val="7FC44A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0" w:semiHidden="0" w:name="heading 5" w:locked="1"/>
    <w:lsdException w:qFormat="1" w:uiPriority="9" w:semiHidden="0" w:name="heading 6" w:locked="1"/>
    <w:lsdException w:qFormat="1" w:uiPriority="9" w:semiHidden="0" w:name="heading 7" w:locked="1"/>
    <w:lsdException w:qFormat="1" w:uiPriority="9" w:semiHidden="0"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5"/>
    <w:autoRedefine/>
    <w:qFormat/>
    <w:uiPriority w:val="99"/>
    <w:pPr>
      <w:keepNext/>
      <w:keepLines/>
      <w:spacing w:before="340" w:after="330" w:line="578" w:lineRule="auto"/>
      <w:outlineLvl w:val="0"/>
    </w:pPr>
    <w:rPr>
      <w:bCs/>
      <w:kern w:val="44"/>
      <w:sz w:val="44"/>
      <w:szCs w:val="44"/>
    </w:rPr>
  </w:style>
  <w:style w:type="paragraph" w:styleId="4">
    <w:name w:val="heading 2"/>
    <w:basedOn w:val="2"/>
    <w:next w:val="1"/>
    <w:link w:val="43"/>
    <w:autoRedefine/>
    <w:qFormat/>
    <w:uiPriority w:val="99"/>
    <w:pPr>
      <w:keepNext/>
      <w:keepLines/>
      <w:spacing w:before="260" w:after="260" w:line="416" w:lineRule="auto"/>
      <w:outlineLvl w:val="1"/>
    </w:pPr>
    <w:rPr>
      <w:rFonts w:ascii="Calibri Light" w:hAnsi="Calibri Light"/>
      <w:sz w:val="32"/>
      <w:szCs w:val="32"/>
    </w:rPr>
  </w:style>
  <w:style w:type="paragraph" w:styleId="5">
    <w:name w:val="heading 3"/>
    <w:basedOn w:val="1"/>
    <w:next w:val="1"/>
    <w:link w:val="49"/>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79"/>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autoRedefine/>
    <w:unhideWhenUsed/>
    <w:qFormat/>
    <w:locked/>
    <w:uiPriority w:val="0"/>
    <w:pPr>
      <w:keepNext/>
      <w:keepLines/>
      <w:numPr>
        <w:ilvl w:val="4"/>
        <w:numId w:val="1"/>
      </w:numPr>
      <w:tabs>
        <w:tab w:val="left" w:pos="0"/>
      </w:tabs>
      <w:spacing w:before="280" w:after="290" w:line="376" w:lineRule="auto"/>
      <w:outlineLvl w:val="4"/>
    </w:pPr>
    <w:rPr>
      <w:rFonts w:asciiTheme="minorEastAsia" w:hAnsiTheme="minorEastAsia" w:eastAsiaTheme="minorEastAsia"/>
      <w:b/>
      <w:bCs/>
      <w:sz w:val="28"/>
      <w:szCs w:val="28"/>
    </w:rPr>
  </w:style>
  <w:style w:type="paragraph" w:styleId="8">
    <w:name w:val="heading 6"/>
    <w:basedOn w:val="1"/>
    <w:next w:val="1"/>
    <w:link w:val="106"/>
    <w:unhideWhenUsed/>
    <w:qFormat/>
    <w:locked/>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unhideWhenUsed/>
    <w:qFormat/>
    <w:locked/>
    <w:uiPriority w:val="9"/>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unhideWhenUsed/>
    <w:qFormat/>
    <w:locked/>
    <w:uiPriority w:val="9"/>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11">
    <w:name w:val="List Number"/>
    <w:basedOn w:val="1"/>
    <w:autoRedefine/>
    <w:qFormat/>
    <w:uiPriority w:val="99"/>
    <w:pPr>
      <w:numPr>
        <w:ilvl w:val="0"/>
        <w:numId w:val="2"/>
      </w:numPr>
    </w:pPr>
  </w:style>
  <w:style w:type="paragraph" w:styleId="12">
    <w:name w:val="Normal Indent"/>
    <w:basedOn w:val="1"/>
    <w:next w:val="13"/>
    <w:autoRedefine/>
    <w:qFormat/>
    <w:uiPriority w:val="99"/>
    <w:pPr>
      <w:ind w:firstLine="420"/>
    </w:pPr>
    <w:rPr>
      <w:szCs w:val="20"/>
    </w:rPr>
  </w:style>
  <w:style w:type="paragraph" w:styleId="13">
    <w:name w:val="toc 2"/>
    <w:basedOn w:val="1"/>
    <w:next w:val="1"/>
    <w:autoRedefine/>
    <w:qFormat/>
    <w:uiPriority w:val="99"/>
    <w:pPr>
      <w:ind w:left="420" w:leftChars="200"/>
    </w:pPr>
  </w:style>
  <w:style w:type="paragraph" w:styleId="14">
    <w:name w:val="caption"/>
    <w:basedOn w:val="1"/>
    <w:next w:val="1"/>
    <w:qFormat/>
    <w:locked/>
    <w:uiPriority w:val="0"/>
    <w:pPr>
      <w:numPr>
        <w:ilvl w:val="0"/>
        <w:numId w:val="3"/>
      </w:numPr>
      <w:ind w:left="0" w:firstLine="200"/>
      <w:jc w:val="center"/>
    </w:pPr>
    <w:rPr>
      <w:rFonts w:ascii="Arial Unicode MS" w:hAnsi="Arial Unicode MS"/>
      <w:sz w:val="21"/>
      <w:szCs w:val="20"/>
      <w:lang w:val="zh-CN"/>
    </w:rPr>
  </w:style>
  <w:style w:type="paragraph" w:styleId="15">
    <w:name w:val="annotation text"/>
    <w:basedOn w:val="1"/>
    <w:link w:val="45"/>
    <w:autoRedefine/>
    <w:qFormat/>
    <w:uiPriority w:val="99"/>
    <w:pPr>
      <w:jc w:val="left"/>
    </w:pPr>
  </w:style>
  <w:style w:type="paragraph" w:styleId="16">
    <w:name w:val="Body Text"/>
    <w:basedOn w:val="1"/>
    <w:next w:val="17"/>
    <w:link w:val="46"/>
    <w:autoRedefine/>
    <w:qFormat/>
    <w:uiPriority w:val="99"/>
    <w:pPr>
      <w:spacing w:line="360" w:lineRule="exact"/>
    </w:pPr>
    <w:rPr>
      <w:sz w:val="24"/>
    </w:rPr>
  </w:style>
  <w:style w:type="paragraph" w:styleId="17">
    <w:name w:val="Body Text First Indent"/>
    <w:basedOn w:val="16"/>
    <w:autoRedefine/>
    <w:qFormat/>
    <w:locked/>
    <w:uiPriority w:val="99"/>
    <w:pPr>
      <w:ind w:firstLine="420"/>
    </w:pPr>
    <w:rPr>
      <w:sz w:val="21"/>
    </w:rPr>
  </w:style>
  <w:style w:type="paragraph" w:styleId="18">
    <w:name w:val="Body Text Indent"/>
    <w:basedOn w:val="1"/>
    <w:next w:val="19"/>
    <w:link w:val="53"/>
    <w:autoRedefine/>
    <w:qFormat/>
    <w:uiPriority w:val="99"/>
    <w:pPr>
      <w:spacing w:after="120"/>
      <w:ind w:left="420" w:leftChars="200"/>
    </w:pPr>
  </w:style>
  <w:style w:type="paragraph" w:styleId="19">
    <w:name w:val="envelope return"/>
    <w:basedOn w:val="1"/>
    <w:autoRedefine/>
    <w:qFormat/>
    <w:locked/>
    <w:uiPriority w:val="0"/>
    <w:pPr>
      <w:snapToGrid w:val="0"/>
    </w:pPr>
    <w:rPr>
      <w:rFonts w:ascii="Arial" w:hAnsi="Arial"/>
    </w:rPr>
  </w:style>
  <w:style w:type="paragraph" w:styleId="20">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21">
    <w:name w:val="Plain Text"/>
    <w:basedOn w:val="1"/>
    <w:next w:val="22"/>
    <w:link w:val="54"/>
    <w:autoRedefine/>
    <w:qFormat/>
    <w:uiPriority w:val="99"/>
    <w:rPr>
      <w:rFonts w:ascii="宋体" w:hAnsi="Courier New"/>
    </w:rPr>
  </w:style>
  <w:style w:type="paragraph" w:styleId="22">
    <w:name w:val="Date"/>
    <w:basedOn w:val="1"/>
    <w:next w:val="1"/>
    <w:link w:val="50"/>
    <w:autoRedefine/>
    <w:qFormat/>
    <w:uiPriority w:val="99"/>
    <w:pPr>
      <w:ind w:left="2500" w:leftChars="2500"/>
    </w:pPr>
    <w:rPr>
      <w:rFonts w:ascii="Calibri" w:hAnsi="Calibri" w:eastAsia="楷体_GB2312"/>
      <w:sz w:val="32"/>
      <w:szCs w:val="22"/>
    </w:rPr>
  </w:style>
  <w:style w:type="paragraph" w:styleId="23">
    <w:name w:val="Body Text Indent 2"/>
    <w:basedOn w:val="1"/>
    <w:next w:val="24"/>
    <w:autoRedefine/>
    <w:qFormat/>
    <w:locked/>
    <w:uiPriority w:val="0"/>
    <w:pPr>
      <w:spacing w:after="120" w:line="480" w:lineRule="auto"/>
      <w:ind w:left="420" w:firstLine="3584"/>
    </w:pPr>
    <w:rPr>
      <w:rFonts w:ascii="Calibri" w:hAnsi="Calibri"/>
    </w:rPr>
  </w:style>
  <w:style w:type="paragraph" w:styleId="24">
    <w:name w:val="toc 1"/>
    <w:basedOn w:val="1"/>
    <w:next w:val="1"/>
    <w:autoRedefine/>
    <w:qFormat/>
    <w:locked/>
    <w:uiPriority w:val="0"/>
    <w:pPr>
      <w:ind w:firstLine="3584"/>
    </w:pPr>
    <w:rPr>
      <w:rFonts w:ascii="Calibri" w:hAnsi="Calibri"/>
    </w:rPr>
  </w:style>
  <w:style w:type="paragraph" w:styleId="25">
    <w:name w:val="Balloon Text"/>
    <w:basedOn w:val="1"/>
    <w:link w:val="51"/>
    <w:autoRedefine/>
    <w:qFormat/>
    <w:uiPriority w:val="99"/>
    <w:rPr>
      <w:sz w:val="18"/>
      <w:szCs w:val="18"/>
    </w:rPr>
  </w:style>
  <w:style w:type="paragraph" w:styleId="26">
    <w:name w:val="footer"/>
    <w:basedOn w:val="1"/>
    <w:link w:val="57"/>
    <w:autoRedefine/>
    <w:qFormat/>
    <w:uiPriority w:val="99"/>
    <w:pPr>
      <w:tabs>
        <w:tab w:val="center" w:pos="4153"/>
        <w:tab w:val="right" w:pos="8306"/>
      </w:tabs>
      <w:snapToGrid w:val="0"/>
      <w:jc w:val="left"/>
    </w:pPr>
    <w:rPr>
      <w:sz w:val="18"/>
    </w:rPr>
  </w:style>
  <w:style w:type="paragraph" w:styleId="27">
    <w:name w:val="header"/>
    <w:basedOn w:val="1"/>
    <w:link w:val="4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8">
    <w:name w:val="footnote text"/>
    <w:basedOn w:val="1"/>
    <w:autoRedefine/>
    <w:qFormat/>
    <w:locked/>
    <w:uiPriority w:val="99"/>
    <w:pPr>
      <w:snapToGrid w:val="0"/>
      <w:jc w:val="left"/>
    </w:pPr>
    <w:rPr>
      <w:sz w:val="18"/>
    </w:rPr>
  </w:style>
  <w:style w:type="paragraph" w:styleId="29">
    <w:name w:val="toc 6"/>
    <w:basedOn w:val="1"/>
    <w:next w:val="1"/>
    <w:autoRedefine/>
    <w:qFormat/>
    <w:locked/>
    <w:uiPriority w:val="99"/>
    <w:pPr>
      <w:widowControl/>
      <w:ind w:left="1000"/>
      <w:jc w:val="left"/>
    </w:pPr>
    <w:rPr>
      <w:kern w:val="0"/>
      <w:sz w:val="18"/>
      <w:szCs w:val="20"/>
    </w:rPr>
  </w:style>
  <w:style w:type="paragraph" w:styleId="3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1">
    <w:name w:val="annotation subject"/>
    <w:basedOn w:val="15"/>
    <w:next w:val="15"/>
    <w:link w:val="44"/>
    <w:autoRedefine/>
    <w:qFormat/>
    <w:uiPriority w:val="99"/>
    <w:rPr>
      <w:b/>
      <w:bCs/>
    </w:rPr>
  </w:style>
  <w:style w:type="paragraph" w:styleId="32">
    <w:name w:val="Body Text First Indent 2"/>
    <w:basedOn w:val="18"/>
    <w:next w:val="1"/>
    <w:autoRedefine/>
    <w:qFormat/>
    <w:locked/>
    <w:uiPriority w:val="0"/>
    <w:pPr>
      <w:ind w:firstLine="420"/>
    </w:pPr>
  </w:style>
  <w:style w:type="table" w:styleId="34">
    <w:name w:val="Table Grid"/>
    <w:basedOn w:val="33"/>
    <w:autoRedefine/>
    <w:qFormat/>
    <w:locked/>
    <w:uiPriority w:val="0"/>
    <w:pPr>
      <w:keepNext w:val="0"/>
      <w:keepLines w:val="0"/>
      <w:widowControl/>
      <w:suppressLineNumbers w:val="0"/>
      <w:spacing w:before="0" w:beforeAutospacing="0" w:after="0" w:afterAutospacing="0"/>
      <w:ind w:left="0" w:right="0"/>
      <w:jc w:val="both"/>
    </w:pPr>
    <w:rPr>
      <w:rFonts w:hint="default" w:ascii="Arial" w:hAnsi="Arial" w:cs="Arial"/>
      <w:sz w:val="20"/>
      <w:szCs w:val="20"/>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tcPr>
      <w:tcBorders>
        <w:top w:val="single" w:color="auto" w:sz="12" w:space="0"/>
        <w:left w:val="single" w:color="auto" w:sz="12" w:space="0"/>
        <w:bottom w:val="single" w:color="auto" w:sz="12" w:space="0"/>
        <w:right w:val="single" w:color="auto" w:sz="12" w:space="0"/>
      </w:tcBorders>
    </w:tcPr>
  </w:style>
  <w:style w:type="character" w:styleId="36">
    <w:name w:val="Strong"/>
    <w:basedOn w:val="35"/>
    <w:autoRedefine/>
    <w:qFormat/>
    <w:locked/>
    <w:uiPriority w:val="0"/>
    <w:rPr>
      <w:b/>
    </w:rPr>
  </w:style>
  <w:style w:type="character" w:styleId="37">
    <w:name w:val="page number"/>
    <w:basedOn w:val="35"/>
    <w:autoRedefine/>
    <w:qFormat/>
    <w:locked/>
    <w:uiPriority w:val="0"/>
  </w:style>
  <w:style w:type="character" w:styleId="38">
    <w:name w:val="Hyperlink"/>
    <w:basedOn w:val="35"/>
    <w:autoRedefine/>
    <w:unhideWhenUsed/>
    <w:qFormat/>
    <w:locked/>
    <w:uiPriority w:val="0"/>
    <w:rPr>
      <w:color w:val="0000FF"/>
      <w:u w:val="single"/>
    </w:rPr>
  </w:style>
  <w:style w:type="character" w:styleId="39">
    <w:name w:val="annotation reference"/>
    <w:basedOn w:val="35"/>
    <w:autoRedefine/>
    <w:qFormat/>
    <w:uiPriority w:val="99"/>
    <w:rPr>
      <w:rFonts w:cs="Times New Roman"/>
      <w:sz w:val="21"/>
      <w:szCs w:val="21"/>
    </w:rPr>
  </w:style>
  <w:style w:type="character" w:styleId="40">
    <w:name w:val="footnote reference"/>
    <w:basedOn w:val="35"/>
    <w:autoRedefine/>
    <w:qFormat/>
    <w:locked/>
    <w:uiPriority w:val="99"/>
    <w:rPr>
      <w:vertAlign w:val="superscript"/>
    </w:rPr>
  </w:style>
  <w:style w:type="character" w:customStyle="1" w:styleId="41">
    <w:name w:val="NormalCharacter"/>
    <w:link w:val="1"/>
    <w:autoRedefine/>
    <w:qFormat/>
    <w:uiPriority w:val="0"/>
    <w:rPr>
      <w:rFonts w:ascii="Times New Roman" w:hAnsi="Times New Roman" w:eastAsia="宋体" w:cs="Times New Roman"/>
      <w:kern w:val="2"/>
      <w:sz w:val="21"/>
      <w:szCs w:val="24"/>
      <w:lang w:val="en-US" w:eastAsia="zh-CN" w:bidi="ar-SA"/>
    </w:rPr>
  </w:style>
  <w:style w:type="paragraph" w:customStyle="1" w:styleId="42">
    <w:name w:val="正文（首行缩进2字符）"/>
    <w:basedOn w:val="1"/>
    <w:autoRedefine/>
    <w:qFormat/>
    <w:uiPriority w:val="0"/>
    <w:pPr>
      <w:spacing w:line="360" w:lineRule="auto"/>
      <w:ind w:firstLine="420" w:firstLineChars="200"/>
    </w:pPr>
    <w:rPr>
      <w:szCs w:val="21"/>
    </w:rPr>
  </w:style>
  <w:style w:type="character" w:customStyle="1" w:styleId="43">
    <w:name w:val="标题 2 字符"/>
    <w:basedOn w:val="35"/>
    <w:link w:val="4"/>
    <w:autoRedefine/>
    <w:semiHidden/>
    <w:qFormat/>
    <w:locked/>
    <w:uiPriority w:val="99"/>
    <w:rPr>
      <w:rFonts w:ascii="Cambria" w:hAnsi="Cambria" w:eastAsia="宋体" w:cs="Times New Roman"/>
      <w:b/>
      <w:bCs/>
      <w:sz w:val="32"/>
      <w:szCs w:val="32"/>
    </w:rPr>
  </w:style>
  <w:style w:type="character" w:customStyle="1" w:styleId="44">
    <w:name w:val="批注主题 字符"/>
    <w:basedOn w:val="45"/>
    <w:link w:val="31"/>
    <w:autoRedefine/>
    <w:qFormat/>
    <w:locked/>
    <w:uiPriority w:val="99"/>
    <w:rPr>
      <w:rFonts w:ascii="Times New Roman" w:hAnsi="Times New Roman" w:eastAsia="宋体" w:cs="Times New Roman"/>
      <w:b/>
      <w:bCs/>
      <w:kern w:val="2"/>
      <w:sz w:val="24"/>
      <w:szCs w:val="24"/>
    </w:rPr>
  </w:style>
  <w:style w:type="character" w:customStyle="1" w:styleId="45">
    <w:name w:val="批注文字 字符"/>
    <w:basedOn w:val="35"/>
    <w:link w:val="15"/>
    <w:autoRedefine/>
    <w:qFormat/>
    <w:locked/>
    <w:uiPriority w:val="99"/>
    <w:rPr>
      <w:rFonts w:ascii="Times New Roman" w:hAnsi="Times New Roman" w:eastAsia="宋体" w:cs="Times New Roman"/>
      <w:kern w:val="2"/>
      <w:sz w:val="24"/>
      <w:szCs w:val="24"/>
    </w:rPr>
  </w:style>
  <w:style w:type="character" w:customStyle="1" w:styleId="46">
    <w:name w:val="正文文本 字符"/>
    <w:basedOn w:val="35"/>
    <w:link w:val="16"/>
    <w:autoRedefine/>
    <w:semiHidden/>
    <w:qFormat/>
    <w:locked/>
    <w:uiPriority w:val="99"/>
    <w:rPr>
      <w:rFonts w:cs="Times New Roman"/>
      <w:sz w:val="24"/>
      <w:szCs w:val="24"/>
    </w:rPr>
  </w:style>
  <w:style w:type="character" w:customStyle="1" w:styleId="47">
    <w:name w:val="font01"/>
    <w:autoRedefine/>
    <w:qFormat/>
    <w:uiPriority w:val="0"/>
    <w:rPr>
      <w:rFonts w:hint="eastAsia" w:ascii="宋体" w:hAnsi="宋体" w:eastAsia="宋体" w:cs="宋体"/>
      <w:color w:val="000000"/>
      <w:sz w:val="24"/>
      <w:szCs w:val="24"/>
      <w:u w:val="none"/>
    </w:rPr>
  </w:style>
  <w:style w:type="character" w:customStyle="1" w:styleId="48">
    <w:name w:val="页眉 字符"/>
    <w:basedOn w:val="35"/>
    <w:link w:val="27"/>
    <w:autoRedefine/>
    <w:semiHidden/>
    <w:qFormat/>
    <w:locked/>
    <w:uiPriority w:val="99"/>
    <w:rPr>
      <w:rFonts w:cs="Times New Roman"/>
      <w:sz w:val="18"/>
      <w:szCs w:val="18"/>
    </w:rPr>
  </w:style>
  <w:style w:type="character" w:customStyle="1" w:styleId="49">
    <w:name w:val="标题 3 字符"/>
    <w:basedOn w:val="35"/>
    <w:link w:val="5"/>
    <w:autoRedefine/>
    <w:semiHidden/>
    <w:qFormat/>
    <w:locked/>
    <w:uiPriority w:val="99"/>
    <w:rPr>
      <w:rFonts w:cs="Times New Roman"/>
      <w:b/>
      <w:bCs/>
      <w:sz w:val="32"/>
      <w:szCs w:val="32"/>
    </w:rPr>
  </w:style>
  <w:style w:type="character" w:customStyle="1" w:styleId="50">
    <w:name w:val="日期 字符"/>
    <w:basedOn w:val="35"/>
    <w:link w:val="22"/>
    <w:autoRedefine/>
    <w:semiHidden/>
    <w:qFormat/>
    <w:locked/>
    <w:uiPriority w:val="99"/>
    <w:rPr>
      <w:rFonts w:cs="Times New Roman"/>
      <w:sz w:val="24"/>
      <w:szCs w:val="24"/>
    </w:rPr>
  </w:style>
  <w:style w:type="character" w:customStyle="1" w:styleId="51">
    <w:name w:val="批注框文本 字符"/>
    <w:basedOn w:val="35"/>
    <w:link w:val="25"/>
    <w:autoRedefine/>
    <w:qFormat/>
    <w:locked/>
    <w:uiPriority w:val="99"/>
    <w:rPr>
      <w:rFonts w:ascii="Times New Roman" w:hAnsi="Times New Roman" w:eastAsia="宋体" w:cs="Times New Roman"/>
      <w:kern w:val="2"/>
      <w:sz w:val="18"/>
      <w:szCs w:val="18"/>
    </w:rPr>
  </w:style>
  <w:style w:type="character" w:customStyle="1" w:styleId="52">
    <w:name w:val="font31"/>
    <w:autoRedefine/>
    <w:qFormat/>
    <w:uiPriority w:val="0"/>
    <w:rPr>
      <w:rFonts w:hint="eastAsia" w:ascii="宋体" w:hAnsi="宋体" w:eastAsia="宋体" w:cs="宋体"/>
      <w:color w:val="000000"/>
      <w:sz w:val="24"/>
      <w:szCs w:val="24"/>
      <w:u w:val="none"/>
    </w:rPr>
  </w:style>
  <w:style w:type="character" w:customStyle="1" w:styleId="53">
    <w:name w:val="正文文本缩进 字符"/>
    <w:basedOn w:val="35"/>
    <w:link w:val="18"/>
    <w:autoRedefine/>
    <w:qFormat/>
    <w:locked/>
    <w:uiPriority w:val="99"/>
    <w:rPr>
      <w:rFonts w:cs="Times New Roman"/>
      <w:kern w:val="2"/>
      <w:sz w:val="24"/>
      <w:szCs w:val="24"/>
    </w:rPr>
  </w:style>
  <w:style w:type="character" w:customStyle="1" w:styleId="54">
    <w:name w:val="纯文本 字符"/>
    <w:basedOn w:val="35"/>
    <w:link w:val="21"/>
    <w:autoRedefine/>
    <w:semiHidden/>
    <w:qFormat/>
    <w:locked/>
    <w:uiPriority w:val="99"/>
    <w:rPr>
      <w:rFonts w:ascii="宋体" w:hAnsi="Courier New" w:cs="Courier New"/>
      <w:sz w:val="21"/>
      <w:szCs w:val="21"/>
    </w:rPr>
  </w:style>
  <w:style w:type="character" w:customStyle="1" w:styleId="55">
    <w:name w:val="标题 1 字符"/>
    <w:basedOn w:val="35"/>
    <w:link w:val="2"/>
    <w:autoRedefine/>
    <w:qFormat/>
    <w:locked/>
    <w:uiPriority w:val="99"/>
    <w:rPr>
      <w:rFonts w:ascii="Times New Roman" w:hAnsi="Times New Roman" w:cs="Times New Roman"/>
      <w:b/>
      <w:bCs/>
      <w:kern w:val="44"/>
      <w:sz w:val="44"/>
      <w:szCs w:val="44"/>
    </w:rPr>
  </w:style>
  <w:style w:type="character" w:customStyle="1" w:styleId="56">
    <w:name w:val="font11"/>
    <w:autoRedefine/>
    <w:qFormat/>
    <w:uiPriority w:val="0"/>
    <w:rPr>
      <w:rFonts w:hint="default" w:ascii="Times New Roman" w:hAnsi="Times New Roman" w:cs="Times New Roman"/>
      <w:color w:val="000000"/>
      <w:sz w:val="24"/>
      <w:szCs w:val="24"/>
      <w:u w:val="none"/>
    </w:rPr>
  </w:style>
  <w:style w:type="character" w:customStyle="1" w:styleId="57">
    <w:name w:val="页脚 字符"/>
    <w:basedOn w:val="35"/>
    <w:link w:val="26"/>
    <w:autoRedefine/>
    <w:semiHidden/>
    <w:qFormat/>
    <w:locked/>
    <w:uiPriority w:val="99"/>
    <w:rPr>
      <w:rFonts w:cs="Times New Roman"/>
      <w:sz w:val="18"/>
      <w:szCs w:val="18"/>
    </w:rPr>
  </w:style>
  <w:style w:type="paragraph" w:customStyle="1" w:styleId="58">
    <w:name w:val="正文_14"/>
    <w:autoRedefine/>
    <w:qFormat/>
    <w:uiPriority w:val="99"/>
    <w:rPr>
      <w:rFonts w:ascii="Times New Roman" w:hAnsi="Times New Roman" w:eastAsia="宋体" w:cs="Times New Roman"/>
      <w:sz w:val="21"/>
      <w:szCs w:val="22"/>
      <w:lang w:val="en-US" w:eastAsia="zh-CN" w:bidi="ar-SA"/>
    </w:rPr>
  </w:style>
  <w:style w:type="paragraph" w:customStyle="1" w:styleId="59">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3"/>
    <w:basedOn w:val="62"/>
    <w:autoRedefine/>
    <w:qFormat/>
    <w:uiPriority w:val="99"/>
    <w:pPr>
      <w:widowControl/>
      <w:jc w:val="left"/>
    </w:pPr>
    <w:rPr>
      <w:rFonts w:ascii="宋体" w:hAnsi="Courier New"/>
      <w:szCs w:val="21"/>
    </w:rPr>
  </w:style>
  <w:style w:type="paragraph" w:customStyle="1" w:styleId="62">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列出段落1"/>
    <w:basedOn w:val="1"/>
    <w:autoRedefine/>
    <w:qFormat/>
    <w:uiPriority w:val="99"/>
    <w:pPr>
      <w:ind w:firstLine="420" w:firstLineChars="200"/>
    </w:pPr>
    <w:rPr>
      <w:rFonts w:ascii="Calibri" w:hAnsi="Calibri"/>
      <w:kern w:val="0"/>
      <w:szCs w:val="20"/>
    </w:rPr>
  </w:style>
  <w:style w:type="paragraph" w:customStyle="1" w:styleId="66">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customStyle="1" w:styleId="67">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8">
    <w:name w:val="正文2"/>
    <w:basedOn w:val="1"/>
    <w:autoRedefine/>
    <w:qFormat/>
    <w:uiPriority w:val="0"/>
    <w:pPr>
      <w:spacing w:before="156" w:line="360" w:lineRule="auto"/>
      <w:ind w:firstLine="510" w:firstLineChars="200"/>
    </w:pPr>
    <w:rPr>
      <w:sz w:val="24"/>
      <w:szCs w:val="20"/>
    </w:rPr>
  </w:style>
  <w:style w:type="paragraph" w:customStyle="1" w:styleId="69">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72">
    <w:name w:val="列表段落1"/>
    <w:basedOn w:val="1"/>
    <w:autoRedefine/>
    <w:qFormat/>
    <w:uiPriority w:val="99"/>
    <w:pPr>
      <w:ind w:firstLine="420" w:firstLineChars="200"/>
    </w:pPr>
    <w:rPr>
      <w:rFonts w:ascii="Calibri" w:hAnsi="Calibri"/>
      <w:szCs w:val="22"/>
    </w:rPr>
  </w:style>
  <w:style w:type="paragraph" w:customStyle="1" w:styleId="73">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4">
    <w:name w:val="纯文本_0_1"/>
    <w:basedOn w:val="1"/>
    <w:autoRedefine/>
    <w:qFormat/>
    <w:uiPriority w:val="99"/>
    <w:pPr>
      <w:widowControl/>
      <w:jc w:val="left"/>
    </w:pPr>
    <w:rPr>
      <w:rFonts w:ascii="宋体" w:hAnsi="Courier New"/>
      <w:szCs w:val="21"/>
    </w:rPr>
  </w:style>
  <w:style w:type="paragraph" w:customStyle="1" w:styleId="75">
    <w:name w:val="表格文字"/>
    <w:basedOn w:val="1"/>
    <w:next w:val="16"/>
    <w:autoRedefine/>
    <w:qFormat/>
    <w:uiPriority w:val="99"/>
    <w:pPr>
      <w:adjustRightInd w:val="0"/>
      <w:spacing w:line="420" w:lineRule="atLeast"/>
      <w:jc w:val="left"/>
      <w:textAlignment w:val="baseline"/>
    </w:pPr>
    <w:rPr>
      <w:kern w:val="0"/>
    </w:rPr>
  </w:style>
  <w:style w:type="paragraph" w:customStyle="1" w:styleId="76">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77">
    <w:name w:val="正文 A"/>
    <w:autoRedefine/>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8">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标题 4 字符"/>
    <w:basedOn w:val="35"/>
    <w:link w:val="6"/>
    <w:autoRedefine/>
    <w:qFormat/>
    <w:uiPriority w:val="9"/>
    <w:rPr>
      <w:rFonts w:asciiTheme="majorHAnsi" w:hAnsiTheme="majorHAnsi" w:eastAsiaTheme="majorEastAsia" w:cstheme="majorBidi"/>
      <w:b/>
      <w:bCs/>
      <w:kern w:val="2"/>
      <w:sz w:val="28"/>
      <w:szCs w:val="28"/>
    </w:rPr>
  </w:style>
  <w:style w:type="paragraph" w:styleId="80">
    <w:name w:val="No Spacing"/>
    <w:autoRedefine/>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81">
    <w:name w:val="Table Paragraph"/>
    <w:basedOn w:val="1"/>
    <w:autoRedefine/>
    <w:qFormat/>
    <w:uiPriority w:val="1"/>
  </w:style>
  <w:style w:type="paragraph" w:styleId="82">
    <w:name w:val="List Paragraph"/>
    <w:basedOn w:val="1"/>
    <w:autoRedefine/>
    <w:qFormat/>
    <w:uiPriority w:val="34"/>
    <w:pPr>
      <w:ind w:firstLine="420" w:firstLineChars="200"/>
    </w:pPr>
  </w:style>
  <w:style w:type="paragraph" w:customStyle="1" w:styleId="83">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4">
    <w:name w:val="网格型13"/>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12"/>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17"/>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4"/>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7"/>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8"/>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91"/>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15"/>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16"/>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网格型51"/>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
    <w:name w:val="网格型1"/>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
    <w:name w:val="标题 2（奇安信集团）"/>
    <w:basedOn w:val="4"/>
    <w:next w:val="96"/>
    <w:autoRedefine/>
    <w:qFormat/>
    <w:uiPriority w:val="0"/>
    <w:pPr>
      <w:numPr>
        <w:ilvl w:val="0"/>
        <w:numId w:val="4"/>
      </w:numPr>
      <w:tabs>
        <w:tab w:val="left" w:pos="576"/>
      </w:tabs>
      <w:spacing w:line="415" w:lineRule="auto"/>
      <w:jc w:val="left"/>
    </w:pPr>
    <w:rPr>
      <w:rFonts w:ascii="Arial" w:hAnsi="Arial" w:eastAsia="黑体"/>
      <w:bCs w:val="0"/>
    </w:rPr>
  </w:style>
  <w:style w:type="paragraph" w:customStyle="1" w:styleId="96">
    <w:name w:val="正文（奇安信集团）"/>
    <w:autoRedefine/>
    <w:qFormat/>
    <w:uiPriority w:val="0"/>
    <w:pPr>
      <w:spacing w:line="300" w:lineRule="auto"/>
    </w:pPr>
    <w:rPr>
      <w:rFonts w:ascii="Arial" w:hAnsi="Arial" w:eastAsia="宋体" w:cs="Times New Roman"/>
      <w:sz w:val="21"/>
      <w:szCs w:val="21"/>
      <w:lang w:val="en-US" w:eastAsia="zh-CN" w:bidi="ar-SA"/>
    </w:rPr>
  </w:style>
  <w:style w:type="paragraph" w:customStyle="1" w:styleId="97">
    <w:name w:val="表正文"/>
    <w:basedOn w:val="1"/>
    <w:autoRedefine/>
    <w:qFormat/>
    <w:uiPriority w:val="0"/>
    <w:pPr>
      <w:jc w:val="left"/>
    </w:pPr>
    <w:rPr>
      <w:rFonts w:ascii="Arial" w:hAnsi="Arial"/>
      <w:sz w:val="24"/>
      <w:szCs w:val="21"/>
    </w:rPr>
  </w:style>
  <w:style w:type="paragraph" w:customStyle="1" w:styleId="98">
    <w:name w:val="正文360首行缩进"/>
    <w:basedOn w:val="1"/>
    <w:autoRedefine/>
    <w:qFormat/>
    <w:uiPriority w:val="0"/>
    <w:pPr>
      <w:widowControl/>
      <w:spacing w:before="120" w:line="300" w:lineRule="auto"/>
      <w:jc w:val="left"/>
    </w:pPr>
    <w:rPr>
      <w:sz w:val="24"/>
      <w:szCs w:val="20"/>
    </w:rPr>
  </w:style>
  <w:style w:type="paragraph" w:customStyle="1" w:styleId="99">
    <w:name w:val="表格"/>
    <w:basedOn w:val="1"/>
    <w:next w:val="1"/>
    <w:link w:val="100"/>
    <w:autoRedefine/>
    <w:qFormat/>
    <w:uiPriority w:val="0"/>
    <w:pPr>
      <w:spacing w:before="20" w:beforeLines="20" w:after="20" w:afterLines="20"/>
      <w:jc w:val="left"/>
    </w:pPr>
    <w:rPr>
      <w:rFonts w:ascii="宋体" w:hAnsi="宋体"/>
    </w:rPr>
  </w:style>
  <w:style w:type="character" w:customStyle="1" w:styleId="100">
    <w:name w:val="表格 字符"/>
    <w:basedOn w:val="35"/>
    <w:link w:val="99"/>
    <w:autoRedefine/>
    <w:qFormat/>
    <w:uiPriority w:val="0"/>
    <w:rPr>
      <w:rFonts w:ascii="宋体" w:hAnsi="宋体"/>
      <w:kern w:val="2"/>
      <w:sz w:val="21"/>
      <w:szCs w:val="24"/>
    </w:rPr>
  </w:style>
  <w:style w:type="paragraph" w:customStyle="1" w:styleId="101">
    <w:name w:val="纯文本1"/>
    <w:basedOn w:val="1"/>
    <w:autoRedefine/>
    <w:qFormat/>
    <w:uiPriority w:val="0"/>
    <w:pPr>
      <w:spacing w:line="240" w:lineRule="auto"/>
      <w:textAlignment w:val="auto"/>
    </w:pPr>
    <w:rPr>
      <w:rFonts w:ascii="宋体" w:hAnsi="Courier New"/>
      <w:kern w:val="2"/>
    </w:rPr>
  </w:style>
  <w:style w:type="paragraph" w:customStyle="1" w:styleId="102">
    <w:name w:val="Table Text"/>
    <w:basedOn w:val="1"/>
    <w:semiHidden/>
    <w:qFormat/>
    <w:uiPriority w:val="0"/>
    <w:pPr>
      <w:jc w:val="center"/>
    </w:pPr>
    <w:rPr>
      <w:rFonts w:ascii="宋体" w:hAnsi="宋体" w:cs="宋体"/>
      <w:lang w:eastAsia="en-US"/>
    </w:rPr>
  </w:style>
  <w:style w:type="table" w:customStyle="1" w:styleId="103">
    <w:name w:val="Table Normal"/>
    <w:basedOn w:val="33"/>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04">
    <w:name w:val="A_表格头"/>
    <w:basedOn w:val="1"/>
    <w:qFormat/>
    <w:uiPriority w:val="0"/>
    <w:pPr>
      <w:adjustRightInd w:val="0"/>
      <w:snapToGrid w:val="0"/>
      <w:jc w:val="center"/>
    </w:pPr>
    <w:rPr>
      <w:rFonts w:eastAsia="黑体"/>
      <w:bCs/>
      <w:kern w:val="0"/>
      <w:szCs w:val="20"/>
    </w:rPr>
  </w:style>
  <w:style w:type="paragraph" w:customStyle="1" w:styleId="105">
    <w:name w:val="A_表格正文（居中）"/>
    <w:basedOn w:val="1"/>
    <w:qFormat/>
    <w:uiPriority w:val="0"/>
    <w:pPr>
      <w:adjustRightInd w:val="0"/>
      <w:snapToGrid w:val="0"/>
      <w:jc w:val="center"/>
    </w:pPr>
    <w:rPr>
      <w:rFonts w:eastAsia="仿宋"/>
      <w:kern w:val="0"/>
      <w:szCs w:val="20"/>
    </w:rPr>
  </w:style>
  <w:style w:type="character" w:customStyle="1" w:styleId="106">
    <w:name w:val="标题 6 Char"/>
    <w:link w:val="8"/>
    <w:qFormat/>
    <w:uiPriority w:val="0"/>
    <w:rPr>
      <w:rFonts w:ascii="Arial" w:hAnsi="Arial" w:eastAsia="黑体"/>
      <w:b/>
      <w:sz w:val="24"/>
    </w:rPr>
  </w:style>
  <w:style w:type="paragraph" w:customStyle="1" w:styleId="107">
    <w:name w:val="_Style 2"/>
    <w:qFormat/>
    <w:uiPriority w:val="0"/>
    <w:pPr>
      <w:adjustRightInd w:val="0"/>
      <w:snapToGrid w:val="0"/>
    </w:pPr>
    <w:rPr>
      <w:rFonts w:ascii="Tahoma" w:hAnsi="Tahoma" w:eastAsia="微软雅黑" w:cs="Tahoma"/>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74</Pages>
  <Words>34829</Words>
  <Characters>36951</Characters>
  <Lines>1</Lines>
  <Paragraphs>1</Paragraphs>
  <TotalTime>8</TotalTime>
  <ScaleCrop>false</ScaleCrop>
  <LinksUpToDate>false</LinksUpToDate>
  <CharactersWithSpaces>37792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2023-07-28T03:55:00Z</dcterms:created>
  <dc:creator>S-mile</dc:creator>
  <cp:lastModifiedBy>陆喵了个白。</cp:lastModifiedBy>
  <dcterms:modified xsi:type="dcterms:W3CDTF">2024-10-12T07:57:15Z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B8BFCB30D1884909AE4CF9A0EDB68546_13</vt:lpwstr>
  </property>
</Properties>
</file>