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48326">
      <w:pPr>
        <w:spacing w:line="360" w:lineRule="auto"/>
        <w:jc w:val="center"/>
        <w:rPr>
          <w:rFonts w:ascii="宋体" w:hAnsi="宋体" w:cs="宋体"/>
          <w:b/>
          <w:sz w:val="52"/>
          <w:szCs w:val="52"/>
        </w:rPr>
      </w:pPr>
    </w:p>
    <w:p w14:paraId="7C9E1950">
      <w:pPr>
        <w:spacing w:line="360" w:lineRule="auto"/>
        <w:jc w:val="center"/>
        <w:rPr>
          <w:rFonts w:ascii="宋体" w:hAnsi="宋体" w:cs="宋体"/>
          <w:b/>
          <w:sz w:val="56"/>
          <w:szCs w:val="56"/>
        </w:rPr>
      </w:pPr>
      <w:r>
        <w:rPr>
          <w:rFonts w:hint="eastAsia" w:ascii="宋体" w:hAnsi="宋体" w:cs="宋体"/>
          <w:b/>
          <w:sz w:val="56"/>
          <w:szCs w:val="56"/>
          <w:lang w:eastAsia="zh-CN"/>
        </w:rPr>
        <w:t>衢江区卫生健康局</w:t>
      </w:r>
      <w:r>
        <w:rPr>
          <w:rFonts w:hint="eastAsia" w:ascii="宋体" w:hAnsi="宋体" w:cs="宋体"/>
          <w:b/>
          <w:sz w:val="56"/>
          <w:szCs w:val="56"/>
        </w:rPr>
        <w:t>关于</w:t>
      </w:r>
      <w:r>
        <w:rPr>
          <w:rFonts w:hint="eastAsia" w:ascii="宋体" w:hAnsi="宋体" w:cs="宋体"/>
          <w:b/>
          <w:sz w:val="56"/>
          <w:szCs w:val="56"/>
          <w:lang w:eastAsia="zh-CN"/>
        </w:rPr>
        <w:t>2025年-2027年衢江区计生特殊家庭健康保险采购</w:t>
      </w:r>
      <w:r>
        <w:rPr>
          <w:rFonts w:hint="eastAsia" w:ascii="宋体" w:hAnsi="宋体" w:cs="宋体"/>
          <w:b/>
          <w:sz w:val="56"/>
          <w:szCs w:val="56"/>
        </w:rPr>
        <w:t>项目</w:t>
      </w:r>
    </w:p>
    <w:p w14:paraId="243031D9">
      <w:pPr>
        <w:spacing w:beforeLines="50" w:line="360" w:lineRule="auto"/>
        <w:rPr>
          <w:rFonts w:ascii="宋体" w:hAnsi="宋体" w:cs="宋体"/>
          <w:sz w:val="72"/>
          <w:szCs w:val="72"/>
        </w:rPr>
      </w:pPr>
    </w:p>
    <w:p w14:paraId="1EC0F460">
      <w:pPr>
        <w:spacing w:beforeLines="50" w:line="360" w:lineRule="auto"/>
        <w:jc w:val="center"/>
        <w:rPr>
          <w:rFonts w:ascii="宋体" w:hAnsi="宋体" w:cs="宋体"/>
          <w:b/>
          <w:bCs/>
          <w:sz w:val="72"/>
          <w:szCs w:val="72"/>
        </w:rPr>
      </w:pPr>
      <w:r>
        <w:rPr>
          <w:rFonts w:hint="eastAsia" w:ascii="宋体" w:hAnsi="宋体" w:cs="宋体"/>
          <w:b/>
          <w:bCs/>
          <w:sz w:val="72"/>
          <w:szCs w:val="72"/>
        </w:rPr>
        <w:t>公开招标采购文件</w:t>
      </w:r>
    </w:p>
    <w:p w14:paraId="3C3173FB">
      <w:pPr>
        <w:snapToGrid w:val="0"/>
        <w:spacing w:beforeLines="50" w:line="360" w:lineRule="auto"/>
        <w:jc w:val="center"/>
        <w:rPr>
          <w:rFonts w:ascii="宋体" w:hAnsi="宋体" w:cs="宋体"/>
          <w:sz w:val="30"/>
          <w:szCs w:val="72"/>
        </w:rPr>
      </w:pPr>
    </w:p>
    <w:p w14:paraId="172CB9B4">
      <w:pPr>
        <w:pStyle w:val="21"/>
        <w:jc w:val="both"/>
      </w:pPr>
    </w:p>
    <w:p w14:paraId="750624C6">
      <w:pPr>
        <w:snapToGrid w:val="0"/>
        <w:spacing w:beforeLines="50" w:line="360" w:lineRule="auto"/>
        <w:jc w:val="center"/>
        <w:rPr>
          <w:rFonts w:ascii="宋体" w:hAnsi="宋体" w:cs="宋体"/>
          <w:sz w:val="30"/>
          <w:szCs w:val="72"/>
        </w:rPr>
      </w:pPr>
    </w:p>
    <w:p w14:paraId="6E892D61">
      <w:pPr>
        <w:pStyle w:val="13"/>
        <w:snapToGrid w:val="0"/>
        <w:spacing w:before="120" w:after="120" w:line="360" w:lineRule="auto"/>
        <w:ind w:firstLine="562" w:firstLineChars="200"/>
        <w:rPr>
          <w:rFonts w:hint="eastAsia" w:hAnsi="宋体" w:eastAsia="宋体" w:cs="宋体"/>
          <w:b/>
          <w:bCs/>
          <w:sz w:val="28"/>
          <w:szCs w:val="28"/>
          <w:highlight w:val="green"/>
          <w:lang w:eastAsia="zh-CN"/>
        </w:rPr>
      </w:pPr>
      <w:r>
        <w:rPr>
          <w:rFonts w:hint="eastAsia" w:hAnsi="宋体" w:cs="宋体"/>
          <w:b/>
          <w:bCs/>
          <w:sz w:val="28"/>
          <w:szCs w:val="28"/>
        </w:rPr>
        <w:t>项目编号：</w:t>
      </w:r>
      <w:r>
        <w:rPr>
          <w:rFonts w:hint="eastAsia" w:hAnsi="宋体" w:cs="宋体"/>
          <w:b/>
          <w:bCs/>
          <w:sz w:val="28"/>
          <w:szCs w:val="28"/>
          <w:lang w:eastAsia="zh-CN"/>
        </w:rPr>
        <w:t>ZJWS-QZ2024121</w:t>
      </w:r>
    </w:p>
    <w:p w14:paraId="12EA1DDA">
      <w:pPr>
        <w:pStyle w:val="13"/>
        <w:snapToGrid w:val="0"/>
        <w:spacing w:before="120" w:after="120" w:line="360" w:lineRule="auto"/>
        <w:ind w:left="1406" w:leftChars="268" w:hanging="843" w:hangingChars="300"/>
        <w:rPr>
          <w:rFonts w:hAnsi="宋体" w:cs="宋体"/>
          <w:b/>
          <w:bCs/>
          <w:spacing w:val="-6"/>
          <w:sz w:val="28"/>
          <w:szCs w:val="28"/>
        </w:rPr>
      </w:pPr>
      <w:r>
        <w:rPr>
          <w:rFonts w:hint="eastAsia" w:hAnsi="宋体" w:cs="宋体"/>
          <w:b/>
          <w:bCs/>
          <w:sz w:val="28"/>
          <w:szCs w:val="28"/>
        </w:rPr>
        <w:t>项目名称：</w:t>
      </w:r>
      <w:r>
        <w:rPr>
          <w:rFonts w:hint="eastAsia" w:hAnsi="宋体" w:cs="宋体"/>
          <w:b/>
          <w:bCs/>
          <w:spacing w:val="-6"/>
          <w:sz w:val="28"/>
          <w:szCs w:val="28"/>
          <w:lang w:eastAsia="zh-CN"/>
        </w:rPr>
        <w:t>2025年-2027年衢江区计生特殊家庭健康保险采购</w:t>
      </w:r>
      <w:r>
        <w:rPr>
          <w:rFonts w:hint="eastAsia" w:hAnsi="宋体" w:cs="宋体"/>
          <w:b/>
          <w:bCs/>
          <w:spacing w:val="-6"/>
          <w:sz w:val="28"/>
          <w:szCs w:val="28"/>
        </w:rPr>
        <w:t>项目</w:t>
      </w:r>
    </w:p>
    <w:p w14:paraId="63BC459B">
      <w:pPr>
        <w:pStyle w:val="13"/>
        <w:snapToGrid w:val="0"/>
        <w:spacing w:before="120" w:after="120" w:line="360" w:lineRule="auto"/>
        <w:ind w:firstLine="562" w:firstLineChars="200"/>
        <w:rPr>
          <w:rFonts w:hint="eastAsia" w:hAnsi="宋体" w:eastAsia="宋体" w:cs="宋体"/>
          <w:b/>
          <w:bCs/>
          <w:sz w:val="28"/>
          <w:szCs w:val="28"/>
          <w:lang w:eastAsia="zh-CN"/>
        </w:rPr>
      </w:pPr>
      <w:r>
        <w:rPr>
          <w:rFonts w:hint="eastAsia" w:hAnsi="宋体" w:cs="宋体"/>
          <w:b/>
          <w:bCs/>
          <w:sz w:val="28"/>
          <w:szCs w:val="28"/>
        </w:rPr>
        <w:t>采购单位：</w:t>
      </w:r>
      <w:r>
        <w:rPr>
          <w:rFonts w:hint="eastAsia" w:hAnsi="宋体" w:cs="宋体"/>
          <w:b/>
          <w:bCs/>
          <w:spacing w:val="-6"/>
          <w:sz w:val="28"/>
          <w:szCs w:val="28"/>
          <w:lang w:eastAsia="zh-CN"/>
        </w:rPr>
        <w:t>衢江区卫生健康局</w:t>
      </w:r>
    </w:p>
    <w:p w14:paraId="57B3F375">
      <w:pPr>
        <w:pStyle w:val="13"/>
        <w:snapToGrid w:val="0"/>
        <w:spacing w:before="120" w:after="120" w:line="360" w:lineRule="auto"/>
        <w:ind w:firstLine="562" w:firstLineChars="200"/>
        <w:rPr>
          <w:rFonts w:hAnsi="宋体" w:cs="宋体"/>
          <w:b/>
          <w:bCs/>
          <w:sz w:val="28"/>
          <w:szCs w:val="28"/>
        </w:rPr>
      </w:pPr>
      <w:r>
        <w:rPr>
          <w:rFonts w:hint="eastAsia" w:hAnsi="宋体" w:cs="宋体"/>
          <w:b/>
          <w:bCs/>
          <w:sz w:val="28"/>
          <w:szCs w:val="28"/>
        </w:rPr>
        <w:t>招标机构：</w:t>
      </w:r>
      <w:r>
        <w:rPr>
          <w:rFonts w:hint="eastAsia" w:hAnsi="宋体" w:cs="宋体"/>
          <w:b/>
          <w:sz w:val="28"/>
          <w:szCs w:val="44"/>
        </w:rPr>
        <w:t>浙江五石中正工程咨询有限公司衢州分公司</w:t>
      </w:r>
    </w:p>
    <w:p w14:paraId="48F9E320">
      <w:pPr>
        <w:rPr>
          <w:rFonts w:hAnsi="宋体" w:cs="宋体"/>
          <w:b/>
          <w:sz w:val="30"/>
          <w:szCs w:val="48"/>
        </w:rPr>
      </w:pPr>
    </w:p>
    <w:p w14:paraId="75492253">
      <w:pPr>
        <w:rPr>
          <w:rFonts w:hAnsi="宋体" w:cs="宋体"/>
          <w:b/>
          <w:sz w:val="30"/>
          <w:szCs w:val="48"/>
        </w:rPr>
      </w:pPr>
    </w:p>
    <w:p w14:paraId="71F30805">
      <w:pPr>
        <w:pStyle w:val="21"/>
      </w:pPr>
    </w:p>
    <w:p w14:paraId="2FDAAE39"/>
    <w:p w14:paraId="000124F6">
      <w:pPr>
        <w:snapToGrid w:val="0"/>
        <w:spacing w:beforeLines="50" w:line="360" w:lineRule="auto"/>
        <w:ind w:firstLine="3614" w:firstLineChars="1200"/>
        <w:rPr>
          <w:rFonts w:ascii="宋体" w:hAnsi="宋体" w:cs="宋体"/>
          <w:b/>
          <w:sz w:val="28"/>
          <w:szCs w:val="44"/>
        </w:rPr>
      </w:pPr>
      <w:r>
        <w:rPr>
          <w:rFonts w:hint="eastAsia" w:ascii="宋体" w:hAnsi="宋体" w:cs="宋体"/>
          <w:b/>
          <w:sz w:val="30"/>
          <w:szCs w:val="30"/>
        </w:rPr>
        <w:t>2024年</w:t>
      </w:r>
      <w:r>
        <w:rPr>
          <w:rFonts w:hint="eastAsia" w:ascii="宋体" w:hAnsi="宋体" w:cs="宋体"/>
          <w:b/>
          <w:sz w:val="30"/>
          <w:szCs w:val="30"/>
          <w:lang w:val="en-US" w:eastAsia="zh-CN"/>
        </w:rPr>
        <w:t>12</w:t>
      </w:r>
      <w:r>
        <w:rPr>
          <w:rFonts w:hint="eastAsia" w:ascii="宋体" w:hAnsi="宋体" w:cs="宋体"/>
          <w:b/>
          <w:sz w:val="30"/>
          <w:szCs w:val="30"/>
        </w:rPr>
        <w:t>月</w:t>
      </w:r>
    </w:p>
    <w:p w14:paraId="0D6DC71D">
      <w:pPr>
        <w:pStyle w:val="13"/>
        <w:spacing w:before="120" w:after="120" w:line="360" w:lineRule="auto"/>
        <w:jc w:val="center"/>
        <w:rPr>
          <w:rFonts w:hAnsi="宋体" w:cs="宋体"/>
          <w:sz w:val="44"/>
          <w:szCs w:val="44"/>
        </w:rPr>
        <w:sectPr>
          <w:headerReference r:id="rId4" w:type="first"/>
          <w:footerReference r:id="rId6" w:type="first"/>
          <w:headerReference r:id="rId3" w:type="default"/>
          <w:footerReference r:id="rId5" w:type="default"/>
          <w:pgSz w:w="11910" w:h="16840"/>
          <w:pgMar w:top="1417" w:right="1300" w:bottom="278" w:left="1320" w:header="720" w:footer="720" w:gutter="0"/>
          <w:pgNumType w:start="0"/>
          <w:cols w:space="720" w:num="1"/>
        </w:sectPr>
      </w:pPr>
    </w:p>
    <w:p w14:paraId="30DAA8F9">
      <w:pPr>
        <w:pStyle w:val="13"/>
        <w:spacing w:before="120" w:after="120" w:line="360" w:lineRule="auto"/>
        <w:jc w:val="center"/>
        <w:rPr>
          <w:rFonts w:hAnsi="宋体" w:cs="宋体"/>
          <w:b/>
          <w:bCs/>
          <w:sz w:val="44"/>
          <w:szCs w:val="44"/>
        </w:rPr>
      </w:pPr>
      <w:r>
        <w:rPr>
          <w:rFonts w:hint="eastAsia" w:hAnsi="宋体" w:cs="宋体"/>
          <w:b/>
          <w:bCs/>
          <w:sz w:val="44"/>
          <w:szCs w:val="44"/>
        </w:rPr>
        <w:t>目  录</w:t>
      </w:r>
    </w:p>
    <w:p w14:paraId="16FE71A5">
      <w:pPr>
        <w:numPr>
          <w:ilvl w:val="0"/>
          <w:numId w:val="2"/>
        </w:numPr>
        <w:spacing w:beforeLines="50" w:line="360" w:lineRule="auto"/>
        <w:rPr>
          <w:rFonts w:ascii="宋体" w:hAnsi="宋体" w:cs="宋体"/>
          <w:sz w:val="30"/>
          <w:szCs w:val="20"/>
        </w:rPr>
      </w:pPr>
      <w:r>
        <w:rPr>
          <w:rFonts w:hint="eastAsia" w:ascii="宋体" w:hAnsi="宋体" w:cs="宋体"/>
          <w:sz w:val="30"/>
        </w:rPr>
        <w:t>公开招标采购公告</w:t>
      </w:r>
    </w:p>
    <w:p w14:paraId="297BA57A">
      <w:pPr>
        <w:numPr>
          <w:ilvl w:val="0"/>
          <w:numId w:val="2"/>
        </w:numPr>
        <w:spacing w:beforeLines="50" w:line="360" w:lineRule="auto"/>
        <w:rPr>
          <w:rFonts w:ascii="宋体" w:hAnsi="宋体" w:cs="宋体"/>
          <w:sz w:val="30"/>
          <w:szCs w:val="20"/>
        </w:rPr>
      </w:pPr>
      <w:r>
        <w:rPr>
          <w:rFonts w:hint="eastAsia" w:ascii="宋体" w:hAnsi="宋体" w:cs="宋体"/>
          <w:sz w:val="30"/>
        </w:rPr>
        <w:t>投标人须知</w:t>
      </w:r>
    </w:p>
    <w:p w14:paraId="055021BE">
      <w:pPr>
        <w:numPr>
          <w:ilvl w:val="0"/>
          <w:numId w:val="2"/>
        </w:numPr>
        <w:spacing w:beforeLines="50" w:line="360" w:lineRule="auto"/>
        <w:rPr>
          <w:rFonts w:ascii="宋体" w:hAnsi="宋体" w:cs="宋体"/>
          <w:sz w:val="30"/>
          <w:szCs w:val="20"/>
        </w:rPr>
      </w:pPr>
      <w:r>
        <w:rPr>
          <w:rFonts w:hint="eastAsia" w:ascii="宋体" w:hAnsi="宋体" w:cs="宋体"/>
          <w:sz w:val="30"/>
        </w:rPr>
        <w:t>招标需求</w:t>
      </w:r>
    </w:p>
    <w:p w14:paraId="77D11AA1">
      <w:pPr>
        <w:numPr>
          <w:ilvl w:val="0"/>
          <w:numId w:val="2"/>
        </w:numPr>
        <w:spacing w:beforeLines="50" w:line="360" w:lineRule="auto"/>
        <w:rPr>
          <w:rFonts w:ascii="宋体" w:hAnsi="宋体" w:cs="宋体"/>
          <w:sz w:val="30"/>
          <w:szCs w:val="20"/>
        </w:rPr>
      </w:pPr>
      <w:r>
        <w:rPr>
          <w:rFonts w:hint="eastAsia" w:ascii="宋体" w:hAnsi="宋体" w:cs="宋体"/>
          <w:sz w:val="30"/>
        </w:rPr>
        <w:t>评标办法及评分标准</w:t>
      </w:r>
    </w:p>
    <w:p w14:paraId="40B241D1">
      <w:pPr>
        <w:numPr>
          <w:ilvl w:val="0"/>
          <w:numId w:val="2"/>
        </w:numPr>
        <w:spacing w:beforeLines="50" w:line="360" w:lineRule="auto"/>
        <w:rPr>
          <w:rFonts w:ascii="宋体" w:hAnsi="宋体" w:cs="宋体"/>
          <w:sz w:val="30"/>
          <w:szCs w:val="20"/>
        </w:rPr>
      </w:pPr>
      <w:r>
        <w:rPr>
          <w:rFonts w:hint="eastAsia" w:ascii="宋体" w:hAnsi="宋体" w:cs="宋体"/>
          <w:sz w:val="30"/>
        </w:rPr>
        <w:t>政府采购合同主要条款</w:t>
      </w:r>
    </w:p>
    <w:p w14:paraId="7CCE9FB4">
      <w:pPr>
        <w:numPr>
          <w:ilvl w:val="0"/>
          <w:numId w:val="2"/>
        </w:numPr>
        <w:spacing w:beforeLines="50" w:line="360" w:lineRule="auto"/>
        <w:rPr>
          <w:rFonts w:ascii="宋体" w:hAnsi="宋体" w:cs="宋体"/>
          <w:sz w:val="30"/>
          <w:szCs w:val="20"/>
        </w:rPr>
      </w:pPr>
      <w:r>
        <w:rPr>
          <w:rFonts w:hint="eastAsia" w:ascii="宋体" w:hAnsi="宋体" w:cs="宋体"/>
          <w:sz w:val="30"/>
        </w:rPr>
        <w:t>投标文件格式</w:t>
      </w:r>
    </w:p>
    <w:p w14:paraId="4513BCD6">
      <w:pPr>
        <w:pStyle w:val="13"/>
        <w:snapToGrid w:val="0"/>
        <w:spacing w:before="120" w:after="120" w:line="360" w:lineRule="auto"/>
        <w:outlineLvl w:val="0"/>
        <w:rPr>
          <w:rFonts w:hAnsi="宋体" w:cs="宋体"/>
          <w:b/>
          <w:bCs/>
          <w:sz w:val="36"/>
          <w:szCs w:val="36"/>
        </w:rPr>
      </w:pPr>
    </w:p>
    <w:p w14:paraId="2CF63329">
      <w:pPr>
        <w:pStyle w:val="13"/>
        <w:snapToGrid w:val="0"/>
        <w:spacing w:before="120" w:after="120" w:line="360" w:lineRule="auto"/>
        <w:outlineLvl w:val="0"/>
        <w:rPr>
          <w:rFonts w:hAnsi="宋体" w:cs="宋体"/>
          <w:b/>
          <w:bCs/>
          <w:sz w:val="36"/>
          <w:szCs w:val="36"/>
        </w:rPr>
      </w:pPr>
    </w:p>
    <w:p w14:paraId="6F0C6136">
      <w:pPr>
        <w:pStyle w:val="13"/>
        <w:snapToGrid w:val="0"/>
        <w:spacing w:before="120" w:after="120" w:line="360" w:lineRule="auto"/>
        <w:outlineLvl w:val="0"/>
        <w:rPr>
          <w:rFonts w:hAnsi="宋体" w:cs="宋体"/>
          <w:b/>
          <w:bCs/>
          <w:sz w:val="36"/>
          <w:szCs w:val="36"/>
        </w:rPr>
      </w:pPr>
    </w:p>
    <w:p w14:paraId="19002F66">
      <w:pPr>
        <w:widowControl/>
        <w:jc w:val="left"/>
        <w:rPr>
          <w:rFonts w:ascii="宋体" w:hAnsi="宋体" w:cs="宋体"/>
          <w:sz w:val="28"/>
          <w:szCs w:val="28"/>
        </w:rPr>
      </w:pPr>
    </w:p>
    <w:p w14:paraId="5ECF309E">
      <w:pPr>
        <w:widowControl/>
        <w:jc w:val="left"/>
        <w:rPr>
          <w:rFonts w:ascii="宋体" w:hAnsi="宋体" w:cs="宋体"/>
          <w:sz w:val="28"/>
          <w:szCs w:val="28"/>
        </w:rPr>
      </w:pPr>
    </w:p>
    <w:p w14:paraId="7BA4E221">
      <w:pPr>
        <w:widowControl/>
        <w:jc w:val="left"/>
        <w:rPr>
          <w:rFonts w:ascii="宋体" w:hAnsi="宋体" w:cs="宋体"/>
          <w:sz w:val="28"/>
          <w:szCs w:val="28"/>
        </w:rPr>
      </w:pPr>
    </w:p>
    <w:p w14:paraId="3B1FB23E">
      <w:pPr>
        <w:pStyle w:val="13"/>
        <w:snapToGrid w:val="0"/>
        <w:spacing w:before="120" w:after="120" w:line="360" w:lineRule="auto"/>
        <w:jc w:val="center"/>
        <w:outlineLvl w:val="0"/>
        <w:rPr>
          <w:rFonts w:hAnsi="宋体" w:cs="宋体"/>
          <w:b/>
          <w:bCs/>
          <w:sz w:val="32"/>
          <w:szCs w:val="32"/>
        </w:rPr>
      </w:pPr>
    </w:p>
    <w:p w14:paraId="322B8314">
      <w:pPr>
        <w:pStyle w:val="13"/>
        <w:snapToGrid w:val="0"/>
        <w:spacing w:before="120" w:after="120" w:line="360" w:lineRule="auto"/>
        <w:jc w:val="center"/>
        <w:outlineLvl w:val="0"/>
        <w:rPr>
          <w:rFonts w:hAnsi="宋体" w:cs="宋体"/>
          <w:b/>
          <w:bCs/>
          <w:sz w:val="32"/>
          <w:szCs w:val="32"/>
        </w:rPr>
      </w:pPr>
    </w:p>
    <w:p w14:paraId="2470B2ED">
      <w:pPr>
        <w:pStyle w:val="13"/>
        <w:snapToGrid w:val="0"/>
        <w:spacing w:before="120" w:after="120" w:line="360" w:lineRule="auto"/>
        <w:jc w:val="center"/>
        <w:outlineLvl w:val="0"/>
        <w:rPr>
          <w:rFonts w:hAnsi="宋体" w:cs="宋体"/>
          <w:b/>
          <w:bCs/>
          <w:sz w:val="32"/>
          <w:szCs w:val="32"/>
        </w:rPr>
      </w:pPr>
    </w:p>
    <w:p w14:paraId="4BB4CD8C">
      <w:pPr>
        <w:pStyle w:val="13"/>
        <w:snapToGrid w:val="0"/>
        <w:spacing w:before="120" w:after="120" w:line="360" w:lineRule="auto"/>
        <w:jc w:val="center"/>
        <w:outlineLvl w:val="0"/>
        <w:rPr>
          <w:rFonts w:hAnsi="宋体" w:cs="宋体"/>
          <w:b/>
          <w:bCs/>
          <w:sz w:val="32"/>
          <w:szCs w:val="32"/>
        </w:rPr>
      </w:pPr>
    </w:p>
    <w:p w14:paraId="4CBB1CA3">
      <w:pPr>
        <w:rPr>
          <w:rFonts w:ascii="宋体" w:hAnsi="宋体" w:cs="宋体"/>
          <w:b/>
          <w:bCs/>
          <w:sz w:val="32"/>
          <w:szCs w:val="32"/>
        </w:rPr>
      </w:pPr>
    </w:p>
    <w:p w14:paraId="7F1F918A">
      <w:pPr>
        <w:pStyle w:val="3"/>
        <w:rPr>
          <w:rFonts w:ascii="宋体" w:hAnsi="宋体" w:eastAsia="宋体" w:cs="宋体"/>
        </w:rPr>
      </w:pPr>
    </w:p>
    <w:p w14:paraId="21F52865">
      <w:pPr>
        <w:pStyle w:val="23"/>
        <w:ind w:left="0" w:leftChars="0" w:firstLine="0" w:firstLineChars="0"/>
        <w:rPr>
          <w:rFonts w:ascii="宋体" w:hAnsi="宋体" w:cs="宋体"/>
        </w:rPr>
      </w:pPr>
    </w:p>
    <w:p w14:paraId="788F54B3">
      <w:pPr>
        <w:pStyle w:val="13"/>
        <w:snapToGrid w:val="0"/>
        <w:spacing w:before="120" w:after="120" w:line="360" w:lineRule="auto"/>
        <w:jc w:val="center"/>
        <w:outlineLvl w:val="0"/>
        <w:rPr>
          <w:rFonts w:hAnsi="宋体" w:cs="宋体"/>
          <w:sz w:val="28"/>
          <w:szCs w:val="28"/>
          <w:highlight w:val="none"/>
        </w:rPr>
      </w:pPr>
      <w:r>
        <w:rPr>
          <w:rFonts w:hint="eastAsia" w:hAnsi="宋体" w:cs="宋体"/>
          <w:b/>
          <w:bCs/>
          <w:sz w:val="32"/>
          <w:szCs w:val="32"/>
          <w:highlight w:val="none"/>
        </w:rPr>
        <w:t>第一章  公开招标采购公告</w:t>
      </w:r>
    </w:p>
    <w:p w14:paraId="028B5B11">
      <w:pPr>
        <w:pBdr>
          <w:top w:val="single" w:color="auto" w:sz="4" w:space="1"/>
          <w:left w:val="single" w:color="auto" w:sz="4" w:space="4"/>
          <w:bottom w:val="single" w:color="auto" w:sz="4" w:space="1"/>
          <w:right w:val="single" w:color="auto" w:sz="4" w:space="4"/>
        </w:pBdr>
        <w:spacing w:line="312"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746B1774">
      <w:pPr>
        <w:pBdr>
          <w:top w:val="single" w:color="auto" w:sz="4" w:space="1"/>
          <w:left w:val="single" w:color="auto" w:sz="4" w:space="4"/>
          <w:bottom w:val="single" w:color="auto" w:sz="4" w:space="1"/>
          <w:right w:val="single" w:color="auto" w:sz="4" w:space="4"/>
        </w:pBdr>
        <w:spacing w:line="312" w:lineRule="auto"/>
        <w:ind w:firstLine="482" w:firstLineChars="200"/>
        <w:rPr>
          <w:rFonts w:ascii="宋体" w:hAnsi="宋体" w:cs="宋体"/>
          <w:sz w:val="24"/>
          <w:highlight w:val="none"/>
        </w:rPr>
      </w:pPr>
      <w:r>
        <w:rPr>
          <w:rFonts w:hint="eastAsia" w:ascii="宋体" w:hAnsi="宋体" w:cs="宋体"/>
          <w:b/>
          <w:bCs/>
          <w:sz w:val="24"/>
          <w:highlight w:val="none"/>
          <w:u w:val="single"/>
        </w:rPr>
        <w:t xml:space="preserve"> </w:t>
      </w:r>
      <w:r>
        <w:rPr>
          <w:rFonts w:hint="eastAsia" w:ascii="宋体" w:hAnsi="宋体" w:cs="宋体"/>
          <w:b/>
          <w:bCs/>
          <w:sz w:val="24"/>
          <w:highlight w:val="none"/>
          <w:u w:val="single"/>
          <w:lang w:eastAsia="zh-CN"/>
        </w:rPr>
        <w:t>2025年-2027年衢江区计生特殊家庭健康保险采购</w:t>
      </w:r>
      <w:r>
        <w:rPr>
          <w:rFonts w:hint="eastAsia" w:ascii="宋体" w:hAnsi="宋体" w:cs="宋体"/>
          <w:b/>
          <w:bCs/>
          <w:sz w:val="24"/>
          <w:highlight w:val="none"/>
          <w:u w:val="single"/>
        </w:rPr>
        <w:t>项目</w:t>
      </w:r>
      <w:r>
        <w:rPr>
          <w:rFonts w:hint="eastAsia" w:ascii="宋体" w:hAnsi="宋体" w:cs="宋体"/>
          <w:sz w:val="24"/>
          <w:highlight w:val="none"/>
        </w:rPr>
        <w:t>的潜在投标人应在</w:t>
      </w:r>
      <w:r>
        <w:rPr>
          <w:rFonts w:hint="eastAsia" w:ascii="宋体" w:hAnsi="宋体" w:cs="宋体"/>
          <w:sz w:val="24"/>
          <w:highlight w:val="none"/>
          <w:u w:val="single"/>
        </w:rPr>
        <w:t>（网址：浙江政府采购网:http://zfcg.czt.zj.gov.cn/）</w:t>
      </w:r>
      <w:r>
        <w:rPr>
          <w:rFonts w:hint="eastAsia" w:ascii="宋体" w:hAnsi="宋体" w:cs="宋体"/>
          <w:sz w:val="24"/>
          <w:highlight w:val="none"/>
        </w:rPr>
        <w:t>获取招标文件，并于</w:t>
      </w:r>
      <w:r>
        <w:rPr>
          <w:rFonts w:hint="eastAsia" w:ascii="宋体" w:hAnsi="宋体" w:cs="宋体"/>
          <w:b/>
          <w:bCs/>
          <w:sz w:val="24"/>
          <w:highlight w:val="none"/>
          <w:u w:val="single"/>
        </w:rPr>
        <w:t>202</w:t>
      </w:r>
      <w:r>
        <w:rPr>
          <w:rFonts w:hint="eastAsia" w:ascii="宋体" w:hAnsi="宋体" w:cs="宋体"/>
          <w:b/>
          <w:bCs/>
          <w:sz w:val="24"/>
          <w:highlight w:val="none"/>
          <w:u w:val="single"/>
          <w:lang w:val="en-US" w:eastAsia="zh-CN"/>
        </w:rPr>
        <w:t>5</w:t>
      </w:r>
      <w:r>
        <w:rPr>
          <w:rFonts w:hint="eastAsia" w:ascii="宋体" w:hAnsi="宋体" w:cs="宋体"/>
          <w:b/>
          <w:bCs/>
          <w:sz w:val="24"/>
          <w:highlight w:val="none"/>
          <w:u w:val="single"/>
        </w:rPr>
        <w:t>年</w:t>
      </w:r>
      <w:r>
        <w:rPr>
          <w:rFonts w:hint="eastAsia" w:ascii="宋体" w:hAnsi="宋体" w:cs="宋体"/>
          <w:b/>
          <w:bCs/>
          <w:sz w:val="24"/>
          <w:highlight w:val="none"/>
          <w:u w:val="single"/>
          <w:lang w:val="en-US" w:eastAsia="zh-CN"/>
        </w:rPr>
        <w:t>1</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8</w:t>
      </w:r>
      <w:r>
        <w:rPr>
          <w:rFonts w:hint="eastAsia" w:ascii="宋体" w:hAnsi="宋体" w:cs="宋体"/>
          <w:b/>
          <w:bCs/>
          <w:sz w:val="24"/>
          <w:highlight w:val="none"/>
          <w:u w:val="single"/>
        </w:rPr>
        <w:t>日09时30分</w:t>
      </w:r>
      <w:r>
        <w:rPr>
          <w:rFonts w:hint="eastAsia" w:ascii="宋体" w:hAnsi="宋体" w:cs="宋体"/>
          <w:bCs/>
          <w:sz w:val="24"/>
          <w:highlight w:val="none"/>
          <w:u w:val="single"/>
        </w:rPr>
        <w:t>（</w:t>
      </w:r>
      <w:r>
        <w:rPr>
          <w:rFonts w:hint="eastAsia" w:ascii="宋体" w:hAnsi="宋体" w:cs="宋体"/>
          <w:bCs/>
          <w:sz w:val="24"/>
          <w:highlight w:val="none"/>
        </w:rPr>
        <w:t>北京时间）前递交投标文件</w:t>
      </w:r>
      <w:r>
        <w:rPr>
          <w:rFonts w:hint="eastAsia" w:ascii="宋体" w:hAnsi="宋体" w:cs="宋体"/>
          <w:sz w:val="24"/>
          <w:highlight w:val="none"/>
        </w:rPr>
        <w:t>。</w:t>
      </w:r>
    </w:p>
    <w:p w14:paraId="71D3F39D">
      <w:pPr>
        <w:snapToGrid w:val="0"/>
        <w:spacing w:line="312" w:lineRule="auto"/>
        <w:ind w:firstLine="480" w:firstLineChars="200"/>
        <w:rPr>
          <w:rFonts w:ascii="宋体" w:hAnsi="宋体" w:cs="宋体"/>
          <w:b/>
          <w:bCs/>
          <w:sz w:val="24"/>
          <w:highlight w:val="none"/>
        </w:rPr>
      </w:pPr>
      <w:r>
        <w:rPr>
          <w:rFonts w:hint="eastAsia" w:ascii="宋体" w:hAnsi="宋体" w:cs="宋体"/>
          <w:sz w:val="24"/>
          <w:highlight w:val="none"/>
        </w:rPr>
        <w:t>一、</w:t>
      </w:r>
      <w:r>
        <w:rPr>
          <w:rFonts w:hint="eastAsia" w:ascii="宋体" w:hAnsi="宋体" w:cs="宋体"/>
          <w:b/>
          <w:bCs/>
          <w:sz w:val="24"/>
          <w:highlight w:val="none"/>
        </w:rPr>
        <w:t>基本情况</w:t>
      </w:r>
    </w:p>
    <w:p w14:paraId="69798E1E">
      <w:pPr>
        <w:snapToGrid w:val="0"/>
        <w:spacing w:line="312" w:lineRule="auto"/>
        <w:ind w:firstLine="602" w:firstLineChars="250"/>
        <w:rPr>
          <w:rFonts w:hint="eastAsia" w:ascii="宋体" w:hAnsi="宋体" w:eastAsia="宋体" w:cs="宋体"/>
          <w:sz w:val="24"/>
          <w:highlight w:val="none"/>
          <w:lang w:eastAsia="zh-CN"/>
        </w:rPr>
      </w:pPr>
      <w:r>
        <w:rPr>
          <w:rFonts w:hint="eastAsia" w:ascii="宋体" w:hAnsi="宋体" w:cs="宋体"/>
          <w:b/>
          <w:sz w:val="24"/>
          <w:highlight w:val="none"/>
        </w:rPr>
        <w:t>1、项目编号：</w:t>
      </w:r>
      <w:r>
        <w:rPr>
          <w:rFonts w:hint="eastAsia" w:ascii="宋体" w:hAnsi="宋体" w:cs="宋体"/>
          <w:sz w:val="24"/>
          <w:highlight w:val="none"/>
          <w:lang w:eastAsia="zh-CN"/>
        </w:rPr>
        <w:t>ZJWS-QZ2024121</w:t>
      </w:r>
    </w:p>
    <w:p w14:paraId="0B7F8C40">
      <w:pPr>
        <w:snapToGrid w:val="0"/>
        <w:spacing w:line="312" w:lineRule="auto"/>
        <w:ind w:firstLine="602" w:firstLineChars="250"/>
        <w:rPr>
          <w:rFonts w:ascii="宋体" w:hAnsi="宋体" w:cs="宋体"/>
          <w:sz w:val="24"/>
          <w:highlight w:val="none"/>
        </w:rPr>
      </w:pPr>
      <w:r>
        <w:rPr>
          <w:rFonts w:hint="eastAsia" w:ascii="宋体" w:hAnsi="宋体" w:cs="宋体"/>
          <w:b/>
          <w:sz w:val="24"/>
          <w:highlight w:val="none"/>
        </w:rPr>
        <w:t>2、采购组织类型：</w:t>
      </w:r>
      <w:r>
        <w:rPr>
          <w:rFonts w:hint="eastAsia" w:ascii="宋体" w:hAnsi="宋体" w:cs="宋体"/>
          <w:sz w:val="24"/>
          <w:highlight w:val="none"/>
        </w:rPr>
        <w:t>分散委托代理采购</w:t>
      </w:r>
    </w:p>
    <w:p w14:paraId="63524193">
      <w:pPr>
        <w:snapToGrid w:val="0"/>
        <w:spacing w:line="312" w:lineRule="auto"/>
        <w:ind w:firstLine="602" w:firstLineChars="250"/>
        <w:rPr>
          <w:rFonts w:ascii="宋体" w:hAnsi="宋体" w:cs="宋体"/>
          <w:sz w:val="24"/>
          <w:highlight w:val="none"/>
        </w:rPr>
      </w:pPr>
      <w:r>
        <w:rPr>
          <w:rFonts w:hint="eastAsia" w:ascii="宋体" w:hAnsi="宋体" w:cs="宋体"/>
          <w:b/>
          <w:sz w:val="24"/>
          <w:highlight w:val="none"/>
        </w:rPr>
        <w:t>3、采购方式：</w:t>
      </w:r>
      <w:r>
        <w:rPr>
          <w:rFonts w:hint="eastAsia" w:ascii="宋体" w:hAnsi="宋体" w:cs="宋体"/>
          <w:sz w:val="24"/>
          <w:highlight w:val="none"/>
        </w:rPr>
        <w:t>公开招标</w:t>
      </w:r>
    </w:p>
    <w:p w14:paraId="3FE96D9E">
      <w:pPr>
        <w:wordWrap w:val="0"/>
        <w:spacing w:line="312" w:lineRule="auto"/>
        <w:rPr>
          <w:rFonts w:hint="eastAsia" w:ascii="宋体" w:hAnsi="宋体" w:eastAsia="宋体"/>
          <w:color w:val="000000"/>
          <w:highlight w:val="none"/>
          <w:lang w:eastAsia="zh-CN"/>
        </w:rPr>
      </w:pPr>
      <w:r>
        <w:rPr>
          <w:rFonts w:hint="eastAsia" w:ascii="宋体" w:hAnsi="宋体" w:cs="宋体"/>
          <w:b/>
          <w:bCs/>
          <w:sz w:val="24"/>
          <w:highlight w:val="none"/>
        </w:rPr>
        <w:t xml:space="preserve">     4、预算总额：</w:t>
      </w:r>
      <w:r>
        <w:rPr>
          <w:rFonts w:hint="eastAsia" w:ascii="宋体" w:hAnsi="宋体" w:cs="宋体"/>
          <w:sz w:val="24"/>
          <w:highlight w:val="none"/>
          <w:lang w:eastAsia="zh-CN"/>
        </w:rPr>
        <w:t>69万元（</w:t>
      </w:r>
      <w:r>
        <w:rPr>
          <w:rFonts w:hint="eastAsia" w:ascii="宋体" w:hAnsi="宋体" w:cs="宋体"/>
          <w:sz w:val="24"/>
          <w:highlight w:val="none"/>
          <w:lang w:val="en-US" w:eastAsia="zh-CN"/>
        </w:rPr>
        <w:t>年度预算金额：23万元</w:t>
      </w:r>
      <w:r>
        <w:rPr>
          <w:rFonts w:hint="eastAsia" w:ascii="宋体" w:hAnsi="宋体" w:cs="宋体"/>
          <w:sz w:val="24"/>
          <w:highlight w:val="none"/>
          <w:lang w:eastAsia="zh-CN"/>
        </w:rPr>
        <w:t>）</w:t>
      </w:r>
    </w:p>
    <w:p w14:paraId="473E6C0E">
      <w:pPr>
        <w:snapToGrid w:val="0"/>
        <w:spacing w:line="312" w:lineRule="auto"/>
        <w:ind w:firstLine="602" w:firstLineChars="250"/>
        <w:rPr>
          <w:rFonts w:hint="eastAsia" w:ascii="宋体" w:hAnsi="宋体" w:eastAsia="宋体" w:cs="宋体"/>
          <w:b/>
          <w:sz w:val="24"/>
          <w:highlight w:val="none"/>
          <w:lang w:eastAsia="zh-CN"/>
        </w:rPr>
      </w:pPr>
      <w:r>
        <w:rPr>
          <w:rFonts w:hint="eastAsia" w:ascii="宋体" w:hAnsi="宋体" w:cs="宋体"/>
          <w:b/>
          <w:sz w:val="24"/>
          <w:highlight w:val="none"/>
        </w:rPr>
        <w:t>5、</w:t>
      </w:r>
      <w:r>
        <w:rPr>
          <w:rFonts w:hint="eastAsia" w:ascii="宋体" w:hAnsi="宋体" w:cs="宋体"/>
          <w:b/>
          <w:sz w:val="24"/>
          <w:highlight w:val="none"/>
          <w:lang w:val="en-US" w:eastAsia="zh-CN"/>
        </w:rPr>
        <w:t>保险</w:t>
      </w:r>
      <w:r>
        <w:rPr>
          <w:rFonts w:hint="eastAsia" w:ascii="宋体" w:hAnsi="宋体" w:cs="宋体"/>
          <w:b/>
          <w:sz w:val="24"/>
          <w:highlight w:val="none"/>
        </w:rPr>
        <w:t>期</w:t>
      </w:r>
      <w:r>
        <w:rPr>
          <w:rFonts w:hint="eastAsia" w:ascii="宋体" w:hAnsi="宋体" w:cs="宋体"/>
          <w:b/>
          <w:sz w:val="24"/>
          <w:highlight w:val="none"/>
          <w:lang w:val="en-US" w:eastAsia="zh-CN"/>
        </w:rPr>
        <w:t>限</w:t>
      </w:r>
      <w:r>
        <w:rPr>
          <w:rFonts w:hint="eastAsia" w:ascii="宋体" w:hAnsi="宋体" w:cs="宋体"/>
          <w:sz w:val="24"/>
          <w:highlight w:val="none"/>
        </w:rPr>
        <w:t>：</w:t>
      </w:r>
      <w:r>
        <w:rPr>
          <w:rFonts w:hint="eastAsia" w:ascii="宋体" w:hAnsi="宋体" w:cs="宋体"/>
          <w:sz w:val="24"/>
          <w:highlight w:val="none"/>
          <w:lang w:eastAsia="zh-CN"/>
        </w:rPr>
        <w:t>3年（自合同签订之日起）</w:t>
      </w:r>
    </w:p>
    <w:p w14:paraId="78144FD6">
      <w:pPr>
        <w:snapToGrid w:val="0"/>
        <w:spacing w:line="312" w:lineRule="auto"/>
        <w:ind w:firstLine="482" w:firstLineChars="200"/>
        <w:rPr>
          <w:highlight w:val="none"/>
        </w:rPr>
      </w:pPr>
      <w:r>
        <w:rPr>
          <w:rFonts w:hint="eastAsia" w:ascii="宋体" w:hAnsi="宋体" w:cs="宋体"/>
          <w:b/>
          <w:sz w:val="24"/>
          <w:highlight w:val="none"/>
        </w:rPr>
        <w:t>6、联合体投标：</w:t>
      </w:r>
      <w:r>
        <w:rPr>
          <w:rFonts w:hint="eastAsia" w:ascii="宋体" w:hAnsi="宋体" w:cs="宋体"/>
          <w:sz w:val="24"/>
          <w:highlight w:val="none"/>
        </w:rPr>
        <w:t xml:space="preserve">本项目 </w:t>
      </w:r>
      <w:r>
        <w:rPr>
          <w:rFonts w:hint="eastAsia" w:ascii="宋体" w:hAnsi="宋体" w:cs="宋体"/>
          <w:sz w:val="24"/>
          <w:highlight w:val="none"/>
          <w:u w:val="single"/>
        </w:rPr>
        <w:t>不</w:t>
      </w:r>
      <w:r>
        <w:rPr>
          <w:rFonts w:hint="eastAsia" w:ascii="宋体" w:hAnsi="宋体" w:cs="宋体"/>
          <w:sz w:val="24"/>
          <w:highlight w:val="none"/>
        </w:rPr>
        <w:t xml:space="preserve"> 接受联合体投标</w:t>
      </w:r>
    </w:p>
    <w:p w14:paraId="2B012BB2">
      <w:pPr>
        <w:snapToGrid w:val="0"/>
        <w:spacing w:line="312" w:lineRule="auto"/>
        <w:ind w:firstLine="602" w:firstLineChars="250"/>
        <w:rPr>
          <w:rFonts w:ascii="宋体" w:hAnsi="宋体" w:cs="宋体"/>
          <w:b/>
          <w:bCs/>
          <w:sz w:val="24"/>
          <w:highlight w:val="none"/>
        </w:rPr>
      </w:pPr>
      <w:r>
        <w:rPr>
          <w:rFonts w:hint="eastAsia" w:ascii="宋体" w:hAnsi="宋体" w:cs="宋体"/>
          <w:b/>
          <w:bCs/>
          <w:sz w:val="24"/>
          <w:highlight w:val="none"/>
        </w:rPr>
        <w:t>7、采购需求：</w:t>
      </w:r>
    </w:p>
    <w:tbl>
      <w:tblPr>
        <w:tblStyle w:val="24"/>
        <w:tblpPr w:leftFromText="180" w:rightFromText="180" w:vertAnchor="text" w:horzAnchor="page" w:tblpX="1254" w:tblpY="8"/>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46"/>
        <w:gridCol w:w="2154"/>
        <w:gridCol w:w="1657"/>
        <w:gridCol w:w="2154"/>
      </w:tblGrid>
      <w:tr w14:paraId="7BCA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614" w:type="dxa"/>
            <w:vAlign w:val="center"/>
          </w:tcPr>
          <w:p w14:paraId="040ECEE9">
            <w:pPr>
              <w:pStyle w:val="13"/>
              <w:spacing w:before="120" w:after="120" w:line="312" w:lineRule="auto"/>
              <w:jc w:val="center"/>
              <w:rPr>
                <w:rFonts w:hAnsi="宋体" w:cs="宋体"/>
                <w:b/>
                <w:sz w:val="16"/>
                <w:szCs w:val="16"/>
                <w:highlight w:val="none"/>
              </w:rPr>
            </w:pPr>
            <w:r>
              <w:rPr>
                <w:rFonts w:hint="eastAsia" w:hAnsi="宋体" w:cs="宋体"/>
                <w:b/>
                <w:highlight w:val="none"/>
              </w:rPr>
              <w:t>序号</w:t>
            </w:r>
          </w:p>
        </w:tc>
        <w:tc>
          <w:tcPr>
            <w:tcW w:w="3246" w:type="dxa"/>
            <w:vAlign w:val="center"/>
          </w:tcPr>
          <w:p w14:paraId="152AFD74">
            <w:pPr>
              <w:pStyle w:val="13"/>
              <w:spacing w:before="120" w:after="120" w:line="312" w:lineRule="auto"/>
              <w:jc w:val="center"/>
              <w:rPr>
                <w:rFonts w:hAnsi="宋体" w:cs="宋体"/>
                <w:b/>
                <w:sz w:val="21"/>
                <w:szCs w:val="21"/>
                <w:highlight w:val="none"/>
              </w:rPr>
            </w:pPr>
            <w:r>
              <w:rPr>
                <w:rFonts w:hint="eastAsia" w:hAnsi="宋体" w:cs="宋体"/>
                <w:b/>
                <w:highlight w:val="none"/>
                <w:lang w:eastAsia="zh-CN"/>
              </w:rPr>
              <w:t>服务</w:t>
            </w:r>
            <w:r>
              <w:rPr>
                <w:rFonts w:hint="eastAsia" w:hAnsi="宋体" w:cs="宋体"/>
                <w:b/>
                <w:highlight w:val="none"/>
              </w:rPr>
              <w:t>名称</w:t>
            </w:r>
          </w:p>
        </w:tc>
        <w:tc>
          <w:tcPr>
            <w:tcW w:w="2154" w:type="dxa"/>
            <w:vAlign w:val="center"/>
          </w:tcPr>
          <w:p w14:paraId="59AF1FD0">
            <w:pPr>
              <w:pStyle w:val="13"/>
              <w:spacing w:before="120" w:after="120" w:line="312" w:lineRule="auto"/>
              <w:jc w:val="center"/>
              <w:rPr>
                <w:rFonts w:hAnsi="宋体" w:cs="宋体"/>
                <w:b/>
                <w:sz w:val="21"/>
                <w:szCs w:val="21"/>
                <w:highlight w:val="none"/>
              </w:rPr>
            </w:pPr>
            <w:r>
              <w:rPr>
                <w:rFonts w:hint="eastAsia" w:hAnsi="宋体" w:cs="宋体"/>
                <w:b/>
                <w:highlight w:val="none"/>
              </w:rPr>
              <w:t>服务内容及要求</w:t>
            </w:r>
          </w:p>
        </w:tc>
        <w:tc>
          <w:tcPr>
            <w:tcW w:w="1657" w:type="dxa"/>
            <w:vAlign w:val="center"/>
          </w:tcPr>
          <w:p w14:paraId="0DB67B7B">
            <w:pPr>
              <w:pStyle w:val="13"/>
              <w:spacing w:before="120" w:after="120" w:line="312" w:lineRule="auto"/>
              <w:jc w:val="center"/>
              <w:rPr>
                <w:rFonts w:hAnsi="宋体" w:cs="宋体"/>
                <w:b/>
                <w:sz w:val="21"/>
                <w:szCs w:val="21"/>
                <w:highlight w:val="none"/>
              </w:rPr>
            </w:pPr>
            <w:r>
              <w:rPr>
                <w:rFonts w:hint="eastAsia" w:hAnsi="宋体"/>
                <w:b/>
                <w:highlight w:val="none"/>
              </w:rPr>
              <w:t>预算总额</w:t>
            </w:r>
          </w:p>
        </w:tc>
        <w:tc>
          <w:tcPr>
            <w:tcW w:w="2154" w:type="dxa"/>
            <w:vAlign w:val="center"/>
          </w:tcPr>
          <w:p w14:paraId="0CF2402F">
            <w:pPr>
              <w:pStyle w:val="13"/>
              <w:spacing w:before="120" w:after="120" w:line="312" w:lineRule="auto"/>
              <w:jc w:val="center"/>
              <w:rPr>
                <w:rFonts w:hAnsi="宋体"/>
                <w:b/>
                <w:highlight w:val="none"/>
              </w:rPr>
            </w:pPr>
            <w:r>
              <w:rPr>
                <w:rFonts w:hint="eastAsia" w:hAnsi="宋体"/>
                <w:b/>
                <w:highlight w:val="none"/>
              </w:rPr>
              <w:t>其他内容</w:t>
            </w:r>
          </w:p>
        </w:tc>
      </w:tr>
      <w:tr w14:paraId="490B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14" w:type="dxa"/>
            <w:vAlign w:val="center"/>
          </w:tcPr>
          <w:p w14:paraId="5FF2B87E">
            <w:pPr>
              <w:pStyle w:val="13"/>
              <w:spacing w:before="120" w:after="120" w:line="312" w:lineRule="auto"/>
              <w:jc w:val="center"/>
              <w:rPr>
                <w:highlight w:val="none"/>
              </w:rPr>
            </w:pPr>
            <w:r>
              <w:rPr>
                <w:rFonts w:hint="eastAsia"/>
                <w:highlight w:val="none"/>
              </w:rPr>
              <w:t>1</w:t>
            </w:r>
          </w:p>
        </w:tc>
        <w:tc>
          <w:tcPr>
            <w:tcW w:w="3246" w:type="dxa"/>
            <w:vAlign w:val="center"/>
          </w:tcPr>
          <w:p w14:paraId="2777C3C9">
            <w:pPr>
              <w:pStyle w:val="13"/>
              <w:spacing w:before="120" w:after="120" w:line="312" w:lineRule="auto"/>
              <w:jc w:val="center"/>
              <w:rPr>
                <w:rFonts w:hint="eastAsia" w:eastAsia="宋体"/>
                <w:highlight w:val="none"/>
                <w:lang w:eastAsia="zh-CN"/>
              </w:rPr>
            </w:pPr>
            <w:r>
              <w:rPr>
                <w:rFonts w:hint="eastAsia"/>
                <w:highlight w:val="none"/>
                <w:lang w:eastAsia="zh-CN"/>
              </w:rPr>
              <w:t>2025年-2027年衢江区计生特殊家庭健康保险采购</w:t>
            </w:r>
          </w:p>
        </w:tc>
        <w:tc>
          <w:tcPr>
            <w:tcW w:w="2154" w:type="dxa"/>
            <w:vAlign w:val="center"/>
          </w:tcPr>
          <w:p w14:paraId="208E7CD5">
            <w:pPr>
              <w:pStyle w:val="13"/>
              <w:spacing w:before="120" w:after="120" w:line="312" w:lineRule="auto"/>
              <w:jc w:val="center"/>
              <w:rPr>
                <w:highlight w:val="none"/>
              </w:rPr>
            </w:pPr>
            <w:r>
              <w:rPr>
                <w:rFonts w:hint="eastAsia"/>
                <w:highlight w:val="none"/>
              </w:rPr>
              <w:t>详见“招标</w:t>
            </w:r>
          </w:p>
          <w:p w14:paraId="120B4839">
            <w:pPr>
              <w:pStyle w:val="13"/>
              <w:spacing w:before="120" w:after="120" w:line="312" w:lineRule="auto"/>
              <w:jc w:val="center"/>
              <w:rPr>
                <w:highlight w:val="none"/>
              </w:rPr>
            </w:pPr>
            <w:r>
              <w:rPr>
                <w:rFonts w:hint="eastAsia"/>
                <w:highlight w:val="none"/>
              </w:rPr>
              <w:t>需求”</w:t>
            </w:r>
          </w:p>
        </w:tc>
        <w:tc>
          <w:tcPr>
            <w:tcW w:w="1657" w:type="dxa"/>
            <w:vAlign w:val="center"/>
          </w:tcPr>
          <w:p w14:paraId="1B27AA47">
            <w:pPr>
              <w:pStyle w:val="13"/>
              <w:spacing w:before="120" w:after="120" w:line="312" w:lineRule="auto"/>
              <w:jc w:val="center"/>
              <w:rPr>
                <w:rFonts w:hint="eastAsia" w:eastAsia="宋体"/>
                <w:highlight w:val="none"/>
                <w:lang w:eastAsia="zh-CN"/>
              </w:rPr>
            </w:pPr>
            <w:r>
              <w:rPr>
                <w:rFonts w:hint="eastAsia" w:hAnsi="宋体" w:cs="宋体"/>
                <w:highlight w:val="none"/>
                <w:lang w:eastAsia="zh-CN"/>
              </w:rPr>
              <w:t>69万元</w:t>
            </w:r>
          </w:p>
        </w:tc>
        <w:tc>
          <w:tcPr>
            <w:tcW w:w="2154" w:type="dxa"/>
            <w:vAlign w:val="center"/>
          </w:tcPr>
          <w:p w14:paraId="6320A486">
            <w:pPr>
              <w:pStyle w:val="13"/>
              <w:spacing w:before="120" w:after="120" w:line="312" w:lineRule="auto"/>
              <w:jc w:val="center"/>
              <w:rPr>
                <w:highlight w:val="none"/>
              </w:rPr>
            </w:pPr>
            <w:r>
              <w:rPr>
                <w:rFonts w:hint="eastAsia"/>
                <w:highlight w:val="none"/>
              </w:rPr>
              <w:t>详见文件采购需求</w:t>
            </w:r>
          </w:p>
        </w:tc>
      </w:tr>
    </w:tbl>
    <w:p w14:paraId="08C5D448">
      <w:pPr>
        <w:pStyle w:val="13"/>
        <w:spacing w:before="120" w:after="120" w:line="312" w:lineRule="auto"/>
        <w:rPr>
          <w:b/>
          <w:bCs/>
          <w:highlight w:val="none"/>
        </w:rPr>
      </w:pPr>
      <w:r>
        <w:rPr>
          <w:rFonts w:hint="eastAsia"/>
          <w:b/>
          <w:bCs/>
          <w:highlight w:val="none"/>
        </w:rPr>
        <w:t>二、申请人的资格要求</w:t>
      </w:r>
    </w:p>
    <w:p w14:paraId="173E4CB0">
      <w:pPr>
        <w:snapToGrid w:val="0"/>
        <w:spacing w:line="312" w:lineRule="auto"/>
        <w:rPr>
          <w:rFonts w:ascii="宋体" w:hAnsi="宋体" w:cs="宋体"/>
          <w:sz w:val="24"/>
          <w:highlight w:val="none"/>
        </w:rPr>
      </w:pPr>
      <w:r>
        <w:rPr>
          <w:rFonts w:hint="eastAsia" w:ascii="宋体" w:hAnsi="宋体" w:cs="宋体"/>
          <w:b/>
          <w:bCs/>
          <w:sz w:val="24"/>
          <w:highlight w:val="none"/>
        </w:rPr>
        <w:t>（1）《中华人民共和国政府采购法》第二十二条规定的投标人资格条件；</w:t>
      </w:r>
    </w:p>
    <w:p w14:paraId="5A3048E5">
      <w:pPr>
        <w:shd w:val="clear" w:color="auto" w:fill="FFFFFF"/>
        <w:snapToGrid w:val="0"/>
        <w:spacing w:line="312" w:lineRule="auto"/>
        <w:rPr>
          <w:rFonts w:ascii="宋体" w:hAnsi="宋体" w:cs="宋体"/>
          <w:sz w:val="24"/>
          <w:highlight w:val="none"/>
        </w:rPr>
      </w:pPr>
      <w:r>
        <w:rPr>
          <w:rFonts w:hint="eastAsia" w:ascii="宋体" w:hAnsi="宋体" w:cs="宋体"/>
          <w:sz w:val="24"/>
          <w:highlight w:val="none"/>
        </w:rPr>
        <w:t>（2）投标人未被列入失信被执行被执行人名单、重大违法案件当事人名单、政府采购严重违法失信行为记录名单，信用信息以信用中国网站（www.creditchina.gov.cn）、中国政府采购网（www.ccgp.gov.cn）公布为准。</w:t>
      </w:r>
    </w:p>
    <w:p w14:paraId="720BFDDD">
      <w:pPr>
        <w:shd w:val="clear" w:color="auto" w:fill="FFFFFF"/>
        <w:snapToGrid w:val="0"/>
        <w:spacing w:line="312" w:lineRule="auto"/>
        <w:rPr>
          <w:highlight w:val="none"/>
        </w:rPr>
      </w:pPr>
      <w:r>
        <w:rPr>
          <w:rFonts w:hint="eastAsia" w:ascii="宋体" w:hAnsi="宋体" w:cs="宋体"/>
          <w:sz w:val="24"/>
          <w:highlight w:val="none"/>
        </w:rPr>
        <w:t>列入失信被执行人、重大税收违法案件当事人名单、政府采购严重违法失信行为记录名单。近三年各行政部门处罚的，以上两网未记录的其他重大违法记录，经举报查实的，取消中标资格。</w:t>
      </w:r>
    </w:p>
    <w:p w14:paraId="0BD09FFB">
      <w:pPr>
        <w:numPr>
          <w:ilvl w:val="0"/>
          <w:numId w:val="3"/>
        </w:numPr>
        <w:spacing w:line="360" w:lineRule="auto"/>
        <w:ind w:firstLine="482" w:firstLineChars="200"/>
        <w:rPr>
          <w:rFonts w:ascii="宋体" w:hAnsi="宋体" w:cs="宋体"/>
          <w:b/>
          <w:sz w:val="24"/>
          <w:highlight w:val="none"/>
        </w:rPr>
      </w:pPr>
      <w:r>
        <w:rPr>
          <w:rFonts w:hint="eastAsia" w:ascii="宋体" w:hAnsi="宋体" w:cs="宋体"/>
          <w:b/>
          <w:sz w:val="24"/>
          <w:highlight w:val="none"/>
        </w:rPr>
        <w:t>落实政府采购政策需满足的资格要求：</w:t>
      </w:r>
      <w:r>
        <w:rPr>
          <w:rFonts w:hint="eastAsia" w:ascii="宋体" w:hAnsi="宋体" w:cs="宋体"/>
          <w:sz w:val="24"/>
          <w:highlight w:val="none"/>
        </w:rPr>
        <w:t>本标项不限，所有大中小微型企业均可参加投标</w:t>
      </w:r>
      <w:r>
        <w:rPr>
          <w:rFonts w:hint="eastAsia" w:ascii="宋体" w:hAnsi="宋体" w:cs="宋体"/>
          <w:sz w:val="24"/>
          <w:highlight w:val="none"/>
          <w:lang w:eastAsia="zh-CN"/>
        </w:rPr>
        <w:t>。</w:t>
      </w:r>
    </w:p>
    <w:p w14:paraId="069B636F">
      <w:pPr>
        <w:numPr>
          <w:ilvl w:val="0"/>
          <w:numId w:val="3"/>
        </w:numPr>
        <w:snapToGrid w:val="0"/>
        <w:spacing w:line="312" w:lineRule="auto"/>
        <w:ind w:firstLine="482" w:firstLineChars="200"/>
        <w:rPr>
          <w:rFonts w:ascii="宋体" w:hAnsi="宋体" w:cs="宋体"/>
          <w:sz w:val="24"/>
          <w:highlight w:val="none"/>
        </w:rPr>
      </w:pPr>
      <w:r>
        <w:rPr>
          <w:rFonts w:hint="eastAsia" w:ascii="宋体" w:hAnsi="宋体" w:cs="宋体"/>
          <w:b/>
          <w:kern w:val="0"/>
          <w:sz w:val="24"/>
          <w:highlight w:val="none"/>
        </w:rPr>
        <w:t>投标人的特定条件：</w:t>
      </w:r>
      <w:r>
        <w:rPr>
          <w:rFonts w:hint="eastAsia" w:ascii="宋体" w:hAnsi="宋体" w:cs="宋体"/>
          <w:b w:val="0"/>
          <w:bCs/>
          <w:kern w:val="0"/>
          <w:sz w:val="24"/>
          <w:highlight w:val="none"/>
          <w:lang w:val="en-US" w:eastAsia="zh-CN"/>
        </w:rPr>
        <w:t>无</w:t>
      </w:r>
      <w:r>
        <w:rPr>
          <w:rFonts w:hint="eastAsia" w:ascii="宋体" w:hAnsi="宋体" w:cs="宋体"/>
          <w:sz w:val="24"/>
          <w:highlight w:val="none"/>
        </w:rPr>
        <w:t>。</w:t>
      </w:r>
    </w:p>
    <w:p w14:paraId="126BE10F">
      <w:pPr>
        <w:snapToGrid w:val="0"/>
        <w:spacing w:line="288" w:lineRule="auto"/>
        <w:ind w:left="479" w:leftChars="228"/>
        <w:rPr>
          <w:rStyle w:val="34"/>
          <w:rFonts w:ascii="宋体" w:hAnsi="宋体" w:cs="宋体"/>
          <w:sz w:val="24"/>
          <w:highlight w:val="none"/>
        </w:rPr>
      </w:pPr>
      <w:r>
        <w:rPr>
          <w:rStyle w:val="34"/>
          <w:rFonts w:hint="eastAsia" w:ascii="宋体" w:hAnsi="宋体" w:cs="宋体"/>
          <w:sz w:val="24"/>
          <w:highlight w:val="none"/>
        </w:rPr>
        <w:t>三、采购文件的获取：</w:t>
      </w:r>
    </w:p>
    <w:p w14:paraId="4F0F0CFA">
      <w:pPr>
        <w:snapToGrid w:val="0"/>
        <w:spacing w:line="288" w:lineRule="auto"/>
        <w:ind w:left="479" w:leftChars="228"/>
        <w:rPr>
          <w:rFonts w:ascii="宋体" w:hAnsi="宋体" w:cs="宋体"/>
          <w:b/>
          <w:bCs/>
          <w:sz w:val="24"/>
          <w:highlight w:val="none"/>
        </w:rPr>
      </w:pPr>
      <w:r>
        <w:rPr>
          <w:rFonts w:hint="eastAsia" w:ascii="宋体" w:hAnsi="宋体" w:cs="宋体"/>
          <w:b/>
          <w:bCs/>
          <w:sz w:val="24"/>
          <w:highlight w:val="none"/>
        </w:rPr>
        <w:t>（1）网上获取：</w:t>
      </w:r>
    </w:p>
    <w:p w14:paraId="4E0CF318">
      <w:pPr>
        <w:tabs>
          <w:tab w:val="left" w:pos="3150"/>
        </w:tabs>
        <w:snapToGrid w:val="0"/>
        <w:spacing w:line="288" w:lineRule="auto"/>
        <w:ind w:left="19" w:leftChars="9" w:firstLine="460" w:firstLineChars="191"/>
        <w:rPr>
          <w:rFonts w:ascii="宋体" w:hAnsi="宋体" w:cs="宋体"/>
          <w:b/>
          <w:bCs/>
          <w:sz w:val="24"/>
          <w:highlight w:val="none"/>
        </w:rPr>
      </w:pPr>
      <w:r>
        <w:rPr>
          <w:rFonts w:hint="eastAsia" w:ascii="宋体" w:hAnsi="宋体" w:cs="宋体"/>
          <w:b/>
          <w:bCs/>
          <w:sz w:val="24"/>
          <w:highlight w:val="none"/>
        </w:rPr>
        <w:t>A、由投标单位通过浙江省政府采购网(</w:t>
      </w:r>
      <w:r>
        <w:rPr>
          <w:rFonts w:hint="eastAsia" w:ascii="宋体" w:hAnsi="宋体" w:cs="宋体"/>
          <w:b/>
          <w:bCs/>
          <w:sz w:val="24"/>
          <w:highlight w:val="none"/>
        </w:rPr>
        <w:drawing>
          <wp:inline distT="0" distB="0" distL="114300" distR="114300">
            <wp:extent cx="190500" cy="142875"/>
            <wp:effectExtent l="0" t="0" r="0" b="9525"/>
            <wp:docPr id="9" name="图片 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sz w:val="24"/>
          <w:highlight w:val="none"/>
        </w:rPr>
        <w:t>http://zfcg.czt.zj.gov.cn/)上的登录系统进行获取（首次参加投标的单位应先登录浙江省政府采购网(</w:t>
      </w:r>
      <w:r>
        <w:rPr>
          <w:rFonts w:hint="eastAsia" w:ascii="宋体" w:hAnsi="宋体" w:cs="宋体"/>
          <w:b/>
          <w:bCs/>
          <w:sz w:val="24"/>
          <w:highlight w:val="none"/>
        </w:rPr>
        <w:drawing>
          <wp:inline distT="0" distB="0" distL="114300" distR="114300">
            <wp:extent cx="190500" cy="142875"/>
            <wp:effectExtent l="0" t="0" r="0" b="9525"/>
            <wp:docPr id="8" name="图片 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sz w:val="24"/>
          <w:highlight w:val="none"/>
        </w:rPr>
        <w:t>http://zfcg.czt.zj.gov.cn/)进行账户注册，注册完毕待审核成功后方可登录获取，注册咨询电话：95763；注册流程见网址</w:t>
      </w:r>
    </w:p>
    <w:p w14:paraId="3D637EDE">
      <w:pPr>
        <w:tabs>
          <w:tab w:val="left" w:pos="3150"/>
        </w:tabs>
        <w:snapToGrid w:val="0"/>
        <w:spacing w:line="288" w:lineRule="auto"/>
        <w:ind w:left="19" w:leftChars="9" w:firstLine="460" w:firstLineChars="191"/>
        <w:rPr>
          <w:rFonts w:ascii="宋体" w:hAnsi="宋体" w:cs="宋体"/>
          <w:b/>
          <w:bCs/>
          <w:sz w:val="24"/>
          <w:highlight w:val="none"/>
        </w:rPr>
      </w:pPr>
      <w:r>
        <w:rPr>
          <w:rFonts w:hint="eastAsia" w:ascii="宋体" w:hAnsi="宋体" w:cs="宋体"/>
          <w:b/>
          <w:bCs/>
          <w:sz w:val="24"/>
          <w:highlight w:val="none"/>
        </w:rPr>
        <w:drawing>
          <wp:inline distT="0" distB="0" distL="114300" distR="114300">
            <wp:extent cx="190500" cy="142875"/>
            <wp:effectExtent l="0" t="0" r="0" b="9525"/>
            <wp:docPr id="7" name="图片 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highlight w:val="none"/>
        </w:rPr>
        <w:fldChar w:fldCharType="begin"/>
      </w:r>
      <w:r>
        <w:rPr>
          <w:highlight w:val="none"/>
        </w:rPr>
        <w:instrText xml:space="preserve"> HYPERLINK "http://zfcg.czt.zj.gov.cn/register/2017-07-24/6728.html?" </w:instrText>
      </w:r>
      <w:r>
        <w:rPr>
          <w:highlight w:val="none"/>
        </w:rPr>
        <w:fldChar w:fldCharType="separate"/>
      </w:r>
      <w:r>
        <w:rPr>
          <w:rStyle w:val="29"/>
          <w:rFonts w:hint="eastAsia" w:ascii="宋体" w:hAnsi="宋体" w:cs="宋体"/>
          <w:color w:val="auto"/>
          <w:sz w:val="24"/>
          <w:highlight w:val="none"/>
        </w:rPr>
        <w:t>http://zfcg.czt.zj.gov.cn/register/2017-07-24/6728.html?</w:t>
      </w:r>
      <w:r>
        <w:rPr>
          <w:rStyle w:val="29"/>
          <w:rFonts w:hint="eastAsia" w:ascii="宋体" w:hAnsi="宋体" w:cs="宋体"/>
          <w:color w:val="auto"/>
          <w:sz w:val="24"/>
          <w:highlight w:val="none"/>
        </w:rPr>
        <w:fldChar w:fldCharType="end"/>
      </w:r>
      <w:r>
        <w:rPr>
          <w:rFonts w:hint="eastAsia" w:ascii="宋体" w:hAnsi="宋体" w:cs="宋体"/>
          <w:b/>
          <w:bCs/>
          <w:sz w:val="24"/>
          <w:highlight w:val="none"/>
        </w:rPr>
        <w:t>）</w:t>
      </w:r>
    </w:p>
    <w:p w14:paraId="41F42157">
      <w:pPr>
        <w:tabs>
          <w:tab w:val="left" w:pos="3150"/>
        </w:tabs>
        <w:snapToGrid w:val="0"/>
        <w:spacing w:line="288" w:lineRule="auto"/>
        <w:ind w:left="19" w:leftChars="9" w:firstLine="458" w:firstLineChars="191"/>
        <w:rPr>
          <w:rFonts w:ascii="宋体" w:hAnsi="宋体" w:cs="宋体"/>
          <w:sz w:val="24"/>
          <w:highlight w:val="none"/>
        </w:rPr>
      </w:pPr>
      <w:r>
        <w:rPr>
          <w:rFonts w:hint="eastAsia" w:ascii="宋体" w:hAnsi="宋体" w:cs="宋体"/>
          <w:sz w:val="24"/>
          <w:highlight w:val="none"/>
        </w:rPr>
        <w:t>B、网上获取截止日期：</w:t>
      </w:r>
      <w:r>
        <w:rPr>
          <w:rFonts w:hint="eastAsia" w:ascii="宋体" w:hAnsi="宋体" w:cs="宋体"/>
          <w:b/>
          <w:bCs/>
          <w:sz w:val="24"/>
          <w:highlight w:val="none"/>
          <w:u w:val="single"/>
        </w:rPr>
        <w:t>202</w:t>
      </w:r>
      <w:r>
        <w:rPr>
          <w:rFonts w:hint="eastAsia" w:ascii="宋体" w:hAnsi="宋体" w:cs="宋体"/>
          <w:b/>
          <w:bCs/>
          <w:sz w:val="24"/>
          <w:highlight w:val="none"/>
          <w:u w:val="single"/>
          <w:lang w:val="en-US" w:eastAsia="zh-CN"/>
        </w:rPr>
        <w:t>5</w:t>
      </w:r>
      <w:r>
        <w:rPr>
          <w:rFonts w:hint="eastAsia" w:ascii="宋体" w:hAnsi="宋体" w:cs="宋体"/>
          <w:b/>
          <w:bCs/>
          <w:sz w:val="24"/>
          <w:highlight w:val="none"/>
          <w:u w:val="single"/>
        </w:rPr>
        <w:t>年</w:t>
      </w:r>
      <w:r>
        <w:rPr>
          <w:rFonts w:hint="eastAsia" w:ascii="宋体" w:hAnsi="宋体" w:cs="宋体"/>
          <w:b/>
          <w:bCs/>
          <w:sz w:val="24"/>
          <w:highlight w:val="none"/>
          <w:u w:val="single"/>
          <w:lang w:val="en-US" w:eastAsia="zh-CN"/>
        </w:rPr>
        <w:t>1</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日17：00时</w:t>
      </w:r>
      <w:r>
        <w:rPr>
          <w:rFonts w:hint="eastAsia" w:ascii="宋体" w:hAnsi="宋体" w:cs="宋体"/>
          <w:sz w:val="24"/>
          <w:highlight w:val="none"/>
        </w:rPr>
        <w:t>止；若截止时间后仍欲获取请按以下（2）执行。</w:t>
      </w:r>
    </w:p>
    <w:p w14:paraId="4FFF509A">
      <w:pPr>
        <w:adjustRightInd w:val="0"/>
        <w:snapToGrid w:val="0"/>
        <w:spacing w:line="288" w:lineRule="auto"/>
        <w:ind w:firstLine="482" w:firstLineChars="200"/>
        <w:jc w:val="left"/>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sz w:val="24"/>
          <w:highlight w:val="none"/>
        </w:rPr>
        <w:t>在网上获取截止时间之后至</w:t>
      </w:r>
      <w:r>
        <w:rPr>
          <w:rFonts w:hint="eastAsia" w:ascii="宋体" w:hAnsi="宋体" w:cs="宋体"/>
          <w:b/>
          <w:bCs/>
          <w:sz w:val="24"/>
          <w:highlight w:val="none"/>
          <w:u w:val="single"/>
          <w:lang w:eastAsia="zh-CN"/>
        </w:rPr>
        <w:t>2025年1月8日</w:t>
      </w:r>
      <w:r>
        <w:rPr>
          <w:rFonts w:hint="eastAsia" w:ascii="宋体" w:hAnsi="宋体" w:cs="宋体"/>
          <w:b/>
          <w:bCs/>
          <w:sz w:val="24"/>
          <w:highlight w:val="none"/>
          <w:u w:val="single"/>
        </w:rPr>
        <w:t>09时30分</w:t>
      </w:r>
      <w:r>
        <w:rPr>
          <w:rFonts w:hint="eastAsia" w:ascii="宋体" w:hAnsi="宋体" w:cs="宋体"/>
          <w:sz w:val="24"/>
          <w:highlight w:val="none"/>
        </w:rPr>
        <w:t>，仍允许供应商继续获取采购文件，但在“</w:t>
      </w:r>
      <w:r>
        <w:rPr>
          <w:rFonts w:hint="eastAsia" w:ascii="宋体" w:hAnsi="宋体" w:cs="宋体"/>
          <w:b/>
          <w:bCs/>
          <w:sz w:val="24"/>
          <w:highlight w:val="none"/>
          <w:u w:val="single"/>
          <w:shd w:val="clear" w:color="auto" w:fill="FFFFFF"/>
        </w:rPr>
        <w:t>质疑期限届满之日</w:t>
      </w:r>
      <w:r>
        <w:rPr>
          <w:rFonts w:hint="eastAsia" w:ascii="宋体" w:hAnsi="宋体" w:cs="宋体"/>
          <w:sz w:val="24"/>
          <w:highlight w:val="none"/>
        </w:rPr>
        <w:t>”后获取采购文件的潜在投标人如对采购文件有异议的，浙江五石中正工程咨询有限公司衢州分公司可不予受理、答复。</w:t>
      </w:r>
    </w:p>
    <w:p w14:paraId="2882A9E9">
      <w:pPr>
        <w:adjustRightInd w:val="0"/>
        <w:snapToGrid w:val="0"/>
        <w:spacing w:line="312" w:lineRule="auto"/>
        <w:ind w:firstLine="482" w:firstLineChars="200"/>
        <w:jc w:val="left"/>
        <w:rPr>
          <w:rFonts w:ascii="宋体" w:hAnsi="宋体" w:cs="宋体"/>
          <w:sz w:val="24"/>
          <w:highlight w:val="none"/>
        </w:rPr>
      </w:pPr>
      <w:r>
        <w:rPr>
          <w:rFonts w:hint="eastAsia" w:ascii="宋体" w:hAnsi="宋体" w:cs="宋体"/>
          <w:b/>
          <w:bCs/>
          <w:sz w:val="24"/>
          <w:highlight w:val="none"/>
        </w:rPr>
        <w:t>（3）招标文件的获取方式：</w:t>
      </w:r>
      <w:r>
        <w:rPr>
          <w:rFonts w:hint="eastAsia" w:ascii="宋体" w:hAnsi="宋体" w:cs="宋体"/>
          <w:sz w:val="24"/>
          <w:highlight w:val="none"/>
        </w:rPr>
        <w:t>招标人不再向投标人提供纸质招标文件，请投标人自行在下列网址下载电子版的招标文件，招标文件不收工本费。</w:t>
      </w:r>
    </w:p>
    <w:p w14:paraId="063F1768">
      <w:pPr>
        <w:adjustRightInd w:val="0"/>
        <w:snapToGrid w:val="0"/>
        <w:spacing w:line="312" w:lineRule="auto"/>
        <w:ind w:firstLine="480" w:firstLineChars="200"/>
        <w:jc w:val="left"/>
        <w:rPr>
          <w:rFonts w:ascii="宋体" w:hAnsi="宋体" w:cs="宋体"/>
          <w:b/>
          <w:sz w:val="24"/>
          <w:highlight w:val="none"/>
        </w:rPr>
      </w:pPr>
      <w:r>
        <w:rPr>
          <w:rFonts w:hint="eastAsia" w:ascii="宋体" w:hAnsi="宋体" w:cs="宋体"/>
          <w:sz w:val="24"/>
          <w:highlight w:val="none"/>
        </w:rPr>
        <w:t>浙江省政府采购网(</w:t>
      </w:r>
      <w:r>
        <w:rPr>
          <w:rFonts w:hint="eastAsia" w:ascii="宋体" w:hAnsi="宋体" w:cs="宋体"/>
          <w:sz w:val="24"/>
          <w:highlight w:val="none"/>
        </w:rPr>
        <w:drawing>
          <wp:inline distT="0" distB="0" distL="114300" distR="114300">
            <wp:extent cx="190500" cy="142875"/>
            <wp:effectExtent l="0" t="0" r="0" b="952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15"/>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sz w:val="24"/>
          <w:highlight w:val="none"/>
        </w:rPr>
        <w:t>http://zfcg.czt.zj.gov.cn/</w:t>
      </w:r>
      <w:r>
        <w:rPr>
          <w:rFonts w:hint="eastAsia" w:ascii="宋体" w:hAnsi="宋体" w:cs="宋体"/>
          <w:sz w:val="24"/>
          <w:highlight w:val="none"/>
        </w:rPr>
        <w:t>)；</w:t>
      </w:r>
    </w:p>
    <w:p w14:paraId="213F763A">
      <w:pPr>
        <w:snapToGrid w:val="0"/>
        <w:spacing w:line="312" w:lineRule="auto"/>
        <w:ind w:firstLine="482" w:firstLineChars="200"/>
        <w:jc w:val="left"/>
        <w:rPr>
          <w:rFonts w:ascii="宋体" w:hAnsi="宋体" w:cs="宋体"/>
          <w:sz w:val="24"/>
          <w:highlight w:val="none"/>
        </w:rPr>
      </w:pPr>
      <w:r>
        <w:rPr>
          <w:rFonts w:hint="eastAsia" w:ascii="宋体" w:hAnsi="宋体" w:cs="宋体"/>
          <w:b/>
          <w:bCs/>
          <w:sz w:val="24"/>
          <w:highlight w:val="none"/>
        </w:rPr>
        <w:t>四、投标截止时间和地点</w:t>
      </w:r>
      <w:r>
        <w:rPr>
          <w:rFonts w:hint="eastAsia" w:ascii="宋体" w:hAnsi="宋体" w:cs="宋体"/>
          <w:sz w:val="24"/>
          <w:highlight w:val="none"/>
        </w:rPr>
        <w:t>：</w:t>
      </w:r>
    </w:p>
    <w:p w14:paraId="4B713B78">
      <w:pPr>
        <w:snapToGrid w:val="0"/>
        <w:spacing w:line="312" w:lineRule="auto"/>
        <w:ind w:firstLine="480" w:firstLineChars="200"/>
        <w:jc w:val="left"/>
        <w:rPr>
          <w:rFonts w:ascii="宋体" w:hAnsi="宋体" w:cs="宋体"/>
          <w:sz w:val="24"/>
          <w:highlight w:val="none"/>
        </w:rPr>
      </w:pPr>
      <w:r>
        <w:rPr>
          <w:rFonts w:hint="eastAsia" w:ascii="宋体" w:hAnsi="宋体" w:cs="宋体"/>
          <w:sz w:val="24"/>
          <w:highlight w:val="none"/>
        </w:rPr>
        <w:t>投标截止时间</w:t>
      </w:r>
      <w:r>
        <w:rPr>
          <w:rFonts w:hint="eastAsia" w:ascii="宋体" w:hAnsi="宋体" w:cs="宋体"/>
          <w:b/>
          <w:bCs/>
          <w:sz w:val="24"/>
          <w:highlight w:val="none"/>
          <w:u w:val="single"/>
          <w:lang w:eastAsia="zh-CN"/>
        </w:rPr>
        <w:t>2025年1月8日</w:t>
      </w:r>
      <w:r>
        <w:rPr>
          <w:rFonts w:hint="eastAsia" w:ascii="宋体" w:hAnsi="宋体" w:cs="宋体"/>
          <w:b/>
          <w:bCs/>
          <w:sz w:val="24"/>
          <w:highlight w:val="none"/>
          <w:u w:val="single"/>
        </w:rPr>
        <w:t>09时30分</w:t>
      </w:r>
      <w:r>
        <w:rPr>
          <w:rFonts w:hint="eastAsia" w:ascii="宋体" w:hAnsi="宋体" w:cs="宋体"/>
          <w:sz w:val="24"/>
          <w:highlight w:val="none"/>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567C7D7E">
      <w:pPr>
        <w:snapToGrid w:val="0"/>
        <w:spacing w:line="312" w:lineRule="auto"/>
        <w:ind w:firstLine="482" w:firstLineChars="200"/>
        <w:jc w:val="left"/>
        <w:rPr>
          <w:rFonts w:ascii="宋体" w:hAnsi="宋体" w:cs="宋体"/>
          <w:b/>
          <w:bCs/>
          <w:sz w:val="24"/>
          <w:highlight w:val="none"/>
        </w:rPr>
      </w:pPr>
      <w:r>
        <w:rPr>
          <w:rFonts w:hint="eastAsia" w:ascii="宋体" w:hAnsi="宋体" w:cs="宋体"/>
          <w:b/>
          <w:bCs/>
          <w:sz w:val="24"/>
          <w:highlight w:val="none"/>
        </w:rPr>
        <w:t>投标人可以在投标截止时间前将电子备份投标文件（经政采云电子交易客户端和CA驱动制作出的加密电子备份投标文件）发送至邮箱：</w:t>
      </w:r>
      <w:r>
        <w:rPr>
          <w:rFonts w:hint="eastAsia" w:ascii="宋体" w:hAnsi="宋体" w:cs="宋体"/>
          <w:b/>
          <w:bCs/>
          <w:sz w:val="24"/>
          <w:highlight w:val="none"/>
          <w:lang w:eastAsia="zh-CN"/>
        </w:rPr>
        <w:t>807281475</w:t>
      </w:r>
      <w:r>
        <w:rPr>
          <w:rFonts w:hint="eastAsia" w:ascii="宋体" w:hAnsi="宋体" w:cs="宋体"/>
          <w:b/>
          <w:bCs/>
          <w:sz w:val="24"/>
          <w:highlight w:val="none"/>
        </w:rPr>
        <w:t>@qq.com，逾期发送或发错的备份投标文件将被视为无效；还可以（EMS 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电子备份投标文件的提交不作强制要求。</w:t>
      </w:r>
    </w:p>
    <w:p w14:paraId="0FD718BD">
      <w:pPr>
        <w:snapToGrid w:val="0"/>
        <w:spacing w:line="312" w:lineRule="auto"/>
        <w:ind w:firstLine="482" w:firstLineChars="200"/>
        <w:jc w:val="left"/>
        <w:rPr>
          <w:rFonts w:ascii="宋体" w:hAnsi="宋体" w:cs="宋体"/>
          <w:b/>
          <w:bCs/>
          <w:sz w:val="24"/>
          <w:highlight w:val="none"/>
        </w:rPr>
      </w:pPr>
      <w:r>
        <w:rPr>
          <w:rFonts w:hint="eastAsia" w:ascii="宋体" w:hAnsi="宋体" w:cs="宋体"/>
          <w:b/>
          <w:bCs/>
          <w:sz w:val="24"/>
          <w:highlight w:val="none"/>
        </w:rPr>
        <w:t>五、开标时间：</w:t>
      </w:r>
    </w:p>
    <w:p w14:paraId="5FE22477">
      <w:pPr>
        <w:snapToGrid w:val="0"/>
        <w:spacing w:line="312" w:lineRule="auto"/>
        <w:ind w:firstLine="480" w:firstLineChars="200"/>
        <w:rPr>
          <w:rFonts w:ascii="宋体" w:hAnsi="宋体" w:cs="宋体"/>
          <w:b/>
          <w:bCs/>
          <w:sz w:val="24"/>
          <w:highlight w:val="none"/>
        </w:rPr>
      </w:pPr>
      <w:r>
        <w:rPr>
          <w:rFonts w:hint="eastAsia" w:ascii="宋体" w:hAnsi="宋体" w:cs="宋体"/>
          <w:sz w:val="24"/>
          <w:highlight w:val="none"/>
        </w:rPr>
        <w:t>本项目开标时间：</w:t>
      </w:r>
      <w:r>
        <w:rPr>
          <w:rFonts w:hint="eastAsia" w:ascii="宋体" w:hAnsi="宋体" w:cs="宋体"/>
          <w:b/>
          <w:bCs/>
          <w:sz w:val="24"/>
          <w:highlight w:val="none"/>
          <w:u w:val="single"/>
          <w:lang w:eastAsia="zh-CN"/>
        </w:rPr>
        <w:t>2025年1月8日</w:t>
      </w:r>
      <w:r>
        <w:rPr>
          <w:rFonts w:hint="eastAsia" w:ascii="宋体" w:hAnsi="宋体" w:cs="宋体"/>
          <w:b/>
          <w:bCs/>
          <w:sz w:val="24"/>
          <w:highlight w:val="none"/>
          <w:u w:val="single"/>
        </w:rPr>
        <w:t>09时30分</w:t>
      </w:r>
      <w:r>
        <w:rPr>
          <w:rFonts w:hint="eastAsia" w:ascii="宋体" w:hAnsi="宋体" w:cs="宋体"/>
          <w:b/>
          <w:bCs/>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w:t>
      </w:r>
    </w:p>
    <w:p w14:paraId="3685D745">
      <w:pPr>
        <w:snapToGrid w:val="0"/>
        <w:spacing w:line="312" w:lineRule="auto"/>
        <w:ind w:firstLine="482" w:firstLineChars="200"/>
        <w:rPr>
          <w:rFonts w:ascii="宋体" w:hAnsi="宋体" w:cs="宋体"/>
          <w:b/>
          <w:bCs/>
          <w:sz w:val="24"/>
          <w:highlight w:val="none"/>
        </w:rPr>
      </w:pPr>
      <w:r>
        <w:rPr>
          <w:rFonts w:hint="eastAsia" w:ascii="宋体" w:hAnsi="宋体" w:cs="宋体"/>
          <w:b/>
          <w:bCs/>
          <w:sz w:val="24"/>
          <w:highlight w:val="none"/>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由采购代理机构开启投标文件。</w:t>
      </w:r>
    </w:p>
    <w:p w14:paraId="447DC6D5">
      <w:pPr>
        <w:snapToGrid w:val="0"/>
        <w:spacing w:line="312" w:lineRule="auto"/>
        <w:ind w:firstLine="482" w:firstLineChars="200"/>
        <w:rPr>
          <w:rFonts w:ascii="宋体" w:hAnsi="宋体" w:cs="宋体"/>
          <w:strike/>
          <w:sz w:val="24"/>
          <w:highlight w:val="none"/>
        </w:rPr>
      </w:pPr>
      <w:r>
        <w:rPr>
          <w:rFonts w:hint="eastAsia" w:ascii="宋体" w:hAnsi="宋体" w:cs="宋体"/>
          <w:b/>
          <w:sz w:val="24"/>
          <w:highlight w:val="none"/>
        </w:rPr>
        <w:t>六、开标会议：</w:t>
      </w:r>
    </w:p>
    <w:p w14:paraId="341EE8BB">
      <w:pPr>
        <w:snapToGrid w:val="0"/>
        <w:spacing w:line="312" w:lineRule="auto"/>
        <w:ind w:firstLine="482" w:firstLineChars="200"/>
        <w:rPr>
          <w:rFonts w:ascii="宋体" w:hAnsi="宋体" w:cs="宋体"/>
          <w:highlight w:val="none"/>
        </w:rPr>
      </w:pPr>
      <w:r>
        <w:rPr>
          <w:rFonts w:hint="eastAsia" w:ascii="宋体" w:hAnsi="宋体" w:cs="宋体"/>
          <w:b/>
          <w:bCs/>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w:t>
      </w:r>
    </w:p>
    <w:p w14:paraId="26C3C48C">
      <w:pPr>
        <w:snapToGrid w:val="0"/>
        <w:spacing w:line="312" w:lineRule="auto"/>
        <w:ind w:firstLine="482" w:firstLineChars="200"/>
        <w:rPr>
          <w:rFonts w:ascii="宋体" w:hAnsi="宋体" w:cs="宋体"/>
          <w:b/>
          <w:bCs/>
          <w:sz w:val="24"/>
          <w:highlight w:val="none"/>
        </w:rPr>
      </w:pPr>
      <w:r>
        <w:rPr>
          <w:rFonts w:hint="eastAsia" w:ascii="宋体" w:hAnsi="宋体" w:cs="宋体"/>
          <w:b/>
          <w:bCs/>
          <w:sz w:val="24"/>
          <w:highlight w:val="none"/>
        </w:rPr>
        <w:t>投标人未按招标文件要求派代表参加电子开标会议的，视同认可开标结果，不得对开标过程及开标结果提出质疑。</w:t>
      </w:r>
    </w:p>
    <w:p w14:paraId="37BC4F39">
      <w:pPr>
        <w:widowControl/>
        <w:snapToGrid w:val="0"/>
        <w:spacing w:line="312" w:lineRule="auto"/>
        <w:ind w:firstLine="482" w:firstLineChars="200"/>
        <w:jc w:val="left"/>
        <w:rPr>
          <w:rFonts w:ascii="宋体" w:hAnsi="宋体" w:cs="宋体"/>
          <w:sz w:val="24"/>
          <w:highlight w:val="none"/>
        </w:rPr>
      </w:pPr>
      <w:r>
        <w:rPr>
          <w:rFonts w:hint="eastAsia" w:ascii="宋体" w:hAnsi="宋体" w:cs="宋体"/>
          <w:b/>
          <w:bCs/>
          <w:sz w:val="24"/>
          <w:highlight w:val="none"/>
        </w:rPr>
        <w:t>七、</w:t>
      </w:r>
      <w:r>
        <w:rPr>
          <w:rFonts w:hint="eastAsia" w:ascii="宋体" w:hAnsi="宋体" w:cs="宋体"/>
          <w:b/>
          <w:sz w:val="24"/>
          <w:highlight w:val="none"/>
        </w:rPr>
        <w:t>投标说明</w:t>
      </w:r>
    </w:p>
    <w:p w14:paraId="6A28595E">
      <w:pPr>
        <w:snapToGrid w:val="0"/>
        <w:spacing w:line="312" w:lineRule="auto"/>
        <w:ind w:firstLine="482" w:firstLineChars="200"/>
        <w:rPr>
          <w:rFonts w:ascii="宋体" w:hAnsi="宋体" w:cs="宋体"/>
          <w:b/>
          <w:bCs/>
          <w:sz w:val="24"/>
          <w:highlight w:val="none"/>
        </w:rPr>
      </w:pPr>
      <w:r>
        <w:rPr>
          <w:rFonts w:hint="eastAsia" w:ascii="宋体" w:hAnsi="宋体" w:cs="宋体"/>
          <w:b/>
          <w:bCs/>
          <w:sz w:val="24"/>
          <w:highlight w:val="none"/>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95763。</w:t>
      </w:r>
    </w:p>
    <w:p w14:paraId="0A73B58D">
      <w:pPr>
        <w:snapToGrid w:val="0"/>
        <w:spacing w:line="312" w:lineRule="auto"/>
        <w:ind w:firstLine="482" w:firstLineChars="200"/>
        <w:rPr>
          <w:rFonts w:ascii="宋体" w:hAnsi="宋体" w:cs="宋体"/>
          <w:b/>
          <w:highlight w:val="none"/>
        </w:rPr>
      </w:pPr>
      <w:r>
        <w:rPr>
          <w:rFonts w:hint="eastAsia" w:ascii="宋体" w:hAnsi="宋体" w:cs="宋体"/>
          <w:b/>
          <w:bCs/>
          <w:sz w:val="24"/>
          <w:highlight w:val="none"/>
        </w:rPr>
        <w:t>2、各潜在供应商应在开标前完成CA数字证书办理。（办理流程详见</w:t>
      </w:r>
      <w:r>
        <w:rPr>
          <w:highlight w:val="none"/>
        </w:rPr>
        <w:fldChar w:fldCharType="begin"/>
      </w:r>
      <w:r>
        <w:rPr>
          <w:highlight w:val="none"/>
        </w:rPr>
        <w:instrText xml:space="preserve"> HYPERLINK "http://zfcg.czt.zj.gov.cn/bidClientTemplate/2019-05-27/12945.html" </w:instrText>
      </w:r>
      <w:r>
        <w:rPr>
          <w:highlight w:val="none"/>
        </w:rPr>
        <w:fldChar w:fldCharType="separate"/>
      </w:r>
      <w:r>
        <w:rPr>
          <w:rFonts w:hint="eastAsia" w:ascii="宋体" w:hAnsi="宋体" w:cs="宋体"/>
          <w:b/>
          <w:bCs/>
          <w:sz w:val="24"/>
          <w:highlight w:val="none"/>
        </w:rPr>
        <w:t>http://zfcg.czt.zj.gov.cn/bidClientTemplate/2019-05-27/12945.html</w:t>
      </w:r>
      <w:r>
        <w:rPr>
          <w:rFonts w:hint="eastAsia" w:ascii="宋体" w:hAnsi="宋体" w:cs="宋体"/>
          <w:b/>
          <w:bCs/>
          <w:sz w:val="24"/>
          <w:highlight w:val="none"/>
        </w:rPr>
        <w:fldChar w:fldCharType="end"/>
      </w:r>
      <w:r>
        <w:rPr>
          <w:rFonts w:hint="eastAsia" w:ascii="宋体" w:hAnsi="宋体" w:cs="宋体"/>
          <w:b/>
          <w:bCs/>
          <w:sz w:val="24"/>
          <w:highlight w:val="none"/>
        </w:rPr>
        <w:t>）。CA数字证书申请后至办理成功预计需一周左右的时间，请各潜在供应商预留好相应的时间，抓紧办理。</w:t>
      </w:r>
    </w:p>
    <w:p w14:paraId="5A319F83">
      <w:pPr>
        <w:wordWrap w:val="0"/>
        <w:snapToGrid w:val="0"/>
        <w:spacing w:line="312" w:lineRule="auto"/>
        <w:ind w:firstLine="482" w:firstLineChars="200"/>
        <w:rPr>
          <w:rFonts w:ascii="宋体" w:hAnsi="宋体" w:cs="宋体"/>
          <w:b/>
          <w:sz w:val="24"/>
          <w:highlight w:val="none"/>
        </w:rPr>
      </w:pPr>
      <w:r>
        <w:rPr>
          <w:rFonts w:hint="eastAsia" w:ascii="宋体" w:hAnsi="宋体" w:cs="宋体"/>
          <w:b/>
          <w:sz w:val="24"/>
          <w:highlight w:val="none"/>
        </w:rPr>
        <w:t>3、投标人通过政采云平台电子投标工具制作投标文件，电子投标工具请各潜在供应商自行前往浙江省政府采购网下载并安装（下载网址：</w:t>
      </w:r>
      <w:r>
        <w:rPr>
          <w:highlight w:val="none"/>
        </w:rPr>
        <w:fldChar w:fldCharType="begin"/>
      </w:r>
      <w:r>
        <w:rPr>
          <w:highlight w:val="none"/>
        </w:rPr>
        <w:instrText xml:space="preserve"> HYPERLINK "http://zfcg.czt.zj.gov.cn/bidClientTemplate/2019-05-27/12946.html" </w:instrText>
      </w:r>
      <w:r>
        <w:rPr>
          <w:highlight w:val="none"/>
        </w:rPr>
        <w:fldChar w:fldCharType="separate"/>
      </w:r>
      <w:r>
        <w:rPr>
          <w:rStyle w:val="29"/>
          <w:rFonts w:hint="eastAsia" w:ascii="宋体" w:hAnsi="宋体" w:cs="宋体"/>
          <w:color w:val="auto"/>
          <w:sz w:val="24"/>
          <w:highlight w:val="none"/>
        </w:rPr>
        <w:t>http://zfcg.czt.zj.gov.cn/bidClientTemplate/2019-05-27/12946.html</w:t>
      </w:r>
      <w:r>
        <w:rPr>
          <w:rStyle w:val="29"/>
          <w:rFonts w:hint="eastAsia" w:ascii="宋体" w:hAnsi="宋体" w:cs="宋体"/>
          <w:color w:val="auto"/>
          <w:sz w:val="24"/>
          <w:highlight w:val="none"/>
        </w:rPr>
        <w:fldChar w:fldCharType="end"/>
      </w:r>
      <w:r>
        <w:rPr>
          <w:rFonts w:hint="eastAsia" w:ascii="宋体" w:hAnsi="宋体" w:cs="宋体"/>
          <w:b/>
          <w:sz w:val="24"/>
          <w:highlight w:val="none"/>
        </w:rPr>
        <w:t>），电子投标具体的流程文档详见网址：</w:t>
      </w:r>
      <w:r>
        <w:rPr>
          <w:highlight w:val="none"/>
        </w:rPr>
        <w:fldChar w:fldCharType="begin"/>
      </w:r>
      <w:r>
        <w:rPr>
          <w:highlight w:val="none"/>
        </w:rPr>
        <w:instrText xml:space="preserve"> HYPERLINK "https://help.zcygov.cn/web/site_2/2018/12-28/2573.html" </w:instrText>
      </w:r>
      <w:r>
        <w:rPr>
          <w:highlight w:val="none"/>
        </w:rPr>
        <w:fldChar w:fldCharType="separate"/>
      </w:r>
      <w:r>
        <w:rPr>
          <w:rStyle w:val="29"/>
          <w:rFonts w:hint="eastAsia" w:ascii="宋体" w:hAnsi="宋体" w:cs="宋体"/>
          <w:b/>
          <w:color w:val="auto"/>
          <w:sz w:val="24"/>
          <w:highlight w:val="none"/>
        </w:rPr>
        <w:t>https://help.zcygov.cn/web/site_2/2018/12-28/2573.html</w:t>
      </w:r>
      <w:r>
        <w:rPr>
          <w:rStyle w:val="29"/>
          <w:rFonts w:hint="eastAsia" w:ascii="宋体" w:hAnsi="宋体" w:cs="宋体"/>
          <w:b/>
          <w:color w:val="auto"/>
          <w:sz w:val="24"/>
          <w:highlight w:val="none"/>
        </w:rPr>
        <w:fldChar w:fldCharType="end"/>
      </w:r>
      <w:r>
        <w:rPr>
          <w:rFonts w:hint="eastAsia" w:ascii="宋体" w:hAnsi="宋体" w:cs="宋体"/>
          <w:b/>
          <w:sz w:val="24"/>
          <w:highlight w:val="none"/>
        </w:rPr>
        <w:t>。</w:t>
      </w:r>
      <w:bookmarkStart w:id="0" w:name="_Toc22943"/>
    </w:p>
    <w:p w14:paraId="2B7DAF27">
      <w:pPr>
        <w:wordWrap w:val="0"/>
        <w:snapToGrid w:val="0"/>
        <w:spacing w:line="312" w:lineRule="auto"/>
        <w:ind w:firstLine="482" w:firstLineChars="200"/>
        <w:rPr>
          <w:rFonts w:ascii="宋体" w:hAnsi="宋体" w:cs="宋体"/>
          <w:b/>
          <w:sz w:val="24"/>
          <w:highlight w:val="none"/>
        </w:rPr>
      </w:pPr>
      <w:r>
        <w:rPr>
          <w:rFonts w:hint="eastAsia" w:ascii="宋体" w:hAnsi="宋体" w:cs="宋体"/>
          <w:b/>
          <w:sz w:val="24"/>
          <w:highlight w:val="none"/>
        </w:rPr>
        <w:t>八、其他事项：</w:t>
      </w:r>
    </w:p>
    <w:p w14:paraId="21465F53">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1、公告期限：自本公告发布之日起5个工作日（以公告发布次日开始计算）。</w:t>
      </w:r>
    </w:p>
    <w:p w14:paraId="08E873D0">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2、质疑：供应商认为采购文件、采购过程和成交结果使自己的权益受到损害的，可以在知道或者应知其权益受到损害之日起七个工作日内，在线提出询问和质疑（询问路径：政采云-项目采购-询问质疑投诉-询问列表；质疑路径：政采云-项目采购-询问质疑投诉-质疑列表）。质疑供应商对采购人、采购代理机构的答复不满意或者采购人、采购代理机构未在规定的时间内作出答复的，可以在线提起投诉（路径为：浙江政府服务网-政府采购投诉处理-在线办理）。</w:t>
      </w:r>
    </w:p>
    <w:p w14:paraId="15F65201">
      <w:pPr>
        <w:snapToGrid w:val="0"/>
        <w:spacing w:line="312" w:lineRule="auto"/>
        <w:ind w:firstLine="480" w:firstLineChars="200"/>
        <w:rPr>
          <w:rFonts w:ascii="宋体" w:hAnsi="宋体" w:cs="宋体"/>
          <w:b/>
          <w:bCs/>
          <w:sz w:val="24"/>
          <w:highlight w:val="none"/>
        </w:rPr>
      </w:pPr>
      <w:r>
        <w:rPr>
          <w:rFonts w:hint="eastAsia" w:ascii="宋体" w:hAnsi="宋体" w:cs="宋体"/>
          <w:sz w:val="24"/>
          <w:highlight w:val="none"/>
        </w:rPr>
        <w:t>http://www.zjzwfw.gov.cn/zjservice/item/detail/index.do?localInnerCode=2ca19a7a-aa2d-4cca-a191-a5edf3bf69f8。</w:t>
      </w:r>
    </w:p>
    <w:p w14:paraId="26B69A86">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供应商应知其权益受到损害之日，是指：</w:t>
      </w:r>
    </w:p>
    <w:p w14:paraId="36ACE745">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（1）对可以质疑的采购文件提出质疑的，为获取采购文件之日（采购公告期限届满之日后获取采购文件的为采购公告期限届满之日）。</w:t>
      </w:r>
    </w:p>
    <w:p w14:paraId="310CA5A2">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（2）对采购过程提出质疑的，为各采购程序环节结束之日。</w:t>
      </w:r>
    </w:p>
    <w:p w14:paraId="60DB2BC0">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（3）对成交结果提出质疑的，为成交结果公告期限届满之日。</w:t>
      </w:r>
    </w:p>
    <w:p w14:paraId="2C14C3C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071DFD">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4.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文件、《财政部关于进一步加大政府采购支持中小企业力度的通知》财库〔2022〕19号的规定，对小型和微型企业、监狱企业、残疾人福利性单位生产的产品价格给予10%～20%的扣除，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与评审。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294563C9">
      <w:pPr>
        <w:spacing w:line="380" w:lineRule="exact"/>
        <w:ind w:firstLine="480" w:firstLineChars="200"/>
        <w:rPr>
          <w:rFonts w:ascii="宋体" w:hAnsi="宋体" w:cs="宋体"/>
          <w:sz w:val="24"/>
          <w:highlight w:val="none"/>
        </w:rPr>
      </w:pPr>
      <w:r>
        <w:rPr>
          <w:rFonts w:hint="eastAsia" w:ascii="宋体" w:hAnsi="宋体" w:cs="宋体"/>
          <w:sz w:val="24"/>
          <w:highlight w:val="none"/>
        </w:rPr>
        <w:t>5.《浙江省财政厅关于进一步发挥政府采购政策功能全力推动经济稳进提质的通知》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B84CDE2">
      <w:pPr>
        <w:spacing w:line="380" w:lineRule="exact"/>
        <w:ind w:firstLine="480" w:firstLineChars="200"/>
        <w:rPr>
          <w:rFonts w:ascii="宋体" w:hAnsi="宋体"/>
          <w:color w:val="000000"/>
          <w:sz w:val="24"/>
          <w:highlight w:val="none"/>
        </w:rPr>
      </w:pPr>
      <w:r>
        <w:rPr>
          <w:rFonts w:hint="eastAsia" w:ascii="宋体" w:hAnsi="宋体"/>
          <w:color w:val="000000"/>
          <w:sz w:val="24"/>
          <w:highlight w:val="none"/>
        </w:rPr>
        <w:t>6.（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ascii="宋体" w:hAnsi="宋体"/>
          <w:color w:val="000000"/>
          <w:sz w:val="24"/>
          <w:highlight w:val="none"/>
        </w:rPr>
        <w:br w:type="textWrapping"/>
      </w:r>
      <w:r>
        <w:rPr>
          <w:rFonts w:hint="eastAsia" w:ascii="宋体" w:hAnsi="宋体"/>
          <w:color w:val="000000"/>
          <w:sz w:val="24"/>
          <w:highlight w:val="none"/>
        </w:rPr>
        <w:t xml:space="preserve">  （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1DA33A7D">
      <w:pPr>
        <w:spacing w:line="380" w:lineRule="exact"/>
        <w:ind w:firstLine="240" w:firstLineChars="100"/>
        <w:rPr>
          <w:rFonts w:ascii="宋体" w:hAnsi="宋体" w:cs="宋体"/>
          <w:b/>
          <w:sz w:val="24"/>
          <w:highlight w:val="none"/>
        </w:rPr>
      </w:pPr>
      <w:r>
        <w:rPr>
          <w:rFonts w:hint="eastAsia" w:ascii="宋体" w:hAnsi="宋体"/>
          <w:color w:val="000000"/>
          <w:sz w:val="24"/>
          <w:highlight w:val="none"/>
        </w:rPr>
        <w:t>（3）根据《浙江省财政厅关于进一步促进政府采购公平竞争打造最优营商环境的通知》（浙财采监（2021）22号）文件关于“健全行政裁决机制”要求，鼓励供应商提起询问。</w:t>
      </w:r>
    </w:p>
    <w:p w14:paraId="671B5CEF">
      <w:pPr>
        <w:wordWrap w:val="0"/>
        <w:snapToGrid w:val="0"/>
        <w:spacing w:line="312" w:lineRule="auto"/>
        <w:ind w:firstLine="241" w:firstLineChars="100"/>
        <w:rPr>
          <w:rFonts w:ascii="宋体" w:hAnsi="宋体" w:cs="宋体"/>
          <w:b/>
          <w:sz w:val="24"/>
          <w:highlight w:val="none"/>
        </w:rPr>
      </w:pPr>
      <w:r>
        <w:rPr>
          <w:rFonts w:hint="eastAsia" w:ascii="宋体" w:hAnsi="宋体" w:cs="宋体"/>
          <w:b/>
          <w:sz w:val="24"/>
          <w:highlight w:val="none"/>
        </w:rPr>
        <w:t>九、对本次招标提出询问，请按以下方式联系：</w:t>
      </w:r>
      <w:bookmarkEnd w:id="0"/>
    </w:p>
    <w:p w14:paraId="6546A346">
      <w:pPr>
        <w:tabs>
          <w:tab w:val="right" w:pos="8849"/>
        </w:tabs>
        <w:spacing w:line="312"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364FB70B">
      <w:pPr>
        <w:tabs>
          <w:tab w:val="right" w:pos="8849"/>
        </w:tabs>
        <w:spacing w:line="312" w:lineRule="auto"/>
        <w:rPr>
          <w:rFonts w:ascii="宋体" w:hAnsi="宋体"/>
          <w:sz w:val="24"/>
          <w:highlight w:val="none"/>
        </w:rPr>
      </w:pPr>
      <w:r>
        <w:rPr>
          <w:rFonts w:hint="eastAsia" w:ascii="宋体" w:hAnsi="宋体"/>
          <w:sz w:val="24"/>
          <w:highlight w:val="none"/>
        </w:rPr>
        <w:t>名称：</w:t>
      </w:r>
      <w:r>
        <w:rPr>
          <w:rFonts w:hint="eastAsia" w:ascii="宋体" w:hAnsi="宋体"/>
          <w:sz w:val="24"/>
          <w:highlight w:val="none"/>
          <w:lang w:eastAsia="zh-CN"/>
        </w:rPr>
        <w:t>衢江区卫生健康局</w:t>
      </w:r>
      <w:r>
        <w:rPr>
          <w:rFonts w:hint="eastAsia" w:ascii="宋体" w:hAnsi="宋体"/>
          <w:sz w:val="24"/>
          <w:highlight w:val="none"/>
        </w:rPr>
        <w:t xml:space="preserve">                   </w:t>
      </w:r>
    </w:p>
    <w:p w14:paraId="6A49BE65">
      <w:pPr>
        <w:tabs>
          <w:tab w:val="right" w:pos="8849"/>
        </w:tabs>
        <w:spacing w:line="312" w:lineRule="auto"/>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华女士</w:t>
      </w:r>
      <w:r>
        <w:rPr>
          <w:rFonts w:hint="eastAsia" w:ascii="宋体" w:hAnsi="宋体"/>
          <w:sz w:val="24"/>
          <w:highlight w:val="none"/>
        </w:rPr>
        <w:t xml:space="preserve">          </w:t>
      </w:r>
    </w:p>
    <w:p w14:paraId="58D3595F">
      <w:pPr>
        <w:tabs>
          <w:tab w:val="right" w:pos="8849"/>
        </w:tabs>
        <w:spacing w:line="312" w:lineRule="auto"/>
        <w:rPr>
          <w:rFonts w:ascii="宋体" w:hAnsi="宋体"/>
          <w:sz w:val="24"/>
          <w:highlight w:val="none"/>
        </w:rPr>
      </w:pPr>
      <w:r>
        <w:rPr>
          <w:rFonts w:hint="eastAsia" w:ascii="宋体" w:hAnsi="宋体"/>
          <w:sz w:val="24"/>
          <w:highlight w:val="none"/>
        </w:rPr>
        <w:t>联系电话：13967039552</w:t>
      </w:r>
    </w:p>
    <w:p w14:paraId="6B1C07A5">
      <w:pPr>
        <w:tabs>
          <w:tab w:val="right" w:pos="8849"/>
        </w:tabs>
        <w:spacing w:line="312" w:lineRule="auto"/>
        <w:rPr>
          <w:rFonts w:hint="eastAsia" w:ascii="宋体" w:hAnsi="宋体" w:eastAsia="宋体"/>
          <w:sz w:val="24"/>
          <w:highlight w:val="none"/>
          <w:lang w:eastAsia="zh-CN"/>
        </w:rPr>
      </w:pPr>
      <w:r>
        <w:rPr>
          <w:rFonts w:hint="eastAsia" w:ascii="宋体" w:hAnsi="宋体"/>
          <w:sz w:val="24"/>
          <w:highlight w:val="none"/>
        </w:rPr>
        <w:t>联系地址：</w:t>
      </w:r>
      <w:r>
        <w:rPr>
          <w:rFonts w:hint="eastAsia" w:ascii="宋体" w:hAnsi="宋体"/>
          <w:sz w:val="24"/>
          <w:highlight w:val="none"/>
          <w:lang w:eastAsia="zh-CN"/>
        </w:rPr>
        <w:t>衢州市衢江区府前路6号</w:t>
      </w:r>
    </w:p>
    <w:p w14:paraId="483874B9">
      <w:pPr>
        <w:tabs>
          <w:tab w:val="right" w:pos="8849"/>
        </w:tabs>
        <w:spacing w:line="312" w:lineRule="auto"/>
        <w:rPr>
          <w:rFonts w:ascii="宋体" w:hAnsi="宋体"/>
          <w:sz w:val="24"/>
          <w:highlight w:val="none"/>
        </w:rPr>
      </w:pPr>
      <w:r>
        <w:rPr>
          <w:rFonts w:hint="eastAsia" w:ascii="宋体" w:hAnsi="宋体"/>
          <w:sz w:val="24"/>
          <w:highlight w:val="none"/>
        </w:rPr>
        <w:t>质疑联系人：</w:t>
      </w:r>
      <w:r>
        <w:rPr>
          <w:rFonts w:hint="eastAsia" w:ascii="宋体" w:hAnsi="宋体"/>
          <w:sz w:val="24"/>
          <w:highlight w:val="none"/>
          <w:lang w:val="en-US" w:eastAsia="zh-CN"/>
        </w:rPr>
        <w:t xml:space="preserve">刘女士 </w:t>
      </w:r>
      <w:r>
        <w:rPr>
          <w:rFonts w:hint="eastAsia" w:ascii="宋体" w:hAnsi="宋体"/>
          <w:sz w:val="24"/>
          <w:highlight w:val="none"/>
        </w:rPr>
        <w:t xml:space="preserve">  </w:t>
      </w:r>
    </w:p>
    <w:p w14:paraId="3C863236">
      <w:pPr>
        <w:tabs>
          <w:tab w:val="right" w:pos="8849"/>
        </w:tabs>
        <w:spacing w:line="312" w:lineRule="auto"/>
        <w:rPr>
          <w:rFonts w:hint="eastAsia" w:ascii="宋体" w:hAnsi="宋体" w:eastAsia="宋体" w:cs="宋体"/>
          <w:sz w:val="24"/>
          <w:highlight w:val="none"/>
          <w:lang w:eastAsia="zh-CN"/>
        </w:rPr>
      </w:pPr>
      <w:r>
        <w:rPr>
          <w:rFonts w:hint="eastAsia" w:ascii="宋体" w:hAnsi="宋体"/>
          <w:sz w:val="24"/>
          <w:highlight w:val="none"/>
        </w:rPr>
        <w:t>联系电话：0570-3838829</w:t>
      </w:r>
      <w:r>
        <w:rPr>
          <w:rFonts w:hint="eastAsia" w:ascii="宋体" w:hAnsi="宋体"/>
          <w:sz w:val="24"/>
          <w:highlight w:val="none"/>
          <w:lang w:val="en-US" w:eastAsia="zh-CN"/>
        </w:rPr>
        <w:t xml:space="preserve"> </w:t>
      </w:r>
    </w:p>
    <w:p w14:paraId="5FC293E2">
      <w:pPr>
        <w:tabs>
          <w:tab w:val="right" w:pos="8849"/>
        </w:tabs>
        <w:spacing w:line="312" w:lineRule="auto"/>
        <w:ind w:firstLine="480" w:firstLineChars="200"/>
        <w:rPr>
          <w:rFonts w:ascii="宋体" w:hAnsi="宋体" w:cs="宋体"/>
          <w:sz w:val="24"/>
          <w:highlight w:val="none"/>
        </w:rPr>
      </w:pPr>
      <w:r>
        <w:rPr>
          <w:rFonts w:hint="eastAsia" w:ascii="宋体" w:hAnsi="宋体" w:cs="宋体"/>
          <w:sz w:val="24"/>
          <w:highlight w:val="none"/>
        </w:rPr>
        <w:t>2.采购代理机构信息</w:t>
      </w:r>
    </w:p>
    <w:p w14:paraId="56210960">
      <w:pPr>
        <w:tabs>
          <w:tab w:val="right" w:pos="8849"/>
        </w:tabs>
        <w:spacing w:line="312" w:lineRule="auto"/>
        <w:rPr>
          <w:rFonts w:ascii="宋体" w:hAnsi="宋体" w:cs="宋体"/>
          <w:sz w:val="24"/>
          <w:highlight w:val="none"/>
        </w:rPr>
      </w:pPr>
      <w:r>
        <w:rPr>
          <w:rFonts w:hint="eastAsia" w:ascii="宋体" w:hAnsi="宋体" w:cs="宋体"/>
          <w:sz w:val="24"/>
          <w:highlight w:val="none"/>
        </w:rPr>
        <w:t xml:space="preserve">名称：浙江五石中正工程咨询有限公司衢州分公司   </w:t>
      </w:r>
    </w:p>
    <w:p w14:paraId="24139ADD">
      <w:pPr>
        <w:tabs>
          <w:tab w:val="right" w:pos="8849"/>
        </w:tabs>
        <w:spacing w:line="312" w:lineRule="auto"/>
        <w:rPr>
          <w:rFonts w:ascii="宋体" w:hAnsi="宋体" w:cs="宋体"/>
          <w:sz w:val="24"/>
          <w:highlight w:val="none"/>
        </w:rPr>
      </w:pPr>
      <w:r>
        <w:rPr>
          <w:rFonts w:hint="eastAsia" w:ascii="宋体" w:hAnsi="宋体" w:cs="宋体"/>
          <w:sz w:val="24"/>
          <w:highlight w:val="none"/>
        </w:rPr>
        <w:t>联系地址：衢州市柯城区浮石路金河湾小区西门22栋1楼07室</w:t>
      </w:r>
    </w:p>
    <w:p w14:paraId="7111574C">
      <w:pPr>
        <w:tabs>
          <w:tab w:val="right" w:pos="8849"/>
        </w:tabs>
        <w:spacing w:line="312" w:lineRule="auto"/>
        <w:rPr>
          <w:rFonts w:ascii="宋体" w:hAnsi="宋体" w:cs="宋体"/>
          <w:sz w:val="24"/>
          <w:highlight w:val="none"/>
        </w:rPr>
      </w:pPr>
      <w:r>
        <w:rPr>
          <w:rFonts w:hint="eastAsia" w:ascii="宋体" w:hAnsi="宋体" w:cs="宋体"/>
          <w:sz w:val="24"/>
          <w:highlight w:val="none"/>
        </w:rPr>
        <w:t>联系人：方女士、</w:t>
      </w:r>
      <w:r>
        <w:rPr>
          <w:rFonts w:hint="eastAsia" w:ascii="宋体" w:hAnsi="宋体" w:cs="宋体"/>
          <w:sz w:val="24"/>
          <w:highlight w:val="none"/>
          <w:lang w:val="en-US" w:eastAsia="zh-CN"/>
        </w:rPr>
        <w:t>郑</w:t>
      </w:r>
      <w:r>
        <w:rPr>
          <w:rFonts w:hint="eastAsia" w:ascii="宋体" w:hAnsi="宋体" w:cs="宋体"/>
          <w:sz w:val="24"/>
          <w:highlight w:val="none"/>
        </w:rPr>
        <w:t xml:space="preserve">女士           </w:t>
      </w:r>
    </w:p>
    <w:p w14:paraId="0EBBE630">
      <w:pPr>
        <w:tabs>
          <w:tab w:val="right" w:pos="8849"/>
        </w:tabs>
        <w:spacing w:line="312" w:lineRule="auto"/>
        <w:rPr>
          <w:rFonts w:ascii="宋体" w:hAnsi="宋体" w:cs="宋体"/>
          <w:sz w:val="24"/>
          <w:highlight w:val="none"/>
        </w:rPr>
      </w:pPr>
      <w:r>
        <w:rPr>
          <w:rFonts w:hint="eastAsia" w:ascii="宋体" w:hAnsi="宋体" w:cs="宋体"/>
          <w:sz w:val="24"/>
          <w:highlight w:val="none"/>
        </w:rPr>
        <w:t>联系电话：0570-3085566</w:t>
      </w:r>
    </w:p>
    <w:p w14:paraId="6D3B55B3">
      <w:pPr>
        <w:tabs>
          <w:tab w:val="right" w:pos="8849"/>
        </w:tabs>
        <w:spacing w:line="312" w:lineRule="auto"/>
        <w:rPr>
          <w:rFonts w:ascii="宋体" w:hAnsi="宋体" w:cs="宋体"/>
          <w:sz w:val="24"/>
          <w:highlight w:val="none"/>
        </w:rPr>
      </w:pPr>
      <w:r>
        <w:rPr>
          <w:rFonts w:hint="eastAsia" w:ascii="宋体" w:hAnsi="宋体" w:cs="宋体"/>
          <w:sz w:val="24"/>
          <w:highlight w:val="none"/>
        </w:rPr>
        <w:t xml:space="preserve">质疑联系人：陈女士          </w:t>
      </w:r>
    </w:p>
    <w:p w14:paraId="158393B3">
      <w:pPr>
        <w:tabs>
          <w:tab w:val="right" w:pos="8849"/>
        </w:tabs>
        <w:spacing w:line="312" w:lineRule="auto"/>
        <w:rPr>
          <w:highlight w:val="none"/>
        </w:rPr>
      </w:pPr>
      <w:r>
        <w:rPr>
          <w:rFonts w:hint="eastAsia" w:ascii="宋体" w:hAnsi="宋体" w:cs="宋体"/>
          <w:sz w:val="24"/>
          <w:highlight w:val="none"/>
        </w:rPr>
        <w:t>联系电话：18905703552</w:t>
      </w:r>
    </w:p>
    <w:p w14:paraId="2C5748B5">
      <w:pPr>
        <w:tabs>
          <w:tab w:val="right" w:pos="8849"/>
        </w:tabs>
        <w:spacing w:line="312" w:lineRule="auto"/>
        <w:ind w:firstLine="480" w:firstLineChars="200"/>
        <w:rPr>
          <w:rFonts w:ascii="宋体" w:hAnsi="宋体" w:cs="宋体"/>
          <w:sz w:val="24"/>
          <w:highlight w:val="none"/>
        </w:rPr>
      </w:pPr>
      <w:r>
        <w:rPr>
          <w:rFonts w:hint="eastAsia" w:ascii="宋体" w:hAnsi="宋体" w:cs="宋体"/>
          <w:sz w:val="24"/>
          <w:highlight w:val="none"/>
        </w:rPr>
        <w:t>3.政府采购行政监管及投诉受理部门：</w:t>
      </w:r>
    </w:p>
    <w:p w14:paraId="1C8CDEEE">
      <w:pPr>
        <w:tabs>
          <w:tab w:val="right" w:pos="8849"/>
        </w:tabs>
        <w:spacing w:line="312" w:lineRule="auto"/>
        <w:rPr>
          <w:rFonts w:ascii="宋体" w:hAnsi="宋体" w:cs="宋体"/>
          <w:sz w:val="24"/>
          <w:highlight w:val="none"/>
        </w:rPr>
      </w:pPr>
      <w:r>
        <w:rPr>
          <w:rFonts w:hint="eastAsia" w:ascii="宋体" w:hAnsi="宋体" w:cs="宋体"/>
          <w:sz w:val="24"/>
          <w:highlight w:val="none"/>
        </w:rPr>
        <w:t>监管办公室：衢州市衢江区政府采购监督管理办公室</w:t>
      </w:r>
    </w:p>
    <w:p w14:paraId="3D371EE2">
      <w:pPr>
        <w:tabs>
          <w:tab w:val="right" w:pos="8849"/>
        </w:tabs>
        <w:spacing w:line="312" w:lineRule="auto"/>
        <w:rPr>
          <w:rFonts w:ascii="宋体" w:hAnsi="宋体" w:cs="宋体"/>
          <w:sz w:val="24"/>
          <w:highlight w:val="none"/>
        </w:rPr>
      </w:pPr>
      <w:r>
        <w:rPr>
          <w:rFonts w:hint="eastAsia" w:ascii="宋体" w:hAnsi="宋体" w:cs="宋体"/>
          <w:sz w:val="24"/>
          <w:highlight w:val="none"/>
        </w:rPr>
        <w:t>联系人：杨女士</w:t>
      </w:r>
    </w:p>
    <w:p w14:paraId="791C41A2">
      <w:pPr>
        <w:tabs>
          <w:tab w:val="right" w:pos="8849"/>
        </w:tabs>
        <w:spacing w:line="312" w:lineRule="auto"/>
        <w:rPr>
          <w:highlight w:val="none"/>
        </w:rPr>
      </w:pPr>
      <w:r>
        <w:rPr>
          <w:rFonts w:hint="eastAsia" w:ascii="宋体" w:hAnsi="宋体" w:cs="宋体"/>
          <w:sz w:val="24"/>
          <w:highlight w:val="none"/>
        </w:rPr>
        <w:t>联系电话： 0570-8762708</w:t>
      </w:r>
    </w:p>
    <w:p w14:paraId="7B6950DD">
      <w:pPr>
        <w:tabs>
          <w:tab w:val="right" w:pos="8849"/>
        </w:tabs>
        <w:spacing w:line="312" w:lineRule="auto"/>
        <w:ind w:firstLine="480" w:firstLineChars="200"/>
        <w:rPr>
          <w:rFonts w:ascii="宋体" w:hAnsi="宋体" w:cs="宋体"/>
          <w:sz w:val="24"/>
          <w:highlight w:val="none"/>
        </w:rPr>
      </w:pPr>
      <w:r>
        <w:rPr>
          <w:rFonts w:hint="eastAsia" w:ascii="宋体" w:hAnsi="宋体" w:cs="宋体"/>
          <w:sz w:val="24"/>
          <w:highlight w:val="none"/>
        </w:rPr>
        <w:t xml:space="preserve">4.系统技术支持：政采云有限公司     </w:t>
      </w:r>
    </w:p>
    <w:p w14:paraId="5D7AE397">
      <w:pPr>
        <w:tabs>
          <w:tab w:val="right" w:pos="8849"/>
        </w:tabs>
        <w:spacing w:line="312" w:lineRule="auto"/>
        <w:rPr>
          <w:rFonts w:ascii="宋体" w:hAnsi="宋体" w:cs="宋体"/>
          <w:sz w:val="24"/>
          <w:highlight w:val="none"/>
        </w:rPr>
      </w:pPr>
      <w:r>
        <w:rPr>
          <w:rFonts w:hint="eastAsia" w:ascii="宋体" w:hAnsi="宋体" w:cs="宋体"/>
          <w:sz w:val="24"/>
          <w:highlight w:val="none"/>
        </w:rPr>
        <w:t xml:space="preserve">联系人：客服   </w:t>
      </w:r>
    </w:p>
    <w:p w14:paraId="522CCBEB">
      <w:pPr>
        <w:tabs>
          <w:tab w:val="right" w:pos="8849"/>
        </w:tabs>
        <w:spacing w:line="312" w:lineRule="auto"/>
        <w:jc w:val="left"/>
        <w:rPr>
          <w:rFonts w:ascii="宋体" w:hAnsi="宋体" w:cs="宋体"/>
          <w:sz w:val="24"/>
          <w:highlight w:val="none"/>
        </w:rPr>
      </w:pPr>
      <w:r>
        <w:rPr>
          <w:rFonts w:hint="eastAsia" w:ascii="宋体" w:hAnsi="宋体" w:cs="宋体"/>
          <w:sz w:val="24"/>
          <w:highlight w:val="none"/>
        </w:rPr>
        <w:t>联系电话：95763</w:t>
      </w:r>
    </w:p>
    <w:p w14:paraId="36360ED3">
      <w:pPr>
        <w:tabs>
          <w:tab w:val="right" w:pos="8849"/>
        </w:tabs>
        <w:spacing w:line="312" w:lineRule="auto"/>
        <w:ind w:firstLine="480" w:firstLineChars="200"/>
        <w:rPr>
          <w:rFonts w:ascii="宋体" w:hAnsi="宋体" w:cs="宋体"/>
          <w:sz w:val="24"/>
          <w:highlight w:val="none"/>
        </w:rPr>
      </w:pPr>
    </w:p>
    <w:p w14:paraId="7F78B507">
      <w:pPr>
        <w:tabs>
          <w:tab w:val="right" w:pos="8849"/>
        </w:tabs>
        <w:spacing w:line="312" w:lineRule="auto"/>
        <w:ind w:firstLine="480" w:firstLineChars="200"/>
        <w:rPr>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39B43AF2">
      <w:pPr>
        <w:tabs>
          <w:tab w:val="right" w:pos="8849"/>
        </w:tabs>
        <w:spacing w:line="312" w:lineRule="auto"/>
        <w:jc w:val="left"/>
        <w:rPr>
          <w:rFonts w:ascii="宋体" w:hAnsi="宋体" w:cs="宋体"/>
          <w:sz w:val="24"/>
          <w:highlight w:val="none"/>
        </w:rPr>
      </w:pPr>
      <w:r>
        <w:rPr>
          <w:rFonts w:hint="eastAsia" w:ascii="宋体" w:hAnsi="宋体" w:cs="宋体"/>
          <w:b/>
          <w:bCs/>
          <w:sz w:val="24"/>
          <w:highlight w:val="none"/>
        </w:rPr>
        <w:t>CA问题联系电话（人工）：汇信CA 400-888-4636；天谷CA 400-087-8198。</w:t>
      </w:r>
    </w:p>
    <w:p w14:paraId="173A1EF7">
      <w:pPr>
        <w:pStyle w:val="21"/>
        <w:jc w:val="both"/>
        <w:rPr>
          <w:highlight w:val="none"/>
        </w:rPr>
      </w:pPr>
    </w:p>
    <w:p w14:paraId="62250371">
      <w:pPr>
        <w:snapToGrid w:val="0"/>
        <w:spacing w:line="312" w:lineRule="auto"/>
        <w:ind w:firstLine="5520" w:firstLineChars="2300"/>
        <w:rPr>
          <w:rFonts w:ascii="宋体" w:hAnsi="宋体"/>
          <w:sz w:val="24"/>
          <w:highlight w:val="none"/>
        </w:rPr>
      </w:pPr>
      <w:r>
        <w:rPr>
          <w:rFonts w:hint="eastAsia" w:ascii="宋体" w:hAnsi="宋体"/>
          <w:sz w:val="24"/>
          <w:highlight w:val="none"/>
          <w:lang w:eastAsia="zh-CN"/>
        </w:rPr>
        <w:t>衢江区卫生健康局</w:t>
      </w:r>
      <w:r>
        <w:rPr>
          <w:rFonts w:hint="eastAsia" w:ascii="宋体" w:hAnsi="宋体"/>
          <w:sz w:val="24"/>
          <w:highlight w:val="none"/>
        </w:rPr>
        <w:t xml:space="preserve"> </w:t>
      </w:r>
    </w:p>
    <w:p w14:paraId="7C1E3115">
      <w:pPr>
        <w:tabs>
          <w:tab w:val="right" w:pos="8849"/>
        </w:tabs>
        <w:spacing w:line="312" w:lineRule="auto"/>
        <w:ind w:firstLine="4080" w:firstLineChars="1700"/>
        <w:rPr>
          <w:rFonts w:ascii="宋体" w:hAnsi="宋体" w:cs="宋体"/>
          <w:sz w:val="24"/>
          <w:highlight w:val="none"/>
        </w:rPr>
      </w:pPr>
      <w:r>
        <w:rPr>
          <w:rFonts w:hint="eastAsia" w:ascii="宋体" w:hAnsi="宋体" w:cs="宋体"/>
          <w:sz w:val="24"/>
          <w:highlight w:val="none"/>
        </w:rPr>
        <w:t>浙江五石中正工程咨询有限公司衢州分公司</w:t>
      </w:r>
    </w:p>
    <w:p w14:paraId="50F292DF">
      <w:pPr>
        <w:snapToGrid w:val="0"/>
        <w:spacing w:line="312" w:lineRule="auto"/>
        <w:ind w:firstLine="5520" w:firstLineChars="2300"/>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sz w:val="24"/>
          <w:highlight w:val="none"/>
          <w:lang w:eastAsia="zh-CN"/>
        </w:rPr>
        <w:t>202</w:t>
      </w:r>
      <w:r>
        <w:rPr>
          <w:rFonts w:hint="eastAsia" w:ascii="宋体" w:hAnsi="宋体" w:cs="宋体"/>
          <w:sz w:val="24"/>
          <w:highlight w:val="none"/>
          <w:lang w:val="en-US" w:eastAsia="zh-CN"/>
        </w:rPr>
        <w:t>4</w:t>
      </w:r>
      <w:r>
        <w:rPr>
          <w:rFonts w:hint="eastAsia" w:ascii="宋体" w:hAnsi="宋体" w:cs="宋体"/>
          <w:sz w:val="24"/>
          <w:highlight w:val="none"/>
          <w:lang w:eastAsia="zh-CN"/>
        </w:rPr>
        <w:t>年</w:t>
      </w:r>
      <w:r>
        <w:rPr>
          <w:rFonts w:hint="eastAsia" w:ascii="宋体" w:hAnsi="宋体" w:cs="宋体"/>
          <w:sz w:val="24"/>
          <w:highlight w:val="none"/>
          <w:lang w:val="en-US" w:eastAsia="zh-CN"/>
        </w:rPr>
        <w:t>12</w:t>
      </w:r>
      <w:r>
        <w:rPr>
          <w:rFonts w:hint="eastAsia" w:ascii="宋体" w:hAnsi="宋体" w:cs="宋体"/>
          <w:sz w:val="24"/>
          <w:highlight w:val="none"/>
          <w:lang w:eastAsia="zh-CN"/>
        </w:rPr>
        <w:t>月</w:t>
      </w:r>
      <w:r>
        <w:rPr>
          <w:rFonts w:hint="eastAsia" w:ascii="宋体" w:hAnsi="宋体" w:cs="宋体"/>
          <w:sz w:val="24"/>
          <w:highlight w:val="none"/>
          <w:lang w:val="en-US" w:eastAsia="zh-CN"/>
        </w:rPr>
        <w:t>1</w:t>
      </w:r>
      <w:r>
        <w:rPr>
          <w:rFonts w:hint="eastAsia" w:ascii="宋体" w:hAnsi="宋体" w:cs="宋体"/>
          <w:sz w:val="24"/>
          <w:highlight w:val="none"/>
          <w:lang w:eastAsia="zh-CN"/>
        </w:rPr>
        <w:t>8日</w:t>
      </w:r>
    </w:p>
    <w:p w14:paraId="4986D803">
      <w:pPr>
        <w:snapToGrid w:val="0"/>
        <w:spacing w:line="312" w:lineRule="auto"/>
        <w:rPr>
          <w:rFonts w:ascii="宋体" w:hAnsi="宋体" w:cs="宋体"/>
          <w:sz w:val="24"/>
          <w:highlight w:val="none"/>
        </w:rPr>
      </w:pPr>
    </w:p>
    <w:p w14:paraId="50A5A9F2">
      <w:pPr>
        <w:pStyle w:val="21"/>
        <w:rPr>
          <w:highlight w:val="none"/>
        </w:rPr>
      </w:pPr>
    </w:p>
    <w:p w14:paraId="79802E44">
      <w:pPr>
        <w:snapToGrid w:val="0"/>
        <w:spacing w:line="312" w:lineRule="auto"/>
        <w:rPr>
          <w:rFonts w:ascii="宋体" w:hAnsi="宋体" w:cs="宋体"/>
          <w:sz w:val="24"/>
          <w:highlight w:val="none"/>
        </w:rPr>
      </w:pPr>
    </w:p>
    <w:p w14:paraId="15D69706">
      <w:pPr>
        <w:pStyle w:val="13"/>
        <w:snapToGrid w:val="0"/>
        <w:spacing w:before="120" w:after="120" w:line="336" w:lineRule="auto"/>
        <w:jc w:val="center"/>
        <w:outlineLvl w:val="0"/>
        <w:rPr>
          <w:rFonts w:hAnsi="宋体" w:cs="宋体"/>
          <w:b/>
          <w:bCs/>
          <w:sz w:val="32"/>
          <w:szCs w:val="32"/>
          <w:highlight w:val="none"/>
        </w:rPr>
      </w:pPr>
    </w:p>
    <w:p w14:paraId="7F03537C">
      <w:pPr>
        <w:pStyle w:val="21"/>
        <w:jc w:val="both"/>
        <w:rPr>
          <w:highlight w:val="none"/>
        </w:rPr>
      </w:pPr>
    </w:p>
    <w:p w14:paraId="4496061E">
      <w:pPr>
        <w:pStyle w:val="13"/>
        <w:snapToGrid w:val="0"/>
        <w:spacing w:before="120" w:after="120" w:line="336" w:lineRule="auto"/>
        <w:jc w:val="center"/>
        <w:outlineLvl w:val="0"/>
        <w:rPr>
          <w:rFonts w:hAnsi="宋体" w:cs="宋体"/>
          <w:b/>
          <w:bCs/>
          <w:sz w:val="28"/>
          <w:szCs w:val="32"/>
          <w:highlight w:val="none"/>
        </w:rPr>
      </w:pPr>
      <w:r>
        <w:rPr>
          <w:rFonts w:hint="eastAsia" w:hAnsi="宋体" w:cs="宋体"/>
          <w:b/>
          <w:bCs/>
          <w:sz w:val="32"/>
          <w:szCs w:val="32"/>
          <w:highlight w:val="none"/>
        </w:rPr>
        <w:t>第二章  投标人须知</w:t>
      </w:r>
    </w:p>
    <w:p w14:paraId="26086640">
      <w:pPr>
        <w:snapToGrid w:val="0"/>
        <w:spacing w:beforeLines="50" w:afterLines="50" w:line="360" w:lineRule="auto"/>
        <w:ind w:left="238"/>
        <w:jc w:val="center"/>
        <w:outlineLvl w:val="1"/>
        <w:rPr>
          <w:rFonts w:ascii="宋体" w:hAnsi="宋体" w:cs="宋体"/>
          <w:b/>
          <w:sz w:val="24"/>
          <w:highlight w:val="none"/>
        </w:rPr>
      </w:pPr>
      <w:r>
        <w:rPr>
          <w:rFonts w:hint="eastAsia" w:ascii="宋体" w:hAnsi="宋体" w:cs="宋体"/>
          <w:b/>
          <w:sz w:val="24"/>
          <w:highlight w:val="none"/>
        </w:rPr>
        <w:t>前附表</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14:paraId="51ED5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14:paraId="2B1E2293">
            <w:pPr>
              <w:snapToGrid w:val="0"/>
              <w:ind w:left="-105" w:leftChars="-50" w:right="-105" w:rightChars="-50"/>
              <w:jc w:val="center"/>
              <w:rPr>
                <w:rFonts w:ascii="宋体" w:hAnsi="宋体" w:cs="宋体"/>
                <w:sz w:val="24"/>
                <w:highlight w:val="none"/>
              </w:rPr>
            </w:pPr>
            <w:r>
              <w:rPr>
                <w:rFonts w:hint="eastAsia" w:ascii="宋体" w:hAnsi="宋体" w:cs="宋体"/>
                <w:sz w:val="24"/>
                <w:highlight w:val="none"/>
              </w:rPr>
              <w:t>序号</w:t>
            </w:r>
          </w:p>
        </w:tc>
        <w:tc>
          <w:tcPr>
            <w:tcW w:w="8592" w:type="dxa"/>
            <w:tcBorders>
              <w:top w:val="single" w:color="auto" w:sz="4" w:space="0"/>
              <w:left w:val="single" w:color="auto" w:sz="4" w:space="0"/>
              <w:bottom w:val="single" w:color="auto" w:sz="4" w:space="0"/>
              <w:right w:val="single" w:color="auto" w:sz="4" w:space="0"/>
            </w:tcBorders>
            <w:vAlign w:val="center"/>
          </w:tcPr>
          <w:p w14:paraId="1358CD11">
            <w:pPr>
              <w:snapToGrid w:val="0"/>
              <w:jc w:val="center"/>
              <w:rPr>
                <w:rFonts w:ascii="宋体" w:hAnsi="宋体" w:cs="宋体"/>
                <w:sz w:val="24"/>
                <w:highlight w:val="none"/>
              </w:rPr>
            </w:pPr>
            <w:r>
              <w:rPr>
                <w:rFonts w:hint="eastAsia" w:ascii="宋体" w:hAnsi="宋体" w:cs="宋体"/>
                <w:sz w:val="24"/>
                <w:highlight w:val="none"/>
              </w:rPr>
              <w:t>内容、要求</w:t>
            </w:r>
          </w:p>
        </w:tc>
      </w:tr>
      <w:tr w14:paraId="0809F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14:paraId="5002282D">
            <w:pPr>
              <w:snapToGrid w:val="0"/>
              <w:jc w:val="center"/>
              <w:rPr>
                <w:rFonts w:ascii="宋体" w:hAnsi="宋体" w:cs="宋体"/>
                <w:sz w:val="24"/>
                <w:highlight w:val="none"/>
              </w:rPr>
            </w:pPr>
            <w:r>
              <w:rPr>
                <w:rFonts w:hint="eastAsia" w:ascii="宋体" w:hAnsi="宋体" w:cs="宋体"/>
                <w:sz w:val="24"/>
                <w:highlight w:val="none"/>
              </w:rPr>
              <w:t>1</w:t>
            </w:r>
          </w:p>
        </w:tc>
        <w:tc>
          <w:tcPr>
            <w:tcW w:w="8592" w:type="dxa"/>
            <w:tcBorders>
              <w:top w:val="single" w:color="auto" w:sz="4" w:space="0"/>
              <w:left w:val="single" w:color="auto" w:sz="4" w:space="0"/>
              <w:bottom w:val="single" w:color="auto" w:sz="4" w:space="0"/>
              <w:right w:val="single" w:color="auto" w:sz="4" w:space="0"/>
            </w:tcBorders>
            <w:vAlign w:val="center"/>
          </w:tcPr>
          <w:p w14:paraId="5DA9D17D">
            <w:pPr>
              <w:snapToGrid w:val="0"/>
              <w:jc w:val="left"/>
              <w:rPr>
                <w:rFonts w:ascii="宋体" w:hAnsi="宋体" w:cs="宋体"/>
                <w:sz w:val="24"/>
                <w:highlight w:val="none"/>
              </w:rPr>
            </w:pPr>
            <w:r>
              <w:rPr>
                <w:rFonts w:hint="eastAsia" w:ascii="宋体" w:hAnsi="宋体" w:cs="宋体"/>
                <w:sz w:val="24"/>
                <w:highlight w:val="none"/>
              </w:rPr>
              <w:t>项目属性：服务类</w:t>
            </w:r>
          </w:p>
        </w:tc>
      </w:tr>
      <w:tr w14:paraId="3B527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vAlign w:val="center"/>
          </w:tcPr>
          <w:p w14:paraId="78F8AFFA">
            <w:pPr>
              <w:snapToGrid w:val="0"/>
              <w:jc w:val="center"/>
              <w:rPr>
                <w:rFonts w:ascii="宋体" w:hAnsi="宋体" w:cs="宋体"/>
                <w:sz w:val="24"/>
                <w:highlight w:val="none"/>
              </w:rPr>
            </w:pPr>
            <w:r>
              <w:rPr>
                <w:rFonts w:hint="eastAsia" w:ascii="宋体" w:hAnsi="宋体" w:cs="宋体"/>
                <w:sz w:val="24"/>
                <w:highlight w:val="none"/>
              </w:rPr>
              <w:t>2</w:t>
            </w:r>
          </w:p>
        </w:tc>
        <w:tc>
          <w:tcPr>
            <w:tcW w:w="8592" w:type="dxa"/>
            <w:tcBorders>
              <w:top w:val="single" w:color="auto" w:sz="4" w:space="0"/>
              <w:left w:val="single" w:color="auto" w:sz="4" w:space="0"/>
              <w:bottom w:val="single" w:color="auto" w:sz="4" w:space="0"/>
              <w:right w:val="single" w:color="auto" w:sz="4" w:space="0"/>
            </w:tcBorders>
            <w:vAlign w:val="center"/>
          </w:tcPr>
          <w:p w14:paraId="28661506">
            <w:pPr>
              <w:ind w:left="1205" w:hanging="1205" w:hangingChars="500"/>
              <w:rPr>
                <w:rFonts w:ascii="宋体" w:hAnsi="宋体" w:cs="宋体"/>
                <w:sz w:val="24"/>
                <w:highlight w:val="none"/>
              </w:rPr>
            </w:pPr>
            <w:r>
              <w:rPr>
                <w:rFonts w:hint="eastAsia" w:ascii="宋体" w:hAnsi="宋体" w:cs="宋体"/>
                <w:b/>
                <w:bCs/>
                <w:sz w:val="24"/>
                <w:highlight w:val="none"/>
              </w:rPr>
              <w:t>项目名称：</w:t>
            </w:r>
            <w:r>
              <w:rPr>
                <w:rFonts w:hint="eastAsia" w:ascii="宋体" w:hAnsi="宋体" w:cs="宋体"/>
                <w:sz w:val="24"/>
                <w:highlight w:val="none"/>
                <w:lang w:eastAsia="zh-CN"/>
              </w:rPr>
              <w:t>2025年-2027年衢江区计生特殊家庭健康保险采购</w:t>
            </w:r>
            <w:r>
              <w:rPr>
                <w:rFonts w:hint="eastAsia" w:ascii="宋体" w:hAnsi="宋体" w:cs="宋体"/>
                <w:sz w:val="24"/>
                <w:highlight w:val="none"/>
              </w:rPr>
              <w:t>项目</w:t>
            </w:r>
          </w:p>
        </w:tc>
      </w:tr>
      <w:tr w14:paraId="09489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vAlign w:val="center"/>
          </w:tcPr>
          <w:p w14:paraId="25E2EE2E">
            <w:pPr>
              <w:snapToGrid w:val="0"/>
              <w:jc w:val="center"/>
              <w:rPr>
                <w:rFonts w:ascii="宋体" w:hAnsi="宋体" w:cs="宋体"/>
                <w:sz w:val="24"/>
                <w:highlight w:val="none"/>
              </w:rPr>
            </w:pPr>
            <w:r>
              <w:rPr>
                <w:rFonts w:hint="eastAsia" w:ascii="宋体" w:hAnsi="宋体" w:cs="宋体"/>
                <w:sz w:val="24"/>
                <w:highlight w:val="none"/>
              </w:rPr>
              <w:t>3</w:t>
            </w:r>
          </w:p>
        </w:tc>
        <w:tc>
          <w:tcPr>
            <w:tcW w:w="8592" w:type="dxa"/>
            <w:tcBorders>
              <w:top w:val="single" w:color="auto" w:sz="4" w:space="0"/>
              <w:left w:val="single" w:color="auto" w:sz="4" w:space="0"/>
              <w:bottom w:val="single" w:color="auto" w:sz="4" w:space="0"/>
              <w:right w:val="single" w:color="auto" w:sz="4" w:space="0"/>
            </w:tcBorders>
            <w:vAlign w:val="center"/>
          </w:tcPr>
          <w:p w14:paraId="537EC531">
            <w:pPr>
              <w:snapToGrid w:val="0"/>
              <w:jc w:val="left"/>
              <w:rPr>
                <w:rFonts w:ascii="宋体" w:hAnsi="宋体" w:cs="宋体"/>
                <w:sz w:val="24"/>
                <w:highlight w:val="none"/>
              </w:rPr>
            </w:pPr>
            <w:r>
              <w:rPr>
                <w:rFonts w:hint="eastAsia" w:ascii="宋体" w:hAnsi="宋体" w:cs="宋体"/>
                <w:sz w:val="24"/>
                <w:highlight w:val="none"/>
              </w:rPr>
              <w:t>投标报价及费用：1、本项目投标应以人民币报价；2、不论投标结果如何，投标人均应自行承担所有与投标有关的全部费用；</w:t>
            </w:r>
          </w:p>
        </w:tc>
      </w:tr>
      <w:tr w14:paraId="4F62E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vAlign w:val="center"/>
          </w:tcPr>
          <w:p w14:paraId="4DE83291">
            <w:pPr>
              <w:snapToGrid w:val="0"/>
              <w:jc w:val="center"/>
              <w:rPr>
                <w:rFonts w:ascii="宋体" w:hAnsi="宋体" w:cs="宋体"/>
                <w:sz w:val="24"/>
                <w:highlight w:val="none"/>
              </w:rPr>
            </w:pPr>
            <w:r>
              <w:rPr>
                <w:rFonts w:hint="eastAsia" w:ascii="宋体" w:hAnsi="宋体" w:cs="宋体"/>
                <w:sz w:val="24"/>
                <w:highlight w:val="none"/>
              </w:rPr>
              <w:t>4</w:t>
            </w:r>
          </w:p>
        </w:tc>
        <w:tc>
          <w:tcPr>
            <w:tcW w:w="8592" w:type="dxa"/>
            <w:tcBorders>
              <w:top w:val="single" w:color="auto" w:sz="4" w:space="0"/>
              <w:left w:val="single" w:color="auto" w:sz="4" w:space="0"/>
              <w:bottom w:val="single" w:color="auto" w:sz="4" w:space="0"/>
              <w:right w:val="single" w:color="auto" w:sz="4" w:space="0"/>
            </w:tcBorders>
            <w:vAlign w:val="center"/>
          </w:tcPr>
          <w:p w14:paraId="42DAA07C">
            <w:pPr>
              <w:snapToGrid w:val="0"/>
              <w:jc w:val="left"/>
              <w:rPr>
                <w:rFonts w:ascii="宋体" w:hAnsi="宋体" w:cs="宋体"/>
                <w:sz w:val="24"/>
                <w:highlight w:val="none"/>
              </w:rPr>
            </w:pPr>
            <w:r>
              <w:rPr>
                <w:rFonts w:hint="eastAsia" w:ascii="宋体" w:hAnsi="宋体" w:cs="宋体"/>
                <w:b/>
                <w:bCs/>
                <w:sz w:val="24"/>
                <w:highlight w:val="none"/>
              </w:rPr>
              <w:t>落实政府采购政策需满足的资格要求：</w:t>
            </w:r>
            <w:r>
              <w:rPr>
                <w:rFonts w:hint="eastAsia" w:ascii="宋体" w:hAnsi="宋体" w:eastAsia="宋体" w:cs="宋体"/>
                <w:sz w:val="24"/>
                <w:highlight w:val="none"/>
              </w:rPr>
              <w:t>本标项不限，所有大中小微型企业均可参加投标，小微企业、监狱企业、残疾人福利性单位依法享受10%价格评审优惠。</w:t>
            </w:r>
          </w:p>
        </w:tc>
      </w:tr>
      <w:tr w14:paraId="5C0A7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648" w:type="dxa"/>
            <w:tcBorders>
              <w:top w:val="single" w:color="auto" w:sz="4" w:space="0"/>
              <w:left w:val="single" w:color="auto" w:sz="4" w:space="0"/>
              <w:bottom w:val="single" w:color="auto" w:sz="4" w:space="0"/>
              <w:right w:val="single" w:color="auto" w:sz="4" w:space="0"/>
            </w:tcBorders>
            <w:vAlign w:val="center"/>
          </w:tcPr>
          <w:p w14:paraId="15EF73FA">
            <w:pPr>
              <w:snapToGrid w:val="0"/>
              <w:jc w:val="center"/>
              <w:rPr>
                <w:rFonts w:ascii="宋体" w:hAnsi="宋体" w:cs="宋体"/>
                <w:sz w:val="24"/>
                <w:highlight w:val="none"/>
              </w:rPr>
            </w:pPr>
            <w:r>
              <w:rPr>
                <w:rFonts w:hint="eastAsia" w:ascii="宋体" w:hAnsi="宋体" w:cs="宋体"/>
                <w:sz w:val="24"/>
                <w:highlight w:val="none"/>
              </w:rPr>
              <w:t>5</w:t>
            </w:r>
          </w:p>
        </w:tc>
        <w:tc>
          <w:tcPr>
            <w:tcW w:w="8592" w:type="dxa"/>
            <w:tcBorders>
              <w:top w:val="single" w:color="auto" w:sz="4" w:space="0"/>
              <w:left w:val="single" w:color="auto" w:sz="4" w:space="0"/>
              <w:bottom w:val="single" w:color="auto" w:sz="4" w:space="0"/>
              <w:right w:val="single" w:color="auto" w:sz="4" w:space="0"/>
            </w:tcBorders>
            <w:vAlign w:val="center"/>
          </w:tcPr>
          <w:p w14:paraId="30EC6E5B">
            <w:pPr>
              <w:rPr>
                <w:rFonts w:ascii="宋体" w:hAnsi="宋体" w:cs="宋体"/>
                <w:sz w:val="24"/>
                <w:highlight w:val="none"/>
              </w:rPr>
            </w:pPr>
            <w:r>
              <w:rPr>
                <w:rFonts w:hint="eastAsia" w:ascii="宋体" w:hAnsi="宋体" w:cs="宋体"/>
                <w:b/>
                <w:bCs/>
                <w:sz w:val="24"/>
                <w:highlight w:val="none"/>
              </w:rPr>
              <w:t>根据《中小企业划型标准规定的通知》（工信部联企业〔2011〕300号）规定，本项目采购标的所属行业：</w:t>
            </w:r>
            <w:r>
              <w:rPr>
                <w:rFonts w:hint="eastAsia" w:ascii="宋体" w:hAnsi="宋体" w:cs="宋体"/>
                <w:b/>
                <w:bCs/>
                <w:sz w:val="24"/>
                <w:highlight w:val="none"/>
                <w:u w:val="single"/>
              </w:rPr>
              <w:t>金融业</w:t>
            </w:r>
            <w:r>
              <w:rPr>
                <w:rFonts w:hint="eastAsia" w:ascii="宋体" w:hAnsi="宋体" w:cs="宋体"/>
                <w:b/>
                <w:bCs/>
                <w:sz w:val="24"/>
                <w:highlight w:val="none"/>
              </w:rPr>
              <w:t>（此项所属行业仅供中小企业政策扶持认定时使用）</w:t>
            </w:r>
          </w:p>
        </w:tc>
      </w:tr>
      <w:tr w14:paraId="7F97F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14:paraId="36D99643">
            <w:pPr>
              <w:snapToGrid w:val="0"/>
              <w:jc w:val="center"/>
              <w:rPr>
                <w:rFonts w:ascii="宋体" w:hAnsi="宋体" w:cs="宋体"/>
                <w:sz w:val="24"/>
                <w:highlight w:val="none"/>
              </w:rPr>
            </w:pPr>
            <w:r>
              <w:rPr>
                <w:rFonts w:hint="eastAsia" w:ascii="宋体" w:hAnsi="宋体" w:cs="宋体"/>
                <w:sz w:val="24"/>
                <w:highlight w:val="none"/>
              </w:rPr>
              <w:t>6</w:t>
            </w:r>
          </w:p>
        </w:tc>
        <w:tc>
          <w:tcPr>
            <w:tcW w:w="8592" w:type="dxa"/>
            <w:tcBorders>
              <w:top w:val="single" w:color="auto" w:sz="4" w:space="0"/>
              <w:left w:val="single" w:color="auto" w:sz="4" w:space="0"/>
              <w:bottom w:val="single" w:color="auto" w:sz="4" w:space="0"/>
              <w:right w:val="single" w:color="auto" w:sz="4" w:space="0"/>
            </w:tcBorders>
            <w:vAlign w:val="center"/>
          </w:tcPr>
          <w:p w14:paraId="3206F6FE">
            <w:pPr>
              <w:snapToGrid w:val="0"/>
              <w:rPr>
                <w:rFonts w:ascii="宋体" w:hAnsi="宋体" w:cs="宋体"/>
                <w:sz w:val="24"/>
                <w:highlight w:val="none"/>
              </w:rPr>
            </w:pPr>
            <w:r>
              <w:rPr>
                <w:rFonts w:hint="eastAsia" w:ascii="宋体" w:hAnsi="宋体" w:cs="宋体"/>
                <w:sz w:val="24"/>
                <w:highlight w:val="none"/>
              </w:rPr>
              <w:t>答疑与澄清：投标人如认为招标文件表述不清晰、存在歧视性、排他性或者其他违法内容的，应当</w:t>
            </w:r>
            <w:r>
              <w:rPr>
                <w:rFonts w:hint="eastAsia" w:ascii="宋体" w:hAnsi="宋体" w:cs="宋体"/>
                <w:sz w:val="24"/>
                <w:highlight w:val="none"/>
                <w:shd w:val="clear" w:color="auto" w:fill="FFFFFF"/>
              </w:rPr>
              <w:t>于</w:t>
            </w:r>
            <w:r>
              <w:rPr>
                <w:rFonts w:hint="eastAsia" w:ascii="宋体" w:hAnsi="宋体" w:cs="宋体"/>
                <w:b/>
                <w:bCs/>
                <w:sz w:val="24"/>
                <w:highlight w:val="none"/>
                <w:u w:val="single"/>
                <w:shd w:val="clear" w:color="auto" w:fill="FFFFFF"/>
              </w:rPr>
              <w:t>质疑期限届满之日</w:t>
            </w:r>
            <w:r>
              <w:rPr>
                <w:rFonts w:hint="eastAsia" w:ascii="宋体" w:hAnsi="宋体" w:cs="宋体"/>
                <w:sz w:val="24"/>
                <w:highlight w:val="none"/>
                <w:shd w:val="clear" w:color="auto" w:fill="FFFFFF"/>
              </w:rPr>
              <w:t>前，</w:t>
            </w:r>
            <w:r>
              <w:rPr>
                <w:rFonts w:hint="eastAsia" w:ascii="宋体" w:hAnsi="宋体" w:cs="宋体"/>
                <w:sz w:val="24"/>
                <w:highlight w:val="none"/>
              </w:rPr>
              <w:t>以书面形式要求招标采购单位或代理公司作出书面解释、澄清或者向招标采购单位提出书面质疑（</w:t>
            </w:r>
            <w:r>
              <w:rPr>
                <w:rFonts w:hint="eastAsia" w:ascii="宋体" w:hAnsi="宋体" w:cs="宋体"/>
                <w:b/>
                <w:sz w:val="24"/>
                <w:highlight w:val="none"/>
              </w:rPr>
              <w:t>超过此规定时间的质疑函将不予受理）</w:t>
            </w:r>
            <w:r>
              <w:rPr>
                <w:rFonts w:hint="eastAsia" w:ascii="宋体" w:hAnsi="宋体" w:cs="宋体"/>
                <w:sz w:val="24"/>
                <w:highlight w:val="none"/>
              </w:rPr>
              <w:t>；招标采购单位或代理公司将于</w:t>
            </w:r>
            <w:r>
              <w:rPr>
                <w:rFonts w:hint="eastAsia" w:ascii="宋体" w:hAnsi="宋体" w:cs="宋体"/>
                <w:b/>
                <w:bCs/>
                <w:sz w:val="24"/>
                <w:highlight w:val="none"/>
                <w:u w:val="single"/>
                <w:shd w:val="clear" w:color="auto" w:fill="FFFFFF"/>
              </w:rPr>
              <w:t>答疑期限届满之日</w:t>
            </w:r>
            <w:r>
              <w:rPr>
                <w:rFonts w:hint="eastAsia" w:ascii="宋体" w:hAnsi="宋体" w:cs="宋体"/>
                <w:b/>
                <w:bCs/>
                <w:sz w:val="24"/>
                <w:highlight w:val="none"/>
                <w:shd w:val="clear" w:color="auto" w:fill="FFFFFF"/>
              </w:rPr>
              <w:t>前</w:t>
            </w:r>
            <w:r>
              <w:rPr>
                <w:rFonts w:hint="eastAsia" w:ascii="宋体" w:hAnsi="宋体" w:cs="宋体"/>
                <w:sz w:val="24"/>
                <w:highlight w:val="none"/>
                <w:shd w:val="clear" w:color="auto" w:fill="FFFFFF"/>
              </w:rPr>
              <w:t>将答疑内容以传真或网上发布公告的形式通知所有已报名的投标人；答疑内容是招标</w:t>
            </w:r>
            <w:r>
              <w:rPr>
                <w:rFonts w:hint="eastAsia" w:ascii="宋体" w:hAnsi="宋体" w:cs="宋体"/>
                <w:sz w:val="24"/>
                <w:highlight w:val="none"/>
              </w:rPr>
              <w:t>文件的组成部分；因其他紧急情况影响本项目正常招标活动的，招标采购单位或代理公司将于投标截止日期5天前书面通知所有已报名的投标人。</w:t>
            </w:r>
          </w:p>
        </w:tc>
      </w:tr>
      <w:tr w14:paraId="37442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vAlign w:val="center"/>
          </w:tcPr>
          <w:p w14:paraId="28E54705">
            <w:pPr>
              <w:snapToGrid w:val="0"/>
              <w:jc w:val="center"/>
              <w:rPr>
                <w:rFonts w:ascii="宋体" w:hAnsi="宋体" w:cs="宋体"/>
                <w:sz w:val="24"/>
                <w:highlight w:val="none"/>
              </w:rPr>
            </w:pPr>
            <w:r>
              <w:rPr>
                <w:rFonts w:hint="eastAsia" w:ascii="宋体" w:hAnsi="宋体" w:cs="宋体"/>
                <w:sz w:val="24"/>
                <w:highlight w:val="none"/>
              </w:rPr>
              <w:t>7</w:t>
            </w:r>
          </w:p>
        </w:tc>
        <w:tc>
          <w:tcPr>
            <w:tcW w:w="8592" w:type="dxa"/>
            <w:tcBorders>
              <w:top w:val="single" w:color="auto" w:sz="4" w:space="0"/>
              <w:left w:val="single" w:color="auto" w:sz="4" w:space="0"/>
              <w:bottom w:val="single" w:color="auto" w:sz="4" w:space="0"/>
              <w:right w:val="single" w:color="auto" w:sz="4" w:space="0"/>
            </w:tcBorders>
            <w:vAlign w:val="center"/>
          </w:tcPr>
          <w:p w14:paraId="640864E2">
            <w:pPr>
              <w:snapToGrid w:val="0"/>
              <w:rPr>
                <w:rFonts w:ascii="宋体" w:hAnsi="宋体" w:cs="宋体"/>
                <w:b/>
                <w:bCs/>
                <w:sz w:val="24"/>
                <w:highlight w:val="none"/>
              </w:rPr>
            </w:pPr>
            <w:r>
              <w:rPr>
                <w:rFonts w:hint="eastAsia" w:ascii="宋体" w:hAnsi="宋体" w:cs="宋体"/>
                <w:b/>
                <w:bCs/>
                <w:sz w:val="24"/>
                <w:highlight w:val="none"/>
              </w:rPr>
              <w:t>投标文件组成：本项目投标文件由资格文件、报价文件、商务技术文件三部分组成。投标人应按以下方式递交投标文件：</w:t>
            </w:r>
          </w:p>
          <w:p w14:paraId="04ACB6CC">
            <w:pPr>
              <w:snapToGrid w:val="0"/>
              <w:rPr>
                <w:rFonts w:ascii="宋体" w:hAnsi="宋体" w:cs="宋体"/>
                <w:b/>
                <w:bCs/>
                <w:sz w:val="24"/>
                <w:highlight w:val="none"/>
              </w:rPr>
            </w:pPr>
            <w:r>
              <w:rPr>
                <w:rFonts w:hint="eastAsia" w:ascii="宋体" w:hAnsi="宋体" w:cs="宋体"/>
                <w:b/>
                <w:bCs/>
                <w:sz w:val="24"/>
                <w:highlight w:val="none"/>
              </w:rPr>
              <w:t>▲1、本项目采用“网上投标、电子评标”，投标人应于投标截止时间前在“政采云”（电子交易平台）上传输、递交电子版投标文件（包括资格文件、报价文件、商务技术文件）；</w:t>
            </w:r>
          </w:p>
          <w:p w14:paraId="2CE3CB05">
            <w:pPr>
              <w:snapToGrid w:val="0"/>
              <w:rPr>
                <w:rFonts w:ascii="宋体" w:hAnsi="宋体" w:cs="宋体"/>
                <w:b/>
                <w:bCs/>
                <w:sz w:val="24"/>
                <w:highlight w:val="none"/>
              </w:rPr>
            </w:pPr>
            <w:r>
              <w:rPr>
                <w:rFonts w:hint="eastAsia" w:ascii="宋体" w:hAnsi="宋体" w:cs="宋体"/>
                <w:b/>
                <w:bCs/>
                <w:sz w:val="24"/>
                <w:highlight w:val="none"/>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的加密电子备份投标文件）发送至邮箱：</w:t>
            </w:r>
            <w:r>
              <w:rPr>
                <w:rFonts w:hint="eastAsia" w:ascii="宋体" w:hAnsi="宋体" w:cs="宋体"/>
                <w:b/>
                <w:bCs/>
                <w:sz w:val="24"/>
                <w:highlight w:val="none"/>
                <w:lang w:eastAsia="zh-CN"/>
              </w:rPr>
              <w:t>807281475</w:t>
            </w:r>
            <w:r>
              <w:rPr>
                <w:rFonts w:hint="eastAsia" w:ascii="宋体" w:hAnsi="宋体" w:cs="宋体"/>
                <w:b/>
                <w:bCs/>
                <w:sz w:val="24"/>
                <w:highlight w:val="none"/>
              </w:rPr>
              <w:t>@qq.com，逾期发送或发错的备份投标文件将被视为无效；还可以（EMS 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备份投标文件的提交不作强制要求。</w:t>
            </w:r>
          </w:p>
          <w:p w14:paraId="6D491409">
            <w:pPr>
              <w:snapToGrid w:val="0"/>
              <w:rPr>
                <w:rFonts w:ascii="宋体" w:hAnsi="宋体" w:cs="宋体"/>
                <w:b/>
                <w:bCs/>
                <w:sz w:val="24"/>
                <w:highlight w:val="none"/>
              </w:rPr>
            </w:pPr>
            <w:r>
              <w:rPr>
                <w:rFonts w:hint="eastAsia" w:ascii="宋体" w:hAnsi="宋体" w:cs="宋体"/>
                <w:b/>
                <w:bCs/>
                <w:sz w:val="24"/>
                <w:highlight w:val="none"/>
              </w:rPr>
              <w:t>3、投标人仅提交了电子备份投标文件的，投标无效；</w:t>
            </w:r>
          </w:p>
          <w:p w14:paraId="308FD911">
            <w:pPr>
              <w:snapToGrid w:val="0"/>
              <w:rPr>
                <w:rFonts w:ascii="宋体" w:hAnsi="宋体" w:cs="宋体"/>
                <w:b/>
                <w:bCs/>
                <w:sz w:val="24"/>
                <w:highlight w:val="none"/>
              </w:rPr>
            </w:pPr>
            <w:r>
              <w:rPr>
                <w:rFonts w:hint="eastAsia" w:ascii="宋体" w:hAnsi="宋体" w:cs="宋体"/>
                <w:b/>
                <w:bCs/>
                <w:sz w:val="24"/>
                <w:highlight w:val="none"/>
              </w:rPr>
              <w:t>4、本项目不强制投标人提交电子备份投标文件；但如在开评标时出现电子投标文件无法解密或解密失败等情况，因投标人未提供电子备份投标文件而造成投标无效等一切后果和风险由投标人自行承担。</w:t>
            </w:r>
          </w:p>
          <w:p w14:paraId="1C045273">
            <w:pPr>
              <w:snapToGrid w:val="0"/>
              <w:rPr>
                <w:rFonts w:ascii="宋体" w:hAnsi="宋体" w:cs="宋体"/>
                <w:sz w:val="24"/>
                <w:highlight w:val="none"/>
              </w:rPr>
            </w:pPr>
            <w:r>
              <w:rPr>
                <w:rFonts w:hint="eastAsia" w:ascii="宋体" w:hAnsi="宋体" w:cs="宋体"/>
                <w:b/>
                <w:bCs/>
                <w:sz w:val="24"/>
                <w:highlight w:val="none"/>
              </w:rPr>
              <w:t>5、中标方应在领取中标通知书前，向浙江五石中正工程咨询有限公司衢州分公司提供纸质投标文件（纸质投标文件递交要求详见本章三、投标文件的编制第（五）条：投标文件的签署和份数的相关规定）。（递交或邮寄地址：衢州市柯城区浮石路金河湾小区西门22栋1楼07室，浙江五石中正工程咨询有限公司衢州分公司；联系人：陈女士，电话：0570-3085566、18905703552）</w:t>
            </w:r>
          </w:p>
        </w:tc>
      </w:tr>
      <w:tr w14:paraId="3B097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6CA3FA26">
            <w:pPr>
              <w:snapToGrid w:val="0"/>
              <w:jc w:val="center"/>
              <w:rPr>
                <w:rFonts w:ascii="宋体" w:hAnsi="宋体" w:cs="宋体"/>
                <w:sz w:val="24"/>
                <w:highlight w:val="none"/>
              </w:rPr>
            </w:pPr>
            <w:r>
              <w:rPr>
                <w:rFonts w:hint="eastAsia" w:ascii="宋体" w:hAnsi="宋体" w:cs="宋体"/>
                <w:sz w:val="24"/>
                <w:highlight w:val="none"/>
              </w:rPr>
              <w:t>8</w:t>
            </w:r>
          </w:p>
        </w:tc>
        <w:tc>
          <w:tcPr>
            <w:tcW w:w="8592" w:type="dxa"/>
            <w:tcBorders>
              <w:top w:val="single" w:color="auto" w:sz="4" w:space="0"/>
              <w:left w:val="single" w:color="auto" w:sz="4" w:space="0"/>
              <w:bottom w:val="single" w:color="auto" w:sz="4" w:space="0"/>
              <w:right w:val="single" w:color="auto" w:sz="4" w:space="0"/>
            </w:tcBorders>
            <w:vAlign w:val="center"/>
          </w:tcPr>
          <w:p w14:paraId="481E1523">
            <w:pPr>
              <w:snapToGrid w:val="0"/>
              <w:rPr>
                <w:rFonts w:ascii="宋体" w:hAnsi="宋体" w:cs="宋体"/>
                <w:b/>
                <w:bCs/>
                <w:sz w:val="24"/>
                <w:highlight w:val="none"/>
              </w:rPr>
            </w:pPr>
            <w:r>
              <w:rPr>
                <w:rFonts w:hint="eastAsia" w:ascii="宋体" w:hAnsi="宋体" w:cs="宋体"/>
                <w:sz w:val="24"/>
                <w:highlight w:val="none"/>
              </w:rPr>
              <w:t>1、投标人应当在</w:t>
            </w:r>
            <w:r>
              <w:rPr>
                <w:rFonts w:hint="eastAsia" w:ascii="宋体" w:hAnsi="宋体" w:cs="宋体"/>
                <w:b/>
                <w:bCs/>
                <w:sz w:val="24"/>
                <w:highlight w:val="none"/>
                <w:u w:val="single"/>
                <w:lang w:eastAsia="zh-CN"/>
              </w:rPr>
              <w:t>2025年1月8日</w:t>
            </w:r>
            <w:r>
              <w:rPr>
                <w:rFonts w:hint="eastAsia" w:ascii="宋体" w:hAnsi="宋体" w:cs="宋体"/>
                <w:b/>
                <w:bCs/>
                <w:sz w:val="24"/>
                <w:highlight w:val="none"/>
                <w:u w:val="single"/>
              </w:rPr>
              <w:t>09时30分</w:t>
            </w:r>
            <w:r>
              <w:rPr>
                <w:rFonts w:hint="eastAsia" w:ascii="宋体" w:hAnsi="宋体" w:cs="宋体"/>
                <w:sz w:val="24"/>
                <w:highlight w:val="none"/>
              </w:rPr>
              <w:t>前在“政采云”（电子交易平台）上自行上传加密的电子投标文件。投标截止时间后递交的电子投标文件，将被政采云平台拒收。</w:t>
            </w:r>
          </w:p>
          <w:p w14:paraId="660C479E">
            <w:pPr>
              <w:snapToGrid w:val="0"/>
              <w:rPr>
                <w:rFonts w:ascii="宋体" w:hAnsi="宋体" w:cs="宋体"/>
                <w:sz w:val="24"/>
                <w:highlight w:val="none"/>
              </w:rPr>
            </w:pPr>
            <w:r>
              <w:rPr>
                <w:rFonts w:hint="eastAsia" w:ascii="宋体" w:hAnsi="宋体" w:cs="宋体"/>
                <w:sz w:val="24"/>
                <w:highlight w:val="none"/>
              </w:rPr>
              <w:t>2、电子投标文件的传输递交：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5DEF7732">
            <w:pPr>
              <w:snapToGrid w:val="0"/>
              <w:rPr>
                <w:rFonts w:ascii="宋体" w:hAnsi="宋体" w:cs="宋体"/>
                <w:sz w:val="24"/>
                <w:highlight w:val="none"/>
              </w:rPr>
            </w:pPr>
            <w:r>
              <w:rPr>
                <w:rFonts w:hint="eastAsia" w:ascii="宋体" w:hAnsi="宋体" w:cs="宋体"/>
                <w:sz w:val="24"/>
                <w:highlight w:val="none"/>
              </w:rPr>
              <w:t>3、投标人可以在投标截止时间前将电子备份投标文件（经政采云电子交易客户端和CA驱动制作出的加密电子备份投标文件）发送至邮箱：</w:t>
            </w:r>
            <w:r>
              <w:rPr>
                <w:rFonts w:hint="eastAsia" w:ascii="宋体" w:hAnsi="宋体" w:cs="宋体"/>
                <w:b/>
                <w:bCs/>
                <w:sz w:val="24"/>
                <w:highlight w:val="none"/>
                <w:lang w:eastAsia="zh-CN"/>
              </w:rPr>
              <w:t>807281475</w:t>
            </w:r>
            <w:r>
              <w:rPr>
                <w:rFonts w:hint="eastAsia" w:ascii="宋体" w:hAnsi="宋体" w:cs="宋体"/>
                <w:b/>
                <w:bCs/>
                <w:sz w:val="24"/>
                <w:highlight w:val="none"/>
              </w:rPr>
              <w:t>@qq.com</w:t>
            </w:r>
            <w:r>
              <w:rPr>
                <w:rFonts w:hint="eastAsia" w:ascii="宋体" w:hAnsi="宋体" w:cs="宋体"/>
                <w:sz w:val="24"/>
                <w:highlight w:val="none"/>
              </w:rPr>
              <w:t>，逾期发送或发错的电子备份投标文件将被视为无效；电子备份投标文件的提交不作强制性要求。电子备份投标文件的递交截止时间：投标人应当在</w:t>
            </w:r>
            <w:r>
              <w:rPr>
                <w:rFonts w:hint="eastAsia" w:ascii="宋体" w:hAnsi="宋体" w:cs="宋体"/>
                <w:b/>
                <w:bCs/>
                <w:sz w:val="24"/>
                <w:highlight w:val="none"/>
                <w:u w:val="single"/>
                <w:lang w:eastAsia="zh-CN"/>
              </w:rPr>
              <w:t>2025年1月8日</w:t>
            </w:r>
            <w:r>
              <w:rPr>
                <w:rFonts w:hint="eastAsia" w:ascii="宋体" w:hAnsi="宋体" w:cs="宋体"/>
                <w:b/>
                <w:bCs/>
                <w:sz w:val="24"/>
                <w:highlight w:val="none"/>
                <w:u w:val="single"/>
              </w:rPr>
              <w:t>09时30分</w:t>
            </w:r>
            <w:r>
              <w:rPr>
                <w:rFonts w:hint="eastAsia" w:ascii="宋体" w:hAnsi="宋体" w:cs="宋体"/>
                <w:sz w:val="24"/>
                <w:highlight w:val="none"/>
              </w:rPr>
              <w:t>前，逾期未递交的视为自动放弃递交电子备份投标文件。</w:t>
            </w:r>
          </w:p>
        </w:tc>
      </w:tr>
      <w:tr w14:paraId="58AF6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vAlign w:val="center"/>
          </w:tcPr>
          <w:p w14:paraId="58FD8E9B">
            <w:pPr>
              <w:snapToGrid w:val="0"/>
              <w:jc w:val="center"/>
              <w:rPr>
                <w:rFonts w:ascii="宋体" w:hAnsi="宋体" w:cs="宋体"/>
                <w:sz w:val="24"/>
                <w:highlight w:val="none"/>
              </w:rPr>
            </w:pPr>
            <w:r>
              <w:rPr>
                <w:rFonts w:hint="eastAsia" w:ascii="宋体" w:hAnsi="宋体" w:cs="宋体"/>
                <w:sz w:val="24"/>
                <w:highlight w:val="none"/>
              </w:rPr>
              <w:t>9</w:t>
            </w:r>
          </w:p>
        </w:tc>
        <w:tc>
          <w:tcPr>
            <w:tcW w:w="8592" w:type="dxa"/>
            <w:tcBorders>
              <w:top w:val="single" w:color="auto" w:sz="4" w:space="0"/>
              <w:left w:val="single" w:color="auto" w:sz="4" w:space="0"/>
              <w:bottom w:val="single" w:color="auto" w:sz="4" w:space="0"/>
              <w:right w:val="single" w:color="auto" w:sz="4" w:space="0"/>
            </w:tcBorders>
            <w:vAlign w:val="center"/>
          </w:tcPr>
          <w:p w14:paraId="553E0142">
            <w:pPr>
              <w:snapToGrid w:val="0"/>
              <w:rPr>
                <w:rFonts w:ascii="宋体" w:hAnsi="宋体" w:cs="宋体"/>
                <w:b/>
                <w:bCs/>
                <w:sz w:val="24"/>
                <w:highlight w:val="none"/>
              </w:rPr>
            </w:pPr>
            <w:r>
              <w:rPr>
                <w:rFonts w:hint="eastAsia" w:ascii="宋体" w:hAnsi="宋体" w:cs="宋体"/>
                <w:b/>
                <w:bCs/>
                <w:sz w:val="24"/>
                <w:highlight w:val="none"/>
              </w:rPr>
              <w:t>本项目开标时间：</w:t>
            </w:r>
            <w:r>
              <w:rPr>
                <w:rFonts w:hint="eastAsia" w:ascii="宋体" w:hAnsi="宋体" w:cs="宋体"/>
                <w:b/>
                <w:bCs/>
                <w:sz w:val="24"/>
                <w:highlight w:val="none"/>
                <w:u w:val="single"/>
                <w:lang w:eastAsia="zh-CN"/>
              </w:rPr>
              <w:t>2025年1月8日</w:t>
            </w:r>
            <w:r>
              <w:rPr>
                <w:rFonts w:hint="eastAsia" w:ascii="宋体" w:hAnsi="宋体" w:cs="宋体"/>
                <w:b/>
                <w:bCs/>
                <w:sz w:val="24"/>
                <w:highlight w:val="none"/>
                <w:u w:val="single"/>
              </w:rPr>
              <w:t>09时30分</w:t>
            </w:r>
          </w:p>
          <w:p w14:paraId="5AFDC2AF">
            <w:pPr>
              <w:snapToGrid w:val="0"/>
              <w:rPr>
                <w:rFonts w:ascii="宋体" w:hAnsi="宋体" w:cs="宋体"/>
                <w:sz w:val="24"/>
                <w:highlight w:val="none"/>
              </w:rPr>
            </w:pPr>
            <w:r>
              <w:rPr>
                <w:rFonts w:hint="eastAsia" w:ascii="宋体" w:hAnsi="宋体" w:cs="宋体"/>
                <w:b/>
                <w:bCs/>
                <w:sz w:val="24"/>
                <w:highlight w:val="none"/>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tc>
      </w:tr>
      <w:tr w14:paraId="49117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4D1E6C74">
            <w:pPr>
              <w:snapToGrid w:val="0"/>
              <w:jc w:val="center"/>
              <w:rPr>
                <w:rFonts w:ascii="宋体" w:hAnsi="宋体" w:cs="宋体"/>
                <w:sz w:val="24"/>
                <w:highlight w:val="none"/>
              </w:rPr>
            </w:pPr>
            <w:r>
              <w:rPr>
                <w:rFonts w:hint="eastAsia" w:ascii="宋体" w:hAnsi="宋体" w:cs="宋体"/>
                <w:sz w:val="24"/>
                <w:highlight w:val="none"/>
              </w:rPr>
              <w:t>10</w:t>
            </w:r>
          </w:p>
        </w:tc>
        <w:tc>
          <w:tcPr>
            <w:tcW w:w="8592" w:type="dxa"/>
            <w:tcBorders>
              <w:top w:val="single" w:color="auto" w:sz="4" w:space="0"/>
              <w:left w:val="single" w:color="auto" w:sz="4" w:space="0"/>
              <w:bottom w:val="single" w:color="auto" w:sz="4" w:space="0"/>
              <w:right w:val="single" w:color="auto" w:sz="4" w:space="0"/>
            </w:tcBorders>
            <w:vAlign w:val="center"/>
          </w:tcPr>
          <w:p w14:paraId="194D95BB">
            <w:pPr>
              <w:snapToGrid w:val="0"/>
              <w:rPr>
                <w:rFonts w:ascii="宋体" w:hAnsi="宋体" w:cs="宋体"/>
                <w:sz w:val="24"/>
                <w:highlight w:val="none"/>
              </w:rPr>
            </w:pPr>
            <w:r>
              <w:rPr>
                <w:rFonts w:hint="eastAsia" w:ascii="宋体" w:hAnsi="宋体" w:cs="宋体"/>
                <w:sz w:val="24"/>
                <w:highlight w:val="none"/>
              </w:rPr>
              <w:t>投标保证金和履约保证金：本项目</w:t>
            </w:r>
            <w:r>
              <w:rPr>
                <w:rFonts w:hint="eastAsia" w:ascii="宋体" w:hAnsi="宋体" w:cs="宋体"/>
                <w:b/>
                <w:kern w:val="0"/>
                <w:sz w:val="24"/>
                <w:highlight w:val="none"/>
              </w:rPr>
              <w:t>不收取投标保证金。</w:t>
            </w:r>
          </w:p>
        </w:tc>
      </w:tr>
      <w:tr w14:paraId="7C4BC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vAlign w:val="center"/>
          </w:tcPr>
          <w:p w14:paraId="2D71A286">
            <w:pPr>
              <w:snapToGrid w:val="0"/>
              <w:jc w:val="center"/>
              <w:rPr>
                <w:rFonts w:ascii="宋体" w:hAnsi="宋体" w:cs="宋体"/>
                <w:sz w:val="24"/>
                <w:highlight w:val="none"/>
              </w:rPr>
            </w:pPr>
            <w:r>
              <w:rPr>
                <w:rFonts w:hint="eastAsia" w:ascii="宋体" w:hAnsi="宋体" w:cs="宋体"/>
                <w:sz w:val="24"/>
                <w:highlight w:val="none"/>
              </w:rPr>
              <w:t>11</w:t>
            </w:r>
          </w:p>
        </w:tc>
        <w:tc>
          <w:tcPr>
            <w:tcW w:w="8592" w:type="dxa"/>
            <w:tcBorders>
              <w:top w:val="single" w:color="auto" w:sz="4" w:space="0"/>
              <w:left w:val="single" w:color="auto" w:sz="4" w:space="0"/>
              <w:bottom w:val="single" w:color="auto" w:sz="4" w:space="0"/>
              <w:right w:val="single" w:color="auto" w:sz="4" w:space="0"/>
            </w:tcBorders>
            <w:vAlign w:val="center"/>
          </w:tcPr>
          <w:p w14:paraId="1C796A8E">
            <w:pPr>
              <w:snapToGrid w:val="0"/>
              <w:rPr>
                <w:rFonts w:ascii="宋体" w:hAnsi="宋体" w:cs="宋体"/>
                <w:sz w:val="24"/>
                <w:highlight w:val="none"/>
              </w:rPr>
            </w:pPr>
            <w:r>
              <w:rPr>
                <w:rFonts w:hint="eastAsia" w:ascii="宋体" w:hAnsi="宋体" w:cs="宋体"/>
                <w:sz w:val="24"/>
                <w:highlight w:val="none"/>
              </w:rPr>
              <w:t>评标办法：综合评分法</w:t>
            </w:r>
          </w:p>
        </w:tc>
      </w:tr>
      <w:tr w14:paraId="78219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vAlign w:val="center"/>
          </w:tcPr>
          <w:p w14:paraId="13ED97EC">
            <w:pPr>
              <w:snapToGrid w:val="0"/>
              <w:jc w:val="center"/>
              <w:rPr>
                <w:rFonts w:ascii="宋体" w:hAnsi="宋体" w:cs="宋体"/>
                <w:sz w:val="24"/>
                <w:highlight w:val="none"/>
              </w:rPr>
            </w:pPr>
            <w:r>
              <w:rPr>
                <w:rFonts w:hint="eastAsia" w:ascii="宋体" w:hAnsi="宋体" w:cs="宋体"/>
                <w:sz w:val="24"/>
                <w:highlight w:val="none"/>
              </w:rPr>
              <w:t>12</w:t>
            </w:r>
          </w:p>
        </w:tc>
        <w:tc>
          <w:tcPr>
            <w:tcW w:w="8592" w:type="dxa"/>
            <w:tcBorders>
              <w:top w:val="single" w:color="auto" w:sz="4" w:space="0"/>
              <w:left w:val="single" w:color="auto" w:sz="4" w:space="0"/>
              <w:bottom w:val="single" w:color="auto" w:sz="4" w:space="0"/>
              <w:right w:val="single" w:color="auto" w:sz="4" w:space="0"/>
            </w:tcBorders>
            <w:vAlign w:val="center"/>
          </w:tcPr>
          <w:p w14:paraId="4F597DA1">
            <w:pPr>
              <w:snapToGrid w:val="0"/>
              <w:rPr>
                <w:rFonts w:ascii="宋体" w:hAnsi="宋体" w:cs="宋体"/>
                <w:sz w:val="24"/>
                <w:highlight w:val="none"/>
              </w:rPr>
            </w:pPr>
            <w:r>
              <w:rPr>
                <w:rFonts w:hint="eastAsia" w:ascii="宋体" w:hAnsi="宋体" w:cs="宋体"/>
                <w:sz w:val="24"/>
                <w:highlight w:val="none"/>
              </w:rPr>
              <w:t>采购人应当自收到评审报告之日起5个工作日内在评审报告推荐的中标或者成交候选人中按顺序确定中标或者成交供应商。如有投标人对评标结果提出质疑的，采购人可在质疑处理完毕后确定中标人。</w:t>
            </w:r>
          </w:p>
        </w:tc>
      </w:tr>
      <w:tr w14:paraId="09C3F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48" w:type="dxa"/>
            <w:tcBorders>
              <w:top w:val="single" w:color="auto" w:sz="4" w:space="0"/>
              <w:left w:val="single" w:color="auto" w:sz="4" w:space="0"/>
              <w:bottom w:val="single" w:color="auto" w:sz="4" w:space="0"/>
              <w:right w:val="single" w:color="auto" w:sz="4" w:space="0"/>
            </w:tcBorders>
            <w:vAlign w:val="center"/>
          </w:tcPr>
          <w:p w14:paraId="308A72D3">
            <w:pPr>
              <w:snapToGrid w:val="0"/>
              <w:jc w:val="center"/>
              <w:rPr>
                <w:rFonts w:ascii="宋体" w:hAnsi="宋体" w:cs="宋体"/>
                <w:sz w:val="24"/>
                <w:highlight w:val="none"/>
              </w:rPr>
            </w:pPr>
            <w:r>
              <w:rPr>
                <w:rFonts w:hint="eastAsia" w:ascii="宋体" w:hAnsi="宋体" w:cs="宋体"/>
                <w:sz w:val="24"/>
                <w:highlight w:val="none"/>
              </w:rPr>
              <w:t>13</w:t>
            </w:r>
          </w:p>
        </w:tc>
        <w:tc>
          <w:tcPr>
            <w:tcW w:w="8592" w:type="dxa"/>
            <w:tcBorders>
              <w:top w:val="single" w:color="auto" w:sz="4" w:space="0"/>
              <w:left w:val="single" w:color="auto" w:sz="4" w:space="0"/>
              <w:bottom w:val="single" w:color="auto" w:sz="4" w:space="0"/>
              <w:right w:val="single" w:color="auto" w:sz="4" w:space="0"/>
            </w:tcBorders>
            <w:vAlign w:val="center"/>
          </w:tcPr>
          <w:p w14:paraId="5418F4D4">
            <w:pPr>
              <w:snapToGrid w:val="0"/>
              <w:rPr>
                <w:rFonts w:ascii="宋体" w:hAnsi="宋体" w:cs="宋体"/>
                <w:sz w:val="24"/>
                <w:highlight w:val="none"/>
              </w:rPr>
            </w:pPr>
            <w:r>
              <w:rPr>
                <w:rFonts w:hint="eastAsia" w:ascii="宋体" w:hAnsi="宋体" w:cs="宋体"/>
                <w:sz w:val="24"/>
                <w:highlight w:val="none"/>
              </w:rPr>
              <w:t>采购人或者采购代理机构应当自中标、成交供应商确定之日起2个工作日内，发出中标、成交通知书，并在省级以上人民政府财政部门指定的媒体上公告中标、成交结果。</w:t>
            </w:r>
          </w:p>
        </w:tc>
      </w:tr>
      <w:tr w14:paraId="37837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vAlign w:val="center"/>
          </w:tcPr>
          <w:p w14:paraId="7891F525">
            <w:pPr>
              <w:snapToGrid w:val="0"/>
              <w:jc w:val="center"/>
              <w:rPr>
                <w:rFonts w:ascii="宋体" w:hAnsi="宋体" w:cs="宋体"/>
                <w:sz w:val="24"/>
                <w:highlight w:val="none"/>
              </w:rPr>
            </w:pPr>
            <w:r>
              <w:rPr>
                <w:rFonts w:hint="eastAsia" w:ascii="宋体" w:hAnsi="宋体" w:cs="宋体"/>
                <w:sz w:val="24"/>
                <w:highlight w:val="none"/>
              </w:rPr>
              <w:t>14</w:t>
            </w:r>
          </w:p>
        </w:tc>
        <w:tc>
          <w:tcPr>
            <w:tcW w:w="8592" w:type="dxa"/>
            <w:tcBorders>
              <w:top w:val="single" w:color="auto" w:sz="4" w:space="0"/>
              <w:left w:val="single" w:color="auto" w:sz="4" w:space="0"/>
              <w:bottom w:val="single" w:color="auto" w:sz="4" w:space="0"/>
              <w:right w:val="single" w:color="auto" w:sz="4" w:space="0"/>
            </w:tcBorders>
            <w:vAlign w:val="center"/>
          </w:tcPr>
          <w:p w14:paraId="730508E7">
            <w:pPr>
              <w:autoSpaceDE w:val="0"/>
              <w:autoSpaceDN w:val="0"/>
              <w:snapToGrid w:val="0"/>
              <w:textAlignment w:val="bottom"/>
              <w:rPr>
                <w:rFonts w:ascii="宋体" w:hAnsi="宋体" w:cs="宋体"/>
                <w:sz w:val="24"/>
                <w:highlight w:val="none"/>
              </w:rPr>
            </w:pPr>
            <w:r>
              <w:rPr>
                <w:rFonts w:hint="eastAsia" w:ascii="宋体" w:hAnsi="宋体" w:cs="宋体"/>
                <w:sz w:val="24"/>
                <w:highlight w:val="none"/>
              </w:rPr>
              <w:t>签订合同：中标通知书发出后30日内签订。</w:t>
            </w:r>
          </w:p>
        </w:tc>
      </w:tr>
      <w:tr w14:paraId="37046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367A6665">
            <w:pPr>
              <w:snapToGrid w:val="0"/>
              <w:jc w:val="center"/>
              <w:rPr>
                <w:rFonts w:ascii="宋体" w:hAnsi="宋体" w:cs="宋体"/>
                <w:sz w:val="24"/>
                <w:highlight w:val="none"/>
              </w:rPr>
            </w:pPr>
            <w:r>
              <w:rPr>
                <w:rFonts w:hint="eastAsia" w:ascii="宋体" w:hAnsi="宋体" w:cs="宋体"/>
                <w:sz w:val="24"/>
                <w:highlight w:val="none"/>
              </w:rPr>
              <w:t>15</w:t>
            </w:r>
          </w:p>
        </w:tc>
        <w:tc>
          <w:tcPr>
            <w:tcW w:w="8592" w:type="dxa"/>
            <w:tcBorders>
              <w:top w:val="single" w:color="auto" w:sz="4" w:space="0"/>
              <w:left w:val="single" w:color="auto" w:sz="4" w:space="0"/>
              <w:bottom w:val="single" w:color="auto" w:sz="4" w:space="0"/>
              <w:right w:val="single" w:color="auto" w:sz="4" w:space="0"/>
            </w:tcBorders>
            <w:vAlign w:val="center"/>
          </w:tcPr>
          <w:p w14:paraId="3D118465">
            <w:pPr>
              <w:snapToGrid w:val="0"/>
              <w:rPr>
                <w:rFonts w:ascii="宋体" w:hAnsi="宋体" w:cs="宋体"/>
                <w:sz w:val="24"/>
                <w:highlight w:val="none"/>
              </w:rPr>
            </w:pPr>
            <w:r>
              <w:rPr>
                <w:rFonts w:hint="eastAsia" w:ascii="宋体" w:hAnsi="宋体" w:cs="宋体"/>
                <w:b/>
                <w:bCs/>
                <w:sz w:val="24"/>
                <w:highlight w:val="none"/>
              </w:rPr>
              <w:t>付款方式：</w:t>
            </w:r>
            <w:r>
              <w:rPr>
                <w:rFonts w:hint="eastAsia" w:asciiTheme="minorEastAsia" w:hAnsiTheme="minorEastAsia" w:eastAsiaTheme="minorEastAsia" w:cstheme="minorEastAsia"/>
                <w:b w:val="0"/>
                <w:bCs/>
                <w:color w:val="auto"/>
                <w:spacing w:val="0"/>
                <w:kern w:val="0"/>
                <w:sz w:val="24"/>
                <w:szCs w:val="24"/>
                <w:highlight w:val="none"/>
                <w:lang w:eastAsia="zh-CN"/>
              </w:rPr>
              <w:t>三年保险签署一份总合同。每年的合同单独签订</w:t>
            </w:r>
            <w:r>
              <w:rPr>
                <w:rFonts w:hint="eastAsia" w:asciiTheme="minorEastAsia" w:hAnsiTheme="minorEastAsia" w:eastAsiaTheme="minorEastAsia" w:cstheme="minorEastAsia"/>
                <w:b/>
                <w:color w:val="auto"/>
                <w:spacing w:val="0"/>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签订正式生效后</w:t>
            </w:r>
            <w:r>
              <w:rPr>
                <w:rFonts w:hint="eastAsia" w:asciiTheme="minorEastAsia" w:hAnsiTheme="minorEastAsia" w:eastAsiaTheme="minorEastAsia" w:cstheme="minorEastAsia"/>
                <w:color w:val="auto"/>
                <w:sz w:val="24"/>
                <w:szCs w:val="24"/>
                <w:highlight w:val="none"/>
                <w:lang w:val="en-US" w:eastAsia="zh-CN"/>
              </w:rPr>
              <w:t>2个月</w:t>
            </w:r>
            <w:r>
              <w:rPr>
                <w:rFonts w:hint="eastAsia" w:asciiTheme="minorEastAsia" w:hAnsiTheme="minorEastAsia" w:eastAsiaTheme="minorEastAsia" w:cstheme="minorEastAsia"/>
                <w:color w:val="auto"/>
                <w:sz w:val="24"/>
                <w:szCs w:val="24"/>
                <w:highlight w:val="none"/>
              </w:rPr>
              <w:t>内支付100％合同款</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color w:val="auto"/>
                <w:sz w:val="24"/>
                <w:szCs w:val="24"/>
                <w:highlight w:val="none"/>
                <w:lang w:val="en-US" w:eastAsia="zh-CN"/>
              </w:rPr>
              <w:t>以实际投保人数及年度保险费结算</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pacing w:val="0"/>
                <w:kern w:val="0"/>
                <w:sz w:val="24"/>
                <w:szCs w:val="24"/>
                <w:highlight w:val="none"/>
              </w:rPr>
              <w:t>。</w:t>
            </w:r>
          </w:p>
        </w:tc>
      </w:tr>
      <w:tr w14:paraId="6378F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48" w:type="dxa"/>
            <w:tcBorders>
              <w:top w:val="single" w:color="auto" w:sz="4" w:space="0"/>
              <w:left w:val="single" w:color="auto" w:sz="4" w:space="0"/>
              <w:bottom w:val="single" w:color="auto" w:sz="4" w:space="0"/>
              <w:right w:val="single" w:color="auto" w:sz="4" w:space="0"/>
            </w:tcBorders>
            <w:vAlign w:val="center"/>
          </w:tcPr>
          <w:p w14:paraId="6AFD60BB">
            <w:pPr>
              <w:snapToGrid w:val="0"/>
              <w:jc w:val="center"/>
              <w:rPr>
                <w:rFonts w:ascii="宋体" w:hAnsi="宋体" w:cs="宋体"/>
                <w:sz w:val="24"/>
                <w:highlight w:val="none"/>
              </w:rPr>
            </w:pPr>
            <w:r>
              <w:rPr>
                <w:rFonts w:hint="eastAsia" w:ascii="宋体" w:hAnsi="宋体" w:cs="宋体"/>
                <w:sz w:val="24"/>
                <w:highlight w:val="none"/>
              </w:rPr>
              <w:t>16</w:t>
            </w:r>
          </w:p>
        </w:tc>
        <w:tc>
          <w:tcPr>
            <w:tcW w:w="8592" w:type="dxa"/>
            <w:tcBorders>
              <w:top w:val="single" w:color="auto" w:sz="4" w:space="0"/>
              <w:left w:val="single" w:color="auto" w:sz="4" w:space="0"/>
              <w:bottom w:val="single" w:color="auto" w:sz="4" w:space="0"/>
              <w:right w:val="single" w:color="auto" w:sz="4" w:space="0"/>
            </w:tcBorders>
            <w:vAlign w:val="center"/>
          </w:tcPr>
          <w:p w14:paraId="5D061AA0">
            <w:pPr>
              <w:autoSpaceDE w:val="0"/>
              <w:autoSpaceDN w:val="0"/>
              <w:snapToGrid w:val="0"/>
              <w:textAlignment w:val="bottom"/>
              <w:rPr>
                <w:rFonts w:hint="eastAsia" w:ascii="宋体" w:hAnsi="宋体" w:eastAsia="宋体" w:cs="宋体"/>
                <w:sz w:val="24"/>
                <w:highlight w:val="none"/>
                <w:lang w:eastAsia="zh-CN"/>
              </w:rPr>
            </w:pPr>
            <w:r>
              <w:rPr>
                <w:rFonts w:hint="eastAsia" w:ascii="宋体" w:hAnsi="宋体" w:cs="宋体"/>
                <w:b/>
                <w:bCs/>
                <w:sz w:val="24"/>
                <w:highlight w:val="none"/>
              </w:rPr>
              <w:t>履约保证金：</w:t>
            </w:r>
            <w:r>
              <w:rPr>
                <w:rFonts w:hint="eastAsia" w:ascii="宋体" w:hAnsi="宋体" w:cs="宋体"/>
                <w:sz w:val="24"/>
                <w:highlight w:val="none"/>
                <w:lang w:val="en-US" w:eastAsia="zh-CN"/>
              </w:rPr>
              <w:t>无</w:t>
            </w:r>
          </w:p>
        </w:tc>
      </w:tr>
      <w:tr w14:paraId="5F6CA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vAlign w:val="center"/>
          </w:tcPr>
          <w:p w14:paraId="3109CFD5">
            <w:pPr>
              <w:snapToGrid w:val="0"/>
              <w:jc w:val="center"/>
              <w:rPr>
                <w:rFonts w:ascii="宋体" w:hAnsi="宋体" w:cs="宋体"/>
                <w:sz w:val="24"/>
                <w:highlight w:val="none"/>
              </w:rPr>
            </w:pPr>
            <w:r>
              <w:rPr>
                <w:rFonts w:hint="eastAsia" w:ascii="宋体" w:hAnsi="宋体" w:cs="宋体"/>
                <w:sz w:val="24"/>
                <w:highlight w:val="none"/>
              </w:rPr>
              <w:t>17</w:t>
            </w:r>
          </w:p>
        </w:tc>
        <w:tc>
          <w:tcPr>
            <w:tcW w:w="8592" w:type="dxa"/>
            <w:tcBorders>
              <w:top w:val="single" w:color="auto" w:sz="4" w:space="0"/>
              <w:left w:val="single" w:color="auto" w:sz="4" w:space="0"/>
              <w:bottom w:val="single" w:color="auto" w:sz="4" w:space="0"/>
              <w:right w:val="single" w:color="auto" w:sz="4" w:space="0"/>
            </w:tcBorders>
            <w:vAlign w:val="center"/>
          </w:tcPr>
          <w:p w14:paraId="1B93882A">
            <w:pPr>
              <w:spacing w:beforeLines="10" w:line="400" w:lineRule="exact"/>
              <w:rPr>
                <w:rFonts w:hint="eastAsia" w:ascii="宋体" w:hAnsi="宋体" w:eastAsia="宋体" w:cs="宋体"/>
                <w:sz w:val="24"/>
                <w:highlight w:val="none"/>
                <w:lang w:eastAsia="zh-CN"/>
              </w:rPr>
            </w:pPr>
            <w:r>
              <w:rPr>
                <w:rFonts w:hint="eastAsia" w:ascii="宋体" w:hAnsi="宋体" w:cs="宋体"/>
                <w:b/>
                <w:bCs/>
                <w:sz w:val="24"/>
                <w:highlight w:val="none"/>
              </w:rPr>
              <w:t>本项目报价</w:t>
            </w:r>
            <w:r>
              <w:rPr>
                <w:rFonts w:hint="eastAsia" w:ascii="宋体" w:hAnsi="宋体" w:cs="宋体"/>
                <w:sz w:val="24"/>
                <w:highlight w:val="none"/>
              </w:rPr>
              <w:t>：</w:t>
            </w:r>
            <w:r>
              <w:rPr>
                <w:rFonts w:hint="eastAsia" w:asciiTheme="minorEastAsia" w:hAnsiTheme="minorEastAsia" w:eastAsiaTheme="minorEastAsia" w:cstheme="minorEastAsia"/>
                <w:b w:val="0"/>
                <w:bCs/>
                <w:color w:val="auto"/>
                <w:spacing w:val="0"/>
                <w:kern w:val="0"/>
                <w:sz w:val="24"/>
                <w:szCs w:val="24"/>
                <w:highlight w:val="none"/>
                <w:lang w:val="en-US" w:eastAsia="zh-CN"/>
              </w:rPr>
              <w:t>本项目的报价为固定综合单价（不竞争价），供应商应根据采购人要求进行相应性报价。</w:t>
            </w:r>
          </w:p>
        </w:tc>
      </w:tr>
      <w:tr w14:paraId="71E7A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5CD626B3">
            <w:pPr>
              <w:snapToGrid w:val="0"/>
              <w:jc w:val="center"/>
              <w:rPr>
                <w:rFonts w:ascii="宋体" w:hAnsi="宋体" w:cs="宋体"/>
                <w:sz w:val="24"/>
                <w:highlight w:val="none"/>
              </w:rPr>
            </w:pPr>
            <w:r>
              <w:rPr>
                <w:rFonts w:hint="eastAsia" w:ascii="宋体" w:hAnsi="宋体" w:cs="宋体"/>
                <w:sz w:val="24"/>
                <w:highlight w:val="none"/>
              </w:rPr>
              <w:t>18</w:t>
            </w:r>
          </w:p>
        </w:tc>
        <w:tc>
          <w:tcPr>
            <w:tcW w:w="8592" w:type="dxa"/>
            <w:tcBorders>
              <w:top w:val="single" w:color="auto" w:sz="4" w:space="0"/>
              <w:left w:val="single" w:color="auto" w:sz="4" w:space="0"/>
              <w:bottom w:val="single" w:color="auto" w:sz="4" w:space="0"/>
              <w:right w:val="single" w:color="auto" w:sz="4" w:space="0"/>
            </w:tcBorders>
            <w:vAlign w:val="center"/>
          </w:tcPr>
          <w:p w14:paraId="3CD8827E">
            <w:pPr>
              <w:snapToGrid w:val="0"/>
              <w:rPr>
                <w:rFonts w:ascii="宋体" w:hAnsi="宋体" w:cs="宋体"/>
                <w:b/>
                <w:bCs/>
                <w:sz w:val="24"/>
                <w:highlight w:val="none"/>
              </w:rPr>
            </w:pPr>
            <w:r>
              <w:rPr>
                <w:rFonts w:hint="eastAsia" w:ascii="宋体" w:hAnsi="宋体" w:cs="宋体"/>
                <w:b/>
                <w:bCs/>
                <w:sz w:val="24"/>
                <w:highlight w:val="none"/>
              </w:rPr>
              <w:t>联合体投标：</w:t>
            </w:r>
            <w:r>
              <w:rPr>
                <w:rFonts w:hint="eastAsia" w:ascii="宋体" w:hAnsi="宋体"/>
                <w:kern w:val="0"/>
                <w:sz w:val="24"/>
                <w:highlight w:val="none"/>
              </w:rPr>
              <w:t>本项目（否）接受联合体投标</w:t>
            </w:r>
            <w:r>
              <w:rPr>
                <w:rFonts w:hint="eastAsia" w:ascii="宋体" w:hAnsi="宋体"/>
                <w:kern w:val="0"/>
                <w:sz w:val="24"/>
                <w:highlight w:val="none"/>
              </w:rPr>
              <w:tab/>
            </w:r>
          </w:p>
        </w:tc>
      </w:tr>
      <w:tr w14:paraId="592E2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0E05B8ED">
            <w:pPr>
              <w:snapToGrid w:val="0"/>
              <w:jc w:val="center"/>
              <w:rPr>
                <w:rFonts w:ascii="宋体" w:hAnsi="宋体" w:cs="宋体"/>
                <w:sz w:val="24"/>
                <w:highlight w:val="none"/>
              </w:rPr>
            </w:pPr>
            <w:r>
              <w:rPr>
                <w:rFonts w:hint="eastAsia" w:ascii="宋体" w:hAnsi="宋体" w:cs="宋体"/>
                <w:sz w:val="24"/>
                <w:highlight w:val="none"/>
              </w:rPr>
              <w:t>19</w:t>
            </w:r>
          </w:p>
        </w:tc>
        <w:tc>
          <w:tcPr>
            <w:tcW w:w="8592" w:type="dxa"/>
            <w:tcBorders>
              <w:top w:val="single" w:color="auto" w:sz="4" w:space="0"/>
              <w:left w:val="single" w:color="auto" w:sz="4" w:space="0"/>
              <w:bottom w:val="single" w:color="auto" w:sz="4" w:space="0"/>
              <w:right w:val="single" w:color="auto" w:sz="4" w:space="0"/>
            </w:tcBorders>
            <w:vAlign w:val="center"/>
          </w:tcPr>
          <w:p w14:paraId="131B9973">
            <w:pPr>
              <w:snapToGrid w:val="0"/>
              <w:rPr>
                <w:rFonts w:ascii="宋体" w:hAnsi="宋体" w:cs="宋体"/>
                <w:b/>
                <w:bCs/>
                <w:sz w:val="24"/>
                <w:highlight w:val="none"/>
              </w:rPr>
            </w:pPr>
            <w:r>
              <w:rPr>
                <w:rFonts w:hint="eastAsia" w:ascii="宋体" w:hAnsi="宋体" w:cs="宋体"/>
                <w:b/>
                <w:bCs/>
                <w:sz w:val="24"/>
                <w:highlight w:val="none"/>
              </w:rPr>
              <w:t>转包与分包：</w:t>
            </w:r>
            <w:r>
              <w:rPr>
                <w:rFonts w:hint="eastAsia" w:hAnsi="宋体"/>
                <w:color w:val="000000"/>
                <w:sz w:val="24"/>
                <w:highlight w:val="none"/>
              </w:rPr>
              <w:t>本项目禁止转包与分包</w:t>
            </w:r>
          </w:p>
        </w:tc>
      </w:tr>
      <w:tr w14:paraId="2F343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5E60D4E5">
            <w:pPr>
              <w:snapToGrid w:val="0"/>
              <w:jc w:val="center"/>
              <w:rPr>
                <w:rFonts w:ascii="宋体" w:hAnsi="宋体" w:cs="宋体"/>
                <w:sz w:val="24"/>
                <w:highlight w:val="none"/>
              </w:rPr>
            </w:pPr>
            <w:r>
              <w:rPr>
                <w:rFonts w:hint="eastAsia" w:ascii="宋体" w:hAnsi="宋体" w:cs="宋体"/>
                <w:sz w:val="24"/>
                <w:highlight w:val="none"/>
              </w:rPr>
              <w:t>20</w:t>
            </w:r>
          </w:p>
        </w:tc>
        <w:tc>
          <w:tcPr>
            <w:tcW w:w="8592" w:type="dxa"/>
            <w:tcBorders>
              <w:top w:val="single" w:color="auto" w:sz="4" w:space="0"/>
              <w:left w:val="single" w:color="auto" w:sz="4" w:space="0"/>
              <w:bottom w:val="single" w:color="auto" w:sz="4" w:space="0"/>
              <w:right w:val="single" w:color="auto" w:sz="4" w:space="0"/>
            </w:tcBorders>
            <w:vAlign w:val="center"/>
          </w:tcPr>
          <w:p w14:paraId="00C0EB8A">
            <w:pPr>
              <w:autoSpaceDE w:val="0"/>
              <w:autoSpaceDN w:val="0"/>
              <w:adjustRightInd w:val="0"/>
              <w:spacing w:line="360" w:lineRule="exact"/>
              <w:rPr>
                <w:rFonts w:ascii="宋体" w:hAnsi="宋体" w:cs="宋体"/>
                <w:sz w:val="24"/>
                <w:highlight w:val="none"/>
              </w:rPr>
            </w:pPr>
            <w:r>
              <w:rPr>
                <w:rFonts w:ascii="宋体" w:hAnsi="宋体" w:cs="宋体"/>
                <w:sz w:val="24"/>
                <w:highlight w:val="none"/>
              </w:rPr>
              <w:t>环境标志产品</w:t>
            </w:r>
            <w:r>
              <w:rPr>
                <w:rFonts w:hint="eastAsia" w:ascii="宋体" w:hAnsi="宋体" w:cs="宋体"/>
                <w:sz w:val="24"/>
                <w:highlight w:val="none"/>
              </w:rPr>
              <w:t>、</w:t>
            </w:r>
            <w:r>
              <w:rPr>
                <w:rFonts w:ascii="宋体" w:hAnsi="宋体" w:cs="宋体"/>
                <w:sz w:val="24"/>
                <w:highlight w:val="none"/>
              </w:rPr>
              <w:t>节能产品</w:t>
            </w:r>
            <w:r>
              <w:rPr>
                <w:rFonts w:hint="eastAsia" w:ascii="宋体" w:hAnsi="宋体" w:cs="宋体"/>
                <w:sz w:val="24"/>
                <w:highlight w:val="none"/>
              </w:rPr>
              <w:t>：</w:t>
            </w:r>
          </w:p>
          <w:p w14:paraId="3716150B">
            <w:pPr>
              <w:autoSpaceDE w:val="0"/>
              <w:autoSpaceDN w:val="0"/>
              <w:adjustRightInd w:val="0"/>
              <w:spacing w:line="360" w:lineRule="exact"/>
              <w:rPr>
                <w:rFonts w:ascii="宋体" w:hAnsi="宋体" w:cs="宋体"/>
                <w:sz w:val="24"/>
                <w:highlight w:val="none"/>
              </w:rPr>
            </w:pPr>
            <w:r>
              <w:rPr>
                <w:rFonts w:hint="eastAsia" w:ascii="宋体" w:hAnsi="宋体" w:cs="宋体"/>
                <w:sz w:val="24"/>
                <w:highlight w:val="none"/>
              </w:rPr>
              <w:t>（1）严格执行《财政部 发展改革委 生态环境部 市场监管总局关于调整优化节能产品、环境标志产品政府采购执行机制的通知》（财库〔2019〕9号）。</w:t>
            </w:r>
          </w:p>
          <w:p w14:paraId="72BD6FB5">
            <w:pPr>
              <w:autoSpaceDE w:val="0"/>
              <w:autoSpaceDN w:val="0"/>
              <w:adjustRightInd w:val="0"/>
              <w:spacing w:line="360" w:lineRule="exact"/>
              <w:rPr>
                <w:rFonts w:ascii="宋体" w:hAnsi="宋体" w:cs="宋体"/>
                <w:sz w:val="24"/>
                <w:highlight w:val="none"/>
              </w:rPr>
            </w:pPr>
            <w:r>
              <w:rPr>
                <w:rFonts w:hint="eastAsia" w:ascii="宋体" w:hAnsi="宋体" w:cs="宋体"/>
                <w:sz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7378E38F">
            <w:pPr>
              <w:autoSpaceDE w:val="0"/>
              <w:autoSpaceDN w:val="0"/>
              <w:adjustRightInd w:val="0"/>
              <w:spacing w:line="360" w:lineRule="exact"/>
              <w:rPr>
                <w:rFonts w:ascii="宋体" w:hAnsi="宋体" w:cs="宋体"/>
                <w:sz w:val="24"/>
                <w:highlight w:val="none"/>
              </w:rPr>
            </w:pPr>
            <w:r>
              <w:rPr>
                <w:rFonts w:hint="eastAsia" w:ascii="宋体" w:hAnsi="宋体" w:cs="宋体"/>
                <w:sz w:val="24"/>
                <w:highlight w:val="none"/>
              </w:rPr>
              <w:t>（3）采购人拟采购的产品属于政府强制采购的节能产品品目清单范围的，供应商未按采购文件要求提供国家确定的认证机构出具的、处于有效期之内的节能产品认证证书，投标无效。</w:t>
            </w:r>
          </w:p>
          <w:p w14:paraId="2FCC057C">
            <w:pPr>
              <w:autoSpaceDE w:val="0"/>
              <w:autoSpaceDN w:val="0"/>
              <w:adjustRightInd w:val="0"/>
              <w:spacing w:line="360" w:lineRule="exact"/>
              <w:rPr>
                <w:rFonts w:ascii="宋体" w:hAnsi="宋体" w:cs="宋体"/>
                <w:sz w:val="24"/>
                <w:highlight w:val="none"/>
              </w:rPr>
            </w:pPr>
            <w:r>
              <w:rPr>
                <w:rFonts w:hint="eastAsia" w:ascii="宋体" w:hAnsi="宋体" w:cs="宋体"/>
                <w:sz w:val="24"/>
                <w:highlight w:val="none"/>
              </w:rPr>
              <w:t>属于政府优先采购产品类别的，须按照要求提供依据国家确定的认证机构出具的、处于有效期之内的节能产品或环境标志产品认证证书，否则不予认定。</w:t>
            </w:r>
          </w:p>
          <w:p w14:paraId="477C4845">
            <w:pPr>
              <w:autoSpaceDE w:val="0"/>
              <w:autoSpaceDN w:val="0"/>
              <w:adjustRightInd w:val="0"/>
              <w:spacing w:line="360" w:lineRule="exac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eq \o\ac(□,√)</w:instrText>
            </w:r>
            <w:r>
              <w:rPr>
                <w:rFonts w:hint="eastAsia" w:ascii="宋体" w:hAnsi="宋体" w:cs="宋体"/>
                <w:sz w:val="24"/>
                <w:highlight w:val="none"/>
              </w:rPr>
              <w:fldChar w:fldCharType="end"/>
            </w:r>
            <w:r>
              <w:rPr>
                <w:rFonts w:hint="eastAsia" w:ascii="宋体" w:hAnsi="宋体" w:cs="宋体"/>
                <w:sz w:val="24"/>
                <w:highlight w:val="none"/>
              </w:rPr>
              <w:t xml:space="preserve">不适用  □适用  </w:t>
            </w:r>
          </w:p>
        </w:tc>
      </w:tr>
      <w:tr w14:paraId="60A29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648" w:type="dxa"/>
            <w:tcBorders>
              <w:top w:val="single" w:color="auto" w:sz="4" w:space="0"/>
              <w:left w:val="single" w:color="auto" w:sz="4" w:space="0"/>
              <w:bottom w:val="single" w:color="auto" w:sz="4" w:space="0"/>
              <w:right w:val="single" w:color="auto" w:sz="4" w:space="0"/>
            </w:tcBorders>
            <w:vAlign w:val="center"/>
          </w:tcPr>
          <w:p w14:paraId="431B6AC1">
            <w:pPr>
              <w:snapToGrid w:val="0"/>
              <w:jc w:val="center"/>
              <w:rPr>
                <w:rFonts w:ascii="宋体" w:hAnsi="宋体" w:cs="宋体"/>
                <w:sz w:val="24"/>
                <w:highlight w:val="none"/>
              </w:rPr>
            </w:pPr>
            <w:r>
              <w:rPr>
                <w:rFonts w:hint="eastAsia" w:ascii="宋体" w:hAnsi="宋体" w:cs="宋体"/>
                <w:sz w:val="24"/>
                <w:highlight w:val="none"/>
              </w:rPr>
              <w:t>21</w:t>
            </w:r>
          </w:p>
        </w:tc>
        <w:tc>
          <w:tcPr>
            <w:tcW w:w="8592" w:type="dxa"/>
            <w:tcBorders>
              <w:top w:val="single" w:color="auto" w:sz="4" w:space="0"/>
              <w:left w:val="single" w:color="auto" w:sz="4" w:space="0"/>
              <w:bottom w:val="single" w:color="auto" w:sz="4" w:space="0"/>
              <w:right w:val="single" w:color="auto" w:sz="4" w:space="0"/>
            </w:tcBorders>
            <w:vAlign w:val="center"/>
          </w:tcPr>
          <w:p w14:paraId="74113A2A">
            <w:pPr>
              <w:pStyle w:val="13"/>
              <w:snapToGrid w:val="0"/>
              <w:spacing w:before="120" w:after="120" w:line="312" w:lineRule="auto"/>
              <w:rPr>
                <w:rFonts w:hAnsi="宋体"/>
                <w:highlight w:val="none"/>
              </w:rPr>
            </w:pPr>
            <w:r>
              <w:rPr>
                <w:rFonts w:hint="eastAsia" w:hAnsi="宋体" w:cs="宋体"/>
                <w:b/>
                <w:bCs/>
                <w:highlight w:val="none"/>
              </w:rPr>
              <w:t>采购人不组织踏勘现场，但投标人可自行安排踏勘现场情况和周边的情况，掌握和分析与投标和报价相关的一切信息，并自行承担踏勘现场的一切费用和风险。</w:t>
            </w:r>
          </w:p>
        </w:tc>
      </w:tr>
      <w:tr w14:paraId="44C84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193A469D">
            <w:pPr>
              <w:pStyle w:val="13"/>
              <w:spacing w:before="120" w:after="120" w:line="300" w:lineRule="exact"/>
              <w:rPr>
                <w:rFonts w:hAnsi="宋体"/>
                <w:highlight w:val="none"/>
              </w:rPr>
            </w:pPr>
            <w:r>
              <w:rPr>
                <w:rFonts w:hint="eastAsia" w:hAnsi="宋体" w:cs="宋体"/>
                <w:highlight w:val="none"/>
              </w:rPr>
              <w:t>22</w:t>
            </w:r>
          </w:p>
        </w:tc>
        <w:tc>
          <w:tcPr>
            <w:tcW w:w="8592" w:type="dxa"/>
            <w:tcBorders>
              <w:top w:val="single" w:color="auto" w:sz="4" w:space="0"/>
              <w:left w:val="single" w:color="auto" w:sz="4" w:space="0"/>
              <w:bottom w:val="single" w:color="auto" w:sz="4" w:space="0"/>
              <w:right w:val="single" w:color="auto" w:sz="4" w:space="0"/>
            </w:tcBorders>
            <w:vAlign w:val="center"/>
          </w:tcPr>
          <w:p w14:paraId="554D2F43">
            <w:pPr>
              <w:autoSpaceDE w:val="0"/>
              <w:autoSpaceDN w:val="0"/>
              <w:adjustRightInd w:val="0"/>
              <w:spacing w:line="360" w:lineRule="exact"/>
              <w:rPr>
                <w:rFonts w:ascii="宋体" w:hAnsi="宋体" w:cs="宋体"/>
                <w:b/>
                <w:bCs/>
                <w:sz w:val="24"/>
                <w:highlight w:val="none"/>
              </w:rPr>
            </w:pPr>
            <w:r>
              <w:rPr>
                <w:rFonts w:hint="eastAsia" w:ascii="宋体" w:hAnsi="宋体"/>
                <w:sz w:val="24"/>
                <w:highlight w:val="none"/>
              </w:rPr>
              <w:t>政采贷：本采购项目，中标单位与采购单位签订的政府采购合同适用于政府采购贷款政策，简称“政采贷”，具体内容详见 附件《政府采购支持中小企业信用融资相关事项通知》。本项目中的履约保函也可通过政采云系统办理。</w:t>
            </w:r>
          </w:p>
        </w:tc>
      </w:tr>
      <w:tr w14:paraId="1640B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40349C4E">
            <w:pPr>
              <w:snapToGrid w:val="0"/>
              <w:jc w:val="center"/>
              <w:rPr>
                <w:rFonts w:ascii="宋体" w:hAnsi="宋体" w:cs="宋体"/>
                <w:sz w:val="24"/>
                <w:highlight w:val="none"/>
              </w:rPr>
            </w:pPr>
            <w:r>
              <w:rPr>
                <w:rFonts w:hint="eastAsia" w:ascii="宋体" w:hAnsi="宋体" w:cs="宋体"/>
                <w:sz w:val="24"/>
                <w:highlight w:val="none"/>
              </w:rPr>
              <w:t>23</w:t>
            </w:r>
          </w:p>
        </w:tc>
        <w:tc>
          <w:tcPr>
            <w:tcW w:w="8592" w:type="dxa"/>
            <w:tcBorders>
              <w:top w:val="single" w:color="auto" w:sz="4" w:space="0"/>
              <w:left w:val="single" w:color="auto" w:sz="4" w:space="0"/>
              <w:bottom w:val="single" w:color="auto" w:sz="4" w:space="0"/>
              <w:right w:val="single" w:color="auto" w:sz="4" w:space="0"/>
            </w:tcBorders>
            <w:vAlign w:val="center"/>
          </w:tcPr>
          <w:p w14:paraId="7E5B9451">
            <w:pPr>
              <w:autoSpaceDE w:val="0"/>
              <w:autoSpaceDN w:val="0"/>
              <w:adjustRightInd w:val="0"/>
              <w:spacing w:line="360" w:lineRule="exact"/>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1）采购文件中凡标注“▲”的条款均为实质性要求，不响应的投标文件将作无效标处理。</w:t>
            </w:r>
          </w:p>
          <w:p w14:paraId="62A4D269">
            <w:pPr>
              <w:autoSpaceDE w:val="0"/>
              <w:autoSpaceDN w:val="0"/>
              <w:adjustRightInd w:val="0"/>
              <w:spacing w:line="360" w:lineRule="exact"/>
              <w:rPr>
                <w:rFonts w:ascii="宋体" w:hAnsi="宋体"/>
                <w:sz w:val="24"/>
                <w:highlight w:val="none"/>
              </w:rPr>
            </w:pPr>
            <w:r>
              <w:rPr>
                <w:rFonts w:hint="eastAsia" w:ascii="宋体" w:hAnsi="宋体"/>
                <w:sz w:val="24"/>
                <w:highlight w:val="none"/>
              </w:rPr>
              <w:t>（2）供应商未上传电子加密投标文件，其投标无效。</w:t>
            </w:r>
          </w:p>
          <w:p w14:paraId="35327413">
            <w:pPr>
              <w:autoSpaceDE w:val="0"/>
              <w:autoSpaceDN w:val="0"/>
              <w:adjustRightInd w:val="0"/>
              <w:spacing w:line="360" w:lineRule="exact"/>
              <w:rPr>
                <w:rFonts w:ascii="宋体" w:hAnsi="宋体"/>
                <w:sz w:val="24"/>
                <w:highlight w:val="none"/>
              </w:rPr>
            </w:pPr>
            <w:r>
              <w:rPr>
                <w:rFonts w:hint="eastAsia" w:ascii="宋体" w:hAnsi="宋体"/>
                <w:sz w:val="24"/>
                <w:highlight w:val="none"/>
              </w:rPr>
              <w:t>（3）供应商上传了电子加密投标文件，未提供备份投标文件，解密出现问题后，由此导致对该供应商投标无法评审的，其后果由该供应商自行承担。</w:t>
            </w:r>
          </w:p>
          <w:p w14:paraId="43EE0292">
            <w:pPr>
              <w:autoSpaceDE w:val="0"/>
              <w:autoSpaceDN w:val="0"/>
              <w:adjustRightInd w:val="0"/>
              <w:spacing w:line="360" w:lineRule="exact"/>
              <w:rPr>
                <w:rFonts w:ascii="宋体" w:hAnsi="宋体"/>
                <w:sz w:val="24"/>
                <w:highlight w:val="none"/>
              </w:rPr>
            </w:pPr>
            <w:r>
              <w:rPr>
                <w:rFonts w:hint="eastAsia" w:ascii="宋体" w:hAnsi="宋体"/>
                <w:sz w:val="24"/>
                <w:highlight w:val="none"/>
              </w:rPr>
              <w:t>（4）各供应商自行在浙江政府采购网下载或查阅采购文件和相关更正公告等，不另行通知，如有遗漏采购人、采购代理机构概不负责。</w:t>
            </w:r>
          </w:p>
          <w:p w14:paraId="0A800CD4">
            <w:pPr>
              <w:autoSpaceDE w:val="0"/>
              <w:autoSpaceDN w:val="0"/>
              <w:adjustRightInd w:val="0"/>
              <w:spacing w:line="360" w:lineRule="exact"/>
              <w:rPr>
                <w:rFonts w:ascii="宋体" w:hAnsi="宋体"/>
                <w:sz w:val="24"/>
                <w:highlight w:val="none"/>
              </w:rPr>
            </w:pPr>
            <w:r>
              <w:rPr>
                <w:rFonts w:hint="eastAsia" w:ascii="宋体" w:hAnsi="宋体"/>
                <w:sz w:val="24"/>
                <w:highlight w:val="none"/>
              </w:rPr>
              <w:t>（</w:t>
            </w:r>
            <w:r>
              <w:rPr>
                <w:rFonts w:hint="eastAsia" w:ascii="宋体" w:hAnsi="宋体"/>
                <w:b/>
                <w:bCs/>
                <w:color w:val="FF0000"/>
                <w:sz w:val="24"/>
                <w:highlight w:val="none"/>
              </w:rPr>
              <w:t>5）参与同一标段的供应商，存在以下几种情形：MAC地址相同、计算机硬盘序列号相同、采购文件细节错误一致且无合理解释等情形，可以认定为串标围标。</w:t>
            </w:r>
          </w:p>
        </w:tc>
      </w:tr>
      <w:tr w14:paraId="6D4CE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453A6FB7">
            <w:pPr>
              <w:snapToGrid w:val="0"/>
              <w:jc w:val="center"/>
              <w:rPr>
                <w:rFonts w:ascii="宋体" w:hAnsi="宋体" w:cs="宋体"/>
                <w:sz w:val="24"/>
                <w:highlight w:val="none"/>
              </w:rPr>
            </w:pPr>
            <w:r>
              <w:rPr>
                <w:rFonts w:hint="eastAsia" w:ascii="宋体" w:hAnsi="宋体" w:cs="宋体"/>
                <w:sz w:val="24"/>
                <w:highlight w:val="none"/>
              </w:rPr>
              <w:t>24</w:t>
            </w:r>
          </w:p>
        </w:tc>
        <w:tc>
          <w:tcPr>
            <w:tcW w:w="8592" w:type="dxa"/>
            <w:tcBorders>
              <w:top w:val="single" w:color="auto" w:sz="4" w:space="0"/>
              <w:left w:val="single" w:color="auto" w:sz="4" w:space="0"/>
              <w:bottom w:val="single" w:color="auto" w:sz="4" w:space="0"/>
              <w:right w:val="single" w:color="auto" w:sz="4" w:space="0"/>
            </w:tcBorders>
            <w:vAlign w:val="center"/>
          </w:tcPr>
          <w:p w14:paraId="5BB3EC2F">
            <w:pPr>
              <w:autoSpaceDE w:val="0"/>
              <w:autoSpaceDN w:val="0"/>
              <w:adjustRightInd w:val="0"/>
              <w:spacing w:line="360" w:lineRule="exact"/>
              <w:rPr>
                <w:rFonts w:ascii="宋体" w:hAnsi="宋体"/>
                <w:sz w:val="24"/>
                <w:highlight w:val="none"/>
              </w:rPr>
            </w:pPr>
            <w:r>
              <w:rPr>
                <w:rFonts w:hint="eastAsia" w:ascii="宋体" w:hAnsi="宋体" w:cs="宋体"/>
                <w:sz w:val="24"/>
                <w:highlight w:val="none"/>
              </w:rPr>
              <w:t>投标文件有效期：</w:t>
            </w:r>
            <w:r>
              <w:rPr>
                <w:rFonts w:hint="eastAsia" w:ascii="宋体" w:hAnsi="宋体" w:cs="宋体"/>
                <w:sz w:val="24"/>
                <w:highlight w:val="none"/>
                <w:u w:val="single"/>
              </w:rPr>
              <w:t xml:space="preserve"> 90 </w:t>
            </w:r>
            <w:r>
              <w:rPr>
                <w:rFonts w:hint="eastAsia" w:ascii="宋体" w:hAnsi="宋体" w:cs="宋体"/>
                <w:sz w:val="24"/>
                <w:highlight w:val="none"/>
              </w:rPr>
              <w:t>天</w:t>
            </w:r>
          </w:p>
        </w:tc>
      </w:tr>
      <w:tr w14:paraId="2884E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vAlign w:val="center"/>
          </w:tcPr>
          <w:p w14:paraId="0AF0A46D">
            <w:pPr>
              <w:snapToGrid w:val="0"/>
              <w:jc w:val="center"/>
              <w:rPr>
                <w:rFonts w:ascii="宋体" w:hAnsi="宋体" w:cs="宋体"/>
                <w:sz w:val="24"/>
                <w:highlight w:val="none"/>
              </w:rPr>
            </w:pPr>
            <w:r>
              <w:rPr>
                <w:rFonts w:hint="eastAsia" w:ascii="宋体" w:hAnsi="宋体" w:cs="宋体"/>
                <w:sz w:val="24"/>
                <w:highlight w:val="none"/>
              </w:rPr>
              <w:t>25</w:t>
            </w:r>
          </w:p>
        </w:tc>
        <w:tc>
          <w:tcPr>
            <w:tcW w:w="8592" w:type="dxa"/>
            <w:tcBorders>
              <w:top w:val="single" w:color="auto" w:sz="4" w:space="0"/>
              <w:left w:val="single" w:color="auto" w:sz="4" w:space="0"/>
              <w:bottom w:val="single" w:color="auto" w:sz="4" w:space="0"/>
              <w:right w:val="single" w:color="auto" w:sz="4" w:space="0"/>
            </w:tcBorders>
            <w:vAlign w:val="center"/>
          </w:tcPr>
          <w:p w14:paraId="58DE5566">
            <w:pPr>
              <w:snapToGrid w:val="0"/>
              <w:rPr>
                <w:rFonts w:ascii="宋体" w:hAnsi="宋体" w:cs="宋体"/>
                <w:sz w:val="24"/>
                <w:highlight w:val="none"/>
              </w:rPr>
            </w:pPr>
            <w:r>
              <w:rPr>
                <w:rFonts w:hint="eastAsia" w:ascii="宋体" w:hAnsi="宋体" w:cs="宋体"/>
                <w:sz w:val="24"/>
                <w:highlight w:val="none"/>
              </w:rPr>
              <w:t>解释：本招标文件的解释权属于招标采购单位。</w:t>
            </w:r>
          </w:p>
        </w:tc>
      </w:tr>
    </w:tbl>
    <w:p w14:paraId="64CA6D0C">
      <w:pPr>
        <w:pStyle w:val="13"/>
        <w:snapToGrid w:val="0"/>
        <w:spacing w:before="120" w:after="120" w:line="360" w:lineRule="auto"/>
        <w:rPr>
          <w:rFonts w:hAnsi="宋体" w:cs="宋体"/>
          <w:b/>
          <w:sz w:val="28"/>
          <w:szCs w:val="28"/>
          <w:highlight w:val="none"/>
        </w:rPr>
      </w:pPr>
      <w:r>
        <w:rPr>
          <w:rFonts w:hint="eastAsia" w:hAnsi="宋体" w:cs="宋体"/>
          <w:b/>
          <w:sz w:val="28"/>
          <w:szCs w:val="28"/>
          <w:highlight w:val="none"/>
        </w:rPr>
        <w:t>一、总则</w:t>
      </w:r>
    </w:p>
    <w:p w14:paraId="6F8CE6CA">
      <w:pPr>
        <w:snapToGrid w:val="0"/>
        <w:spacing w:line="360" w:lineRule="auto"/>
        <w:ind w:firstLine="472" w:firstLineChars="196"/>
        <w:jc w:val="left"/>
        <w:outlineLvl w:val="1"/>
        <w:rPr>
          <w:rFonts w:ascii="宋体" w:hAnsi="宋体" w:cs="宋体"/>
          <w:b/>
          <w:sz w:val="24"/>
          <w:szCs w:val="20"/>
          <w:highlight w:val="none"/>
        </w:rPr>
      </w:pPr>
      <w:r>
        <w:rPr>
          <w:rFonts w:hint="eastAsia" w:ascii="宋体" w:hAnsi="宋体" w:cs="宋体"/>
          <w:b/>
          <w:sz w:val="24"/>
          <w:highlight w:val="none"/>
        </w:rPr>
        <w:t>（一）适用范围</w:t>
      </w:r>
    </w:p>
    <w:p w14:paraId="354CEACC">
      <w:pPr>
        <w:spacing w:line="360" w:lineRule="auto"/>
        <w:ind w:firstLine="480" w:firstLineChars="200"/>
        <w:rPr>
          <w:rFonts w:ascii="宋体" w:hAnsi="宋体" w:cs="宋体"/>
          <w:sz w:val="24"/>
          <w:szCs w:val="20"/>
          <w:highlight w:val="none"/>
        </w:rPr>
      </w:pPr>
      <w:r>
        <w:rPr>
          <w:rFonts w:hint="eastAsia" w:ascii="宋体" w:hAnsi="宋体" w:cs="宋体"/>
          <w:sz w:val="24"/>
          <w:highlight w:val="none"/>
        </w:rPr>
        <w:t>本招标文件仅适用于</w:t>
      </w:r>
      <w:r>
        <w:rPr>
          <w:rFonts w:hint="eastAsia" w:ascii="宋体" w:hAnsi="宋体" w:cs="宋体"/>
          <w:b/>
          <w:bCs/>
          <w:sz w:val="24"/>
          <w:highlight w:val="none"/>
          <w:u w:val="single"/>
          <w:lang w:eastAsia="zh-CN"/>
        </w:rPr>
        <w:t>2025年-2027年衢江区计生特殊家庭健康保险采购</w:t>
      </w:r>
      <w:r>
        <w:rPr>
          <w:rFonts w:hint="eastAsia" w:ascii="宋体" w:hAnsi="宋体" w:cs="宋体"/>
          <w:b/>
          <w:bCs/>
          <w:sz w:val="24"/>
          <w:highlight w:val="none"/>
          <w:u w:val="single"/>
        </w:rPr>
        <w:t>项目</w:t>
      </w:r>
      <w:r>
        <w:rPr>
          <w:rFonts w:hint="eastAsia" w:ascii="宋体" w:hAnsi="宋体" w:cs="宋体"/>
          <w:sz w:val="24"/>
          <w:highlight w:val="none"/>
        </w:rPr>
        <w:t>的招标采购。</w:t>
      </w:r>
    </w:p>
    <w:p w14:paraId="0BFBCAE2">
      <w:pPr>
        <w:snapToGrid w:val="0"/>
        <w:spacing w:beforeLines="50" w:line="360" w:lineRule="auto"/>
        <w:ind w:firstLine="595" w:firstLineChars="247"/>
        <w:jc w:val="left"/>
        <w:outlineLvl w:val="1"/>
        <w:rPr>
          <w:rFonts w:ascii="宋体" w:hAnsi="宋体" w:cs="宋体"/>
          <w:b/>
          <w:sz w:val="24"/>
          <w:szCs w:val="20"/>
          <w:highlight w:val="none"/>
        </w:rPr>
      </w:pPr>
      <w:r>
        <w:rPr>
          <w:rFonts w:hint="eastAsia" w:ascii="宋体" w:hAnsi="宋体" w:cs="宋体"/>
          <w:b/>
          <w:sz w:val="24"/>
          <w:highlight w:val="none"/>
        </w:rPr>
        <w:t>（二）定义</w:t>
      </w:r>
    </w:p>
    <w:p w14:paraId="2D527A0D">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1.招标采购单位系指组织本次招标的</w:t>
      </w:r>
      <w:r>
        <w:rPr>
          <w:rFonts w:hint="eastAsia" w:ascii="宋体" w:hAnsi="宋体" w:cs="宋体"/>
          <w:b/>
          <w:bCs/>
          <w:sz w:val="24"/>
          <w:highlight w:val="none"/>
          <w:u w:val="single"/>
        </w:rPr>
        <w:t>浙江五石中正工程咨询有限公司衢州分公司</w:t>
      </w:r>
      <w:r>
        <w:rPr>
          <w:rFonts w:hint="eastAsia" w:ascii="宋体" w:hAnsi="宋体" w:cs="宋体"/>
          <w:sz w:val="24"/>
          <w:highlight w:val="none"/>
        </w:rPr>
        <w:t>（“招标方”）和</w:t>
      </w:r>
      <w:r>
        <w:rPr>
          <w:rFonts w:hint="eastAsia" w:ascii="宋体" w:hAnsi="宋体" w:cs="宋体"/>
          <w:b/>
          <w:bCs/>
          <w:sz w:val="24"/>
          <w:highlight w:val="none"/>
          <w:u w:val="single"/>
          <w:lang w:eastAsia="zh-CN"/>
        </w:rPr>
        <w:t>衢江区卫生健康局</w:t>
      </w:r>
      <w:r>
        <w:rPr>
          <w:rFonts w:hint="eastAsia" w:ascii="宋体" w:hAnsi="宋体" w:cs="宋体"/>
          <w:sz w:val="24"/>
          <w:highlight w:val="none"/>
        </w:rPr>
        <w:t>（“采购人”）。</w:t>
      </w:r>
    </w:p>
    <w:p w14:paraId="165F8097">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2.“投标人”系指向招标方提交投标文件的单位。</w:t>
      </w:r>
    </w:p>
    <w:p w14:paraId="624631EA">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3.“产品”系指供方按招标文件规定，须向采购人提供的一切设备、保险、税金、备品备件、工具、手册及其它有关技术资料和材料。</w:t>
      </w:r>
    </w:p>
    <w:p w14:paraId="5538EB5E">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4.“服务”系指招标文件规定投标人须承担的安装、调试、技术协助、校准、培训、技术指导以及其他类似的义务。</w:t>
      </w:r>
    </w:p>
    <w:p w14:paraId="7417B699">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5.“项目”系指投标人按招标文件规定向采购人提供的产品和服务。</w:t>
      </w:r>
    </w:p>
    <w:p w14:paraId="0F807F3D">
      <w:pPr>
        <w:tabs>
          <w:tab w:val="left" w:pos="7140"/>
        </w:tabs>
        <w:snapToGrid w:val="0"/>
        <w:ind w:firstLine="480" w:firstLineChars="200"/>
        <w:jc w:val="left"/>
        <w:rPr>
          <w:rFonts w:ascii="宋体" w:hAnsi="宋体" w:cs="宋体"/>
          <w:sz w:val="24"/>
          <w:highlight w:val="none"/>
        </w:rPr>
      </w:pPr>
      <w:r>
        <w:rPr>
          <w:rFonts w:hint="eastAsia" w:ascii="宋体" w:hAnsi="宋体" w:cs="宋体"/>
          <w:sz w:val="24"/>
          <w:highlight w:val="none"/>
        </w:rPr>
        <w:t>6.“书面形式”包括信函、传真、电报等。</w:t>
      </w:r>
    </w:p>
    <w:p w14:paraId="035A2ADE">
      <w:pPr>
        <w:tabs>
          <w:tab w:val="left" w:pos="7140"/>
        </w:tabs>
        <w:snapToGrid w:val="0"/>
        <w:ind w:firstLine="482" w:firstLineChars="200"/>
        <w:jc w:val="left"/>
        <w:rPr>
          <w:rFonts w:ascii="宋体" w:hAnsi="宋体" w:cs="宋体"/>
          <w:b/>
          <w:bCs/>
          <w:sz w:val="24"/>
          <w:highlight w:val="none"/>
        </w:rPr>
      </w:pPr>
      <w:r>
        <w:rPr>
          <w:rFonts w:hint="eastAsia" w:ascii="宋体" w:hAnsi="宋体" w:cs="宋体"/>
          <w:b/>
          <w:bCs/>
          <w:sz w:val="24"/>
          <w:highlight w:val="none"/>
        </w:rPr>
        <w:t>7.凡是标有“▲”符号的条款，不允许负偏离，否则作无效标处理；标有“★”是指重要条款。</w:t>
      </w:r>
    </w:p>
    <w:p w14:paraId="4B581D13">
      <w:pPr>
        <w:tabs>
          <w:tab w:val="left" w:pos="7140"/>
        </w:tabs>
        <w:snapToGrid w:val="0"/>
        <w:ind w:firstLine="482" w:firstLineChars="200"/>
        <w:jc w:val="left"/>
        <w:rPr>
          <w:rFonts w:ascii="宋体" w:hAnsi="宋体" w:cs="宋体"/>
          <w:b/>
          <w:bCs/>
          <w:sz w:val="24"/>
          <w:highlight w:val="none"/>
        </w:rPr>
      </w:pPr>
      <w:r>
        <w:rPr>
          <w:rFonts w:hint="eastAsia" w:ascii="宋体" w:hAnsi="宋体" w:cs="宋体"/>
          <w:b/>
          <w:bCs/>
          <w:sz w:val="24"/>
          <w:highlight w:val="none"/>
        </w:rPr>
        <w:t>8.标有“必须”字眼描述的条款以及项目的数量、工期（交货期、服务期）、付款方式、质保期、投标有效期均属于实质性条款，不允许负偏离，否则作无效标处理。</w:t>
      </w:r>
    </w:p>
    <w:p w14:paraId="7817D488">
      <w:pPr>
        <w:snapToGrid w:val="0"/>
        <w:spacing w:beforeLines="50" w:line="360" w:lineRule="auto"/>
        <w:ind w:firstLine="472" w:firstLineChars="196"/>
        <w:jc w:val="left"/>
        <w:outlineLvl w:val="1"/>
        <w:rPr>
          <w:rFonts w:ascii="宋体" w:hAnsi="宋体" w:cs="宋体"/>
          <w:b/>
          <w:sz w:val="24"/>
          <w:szCs w:val="20"/>
          <w:highlight w:val="none"/>
        </w:rPr>
      </w:pPr>
      <w:r>
        <w:rPr>
          <w:rFonts w:hint="eastAsia" w:ascii="宋体" w:hAnsi="宋体" w:cs="宋体"/>
          <w:b/>
          <w:sz w:val="24"/>
          <w:highlight w:val="none"/>
        </w:rPr>
        <w:t>（三）招标方式</w:t>
      </w:r>
    </w:p>
    <w:p w14:paraId="373D4BDB">
      <w:pPr>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本次招标采用公开招标方式进行。</w:t>
      </w:r>
    </w:p>
    <w:p w14:paraId="6FA9BE36">
      <w:pPr>
        <w:snapToGrid w:val="0"/>
        <w:spacing w:beforeLines="50" w:line="360" w:lineRule="auto"/>
        <w:ind w:firstLine="472" w:firstLineChars="196"/>
        <w:jc w:val="left"/>
        <w:outlineLvl w:val="1"/>
        <w:rPr>
          <w:rFonts w:ascii="宋体" w:hAnsi="宋体" w:cs="宋体"/>
          <w:b/>
          <w:sz w:val="24"/>
          <w:szCs w:val="20"/>
          <w:highlight w:val="none"/>
        </w:rPr>
      </w:pPr>
      <w:r>
        <w:rPr>
          <w:rFonts w:hint="eastAsia" w:ascii="宋体" w:hAnsi="宋体" w:cs="宋体"/>
          <w:b/>
          <w:sz w:val="24"/>
          <w:highlight w:val="none"/>
        </w:rPr>
        <w:t>（四）投标委托</w:t>
      </w:r>
    </w:p>
    <w:p w14:paraId="4E79DEA4">
      <w:pPr>
        <w:snapToGrid w:val="0"/>
        <w:spacing w:line="380" w:lineRule="exact"/>
        <w:ind w:firstLine="482" w:firstLineChars="200"/>
        <w:rPr>
          <w:rFonts w:ascii="宋体" w:hAnsi="宋体" w:cs="宋体"/>
          <w:b/>
          <w:bCs/>
          <w:highlight w:val="none"/>
        </w:rPr>
      </w:pPr>
      <w:r>
        <w:rPr>
          <w:rFonts w:hint="eastAsia" w:ascii="宋体" w:hAnsi="宋体" w:cs="宋体"/>
          <w:b/>
          <w:bCs/>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33209685">
      <w:pPr>
        <w:snapToGrid w:val="0"/>
        <w:spacing w:line="380" w:lineRule="exact"/>
        <w:ind w:firstLine="482" w:firstLineChars="200"/>
        <w:rPr>
          <w:rFonts w:ascii="宋体" w:hAnsi="宋体" w:cs="宋体"/>
          <w:b/>
          <w:bCs/>
          <w:sz w:val="24"/>
          <w:highlight w:val="none"/>
        </w:rPr>
      </w:pPr>
      <w:r>
        <w:rPr>
          <w:rFonts w:hint="eastAsia" w:ascii="宋体" w:hAnsi="宋体" w:cs="宋体"/>
          <w:b/>
          <w:bCs/>
          <w:sz w:val="24"/>
          <w:highlight w:val="none"/>
        </w:rPr>
        <w:t>投标人未按招标文件要求派代表参加电子开标会议的，视同认可开标结果，不得对开标过程及开标结果提出质疑。</w:t>
      </w:r>
    </w:p>
    <w:p w14:paraId="1C7857D1">
      <w:pPr>
        <w:snapToGrid w:val="0"/>
        <w:spacing w:beforeLines="50" w:line="360" w:lineRule="auto"/>
        <w:ind w:firstLine="472" w:firstLineChars="196"/>
        <w:jc w:val="left"/>
        <w:outlineLvl w:val="1"/>
        <w:rPr>
          <w:rFonts w:ascii="宋体" w:hAnsi="宋体" w:cs="宋体"/>
          <w:b/>
          <w:sz w:val="24"/>
          <w:szCs w:val="20"/>
          <w:highlight w:val="none"/>
        </w:rPr>
      </w:pPr>
      <w:r>
        <w:rPr>
          <w:rFonts w:hint="eastAsia" w:ascii="宋体" w:hAnsi="宋体" w:cs="宋体"/>
          <w:b/>
          <w:sz w:val="24"/>
          <w:highlight w:val="none"/>
        </w:rPr>
        <w:t>（五）投标费用</w:t>
      </w:r>
    </w:p>
    <w:p w14:paraId="694272AF">
      <w:pPr>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不论投标结果如何，投标人均应自行承担所有与投标有关的全部费用（招标文件有相反规定除外）。</w:t>
      </w:r>
    </w:p>
    <w:p w14:paraId="4E3C8121">
      <w:pPr>
        <w:snapToGrid w:val="0"/>
        <w:spacing w:beforeLines="50" w:line="360" w:lineRule="auto"/>
        <w:ind w:firstLine="472" w:firstLineChars="196"/>
        <w:jc w:val="left"/>
        <w:rPr>
          <w:rFonts w:ascii="宋体" w:hAnsi="宋体" w:cs="宋体"/>
          <w:b/>
          <w:sz w:val="24"/>
          <w:szCs w:val="20"/>
          <w:highlight w:val="none"/>
        </w:rPr>
      </w:pPr>
      <w:r>
        <w:rPr>
          <w:rFonts w:hint="eastAsia" w:ascii="宋体" w:hAnsi="宋体" w:cs="宋体"/>
          <w:b/>
          <w:sz w:val="24"/>
          <w:highlight w:val="none"/>
        </w:rPr>
        <w:t>（六）联合体投标</w:t>
      </w:r>
    </w:p>
    <w:p w14:paraId="579C7562">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本项目不允许联合体投标。</w:t>
      </w:r>
    </w:p>
    <w:p w14:paraId="48B82B2F">
      <w:pPr>
        <w:snapToGrid w:val="0"/>
        <w:spacing w:beforeLines="50" w:line="360" w:lineRule="auto"/>
        <w:ind w:firstLine="472" w:firstLineChars="196"/>
        <w:jc w:val="left"/>
        <w:rPr>
          <w:rFonts w:ascii="宋体" w:hAnsi="宋体" w:cs="宋体"/>
          <w:b/>
          <w:sz w:val="24"/>
          <w:highlight w:val="none"/>
        </w:rPr>
      </w:pPr>
      <w:r>
        <w:rPr>
          <w:rFonts w:hint="eastAsia" w:ascii="宋体" w:hAnsi="宋体" w:cs="宋体"/>
          <w:b/>
          <w:sz w:val="24"/>
          <w:highlight w:val="none"/>
        </w:rPr>
        <w:t xml:space="preserve">（七）转包与分包  </w:t>
      </w:r>
    </w:p>
    <w:p w14:paraId="21AE654E">
      <w:pPr>
        <w:snapToGrid w:val="0"/>
        <w:spacing w:beforeLines="50" w:line="360" w:lineRule="auto"/>
        <w:ind w:firstLine="540" w:firstLineChars="225"/>
        <w:jc w:val="left"/>
        <w:rPr>
          <w:rFonts w:ascii="宋体" w:hAnsi="宋体" w:cs="宋体"/>
          <w:sz w:val="24"/>
          <w:highlight w:val="none"/>
        </w:rPr>
      </w:pPr>
      <w:r>
        <w:rPr>
          <w:rFonts w:hint="eastAsia" w:ascii="宋体" w:hAnsi="宋体" w:cs="宋体"/>
          <w:sz w:val="24"/>
          <w:highlight w:val="none"/>
        </w:rPr>
        <w:t xml:space="preserve">1.本项目不允许转包。 </w:t>
      </w:r>
    </w:p>
    <w:p w14:paraId="5B6FFEFF">
      <w:pPr>
        <w:snapToGrid w:val="0"/>
        <w:spacing w:line="360" w:lineRule="auto"/>
        <w:ind w:firstLine="540" w:firstLineChars="225"/>
        <w:jc w:val="left"/>
        <w:rPr>
          <w:rFonts w:ascii="宋体" w:hAnsi="宋体" w:cs="宋体"/>
          <w:sz w:val="24"/>
          <w:highlight w:val="none"/>
        </w:rPr>
      </w:pPr>
      <w:r>
        <w:rPr>
          <w:rFonts w:hint="eastAsia" w:ascii="宋体" w:hAnsi="宋体" w:cs="宋体"/>
          <w:sz w:val="24"/>
          <w:highlight w:val="none"/>
        </w:rPr>
        <w:t>2.本项目不可以分包。</w:t>
      </w:r>
    </w:p>
    <w:p w14:paraId="3D33BC0F">
      <w:pPr>
        <w:snapToGrid w:val="0"/>
        <w:spacing w:beforeLines="50" w:line="360" w:lineRule="auto"/>
        <w:ind w:firstLine="472" w:firstLineChars="196"/>
        <w:jc w:val="left"/>
        <w:outlineLvl w:val="1"/>
        <w:rPr>
          <w:rFonts w:ascii="宋体" w:hAnsi="宋体" w:cs="宋体"/>
          <w:b/>
          <w:sz w:val="24"/>
          <w:highlight w:val="none"/>
        </w:rPr>
      </w:pPr>
      <w:r>
        <w:rPr>
          <w:rFonts w:hint="eastAsia" w:ascii="宋体" w:hAnsi="宋体" w:cs="宋体"/>
          <w:b/>
          <w:sz w:val="24"/>
          <w:highlight w:val="none"/>
        </w:rPr>
        <w:t>（八）特别说明：</w:t>
      </w:r>
    </w:p>
    <w:p w14:paraId="273519B7">
      <w:pPr>
        <w:pStyle w:val="13"/>
        <w:snapToGrid w:val="0"/>
        <w:spacing w:before="120" w:after="120" w:line="312" w:lineRule="auto"/>
        <w:ind w:left="2" w:leftChars="1" w:firstLine="482" w:firstLineChars="200"/>
        <w:rPr>
          <w:rFonts w:hAnsi="宋体" w:cs="宋体"/>
          <w:b/>
          <w:bCs/>
          <w:highlight w:val="none"/>
        </w:rPr>
      </w:pPr>
      <w:r>
        <w:rPr>
          <w:rFonts w:hint="eastAsia" w:hAnsi="宋体" w:cs="宋体"/>
          <w:b/>
          <w:bCs/>
          <w:highlight w:val="none"/>
        </w:rPr>
        <w:t>1.多家供应商参加投标，提供相同品牌产品且通过资格审查、符合性审查的不同投标人参加同一合同项下投标的，按一家投标人计算，评审后综合得分最高的同品牌投标人获得中标人推荐资格；评审得分相同的，由采购人或者采购人委托评标委员会采取随机抽取方式确定一个投标人获得中标人推荐资格，其他同品牌投标人不作为中标候选人。</w:t>
      </w:r>
    </w:p>
    <w:p w14:paraId="44650EAD">
      <w:pPr>
        <w:pStyle w:val="13"/>
        <w:snapToGrid w:val="0"/>
        <w:spacing w:before="120" w:after="120" w:line="312" w:lineRule="auto"/>
        <w:ind w:left="2" w:leftChars="1" w:firstLine="482" w:firstLineChars="200"/>
        <w:rPr>
          <w:rFonts w:hAnsi="宋体" w:cs="宋体"/>
          <w:b/>
          <w:bCs/>
          <w:highlight w:val="none"/>
        </w:rPr>
      </w:pPr>
      <w:r>
        <w:rPr>
          <w:rFonts w:hint="eastAsia" w:hAnsi="宋体" w:cs="宋体"/>
          <w:b/>
          <w:bCs/>
          <w:highlight w:val="none"/>
        </w:rPr>
        <w:t>非单一产品采购项目，多家投标人提供相同品牌核心产品的，按前款规定处理。</w:t>
      </w:r>
    </w:p>
    <w:p w14:paraId="1EF5D5D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2.（1）投标人投标所使用的资格、信誉、荣誉、业绩与企业认证必须为本法人所拥有。</w:t>
      </w:r>
    </w:p>
    <w:p w14:paraId="0A73F0B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（2）投标人投标所使用的采购项目实施人员必须为本法人员工（或必须为本法人或控股公司正式员工）。</w:t>
      </w:r>
    </w:p>
    <w:p w14:paraId="1ABC893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3.投标人应仔细阅读招标文件的所有内容，按照招标文件的要求提交投标文件，并对所提供的全部资料的真实性承担法律责任。</w:t>
      </w:r>
    </w:p>
    <w:p w14:paraId="644EDFFC">
      <w:pPr>
        <w:widowControl/>
        <w:spacing w:line="360" w:lineRule="auto"/>
        <w:ind w:firstLine="480" w:firstLineChars="200"/>
        <w:jc w:val="left"/>
        <w:rPr>
          <w:rFonts w:ascii="宋体" w:hAnsi="宋体" w:cs="宋体"/>
          <w:highlight w:val="none"/>
        </w:rPr>
      </w:pPr>
      <w:r>
        <w:rPr>
          <w:rFonts w:hint="eastAsia" w:ascii="宋体" w:hAnsi="宋体" w:cs="宋体"/>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ACE0332">
      <w:pPr>
        <w:pStyle w:val="13"/>
        <w:snapToGrid w:val="0"/>
        <w:spacing w:beforeLines="0" w:afterLines="0" w:line="360" w:lineRule="auto"/>
        <w:ind w:firstLine="472" w:firstLineChars="196"/>
        <w:outlineLvl w:val="1"/>
        <w:rPr>
          <w:rFonts w:hAnsi="宋体" w:cs="宋体"/>
          <w:b/>
          <w:bCs/>
          <w:highlight w:val="none"/>
        </w:rPr>
      </w:pPr>
      <w:r>
        <w:rPr>
          <w:rFonts w:hint="eastAsia" w:hAnsi="宋体" w:cs="宋体"/>
          <w:b/>
          <w:bCs/>
          <w:highlight w:val="none"/>
        </w:rPr>
        <w:t>（九）质疑和投诉</w:t>
      </w:r>
    </w:p>
    <w:p w14:paraId="145FEB32">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1.投标人认为招标文件、招标过程或中标结果使自己的合法权益受到损害的，应当在知道或者应知其权益受到损害之日起七个工作日内，以书面形式向采购人、招标方提出质疑。</w:t>
      </w:r>
      <w:r>
        <w:rPr>
          <w:rFonts w:hint="eastAsia" w:hAnsi="宋体" w:cs="宋体"/>
          <w:highlight w:val="none"/>
        </w:rPr>
        <w:t>投标人对招标采购单位的质疑答复不满意或者招标采购单位未在规定时间内作出答复的，可以在答复期满后十五个工作日内向同级采购监管部门投诉。</w:t>
      </w:r>
    </w:p>
    <w:p w14:paraId="082941E3">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2DB3F745">
      <w:pPr>
        <w:snapToGrid w:val="0"/>
        <w:spacing w:beforeLines="50" w:line="360" w:lineRule="auto"/>
        <w:ind w:firstLine="472" w:firstLineChars="196"/>
        <w:jc w:val="left"/>
        <w:outlineLvl w:val="1"/>
        <w:rPr>
          <w:rFonts w:ascii="宋体" w:hAnsi="宋体" w:cs="宋体"/>
          <w:b/>
          <w:sz w:val="24"/>
          <w:highlight w:val="none"/>
        </w:rPr>
      </w:pPr>
      <w:r>
        <w:rPr>
          <w:rFonts w:hint="eastAsia" w:ascii="宋体" w:hAnsi="宋体" w:cs="宋体"/>
          <w:b/>
          <w:sz w:val="24"/>
          <w:highlight w:val="none"/>
        </w:rPr>
        <w:t>（十）采购项目需要落实的政府采购政策</w:t>
      </w:r>
    </w:p>
    <w:p w14:paraId="1749D79C">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30C3BB8">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2.支持绿色发展</w:t>
      </w:r>
    </w:p>
    <w:p w14:paraId="0DEF52FF">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34872F5A">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2.2 修缮、装修类项目采购建材的，采购人应将绿色建筑和绿色建材性能、指标等作为实质性条件纳入采购文件和合同。</w:t>
      </w:r>
    </w:p>
    <w:p w14:paraId="3997124C">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2736884">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4A5D15C">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3.支持中小企业发展</w:t>
      </w:r>
    </w:p>
    <w:p w14:paraId="4C85FDDD">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49D74C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符合中小企业划分标准的个体工商户，在政府采购活动中视同中小企业。</w:t>
      </w:r>
    </w:p>
    <w:p w14:paraId="29D30F3E">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BE1A58E">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以联合体形式参加政府采购活动，联合体各方均为中小企业的，联合体视同中小企业。其中，联合体各方均为小微企业的，联合体视同小微企业。</w:t>
      </w:r>
    </w:p>
    <w:p w14:paraId="0B7FA016">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联合体或者大中型企业的报价给予4%-6%的扣除，用扣除后的价格参加评审。组成联合体或者接受分包的小微企业与联合体内其他企业、分包企业之间存在直接控股、管理关系的，不享受价格扣除优惠政策。</w:t>
      </w:r>
    </w:p>
    <w:p w14:paraId="1294C674">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3.4符合《关于促进残疾人就业政府采购政策的通知》（财库〔2017〕141号）规定的条件并提供《残疾人福利性单位声明函》（附件1）的残疾人福利性单位视同小型、微型企业；</w:t>
      </w:r>
    </w:p>
    <w:p w14:paraId="2C80CC69">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79BA7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3.6可享受中小企业扶持政策的投标人应按照采购文件格式要求提供《中小企业声明函》，投标人提供的《中小企业声明函》与实际情况不符的，不享受中小企业扶持政策。声明内容不实的，属于提供虚假材料谋取中标、成交的，依法承担法律责任。</w:t>
      </w:r>
    </w:p>
    <w:p w14:paraId="4DAF1479">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3.7中小企业享受扶持政策获得政府采购合同的，小微企业不得将合同分包给大中型企业，中型企业不得将合同分包给大型企业。</w:t>
      </w:r>
    </w:p>
    <w:p w14:paraId="423D587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4.支持创新发展</w:t>
      </w:r>
    </w:p>
    <w:p w14:paraId="5CF64509">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4.1采购人优先采购被认定为首台套产品和“制造精品”的自主创新产品。</w:t>
      </w:r>
    </w:p>
    <w:p w14:paraId="0A6CE157">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4.2对省级以上主管部门认定的首台套产品，自纳入《省推广应用指导目录》起三年内参加政府采购活动，视同已具备相应销售业绩，业绩分为满分。</w:t>
      </w:r>
    </w:p>
    <w:p w14:paraId="6BE0A845">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5.平等对待内外资企业和符合条件的破产重整企业</w:t>
      </w:r>
    </w:p>
    <w:p w14:paraId="1D0F9E71">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平等对待内外资企业和符合条件的破产重整企业，切实保障企业公平竞争，平等维护企业的合法利益。</w:t>
      </w:r>
    </w:p>
    <w:p w14:paraId="5E507512">
      <w:pPr>
        <w:pStyle w:val="13"/>
        <w:snapToGrid w:val="0"/>
        <w:spacing w:beforeLines="0" w:afterLines="0" w:line="360" w:lineRule="auto"/>
        <w:ind w:firstLine="482" w:firstLineChars="200"/>
        <w:rPr>
          <w:rFonts w:hAnsi="宋体" w:cs="宋体"/>
          <w:b/>
          <w:highlight w:val="none"/>
        </w:rPr>
      </w:pPr>
      <w:r>
        <w:rPr>
          <w:rFonts w:hint="eastAsia" w:hAnsi="宋体" w:cs="宋体"/>
          <w:b/>
          <w:highlight w:val="none"/>
        </w:rPr>
        <w:t>（十一）联合体投标（如适用）</w:t>
      </w:r>
    </w:p>
    <w:p w14:paraId="517AD9F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3CD310BD">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联合体中有同类资质的供应商按照联合体分工承担相同工作的，应当按照资质等级较低的供应商确定资质等级。</w:t>
      </w:r>
    </w:p>
    <w:p w14:paraId="1CFE305F">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以联合体形式参加投标的，联合体各方不得再单独参加或者与其他供应商另外组成联合体参加本项目的投标。</w:t>
      </w:r>
    </w:p>
    <w:p w14:paraId="44B0F8F5">
      <w:pPr>
        <w:pStyle w:val="13"/>
        <w:snapToGrid w:val="0"/>
        <w:spacing w:beforeLines="0" w:afterLines="0" w:line="360" w:lineRule="auto"/>
        <w:ind w:firstLine="482" w:firstLineChars="200"/>
        <w:rPr>
          <w:rFonts w:hAnsi="宋体" w:cs="宋体"/>
          <w:b/>
          <w:highlight w:val="none"/>
        </w:rPr>
      </w:pPr>
      <w:r>
        <w:rPr>
          <w:rFonts w:hint="eastAsia" w:hAnsi="宋体" w:cs="宋体"/>
          <w:b/>
          <w:highlight w:val="none"/>
        </w:rPr>
        <w:t>（十二）分包（如适用）</w:t>
      </w:r>
    </w:p>
    <w:p w14:paraId="565285FC">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供应商须知前附表规定允许分包的，供应商应当在投标文件载明分包的具体情况，应符合采购人在供应商须知前附表规定的分包内容、分包金额和接受分包的第三人资质要求等限制条件。</w:t>
      </w:r>
    </w:p>
    <w:p w14:paraId="048B311C">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二、招标文件</w:t>
      </w:r>
    </w:p>
    <w:p w14:paraId="0FE197C5">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（一）招标文件的构成。本招标文件由以下部分组成：</w:t>
      </w:r>
    </w:p>
    <w:p w14:paraId="318BA6FE">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1.招标公告</w:t>
      </w:r>
    </w:p>
    <w:p w14:paraId="09697BC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2.投标人须知</w:t>
      </w:r>
    </w:p>
    <w:p w14:paraId="36A4BB75">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3.招标需求</w:t>
      </w:r>
    </w:p>
    <w:p w14:paraId="29A95AF8">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4.评标办法及标准</w:t>
      </w:r>
    </w:p>
    <w:p w14:paraId="7950A41B">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5.合同主要条款</w:t>
      </w:r>
    </w:p>
    <w:p w14:paraId="2E2B4298">
      <w:pPr>
        <w:pStyle w:val="13"/>
        <w:snapToGrid w:val="0"/>
        <w:spacing w:beforeLines="0" w:afterLines="0" w:line="360" w:lineRule="auto"/>
        <w:ind w:firstLine="480" w:firstLineChars="200"/>
        <w:rPr>
          <w:rFonts w:hAnsi="宋体" w:cs="宋体"/>
          <w:bCs/>
          <w:highlight w:val="none"/>
        </w:rPr>
      </w:pPr>
      <w:r>
        <w:rPr>
          <w:rFonts w:hint="eastAsia" w:hAnsi="宋体" w:cs="宋体"/>
          <w:bCs/>
          <w:highlight w:val="none"/>
        </w:rPr>
        <w:t>6.投标文件格式</w:t>
      </w:r>
    </w:p>
    <w:p w14:paraId="6E08B0ED">
      <w:pPr>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7.本项目招标文件的澄清、答复、修改、补充的内容</w:t>
      </w:r>
    </w:p>
    <w:p w14:paraId="4AE4BDC7">
      <w:pPr>
        <w:snapToGrid w:val="0"/>
        <w:spacing w:beforeLines="50" w:line="360" w:lineRule="auto"/>
        <w:ind w:firstLine="472" w:firstLineChars="196"/>
        <w:jc w:val="left"/>
        <w:rPr>
          <w:rFonts w:ascii="宋体" w:hAnsi="宋体" w:cs="宋体"/>
          <w:b/>
          <w:sz w:val="24"/>
          <w:szCs w:val="20"/>
          <w:highlight w:val="none"/>
        </w:rPr>
      </w:pPr>
      <w:r>
        <w:rPr>
          <w:rFonts w:hint="eastAsia" w:ascii="宋体" w:hAnsi="宋体" w:cs="宋体"/>
          <w:b/>
          <w:sz w:val="24"/>
          <w:highlight w:val="none"/>
        </w:rPr>
        <w:t>（二）投标人的风险</w:t>
      </w:r>
    </w:p>
    <w:p w14:paraId="3C9AF81C">
      <w:pPr>
        <w:pStyle w:val="18"/>
        <w:spacing w:line="360" w:lineRule="auto"/>
        <w:rPr>
          <w:rFonts w:ascii="宋体" w:eastAsia="宋体" w:cs="宋体"/>
          <w:color w:val="auto"/>
          <w:szCs w:val="20"/>
          <w:highlight w:val="none"/>
        </w:rPr>
      </w:pPr>
      <w:r>
        <w:rPr>
          <w:rFonts w:hint="eastAsia" w:ascii="宋体" w:eastAsia="宋体" w:cs="宋体"/>
          <w:color w:val="auto"/>
          <w:highlight w:val="none"/>
        </w:rPr>
        <w:t>投标人没有按照招标文件要求提供全部资料，或者投标人没有对招标文件在各方面作出实质性响应是投标人的风险，并可能导致其投标被拒绝。</w:t>
      </w:r>
    </w:p>
    <w:p w14:paraId="47546FB7">
      <w:pPr>
        <w:snapToGrid w:val="0"/>
        <w:spacing w:beforeLines="50" w:line="360" w:lineRule="auto"/>
        <w:ind w:firstLine="472" w:firstLineChars="196"/>
        <w:jc w:val="left"/>
        <w:rPr>
          <w:rFonts w:ascii="宋体" w:hAnsi="宋体" w:cs="宋体"/>
          <w:b/>
          <w:sz w:val="24"/>
          <w:highlight w:val="none"/>
        </w:rPr>
      </w:pPr>
      <w:r>
        <w:rPr>
          <w:rFonts w:hint="eastAsia" w:ascii="宋体" w:hAnsi="宋体" w:cs="宋体"/>
          <w:b/>
          <w:sz w:val="24"/>
          <w:highlight w:val="none"/>
        </w:rPr>
        <w:t>（三）招标文件的澄清与修改</w:t>
      </w:r>
    </w:p>
    <w:p w14:paraId="61483D00">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1.</w:t>
      </w:r>
      <w:r>
        <w:rPr>
          <w:rFonts w:hint="eastAsia" w:hAnsi="宋体" w:cs="宋体"/>
          <w:bCs/>
          <w:highlight w:val="none"/>
        </w:rPr>
        <w:t>投标人应认真阅读本招标文件，发现其中有误或有不合理要求的，投标人必须在</w:t>
      </w:r>
      <w:r>
        <w:rPr>
          <w:rFonts w:hint="eastAsia" w:hAnsi="宋体" w:cs="宋体"/>
          <w:b/>
          <w:bCs/>
          <w:highlight w:val="none"/>
          <w:u w:val="single"/>
          <w:shd w:val="clear" w:color="auto" w:fill="FFFFFF"/>
        </w:rPr>
        <w:t>质疑期限届满之日</w:t>
      </w:r>
      <w:r>
        <w:rPr>
          <w:rFonts w:hint="eastAsia" w:hAnsi="宋体" w:cs="宋体"/>
          <w:bCs/>
          <w:highlight w:val="none"/>
        </w:rPr>
        <w:t>前以书面形式要求招标采购单位澄清</w:t>
      </w:r>
      <w:r>
        <w:rPr>
          <w:rFonts w:hint="eastAsia" w:hAnsi="宋体" w:cs="宋体"/>
          <w:highlight w:val="none"/>
        </w:rPr>
        <w:t>。招标方对已发出的招标文件进行必要澄清、答复、修改或补充的，将在招标文件要求提交投标文件截止时间五日前，在财政部门指定的政府采购信息发布媒体上以书面形式发布更正公告，不另作通知。</w:t>
      </w:r>
    </w:p>
    <w:p w14:paraId="2FE98F02">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2.招标方必须以书面形式答复投标人要求澄清的问题，并将不包含问题来源的答复书面通知所有购买招标文件的投标人，除书面答复以外的其他澄清方式及澄清内容均无效。</w:t>
      </w:r>
    </w:p>
    <w:p w14:paraId="4463B5F0">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3.招标文件澄清、答复、修改、补充的内容为招标文件的组成部分。当招标文件与招标文件的答复、澄清、修改、补充通知就同一内容的表述不一致时，以最后发出的书面文件为准。</w:t>
      </w:r>
    </w:p>
    <w:p w14:paraId="63E936B8">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4.招标文件的澄清、答复、修改或补充都应该通过本招标机构以法定形式发布，采购人非通过本机构，不得擅自澄清、答复、修改或补充招标文件。</w:t>
      </w:r>
    </w:p>
    <w:p w14:paraId="5D3A489F">
      <w:pPr>
        <w:pStyle w:val="13"/>
        <w:snapToGrid w:val="0"/>
        <w:spacing w:beforeLines="0" w:afterLines="0" w:line="360" w:lineRule="auto"/>
        <w:ind w:firstLine="551" w:firstLineChars="196"/>
        <w:outlineLvl w:val="1"/>
        <w:rPr>
          <w:rFonts w:hAnsi="宋体" w:cs="宋体"/>
          <w:b/>
          <w:sz w:val="28"/>
          <w:szCs w:val="28"/>
          <w:highlight w:val="none"/>
        </w:rPr>
      </w:pPr>
      <w:r>
        <w:rPr>
          <w:rFonts w:hint="eastAsia" w:hAnsi="宋体" w:cs="宋体"/>
          <w:b/>
          <w:sz w:val="28"/>
          <w:szCs w:val="28"/>
          <w:highlight w:val="none"/>
        </w:rPr>
        <w:t>三、投标文件的编制</w:t>
      </w:r>
    </w:p>
    <w:p w14:paraId="32FE8C92">
      <w:pPr>
        <w:snapToGrid w:val="0"/>
        <w:spacing w:line="360" w:lineRule="auto"/>
        <w:ind w:firstLine="472" w:firstLineChars="196"/>
        <w:jc w:val="left"/>
        <w:outlineLvl w:val="0"/>
        <w:rPr>
          <w:rFonts w:ascii="宋体" w:hAnsi="宋体" w:cs="宋体"/>
          <w:b/>
          <w:sz w:val="24"/>
          <w:szCs w:val="20"/>
          <w:highlight w:val="none"/>
        </w:rPr>
      </w:pPr>
      <w:r>
        <w:rPr>
          <w:rFonts w:hint="eastAsia" w:ascii="宋体" w:hAnsi="宋体" w:cs="宋体"/>
          <w:b/>
          <w:sz w:val="24"/>
          <w:highlight w:val="none"/>
        </w:rPr>
        <w:t>（一）投标文件的组成</w:t>
      </w:r>
    </w:p>
    <w:p w14:paraId="3E635527">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投标文件由资格文件、报价文件、商务技术文件三部份组成。</w:t>
      </w:r>
    </w:p>
    <w:p w14:paraId="1B477C98">
      <w:pPr>
        <w:numPr>
          <w:ilvl w:val="0"/>
          <w:numId w:val="4"/>
        </w:numPr>
        <w:snapToGrid w:val="0"/>
        <w:spacing w:beforeLines="50" w:line="360" w:lineRule="auto"/>
        <w:ind w:firstLine="472" w:firstLineChars="196"/>
        <w:jc w:val="left"/>
        <w:rPr>
          <w:rFonts w:ascii="宋体" w:hAnsi="宋体" w:cs="宋体"/>
          <w:b/>
          <w:bCs/>
          <w:sz w:val="24"/>
          <w:highlight w:val="none"/>
        </w:rPr>
      </w:pPr>
      <w:r>
        <w:rPr>
          <w:rFonts w:hint="eastAsia" w:ascii="宋体" w:hAnsi="宋体" w:cs="宋体"/>
          <w:b/>
          <w:bCs/>
          <w:sz w:val="24"/>
          <w:highlight w:val="none"/>
        </w:rPr>
        <w:t>资格文件：</w:t>
      </w:r>
    </w:p>
    <w:p w14:paraId="2CB2A418">
      <w:pPr>
        <w:numPr>
          <w:ilvl w:val="0"/>
          <w:numId w:val="5"/>
        </w:numPr>
        <w:snapToGrid w:val="0"/>
        <w:spacing w:line="360" w:lineRule="auto"/>
        <w:ind w:firstLine="470" w:firstLineChars="196"/>
        <w:jc w:val="left"/>
        <w:rPr>
          <w:rFonts w:ascii="宋体" w:hAnsi="宋体" w:cs="宋体"/>
          <w:sz w:val="24"/>
          <w:highlight w:val="none"/>
        </w:rPr>
      </w:pPr>
      <w:r>
        <w:rPr>
          <w:rFonts w:hint="eastAsia" w:ascii="宋体" w:hAnsi="宋体" w:cs="宋体"/>
          <w:bCs/>
          <w:sz w:val="24"/>
          <w:highlight w:val="none"/>
        </w:rPr>
        <w:t>有效期内营业执照（</w:t>
      </w:r>
      <w:r>
        <w:rPr>
          <w:rFonts w:hint="eastAsia" w:ascii="宋体" w:hAnsi="宋体"/>
          <w:color w:val="000000"/>
          <w:sz w:val="24"/>
          <w:highlight w:val="none"/>
        </w:rPr>
        <w:t>或事业单位法人证书）</w:t>
      </w:r>
      <w:r>
        <w:rPr>
          <w:rFonts w:hint="eastAsia" w:ascii="宋体" w:hAnsi="宋体" w:cs="宋体"/>
          <w:sz w:val="24"/>
          <w:highlight w:val="none"/>
        </w:rPr>
        <w:t>；</w:t>
      </w:r>
    </w:p>
    <w:p w14:paraId="15B74269">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符合参加政府采购活动应当具备的一般条件的承诺函</w:t>
      </w:r>
      <w:r>
        <w:rPr>
          <w:rFonts w:hint="eastAsia" w:ascii="宋体" w:hAnsi="宋体" w:cs="宋体"/>
          <w:sz w:val="24"/>
          <w:highlight w:val="none"/>
        </w:rPr>
        <w:t>（格式见附件）；</w:t>
      </w:r>
    </w:p>
    <w:p w14:paraId="2B7A7543">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（3）投标声明书(格式见附件)；</w:t>
      </w:r>
    </w:p>
    <w:p w14:paraId="41B21F8B">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（4）截至公告发布日止，相关主体在“信用中国”网站(www.creditchina.gov.cn)及中国政府采购网(www.ccgp.gov.cn)是否有失信行为的查询结果截图；</w:t>
      </w:r>
    </w:p>
    <w:p w14:paraId="34B9B324">
      <w:pPr>
        <w:snapToGrid w:val="0"/>
        <w:spacing w:line="360" w:lineRule="auto"/>
        <w:ind w:firstLine="470" w:firstLineChars="196"/>
        <w:jc w:val="left"/>
        <w:rPr>
          <w:rFonts w:ascii="宋体" w:hAnsi="宋体" w:cs="宋体"/>
          <w:bCs/>
          <w:color w:val="000000"/>
          <w:spacing w:val="-6"/>
          <w:sz w:val="24"/>
          <w:highlight w:val="none"/>
        </w:rPr>
      </w:pPr>
      <w:r>
        <w:rPr>
          <w:rFonts w:hint="eastAsia" w:ascii="宋体" w:hAnsi="宋体" w:cs="宋体"/>
          <w:sz w:val="24"/>
          <w:highlight w:val="none"/>
        </w:rPr>
        <w:t>（5）法定代表人身份证明及本人身份证复印件</w:t>
      </w:r>
      <w:r>
        <w:rPr>
          <w:rFonts w:hint="eastAsia" w:ascii="宋体" w:hAnsi="宋体" w:cs="宋体"/>
          <w:bCs/>
          <w:color w:val="000000"/>
          <w:spacing w:val="-6"/>
          <w:sz w:val="24"/>
          <w:highlight w:val="none"/>
        </w:rPr>
        <w:t>（格式见附件）；</w:t>
      </w:r>
    </w:p>
    <w:p w14:paraId="2E613A23">
      <w:pPr>
        <w:snapToGrid w:val="0"/>
        <w:spacing w:line="360" w:lineRule="auto"/>
        <w:ind w:firstLine="446" w:firstLineChars="196"/>
        <w:jc w:val="left"/>
        <w:rPr>
          <w:rFonts w:ascii="宋体" w:hAnsi="宋体" w:cs="宋体"/>
          <w:sz w:val="24"/>
          <w:highlight w:val="none"/>
        </w:rPr>
      </w:pPr>
      <w:r>
        <w:rPr>
          <w:rFonts w:hint="eastAsia" w:ascii="宋体" w:hAnsi="宋体" w:cs="宋体"/>
          <w:bCs/>
          <w:color w:val="000000"/>
          <w:spacing w:val="-6"/>
          <w:sz w:val="24"/>
          <w:highlight w:val="none"/>
        </w:rPr>
        <w:t>（6）</w:t>
      </w:r>
      <w:r>
        <w:rPr>
          <w:rFonts w:hint="eastAsia" w:ascii="宋体" w:hAnsi="宋体" w:cs="宋体"/>
          <w:sz w:val="24"/>
          <w:highlight w:val="none"/>
        </w:rPr>
        <w:t>法定代表人的授权委托书及委托代理人身份证复印件</w:t>
      </w:r>
      <w:r>
        <w:rPr>
          <w:rFonts w:hint="eastAsia" w:ascii="宋体" w:hAnsi="宋体" w:cs="宋体"/>
          <w:bCs/>
          <w:color w:val="000000"/>
          <w:spacing w:val="-6"/>
          <w:sz w:val="24"/>
          <w:highlight w:val="none"/>
        </w:rPr>
        <w:t>（格式见附件）（委托人参加时提供）</w:t>
      </w:r>
      <w:r>
        <w:rPr>
          <w:rFonts w:hint="eastAsia" w:ascii="宋体" w:hAnsi="宋体" w:cs="宋体"/>
          <w:sz w:val="24"/>
          <w:highlight w:val="none"/>
        </w:rPr>
        <w:t>；</w:t>
      </w:r>
    </w:p>
    <w:p w14:paraId="76C4BAAE">
      <w:pPr>
        <w:snapToGrid w:val="0"/>
        <w:spacing w:line="360" w:lineRule="auto"/>
        <w:ind w:firstLine="470" w:firstLineChars="196"/>
        <w:jc w:val="left"/>
        <w:rPr>
          <w:rFonts w:ascii="宋体" w:hAnsi="宋体" w:cs="宋体"/>
          <w:bCs/>
          <w:color w:val="000000"/>
          <w:spacing w:val="-6"/>
          <w:sz w:val="24"/>
          <w:highlight w:val="none"/>
        </w:rPr>
      </w:pPr>
      <w:r>
        <w:rPr>
          <w:rFonts w:hint="eastAsia" w:ascii="宋体" w:hAnsi="宋体" w:cs="宋体"/>
          <w:sz w:val="24"/>
          <w:highlight w:val="none"/>
        </w:rPr>
        <w:t>（7）</w:t>
      </w:r>
      <w:r>
        <w:rPr>
          <w:rFonts w:hint="eastAsia" w:ascii="宋体" w:hAnsi="宋体" w:cs="宋体"/>
          <w:bCs/>
          <w:sz w:val="24"/>
          <w:highlight w:val="none"/>
          <w:lang w:val="zh-CN"/>
        </w:rPr>
        <w:t>廉政承诺书</w:t>
      </w:r>
      <w:r>
        <w:rPr>
          <w:rFonts w:hint="eastAsia" w:ascii="宋体" w:hAnsi="宋体" w:cs="宋体"/>
          <w:bCs/>
          <w:color w:val="000000"/>
          <w:spacing w:val="-6"/>
          <w:sz w:val="24"/>
          <w:highlight w:val="none"/>
        </w:rPr>
        <w:t>（格式见附件）；</w:t>
      </w:r>
    </w:p>
    <w:p w14:paraId="28B11510">
      <w:pPr>
        <w:snapToGrid w:val="0"/>
        <w:spacing w:line="360" w:lineRule="auto"/>
        <w:ind w:firstLine="470" w:firstLineChars="196"/>
        <w:jc w:val="left"/>
        <w:rPr>
          <w:rFonts w:ascii="宋体" w:hAnsi="宋体" w:cs="宋体"/>
          <w:sz w:val="24"/>
          <w:highlight w:val="none"/>
        </w:rPr>
      </w:pPr>
      <w:r>
        <w:rPr>
          <w:rFonts w:hint="eastAsia" w:ascii="宋体" w:hAnsi="宋体" w:cs="宋体"/>
          <w:sz w:val="24"/>
          <w:highlight w:val="none"/>
        </w:rPr>
        <w:t>（8）政府采购供应商诚信承诺书（格式见附件）；</w:t>
      </w:r>
    </w:p>
    <w:p w14:paraId="3CB0CDAC">
      <w:pPr>
        <w:snapToGrid w:val="0"/>
        <w:spacing w:line="360" w:lineRule="auto"/>
        <w:ind w:firstLine="470" w:firstLineChars="196"/>
        <w:jc w:val="left"/>
        <w:rPr>
          <w:rFonts w:hint="eastAsia" w:ascii="宋体" w:hAnsi="宋体" w:cs="宋体"/>
          <w:sz w:val="24"/>
          <w:highlight w:val="none"/>
          <w:lang w:val="zh-CN" w:eastAsia="zh-CN"/>
        </w:rPr>
      </w:pPr>
      <w:r>
        <w:rPr>
          <w:rFonts w:hint="eastAsia" w:ascii="宋体" w:hAnsi="宋体" w:cs="宋体"/>
          <w:sz w:val="24"/>
          <w:highlight w:val="none"/>
        </w:rPr>
        <w:t>（9）</w:t>
      </w:r>
      <w:r>
        <w:rPr>
          <w:rFonts w:hint="eastAsia" w:ascii="宋体" w:hAnsi="宋体" w:cs="宋体"/>
          <w:sz w:val="24"/>
          <w:highlight w:val="none"/>
          <w:lang w:val="zh-CN"/>
        </w:rPr>
        <w:t>与其他供应商无利害关系的声明函</w:t>
      </w:r>
      <w:r>
        <w:rPr>
          <w:rFonts w:hint="eastAsia" w:ascii="宋体" w:hAnsi="宋体" w:cs="宋体"/>
          <w:sz w:val="24"/>
          <w:highlight w:val="none"/>
        </w:rPr>
        <w:t>（格式见附件）；</w:t>
      </w:r>
    </w:p>
    <w:p w14:paraId="0A605445">
      <w:pPr>
        <w:snapToGrid w:val="0"/>
        <w:spacing w:line="360" w:lineRule="auto"/>
        <w:ind w:firstLine="472" w:firstLineChars="196"/>
        <w:jc w:val="left"/>
        <w:rPr>
          <w:rFonts w:ascii="宋体" w:hAnsi="宋体" w:cs="宋体"/>
          <w:b/>
          <w:bCs/>
          <w:sz w:val="24"/>
          <w:highlight w:val="none"/>
        </w:rPr>
      </w:pPr>
      <w:r>
        <w:rPr>
          <w:rFonts w:hint="eastAsia" w:ascii="宋体" w:hAnsi="宋体" w:cs="宋体"/>
          <w:b/>
          <w:bCs/>
          <w:sz w:val="24"/>
          <w:highlight w:val="none"/>
        </w:rPr>
        <w:t>2.商务技术文件（按评分排序提供资料）：</w:t>
      </w:r>
    </w:p>
    <w:p w14:paraId="5B5BCC45">
      <w:pPr>
        <w:snapToGrid w:val="0"/>
        <w:spacing w:line="360" w:lineRule="auto"/>
        <w:ind w:firstLine="470" w:firstLineChars="196"/>
        <w:jc w:val="left"/>
        <w:rPr>
          <w:rFonts w:hint="default" w:ascii="宋体" w:hAnsi="宋体" w:eastAsia="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lang w:val="en-US" w:eastAsia="zh-CN"/>
        </w:rPr>
        <w:t>偏离表；</w:t>
      </w:r>
    </w:p>
    <w:p w14:paraId="379F6F99">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）类似业绩；</w:t>
      </w:r>
    </w:p>
    <w:p w14:paraId="4BA2ED13">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）公司风险评级；</w:t>
      </w:r>
    </w:p>
    <w:p w14:paraId="6347B611">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）诚信情况；</w:t>
      </w:r>
    </w:p>
    <w:p w14:paraId="0078EE7A">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）服务网点；</w:t>
      </w:r>
    </w:p>
    <w:p w14:paraId="25EB950B">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6</w:t>
      </w:r>
      <w:r>
        <w:rPr>
          <w:rFonts w:hint="eastAsia" w:ascii="宋体" w:hAnsi="宋体" w:cs="宋体"/>
          <w:sz w:val="24"/>
          <w:highlight w:val="none"/>
          <w:lang w:eastAsia="zh-CN"/>
        </w:rPr>
        <w:t>）快速理赔直付系统；</w:t>
      </w:r>
    </w:p>
    <w:p w14:paraId="0E8FC657">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7</w:t>
      </w:r>
      <w:r>
        <w:rPr>
          <w:rFonts w:hint="eastAsia" w:ascii="宋体" w:hAnsi="宋体" w:cs="宋体"/>
          <w:sz w:val="24"/>
          <w:highlight w:val="none"/>
          <w:lang w:eastAsia="zh-CN"/>
        </w:rPr>
        <w:t>）特点、难点分析；</w:t>
      </w:r>
    </w:p>
    <w:p w14:paraId="775FA527">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8</w:t>
      </w:r>
      <w:r>
        <w:rPr>
          <w:rFonts w:hint="eastAsia" w:ascii="宋体" w:hAnsi="宋体" w:cs="宋体"/>
          <w:sz w:val="24"/>
          <w:highlight w:val="none"/>
          <w:lang w:eastAsia="zh-CN"/>
        </w:rPr>
        <w:t>）政策宣传方案；</w:t>
      </w:r>
    </w:p>
    <w:p w14:paraId="55A033C4">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9</w:t>
      </w:r>
      <w:r>
        <w:rPr>
          <w:rFonts w:hint="eastAsia" w:ascii="宋体" w:hAnsi="宋体" w:cs="宋体"/>
          <w:sz w:val="24"/>
          <w:highlight w:val="none"/>
          <w:lang w:eastAsia="zh-CN"/>
        </w:rPr>
        <w:t>）承保服务方案；</w:t>
      </w:r>
    </w:p>
    <w:p w14:paraId="13626EA1">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10</w:t>
      </w:r>
      <w:r>
        <w:rPr>
          <w:rFonts w:hint="eastAsia" w:ascii="宋体" w:hAnsi="宋体" w:cs="宋体"/>
          <w:sz w:val="24"/>
          <w:highlight w:val="none"/>
          <w:lang w:eastAsia="zh-CN"/>
        </w:rPr>
        <w:t>）理赔服务方案；</w:t>
      </w:r>
    </w:p>
    <w:p w14:paraId="42B88EBB">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11</w:t>
      </w:r>
      <w:r>
        <w:rPr>
          <w:rFonts w:hint="eastAsia" w:ascii="宋体" w:hAnsi="宋体" w:cs="宋体"/>
          <w:sz w:val="24"/>
          <w:highlight w:val="none"/>
          <w:lang w:eastAsia="zh-CN"/>
        </w:rPr>
        <w:t>）纠纷处理方案；</w:t>
      </w:r>
    </w:p>
    <w:p w14:paraId="21379FCF">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12</w:t>
      </w:r>
      <w:r>
        <w:rPr>
          <w:rFonts w:hint="eastAsia" w:ascii="宋体" w:hAnsi="宋体" w:cs="宋体"/>
          <w:sz w:val="24"/>
          <w:highlight w:val="none"/>
          <w:lang w:eastAsia="zh-CN"/>
        </w:rPr>
        <w:t>）其它增值服务方案；</w:t>
      </w:r>
    </w:p>
    <w:p w14:paraId="359A229D">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13</w:t>
      </w:r>
      <w:r>
        <w:rPr>
          <w:rFonts w:hint="eastAsia" w:ascii="宋体" w:hAnsi="宋体" w:cs="宋体"/>
          <w:sz w:val="24"/>
          <w:highlight w:val="none"/>
          <w:lang w:eastAsia="zh-CN"/>
        </w:rPr>
        <w:t>）服务系统；</w:t>
      </w:r>
    </w:p>
    <w:p w14:paraId="5F055F1E">
      <w:pPr>
        <w:snapToGrid w:val="0"/>
        <w:spacing w:line="360" w:lineRule="auto"/>
        <w:ind w:firstLine="470" w:firstLineChars="196"/>
        <w:jc w:val="left"/>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14</w:t>
      </w:r>
      <w:r>
        <w:rPr>
          <w:rFonts w:hint="eastAsia" w:ascii="宋体" w:hAnsi="宋体" w:cs="宋体"/>
          <w:sz w:val="24"/>
          <w:highlight w:val="none"/>
          <w:lang w:eastAsia="zh-CN"/>
        </w:rPr>
        <w:t>）合理化建议；</w:t>
      </w:r>
    </w:p>
    <w:p w14:paraId="08944F46">
      <w:pPr>
        <w:snapToGrid w:val="0"/>
        <w:spacing w:line="360" w:lineRule="auto"/>
        <w:ind w:firstLine="470" w:firstLineChars="196"/>
        <w:jc w:val="left"/>
        <w:rPr>
          <w:rFonts w:ascii="宋体" w:hAnsi="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15</w:t>
      </w:r>
      <w:r>
        <w:rPr>
          <w:rFonts w:hint="eastAsia" w:ascii="宋体" w:hAnsi="宋体" w:eastAsia="宋体" w:cs="宋体"/>
          <w:sz w:val="24"/>
          <w:highlight w:val="none"/>
        </w:rPr>
        <w:t>）</w:t>
      </w:r>
      <w:r>
        <w:rPr>
          <w:rFonts w:hint="eastAsia" w:ascii="宋体" w:hAnsi="宋体" w:cs="宋体"/>
          <w:sz w:val="24"/>
          <w:highlight w:val="none"/>
        </w:rPr>
        <w:t>招标文件要求提供的其他资料及投标人认为需提供的资料（格式自拟）。</w:t>
      </w:r>
    </w:p>
    <w:p w14:paraId="3ECE55EF">
      <w:pPr>
        <w:snapToGrid w:val="0"/>
        <w:spacing w:line="360" w:lineRule="auto"/>
        <w:ind w:firstLine="482" w:firstLineChars="200"/>
        <w:jc w:val="left"/>
        <w:rPr>
          <w:rFonts w:ascii="宋体" w:hAnsi="宋体" w:cs="宋体"/>
          <w:b/>
          <w:sz w:val="24"/>
          <w:szCs w:val="20"/>
          <w:highlight w:val="none"/>
        </w:rPr>
      </w:pPr>
      <w:r>
        <w:rPr>
          <w:rFonts w:hint="eastAsia" w:ascii="宋体" w:hAnsi="宋体" w:cs="宋体"/>
          <w:b/>
          <w:sz w:val="24"/>
          <w:highlight w:val="none"/>
        </w:rPr>
        <w:t>3.报价文件：</w:t>
      </w:r>
    </w:p>
    <w:p w14:paraId="5AD2DACD">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（1）投标函（格式见附件）；</w:t>
      </w:r>
    </w:p>
    <w:p w14:paraId="25689ABF">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（2）开标一览表（格式见附件）；</w:t>
      </w:r>
    </w:p>
    <w:p w14:paraId="1976BA61">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（3）投标报价明细表（格式见附件）；</w:t>
      </w:r>
    </w:p>
    <w:p w14:paraId="570D89B0">
      <w:pPr>
        <w:snapToGrid w:val="0"/>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中小企业声明函》（符合小微企业相关政策的投标人提供）；监狱或戒毒企业参加投标时应提供监狱或戒毒企业声明函、《产品适用监狱和戒毒企业政策情况表》；残疾人福利性单位应提供残疾人福利性单位声明函、《产品适用残疾人福利性单位政策情况表》（以上符合相关优惠政策的投标人提供）（格式见附件）</w:t>
      </w:r>
    </w:p>
    <w:p w14:paraId="6B4C6185">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）投标人针对报价需要说明的其他文件和说明（不含报价）。</w:t>
      </w:r>
    </w:p>
    <w:p w14:paraId="30E3AD44">
      <w:pPr>
        <w:snapToGrid w:val="0"/>
        <w:spacing w:beforeLines="50" w:line="360" w:lineRule="auto"/>
        <w:ind w:firstLine="472" w:firstLineChars="196"/>
        <w:jc w:val="left"/>
        <w:outlineLvl w:val="0"/>
        <w:rPr>
          <w:rFonts w:ascii="宋体" w:hAnsi="宋体" w:cs="宋体"/>
          <w:b/>
          <w:sz w:val="24"/>
          <w:highlight w:val="none"/>
        </w:rPr>
      </w:pPr>
      <w:r>
        <w:rPr>
          <w:rFonts w:hint="eastAsia" w:ascii="宋体" w:hAnsi="宋体" w:cs="宋体"/>
          <w:b/>
          <w:sz w:val="24"/>
          <w:highlight w:val="none"/>
        </w:rPr>
        <w:t>（二）投标文件的语言及计量</w:t>
      </w:r>
    </w:p>
    <w:p w14:paraId="739B4BB4">
      <w:pPr>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4B0419D0">
      <w:pPr>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2.投标计量单位，应采用中华人民共和国法定计量单位（货币单位：人民币元），否则视同未响应。</w:t>
      </w:r>
    </w:p>
    <w:p w14:paraId="1DD265CE">
      <w:pPr>
        <w:snapToGrid w:val="0"/>
        <w:spacing w:beforeLines="50" w:afterLines="50" w:line="360" w:lineRule="auto"/>
        <w:ind w:firstLine="472" w:firstLineChars="196"/>
        <w:jc w:val="left"/>
        <w:outlineLvl w:val="0"/>
        <w:rPr>
          <w:rFonts w:ascii="宋体" w:hAnsi="宋体" w:cs="宋体"/>
          <w:b/>
          <w:sz w:val="24"/>
          <w:szCs w:val="20"/>
          <w:highlight w:val="none"/>
        </w:rPr>
      </w:pPr>
      <w:r>
        <w:rPr>
          <w:rFonts w:hint="eastAsia" w:ascii="宋体" w:hAnsi="宋体" w:cs="宋体"/>
          <w:b/>
          <w:sz w:val="24"/>
          <w:highlight w:val="none"/>
        </w:rPr>
        <w:t>（三）投标报价</w:t>
      </w:r>
    </w:p>
    <w:p w14:paraId="11EF303B">
      <w:pPr>
        <w:pStyle w:val="13"/>
        <w:snapToGrid w:val="0"/>
        <w:spacing w:beforeLines="0" w:after="120" w:line="360" w:lineRule="auto"/>
        <w:ind w:firstLine="480" w:firstLineChars="200"/>
        <w:jc w:val="left"/>
        <w:rPr>
          <w:rFonts w:hAnsi="宋体" w:cs="宋体"/>
          <w:highlight w:val="none"/>
        </w:rPr>
      </w:pPr>
      <w:r>
        <w:rPr>
          <w:rFonts w:hint="eastAsia" w:hAnsi="宋体" w:cs="宋体"/>
          <w:highlight w:val="none"/>
        </w:rPr>
        <w:t>1.投标报价应按招标文件中相关附表格式填写。</w:t>
      </w:r>
    </w:p>
    <w:p w14:paraId="1A8C38B6">
      <w:pPr>
        <w:pStyle w:val="13"/>
        <w:snapToGrid w:val="0"/>
        <w:spacing w:beforeLines="0" w:afterLines="0" w:line="360" w:lineRule="auto"/>
        <w:ind w:firstLine="480" w:firstLineChars="200"/>
        <w:jc w:val="left"/>
        <w:rPr>
          <w:rFonts w:hAnsi="宋体" w:cs="宋体"/>
          <w:highlight w:val="none"/>
        </w:rPr>
      </w:pPr>
      <w:r>
        <w:rPr>
          <w:rFonts w:hint="eastAsia" w:hAnsi="宋体" w:cs="宋体"/>
          <w:highlight w:val="none"/>
        </w:rPr>
        <w:t>2.投标报价是履行合同的最终价格，包括但不限于人工费、车辆费用、办公费用、工作过程的修改、提供深化整合和优化的技术服务费用、项目咨询费、专家评审论证费及与项目有关的专家评议、评审费用、文本制作费用、后期有关本项目的服务咨询、保险费、税金等的政策性文件规定及合同包含的所有风险、责任等各项全部费用。供应商应根据自身实际报价时予以考虑，如有漏项，视同已包含在其它项目中，价格不作调整，成交后不允许擅自改变服务内容、质量标准、期限和追加项目费用。</w:t>
      </w:r>
    </w:p>
    <w:p w14:paraId="1F8C2B63">
      <w:pPr>
        <w:tabs>
          <w:tab w:val="left" w:pos="525"/>
        </w:tabs>
        <w:snapToGrid w:val="0"/>
        <w:spacing w:line="360" w:lineRule="auto"/>
        <w:ind w:firstLine="480" w:firstLineChars="200"/>
        <w:jc w:val="left"/>
        <w:rPr>
          <w:rFonts w:ascii="宋体" w:hAnsi="宋体" w:cs="宋体"/>
          <w:sz w:val="24"/>
          <w:szCs w:val="20"/>
          <w:highlight w:val="none"/>
        </w:rPr>
      </w:pPr>
      <w:r>
        <w:rPr>
          <w:rFonts w:hint="eastAsia" w:ascii="宋体" w:hAnsi="宋体" w:cs="宋体"/>
          <w:sz w:val="24"/>
          <w:highlight w:val="none"/>
        </w:rPr>
        <w:t>3.投标文件只允许有一个报价，有选择的或有条件的报价将不予接受。</w:t>
      </w:r>
    </w:p>
    <w:p w14:paraId="3B08C7E3">
      <w:pPr>
        <w:pStyle w:val="13"/>
        <w:snapToGrid w:val="0"/>
        <w:spacing w:beforeLines="0" w:after="120" w:line="360" w:lineRule="auto"/>
        <w:ind w:firstLine="482" w:firstLineChars="200"/>
        <w:jc w:val="left"/>
        <w:rPr>
          <w:rFonts w:hAnsi="宋体" w:cs="宋体"/>
          <w:b/>
          <w:bCs/>
          <w:szCs w:val="21"/>
          <w:highlight w:val="none"/>
        </w:rPr>
      </w:pPr>
      <w:bookmarkStart w:id="2" w:name="_GoBack"/>
      <w:r>
        <w:rPr>
          <w:rFonts w:hint="eastAsia" w:hAnsi="宋体" w:cs="宋体"/>
          <w:b/>
          <w:bCs/>
          <w:szCs w:val="21"/>
          <w:highlight w:val="none"/>
        </w:rPr>
        <w:t>（四）投标文件的有效期</w:t>
      </w:r>
    </w:p>
    <w:bookmarkEnd w:id="2"/>
    <w:p w14:paraId="08F9478A">
      <w:pPr>
        <w:pStyle w:val="13"/>
        <w:snapToGrid w:val="0"/>
        <w:spacing w:beforeLines="0" w:after="120" w:line="360" w:lineRule="auto"/>
        <w:ind w:firstLine="480" w:firstLineChars="200"/>
        <w:jc w:val="left"/>
        <w:rPr>
          <w:rFonts w:hAnsi="宋体" w:cs="宋体"/>
          <w:szCs w:val="21"/>
          <w:highlight w:val="none"/>
        </w:rPr>
      </w:pPr>
      <w:r>
        <w:rPr>
          <w:rFonts w:hint="eastAsia" w:hAnsi="宋体" w:cs="宋体"/>
          <w:szCs w:val="21"/>
          <w:highlight w:val="none"/>
        </w:rPr>
        <w:t>1.自投标截止日起90天投标文件应保持有效。有效期不足的投标文件将被拒绝。</w:t>
      </w:r>
    </w:p>
    <w:p w14:paraId="25B23774">
      <w:pPr>
        <w:pStyle w:val="13"/>
        <w:snapToGrid w:val="0"/>
        <w:spacing w:beforeLines="0" w:after="120" w:line="360" w:lineRule="auto"/>
        <w:ind w:firstLine="480" w:firstLineChars="200"/>
        <w:jc w:val="left"/>
        <w:rPr>
          <w:rFonts w:hAnsi="宋体" w:cs="宋体"/>
          <w:szCs w:val="21"/>
          <w:highlight w:val="none"/>
        </w:rPr>
      </w:pPr>
      <w:r>
        <w:rPr>
          <w:rFonts w:hint="eastAsia" w:hAnsi="宋体" w:cs="宋体"/>
          <w:szCs w:val="21"/>
          <w:highlight w:val="none"/>
        </w:rPr>
        <w:t>在特殊情况下，招标人可与投标人协商延长投标书的有效期，这种要求和答复均以书面形式进行。</w:t>
      </w:r>
    </w:p>
    <w:p w14:paraId="3336D3DB">
      <w:pPr>
        <w:pStyle w:val="13"/>
        <w:snapToGrid w:val="0"/>
        <w:spacing w:beforeLines="0" w:after="120" w:line="360" w:lineRule="auto"/>
        <w:ind w:firstLine="480" w:firstLineChars="200"/>
        <w:jc w:val="left"/>
        <w:rPr>
          <w:rFonts w:hAnsi="宋体" w:cs="宋体"/>
          <w:szCs w:val="21"/>
          <w:highlight w:val="none"/>
        </w:rPr>
      </w:pPr>
      <w:bookmarkStart w:id="1" w:name="_Toc26731"/>
      <w:r>
        <w:rPr>
          <w:rFonts w:hint="eastAsia" w:hAnsi="宋体" w:cs="宋体"/>
          <w:szCs w:val="21"/>
          <w:highlight w:val="none"/>
        </w:rPr>
        <w:t>投标人可拒绝接受延期要求。同意延长有效期的投标人不能修改投标文件。</w:t>
      </w:r>
      <w:bookmarkEnd w:id="1"/>
    </w:p>
    <w:p w14:paraId="23E92E57">
      <w:pPr>
        <w:pStyle w:val="13"/>
        <w:snapToGrid w:val="0"/>
        <w:spacing w:beforeLines="0" w:after="120" w:line="360" w:lineRule="auto"/>
        <w:ind w:firstLine="480" w:firstLineChars="200"/>
        <w:jc w:val="left"/>
        <w:rPr>
          <w:rFonts w:hAnsi="宋体" w:cs="宋体"/>
          <w:b/>
          <w:highlight w:val="none"/>
        </w:rPr>
      </w:pPr>
      <w:r>
        <w:rPr>
          <w:rFonts w:hint="eastAsia" w:hAnsi="宋体" w:cs="宋体"/>
          <w:szCs w:val="21"/>
          <w:highlight w:val="none"/>
        </w:rPr>
        <w:t>4.中标人的投标文件自开标之日起至合同履行完毕止均应</w:t>
      </w:r>
      <w:r>
        <w:rPr>
          <w:rFonts w:hint="eastAsia" w:hAnsi="宋体" w:cs="宋体"/>
          <w:highlight w:val="none"/>
        </w:rPr>
        <w:t>保持有效。</w:t>
      </w:r>
    </w:p>
    <w:p w14:paraId="1B188682">
      <w:pPr>
        <w:snapToGrid w:val="0"/>
        <w:spacing w:beforeLines="50" w:line="360" w:lineRule="auto"/>
        <w:ind w:firstLine="472" w:firstLineChars="196"/>
        <w:jc w:val="left"/>
        <w:outlineLvl w:val="0"/>
        <w:rPr>
          <w:rFonts w:ascii="宋体" w:hAnsi="宋体" w:cs="宋体"/>
          <w:b/>
          <w:sz w:val="24"/>
          <w:szCs w:val="20"/>
          <w:highlight w:val="none"/>
        </w:rPr>
      </w:pPr>
      <w:r>
        <w:rPr>
          <w:rFonts w:hint="eastAsia" w:ascii="宋体" w:hAnsi="宋体" w:cs="宋体"/>
          <w:b/>
          <w:sz w:val="24"/>
          <w:highlight w:val="none"/>
        </w:rPr>
        <w:t>（五）投标文件的签署和份数</w:t>
      </w:r>
    </w:p>
    <w:p w14:paraId="2B02D745">
      <w:pPr>
        <w:snapToGrid w:val="0"/>
        <w:spacing w:line="312" w:lineRule="auto"/>
        <w:ind w:firstLine="480" w:firstLineChars="200"/>
        <w:jc w:val="left"/>
        <w:rPr>
          <w:rFonts w:ascii="宋体" w:hAnsi="宋体" w:cs="宋体"/>
          <w:b/>
          <w:bCs/>
          <w:sz w:val="24"/>
          <w:highlight w:val="none"/>
        </w:rPr>
      </w:pPr>
      <w:r>
        <w:rPr>
          <w:rFonts w:hint="eastAsia" w:ascii="宋体" w:hAnsi="宋体" w:cs="宋体"/>
          <w:sz w:val="24"/>
          <w:highlight w:val="none"/>
        </w:rPr>
        <w:t>1.投标人应认真阅读招标文件所有内容，按本招标文件规定的要求、编制顺序和统一格式编制投标文件并标注页码，</w:t>
      </w:r>
      <w:r>
        <w:rPr>
          <w:rFonts w:hint="eastAsia" w:ascii="宋体" w:hAnsi="宋体" w:cs="宋体"/>
          <w:b/>
          <w:bCs/>
          <w:sz w:val="24"/>
          <w:highlight w:val="none"/>
        </w:rPr>
        <w:t>电子投标文件须根据评分标准进行关联定位。</w:t>
      </w:r>
      <w:r>
        <w:rPr>
          <w:rFonts w:hint="eastAsia" w:ascii="宋体" w:hAnsi="宋体" w:cs="宋体"/>
          <w:sz w:val="24"/>
          <w:highlight w:val="none"/>
        </w:rPr>
        <w:t>投标文件因内容不完整、编排混乱，</w:t>
      </w:r>
      <w:r>
        <w:rPr>
          <w:rFonts w:hint="eastAsia" w:ascii="宋体" w:hAnsi="宋体" w:cs="宋体"/>
          <w:b/>
          <w:bCs/>
          <w:sz w:val="24"/>
          <w:highlight w:val="none"/>
        </w:rPr>
        <w:t>或者电子投标文件未按评分标准进行关联定位或者关联定位不准确，</w:t>
      </w:r>
      <w:r>
        <w:rPr>
          <w:rFonts w:hint="eastAsia" w:ascii="宋体" w:hAnsi="宋体" w:cs="宋体"/>
          <w:sz w:val="24"/>
          <w:highlight w:val="none"/>
        </w:rPr>
        <w:t>导致投标文件被误读、漏读或者查找不到相关内容的，是投标人的责任。</w:t>
      </w:r>
      <w:r>
        <w:rPr>
          <w:rFonts w:hint="eastAsia" w:ascii="宋体" w:hAnsi="宋体" w:cs="宋体"/>
          <w:b/>
          <w:sz w:val="24"/>
          <w:highlight w:val="none"/>
        </w:rPr>
        <w:t>电子投标文件须</w:t>
      </w:r>
      <w:r>
        <w:rPr>
          <w:rFonts w:hint="eastAsia" w:ascii="宋体" w:hAnsi="宋体" w:cs="宋体"/>
          <w:b/>
          <w:bCs/>
          <w:sz w:val="24"/>
          <w:highlight w:val="none"/>
        </w:rPr>
        <w:t>按政采云平台供应商项目采购-电子招投标操作指南</w:t>
      </w:r>
      <w:r>
        <w:rPr>
          <w:rFonts w:hint="eastAsia" w:ascii="宋体" w:hAnsi="宋体" w:cs="宋体"/>
          <w:b/>
          <w:sz w:val="24"/>
          <w:highlight w:val="none"/>
        </w:rPr>
        <w:t>及本招标文件要求制作和加密。</w:t>
      </w:r>
      <w:r>
        <w:rPr>
          <w:rFonts w:hint="eastAsia" w:ascii="宋体" w:hAnsi="宋体" w:cs="宋体"/>
          <w:b/>
          <w:bCs/>
          <w:sz w:val="24"/>
          <w:highlight w:val="none"/>
        </w:rPr>
        <w:t>（操作指南下载网址：</w:t>
      </w:r>
    </w:p>
    <w:p w14:paraId="63AC889C">
      <w:pPr>
        <w:snapToGrid w:val="0"/>
        <w:spacing w:line="312" w:lineRule="auto"/>
        <w:jc w:val="left"/>
        <w:rPr>
          <w:rFonts w:ascii="宋体" w:hAnsi="宋体" w:cs="宋体"/>
          <w:b/>
          <w:bCs/>
          <w:sz w:val="24"/>
          <w:highlight w:val="none"/>
        </w:rPr>
      </w:pPr>
      <w:r>
        <w:rPr>
          <w:rFonts w:hint="eastAsia" w:ascii="宋体" w:hAnsi="宋体" w:cs="宋体"/>
          <w:b/>
          <w:bCs/>
          <w:sz w:val="24"/>
          <w:highlight w:val="none"/>
        </w:rPr>
        <w:t>https://help.zcygov.cn/web/site_2/2018/12-28/2573.html）</w:t>
      </w:r>
    </w:p>
    <w:p w14:paraId="07F1A53E">
      <w:pPr>
        <w:snapToGrid w:val="0"/>
        <w:spacing w:line="312" w:lineRule="auto"/>
        <w:ind w:firstLine="482" w:firstLineChars="200"/>
        <w:jc w:val="left"/>
        <w:rPr>
          <w:rFonts w:ascii="宋体" w:hAnsi="宋体" w:cs="宋体"/>
          <w:b/>
          <w:bCs/>
          <w:sz w:val="24"/>
          <w:highlight w:val="none"/>
        </w:rPr>
      </w:pPr>
      <w:r>
        <w:rPr>
          <w:rFonts w:hint="eastAsia" w:ascii="宋体" w:hAnsi="宋体" w:cs="宋体"/>
          <w:b/>
          <w:bCs/>
          <w:sz w:val="24"/>
          <w:highlight w:val="none"/>
        </w:rPr>
        <w:t>2.电子投标文件（包括资格文件、报价文件、商务技术文件）中招标文件要求加盖公章的部分均采用CA签章。电子投标文件的封面格式详见 附件1。</w:t>
      </w:r>
    </w:p>
    <w:p w14:paraId="711BB6A9">
      <w:pPr>
        <w:snapToGrid w:val="0"/>
        <w:spacing w:line="312" w:lineRule="auto"/>
        <w:ind w:firstLine="482" w:firstLineChars="200"/>
        <w:jc w:val="left"/>
        <w:rPr>
          <w:rFonts w:ascii="宋体" w:hAnsi="宋体" w:cs="宋体"/>
          <w:b/>
          <w:bCs/>
          <w:color w:val="FF0000"/>
          <w:sz w:val="24"/>
          <w:highlight w:val="none"/>
        </w:rPr>
      </w:pPr>
      <w:r>
        <w:rPr>
          <w:rFonts w:hint="eastAsia" w:ascii="宋体" w:hAnsi="宋体" w:cs="宋体"/>
          <w:b/>
          <w:bCs/>
          <w:sz w:val="24"/>
          <w:highlight w:val="none"/>
        </w:rPr>
        <w:t>3</w:t>
      </w:r>
      <w:r>
        <w:rPr>
          <w:rFonts w:hint="eastAsia" w:ascii="宋体" w:hAnsi="宋体" w:cs="宋体"/>
          <w:b/>
          <w:bCs/>
          <w:color w:val="FF0000"/>
          <w:sz w:val="24"/>
          <w:highlight w:val="none"/>
        </w:rPr>
        <w:t>.中标方在领取中标通知书前，须向浙江五石中正工程咨询有限公司衢州分公司提供纸质投标文件；中标方须提供资格文件、报价文件、商务技术文件正本各1份、副本各2份，分别编制并单独装订成册；封面应注明“正本”、“副本”字样。（递交或邮寄地址：衢州市柯城区浮石路金河湾小区西门22栋1楼07室，浙江五石中正工程咨询有限公司衢州分公司；联系人：陈女士，电话：0570-3085566、18905703552）</w:t>
      </w:r>
    </w:p>
    <w:p w14:paraId="6B7D904E">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4.投标文件纸质版本需打印或用不褪色的墨水填写，投标文件纸质版本正本除本《投标人须知》中规定的可提供复印件外均须提供原件。副本可为正本的复印件。</w:t>
      </w:r>
    </w:p>
    <w:p w14:paraId="4CF4DFE4">
      <w:pPr>
        <w:snapToGri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5.招标文件对签字、盖章有特别要求的地方，纸质版本投标文件无论正本或副本（副本可以是正本的复印件）必须由投标人法定代表人或法定代表人的授权委托人签署并加盖单位公章。</w:t>
      </w:r>
      <w:r>
        <w:rPr>
          <w:rFonts w:hint="eastAsia" w:ascii="宋体" w:hAnsi="宋体" w:cs="宋体"/>
          <w:b/>
          <w:bCs/>
          <w:sz w:val="24"/>
          <w:highlight w:val="none"/>
        </w:rPr>
        <w:t>电子投标文件中有签字要求的部分，投标人可以将签字后的扫描件上传至政采云系统，有</w:t>
      </w:r>
      <w:r>
        <w:rPr>
          <w:rFonts w:hint="eastAsia" w:ascii="宋体" w:hAnsi="宋体" w:cs="宋体"/>
          <w:b/>
          <w:sz w:val="24"/>
          <w:highlight w:val="none"/>
        </w:rPr>
        <w:t>盖章要求的部分，</w:t>
      </w:r>
      <w:r>
        <w:rPr>
          <w:rFonts w:hint="eastAsia" w:ascii="宋体" w:hAnsi="宋体" w:cs="宋体"/>
          <w:b/>
          <w:bCs/>
          <w:sz w:val="24"/>
          <w:highlight w:val="none"/>
        </w:rPr>
        <w:t>要求采用CA签章。</w:t>
      </w:r>
      <w:r>
        <w:rPr>
          <w:rFonts w:hint="eastAsia" w:ascii="宋体" w:hAnsi="宋体" w:cs="宋体"/>
          <w:b/>
          <w:sz w:val="24"/>
          <w:highlight w:val="none"/>
        </w:rPr>
        <w:t>投标人应写全称。</w:t>
      </w:r>
    </w:p>
    <w:p w14:paraId="153A9B5B">
      <w:pPr>
        <w:snapToGrid w:val="0"/>
        <w:spacing w:line="360" w:lineRule="auto"/>
        <w:ind w:firstLine="482" w:firstLineChars="200"/>
        <w:jc w:val="left"/>
        <w:rPr>
          <w:rFonts w:ascii="宋体" w:hAnsi="宋体" w:cs="宋体"/>
          <w:sz w:val="24"/>
          <w:highlight w:val="none"/>
        </w:rPr>
      </w:pPr>
      <w:r>
        <w:rPr>
          <w:rFonts w:hint="eastAsia" w:ascii="宋体" w:hAnsi="宋体" w:cs="宋体"/>
          <w:b/>
          <w:bCs/>
          <w:sz w:val="24"/>
          <w:highlight w:val="none"/>
        </w:rPr>
        <w:t>6.</w:t>
      </w:r>
      <w:r>
        <w:rPr>
          <w:rFonts w:hint="eastAsia" w:ascii="宋体" w:hAnsi="宋体" w:cs="宋体"/>
          <w:b/>
          <w:sz w:val="24"/>
          <w:highlight w:val="none"/>
        </w:rPr>
        <w:t>纸质投标文件须与</w:t>
      </w:r>
      <w:r>
        <w:rPr>
          <w:rFonts w:hint="eastAsia" w:ascii="宋体" w:hAnsi="宋体" w:cs="宋体"/>
          <w:sz w:val="24"/>
          <w:highlight w:val="none"/>
        </w:rPr>
        <w:t>电子投标文件保持一致。如有篡改，一经发现，将被列入不良行为。</w:t>
      </w:r>
    </w:p>
    <w:p w14:paraId="797872CD">
      <w:pPr>
        <w:snapToGrid w:val="0"/>
        <w:spacing w:beforeLines="50" w:line="360" w:lineRule="auto"/>
        <w:jc w:val="left"/>
        <w:rPr>
          <w:rFonts w:ascii="宋体" w:hAnsi="宋体" w:cs="宋体"/>
          <w:b/>
          <w:sz w:val="24"/>
          <w:highlight w:val="none"/>
        </w:rPr>
      </w:pPr>
      <w:r>
        <w:rPr>
          <w:rFonts w:hint="eastAsia" w:ascii="宋体" w:hAnsi="宋体" w:cs="宋体"/>
          <w:b/>
          <w:sz w:val="24"/>
          <w:highlight w:val="none"/>
        </w:rPr>
        <w:t>（六）投标文件的递交、修改和撤回</w:t>
      </w:r>
    </w:p>
    <w:p w14:paraId="10E0628E">
      <w:pPr>
        <w:snapToGrid w:val="0"/>
        <w:spacing w:beforeLines="50" w:afterLines="50" w:line="312"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1、电子投标文件按政采云平台供应商项目采购-电子招投标操作指南（网址：</w:t>
      </w:r>
      <w:r>
        <w:rPr>
          <w:highlight w:val="none"/>
        </w:rPr>
        <w:fldChar w:fldCharType="begin"/>
      </w:r>
      <w:r>
        <w:rPr>
          <w:highlight w:val="none"/>
        </w:rPr>
        <w:instrText xml:space="preserve"> HYPERLINK "https://help.zcygov.cn/web/site_2/2018/12-28/2573.html）及本招标文件规定的的要求、编制顺序和统一格式编制电子投标文件并进行关联定位。" </w:instrText>
      </w:r>
      <w:r>
        <w:rPr>
          <w:highlight w:val="none"/>
        </w:rPr>
        <w:fldChar w:fldCharType="separate"/>
      </w:r>
      <w:r>
        <w:rPr>
          <w:rStyle w:val="29"/>
          <w:rFonts w:hint="eastAsia" w:ascii="宋体" w:hAnsi="宋体" w:cs="宋体"/>
          <w:b/>
          <w:bCs/>
          <w:color w:val="auto"/>
          <w:sz w:val="24"/>
          <w:highlight w:val="none"/>
        </w:rPr>
        <w:t>https://help.zcygov.cn/web/site_2/2018/12-28/2573.html）及本招标文件规定的的要求、编制顺序和统一格式编制电子投标文件并进行关联定位。</w:t>
      </w:r>
      <w:r>
        <w:rPr>
          <w:rStyle w:val="29"/>
          <w:rFonts w:hint="eastAsia" w:ascii="宋体" w:hAnsi="宋体" w:cs="宋体"/>
          <w:b/>
          <w:bCs/>
          <w:color w:val="auto"/>
          <w:sz w:val="24"/>
          <w:highlight w:val="none"/>
        </w:rPr>
        <w:fldChar w:fldCharType="end"/>
      </w:r>
    </w:p>
    <w:p w14:paraId="3A2C4FB3">
      <w:pPr>
        <w:autoSpaceDE w:val="0"/>
        <w:autoSpaceDN w:val="0"/>
        <w:adjustRightInd w:val="0"/>
        <w:snapToGrid w:val="0"/>
        <w:spacing w:line="312" w:lineRule="auto"/>
        <w:ind w:firstLine="482" w:firstLineChars="200"/>
        <w:rPr>
          <w:rFonts w:ascii="宋体" w:hAnsi="宋体" w:cs="宋体"/>
          <w:sz w:val="24"/>
          <w:highlight w:val="none"/>
        </w:rPr>
      </w:pPr>
      <w:r>
        <w:rPr>
          <w:rFonts w:hint="eastAsia" w:ascii="宋体" w:hAnsi="宋体" w:cs="宋体"/>
          <w:b/>
          <w:sz w:val="24"/>
          <w:highlight w:val="none"/>
        </w:rPr>
        <w:t>2、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048073CC">
      <w:pPr>
        <w:snapToGrid w:val="0"/>
        <w:spacing w:beforeLines="50" w:afterLines="50" w:line="312"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3、投标人可以在投标截止时间前将电子备份投标文件（经政采云电子交易客户端和CA驱动制作出的加密电子备份投标文件）发送至邮箱：</w:t>
      </w:r>
      <w:r>
        <w:rPr>
          <w:rFonts w:hint="eastAsia" w:ascii="宋体" w:hAnsi="宋体" w:cs="宋体"/>
          <w:b/>
          <w:bCs/>
          <w:sz w:val="24"/>
          <w:highlight w:val="none"/>
          <w:lang w:eastAsia="zh-CN"/>
        </w:rPr>
        <w:t>807281475</w:t>
      </w:r>
      <w:r>
        <w:rPr>
          <w:rFonts w:hint="eastAsia" w:ascii="宋体" w:hAnsi="宋体" w:cs="宋体"/>
          <w:b/>
          <w:bCs/>
          <w:sz w:val="24"/>
          <w:highlight w:val="none"/>
        </w:rPr>
        <w:t>@qq.com，逾期发送或发错的电子备份投标文件将被视为无效；电子备份投标文件的提交不作强制性要求。电子备份投标文件的递交截止时间：</w:t>
      </w:r>
      <w:r>
        <w:rPr>
          <w:rFonts w:hint="eastAsia" w:ascii="宋体" w:hAnsi="宋体" w:cs="宋体"/>
          <w:b/>
          <w:bCs/>
          <w:sz w:val="24"/>
          <w:highlight w:val="none"/>
          <w:u w:val="single"/>
          <w:lang w:eastAsia="zh-CN"/>
        </w:rPr>
        <w:t>2025年1月8日</w:t>
      </w:r>
      <w:r>
        <w:rPr>
          <w:rFonts w:hint="eastAsia" w:ascii="宋体" w:hAnsi="宋体" w:cs="宋体"/>
          <w:b/>
          <w:bCs/>
          <w:sz w:val="24"/>
          <w:highlight w:val="none"/>
          <w:u w:val="single"/>
        </w:rPr>
        <w:t>09时30分</w:t>
      </w:r>
      <w:r>
        <w:rPr>
          <w:rFonts w:hint="eastAsia" w:ascii="宋体" w:hAnsi="宋体" w:cs="宋体"/>
          <w:b/>
          <w:bCs/>
          <w:sz w:val="24"/>
          <w:highlight w:val="none"/>
        </w:rPr>
        <w:t>，逾期未递交的视为自动放弃递交电子备份投标文件。</w:t>
      </w:r>
    </w:p>
    <w:p w14:paraId="65A59D69">
      <w:pPr>
        <w:snapToGrid w:val="0"/>
        <w:spacing w:beforeLines="50" w:afterLines="50" w:line="312"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4、未按规定上传的电子投标文件将被拒绝，由此造成投标文件解密失败或被误投的风险由投标人承担。</w:t>
      </w:r>
    </w:p>
    <w:p w14:paraId="0893D68B">
      <w:pPr>
        <w:spacing w:line="480" w:lineRule="exact"/>
        <w:ind w:firstLine="482" w:firstLineChars="200"/>
        <w:rPr>
          <w:rFonts w:ascii="宋体" w:hAnsi="宋体" w:cs="宋体"/>
          <w:sz w:val="24"/>
          <w:highlight w:val="none"/>
        </w:rPr>
      </w:pPr>
      <w:r>
        <w:rPr>
          <w:rFonts w:hint="eastAsia" w:ascii="宋体" w:hAnsi="宋体" w:cs="宋体"/>
          <w:b/>
          <w:bCs/>
          <w:sz w:val="24"/>
          <w:highlight w:val="none"/>
        </w:rPr>
        <w:t>5、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p w14:paraId="43DAEC3D">
      <w:pPr>
        <w:spacing w:line="480" w:lineRule="exact"/>
        <w:ind w:firstLine="482" w:firstLineChars="200"/>
        <w:rPr>
          <w:rFonts w:ascii="宋体" w:hAnsi="宋体" w:cs="宋体"/>
          <w:b/>
          <w:bCs/>
          <w:sz w:val="24"/>
          <w:highlight w:val="none"/>
        </w:rPr>
      </w:pPr>
      <w:r>
        <w:rPr>
          <w:rFonts w:hint="eastAsia" w:ascii="宋体" w:hAnsi="宋体" w:cs="宋体"/>
          <w:b/>
          <w:bCs/>
          <w:sz w:val="24"/>
          <w:highlight w:val="none"/>
        </w:rPr>
        <w:t>6、电子投标文件无法解密或解密失败时，投标人提供了电子备份投标文件的，以电子备份投标文件作为评审依据；否则视为投标文件无效。投标文件已按时解密的，电子备份投标文件自动失效。</w:t>
      </w:r>
    </w:p>
    <w:p w14:paraId="55A9A7E1">
      <w:pPr>
        <w:snapToGrid w:val="0"/>
        <w:spacing w:beforeLines="50" w:line="360" w:lineRule="auto"/>
        <w:ind w:firstLine="470" w:firstLineChars="196"/>
        <w:outlineLvl w:val="2"/>
        <w:rPr>
          <w:rFonts w:ascii="宋体" w:hAnsi="宋体" w:cs="宋体"/>
          <w:sz w:val="24"/>
          <w:highlight w:val="none"/>
        </w:rPr>
      </w:pPr>
      <w:r>
        <w:rPr>
          <w:rFonts w:hint="eastAsia" w:ascii="宋体" w:hAnsi="宋体" w:cs="宋体"/>
          <w:sz w:val="24"/>
          <w:highlight w:val="none"/>
        </w:rPr>
        <w:t>7、投标截止时间后，投标人不得撤回、修改投标文件。修改后重新递交的投标文件应当按本招标文件的要求签署、盖章。</w:t>
      </w:r>
    </w:p>
    <w:p w14:paraId="5FAFFCDA">
      <w:pPr>
        <w:snapToGrid w:val="0"/>
        <w:spacing w:beforeLines="50" w:line="360" w:lineRule="auto"/>
        <w:ind w:firstLine="472" w:firstLineChars="196"/>
        <w:outlineLvl w:val="2"/>
        <w:rPr>
          <w:rFonts w:ascii="宋体" w:hAnsi="宋体" w:cs="宋体"/>
          <w:b/>
          <w:sz w:val="24"/>
          <w:highlight w:val="none"/>
        </w:rPr>
      </w:pPr>
      <w:r>
        <w:rPr>
          <w:rFonts w:hint="eastAsia" w:ascii="宋体" w:hAnsi="宋体" w:cs="宋体"/>
          <w:b/>
          <w:sz w:val="24"/>
          <w:highlight w:val="none"/>
        </w:rPr>
        <w:t>（七）供应商有下列情形之一的，列入失信名单，同时依照《政府采购法》第七十七条及《中华人民共和国政府采购法实施条例》第七十二条规定处罚并追求法律责任。</w:t>
      </w:r>
    </w:p>
    <w:p w14:paraId="163CF256">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 xml:space="preserve">1、提供虚假材料谋取中标、成交的； </w:t>
      </w:r>
    </w:p>
    <w:p w14:paraId="756AE40F">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 xml:space="preserve">2、采取不正当手段诋毁、排挤其他供应商的； </w:t>
      </w:r>
    </w:p>
    <w:p w14:paraId="4DE2DCA7">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 xml:space="preserve">3、与采购人、其他供应商或者采购代理机构恶意串通的； </w:t>
      </w:r>
    </w:p>
    <w:p w14:paraId="48417B2F">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 xml:space="preserve">4、向采购人、采购代理机构行贿或者提供其他不正当利益的； </w:t>
      </w:r>
    </w:p>
    <w:p w14:paraId="290F1ACB">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 xml:space="preserve">5、在招标采购过程中与采购人进行协商谈判的； </w:t>
      </w:r>
    </w:p>
    <w:p w14:paraId="0C36CFCB">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6、向评标委员会、竞争性谈判小组或者询价小组成员行贿或者提供其他不正当利益；</w:t>
      </w:r>
    </w:p>
    <w:p w14:paraId="5269EAA8">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7、中标或者成交后无正当理由拒不与采购人签订政府采购合同；</w:t>
      </w:r>
    </w:p>
    <w:p w14:paraId="1E322A5D">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8、未按照采购文件确定的事项签订政府采购合同；</w:t>
      </w:r>
    </w:p>
    <w:p w14:paraId="77AF6EBD">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9、将政府采购合同转包；</w:t>
      </w:r>
    </w:p>
    <w:p w14:paraId="07F04397">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10、提供假冒伪劣产品；</w:t>
      </w:r>
    </w:p>
    <w:p w14:paraId="373DA9E3">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11、擅自变更、中止或者终止政府采购合同。</w:t>
      </w:r>
    </w:p>
    <w:p w14:paraId="36F4B2F7">
      <w:pPr>
        <w:snapToGrid w:val="0"/>
        <w:spacing w:line="360" w:lineRule="auto"/>
        <w:ind w:left="479" w:leftChars="228"/>
        <w:jc w:val="left"/>
        <w:rPr>
          <w:rFonts w:ascii="宋体" w:hAnsi="宋体" w:cs="宋体"/>
          <w:sz w:val="24"/>
          <w:highlight w:val="none"/>
        </w:rPr>
      </w:pPr>
      <w:r>
        <w:rPr>
          <w:rFonts w:hint="eastAsia" w:ascii="宋体" w:hAnsi="宋体" w:cs="宋体"/>
          <w:sz w:val="24"/>
          <w:highlight w:val="none"/>
        </w:rPr>
        <w:t>12、其他严重扰乱招投标程序的。</w:t>
      </w:r>
    </w:p>
    <w:p w14:paraId="7D0E94DA">
      <w:pPr>
        <w:snapToGrid w:val="0"/>
        <w:spacing w:beforeLines="50" w:line="360" w:lineRule="auto"/>
        <w:ind w:firstLine="472" w:firstLineChars="196"/>
        <w:outlineLvl w:val="2"/>
        <w:rPr>
          <w:rFonts w:ascii="宋体" w:hAnsi="宋体" w:cs="宋体"/>
          <w:b/>
          <w:sz w:val="24"/>
          <w:highlight w:val="none"/>
        </w:rPr>
      </w:pPr>
      <w:r>
        <w:rPr>
          <w:rFonts w:hint="eastAsia" w:ascii="宋体" w:hAnsi="宋体" w:cs="宋体"/>
          <w:b/>
          <w:sz w:val="24"/>
          <w:highlight w:val="none"/>
        </w:rPr>
        <w:t>（八）投标无效的情形</w:t>
      </w:r>
    </w:p>
    <w:p w14:paraId="003349B1">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1A061CF0">
      <w:pPr>
        <w:snapToGrid w:val="0"/>
        <w:spacing w:line="312" w:lineRule="auto"/>
        <w:ind w:firstLine="472" w:firstLineChars="196"/>
        <w:rPr>
          <w:rFonts w:ascii="宋体" w:hAnsi="宋体" w:cs="宋体"/>
          <w:b/>
          <w:sz w:val="24"/>
          <w:highlight w:val="none"/>
        </w:rPr>
      </w:pPr>
      <w:r>
        <w:rPr>
          <w:rFonts w:hint="eastAsia" w:ascii="宋体" w:hAnsi="宋体" w:cs="宋体"/>
          <w:b/>
          <w:sz w:val="24"/>
          <w:highlight w:val="none"/>
        </w:rPr>
        <w:t>1.有下列情形之一的，视为投标人串通投标，其投标无效：</w:t>
      </w:r>
    </w:p>
    <w:p w14:paraId="3626A0E6">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A.不同投标人的投标文件由同一单位或者个人编制；</w:t>
      </w:r>
    </w:p>
    <w:p w14:paraId="685D3D9C">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B.不同投标人委托同一单位或者个人办理投标事宜；</w:t>
      </w:r>
    </w:p>
    <w:p w14:paraId="0B143E61">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C.不同投标人的投标文件载明的项目管理成员或者联系人员为同一人；</w:t>
      </w:r>
    </w:p>
    <w:p w14:paraId="043E7903">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 xml:space="preserve">D.不同投标人的投标文件异常一致或者投标报价呈规律性差异； </w:t>
      </w:r>
    </w:p>
    <w:p w14:paraId="13A9A076">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E.不同投标人的投标文件相互混装；</w:t>
      </w:r>
    </w:p>
    <w:p w14:paraId="4E56F8D8">
      <w:pPr>
        <w:snapToGrid w:val="0"/>
        <w:spacing w:line="312" w:lineRule="auto"/>
        <w:ind w:firstLine="470" w:firstLineChars="196"/>
        <w:rPr>
          <w:rFonts w:ascii="宋体" w:hAnsi="宋体" w:cs="宋体"/>
          <w:sz w:val="24"/>
          <w:highlight w:val="none"/>
        </w:rPr>
      </w:pPr>
      <w:r>
        <w:rPr>
          <w:rFonts w:hint="eastAsia" w:ascii="宋体" w:hAnsi="宋体" w:cs="宋体"/>
          <w:sz w:val="24"/>
          <w:highlight w:val="none"/>
        </w:rPr>
        <w:t>F.其他严重扰乱招投标程序的。</w:t>
      </w:r>
    </w:p>
    <w:p w14:paraId="501F6A99">
      <w:pPr>
        <w:snapToGrid w:val="0"/>
        <w:spacing w:line="360" w:lineRule="auto"/>
        <w:ind w:firstLine="472" w:firstLineChars="196"/>
        <w:rPr>
          <w:rFonts w:ascii="宋体" w:hAnsi="宋体" w:cs="宋体"/>
          <w:b/>
          <w:bCs/>
          <w:sz w:val="24"/>
          <w:highlight w:val="none"/>
        </w:rPr>
      </w:pPr>
      <w:r>
        <w:rPr>
          <w:rFonts w:hint="eastAsia" w:ascii="宋体" w:hAnsi="宋体" w:cs="宋体"/>
          <w:b/>
          <w:bCs/>
          <w:sz w:val="24"/>
          <w:highlight w:val="none"/>
        </w:rPr>
        <w:t>2.在资格审查、符合性审查和商务评审时，如发现下列情形之一的，投标文件将被视为无效：</w:t>
      </w:r>
    </w:p>
    <w:p w14:paraId="1CFBFA16">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（1）资格文件内有商务报价出现的；</w:t>
      </w:r>
    </w:p>
    <w:p w14:paraId="6DBF2E34">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（2）超出经营范围投标的；</w:t>
      </w:r>
    </w:p>
    <w:p w14:paraId="68FF05A3">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（3）资格文件不全的，或者不符合招标文件标明的资格要求的；</w:t>
      </w:r>
    </w:p>
    <w:p w14:paraId="2D21F4E7">
      <w:pPr>
        <w:snapToGrid w:val="0"/>
        <w:spacing w:line="360" w:lineRule="auto"/>
        <w:ind w:firstLine="470" w:firstLineChars="196"/>
        <w:rPr>
          <w:rFonts w:ascii="宋体" w:hAnsi="宋体" w:cs="宋体"/>
          <w:bCs/>
          <w:kern w:val="0"/>
          <w:sz w:val="24"/>
          <w:highlight w:val="none"/>
        </w:rPr>
      </w:pPr>
      <w:r>
        <w:rPr>
          <w:rFonts w:hint="eastAsia" w:ascii="宋体" w:hAnsi="宋体" w:cs="宋体"/>
          <w:sz w:val="24"/>
          <w:highlight w:val="none"/>
        </w:rPr>
        <w:t>（4）投标文件无法定代表人（或营业执照上注明的企业负责人）签字,或未</w:t>
      </w:r>
      <w:r>
        <w:rPr>
          <w:rFonts w:hint="eastAsia" w:ascii="宋体" w:hAnsi="宋体" w:cs="宋体"/>
          <w:bCs/>
          <w:kern w:val="0"/>
          <w:sz w:val="24"/>
          <w:highlight w:val="none"/>
        </w:rPr>
        <w:t>提供法定代表人授权委托书、投标声明书或者填写项目不齐全的；</w:t>
      </w:r>
    </w:p>
    <w:p w14:paraId="4D12553B">
      <w:pPr>
        <w:pStyle w:val="7"/>
        <w:snapToGrid w:val="0"/>
        <w:spacing w:line="360" w:lineRule="auto"/>
        <w:ind w:firstLine="454" w:firstLineChars="196"/>
        <w:rPr>
          <w:rFonts w:hAnsi="宋体" w:cs="宋体"/>
          <w:sz w:val="24"/>
          <w:highlight w:val="none"/>
        </w:rPr>
      </w:pPr>
      <w:r>
        <w:rPr>
          <w:rFonts w:hint="eastAsia" w:hAnsi="宋体" w:cs="宋体"/>
          <w:sz w:val="24"/>
          <w:szCs w:val="24"/>
          <w:highlight w:val="none"/>
        </w:rPr>
        <w:t>（</w:t>
      </w:r>
      <w:r>
        <w:rPr>
          <w:rFonts w:hint="eastAsia" w:hAnsi="宋体" w:cs="宋体"/>
          <w:snapToGrid w:val="0"/>
          <w:sz w:val="24"/>
          <w:szCs w:val="24"/>
          <w:highlight w:val="none"/>
        </w:rPr>
        <w:t>5）</w:t>
      </w:r>
      <w:r>
        <w:rPr>
          <w:rFonts w:hint="eastAsia" w:hAnsi="宋体" w:cs="宋体"/>
          <w:sz w:val="24"/>
          <w:szCs w:val="24"/>
          <w:highlight w:val="none"/>
        </w:rPr>
        <w:t>投标文件格式不规</w:t>
      </w:r>
      <w:r>
        <w:rPr>
          <w:rFonts w:hint="eastAsia" w:hAnsi="宋体" w:cs="宋体"/>
          <w:sz w:val="24"/>
          <w:highlight w:val="none"/>
        </w:rPr>
        <w:t>范、项目不齐全或者内容虚假的；</w:t>
      </w:r>
    </w:p>
    <w:p w14:paraId="1C78632C">
      <w:pPr>
        <w:pStyle w:val="7"/>
        <w:snapToGrid w:val="0"/>
        <w:spacing w:line="360" w:lineRule="auto"/>
        <w:ind w:firstLine="454" w:firstLineChars="196"/>
        <w:rPr>
          <w:rFonts w:hAnsi="宋体" w:cs="宋体"/>
          <w:snapToGrid w:val="0"/>
          <w:sz w:val="24"/>
          <w:szCs w:val="24"/>
          <w:highlight w:val="none"/>
        </w:rPr>
      </w:pPr>
      <w:r>
        <w:rPr>
          <w:rFonts w:hint="eastAsia" w:hAnsi="宋体" w:cs="宋体"/>
          <w:sz w:val="24"/>
          <w:highlight w:val="none"/>
        </w:rPr>
        <w:t>（6）投标文件的实质性内容未使用中文表述、意思表述不明确、前后矛盾或者使用计量单位不符合招标文件要求的（经评标委员会认定并允许其当场更正的笔误除外）；</w:t>
      </w:r>
    </w:p>
    <w:p w14:paraId="26F5FAD5">
      <w:pPr>
        <w:pStyle w:val="7"/>
        <w:snapToGrid w:val="0"/>
        <w:spacing w:line="360" w:lineRule="auto"/>
        <w:ind w:firstLine="454" w:firstLineChars="196"/>
        <w:rPr>
          <w:rFonts w:hAnsi="宋体" w:cs="宋体"/>
          <w:snapToGrid w:val="0"/>
          <w:sz w:val="24"/>
          <w:szCs w:val="24"/>
          <w:highlight w:val="none"/>
        </w:rPr>
      </w:pPr>
      <w:r>
        <w:rPr>
          <w:rFonts w:hint="eastAsia" w:hAnsi="宋体" w:cs="宋体"/>
          <w:snapToGrid w:val="0"/>
          <w:sz w:val="24"/>
          <w:szCs w:val="24"/>
          <w:highlight w:val="none"/>
        </w:rPr>
        <w:t>（7）投标有效期、交货时间、质保期等商务条款不能满足招标文件要求的；</w:t>
      </w:r>
    </w:p>
    <w:p w14:paraId="58BE81EC">
      <w:pPr>
        <w:pStyle w:val="7"/>
        <w:snapToGrid w:val="0"/>
        <w:spacing w:line="360" w:lineRule="auto"/>
        <w:ind w:firstLine="454" w:firstLineChars="196"/>
        <w:rPr>
          <w:rFonts w:hAnsi="宋体" w:cs="宋体"/>
          <w:snapToGrid w:val="0"/>
          <w:sz w:val="24"/>
          <w:szCs w:val="24"/>
          <w:highlight w:val="none"/>
        </w:rPr>
      </w:pPr>
      <w:r>
        <w:rPr>
          <w:rFonts w:hint="eastAsia" w:hAnsi="宋体" w:cs="宋体"/>
          <w:snapToGrid w:val="0"/>
          <w:sz w:val="24"/>
          <w:szCs w:val="24"/>
          <w:highlight w:val="none"/>
        </w:rPr>
        <w:t>（8）未实质性响应招标文件中标有“▲”条款要求的；</w:t>
      </w:r>
    </w:p>
    <w:p w14:paraId="16DC8580">
      <w:pPr>
        <w:widowControl/>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（9）</w:t>
      </w:r>
      <w:r>
        <w:rPr>
          <w:rFonts w:hint="eastAsia" w:ascii="宋体" w:hAnsi="宋体" w:cs="宋体"/>
          <w:b/>
          <w:bCs/>
          <w:sz w:val="24"/>
          <w:highlight w:val="none"/>
        </w:rPr>
        <w:t>电子投标文件解密失败的，且未在规定时间内提交电子备份投标文件的；</w:t>
      </w:r>
    </w:p>
    <w:p w14:paraId="7379D36E">
      <w:pPr>
        <w:widowControl/>
        <w:snapToGrid w:val="0"/>
        <w:spacing w:line="360" w:lineRule="auto"/>
        <w:ind w:firstLine="480" w:firstLineChars="200"/>
        <w:jc w:val="left"/>
        <w:rPr>
          <w:rFonts w:ascii="宋体" w:hAnsi="宋体" w:cs="宋体"/>
          <w:b/>
          <w:bCs/>
          <w:sz w:val="24"/>
          <w:highlight w:val="none"/>
        </w:rPr>
      </w:pPr>
      <w:r>
        <w:rPr>
          <w:rFonts w:hint="eastAsia" w:ascii="宋体" w:hAnsi="宋体" w:cs="宋体"/>
          <w:sz w:val="24"/>
          <w:highlight w:val="none"/>
        </w:rPr>
        <w:t>（10）</w:t>
      </w:r>
      <w:r>
        <w:rPr>
          <w:rFonts w:hint="eastAsia" w:ascii="宋体" w:hAnsi="宋体" w:cs="宋体"/>
          <w:b/>
          <w:bCs/>
          <w:sz w:val="24"/>
          <w:highlight w:val="none"/>
        </w:rPr>
        <w:t>电子投标文件未按规定要求进行签字、电子签章的。</w:t>
      </w:r>
    </w:p>
    <w:p w14:paraId="578FE5C0">
      <w:pPr>
        <w:snapToGrid w:val="0"/>
        <w:spacing w:line="360" w:lineRule="auto"/>
        <w:ind w:firstLine="464" w:firstLineChars="200"/>
        <w:rPr>
          <w:rFonts w:ascii="宋体" w:hAnsi="宋体" w:cs="宋体"/>
          <w:spacing w:val="-4"/>
          <w:sz w:val="24"/>
          <w:szCs w:val="20"/>
          <w:highlight w:val="none"/>
        </w:rPr>
      </w:pPr>
      <w:r>
        <w:rPr>
          <w:rFonts w:hint="eastAsia" w:ascii="宋体" w:hAnsi="宋体" w:cs="宋体"/>
          <w:spacing w:val="-4"/>
          <w:sz w:val="24"/>
          <w:szCs w:val="20"/>
          <w:highlight w:val="none"/>
        </w:rPr>
        <w:t>（11）本项目投标截止之日前三年内，相关主体在“信用中国”网站(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spacing w:val="-4"/>
          <w:sz w:val="24"/>
          <w:szCs w:val="20"/>
          <w:highlight w:val="none"/>
        </w:rPr>
        <w:t>www.creditchina.gov.cn</w:t>
      </w:r>
      <w:r>
        <w:rPr>
          <w:rFonts w:hint="eastAsia" w:ascii="宋体" w:hAnsi="宋体" w:cs="宋体"/>
          <w:spacing w:val="-4"/>
          <w:sz w:val="24"/>
          <w:szCs w:val="20"/>
          <w:highlight w:val="none"/>
        </w:rPr>
        <w:fldChar w:fldCharType="end"/>
      </w:r>
      <w:r>
        <w:rPr>
          <w:rFonts w:hint="eastAsia" w:ascii="宋体" w:hAnsi="宋体" w:cs="宋体"/>
          <w:spacing w:val="-4"/>
          <w:sz w:val="24"/>
          <w:szCs w:val="20"/>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cs="宋体"/>
          <w:spacing w:val="-4"/>
          <w:sz w:val="24"/>
          <w:szCs w:val="20"/>
          <w:highlight w:val="none"/>
        </w:rPr>
        <w:t>www.ccgp.gov.cn</w:t>
      </w:r>
      <w:r>
        <w:rPr>
          <w:rFonts w:hint="eastAsia" w:ascii="宋体" w:hAnsi="宋体" w:cs="宋体"/>
          <w:spacing w:val="-4"/>
          <w:sz w:val="24"/>
          <w:szCs w:val="20"/>
          <w:highlight w:val="none"/>
        </w:rPr>
        <w:fldChar w:fldCharType="end"/>
      </w:r>
      <w:r>
        <w:rPr>
          <w:rFonts w:hint="eastAsia" w:ascii="宋体" w:hAnsi="宋体" w:cs="宋体"/>
          <w:spacing w:val="-4"/>
          <w:sz w:val="24"/>
          <w:szCs w:val="20"/>
          <w:highlight w:val="none"/>
        </w:rPr>
        <w:t>)有失信行为或被列入受惩黑名单。</w:t>
      </w:r>
    </w:p>
    <w:p w14:paraId="5DED00B6">
      <w:pPr>
        <w:pStyle w:val="7"/>
        <w:snapToGrid w:val="0"/>
        <w:spacing w:line="360" w:lineRule="auto"/>
        <w:ind w:firstLine="454" w:firstLineChars="196"/>
        <w:rPr>
          <w:rFonts w:hAnsi="宋体" w:cs="宋体"/>
          <w:sz w:val="24"/>
          <w:szCs w:val="24"/>
          <w:highlight w:val="none"/>
        </w:rPr>
      </w:pPr>
      <w:r>
        <w:rPr>
          <w:rFonts w:hint="eastAsia" w:hAnsi="宋体" w:cs="宋体"/>
          <w:sz w:val="24"/>
          <w:szCs w:val="24"/>
          <w:highlight w:val="none"/>
        </w:rPr>
        <w:t>（12）投标文件有招标方不能接受的附加条件的。</w:t>
      </w:r>
    </w:p>
    <w:p w14:paraId="5646B0C7">
      <w:pPr>
        <w:pStyle w:val="7"/>
        <w:snapToGrid w:val="0"/>
        <w:spacing w:line="360" w:lineRule="auto"/>
        <w:ind w:firstLine="457" w:firstLineChars="196"/>
        <w:rPr>
          <w:rFonts w:hAnsi="宋体" w:cs="宋体"/>
          <w:b/>
          <w:bCs/>
          <w:sz w:val="24"/>
          <w:szCs w:val="24"/>
          <w:highlight w:val="none"/>
        </w:rPr>
      </w:pPr>
      <w:r>
        <w:rPr>
          <w:rFonts w:hint="eastAsia" w:hAnsi="宋体" w:cs="宋体"/>
          <w:b/>
          <w:bCs/>
          <w:sz w:val="24"/>
          <w:szCs w:val="24"/>
          <w:highlight w:val="none"/>
        </w:rPr>
        <w:t>3.在技术评审时，如发现下列情形之一的，投标文件将被视为无效：</w:t>
      </w:r>
    </w:p>
    <w:p w14:paraId="0A5AF02E">
      <w:pPr>
        <w:pStyle w:val="7"/>
        <w:snapToGrid w:val="0"/>
        <w:spacing w:line="360" w:lineRule="auto"/>
        <w:ind w:firstLine="454" w:firstLineChars="196"/>
        <w:rPr>
          <w:rFonts w:hAnsi="宋体" w:cs="宋体"/>
          <w:sz w:val="24"/>
          <w:szCs w:val="24"/>
          <w:highlight w:val="none"/>
        </w:rPr>
      </w:pPr>
      <w:r>
        <w:rPr>
          <w:rFonts w:hint="eastAsia" w:hAnsi="宋体" w:cs="宋体"/>
          <w:sz w:val="24"/>
          <w:szCs w:val="24"/>
          <w:highlight w:val="none"/>
        </w:rPr>
        <w:t>（1）未提供或未如实提供投标货物的技术参数，或者投标文件标明的响应或偏离与事实不符或虚假投标的；</w:t>
      </w:r>
    </w:p>
    <w:p w14:paraId="2F14313A">
      <w:pPr>
        <w:pStyle w:val="7"/>
        <w:snapToGrid w:val="0"/>
        <w:spacing w:line="360" w:lineRule="auto"/>
        <w:ind w:firstLine="454" w:firstLineChars="196"/>
        <w:rPr>
          <w:rFonts w:hAnsi="宋体" w:cs="宋体"/>
          <w:sz w:val="24"/>
          <w:szCs w:val="24"/>
          <w:highlight w:val="none"/>
        </w:rPr>
      </w:pPr>
      <w:r>
        <w:rPr>
          <w:rFonts w:hint="eastAsia" w:hAnsi="宋体" w:cs="宋体"/>
          <w:sz w:val="24"/>
          <w:szCs w:val="24"/>
          <w:highlight w:val="none"/>
        </w:rPr>
        <w:t>（2）</w:t>
      </w:r>
      <w:r>
        <w:rPr>
          <w:rFonts w:hint="eastAsia" w:hAnsi="宋体" w:cs="宋体"/>
          <w:snapToGrid w:val="0"/>
          <w:sz w:val="24"/>
          <w:szCs w:val="24"/>
          <w:highlight w:val="none"/>
        </w:rPr>
        <w:t>明显不符合招标文件要求的规格型号、质量标准，或者与</w:t>
      </w:r>
      <w:r>
        <w:rPr>
          <w:rFonts w:hint="eastAsia" w:hAnsi="宋体" w:cs="宋体"/>
          <w:sz w:val="24"/>
          <w:szCs w:val="24"/>
          <w:highlight w:val="none"/>
        </w:rPr>
        <w:t>招标文件中标有“▲”的技术指标、主要功能项目发生实质性偏离的；</w:t>
      </w:r>
    </w:p>
    <w:p w14:paraId="5388F0B2">
      <w:pPr>
        <w:pStyle w:val="7"/>
        <w:snapToGrid w:val="0"/>
        <w:spacing w:line="360" w:lineRule="auto"/>
        <w:ind w:firstLine="454" w:firstLineChars="196"/>
        <w:rPr>
          <w:rFonts w:hAnsi="宋体" w:cs="宋体"/>
          <w:sz w:val="24"/>
          <w:szCs w:val="24"/>
          <w:highlight w:val="none"/>
        </w:rPr>
      </w:pPr>
      <w:r>
        <w:rPr>
          <w:rFonts w:hint="eastAsia" w:hAnsi="宋体" w:cs="宋体"/>
          <w:sz w:val="24"/>
          <w:szCs w:val="24"/>
          <w:highlight w:val="none"/>
        </w:rPr>
        <w:t>（3）投标技术方案不明确，存在一个或一个以上备选（替代）投标方案的；</w:t>
      </w:r>
    </w:p>
    <w:p w14:paraId="4FD9F4B4">
      <w:pPr>
        <w:widowControl/>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w:t>
      </w:r>
      <w:r>
        <w:rPr>
          <w:rFonts w:hint="eastAsia" w:ascii="宋体" w:hAnsi="宋体" w:cs="宋体"/>
          <w:b/>
          <w:bCs/>
          <w:sz w:val="24"/>
          <w:highlight w:val="none"/>
        </w:rPr>
        <w:t>电子投标文件解密失败的，且未在规定时间内提交电子备份投标文件的；</w:t>
      </w:r>
    </w:p>
    <w:p w14:paraId="0199A95D">
      <w:pPr>
        <w:widowControl/>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w:t>
      </w:r>
      <w:r>
        <w:rPr>
          <w:rFonts w:hint="eastAsia" w:ascii="宋体" w:hAnsi="宋体" w:cs="宋体"/>
          <w:b/>
          <w:bCs/>
          <w:sz w:val="24"/>
          <w:highlight w:val="none"/>
        </w:rPr>
        <w:t>电子投标文件未按规定要求进行签字、电子签章的。</w:t>
      </w:r>
    </w:p>
    <w:p w14:paraId="78631DD0">
      <w:pPr>
        <w:pStyle w:val="7"/>
        <w:snapToGrid w:val="0"/>
        <w:spacing w:line="360" w:lineRule="auto"/>
        <w:ind w:firstLine="457" w:firstLineChars="196"/>
        <w:rPr>
          <w:rFonts w:hAnsi="宋体" w:cs="宋体"/>
          <w:b/>
          <w:bCs/>
          <w:sz w:val="24"/>
          <w:szCs w:val="24"/>
          <w:highlight w:val="none"/>
        </w:rPr>
      </w:pPr>
      <w:r>
        <w:rPr>
          <w:rFonts w:hint="eastAsia" w:hAnsi="宋体" w:cs="宋体"/>
          <w:b/>
          <w:bCs/>
          <w:sz w:val="24"/>
          <w:szCs w:val="24"/>
          <w:highlight w:val="none"/>
        </w:rPr>
        <w:t>4.在报价评审时，如发现下列情形之一的，投标文件将被视为无效：</w:t>
      </w:r>
    </w:p>
    <w:p w14:paraId="2CFAF838">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（1）未采用人民币报价或者未按照招标文件标明的币种报价的；</w:t>
      </w:r>
    </w:p>
    <w:p w14:paraId="04306DBB">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（2）报价超出招标文件规定的预算金额或者最高限价的；</w:t>
      </w:r>
    </w:p>
    <w:p w14:paraId="35BBFB08">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（3）投标报价具有选择性。</w:t>
      </w:r>
    </w:p>
    <w:p w14:paraId="4559168D">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（4）投标报价文件格式不符合招标文件要求格式的；</w:t>
      </w:r>
    </w:p>
    <w:p w14:paraId="6B318110">
      <w:pPr>
        <w:pStyle w:val="7"/>
        <w:snapToGrid w:val="0"/>
        <w:spacing w:line="360" w:lineRule="auto"/>
        <w:ind w:firstLine="466" w:firstLineChars="200"/>
        <w:rPr>
          <w:rFonts w:hAnsi="宋体" w:cs="宋体"/>
          <w:b/>
          <w:bCs/>
          <w:sz w:val="24"/>
          <w:szCs w:val="24"/>
          <w:highlight w:val="none"/>
        </w:rPr>
      </w:pPr>
      <w:r>
        <w:rPr>
          <w:rFonts w:hint="eastAsia" w:hAnsi="宋体" w:cs="宋体"/>
          <w:b/>
          <w:bCs/>
          <w:sz w:val="24"/>
          <w:szCs w:val="24"/>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B33405">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（6）电子投标文件解密失败的，且未在规定时间内提交电子备份投标文件的；</w:t>
      </w:r>
    </w:p>
    <w:p w14:paraId="3C3AAB31">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（7）电子投标文件未按规定要求进行签字、电子签章的。</w:t>
      </w:r>
    </w:p>
    <w:p w14:paraId="2082C146">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（8）被拒绝的投标文件为无效。</w:t>
      </w:r>
    </w:p>
    <w:p w14:paraId="30BC2EB4">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（9）对仅出现以上1、2、3情形之一中小项情况的，经审定凡没有实质性影响和损害的，可不作无效标处理。</w:t>
      </w:r>
    </w:p>
    <w:p w14:paraId="118BDB10">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5、</w:t>
      </w:r>
      <w:r>
        <w:rPr>
          <w:rFonts w:hint="eastAsia" w:hAnsi="宋体" w:cs="宋体"/>
          <w:b/>
          <w:bCs/>
          <w:sz w:val="24"/>
          <w:szCs w:val="24"/>
          <w:highlight w:val="none"/>
        </w:rPr>
        <w:t>修改招标文件，重新组织采购活动。</w:t>
      </w:r>
      <w:r>
        <w:rPr>
          <w:rFonts w:hint="eastAsia" w:hAnsi="宋体" w:cs="宋体"/>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E286833">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w:t>
      </w:r>
      <w:r>
        <w:rPr>
          <w:rFonts w:hint="eastAsia" w:hAnsi="宋体" w:cs="宋体"/>
          <w:b/>
          <w:bCs/>
          <w:sz w:val="24"/>
          <w:szCs w:val="24"/>
          <w:highlight w:val="none"/>
        </w:rPr>
        <w:t>重新开展采购</w:t>
      </w:r>
      <w:r>
        <w:rPr>
          <w:rFonts w:hint="eastAsia" w:hAnsi="宋体" w:cs="宋体"/>
          <w:sz w:val="24"/>
          <w:szCs w:val="24"/>
          <w:highlight w:val="none"/>
        </w:rPr>
        <w:t>。有政府采购法第七十一条、第七十二条规定的违法行为之一，影响或者可能影响中标结果的，依照下列规定处理：</w:t>
      </w:r>
    </w:p>
    <w:p w14:paraId="1BC50152">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6.1未确定中标供应商的，终止本次政府采购活动，重新开展政府采购活动。</w:t>
      </w:r>
    </w:p>
    <w:p w14:paraId="2CF8E1ED">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6.2已确定中标供应商但尚未签订政府采购合同的，中标结果无效，从合格的中标候选人中另行确定中标供应商；没有合格的中标候选人的，重新开展政府采购活动。</w:t>
      </w:r>
    </w:p>
    <w:p w14:paraId="54B33DF2">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6.3政府采购合同已签订但尚未履行的，撤销合同，从合格的中标候选人中另行确定中标供应商；没有合格的中标候选人的，重新开展政府采购活动。</w:t>
      </w:r>
    </w:p>
    <w:p w14:paraId="3389CB20">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6.4政府采购合同已经履行，给采购人、供应商造成损失的，由责任人承担赔偿责任。</w:t>
      </w:r>
    </w:p>
    <w:p w14:paraId="100E46E1">
      <w:pPr>
        <w:pStyle w:val="6"/>
        <w:ind w:firstLine="480"/>
        <w:rPr>
          <w:rFonts w:ascii="宋体" w:hAnsi="宋体" w:cs="宋体"/>
          <w:highlight w:val="none"/>
        </w:rPr>
      </w:pPr>
      <w:r>
        <w:rPr>
          <w:rFonts w:hint="eastAsia" w:ascii="宋体" w:hAnsi="宋体" w:cs="宋体"/>
          <w:highlight w:val="none"/>
        </w:rPr>
        <w:t>6.5政府采购当事人有其他违反政府采购法或者政府采购法实施条例等法律法规规定的行为，经改正后仍然影响或者可能影响中标结果或者依法被认定为中标无效的，依照6.1-6.4规定处理。</w:t>
      </w:r>
    </w:p>
    <w:p w14:paraId="663A8360">
      <w:pPr>
        <w:pStyle w:val="6"/>
        <w:ind w:firstLine="482"/>
        <w:rPr>
          <w:rFonts w:ascii="宋体" w:hAnsi="宋体" w:cs="宋体"/>
          <w:b/>
          <w:bCs/>
          <w:highlight w:val="none"/>
        </w:rPr>
      </w:pPr>
      <w:r>
        <w:rPr>
          <w:rFonts w:hint="eastAsia" w:ascii="宋体" w:hAnsi="宋体" w:cs="宋体"/>
          <w:b/>
          <w:bCs/>
          <w:highlight w:val="none"/>
        </w:rPr>
        <w:t>四、开标</w:t>
      </w:r>
    </w:p>
    <w:p w14:paraId="5E4718A2">
      <w:pPr>
        <w:pStyle w:val="6"/>
        <w:ind w:firstLine="482"/>
        <w:rPr>
          <w:rFonts w:ascii="宋体" w:hAnsi="宋体" w:cs="宋体"/>
          <w:b/>
          <w:bCs/>
          <w:highlight w:val="none"/>
        </w:rPr>
      </w:pPr>
      <w:r>
        <w:rPr>
          <w:rFonts w:hint="eastAsia" w:ascii="宋体" w:hAnsi="宋体" w:cs="宋体"/>
          <w:b/>
          <w:bCs/>
          <w:highlight w:val="none"/>
        </w:rPr>
        <w:t>（一）开标准备</w:t>
      </w:r>
    </w:p>
    <w:p w14:paraId="0E5E70A9">
      <w:pPr>
        <w:snapToGrid w:val="0"/>
        <w:spacing w:line="380" w:lineRule="exact"/>
        <w:ind w:firstLine="482" w:firstLineChars="200"/>
        <w:rPr>
          <w:rFonts w:ascii="宋体" w:hAnsi="宋体" w:cs="宋体"/>
          <w:highlight w:val="none"/>
        </w:rPr>
      </w:pPr>
      <w:r>
        <w:rPr>
          <w:rFonts w:hint="eastAsia" w:ascii="宋体" w:hAnsi="宋体" w:cs="宋体"/>
          <w:b/>
          <w:bCs/>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超过规定时间的询标函将不予接受，评标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14:paraId="05855460">
      <w:pPr>
        <w:snapToGrid w:val="0"/>
        <w:spacing w:beforeLines="50" w:line="360" w:lineRule="auto"/>
        <w:ind w:firstLine="472" w:firstLineChars="196"/>
        <w:jc w:val="left"/>
        <w:outlineLvl w:val="1"/>
        <w:rPr>
          <w:rFonts w:ascii="宋体" w:hAnsi="宋体" w:cs="宋体"/>
          <w:b/>
          <w:bCs/>
          <w:sz w:val="24"/>
          <w:highlight w:val="none"/>
        </w:rPr>
      </w:pPr>
      <w:r>
        <w:rPr>
          <w:rFonts w:hint="eastAsia" w:ascii="宋体" w:hAnsi="宋体" w:cs="宋体"/>
          <w:b/>
          <w:bCs/>
          <w:sz w:val="24"/>
          <w:highlight w:val="none"/>
        </w:rPr>
        <w:t>投标人未按招标文件要求派代表参加电子开标会议的，视同认可开标结果，不得对开标过程及开标结果提出质疑。</w:t>
      </w:r>
    </w:p>
    <w:p w14:paraId="29DB2E74">
      <w:pPr>
        <w:rPr>
          <w:rFonts w:ascii="宋体" w:hAnsi="宋体" w:cs="宋体"/>
          <w:highlight w:val="none"/>
        </w:rPr>
      </w:pPr>
    </w:p>
    <w:p w14:paraId="0F27C323">
      <w:pPr>
        <w:snapToGrid w:val="0"/>
        <w:spacing w:line="312" w:lineRule="auto"/>
        <w:ind w:firstLine="482" w:firstLineChars="200"/>
        <w:rPr>
          <w:rFonts w:ascii="宋体" w:hAnsi="宋体" w:cs="宋体"/>
          <w:b/>
          <w:sz w:val="24"/>
          <w:highlight w:val="none"/>
        </w:rPr>
      </w:pPr>
      <w:r>
        <w:rPr>
          <w:rFonts w:hint="eastAsia" w:ascii="宋体" w:hAnsi="宋体" w:cs="宋体"/>
          <w:b/>
          <w:sz w:val="24"/>
          <w:highlight w:val="none"/>
        </w:rPr>
        <w:t>投标截止时间后及评审过程中，有效投标人不足3家的标项，则予以废标。</w:t>
      </w:r>
    </w:p>
    <w:p w14:paraId="363D6D99">
      <w:pPr>
        <w:pStyle w:val="13"/>
        <w:snapToGrid w:val="0"/>
        <w:spacing w:beforeLines="0" w:afterLines="0" w:line="360" w:lineRule="auto"/>
        <w:ind w:left="567"/>
        <w:rPr>
          <w:rFonts w:hAnsi="宋体" w:cs="宋体"/>
          <w:b/>
          <w:highlight w:val="none"/>
        </w:rPr>
      </w:pPr>
      <w:r>
        <w:rPr>
          <w:rFonts w:hint="eastAsia" w:hAnsi="宋体" w:cs="宋体"/>
          <w:b/>
          <w:highlight w:val="none"/>
        </w:rPr>
        <w:t>（二）开标程序：</w:t>
      </w:r>
    </w:p>
    <w:p w14:paraId="6FE1B602">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1、本项目原则上采用政采云电子招投标系统进行开标及评审，但有下情形之一的，按以下情况处理：</w:t>
      </w:r>
    </w:p>
    <w:p w14:paraId="5ABD9DFE">
      <w:pPr>
        <w:pStyle w:val="13"/>
        <w:adjustRightInd w:val="0"/>
        <w:snapToGrid w:val="0"/>
        <w:spacing w:before="120" w:after="120" w:line="500" w:lineRule="exact"/>
        <w:ind w:firstLine="482" w:firstLineChars="200"/>
        <w:rPr>
          <w:rFonts w:hAnsi="宋体" w:cs="宋体"/>
          <w:b/>
          <w:highlight w:val="none"/>
          <w:u w:val="single"/>
        </w:rPr>
      </w:pPr>
      <w:r>
        <w:rPr>
          <w:rFonts w:hint="eastAsia" w:hAnsi="宋体" w:cs="宋体"/>
          <w:b/>
          <w:highlight w:val="none"/>
          <w:u w:val="single"/>
        </w:rPr>
        <w:t>（1）若投标人的电子投标文件在规定时间内无法解密或解密失败，工作人员将开启投标人递交的电子备份投标文件，以完成开标。</w:t>
      </w:r>
    </w:p>
    <w:p w14:paraId="6A45E1BE">
      <w:pPr>
        <w:pStyle w:val="13"/>
        <w:snapToGrid w:val="0"/>
        <w:spacing w:before="120" w:after="120" w:line="460" w:lineRule="exact"/>
        <w:ind w:firstLine="482" w:firstLineChars="200"/>
        <w:rPr>
          <w:rFonts w:hAnsi="宋体" w:cs="宋体"/>
          <w:b/>
          <w:bCs/>
          <w:highlight w:val="none"/>
        </w:rPr>
      </w:pPr>
      <w:r>
        <w:rPr>
          <w:rFonts w:hint="eastAsia" w:hAnsi="宋体" w:cs="宋体"/>
          <w:b/>
          <w:highlight w:val="none"/>
          <w:u w:val="single"/>
        </w:rPr>
        <w:t>（2）若投标人的电子投标文件在规定时间内无法解密或解密失败，或者因政采云平台原因无法读取或电子开评标无法正常进行时，工作人员将上传投标人的电子备份投标文件，以完成开标。</w:t>
      </w:r>
    </w:p>
    <w:p w14:paraId="555072F3">
      <w:pPr>
        <w:pStyle w:val="13"/>
        <w:snapToGrid w:val="0"/>
        <w:spacing w:beforeLines="0" w:afterLines="0" w:line="240" w:lineRule="auto"/>
        <w:ind w:left="567"/>
        <w:rPr>
          <w:rFonts w:hAnsi="宋体" w:cs="宋体"/>
          <w:b/>
          <w:bCs/>
          <w:highlight w:val="none"/>
        </w:rPr>
      </w:pPr>
      <w:r>
        <w:rPr>
          <w:rFonts w:hint="eastAsia" w:hAnsi="宋体" w:cs="宋体"/>
          <w:b/>
          <w:bCs/>
          <w:highlight w:val="none"/>
        </w:rPr>
        <w:t>2、开标及评审程序</w:t>
      </w:r>
    </w:p>
    <w:p w14:paraId="6918389A">
      <w:pPr>
        <w:spacing w:line="440" w:lineRule="exact"/>
        <w:ind w:firstLine="482" w:firstLineChars="200"/>
        <w:rPr>
          <w:rFonts w:ascii="宋体" w:hAnsi="宋体" w:cs="宋体"/>
          <w:b/>
          <w:sz w:val="24"/>
          <w:highlight w:val="none"/>
        </w:rPr>
      </w:pPr>
      <w:r>
        <w:rPr>
          <w:rFonts w:hint="eastAsia" w:ascii="宋体" w:hAnsi="宋体" w:cs="宋体"/>
          <w:b/>
          <w:bCs/>
          <w:sz w:val="24"/>
          <w:highlight w:val="none"/>
        </w:rPr>
        <w:t>（1）投标截止时间后，</w:t>
      </w:r>
      <w:r>
        <w:rPr>
          <w:rFonts w:hint="eastAsia" w:ascii="宋体" w:hAnsi="宋体" w:cs="宋体"/>
          <w:b/>
          <w:sz w:val="24"/>
          <w:highlight w:val="none"/>
        </w:rPr>
        <w:t>投标人</w:t>
      </w:r>
      <w:r>
        <w:rPr>
          <w:rFonts w:hint="eastAsia" w:ascii="宋体" w:hAnsi="宋体" w:cs="宋体"/>
          <w:b/>
          <w:bCs/>
          <w:sz w:val="24"/>
          <w:highlight w:val="none"/>
        </w:rPr>
        <w:t>须</w:t>
      </w:r>
      <w:r>
        <w:rPr>
          <w:rFonts w:hint="eastAsia" w:ascii="宋体" w:hAnsi="宋体" w:cs="宋体"/>
          <w:b/>
          <w:sz w:val="24"/>
          <w:highlight w:val="none"/>
        </w:rPr>
        <w:t>登录政采云平台，用“项目采购-开标评标”功能对电子投标文件进行在线解密。在线解密电子投标文件时间为</w:t>
      </w:r>
      <w:r>
        <w:rPr>
          <w:rFonts w:hint="eastAsia" w:ascii="宋体" w:hAnsi="宋体" w:cs="宋体"/>
          <w:b/>
          <w:bCs/>
          <w:sz w:val="24"/>
          <w:highlight w:val="none"/>
        </w:rPr>
        <w:t>投标截止时间</w:t>
      </w:r>
      <w:r>
        <w:rPr>
          <w:rFonts w:hint="eastAsia" w:ascii="宋体" w:hAnsi="宋体" w:cs="宋体"/>
          <w:b/>
          <w:sz w:val="24"/>
          <w:highlight w:val="none"/>
        </w:rPr>
        <w:t>起半个小时内。</w:t>
      </w:r>
    </w:p>
    <w:p w14:paraId="46A04FD4">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（2）由评标委员会对资格审查文件进行评审，评标委员会对商务技术文件进行评审；</w:t>
      </w:r>
    </w:p>
    <w:p w14:paraId="60001F04">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（3）在系统上公开资格审查和技术商务评审结果；</w:t>
      </w:r>
    </w:p>
    <w:p w14:paraId="1BC9E93A">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（4）在系统上公开报价开标情况；</w:t>
      </w:r>
    </w:p>
    <w:p w14:paraId="6B23FFD2">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（5）评标委员会对报价情况进行评审；</w:t>
      </w:r>
    </w:p>
    <w:p w14:paraId="0C6DE9F6">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（6）在系统上公布评审结果。</w:t>
      </w:r>
    </w:p>
    <w:p w14:paraId="05FF0639">
      <w:pPr>
        <w:spacing w:line="440" w:lineRule="exact"/>
        <w:ind w:firstLine="482" w:firstLineChars="200"/>
        <w:rPr>
          <w:rFonts w:ascii="宋体" w:hAnsi="宋体" w:cs="宋体"/>
          <w:highlight w:val="none"/>
        </w:rPr>
      </w:pPr>
      <w:r>
        <w:rPr>
          <w:rFonts w:hint="eastAsia" w:ascii="宋体" w:hAnsi="宋体" w:cs="宋体"/>
          <w:b/>
          <w:bCs/>
          <w:sz w:val="24"/>
          <w:highlight w:val="none"/>
        </w:rPr>
        <w:t>特别说明：政采云公司如对电子化开标及评审程序有调整的，按调整后的程序操作。</w:t>
      </w:r>
    </w:p>
    <w:p w14:paraId="2CE6E98E">
      <w:pPr>
        <w:pStyle w:val="13"/>
        <w:snapToGrid w:val="0"/>
        <w:spacing w:beforeLines="0" w:afterLines="0" w:line="360" w:lineRule="auto"/>
        <w:ind w:left="842" w:leftChars="267" w:hanging="281" w:hangingChars="100"/>
        <w:outlineLvl w:val="1"/>
        <w:rPr>
          <w:rFonts w:hAnsi="宋体" w:cs="宋体"/>
          <w:b/>
          <w:sz w:val="28"/>
          <w:szCs w:val="28"/>
          <w:highlight w:val="none"/>
        </w:rPr>
      </w:pPr>
      <w:r>
        <w:rPr>
          <w:rFonts w:hint="eastAsia" w:hAnsi="宋体" w:cs="宋体"/>
          <w:b/>
          <w:sz w:val="28"/>
          <w:szCs w:val="28"/>
          <w:highlight w:val="none"/>
        </w:rPr>
        <w:t>五、评标</w:t>
      </w:r>
    </w:p>
    <w:p w14:paraId="1BACAC07">
      <w:pPr>
        <w:pStyle w:val="13"/>
        <w:snapToGrid w:val="0"/>
        <w:spacing w:beforeLines="0" w:afterLines="0" w:line="360" w:lineRule="auto"/>
        <w:ind w:left="720" w:leftChars="228" w:hanging="241" w:hangingChars="100"/>
        <w:rPr>
          <w:rFonts w:hAnsi="宋体" w:cs="宋体"/>
          <w:b/>
          <w:highlight w:val="none"/>
        </w:rPr>
      </w:pPr>
      <w:r>
        <w:rPr>
          <w:rFonts w:hint="eastAsia" w:hAnsi="宋体" w:cs="宋体"/>
          <w:b/>
          <w:highlight w:val="none"/>
        </w:rPr>
        <w:t>（一）组建评标委员会</w:t>
      </w:r>
    </w:p>
    <w:p w14:paraId="7E630F89">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本项目评标委员会由政府采购评审专家</w:t>
      </w:r>
      <w:r>
        <w:rPr>
          <w:rFonts w:hint="eastAsia" w:hAnsi="宋体" w:cs="宋体"/>
          <w:highlight w:val="none"/>
          <w:u w:val="single"/>
          <w:lang w:val="en-US" w:eastAsia="zh-CN"/>
        </w:rPr>
        <w:t>4</w:t>
      </w:r>
      <w:r>
        <w:rPr>
          <w:rFonts w:hint="eastAsia" w:hAnsi="宋体" w:cs="宋体"/>
          <w:highlight w:val="none"/>
        </w:rPr>
        <w:t>人和采购人代表</w:t>
      </w:r>
      <w:r>
        <w:rPr>
          <w:rFonts w:hint="eastAsia" w:hAnsi="宋体" w:cs="宋体"/>
          <w:highlight w:val="none"/>
          <w:u w:val="single"/>
          <w:lang w:val="en-US" w:eastAsia="zh-CN"/>
        </w:rPr>
        <w:t>1</w:t>
      </w:r>
      <w:r>
        <w:rPr>
          <w:rFonts w:hint="eastAsia" w:hAnsi="宋体" w:cs="宋体"/>
          <w:highlight w:val="none"/>
        </w:rPr>
        <w:t>人,共</w:t>
      </w:r>
      <w:r>
        <w:rPr>
          <w:rFonts w:hint="eastAsia" w:hAnsi="宋体" w:cs="宋体"/>
          <w:highlight w:val="none"/>
          <w:u w:val="single"/>
          <w:lang w:val="en-US" w:eastAsia="zh-CN"/>
        </w:rPr>
        <w:t>5</w:t>
      </w:r>
      <w:r>
        <w:rPr>
          <w:rFonts w:hint="eastAsia" w:hAnsi="宋体" w:cs="宋体"/>
          <w:highlight w:val="none"/>
        </w:rPr>
        <w:t>人组成。</w:t>
      </w:r>
    </w:p>
    <w:p w14:paraId="2B58A684">
      <w:pPr>
        <w:pStyle w:val="13"/>
        <w:snapToGrid w:val="0"/>
        <w:spacing w:beforeLines="0" w:afterLines="0" w:line="360" w:lineRule="auto"/>
        <w:ind w:left="720" w:leftChars="228" w:hanging="241" w:hangingChars="100"/>
        <w:rPr>
          <w:rFonts w:hAnsi="宋体" w:cs="宋体"/>
          <w:b/>
          <w:highlight w:val="none"/>
        </w:rPr>
      </w:pPr>
      <w:r>
        <w:rPr>
          <w:rFonts w:hint="eastAsia" w:hAnsi="宋体" w:cs="宋体"/>
          <w:b/>
          <w:highlight w:val="none"/>
        </w:rPr>
        <w:t>（二）评标的方式</w:t>
      </w:r>
    </w:p>
    <w:p w14:paraId="71CE06D2">
      <w:pPr>
        <w:pStyle w:val="13"/>
        <w:snapToGrid w:val="0"/>
        <w:spacing w:beforeLines="0" w:afterLines="0" w:line="360" w:lineRule="auto"/>
        <w:ind w:left="719" w:leftChars="228" w:hanging="240" w:hangingChars="100"/>
        <w:rPr>
          <w:rFonts w:hAnsi="宋体" w:cs="宋体"/>
          <w:highlight w:val="none"/>
        </w:rPr>
      </w:pPr>
      <w:r>
        <w:rPr>
          <w:rFonts w:hint="eastAsia" w:hAnsi="宋体" w:cs="宋体"/>
          <w:highlight w:val="none"/>
        </w:rPr>
        <w:t>本项目采用不公开方式评标，评标的依据为招标文件和投标文件。</w:t>
      </w:r>
    </w:p>
    <w:p w14:paraId="6DB958C3">
      <w:pPr>
        <w:pStyle w:val="13"/>
        <w:snapToGrid w:val="0"/>
        <w:spacing w:beforeLines="0" w:afterLines="0" w:line="360" w:lineRule="auto"/>
        <w:ind w:left="567"/>
        <w:rPr>
          <w:rFonts w:hAnsi="宋体" w:cs="宋体"/>
          <w:b/>
          <w:bCs/>
          <w:highlight w:val="none"/>
        </w:rPr>
      </w:pPr>
      <w:r>
        <w:rPr>
          <w:rFonts w:hint="eastAsia" w:hAnsi="宋体" w:cs="宋体"/>
          <w:b/>
          <w:bCs/>
          <w:highlight w:val="none"/>
        </w:rPr>
        <w:t>（三）评标程序</w:t>
      </w:r>
    </w:p>
    <w:p w14:paraId="4E99DC82">
      <w:pPr>
        <w:snapToGrid w:val="0"/>
        <w:spacing w:line="312" w:lineRule="auto"/>
        <w:ind w:firstLine="472" w:firstLineChars="196"/>
        <w:rPr>
          <w:rFonts w:ascii="宋体" w:hAnsi="宋体" w:cs="宋体"/>
          <w:b/>
          <w:bCs/>
          <w:sz w:val="24"/>
          <w:highlight w:val="none"/>
        </w:rPr>
      </w:pPr>
      <w:r>
        <w:rPr>
          <w:rFonts w:hint="eastAsia" w:ascii="宋体" w:hAnsi="宋体" w:cs="宋体"/>
          <w:b/>
          <w:bCs/>
          <w:sz w:val="24"/>
          <w:highlight w:val="none"/>
        </w:rPr>
        <w:t>1.资格审查</w:t>
      </w:r>
    </w:p>
    <w:p w14:paraId="5F774C17">
      <w:pPr>
        <w:snapToGrid w:val="0"/>
        <w:spacing w:line="312" w:lineRule="auto"/>
        <w:ind w:firstLine="480" w:firstLineChars="200"/>
        <w:rPr>
          <w:rFonts w:ascii="宋体" w:hAnsi="宋体" w:cs="宋体"/>
          <w:sz w:val="24"/>
          <w:highlight w:val="none"/>
        </w:rPr>
      </w:pPr>
      <w:r>
        <w:rPr>
          <w:rFonts w:hint="eastAsia" w:ascii="宋体" w:hAnsi="宋体" w:cs="宋体"/>
          <w:sz w:val="24"/>
          <w:highlight w:val="none"/>
        </w:rPr>
        <w:t>评标委员会依法对投标人的资格进行审查。</w:t>
      </w:r>
    </w:p>
    <w:p w14:paraId="37175BE0">
      <w:pPr>
        <w:snapToGrid w:val="0"/>
        <w:spacing w:line="360" w:lineRule="auto"/>
        <w:ind w:firstLine="472" w:firstLineChars="196"/>
        <w:rPr>
          <w:rFonts w:ascii="宋体" w:hAnsi="宋体" w:cs="宋体"/>
          <w:b/>
          <w:bCs/>
          <w:sz w:val="24"/>
          <w:szCs w:val="20"/>
          <w:highlight w:val="none"/>
        </w:rPr>
      </w:pPr>
      <w:r>
        <w:rPr>
          <w:rFonts w:hint="eastAsia" w:ascii="宋体" w:hAnsi="宋体" w:cs="宋体"/>
          <w:b/>
          <w:bCs/>
          <w:sz w:val="24"/>
          <w:highlight w:val="none"/>
        </w:rPr>
        <w:t>2.形式审查</w:t>
      </w:r>
    </w:p>
    <w:p w14:paraId="5C58FB1C">
      <w:pPr>
        <w:snapToGrid w:val="0"/>
        <w:spacing w:line="360" w:lineRule="auto"/>
        <w:ind w:firstLine="480" w:firstLineChars="200"/>
        <w:rPr>
          <w:rFonts w:ascii="宋体" w:hAnsi="宋体" w:cs="宋体"/>
          <w:b/>
          <w:sz w:val="24"/>
          <w:szCs w:val="20"/>
          <w:highlight w:val="none"/>
        </w:rPr>
      </w:pPr>
      <w:r>
        <w:rPr>
          <w:rFonts w:hint="eastAsia" w:ascii="宋体" w:hAnsi="宋体" w:cs="宋体"/>
          <w:sz w:val="24"/>
          <w:highlight w:val="none"/>
        </w:rPr>
        <w:t>招标方工作人员协助评标委员会对投标人的资格和投标文件的完整性、合法性等进行审查。</w:t>
      </w:r>
    </w:p>
    <w:p w14:paraId="569DFC0A">
      <w:pPr>
        <w:snapToGrid w:val="0"/>
        <w:spacing w:line="360" w:lineRule="auto"/>
        <w:ind w:firstLine="472" w:firstLineChars="196"/>
        <w:rPr>
          <w:rFonts w:ascii="宋体" w:hAnsi="宋体" w:cs="宋体"/>
          <w:b/>
          <w:bCs/>
          <w:sz w:val="24"/>
          <w:szCs w:val="20"/>
          <w:highlight w:val="none"/>
        </w:rPr>
      </w:pPr>
      <w:r>
        <w:rPr>
          <w:rFonts w:hint="eastAsia" w:ascii="宋体" w:hAnsi="宋体" w:cs="宋体"/>
          <w:b/>
          <w:bCs/>
          <w:sz w:val="24"/>
          <w:highlight w:val="none"/>
        </w:rPr>
        <w:t>3.实质审查与比较</w:t>
      </w:r>
    </w:p>
    <w:p w14:paraId="6FBA683E">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（1）评标委员会审查投标文件的实质性内容是否符合招标文件的实质性要求。</w:t>
      </w:r>
    </w:p>
    <w:p w14:paraId="7F3B19E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（2）评标委员会将对投标人的投标文件进行审查、核对,如有疑问,将对投标人进行电子询标,投标人须在规定的时间内向评标委员会澄清有关问题,并在政采云上进行询标答复。</w:t>
      </w:r>
    </w:p>
    <w:p w14:paraId="4F83A5AE">
      <w:pPr>
        <w:snapToGrid w:val="0"/>
        <w:spacing w:line="360" w:lineRule="auto"/>
        <w:ind w:firstLine="482" w:firstLineChars="200"/>
        <w:rPr>
          <w:rFonts w:ascii="宋体" w:hAnsi="宋体" w:cs="宋体"/>
          <w:highlight w:val="none"/>
        </w:rPr>
      </w:pPr>
      <w:r>
        <w:rPr>
          <w:rFonts w:hint="eastAsia" w:ascii="宋体" w:hAnsi="宋体" w:cs="宋体"/>
          <w:b/>
          <w:bCs/>
          <w:sz w:val="24"/>
          <w:highlight w:val="none"/>
        </w:rPr>
        <w:t>投标人代表未在规定的时间内进行澄清、拒绝澄清或者澄清的内容改变了投标文件的实质性内容的，评标委员会有权对该投标文件作出不利于投标人的评判。评标委员会认为投标人不符合招标文件实质性要求明确时，可不经过询标而直接予以无效标认定，但代理机构应将无效标原因当场告知投标人。</w:t>
      </w:r>
    </w:p>
    <w:p w14:paraId="651B3649">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（3）技术、商务、资信及其他分按照评标委员会成员的独立评分结果的算术平均分计算，由指定专人进行计算复核。</w:t>
      </w:r>
    </w:p>
    <w:p w14:paraId="116CA3BE">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（4）采购代理机构工作人员协助评标委员会审核投标报价有无计算错误，政采云系统根据本项目的评分标准计算各投标人的报价得分。</w:t>
      </w:r>
    </w:p>
    <w:p w14:paraId="63123FEB">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（5）评标委员会完成评标后,采购代理机构工作人员通过政采云系统对各部分得分进行汇总,计算出本项目最终得分。评标委员会按评标原则推荐中标候选人并起草评标报告。</w:t>
      </w:r>
    </w:p>
    <w:p w14:paraId="00117455">
      <w:pPr>
        <w:snapToGrid w:val="0"/>
        <w:spacing w:line="360" w:lineRule="auto"/>
        <w:ind w:firstLine="482" w:firstLineChars="200"/>
        <w:rPr>
          <w:rFonts w:ascii="宋体" w:hAnsi="宋体" w:cs="宋体"/>
          <w:b/>
          <w:sz w:val="24"/>
          <w:szCs w:val="20"/>
          <w:highlight w:val="none"/>
        </w:rPr>
      </w:pPr>
      <w:r>
        <w:rPr>
          <w:rFonts w:hint="eastAsia" w:ascii="宋体" w:hAnsi="宋体" w:cs="宋体"/>
          <w:b/>
          <w:sz w:val="24"/>
          <w:highlight w:val="none"/>
        </w:rPr>
        <w:t>（四）澄清问题的形式</w:t>
      </w:r>
    </w:p>
    <w:p w14:paraId="412D13FC">
      <w:pPr>
        <w:pStyle w:val="7"/>
        <w:snapToGrid w:val="0"/>
        <w:spacing w:line="360" w:lineRule="auto"/>
        <w:ind w:firstLine="464" w:firstLineChars="200"/>
        <w:rPr>
          <w:rFonts w:hAnsi="宋体" w:cs="宋体"/>
          <w:sz w:val="24"/>
          <w:szCs w:val="24"/>
          <w:highlight w:val="none"/>
        </w:rPr>
      </w:pPr>
      <w:r>
        <w:rPr>
          <w:rFonts w:hint="eastAsia" w:hAnsi="宋体" w:cs="宋体"/>
          <w:sz w:val="24"/>
          <w:highlight w:val="none"/>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w:t>
      </w:r>
      <w:r>
        <w:rPr>
          <w:rFonts w:hint="eastAsia" w:hAnsi="宋体" w:cs="宋体"/>
          <w:sz w:val="24"/>
          <w:szCs w:val="24"/>
          <w:highlight w:val="none"/>
        </w:rPr>
        <w:t>内容。</w:t>
      </w:r>
    </w:p>
    <w:p w14:paraId="341C0780">
      <w:pPr>
        <w:pStyle w:val="7"/>
        <w:snapToGrid w:val="0"/>
        <w:spacing w:line="360" w:lineRule="auto"/>
        <w:ind w:firstLine="466" w:firstLineChars="200"/>
        <w:rPr>
          <w:rFonts w:hAnsi="宋体" w:cs="宋体"/>
          <w:b/>
          <w:bCs/>
          <w:sz w:val="24"/>
          <w:szCs w:val="24"/>
          <w:highlight w:val="none"/>
        </w:rPr>
      </w:pPr>
      <w:r>
        <w:rPr>
          <w:rFonts w:hint="eastAsia" w:hAnsi="宋体" w:cs="宋体"/>
          <w:b/>
          <w:bCs/>
          <w:sz w:val="24"/>
          <w:szCs w:val="24"/>
          <w:highlight w:val="none"/>
        </w:rPr>
        <w:t>（五）错误修正</w:t>
      </w:r>
    </w:p>
    <w:p w14:paraId="0E3C7015">
      <w:pPr>
        <w:pStyle w:val="7"/>
        <w:snapToGrid w:val="0"/>
        <w:spacing w:line="360" w:lineRule="auto"/>
        <w:ind w:firstLine="464" w:firstLineChars="200"/>
        <w:rPr>
          <w:rFonts w:hAnsi="宋体" w:cs="宋体"/>
          <w:sz w:val="24"/>
          <w:szCs w:val="24"/>
          <w:highlight w:val="none"/>
        </w:rPr>
      </w:pPr>
      <w:r>
        <w:rPr>
          <w:rFonts w:hint="eastAsia" w:hAnsi="宋体" w:cs="宋体"/>
          <w:sz w:val="24"/>
          <w:szCs w:val="24"/>
          <w:highlight w:val="none"/>
        </w:rPr>
        <w:t>投标文件如果出现计算或表达上的错误，修正错误的原则如下：</w:t>
      </w:r>
    </w:p>
    <w:p w14:paraId="03F88D2A">
      <w:pPr>
        <w:pStyle w:val="13"/>
        <w:snapToGrid w:val="0"/>
        <w:spacing w:beforeLines="0" w:afterLines="0" w:line="312" w:lineRule="auto"/>
        <w:ind w:firstLine="480" w:firstLineChars="200"/>
        <w:rPr>
          <w:rFonts w:hAnsi="宋体" w:cs="宋体"/>
          <w:highlight w:val="none"/>
        </w:rPr>
      </w:pPr>
      <w:r>
        <w:rPr>
          <w:rFonts w:hint="eastAsia" w:hAnsi="宋体" w:cs="宋体"/>
          <w:highlight w:val="none"/>
        </w:rPr>
        <w:t>1.开标一览表总价与投标报价明细表汇总数不一致的，以开标一览表为准；</w:t>
      </w:r>
    </w:p>
    <w:p w14:paraId="024195A4">
      <w:pPr>
        <w:pStyle w:val="13"/>
        <w:snapToGrid w:val="0"/>
        <w:spacing w:beforeLines="0" w:afterLines="0" w:line="312" w:lineRule="auto"/>
        <w:ind w:firstLine="480" w:firstLineChars="200"/>
        <w:rPr>
          <w:rFonts w:hAnsi="宋体" w:cs="宋体"/>
          <w:highlight w:val="none"/>
        </w:rPr>
      </w:pPr>
      <w:r>
        <w:rPr>
          <w:rFonts w:hint="eastAsia" w:hAnsi="宋体" w:cs="宋体"/>
          <w:highlight w:val="none"/>
        </w:rPr>
        <w:t>2.投标文件的大写金额和小写金额不一致的，以大写金额为准；</w:t>
      </w:r>
    </w:p>
    <w:p w14:paraId="4EC5821B">
      <w:pPr>
        <w:pStyle w:val="13"/>
        <w:snapToGrid w:val="0"/>
        <w:spacing w:beforeLines="0" w:afterLines="0" w:line="312" w:lineRule="auto"/>
        <w:ind w:firstLine="480" w:firstLineChars="200"/>
        <w:rPr>
          <w:rFonts w:hAnsi="宋体" w:cs="宋体"/>
          <w:highlight w:val="none"/>
        </w:rPr>
      </w:pPr>
      <w:r>
        <w:rPr>
          <w:rFonts w:hint="eastAsia" w:hAnsi="宋体" w:cs="宋体"/>
          <w:highlight w:val="none"/>
        </w:rPr>
        <w:t>3.单价金额小数点或者百分比有明显错位的，以开标一览表的总价为准，并修改单价；</w:t>
      </w:r>
    </w:p>
    <w:p w14:paraId="7A6470DE">
      <w:pPr>
        <w:pStyle w:val="13"/>
        <w:snapToGrid w:val="0"/>
        <w:spacing w:beforeLines="0" w:afterLines="0" w:line="312" w:lineRule="auto"/>
        <w:ind w:firstLine="480" w:firstLineChars="200"/>
        <w:rPr>
          <w:rFonts w:hAnsi="宋体" w:cs="宋体"/>
          <w:highlight w:val="none"/>
        </w:rPr>
      </w:pPr>
      <w:r>
        <w:rPr>
          <w:rFonts w:hint="eastAsia" w:hAnsi="宋体" w:cs="宋体"/>
          <w:highlight w:val="none"/>
        </w:rPr>
        <w:t>4.总价金额与按单价汇总金额不一致的，以单价金额计算结果为准；</w:t>
      </w:r>
    </w:p>
    <w:p w14:paraId="7C7249E2">
      <w:pPr>
        <w:pStyle w:val="13"/>
        <w:snapToGrid w:val="0"/>
        <w:spacing w:beforeLines="0" w:afterLines="0" w:line="312" w:lineRule="auto"/>
        <w:ind w:firstLine="480" w:firstLineChars="200"/>
        <w:rPr>
          <w:rFonts w:hAnsi="宋体" w:cs="宋体"/>
          <w:highlight w:val="none"/>
        </w:rPr>
      </w:pPr>
      <w:r>
        <w:rPr>
          <w:rFonts w:hint="eastAsia" w:hAnsi="宋体" w:cs="宋体"/>
          <w:highlight w:val="none"/>
        </w:rPr>
        <w:t>5.对不同文字文本投标文件的解释发生异议的，以中文文本为准。</w:t>
      </w:r>
    </w:p>
    <w:p w14:paraId="4AF0F1D8">
      <w:pPr>
        <w:pStyle w:val="13"/>
        <w:snapToGrid w:val="0"/>
        <w:spacing w:beforeLines="0" w:afterLines="0" w:line="312" w:lineRule="auto"/>
        <w:ind w:firstLine="482" w:firstLineChars="200"/>
        <w:rPr>
          <w:rFonts w:hAnsi="宋体" w:cs="宋体"/>
          <w:b/>
          <w:bCs/>
          <w:highlight w:val="none"/>
        </w:rPr>
      </w:pPr>
      <w:r>
        <w:rPr>
          <w:rFonts w:hint="eastAsia" w:hAnsi="宋体" w:cs="宋体"/>
          <w:b/>
          <w:bCs/>
          <w:highlight w:val="none"/>
        </w:rPr>
        <w:t>同时出现两种以上不一致的，按照前款规定的顺序修正。修正后的报价经投标人同意并签字确认，经投标人确认后的投标报价对投标人具有约束力，投标人不确认的，如果投标人不接受修正后的报价，则其投标将作为无效投标处理。</w:t>
      </w:r>
    </w:p>
    <w:p w14:paraId="711B263D">
      <w:pPr>
        <w:pStyle w:val="13"/>
        <w:snapToGrid w:val="0"/>
        <w:spacing w:beforeLines="0" w:afterLines="0" w:line="312" w:lineRule="auto"/>
        <w:ind w:firstLine="482" w:firstLineChars="200"/>
        <w:rPr>
          <w:rFonts w:hAnsi="宋体" w:cs="宋体"/>
          <w:b/>
          <w:bCs/>
          <w:highlight w:val="none"/>
        </w:rPr>
      </w:pPr>
      <w:r>
        <w:rPr>
          <w:rFonts w:hint="eastAsia" w:hAnsi="宋体" w:cs="宋体"/>
          <w:b/>
          <w:bCs/>
          <w:highlight w:val="none"/>
        </w:rPr>
        <w:t>如响应文件中报价明细表分项价格或单价有遗报，应视作已含在投标总价中；其投标总价在评标过程中不予调整。其分项价或单价由评标委员会在投标总价不变的前提下根据合理的原则对其予以确定。</w:t>
      </w:r>
    </w:p>
    <w:p w14:paraId="7AB36840">
      <w:pPr>
        <w:pStyle w:val="13"/>
        <w:tabs>
          <w:tab w:val="left" w:pos="630"/>
        </w:tabs>
        <w:snapToGrid w:val="0"/>
        <w:spacing w:beforeLines="0" w:afterLines="0" w:line="360" w:lineRule="auto"/>
        <w:ind w:firstLine="472" w:firstLineChars="196"/>
        <w:rPr>
          <w:rFonts w:hAnsi="宋体" w:cs="宋体"/>
          <w:b/>
          <w:highlight w:val="none"/>
        </w:rPr>
      </w:pPr>
      <w:r>
        <w:rPr>
          <w:rFonts w:hint="eastAsia" w:hAnsi="宋体" w:cs="宋体"/>
          <w:b/>
          <w:highlight w:val="none"/>
        </w:rPr>
        <w:t>（六）评标原则、办法及依据</w:t>
      </w:r>
    </w:p>
    <w:p w14:paraId="64BA4B40">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48078BB">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2.评标办法。本项目评标办法是</w:t>
      </w:r>
      <w:r>
        <w:rPr>
          <w:rFonts w:hint="eastAsia" w:hAnsi="宋体" w:cs="宋体"/>
          <w:highlight w:val="none"/>
          <w:u w:val="single"/>
        </w:rPr>
        <w:t>综合评分法</w:t>
      </w:r>
      <w:r>
        <w:rPr>
          <w:rFonts w:hint="eastAsia" w:hAnsi="宋体" w:cs="宋体"/>
          <w:highlight w:val="none"/>
        </w:rPr>
        <w:t>，具体评标内容及评分标准等详见《第四章：评标办法及评分标准》。</w:t>
      </w:r>
    </w:p>
    <w:p w14:paraId="2AA54C05">
      <w:pPr>
        <w:pStyle w:val="13"/>
        <w:snapToGrid w:val="0"/>
        <w:spacing w:before="120" w:after="120" w:line="360" w:lineRule="auto"/>
        <w:ind w:firstLine="480" w:firstLineChars="200"/>
        <w:rPr>
          <w:rFonts w:hAnsi="宋体" w:cs="宋体"/>
          <w:highlight w:val="none"/>
        </w:rPr>
      </w:pPr>
      <w:r>
        <w:rPr>
          <w:rFonts w:hint="eastAsia" w:hAnsi="宋体" w:cs="宋体"/>
          <w:highlight w:val="none"/>
        </w:rPr>
        <w:t>3、评标依据：评标委员会决定投标的响应性只根据投标文件的内容，而不寻求外部的证据。</w:t>
      </w:r>
    </w:p>
    <w:p w14:paraId="2D261A20">
      <w:pPr>
        <w:pStyle w:val="13"/>
        <w:snapToGrid w:val="0"/>
        <w:spacing w:before="120" w:after="120" w:line="360" w:lineRule="auto"/>
        <w:ind w:firstLine="482" w:firstLineChars="200"/>
        <w:rPr>
          <w:rFonts w:hAnsi="宋体" w:cs="宋体"/>
          <w:highlight w:val="none"/>
        </w:rPr>
      </w:pPr>
      <w:r>
        <w:rPr>
          <w:rFonts w:hint="eastAsia" w:hAnsi="宋体" w:cs="宋体"/>
          <w:b/>
          <w:bCs/>
          <w:highlight w:val="none"/>
        </w:rPr>
        <w:t>4、在投标文件评审过程中，如果出现评标委员会成员意见不一致的情况，按照少数服从多数的原则确定。</w:t>
      </w:r>
    </w:p>
    <w:p w14:paraId="5089A8C5">
      <w:pPr>
        <w:pStyle w:val="13"/>
        <w:snapToGrid w:val="0"/>
        <w:spacing w:beforeLines="0" w:afterLines="0" w:line="360" w:lineRule="auto"/>
        <w:ind w:firstLine="472" w:firstLineChars="196"/>
        <w:rPr>
          <w:rFonts w:hAnsi="宋体" w:cs="宋体"/>
          <w:b/>
          <w:highlight w:val="none"/>
        </w:rPr>
      </w:pPr>
      <w:r>
        <w:rPr>
          <w:rFonts w:hint="eastAsia" w:hAnsi="宋体" w:cs="宋体"/>
          <w:b/>
          <w:highlight w:val="none"/>
        </w:rPr>
        <w:t>（七）评标过程的监控</w:t>
      </w:r>
    </w:p>
    <w:p w14:paraId="606BBF23">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本项目评标过程实行全程录音、录像监控，投标人在评标过程中所进行的试图影响评标结果的不公正活动，可能导致其投标被拒绝。</w:t>
      </w:r>
    </w:p>
    <w:p w14:paraId="0368DCE5">
      <w:pPr>
        <w:pStyle w:val="13"/>
        <w:snapToGrid w:val="0"/>
        <w:spacing w:beforeLines="0" w:afterLines="0" w:line="360" w:lineRule="auto"/>
        <w:ind w:firstLine="551" w:firstLineChars="196"/>
        <w:outlineLvl w:val="1"/>
        <w:rPr>
          <w:rFonts w:hAnsi="宋体" w:cs="宋体"/>
          <w:b/>
          <w:sz w:val="28"/>
          <w:szCs w:val="28"/>
          <w:highlight w:val="none"/>
        </w:rPr>
      </w:pPr>
      <w:r>
        <w:rPr>
          <w:rFonts w:hint="eastAsia" w:hAnsi="宋体" w:cs="宋体"/>
          <w:b/>
          <w:sz w:val="28"/>
          <w:szCs w:val="28"/>
          <w:highlight w:val="none"/>
        </w:rPr>
        <w:t>六、定标</w:t>
      </w:r>
    </w:p>
    <w:p w14:paraId="2AA33E04">
      <w:pPr>
        <w:pStyle w:val="13"/>
        <w:snapToGrid w:val="0"/>
        <w:spacing w:before="120" w:after="120" w:line="360" w:lineRule="auto"/>
        <w:ind w:firstLine="472" w:firstLineChars="196"/>
        <w:outlineLvl w:val="1"/>
        <w:rPr>
          <w:rFonts w:hAnsi="宋体" w:cs="宋体"/>
          <w:b/>
          <w:bCs/>
          <w:highlight w:val="none"/>
        </w:rPr>
      </w:pPr>
      <w:r>
        <w:rPr>
          <w:rFonts w:hint="eastAsia" w:hAnsi="宋体" w:cs="宋体"/>
          <w:b/>
          <w:bCs/>
          <w:highlight w:val="none"/>
        </w:rPr>
        <w:t>（一）确定中标人。本项目由采购人或者采购代理机构授权评标委员会确定中标人。</w:t>
      </w:r>
    </w:p>
    <w:p w14:paraId="66D8B325">
      <w:pPr>
        <w:pStyle w:val="13"/>
        <w:snapToGrid w:val="0"/>
        <w:spacing w:beforeLines="0" w:afterLines="0" w:line="360" w:lineRule="auto"/>
        <w:ind w:firstLine="480" w:firstLineChars="200"/>
        <w:rPr>
          <w:rFonts w:hAnsi="宋体"/>
          <w:highlight w:val="none"/>
        </w:rPr>
      </w:pPr>
      <w:r>
        <w:rPr>
          <w:rFonts w:hint="eastAsia" w:hAnsi="宋体"/>
          <w:highlight w:val="none"/>
        </w:rPr>
        <w:t>1．排名第一的候选供应商，因自身原因放弃中标成交或因不可抗力不能履行合同的，</w:t>
      </w:r>
      <w:r>
        <w:rPr>
          <w:rFonts w:hAnsi="宋体"/>
          <w:highlight w:val="none"/>
        </w:rPr>
        <w:t>采购人</w:t>
      </w:r>
      <w:r>
        <w:rPr>
          <w:rFonts w:hint="eastAsia" w:hAnsi="宋体"/>
          <w:highlight w:val="none"/>
        </w:rPr>
        <w:t>或者采购人授权的评标委员会</w:t>
      </w:r>
      <w:r>
        <w:rPr>
          <w:rFonts w:hAnsi="宋体"/>
          <w:highlight w:val="none"/>
        </w:rPr>
        <w:t>可以按照评审报告推荐的中标或者成交候选人名单排序，确定下一候选人为中标或者成交供应商，也可以重新开展政府采购活动。</w:t>
      </w:r>
    </w:p>
    <w:p w14:paraId="73A21E0F">
      <w:pPr>
        <w:pStyle w:val="13"/>
        <w:snapToGrid w:val="0"/>
        <w:spacing w:beforeLines="0" w:afterLines="0" w:line="360" w:lineRule="auto"/>
        <w:ind w:firstLine="480" w:firstLineChars="200"/>
        <w:rPr>
          <w:rFonts w:hAnsi="宋体"/>
          <w:highlight w:val="none"/>
        </w:rPr>
      </w:pPr>
      <w:r>
        <w:rPr>
          <w:rFonts w:hint="eastAsia" w:hAnsi="宋体"/>
          <w:highlight w:val="none"/>
        </w:rPr>
        <w:t>2.经质疑，采购组织机构审查确认因排名第一的候选供应商在本次采购活动中存在违法违规行为或其他原因使质疑成立的，合格供应商符合法定数量时，</w:t>
      </w:r>
      <w:r>
        <w:rPr>
          <w:rFonts w:hAnsi="宋体"/>
          <w:szCs w:val="21"/>
          <w:highlight w:val="none"/>
        </w:rPr>
        <w:t>采购人可以</w:t>
      </w:r>
      <w:r>
        <w:rPr>
          <w:rFonts w:hint="eastAsia" w:hAnsi="宋体"/>
          <w:szCs w:val="21"/>
          <w:highlight w:val="none"/>
        </w:rPr>
        <w:t>选择</w:t>
      </w:r>
      <w:r>
        <w:rPr>
          <w:rFonts w:hint="eastAsia" w:hAnsi="宋体" w:cs="宋体"/>
          <w:highlight w:val="none"/>
        </w:rPr>
        <w:t>与排位在中标人之后的第二中标候选人签订政府采购合同</w:t>
      </w:r>
      <w:r>
        <w:rPr>
          <w:rFonts w:hint="eastAsia" w:hAnsi="宋体"/>
          <w:szCs w:val="21"/>
          <w:highlight w:val="none"/>
        </w:rPr>
        <w:t>，</w:t>
      </w:r>
      <w:r>
        <w:rPr>
          <w:rFonts w:hAnsi="宋体"/>
          <w:szCs w:val="21"/>
          <w:highlight w:val="none"/>
        </w:rPr>
        <w:t>以此类推</w:t>
      </w:r>
      <w:r>
        <w:rPr>
          <w:rFonts w:hint="eastAsia" w:hAnsi="宋体" w:cs="宋体"/>
          <w:highlight w:val="none"/>
        </w:rPr>
        <w:t>；也可以</w:t>
      </w:r>
      <w:r>
        <w:rPr>
          <w:rFonts w:hint="eastAsia" w:hAnsi="宋体"/>
          <w:highlight w:val="none"/>
        </w:rPr>
        <w:t>重新开展政府采购活动。</w:t>
      </w:r>
    </w:p>
    <w:p w14:paraId="036F6B8A">
      <w:pPr>
        <w:pStyle w:val="13"/>
        <w:snapToGrid w:val="0"/>
        <w:spacing w:beforeLines="0" w:afterLines="0" w:line="360" w:lineRule="auto"/>
        <w:ind w:firstLine="480" w:firstLineChars="200"/>
        <w:rPr>
          <w:rFonts w:hAnsi="宋体"/>
          <w:highlight w:val="none"/>
        </w:rPr>
      </w:pPr>
      <w:r>
        <w:rPr>
          <w:rFonts w:hint="eastAsia" w:hAnsi="宋体" w:cs="宋体"/>
          <w:highlight w:val="none"/>
        </w:rPr>
        <w:t>3.采购人应当自收到评审报告之日起5个工作日内在评审报告推荐的中标或者成交候选人中按顺序确定中标或者成交供应商。如有投标人对评标结果提出质疑的，采购人可在质疑处理完毕后确定中标人</w:t>
      </w:r>
      <w:r>
        <w:rPr>
          <w:rFonts w:hAnsi="宋体"/>
          <w:highlight w:val="none"/>
        </w:rPr>
        <w:t>，也可以重新开展政府采购活动。</w:t>
      </w:r>
    </w:p>
    <w:p w14:paraId="6FD72A46">
      <w:pPr>
        <w:pStyle w:val="13"/>
        <w:snapToGrid w:val="0"/>
        <w:spacing w:beforeLines="0" w:afterLines="0" w:line="360" w:lineRule="auto"/>
        <w:ind w:firstLine="480" w:firstLineChars="200"/>
        <w:rPr>
          <w:rFonts w:hAnsi="宋体" w:cs="宋体"/>
          <w:highlight w:val="none"/>
        </w:rPr>
      </w:pPr>
      <w:r>
        <w:rPr>
          <w:rFonts w:hint="eastAsia" w:hAnsi="宋体" w:cs="宋体"/>
          <w:highlight w:val="none"/>
        </w:rPr>
        <w:t>4.中标公告期限为一个工作日。</w:t>
      </w:r>
    </w:p>
    <w:p w14:paraId="787F8049">
      <w:pPr>
        <w:pStyle w:val="13"/>
        <w:snapToGrid w:val="0"/>
        <w:spacing w:beforeLines="0" w:afterLines="0" w:line="360" w:lineRule="auto"/>
        <w:ind w:firstLine="480" w:firstLineChars="200"/>
        <w:rPr>
          <w:rFonts w:hAnsi="宋体" w:cs="宋体"/>
          <w:bCs/>
          <w:highlight w:val="none"/>
        </w:rPr>
      </w:pPr>
      <w:r>
        <w:rPr>
          <w:rFonts w:hint="eastAsia" w:hAnsi="宋体" w:cs="宋体"/>
          <w:highlight w:val="none"/>
        </w:rPr>
        <w:t>5.采购人或者采购代理机构应当自中标、成交供应商确定之日起2个工作日内，发出中标、成交通知书，并在省级以上人民政府财政部门指定的媒体上公告中标、成交结果。</w:t>
      </w:r>
    </w:p>
    <w:p w14:paraId="77D465DF">
      <w:pPr>
        <w:pStyle w:val="13"/>
        <w:snapToGrid w:val="0"/>
        <w:spacing w:beforeLines="0" w:afterLines="0" w:line="360" w:lineRule="auto"/>
        <w:ind w:firstLine="551" w:firstLineChars="196"/>
        <w:outlineLvl w:val="1"/>
        <w:rPr>
          <w:rFonts w:hAnsi="宋体" w:cs="宋体"/>
          <w:b/>
          <w:sz w:val="28"/>
          <w:szCs w:val="28"/>
          <w:highlight w:val="none"/>
        </w:rPr>
      </w:pPr>
      <w:r>
        <w:rPr>
          <w:rFonts w:hint="eastAsia" w:hAnsi="宋体" w:cs="宋体"/>
          <w:b/>
          <w:sz w:val="28"/>
          <w:szCs w:val="28"/>
          <w:highlight w:val="none"/>
        </w:rPr>
        <w:t>七、合同授予</w:t>
      </w:r>
    </w:p>
    <w:p w14:paraId="53E3C487">
      <w:pPr>
        <w:snapToGrid w:val="0"/>
        <w:ind w:firstLine="472" w:firstLineChars="196"/>
        <w:rPr>
          <w:rFonts w:ascii="宋体" w:hAnsi="宋体" w:cs="宋体"/>
          <w:b/>
          <w:bCs/>
          <w:sz w:val="24"/>
          <w:szCs w:val="20"/>
          <w:highlight w:val="none"/>
        </w:rPr>
      </w:pPr>
      <w:r>
        <w:rPr>
          <w:rFonts w:hint="eastAsia" w:ascii="宋体" w:hAnsi="宋体" w:cs="宋体"/>
          <w:b/>
          <w:bCs/>
          <w:sz w:val="24"/>
          <w:highlight w:val="none"/>
        </w:rPr>
        <w:t>（一）签订合同</w:t>
      </w:r>
    </w:p>
    <w:p w14:paraId="1C8480A8">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1.招标方与中标人应当在《中标通知书》发出之日起30日内签订政府采购合同。同时，采购方对合同内容进行审查，如发现与采购结果和投标承诺内容不一致的，应予以纠正。</w:t>
      </w:r>
    </w:p>
    <w:p w14:paraId="5BA65A3B">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中标人拖延、拒签合同的,将取消中标资格，并按有关规定报有关部门处罚。中标通知书发出后，若中标人放弃中标，应当承担相应的法律责任，中标通知书对采购人和中标人具有同等法律效力。当确定的中标人放弃中标，采购人可以依次类推，由下一中标候选人中标，或重新组织招标。</w:t>
      </w:r>
    </w:p>
    <w:p w14:paraId="13F8ECE3">
      <w:pPr>
        <w:pStyle w:val="13"/>
        <w:snapToGrid w:val="0"/>
        <w:spacing w:beforeLines="0" w:afterLines="0" w:line="360" w:lineRule="auto"/>
        <w:ind w:firstLine="551" w:firstLineChars="196"/>
        <w:outlineLvl w:val="1"/>
        <w:rPr>
          <w:rFonts w:hAnsi="宋体" w:cs="宋体"/>
          <w:b/>
          <w:sz w:val="28"/>
          <w:szCs w:val="28"/>
          <w:highlight w:val="none"/>
        </w:rPr>
      </w:pPr>
      <w:r>
        <w:rPr>
          <w:rFonts w:hint="eastAsia" w:hAnsi="宋体" w:cs="宋体"/>
          <w:b/>
          <w:sz w:val="28"/>
          <w:szCs w:val="28"/>
          <w:highlight w:val="none"/>
        </w:rPr>
        <w:t>八、招标代理服务费</w:t>
      </w:r>
    </w:p>
    <w:p w14:paraId="508E08AC">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1、本次采购，代理服务费按国家计委计价格[2002]1980号规定中招标收取，</w:t>
      </w:r>
      <w:r>
        <w:rPr>
          <w:rFonts w:hint="eastAsia" w:ascii="宋体" w:hAnsi="宋体" w:cs="宋体"/>
          <w:sz w:val="24"/>
          <w:highlight w:val="none"/>
          <w:lang w:val="en-US" w:eastAsia="zh-CN"/>
        </w:rPr>
        <w:t>不满3000按3000计取，</w:t>
      </w:r>
      <w:r>
        <w:rPr>
          <w:rFonts w:hint="eastAsia" w:ascii="宋体" w:hAnsi="宋体" w:cs="宋体"/>
          <w:sz w:val="24"/>
          <w:highlight w:val="none"/>
        </w:rPr>
        <w:t>该费用由中标单位在领取中标通知书时一次性支付给采购代理机构，账号信息如下：</w:t>
      </w:r>
    </w:p>
    <w:tbl>
      <w:tblPr>
        <w:tblStyle w:val="24"/>
        <w:tblW w:w="0" w:type="auto"/>
        <w:jc w:val="center"/>
        <w:tblCellSpacing w:w="0"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
      <w:tblGrid>
        <w:gridCol w:w="3701"/>
        <w:gridCol w:w="1775"/>
        <w:gridCol w:w="1522"/>
        <w:gridCol w:w="1747"/>
      </w:tblGrid>
      <w:tr w14:paraId="386DF569">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300" w:hRule="atLeast"/>
          <w:tblCellSpacing w:w="0" w:type="dxa"/>
          <w:jc w:val="center"/>
        </w:trPr>
        <w:tc>
          <w:tcPr>
            <w:tcW w:w="3701" w:type="dxa"/>
            <w:noWrap/>
            <w:vAlign w:val="center"/>
          </w:tcPr>
          <w:p w14:paraId="0247C6CB">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中标金额（万元）</w:t>
            </w:r>
          </w:p>
        </w:tc>
        <w:tc>
          <w:tcPr>
            <w:tcW w:w="1775" w:type="dxa"/>
            <w:noWrap/>
            <w:vAlign w:val="center"/>
          </w:tcPr>
          <w:p w14:paraId="60E005B8">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货物招标</w:t>
            </w:r>
          </w:p>
        </w:tc>
        <w:tc>
          <w:tcPr>
            <w:tcW w:w="1522" w:type="dxa"/>
            <w:noWrap/>
            <w:vAlign w:val="center"/>
          </w:tcPr>
          <w:p w14:paraId="1F9A3260">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服务招标</w:t>
            </w:r>
          </w:p>
        </w:tc>
        <w:tc>
          <w:tcPr>
            <w:tcW w:w="1747" w:type="dxa"/>
            <w:noWrap/>
            <w:vAlign w:val="center"/>
          </w:tcPr>
          <w:p w14:paraId="33F9E71B">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工程招标</w:t>
            </w:r>
          </w:p>
        </w:tc>
      </w:tr>
      <w:tr w14:paraId="7E1BFE36">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ign w:val="center"/>
          </w:tcPr>
          <w:p w14:paraId="1BF84ADA">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100以下</w:t>
            </w:r>
          </w:p>
        </w:tc>
        <w:tc>
          <w:tcPr>
            <w:tcW w:w="1775" w:type="dxa"/>
            <w:noWrap/>
            <w:vAlign w:val="center"/>
          </w:tcPr>
          <w:p w14:paraId="539D739D">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w:t>
            </w:r>
          </w:p>
        </w:tc>
        <w:tc>
          <w:tcPr>
            <w:tcW w:w="1522" w:type="dxa"/>
            <w:noWrap/>
            <w:vAlign w:val="center"/>
          </w:tcPr>
          <w:p w14:paraId="7A049B80">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w:t>
            </w:r>
          </w:p>
        </w:tc>
        <w:tc>
          <w:tcPr>
            <w:tcW w:w="1747" w:type="dxa"/>
            <w:noWrap/>
            <w:vAlign w:val="center"/>
          </w:tcPr>
          <w:p w14:paraId="2108614E">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w:t>
            </w:r>
          </w:p>
        </w:tc>
      </w:tr>
      <w:tr w14:paraId="77ED74CD">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ign w:val="center"/>
          </w:tcPr>
          <w:p w14:paraId="70E6C7C2">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100—500</w:t>
            </w:r>
          </w:p>
        </w:tc>
        <w:tc>
          <w:tcPr>
            <w:tcW w:w="1775" w:type="dxa"/>
            <w:noWrap/>
            <w:vAlign w:val="center"/>
          </w:tcPr>
          <w:p w14:paraId="41254BB7">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w:t>
            </w:r>
          </w:p>
        </w:tc>
        <w:tc>
          <w:tcPr>
            <w:tcW w:w="1522" w:type="dxa"/>
            <w:noWrap/>
            <w:vAlign w:val="center"/>
          </w:tcPr>
          <w:p w14:paraId="24716777">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0.8％</w:t>
            </w:r>
          </w:p>
        </w:tc>
        <w:tc>
          <w:tcPr>
            <w:tcW w:w="1747" w:type="dxa"/>
            <w:noWrap/>
            <w:vAlign w:val="center"/>
          </w:tcPr>
          <w:p w14:paraId="07ADE33D">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0.7％</w:t>
            </w:r>
          </w:p>
        </w:tc>
      </w:tr>
      <w:tr w14:paraId="37F1BB72">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ign w:val="center"/>
          </w:tcPr>
          <w:p w14:paraId="79B4A3E4">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500-1000</w:t>
            </w:r>
          </w:p>
        </w:tc>
        <w:tc>
          <w:tcPr>
            <w:tcW w:w="1775" w:type="dxa"/>
            <w:noWrap/>
            <w:vAlign w:val="center"/>
          </w:tcPr>
          <w:p w14:paraId="1540D78F">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0.8％</w:t>
            </w:r>
          </w:p>
        </w:tc>
        <w:tc>
          <w:tcPr>
            <w:tcW w:w="1522" w:type="dxa"/>
            <w:noWrap/>
            <w:vAlign w:val="center"/>
          </w:tcPr>
          <w:p w14:paraId="11B580EA">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0.45％</w:t>
            </w:r>
          </w:p>
        </w:tc>
        <w:tc>
          <w:tcPr>
            <w:tcW w:w="1747" w:type="dxa"/>
            <w:noWrap/>
            <w:vAlign w:val="center"/>
          </w:tcPr>
          <w:p w14:paraId="012FB8C7">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0.55％</w:t>
            </w:r>
          </w:p>
        </w:tc>
      </w:tr>
      <w:tr w14:paraId="3A32F3FB">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ign w:val="center"/>
          </w:tcPr>
          <w:p w14:paraId="3AB07B9C">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1000-5000</w:t>
            </w:r>
          </w:p>
        </w:tc>
        <w:tc>
          <w:tcPr>
            <w:tcW w:w="1775" w:type="dxa"/>
            <w:noWrap/>
            <w:vAlign w:val="center"/>
          </w:tcPr>
          <w:p w14:paraId="54FDC3C0">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0.5%</w:t>
            </w:r>
          </w:p>
        </w:tc>
        <w:tc>
          <w:tcPr>
            <w:tcW w:w="1522" w:type="dxa"/>
            <w:noWrap/>
            <w:vAlign w:val="center"/>
          </w:tcPr>
          <w:p w14:paraId="236F5268">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0.25%</w:t>
            </w:r>
          </w:p>
        </w:tc>
        <w:tc>
          <w:tcPr>
            <w:tcW w:w="1747" w:type="dxa"/>
            <w:noWrap/>
            <w:vAlign w:val="center"/>
          </w:tcPr>
          <w:p w14:paraId="5F940482">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0.35%</w:t>
            </w:r>
          </w:p>
        </w:tc>
      </w:tr>
    </w:tbl>
    <w:p w14:paraId="1C8EC425">
      <w:pPr>
        <w:tabs>
          <w:tab w:val="left" w:pos="6660"/>
        </w:tabs>
        <w:snapToGrid w:val="0"/>
        <w:spacing w:line="360" w:lineRule="auto"/>
        <w:ind w:firstLine="480" w:firstLineChars="200"/>
        <w:rPr>
          <w:rFonts w:ascii="宋体" w:hAnsi="宋体" w:cs="宋体"/>
          <w:sz w:val="24"/>
          <w:highlight w:val="none"/>
        </w:rPr>
      </w:pPr>
    </w:p>
    <w:p w14:paraId="6B51DB27">
      <w:pPr>
        <w:tabs>
          <w:tab w:val="left" w:pos="6660"/>
        </w:tabs>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收款单位（户名）：浙江五石中正工程咨询有限公司衢州分公司</w:t>
      </w:r>
    </w:p>
    <w:p w14:paraId="1A71FF31">
      <w:pPr>
        <w:tabs>
          <w:tab w:val="left" w:pos="6660"/>
        </w:tabs>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开  户：中国工商银行股份有限公司衢州南湖支行</w:t>
      </w:r>
    </w:p>
    <w:p w14:paraId="3E88546B">
      <w:pPr>
        <w:tabs>
          <w:tab w:val="left" w:pos="6660"/>
        </w:tabs>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账  号：1209210009200035561</w:t>
      </w:r>
    </w:p>
    <w:p w14:paraId="195D7B60">
      <w:pPr>
        <w:tabs>
          <w:tab w:val="left" w:pos="666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3、评委费</w:t>
      </w:r>
      <w:r>
        <w:rPr>
          <w:rFonts w:hint="eastAsia" w:ascii="宋体" w:hAnsi="宋体" w:cs="宋体"/>
          <w:sz w:val="24"/>
          <w:highlight w:val="none"/>
          <w:lang w:val="en-US" w:eastAsia="zh-CN"/>
        </w:rPr>
        <w:t>按实</w:t>
      </w:r>
      <w:r>
        <w:rPr>
          <w:rFonts w:hint="eastAsia" w:ascii="宋体" w:hAnsi="宋体" w:cs="宋体"/>
          <w:sz w:val="24"/>
          <w:highlight w:val="none"/>
        </w:rPr>
        <w:t>支付。</w:t>
      </w:r>
    </w:p>
    <w:p w14:paraId="31B069DC">
      <w:pPr>
        <w:tabs>
          <w:tab w:val="left" w:pos="6660"/>
        </w:tabs>
        <w:snapToGrid w:val="0"/>
        <w:spacing w:line="360" w:lineRule="auto"/>
        <w:ind w:firstLine="480" w:firstLineChars="200"/>
        <w:rPr>
          <w:rFonts w:hAnsi="宋体" w:cs="宋体"/>
          <w:b/>
          <w:bCs/>
          <w:sz w:val="32"/>
          <w:szCs w:val="32"/>
          <w:highlight w:val="none"/>
        </w:rPr>
      </w:pPr>
      <w:r>
        <w:rPr>
          <w:rFonts w:hint="eastAsia" w:ascii="宋体" w:hAnsi="宋体" w:cs="宋体"/>
          <w:sz w:val="24"/>
          <w:highlight w:val="none"/>
        </w:rPr>
        <w:t>4、以上费用不在报价中单列，请供应商在报价中予以考虑。</w:t>
      </w:r>
    </w:p>
    <w:p w14:paraId="6A83F1F1">
      <w:pPr>
        <w:pStyle w:val="13"/>
        <w:snapToGrid w:val="0"/>
        <w:spacing w:before="120" w:after="120" w:line="360" w:lineRule="auto"/>
        <w:ind w:firstLine="2570" w:firstLineChars="800"/>
        <w:rPr>
          <w:rFonts w:hAnsi="宋体" w:cs="宋体"/>
          <w:b/>
          <w:bCs/>
          <w:sz w:val="32"/>
          <w:szCs w:val="32"/>
          <w:highlight w:val="none"/>
        </w:rPr>
      </w:pPr>
    </w:p>
    <w:p w14:paraId="004FFE94">
      <w:pPr>
        <w:rPr>
          <w:rFonts w:hint="eastAsia" w:hAnsi="宋体" w:cs="宋体"/>
          <w:b/>
          <w:bCs/>
          <w:sz w:val="32"/>
          <w:szCs w:val="32"/>
          <w:highlight w:val="none"/>
        </w:rPr>
      </w:pPr>
      <w:r>
        <w:rPr>
          <w:rFonts w:hint="eastAsia" w:hAnsi="宋体" w:cs="宋体"/>
          <w:b/>
          <w:bCs/>
          <w:sz w:val="32"/>
          <w:szCs w:val="32"/>
          <w:highlight w:val="none"/>
        </w:rPr>
        <w:br w:type="page"/>
      </w:r>
    </w:p>
    <w:p w14:paraId="310DF0CD">
      <w:pPr>
        <w:pStyle w:val="13"/>
        <w:snapToGrid w:val="0"/>
        <w:spacing w:before="120" w:after="120" w:line="360" w:lineRule="auto"/>
        <w:jc w:val="center"/>
        <w:outlineLvl w:val="0"/>
        <w:rPr>
          <w:rFonts w:hAnsi="宋体" w:cs="宋体"/>
          <w:b/>
          <w:bCs/>
          <w:sz w:val="32"/>
          <w:szCs w:val="32"/>
          <w:highlight w:val="none"/>
        </w:rPr>
      </w:pPr>
      <w:r>
        <w:rPr>
          <w:rFonts w:hint="eastAsia" w:hAnsi="宋体" w:cs="宋体"/>
          <w:b/>
          <w:bCs/>
          <w:sz w:val="32"/>
          <w:szCs w:val="32"/>
          <w:highlight w:val="none"/>
        </w:rPr>
        <w:t>第三章</w:t>
      </w:r>
      <w:r>
        <w:rPr>
          <w:rFonts w:hint="eastAsia" w:hAnsi="宋体" w:cs="宋体"/>
          <w:b/>
          <w:bCs/>
          <w:sz w:val="32"/>
          <w:szCs w:val="32"/>
          <w:highlight w:val="none"/>
          <w:lang w:val="en-US" w:eastAsia="zh-CN"/>
        </w:rPr>
        <w:t xml:space="preserve">   </w:t>
      </w:r>
      <w:r>
        <w:rPr>
          <w:rFonts w:hint="eastAsia" w:hAnsi="宋体" w:cs="宋体"/>
          <w:b/>
          <w:bCs/>
          <w:sz w:val="32"/>
          <w:szCs w:val="32"/>
          <w:highlight w:val="none"/>
        </w:rPr>
        <w:t>招标需求</w:t>
      </w:r>
    </w:p>
    <w:p w14:paraId="72370B17">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一、保险对象</w:t>
      </w:r>
    </w:p>
    <w:p w14:paraId="61CA5386">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color w:val="000000" w:themeColor="text1"/>
          <w:sz w:val="24"/>
          <w:szCs w:val="24"/>
          <w:highlight w:val="none"/>
          <w:lang w:eastAsia="zh-CN"/>
        </w:rPr>
        <w:t>计生特殊</w:t>
      </w:r>
      <w:r>
        <w:rPr>
          <w:rFonts w:hint="eastAsia" w:asciiTheme="minorEastAsia" w:hAnsiTheme="minorEastAsia" w:eastAsiaTheme="minorEastAsia" w:cstheme="minorEastAsia"/>
          <w:b/>
          <w:color w:val="000000" w:themeColor="text1"/>
          <w:sz w:val="24"/>
          <w:szCs w:val="24"/>
          <w:highlight w:val="none"/>
        </w:rPr>
        <w:t>家庭参保对象：</w:t>
      </w:r>
      <w:r>
        <w:rPr>
          <w:rFonts w:hint="eastAsia" w:asciiTheme="minorEastAsia" w:hAnsiTheme="minorEastAsia" w:eastAsiaTheme="minorEastAsia" w:cstheme="minorEastAsia"/>
          <w:color w:val="000000" w:themeColor="text1"/>
          <w:sz w:val="24"/>
          <w:szCs w:val="24"/>
          <w:highlight w:val="none"/>
        </w:rPr>
        <w:t>独生子女发生三级以上伤残或死亡、未再生育或收养子女的家庭</w:t>
      </w:r>
      <w:r>
        <w:rPr>
          <w:rFonts w:hint="eastAsia" w:asciiTheme="minorEastAsia" w:hAnsiTheme="minorEastAsia" w:eastAsiaTheme="minorEastAsia" w:cstheme="minorEastAsia"/>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rPr>
        <w:t>女方年满 49 周岁以上的计划生育特殊家庭</w:t>
      </w:r>
      <w:r>
        <w:rPr>
          <w:rFonts w:hint="eastAsia" w:asciiTheme="minorEastAsia" w:hAnsiTheme="minorEastAsia" w:eastAsiaTheme="minorEastAsia" w:cstheme="minorEastAsia"/>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rPr>
        <w:t>计划生育手术并发症的家庭。</w:t>
      </w:r>
    </w:p>
    <w:p w14:paraId="61967EE0">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二、保险费</w:t>
      </w:r>
    </w:p>
    <w:tbl>
      <w:tblPr>
        <w:tblStyle w:val="24"/>
        <w:tblpPr w:leftFromText="180" w:rightFromText="180" w:vertAnchor="text" w:horzAnchor="page" w:tblpX="1387" w:tblpY="377"/>
        <w:tblOverlap w:val="never"/>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5"/>
        <w:gridCol w:w="1751"/>
        <w:gridCol w:w="1719"/>
        <w:gridCol w:w="1323"/>
        <w:gridCol w:w="1372"/>
      </w:tblGrid>
      <w:tr w14:paraId="0F39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025" w:type="dxa"/>
            <w:noWrap w:val="0"/>
            <w:vAlign w:val="center"/>
          </w:tcPr>
          <w:p w14:paraId="028261DC">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项目名称</w:t>
            </w:r>
          </w:p>
        </w:tc>
        <w:tc>
          <w:tcPr>
            <w:tcW w:w="1751" w:type="dxa"/>
            <w:noWrap w:val="0"/>
            <w:vAlign w:val="center"/>
          </w:tcPr>
          <w:p w14:paraId="342DF1E8">
            <w:pPr>
              <w:keepNext w:val="0"/>
              <w:keepLines w:val="0"/>
              <w:pageBreakBefore w:val="0"/>
              <w:widowControl/>
              <w:kinsoku/>
              <w:wordWrap/>
              <w:overflowPunct/>
              <w:topLinePunct w:val="0"/>
              <w:autoSpaceDE/>
              <w:autoSpaceDN/>
              <w:bidi w:val="0"/>
              <w:adjustRightInd/>
              <w:spacing w:line="360" w:lineRule="auto"/>
              <w:ind w:firstLine="482" w:firstLineChars="20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采购内容</w:t>
            </w:r>
          </w:p>
        </w:tc>
        <w:tc>
          <w:tcPr>
            <w:tcW w:w="1719" w:type="dxa"/>
            <w:noWrap w:val="0"/>
            <w:vAlign w:val="center"/>
          </w:tcPr>
          <w:p w14:paraId="26E5D84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年预估</w:t>
            </w:r>
            <w:r>
              <w:rPr>
                <w:rFonts w:hint="eastAsia" w:asciiTheme="minorEastAsia" w:hAnsiTheme="minorEastAsia" w:eastAsiaTheme="minorEastAsia" w:cstheme="minorEastAsia"/>
                <w:b/>
                <w:color w:val="auto"/>
                <w:sz w:val="24"/>
                <w:szCs w:val="24"/>
                <w:highlight w:val="none"/>
              </w:rPr>
              <w:t>量</w:t>
            </w:r>
          </w:p>
        </w:tc>
        <w:tc>
          <w:tcPr>
            <w:tcW w:w="1323" w:type="dxa"/>
            <w:noWrap w:val="0"/>
            <w:vAlign w:val="center"/>
          </w:tcPr>
          <w:p w14:paraId="6175FA5F">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保险费</w:t>
            </w:r>
          </w:p>
        </w:tc>
        <w:tc>
          <w:tcPr>
            <w:tcW w:w="1372" w:type="dxa"/>
            <w:noWrap w:val="0"/>
            <w:vAlign w:val="center"/>
          </w:tcPr>
          <w:p w14:paraId="4929DAC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保险期限</w:t>
            </w:r>
          </w:p>
        </w:tc>
      </w:tr>
      <w:tr w14:paraId="6BA9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3025" w:type="dxa"/>
            <w:noWrap w:val="0"/>
            <w:vAlign w:val="center"/>
          </w:tcPr>
          <w:p w14:paraId="7CBFA12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5-2027</w:t>
            </w:r>
            <w:r>
              <w:rPr>
                <w:rFonts w:hint="eastAsia" w:asciiTheme="minorEastAsia" w:hAnsiTheme="minorEastAsia" w:eastAsiaTheme="minorEastAsia" w:cstheme="minorEastAsia"/>
                <w:color w:val="auto"/>
                <w:sz w:val="24"/>
                <w:szCs w:val="24"/>
                <w:highlight w:val="none"/>
                <w:lang w:eastAsia="zh-CN"/>
              </w:rPr>
              <w:t>年衢江区计生特殊家庭健康保险采购项目</w:t>
            </w:r>
          </w:p>
        </w:tc>
        <w:tc>
          <w:tcPr>
            <w:tcW w:w="1751" w:type="dxa"/>
            <w:noWrap w:val="0"/>
            <w:vAlign w:val="center"/>
          </w:tcPr>
          <w:p w14:paraId="7C26AC0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特殊家庭保险</w:t>
            </w:r>
          </w:p>
        </w:tc>
        <w:tc>
          <w:tcPr>
            <w:tcW w:w="1719" w:type="dxa"/>
            <w:noWrap w:val="0"/>
            <w:vAlign w:val="center"/>
          </w:tcPr>
          <w:p w14:paraId="7DEE8C8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858人</w:t>
            </w:r>
          </w:p>
        </w:tc>
        <w:tc>
          <w:tcPr>
            <w:tcW w:w="1323" w:type="dxa"/>
            <w:noWrap w:val="0"/>
            <w:vAlign w:val="center"/>
          </w:tcPr>
          <w:p w14:paraId="5F164B5B">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268元/人/年</w:t>
            </w:r>
          </w:p>
        </w:tc>
        <w:tc>
          <w:tcPr>
            <w:tcW w:w="1372" w:type="dxa"/>
            <w:noWrap w:val="0"/>
            <w:vAlign w:val="center"/>
          </w:tcPr>
          <w:p w14:paraId="1C7B5F6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年</w:t>
            </w:r>
          </w:p>
        </w:tc>
      </w:tr>
    </w:tbl>
    <w:p w14:paraId="6E5CC201">
      <w:pPr>
        <w:keepNext w:val="0"/>
        <w:keepLines w:val="0"/>
        <w:pageBreakBefore w:val="0"/>
        <w:widowControl/>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被保险人无年龄上限，单位统一投保。</w:t>
      </w:r>
    </w:p>
    <w:p w14:paraId="3823108A">
      <w:pPr>
        <w:keepNext w:val="0"/>
        <w:keepLines w:val="0"/>
        <w:pageBreakBefore w:val="0"/>
        <w:widowControl/>
        <w:numPr>
          <w:ilvl w:val="0"/>
          <w:numId w:val="6"/>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重大疾病</w:t>
      </w:r>
      <w:r>
        <w:rPr>
          <w:rFonts w:hint="eastAsia" w:asciiTheme="minorEastAsia" w:hAnsiTheme="minorEastAsia" w:eastAsiaTheme="minorEastAsia" w:cstheme="minorEastAsia"/>
          <w:color w:val="auto"/>
          <w:sz w:val="24"/>
          <w:szCs w:val="24"/>
          <w:highlight w:val="none"/>
          <w:lang w:val="en-US" w:eastAsia="zh-CN"/>
        </w:rPr>
        <w:t>保险</w:t>
      </w:r>
      <w:r>
        <w:rPr>
          <w:rFonts w:hint="eastAsia" w:asciiTheme="minorEastAsia" w:hAnsiTheme="minorEastAsia" w:eastAsiaTheme="minorEastAsia" w:cstheme="minorEastAsia"/>
          <w:color w:val="auto"/>
          <w:sz w:val="24"/>
          <w:szCs w:val="24"/>
          <w:highlight w:val="none"/>
        </w:rPr>
        <w:t>续保人员无疾病等待期，当年新增参保对象有30天等待期。</w:t>
      </w:r>
    </w:p>
    <w:p w14:paraId="7DC12CC6">
      <w:pPr>
        <w:keepNext w:val="0"/>
        <w:keepLines w:val="0"/>
        <w:pageBreakBefore w:val="0"/>
        <w:widowControl/>
        <w:numPr>
          <w:ilvl w:val="0"/>
          <w:numId w:val="6"/>
        </w:numPr>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3年预估量2575人次。</w:t>
      </w:r>
    </w:p>
    <w:p w14:paraId="6D2F5820">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24"/>
          <w:szCs w:val="24"/>
          <w:highlight w:val="none"/>
        </w:rPr>
        <w:t>三、保险期限</w:t>
      </w:r>
    </w:p>
    <w:p w14:paraId="349C4EE1">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月至202</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月。保险期限共</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w:t>
      </w:r>
    </w:p>
    <w:p w14:paraId="0C864995">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四、</w:t>
      </w:r>
      <w:r>
        <w:rPr>
          <w:rFonts w:hint="eastAsia" w:asciiTheme="minorEastAsia" w:hAnsiTheme="minorEastAsia" w:eastAsiaTheme="minorEastAsia" w:cstheme="minorEastAsia"/>
          <w:b/>
          <w:color w:val="auto"/>
          <w:sz w:val="24"/>
          <w:szCs w:val="24"/>
          <w:highlight w:val="none"/>
          <w:lang w:val="en-US" w:eastAsia="zh-CN"/>
        </w:rPr>
        <w:t>保险责任和保险金额</w:t>
      </w:r>
    </w:p>
    <w:tbl>
      <w:tblPr>
        <w:tblStyle w:val="24"/>
        <w:tblW w:w="85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32"/>
        <w:gridCol w:w="3888"/>
      </w:tblGrid>
      <w:tr w14:paraId="20D0A8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4632" w:type="dxa"/>
            <w:noWrap w:val="0"/>
            <w:vAlign w:val="center"/>
          </w:tcPr>
          <w:p w14:paraId="4A3B1FA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保险责任</w:t>
            </w:r>
          </w:p>
        </w:tc>
        <w:tc>
          <w:tcPr>
            <w:tcW w:w="3888" w:type="dxa"/>
            <w:noWrap w:val="0"/>
            <w:vAlign w:val="center"/>
          </w:tcPr>
          <w:p w14:paraId="7A2F968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保险金额</w:t>
            </w:r>
          </w:p>
        </w:tc>
      </w:tr>
      <w:tr w14:paraId="6A075B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4632" w:type="dxa"/>
            <w:noWrap w:val="0"/>
            <w:vAlign w:val="center"/>
          </w:tcPr>
          <w:p w14:paraId="4FE9BA69">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30种</w:t>
            </w:r>
            <w:r>
              <w:rPr>
                <w:rFonts w:hint="eastAsia" w:asciiTheme="minorEastAsia" w:hAnsiTheme="minorEastAsia" w:eastAsiaTheme="minorEastAsia" w:cstheme="minorEastAsia"/>
                <w:color w:val="auto"/>
                <w:sz w:val="24"/>
                <w:szCs w:val="24"/>
                <w:highlight w:val="none"/>
              </w:rPr>
              <w:t>重大疾病</w:t>
            </w:r>
          </w:p>
        </w:tc>
        <w:tc>
          <w:tcPr>
            <w:tcW w:w="3888" w:type="dxa"/>
            <w:noWrap w:val="0"/>
            <w:vAlign w:val="center"/>
          </w:tcPr>
          <w:p w14:paraId="6DA56A0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10000 元</w:t>
            </w:r>
          </w:p>
        </w:tc>
      </w:tr>
      <w:tr w14:paraId="558227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4632" w:type="dxa"/>
            <w:noWrap w:val="0"/>
            <w:vAlign w:val="center"/>
          </w:tcPr>
          <w:p w14:paraId="59D3D06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二级(含)以上医院住院治疗</w:t>
            </w:r>
          </w:p>
        </w:tc>
        <w:tc>
          <w:tcPr>
            <w:tcW w:w="3888" w:type="dxa"/>
            <w:noWrap w:val="0"/>
            <w:vAlign w:val="center"/>
          </w:tcPr>
          <w:p w14:paraId="40FAD45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100元/天</w:t>
            </w:r>
          </w:p>
        </w:tc>
      </w:tr>
      <w:tr w14:paraId="33443B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4632" w:type="dxa"/>
            <w:noWrap w:val="0"/>
            <w:vAlign w:val="center"/>
          </w:tcPr>
          <w:p w14:paraId="70E5EA1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意外身故、伤残</w:t>
            </w:r>
          </w:p>
        </w:tc>
        <w:tc>
          <w:tcPr>
            <w:tcW w:w="3888" w:type="dxa"/>
            <w:noWrap w:val="0"/>
            <w:vAlign w:val="center"/>
          </w:tcPr>
          <w:p w14:paraId="544EF74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30000元</w:t>
            </w:r>
          </w:p>
        </w:tc>
      </w:tr>
    </w:tbl>
    <w:p w14:paraId="738A7E22">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注：请提供不同的保险险种对应的理赔金额及理赔方案。</w:t>
      </w:r>
    </w:p>
    <w:p w14:paraId="3AB02FD2">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五、</w:t>
      </w:r>
      <w:r>
        <w:rPr>
          <w:rFonts w:hint="eastAsia" w:asciiTheme="minorEastAsia" w:hAnsiTheme="minorEastAsia" w:eastAsiaTheme="minorEastAsia" w:cstheme="minorEastAsia"/>
          <w:b/>
          <w:color w:val="auto"/>
          <w:sz w:val="24"/>
          <w:szCs w:val="24"/>
          <w:highlight w:val="none"/>
        </w:rPr>
        <w:t>30种重大疾病</w:t>
      </w:r>
    </w:p>
    <w:p w14:paraId="7AAACD3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①恶性肿瘤、②较重急性心肌梗死、③严重脑中风后遗症、④重大器官移植术或造血干细胞移植术、⑤冠状动脉搭桥术(或称冠状动脉旁路移植术)、⑥严重慢性肾衰竭、</w:t>
      </w:r>
      <w:r>
        <w:rPr>
          <w:rFonts w:hint="eastAsia" w:ascii="微软雅黑" w:hAnsi="微软雅黑" w:eastAsia="微软雅黑" w:cs="微软雅黑"/>
          <w:color w:val="auto"/>
          <w:sz w:val="24"/>
          <w:szCs w:val="24"/>
          <w:highlight w:val="none"/>
        </w:rPr>
        <w:t>⑦</w:t>
      </w:r>
      <w:r>
        <w:rPr>
          <w:rFonts w:hint="eastAsia" w:asciiTheme="minorEastAsia" w:hAnsiTheme="minorEastAsia" w:eastAsiaTheme="minorEastAsia" w:cstheme="minorEastAsia"/>
          <w:color w:val="auto"/>
          <w:sz w:val="24"/>
          <w:szCs w:val="24"/>
          <w:highlight w:val="none"/>
        </w:rPr>
        <w:t>多个肢体缺失、</w:t>
      </w:r>
      <w:r>
        <w:rPr>
          <w:rFonts w:hint="eastAsia" w:ascii="微软雅黑" w:hAnsi="微软雅黑" w:eastAsia="微软雅黑" w:cs="微软雅黑"/>
          <w:color w:val="auto"/>
          <w:sz w:val="24"/>
          <w:szCs w:val="24"/>
          <w:highlight w:val="none"/>
        </w:rPr>
        <w:t>⑧</w:t>
      </w:r>
      <w:r>
        <w:rPr>
          <w:rFonts w:hint="eastAsia" w:asciiTheme="minorEastAsia" w:hAnsiTheme="minorEastAsia" w:eastAsiaTheme="minorEastAsia" w:cstheme="minorEastAsia"/>
          <w:color w:val="auto"/>
          <w:sz w:val="24"/>
          <w:szCs w:val="24"/>
          <w:highlight w:val="none"/>
        </w:rPr>
        <w:t>急性重症肝炎或亚急性重症肝炎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⑨严重非恶性颅内肿瘤、</w:t>
      </w:r>
      <w:r>
        <w:rPr>
          <w:rFonts w:hint="eastAsia" w:ascii="微软雅黑" w:hAnsi="微软雅黑" w:eastAsia="微软雅黑" w:cs="微软雅黑"/>
          <w:color w:val="auto"/>
          <w:sz w:val="24"/>
          <w:szCs w:val="24"/>
          <w:highlight w:val="none"/>
        </w:rPr>
        <w:t>⑩</w:t>
      </w:r>
      <w:r>
        <w:rPr>
          <w:rFonts w:hint="eastAsia" w:asciiTheme="minorEastAsia" w:hAnsiTheme="minorEastAsia" w:eastAsiaTheme="minorEastAsia" w:cstheme="minorEastAsia"/>
          <w:color w:val="auto"/>
          <w:sz w:val="24"/>
          <w:szCs w:val="24"/>
          <w:highlight w:val="none"/>
        </w:rPr>
        <w:t>严重慢性肝衰竭、</w:t>
      </w:r>
      <w:r>
        <w:rPr>
          <w:rFonts w:hint="eastAsia" w:ascii="微软雅黑" w:hAnsi="微软雅黑" w:eastAsia="微软雅黑" w:cs="微软雅黑"/>
          <w:color w:val="auto"/>
          <w:sz w:val="24"/>
          <w:szCs w:val="24"/>
          <w:highlight w:val="none"/>
        </w:rPr>
        <w:t>⑪</w:t>
      </w:r>
      <w:r>
        <w:rPr>
          <w:rFonts w:hint="eastAsia" w:asciiTheme="minorEastAsia" w:hAnsiTheme="minorEastAsia" w:eastAsiaTheme="minorEastAsia" w:cstheme="minorEastAsia"/>
          <w:color w:val="auto"/>
          <w:sz w:val="24"/>
          <w:szCs w:val="24"/>
          <w:highlight w:val="none"/>
        </w:rPr>
        <w:t>严重脑炎后遗症或严重脑膜炎后遗症</w:t>
      </w:r>
      <w:r>
        <w:rPr>
          <w:rFonts w:hint="eastAsia" w:asciiTheme="minorEastAsia" w:hAnsiTheme="minorEastAsia" w:eastAsiaTheme="minorEastAsia" w:cs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⑫</w:t>
      </w:r>
      <w:r>
        <w:rPr>
          <w:rFonts w:hint="eastAsia" w:asciiTheme="minorEastAsia" w:hAnsiTheme="minorEastAsia" w:eastAsiaTheme="minorEastAsia" w:cstheme="minorEastAsia"/>
          <w:color w:val="auto"/>
          <w:sz w:val="24"/>
          <w:szCs w:val="24"/>
          <w:highlight w:val="none"/>
        </w:rPr>
        <w:t>深度昏迷、</w:t>
      </w:r>
      <w:r>
        <w:rPr>
          <w:rFonts w:hint="eastAsia" w:ascii="微软雅黑" w:hAnsi="微软雅黑" w:eastAsia="微软雅黑" w:cs="微软雅黑"/>
          <w:color w:val="auto"/>
          <w:sz w:val="24"/>
          <w:szCs w:val="24"/>
          <w:highlight w:val="none"/>
        </w:rPr>
        <w:t>⑬</w:t>
      </w:r>
      <w:r>
        <w:rPr>
          <w:rFonts w:hint="eastAsia" w:asciiTheme="minorEastAsia" w:hAnsiTheme="minorEastAsia" w:eastAsiaTheme="minorEastAsia" w:cstheme="minorEastAsia"/>
          <w:color w:val="auto"/>
          <w:sz w:val="24"/>
          <w:szCs w:val="24"/>
          <w:highlight w:val="none"/>
        </w:rPr>
        <w:t>特定年龄双耳失聪、</w:t>
      </w:r>
      <w:r>
        <w:rPr>
          <w:rFonts w:hint="eastAsia" w:ascii="微软雅黑" w:hAnsi="微软雅黑" w:eastAsia="微软雅黑" w:cs="微软雅黑"/>
          <w:color w:val="auto"/>
          <w:sz w:val="24"/>
          <w:szCs w:val="24"/>
          <w:highlight w:val="none"/>
        </w:rPr>
        <w:t>⑭</w:t>
      </w:r>
      <w:r>
        <w:rPr>
          <w:rFonts w:hint="eastAsia" w:asciiTheme="minorEastAsia" w:hAnsiTheme="minorEastAsia" w:eastAsiaTheme="minorEastAsia" w:cstheme="minorEastAsia"/>
          <w:color w:val="auto"/>
          <w:sz w:val="24"/>
          <w:szCs w:val="24"/>
          <w:highlight w:val="none"/>
        </w:rPr>
        <w:t>特定年龄双目失明、⑮瘫痪、</w:t>
      </w:r>
      <w:r>
        <w:rPr>
          <w:rFonts w:hint="eastAsia" w:ascii="微软雅黑" w:hAnsi="微软雅黑" w:eastAsia="微软雅黑" w:cs="微软雅黑"/>
          <w:color w:val="auto"/>
          <w:sz w:val="24"/>
          <w:szCs w:val="24"/>
          <w:highlight w:val="none"/>
        </w:rPr>
        <w:t>⑯</w:t>
      </w:r>
      <w:r>
        <w:rPr>
          <w:rFonts w:hint="eastAsia" w:asciiTheme="minorEastAsia" w:hAnsiTheme="minorEastAsia" w:eastAsiaTheme="minorEastAsia" w:cstheme="minorEastAsia"/>
          <w:color w:val="auto"/>
          <w:sz w:val="24"/>
          <w:szCs w:val="24"/>
          <w:highlight w:val="none"/>
        </w:rPr>
        <w:t>心脏瓣膜手术</w:t>
      </w:r>
      <w:r>
        <w:rPr>
          <w:rFonts w:hint="eastAsia" w:asciiTheme="minorEastAsia" w:hAnsiTheme="minorEastAsia" w:eastAsiaTheme="minorEastAsia" w:cstheme="minorEastAsia"/>
          <w:color w:val="auto"/>
          <w:sz w:val="24"/>
          <w:szCs w:val="24"/>
          <w:highlight w:val="none"/>
          <w:lang w:eastAsia="zh-CN"/>
        </w:rPr>
        <w:t>、</w:t>
      </w:r>
      <w:r>
        <w:rPr>
          <w:rFonts w:hint="eastAsia" w:ascii="微软雅黑" w:hAnsi="微软雅黑" w:eastAsia="微软雅黑" w:cs="微软雅黑"/>
          <w:color w:val="auto"/>
          <w:sz w:val="24"/>
          <w:szCs w:val="24"/>
          <w:highlight w:val="none"/>
          <w:lang w:eastAsia="zh-CN"/>
        </w:rPr>
        <w:t>⑰</w:t>
      </w:r>
      <w:r>
        <w:rPr>
          <w:rFonts w:hint="eastAsia" w:asciiTheme="minorEastAsia" w:hAnsiTheme="minorEastAsia" w:eastAsiaTheme="minorEastAsia" w:cstheme="minorEastAsia"/>
          <w:color w:val="auto"/>
          <w:sz w:val="24"/>
          <w:szCs w:val="24"/>
          <w:highlight w:val="none"/>
        </w:rPr>
        <w:t>严重阿尔茨海默病、</w:t>
      </w:r>
      <w:r>
        <w:rPr>
          <w:rFonts w:hint="eastAsia" w:ascii="微软雅黑" w:hAnsi="微软雅黑" w:eastAsia="微软雅黑" w:cs="微软雅黑"/>
          <w:color w:val="auto"/>
          <w:sz w:val="24"/>
          <w:szCs w:val="24"/>
          <w:highlight w:val="none"/>
        </w:rPr>
        <w:t>⑱</w:t>
      </w:r>
      <w:r>
        <w:rPr>
          <w:rFonts w:hint="eastAsia" w:asciiTheme="minorEastAsia" w:hAnsiTheme="minorEastAsia" w:eastAsiaTheme="minorEastAsia" w:cstheme="minorEastAsia"/>
          <w:color w:val="auto"/>
          <w:sz w:val="24"/>
          <w:szCs w:val="24"/>
          <w:highlight w:val="none"/>
        </w:rPr>
        <w:t>严重脑损伤、</w:t>
      </w:r>
      <w:r>
        <w:rPr>
          <w:rFonts w:hint="eastAsia" w:ascii="微软雅黑" w:hAnsi="微软雅黑" w:eastAsia="微软雅黑" w:cs="微软雅黑"/>
          <w:color w:val="auto"/>
          <w:sz w:val="24"/>
          <w:szCs w:val="24"/>
          <w:highlight w:val="none"/>
        </w:rPr>
        <w:t>⑲</w:t>
      </w:r>
      <w:r>
        <w:rPr>
          <w:rFonts w:hint="eastAsia" w:asciiTheme="minorEastAsia" w:hAnsiTheme="minorEastAsia" w:eastAsiaTheme="minorEastAsia" w:cstheme="minorEastAsia"/>
          <w:color w:val="auto"/>
          <w:sz w:val="24"/>
          <w:szCs w:val="24"/>
          <w:highlight w:val="none"/>
        </w:rPr>
        <w:t>严重原发性帕金森病、</w:t>
      </w:r>
      <w:r>
        <w:rPr>
          <w:rFonts w:hint="eastAsia" w:ascii="微软雅黑" w:hAnsi="微软雅黑" w:eastAsia="微软雅黑" w:cs="微软雅黑"/>
          <w:color w:val="auto"/>
          <w:sz w:val="24"/>
          <w:szCs w:val="24"/>
          <w:highlight w:val="none"/>
        </w:rPr>
        <w:t>⑳</w:t>
      </w:r>
      <w:r>
        <w:rPr>
          <w:rFonts w:hint="eastAsia" w:asciiTheme="minorEastAsia" w:hAnsiTheme="minorEastAsia" w:eastAsiaTheme="minorEastAsia" w:cstheme="minorEastAsia"/>
          <w:color w:val="auto"/>
          <w:sz w:val="24"/>
          <w:szCs w:val="24"/>
          <w:highlight w:val="none"/>
        </w:rPr>
        <w:t>严重Ш度烧伤、</w:t>
      </w:r>
      <w:r>
        <w:rPr>
          <w:rFonts w:hint="eastAsia" w:ascii="微软雅黑" w:hAnsi="微软雅黑" w:eastAsia="微软雅黑" w:cs="微软雅黑"/>
          <w:color w:val="auto"/>
          <w:sz w:val="24"/>
          <w:szCs w:val="24"/>
          <w:highlight w:val="none"/>
        </w:rPr>
        <w:t>㉑</w:t>
      </w:r>
      <w:r>
        <w:rPr>
          <w:rFonts w:hint="eastAsia" w:asciiTheme="minorEastAsia" w:hAnsiTheme="minorEastAsia" w:eastAsiaTheme="minorEastAsia" w:cstheme="minorEastAsia"/>
          <w:color w:val="auto"/>
          <w:sz w:val="24"/>
          <w:szCs w:val="24"/>
          <w:highlight w:val="none"/>
        </w:rPr>
        <w:t>严重特发性肺动脉高压、</w:t>
      </w:r>
      <w:r>
        <w:rPr>
          <w:rFonts w:hint="eastAsia" w:ascii="微软雅黑" w:hAnsi="微软雅黑" w:eastAsia="微软雅黑" w:cs="微软雅黑"/>
          <w:color w:val="auto"/>
          <w:sz w:val="24"/>
          <w:szCs w:val="24"/>
          <w:highlight w:val="none"/>
        </w:rPr>
        <w:t>㉒</w:t>
      </w:r>
      <w:r>
        <w:rPr>
          <w:rFonts w:hint="eastAsia" w:asciiTheme="minorEastAsia" w:hAnsiTheme="minorEastAsia" w:eastAsiaTheme="minorEastAsia" w:cstheme="minorEastAsia"/>
          <w:color w:val="auto"/>
          <w:sz w:val="24"/>
          <w:szCs w:val="24"/>
          <w:highlight w:val="none"/>
        </w:rPr>
        <w:t>严重运动神经元病、</w:t>
      </w:r>
      <w:r>
        <w:rPr>
          <w:rFonts w:hint="eastAsia" w:ascii="微软雅黑" w:hAnsi="微软雅黑" w:eastAsia="微软雅黑" w:cs="微软雅黑"/>
          <w:color w:val="auto"/>
          <w:sz w:val="24"/>
          <w:szCs w:val="24"/>
          <w:highlight w:val="none"/>
        </w:rPr>
        <w:t>㉓</w:t>
      </w:r>
      <w:r>
        <w:rPr>
          <w:rFonts w:hint="eastAsia" w:asciiTheme="minorEastAsia" w:hAnsiTheme="minorEastAsia" w:eastAsiaTheme="minorEastAsia" w:cstheme="minorEastAsia"/>
          <w:color w:val="auto"/>
          <w:sz w:val="24"/>
          <w:szCs w:val="24"/>
          <w:highlight w:val="none"/>
        </w:rPr>
        <w:t>语言能力丧失、</w:t>
      </w:r>
      <w:r>
        <w:rPr>
          <w:rFonts w:hint="eastAsia" w:ascii="微软雅黑" w:hAnsi="微软雅黑" w:eastAsia="微软雅黑" w:cs="微软雅黑"/>
          <w:color w:val="auto"/>
          <w:sz w:val="24"/>
          <w:szCs w:val="24"/>
          <w:highlight w:val="none"/>
        </w:rPr>
        <w:t>㉔</w:t>
      </w:r>
      <w:r>
        <w:rPr>
          <w:rFonts w:hint="eastAsia" w:asciiTheme="minorEastAsia" w:hAnsiTheme="minorEastAsia" w:eastAsiaTheme="minorEastAsia" w:cstheme="minorEastAsia"/>
          <w:color w:val="auto"/>
          <w:sz w:val="24"/>
          <w:szCs w:val="24"/>
          <w:highlight w:val="none"/>
        </w:rPr>
        <w:t>重型再生障碍性贫血、</w:t>
      </w:r>
      <w:r>
        <w:rPr>
          <w:rFonts w:hint="eastAsia" w:ascii="微软雅黑" w:hAnsi="微软雅黑" w:eastAsia="微软雅黑" w:cs="微软雅黑"/>
          <w:color w:val="auto"/>
          <w:sz w:val="24"/>
          <w:szCs w:val="24"/>
          <w:highlight w:val="none"/>
        </w:rPr>
        <w:t>㉕</w:t>
      </w:r>
      <w:r>
        <w:rPr>
          <w:rFonts w:hint="eastAsia" w:asciiTheme="minorEastAsia" w:hAnsiTheme="minorEastAsia" w:eastAsiaTheme="minorEastAsia" w:cstheme="minorEastAsia"/>
          <w:color w:val="auto"/>
          <w:sz w:val="24"/>
          <w:szCs w:val="24"/>
          <w:highlight w:val="none"/>
        </w:rPr>
        <w:t>主动脉手术、</w:t>
      </w:r>
      <w:r>
        <w:rPr>
          <w:rFonts w:hint="eastAsia" w:ascii="微软雅黑" w:hAnsi="微软雅黑" w:eastAsia="微软雅黑" w:cs="微软雅黑"/>
          <w:color w:val="auto"/>
          <w:sz w:val="24"/>
          <w:szCs w:val="24"/>
          <w:highlight w:val="none"/>
        </w:rPr>
        <w:t>㉖</w:t>
      </w:r>
      <w:r>
        <w:rPr>
          <w:rFonts w:hint="eastAsia" w:asciiTheme="minorEastAsia" w:hAnsiTheme="minorEastAsia" w:eastAsiaTheme="minorEastAsia" w:cstheme="minorEastAsia"/>
          <w:color w:val="auto"/>
          <w:sz w:val="24"/>
          <w:szCs w:val="24"/>
          <w:highlight w:val="none"/>
        </w:rPr>
        <w:t>严重慢性呼吸衰竭、</w:t>
      </w:r>
      <w:r>
        <w:rPr>
          <w:rFonts w:hint="eastAsia" w:ascii="微软雅黑" w:hAnsi="微软雅黑" w:eastAsia="微软雅黑" w:cs="微软雅黑"/>
          <w:color w:val="auto"/>
          <w:sz w:val="24"/>
          <w:szCs w:val="24"/>
          <w:highlight w:val="none"/>
        </w:rPr>
        <w:t>㉗</w:t>
      </w:r>
      <w:r>
        <w:rPr>
          <w:rFonts w:hint="eastAsia" w:asciiTheme="minorEastAsia" w:hAnsiTheme="minorEastAsia" w:eastAsiaTheme="minorEastAsia" w:cstheme="minorEastAsia"/>
          <w:color w:val="auto"/>
          <w:sz w:val="24"/>
          <w:szCs w:val="24"/>
          <w:highlight w:val="none"/>
        </w:rPr>
        <w:t>严重克罗思病、</w:t>
      </w:r>
      <w:r>
        <w:rPr>
          <w:rFonts w:hint="eastAsia" w:ascii="微软雅黑" w:hAnsi="微软雅黑" w:eastAsia="微软雅黑" w:cs="微软雅黑"/>
          <w:color w:val="auto"/>
          <w:sz w:val="24"/>
          <w:szCs w:val="24"/>
          <w:highlight w:val="none"/>
        </w:rPr>
        <w:t>㉘</w:t>
      </w:r>
      <w:r>
        <w:rPr>
          <w:rFonts w:hint="eastAsia" w:asciiTheme="minorEastAsia" w:hAnsiTheme="minorEastAsia" w:eastAsiaTheme="minorEastAsia" w:cstheme="minorEastAsia"/>
          <w:color w:val="auto"/>
          <w:sz w:val="24"/>
          <w:szCs w:val="24"/>
          <w:highlight w:val="none"/>
        </w:rPr>
        <w:t>严重溃疡性结肠炎、</w:t>
      </w:r>
      <w:r>
        <w:rPr>
          <w:rFonts w:hint="eastAsia" w:ascii="微软雅黑" w:hAnsi="微软雅黑" w:eastAsia="微软雅黑" w:cs="微软雅黑"/>
          <w:color w:val="auto"/>
          <w:sz w:val="24"/>
          <w:szCs w:val="24"/>
          <w:highlight w:val="none"/>
        </w:rPr>
        <w:t>㉙</w:t>
      </w:r>
      <w:r>
        <w:rPr>
          <w:rFonts w:hint="eastAsia" w:asciiTheme="minorEastAsia" w:hAnsiTheme="minorEastAsia" w:eastAsiaTheme="minorEastAsia" w:cstheme="minorEastAsia"/>
          <w:color w:val="auto"/>
          <w:sz w:val="24"/>
          <w:szCs w:val="24"/>
          <w:highlight w:val="none"/>
        </w:rPr>
        <w:t>严重原发性心肌病、</w:t>
      </w:r>
      <w:r>
        <w:rPr>
          <w:rFonts w:hint="eastAsia" w:ascii="微软雅黑" w:hAnsi="微软雅黑" w:eastAsia="微软雅黑" w:cs="微软雅黑"/>
          <w:color w:val="auto"/>
          <w:sz w:val="24"/>
          <w:szCs w:val="24"/>
          <w:highlight w:val="none"/>
        </w:rPr>
        <w:t>㉚</w:t>
      </w:r>
      <w:r>
        <w:rPr>
          <w:rFonts w:hint="eastAsia" w:asciiTheme="minorEastAsia" w:hAnsiTheme="minorEastAsia" w:eastAsiaTheme="minorEastAsia" w:cstheme="minorEastAsia"/>
          <w:color w:val="auto"/>
          <w:sz w:val="24"/>
          <w:szCs w:val="24"/>
          <w:highlight w:val="none"/>
        </w:rPr>
        <w:t>严重多发性硬化症</w:t>
      </w:r>
      <w:r>
        <w:rPr>
          <w:rFonts w:hint="eastAsia" w:asciiTheme="minorEastAsia" w:hAnsiTheme="minorEastAsia" w:eastAsiaTheme="minorEastAsia" w:cstheme="minorEastAsia"/>
          <w:color w:val="auto"/>
          <w:sz w:val="24"/>
          <w:szCs w:val="24"/>
          <w:highlight w:val="none"/>
          <w:lang w:eastAsia="zh-CN"/>
        </w:rPr>
        <w:t>。</w:t>
      </w:r>
    </w:p>
    <w:p w14:paraId="3212348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注：供应商投标时应提供本公司具体判定参考依据。</w:t>
      </w:r>
    </w:p>
    <w:p w14:paraId="5A86159D">
      <w:pPr>
        <w:keepNext w:val="0"/>
        <w:keepLines w:val="0"/>
        <w:pageBreakBefore w:val="0"/>
        <w:widowControl/>
        <w:numPr>
          <w:ilvl w:val="0"/>
          <w:numId w:val="7"/>
        </w:numPr>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理赔服务要求</w:t>
      </w:r>
    </w:p>
    <w:p w14:paraId="71F8B50C">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
          <w:color w:val="auto"/>
          <w:spacing w:val="0"/>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保险人接到报案后24小时内进行调查核实，对符合保险责任范围、资料齐全的理赔案件在7个工作日内，履行给付保险金责任；对不属于保险责任范围拒赔的，应向申请人做好解释工作。</w:t>
      </w:r>
    </w:p>
    <w:p w14:paraId="14009E74">
      <w:pPr>
        <w:pStyle w:val="23"/>
        <w:keepNext w:val="0"/>
        <w:keepLines w:val="0"/>
        <w:pageBreakBefore w:val="0"/>
        <w:widowControl/>
        <w:numPr>
          <w:ilvl w:val="0"/>
          <w:numId w:val="7"/>
        </w:numPr>
        <w:kinsoku/>
        <w:wordWrap/>
        <w:overflowPunct/>
        <w:topLinePunct w:val="0"/>
        <w:autoSpaceDE/>
        <w:autoSpaceDN/>
        <w:bidi w:val="0"/>
        <w:adjustRightInd/>
        <w:spacing w:line="360" w:lineRule="auto"/>
        <w:ind w:left="0" w:leftChars="0" w:firstLine="482" w:firstLineChars="200"/>
        <w:textAlignment w:val="auto"/>
        <w:rPr>
          <w:rFonts w:hint="eastAsia" w:asciiTheme="minorEastAsia" w:hAnsiTheme="minorEastAsia" w:eastAsiaTheme="minorEastAsia" w:cstheme="minorEastAsia"/>
          <w:b/>
          <w:color w:val="auto"/>
          <w:spacing w:val="0"/>
          <w:kern w:val="0"/>
          <w:sz w:val="24"/>
          <w:szCs w:val="24"/>
          <w:highlight w:val="none"/>
          <w:lang w:eastAsia="zh-CN"/>
        </w:rPr>
      </w:pPr>
      <w:r>
        <w:rPr>
          <w:rFonts w:hint="eastAsia" w:asciiTheme="minorEastAsia" w:hAnsiTheme="minorEastAsia" w:eastAsiaTheme="minorEastAsia" w:cstheme="minorEastAsia"/>
          <w:b/>
          <w:color w:val="auto"/>
          <w:spacing w:val="0"/>
          <w:kern w:val="0"/>
          <w:sz w:val="24"/>
          <w:szCs w:val="24"/>
          <w:highlight w:val="none"/>
          <w:lang w:eastAsia="zh-CN"/>
        </w:rPr>
        <w:t>报价：</w:t>
      </w:r>
      <w:r>
        <w:rPr>
          <w:rFonts w:hint="eastAsia" w:asciiTheme="minorEastAsia" w:hAnsiTheme="minorEastAsia" w:eastAsiaTheme="minorEastAsia" w:cstheme="minorEastAsia"/>
          <w:b/>
          <w:color w:val="auto"/>
          <w:spacing w:val="0"/>
          <w:kern w:val="0"/>
          <w:sz w:val="24"/>
          <w:szCs w:val="24"/>
          <w:highlight w:val="none"/>
          <w:lang w:val="en-US" w:eastAsia="zh-CN"/>
        </w:rPr>
        <w:t>本项目的报价为固定综合单价（不竞争价），供应商应根据采购人要求进行相应性报价。</w:t>
      </w:r>
    </w:p>
    <w:p w14:paraId="04F361EE">
      <w:pPr>
        <w:keepNext w:val="0"/>
        <w:keepLines w:val="0"/>
        <w:pageBreakBefore w:val="0"/>
        <w:widowControl/>
        <w:numPr>
          <w:ilvl w:val="0"/>
          <w:numId w:val="7"/>
        </w:numPr>
        <w:kinsoku/>
        <w:wordWrap/>
        <w:overflowPunct/>
        <w:topLinePunct w:val="0"/>
        <w:autoSpaceDE/>
        <w:autoSpaceDN/>
        <w:bidi w:val="0"/>
        <w:adjustRightInd/>
        <w:spacing w:line="360" w:lineRule="auto"/>
        <w:ind w:left="0" w:leftChars="0" w:firstLine="482" w:firstLineChars="200"/>
        <w:textAlignment w:val="auto"/>
        <w:rPr>
          <w:rFonts w:hint="eastAsia" w:asciiTheme="minorEastAsia" w:hAnsiTheme="minorEastAsia" w:eastAsiaTheme="minorEastAsia" w:cstheme="minorEastAsia"/>
          <w:b w:val="0"/>
          <w:bCs/>
          <w:color w:val="auto"/>
          <w:spacing w:val="0"/>
          <w:kern w:val="0"/>
          <w:sz w:val="24"/>
          <w:szCs w:val="24"/>
          <w:highlight w:val="none"/>
          <w:lang w:eastAsia="zh-CN"/>
        </w:rPr>
      </w:pPr>
      <w:r>
        <w:rPr>
          <w:rFonts w:hint="eastAsia" w:asciiTheme="minorEastAsia" w:hAnsiTheme="minorEastAsia" w:eastAsiaTheme="minorEastAsia" w:cstheme="minorEastAsia"/>
          <w:b/>
          <w:color w:val="auto"/>
          <w:spacing w:val="0"/>
          <w:kern w:val="0"/>
          <w:sz w:val="24"/>
          <w:szCs w:val="24"/>
          <w:highlight w:val="none"/>
        </w:rPr>
        <w:t>付款方式：</w:t>
      </w:r>
    </w:p>
    <w:p w14:paraId="63E213DA">
      <w:pPr>
        <w:keepNext w:val="0"/>
        <w:keepLines w:val="0"/>
        <w:pageBreakBefore w:val="0"/>
        <w:widowControl/>
        <w:numPr>
          <w:ilvl w:val="0"/>
          <w:numId w:val="0"/>
        </w:numPr>
        <w:kinsoku/>
        <w:wordWrap/>
        <w:overflowPunct/>
        <w:topLinePunct w:val="0"/>
        <w:autoSpaceDE/>
        <w:autoSpaceDN/>
        <w:bidi w:val="0"/>
        <w:adjustRightInd/>
        <w:spacing w:line="360" w:lineRule="auto"/>
        <w:ind w:leftChars="200"/>
        <w:textAlignment w:val="auto"/>
        <w:rPr>
          <w:rFonts w:hint="eastAsia" w:asciiTheme="minorEastAsia" w:hAnsiTheme="minorEastAsia" w:eastAsiaTheme="minorEastAsia" w:cstheme="minorEastAsia"/>
          <w:b w:val="0"/>
          <w:bCs/>
          <w:color w:val="auto"/>
          <w:spacing w:val="0"/>
          <w:kern w:val="0"/>
          <w:sz w:val="24"/>
          <w:szCs w:val="24"/>
          <w:highlight w:val="none"/>
          <w:lang w:eastAsia="zh-CN"/>
        </w:rPr>
      </w:pPr>
      <w:r>
        <w:rPr>
          <w:rFonts w:hint="eastAsia" w:asciiTheme="minorEastAsia" w:hAnsiTheme="minorEastAsia" w:eastAsiaTheme="minorEastAsia" w:cstheme="minorEastAsia"/>
          <w:b w:val="0"/>
          <w:bCs/>
          <w:color w:val="auto"/>
          <w:spacing w:val="0"/>
          <w:kern w:val="0"/>
          <w:sz w:val="24"/>
          <w:szCs w:val="24"/>
          <w:highlight w:val="none"/>
          <w:lang w:eastAsia="zh-CN"/>
        </w:rPr>
        <w:t>（</w:t>
      </w:r>
      <w:r>
        <w:rPr>
          <w:rFonts w:hint="eastAsia" w:asciiTheme="minorEastAsia" w:hAnsiTheme="minorEastAsia" w:eastAsiaTheme="minorEastAsia" w:cstheme="minorEastAsia"/>
          <w:b w:val="0"/>
          <w:bCs/>
          <w:color w:val="auto"/>
          <w:spacing w:val="0"/>
          <w:kern w:val="0"/>
          <w:sz w:val="24"/>
          <w:szCs w:val="24"/>
          <w:highlight w:val="none"/>
          <w:lang w:val="en-US" w:eastAsia="zh-CN"/>
        </w:rPr>
        <w:t>1）</w:t>
      </w:r>
      <w:r>
        <w:rPr>
          <w:rFonts w:hint="eastAsia" w:asciiTheme="minorEastAsia" w:hAnsiTheme="minorEastAsia" w:eastAsiaTheme="minorEastAsia" w:cstheme="minorEastAsia"/>
          <w:b w:val="0"/>
          <w:bCs/>
          <w:color w:val="auto"/>
          <w:spacing w:val="0"/>
          <w:kern w:val="0"/>
          <w:sz w:val="24"/>
          <w:szCs w:val="24"/>
          <w:highlight w:val="none"/>
          <w:lang w:eastAsia="zh-CN"/>
        </w:rPr>
        <w:t>履约保证金：无</w:t>
      </w:r>
    </w:p>
    <w:p w14:paraId="5A16BAE1">
      <w:pPr>
        <w:keepNext w:val="0"/>
        <w:keepLines w:val="0"/>
        <w:pageBreakBefore w:val="0"/>
        <w:widowControl/>
        <w:numPr>
          <w:ilvl w:val="0"/>
          <w:numId w:val="0"/>
        </w:numPr>
        <w:kinsoku/>
        <w:wordWrap/>
        <w:overflowPunct/>
        <w:topLinePunct w:val="0"/>
        <w:autoSpaceDE/>
        <w:autoSpaceDN/>
        <w:bidi w:val="0"/>
        <w:adjustRightInd/>
        <w:spacing w:line="360" w:lineRule="auto"/>
        <w:ind w:leftChars="200"/>
        <w:textAlignment w:val="auto"/>
        <w:rPr>
          <w:rFonts w:hint="eastAsia" w:asciiTheme="minorEastAsia" w:hAnsiTheme="minorEastAsia" w:eastAsiaTheme="minorEastAsia" w:cstheme="minorEastAsia"/>
          <w:b w:val="0"/>
          <w:bCs/>
          <w:color w:val="auto"/>
          <w:spacing w:val="0"/>
          <w:kern w:val="0"/>
          <w:sz w:val="24"/>
          <w:szCs w:val="24"/>
          <w:highlight w:val="none"/>
          <w:lang w:eastAsia="zh-CN"/>
        </w:rPr>
      </w:pPr>
      <w:r>
        <w:rPr>
          <w:rFonts w:hint="eastAsia" w:asciiTheme="minorEastAsia" w:hAnsiTheme="minorEastAsia" w:eastAsiaTheme="minorEastAsia" w:cstheme="minorEastAsia"/>
          <w:b w:val="0"/>
          <w:bCs/>
          <w:color w:val="auto"/>
          <w:spacing w:val="0"/>
          <w:kern w:val="0"/>
          <w:sz w:val="24"/>
          <w:szCs w:val="24"/>
          <w:highlight w:val="none"/>
          <w:lang w:eastAsia="zh-CN"/>
        </w:rPr>
        <w:t>（</w:t>
      </w:r>
      <w:r>
        <w:rPr>
          <w:rFonts w:hint="eastAsia" w:asciiTheme="minorEastAsia" w:hAnsiTheme="minorEastAsia" w:eastAsiaTheme="minorEastAsia" w:cstheme="minorEastAsia"/>
          <w:b w:val="0"/>
          <w:bCs/>
          <w:color w:val="auto"/>
          <w:spacing w:val="0"/>
          <w:kern w:val="0"/>
          <w:sz w:val="24"/>
          <w:szCs w:val="24"/>
          <w:highlight w:val="none"/>
          <w:lang w:val="en-US" w:eastAsia="zh-CN"/>
        </w:rPr>
        <w:t>2）</w:t>
      </w:r>
      <w:r>
        <w:rPr>
          <w:rFonts w:hint="eastAsia" w:asciiTheme="minorEastAsia" w:hAnsiTheme="minorEastAsia" w:eastAsiaTheme="minorEastAsia" w:cstheme="minorEastAsia"/>
          <w:b w:val="0"/>
          <w:bCs/>
          <w:color w:val="auto"/>
          <w:spacing w:val="0"/>
          <w:kern w:val="0"/>
          <w:sz w:val="24"/>
          <w:szCs w:val="24"/>
          <w:highlight w:val="none"/>
          <w:lang w:eastAsia="zh-CN"/>
        </w:rPr>
        <w:t>款项结算：</w:t>
      </w:r>
    </w:p>
    <w:p w14:paraId="1ACB3BCC">
      <w:pPr>
        <w:keepNext w:val="0"/>
        <w:keepLines w:val="0"/>
        <w:pageBreakBefore w:val="0"/>
        <w:widowControl/>
        <w:numPr>
          <w:ilvl w:val="0"/>
          <w:numId w:val="0"/>
        </w:numPr>
        <w:kinsoku/>
        <w:wordWrap/>
        <w:overflowPunct/>
        <w:topLinePunct w:val="0"/>
        <w:autoSpaceDE/>
        <w:autoSpaceDN/>
        <w:bidi w:val="0"/>
        <w:adjustRightInd/>
        <w:spacing w:line="360" w:lineRule="auto"/>
        <w:ind w:leftChars="200" w:firstLine="480" w:firstLineChars="200"/>
        <w:textAlignment w:val="auto"/>
        <w:rPr>
          <w:rFonts w:hint="eastAsia" w:asciiTheme="minorEastAsia" w:hAnsiTheme="minorEastAsia" w:eastAsiaTheme="minorEastAsia" w:cstheme="minorEastAsia"/>
          <w:b w:val="0"/>
          <w:bCs/>
          <w:color w:val="auto"/>
          <w:spacing w:val="0"/>
          <w:kern w:val="0"/>
          <w:sz w:val="24"/>
          <w:szCs w:val="24"/>
          <w:highlight w:val="none"/>
          <w:lang w:eastAsia="zh-CN"/>
        </w:rPr>
      </w:pPr>
      <w:r>
        <w:rPr>
          <w:rFonts w:hint="eastAsia" w:asciiTheme="minorEastAsia" w:hAnsiTheme="minorEastAsia" w:eastAsiaTheme="minorEastAsia" w:cstheme="minorEastAsia"/>
          <w:b w:val="0"/>
          <w:bCs/>
          <w:color w:val="auto"/>
          <w:spacing w:val="0"/>
          <w:kern w:val="0"/>
          <w:sz w:val="24"/>
          <w:szCs w:val="24"/>
          <w:highlight w:val="none"/>
          <w:lang w:eastAsia="zh-CN"/>
        </w:rPr>
        <w:t>三年保险签署一份总合同。</w:t>
      </w:r>
    </w:p>
    <w:p w14:paraId="5BA7696B">
      <w:pPr>
        <w:keepNext w:val="0"/>
        <w:keepLines w:val="0"/>
        <w:pageBreakBefore w:val="0"/>
        <w:widowControl/>
        <w:numPr>
          <w:ilvl w:val="0"/>
          <w:numId w:val="0"/>
        </w:numPr>
        <w:kinsoku/>
        <w:wordWrap/>
        <w:overflowPunct/>
        <w:topLinePunct w:val="0"/>
        <w:autoSpaceDE/>
        <w:autoSpaceDN/>
        <w:bidi w:val="0"/>
        <w:adjustRightInd/>
        <w:spacing w:line="360" w:lineRule="auto"/>
        <w:ind w:firstLine="960" w:firstLineChars="400"/>
        <w:textAlignment w:val="auto"/>
        <w:rPr>
          <w:highlight w:val="none"/>
        </w:rPr>
      </w:pPr>
      <w:r>
        <w:rPr>
          <w:rFonts w:hint="eastAsia" w:asciiTheme="minorEastAsia" w:hAnsiTheme="minorEastAsia" w:eastAsiaTheme="minorEastAsia" w:cstheme="minorEastAsia"/>
          <w:b w:val="0"/>
          <w:bCs/>
          <w:color w:val="auto"/>
          <w:spacing w:val="0"/>
          <w:kern w:val="0"/>
          <w:sz w:val="24"/>
          <w:szCs w:val="24"/>
          <w:highlight w:val="none"/>
          <w:lang w:eastAsia="zh-CN"/>
        </w:rPr>
        <w:t>每年的合同单独签订</w:t>
      </w:r>
      <w:r>
        <w:rPr>
          <w:rFonts w:hint="eastAsia" w:asciiTheme="minorEastAsia" w:hAnsiTheme="minorEastAsia" w:eastAsiaTheme="minorEastAsia" w:cstheme="minorEastAsia"/>
          <w:b/>
          <w:color w:val="auto"/>
          <w:spacing w:val="0"/>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签订正式生效后</w:t>
      </w:r>
      <w:r>
        <w:rPr>
          <w:rFonts w:hint="eastAsia" w:asciiTheme="minorEastAsia" w:hAnsiTheme="minorEastAsia" w:eastAsiaTheme="minorEastAsia" w:cstheme="minorEastAsia"/>
          <w:color w:val="auto"/>
          <w:sz w:val="24"/>
          <w:szCs w:val="24"/>
          <w:highlight w:val="none"/>
          <w:lang w:val="en-US" w:eastAsia="zh-CN"/>
        </w:rPr>
        <w:t>2个月</w:t>
      </w:r>
      <w:r>
        <w:rPr>
          <w:rFonts w:hint="eastAsia" w:asciiTheme="minorEastAsia" w:hAnsiTheme="minorEastAsia" w:eastAsiaTheme="minorEastAsia" w:cstheme="minorEastAsia"/>
          <w:color w:val="auto"/>
          <w:sz w:val="24"/>
          <w:szCs w:val="24"/>
          <w:highlight w:val="none"/>
        </w:rPr>
        <w:t>内支付100％合同款</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color w:val="auto"/>
          <w:sz w:val="24"/>
          <w:szCs w:val="24"/>
          <w:highlight w:val="none"/>
          <w:lang w:val="en-US" w:eastAsia="zh-CN"/>
        </w:rPr>
        <w:t>以实际投保人数及年度保险费结算</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pacing w:val="0"/>
          <w:kern w:val="0"/>
          <w:sz w:val="24"/>
          <w:szCs w:val="24"/>
          <w:highlight w:val="none"/>
        </w:rPr>
        <w:t>。</w:t>
      </w:r>
    </w:p>
    <w:p w14:paraId="4CB5B7E3">
      <w:pPr>
        <w:widowControl/>
        <w:shd w:val="clear" w:color="auto" w:fill="FFFFFF"/>
        <w:spacing w:line="400" w:lineRule="exact"/>
        <w:ind w:firstLine="480" w:firstLineChars="200"/>
        <w:jc w:val="left"/>
        <w:outlineLvl w:val="2"/>
        <w:rPr>
          <w:rFonts w:hint="eastAsia" w:ascii="宋体" w:hAnsi="宋体" w:eastAsia="宋体" w:cs="宋体"/>
          <w:color w:val="0070C0"/>
          <w:kern w:val="0"/>
          <w:sz w:val="24"/>
          <w:szCs w:val="24"/>
          <w:highlight w:val="none"/>
        </w:rPr>
      </w:pPr>
    </w:p>
    <w:p w14:paraId="3CCC5FB1">
      <w:pPr>
        <w:pStyle w:val="13"/>
        <w:snapToGrid w:val="0"/>
        <w:spacing w:before="120" w:after="120" w:line="360" w:lineRule="auto"/>
        <w:jc w:val="center"/>
        <w:rPr>
          <w:rFonts w:hint="eastAsia" w:hAnsi="宋体" w:cs="宋体"/>
          <w:b/>
          <w:bCs/>
          <w:sz w:val="32"/>
          <w:szCs w:val="32"/>
          <w:highlight w:val="none"/>
        </w:rPr>
      </w:pPr>
    </w:p>
    <w:p w14:paraId="5C623486">
      <w:pPr>
        <w:pStyle w:val="13"/>
        <w:snapToGrid w:val="0"/>
        <w:spacing w:before="120" w:after="120" w:line="360" w:lineRule="auto"/>
        <w:jc w:val="center"/>
        <w:rPr>
          <w:rFonts w:hint="eastAsia" w:hAnsi="宋体" w:cs="宋体"/>
          <w:b/>
          <w:bCs/>
          <w:sz w:val="32"/>
          <w:szCs w:val="32"/>
          <w:highlight w:val="none"/>
        </w:rPr>
      </w:pPr>
    </w:p>
    <w:p w14:paraId="6A6B2B99">
      <w:pPr>
        <w:pStyle w:val="13"/>
        <w:snapToGrid w:val="0"/>
        <w:spacing w:before="120" w:after="120" w:line="360" w:lineRule="auto"/>
        <w:jc w:val="center"/>
        <w:rPr>
          <w:rFonts w:hint="eastAsia" w:hAnsi="宋体" w:cs="宋体"/>
          <w:b/>
          <w:bCs/>
          <w:sz w:val="32"/>
          <w:szCs w:val="32"/>
          <w:highlight w:val="none"/>
        </w:rPr>
      </w:pPr>
    </w:p>
    <w:p w14:paraId="10002E8B">
      <w:pPr>
        <w:pStyle w:val="13"/>
        <w:snapToGrid w:val="0"/>
        <w:spacing w:before="120" w:after="120" w:line="360" w:lineRule="auto"/>
        <w:jc w:val="center"/>
        <w:rPr>
          <w:rFonts w:hint="eastAsia" w:hAnsi="宋体" w:cs="宋体"/>
          <w:b/>
          <w:bCs/>
          <w:sz w:val="32"/>
          <w:szCs w:val="32"/>
          <w:highlight w:val="none"/>
        </w:rPr>
      </w:pPr>
    </w:p>
    <w:p w14:paraId="2482CF75">
      <w:pPr>
        <w:rPr>
          <w:rFonts w:hint="eastAsia" w:hAnsi="宋体" w:cs="宋体"/>
          <w:b/>
          <w:bCs/>
          <w:sz w:val="32"/>
          <w:szCs w:val="32"/>
          <w:highlight w:val="none"/>
        </w:rPr>
      </w:pPr>
    </w:p>
    <w:p w14:paraId="4A38F898">
      <w:pPr>
        <w:rPr>
          <w:rFonts w:hint="eastAsia" w:hAnsi="宋体" w:cs="宋体"/>
          <w:b/>
          <w:bCs/>
          <w:sz w:val="32"/>
          <w:szCs w:val="32"/>
          <w:highlight w:val="none"/>
        </w:rPr>
      </w:pPr>
    </w:p>
    <w:p w14:paraId="7EF34D56">
      <w:pPr>
        <w:rPr>
          <w:rFonts w:hint="eastAsia" w:hAnsi="宋体" w:cs="宋体"/>
          <w:b/>
          <w:bCs/>
          <w:sz w:val="32"/>
          <w:szCs w:val="32"/>
          <w:highlight w:val="none"/>
        </w:rPr>
      </w:pPr>
    </w:p>
    <w:p w14:paraId="16483796">
      <w:pPr>
        <w:rPr>
          <w:rFonts w:hint="eastAsia" w:hAnsi="宋体" w:cs="宋体"/>
          <w:b/>
          <w:bCs/>
          <w:sz w:val="32"/>
          <w:szCs w:val="32"/>
          <w:highlight w:val="none"/>
        </w:rPr>
      </w:pPr>
    </w:p>
    <w:p w14:paraId="6FCD7CAD">
      <w:pPr>
        <w:rPr>
          <w:rFonts w:hint="eastAsia" w:hAnsi="宋体" w:cs="宋体"/>
          <w:b/>
          <w:bCs/>
          <w:sz w:val="32"/>
          <w:szCs w:val="32"/>
          <w:highlight w:val="none"/>
        </w:rPr>
      </w:pPr>
    </w:p>
    <w:p w14:paraId="33E760D4">
      <w:pPr>
        <w:rPr>
          <w:rFonts w:hint="eastAsia" w:hAnsi="宋体" w:cs="宋体"/>
          <w:b/>
          <w:bCs/>
          <w:sz w:val="32"/>
          <w:szCs w:val="32"/>
          <w:highlight w:val="none"/>
        </w:rPr>
      </w:pPr>
    </w:p>
    <w:p w14:paraId="666F6CF9">
      <w:pPr>
        <w:rPr>
          <w:rFonts w:hint="eastAsia" w:hAnsi="宋体" w:cs="宋体"/>
          <w:b/>
          <w:bCs/>
          <w:sz w:val="32"/>
          <w:szCs w:val="32"/>
          <w:highlight w:val="none"/>
        </w:rPr>
      </w:pPr>
    </w:p>
    <w:p w14:paraId="34FECAAA">
      <w:pPr>
        <w:rPr>
          <w:rFonts w:hint="eastAsia" w:hAnsi="宋体" w:cs="宋体"/>
          <w:b/>
          <w:bCs/>
          <w:sz w:val="32"/>
          <w:szCs w:val="32"/>
          <w:highlight w:val="none"/>
        </w:rPr>
      </w:pPr>
    </w:p>
    <w:p w14:paraId="7F4323B4">
      <w:pPr>
        <w:rPr>
          <w:rFonts w:hint="eastAsia" w:hAnsi="宋体" w:cs="宋体"/>
          <w:b/>
          <w:bCs/>
          <w:sz w:val="32"/>
          <w:szCs w:val="32"/>
          <w:highlight w:val="none"/>
        </w:rPr>
      </w:pPr>
      <w:r>
        <w:rPr>
          <w:rFonts w:hint="eastAsia" w:hAnsi="宋体" w:cs="宋体"/>
          <w:b/>
          <w:bCs/>
          <w:sz w:val="32"/>
          <w:szCs w:val="32"/>
          <w:highlight w:val="none"/>
        </w:rPr>
        <w:br w:type="page"/>
      </w:r>
    </w:p>
    <w:p w14:paraId="2189BB20">
      <w:pPr>
        <w:pStyle w:val="13"/>
        <w:snapToGrid w:val="0"/>
        <w:spacing w:before="120" w:after="120" w:line="360" w:lineRule="auto"/>
        <w:jc w:val="center"/>
        <w:rPr>
          <w:rFonts w:hAnsi="宋体" w:cs="宋体"/>
          <w:sz w:val="30"/>
          <w:szCs w:val="30"/>
          <w:highlight w:val="none"/>
        </w:rPr>
      </w:pPr>
      <w:r>
        <w:rPr>
          <w:rFonts w:hint="eastAsia" w:hAnsi="宋体" w:cs="宋体"/>
          <w:b/>
          <w:bCs/>
          <w:sz w:val="32"/>
          <w:szCs w:val="32"/>
          <w:highlight w:val="none"/>
        </w:rPr>
        <w:t>第四章 评标办法及评分标准</w:t>
      </w:r>
    </w:p>
    <w:p w14:paraId="4BD74F2C">
      <w:pPr>
        <w:spacing w:beforeLines="50" w:afterLines="50"/>
        <w:ind w:firstLine="480" w:firstLineChars="200"/>
        <w:rPr>
          <w:rFonts w:ascii="宋体" w:hAnsi="宋体" w:cs="宋体"/>
          <w:sz w:val="24"/>
          <w:highlight w:val="none"/>
        </w:rPr>
      </w:pPr>
      <w:r>
        <w:rPr>
          <w:rFonts w:hint="eastAsia" w:ascii="宋体" w:hAnsi="宋体" w:cs="宋体"/>
          <w:sz w:val="24"/>
          <w:highlight w:val="none"/>
        </w:rPr>
        <w:t>为公正、公平、科学地选择中标人，根据《中华人民共和国政府采购法》等有关法律法规的规定，并结合本项目的实际，制定本办法。</w:t>
      </w:r>
    </w:p>
    <w:p w14:paraId="48BF38EE">
      <w:pPr>
        <w:spacing w:line="360" w:lineRule="auto"/>
        <w:ind w:firstLine="480" w:firstLineChars="200"/>
        <w:rPr>
          <w:rFonts w:ascii="宋体" w:hAnsi="宋体" w:cs="宋体"/>
          <w:sz w:val="24"/>
          <w:highlight w:val="none"/>
        </w:rPr>
      </w:pPr>
      <w:r>
        <w:rPr>
          <w:rFonts w:hint="eastAsia" w:ascii="宋体" w:hAnsi="宋体" w:cs="宋体"/>
          <w:sz w:val="24"/>
          <w:highlight w:val="none"/>
        </w:rPr>
        <w:t>本办法适用于</w:t>
      </w:r>
      <w:r>
        <w:rPr>
          <w:rFonts w:hint="eastAsia" w:ascii="宋体" w:hAnsi="宋体" w:cs="宋体"/>
          <w:b/>
          <w:bCs/>
          <w:sz w:val="24"/>
          <w:highlight w:val="none"/>
          <w:u w:val="single"/>
          <w:lang w:eastAsia="zh-CN"/>
        </w:rPr>
        <w:t>2025年-2027年衢江区计生特殊家庭健康保险采购</w:t>
      </w:r>
      <w:r>
        <w:rPr>
          <w:rFonts w:hint="eastAsia" w:ascii="宋体" w:hAnsi="宋体" w:cs="宋体"/>
          <w:b/>
          <w:bCs/>
          <w:sz w:val="24"/>
          <w:highlight w:val="none"/>
          <w:u w:val="single"/>
        </w:rPr>
        <w:t>项目</w:t>
      </w:r>
      <w:r>
        <w:rPr>
          <w:rFonts w:hint="eastAsia" w:ascii="宋体" w:hAnsi="宋体" w:cs="宋体"/>
          <w:sz w:val="24"/>
          <w:highlight w:val="none"/>
        </w:rPr>
        <w:t>的评标。</w:t>
      </w:r>
    </w:p>
    <w:p w14:paraId="234A95DA">
      <w:pPr>
        <w:spacing w:beforeLines="50" w:afterLines="50" w:line="360" w:lineRule="auto"/>
        <w:ind w:firstLine="551" w:firstLineChars="196"/>
        <w:rPr>
          <w:rFonts w:ascii="宋体" w:hAnsi="宋体" w:cs="宋体"/>
          <w:b/>
          <w:sz w:val="28"/>
          <w:szCs w:val="28"/>
          <w:highlight w:val="none"/>
        </w:rPr>
      </w:pPr>
      <w:r>
        <w:rPr>
          <w:rFonts w:hint="eastAsia" w:ascii="宋体" w:hAnsi="宋体" w:cs="宋体"/>
          <w:b/>
          <w:sz w:val="28"/>
          <w:szCs w:val="28"/>
          <w:highlight w:val="none"/>
        </w:rPr>
        <w:t>一、总则</w:t>
      </w:r>
    </w:p>
    <w:p w14:paraId="2A73C892">
      <w:pPr>
        <w:spacing w:beforeLines="50" w:afterLines="50" w:line="360" w:lineRule="auto"/>
        <w:ind w:firstLine="480" w:firstLineChars="200"/>
        <w:rPr>
          <w:rFonts w:ascii="宋体" w:hAnsi="宋体" w:cs="宋体"/>
          <w:sz w:val="24"/>
          <w:highlight w:val="none"/>
        </w:rPr>
      </w:pPr>
      <w:r>
        <w:rPr>
          <w:rFonts w:hint="eastAsia" w:ascii="宋体" w:hAnsi="宋体" w:cs="宋体"/>
          <w:sz w:val="24"/>
          <w:highlight w:val="none"/>
        </w:rPr>
        <w:t>本次评标采用综合评分法，总分为100分（价格分、技术、商务、资信及其他分的分值详见各个标的评标内容）。合格投标人的评标得分为各项目汇总得分，中标候选资格按评标综合得分由高到低顺序排列，得分相同的，按投标报价由低到高顺序排列；综合得分相同且投标报价相同的，依次按技术分，商务分、资信及其他分得分顺序由高到低排列名次。排名第一的投标人为中标候选人,排名第二的投标人为候补中标候选人……其他投标人中标候选资格依此类推。</w:t>
      </w:r>
      <w:r>
        <w:rPr>
          <w:rFonts w:hint="eastAsia" w:ascii="宋体" w:hAnsi="宋体" w:cs="宋体"/>
          <w:bCs/>
          <w:sz w:val="24"/>
          <w:highlight w:val="none"/>
        </w:rPr>
        <w:t>评分过程中采用四舍五入法，并保留小数2位。</w:t>
      </w:r>
    </w:p>
    <w:p w14:paraId="5918F7E5">
      <w:pPr>
        <w:pStyle w:val="7"/>
        <w:spacing w:beforeLines="50" w:afterLines="50" w:line="320" w:lineRule="exact"/>
        <w:ind w:firstLine="464" w:firstLineChars="200"/>
        <w:rPr>
          <w:rFonts w:hAnsi="宋体" w:cs="宋体"/>
          <w:spacing w:val="0"/>
          <w:sz w:val="24"/>
          <w:szCs w:val="24"/>
          <w:highlight w:val="none"/>
        </w:rPr>
      </w:pPr>
      <w:r>
        <w:rPr>
          <w:rFonts w:hint="eastAsia" w:hAnsi="宋体" w:cs="宋体"/>
          <w:bCs/>
          <w:sz w:val="24"/>
          <w:szCs w:val="24"/>
          <w:highlight w:val="none"/>
        </w:rPr>
        <w:t>投标人评标综合得分</w:t>
      </w:r>
      <w:r>
        <w:rPr>
          <w:rFonts w:hint="eastAsia" w:hAnsi="宋体" w:cs="宋体"/>
          <w:spacing w:val="0"/>
          <w:sz w:val="24"/>
          <w:szCs w:val="24"/>
          <w:highlight w:val="none"/>
        </w:rPr>
        <w:t>=商务技术部分（</w:t>
      </w:r>
      <w:r>
        <w:rPr>
          <w:rFonts w:hint="eastAsia" w:hAnsi="宋体" w:cs="宋体"/>
          <w:spacing w:val="0"/>
          <w:sz w:val="24"/>
          <w:szCs w:val="24"/>
          <w:highlight w:val="none"/>
          <w:lang w:val="en-US" w:eastAsia="zh-CN"/>
        </w:rPr>
        <w:t>80</w:t>
      </w:r>
      <w:r>
        <w:rPr>
          <w:rFonts w:hint="eastAsia" w:hAnsi="宋体" w:cs="宋体"/>
          <w:spacing w:val="0"/>
          <w:sz w:val="24"/>
          <w:szCs w:val="24"/>
          <w:highlight w:val="none"/>
        </w:rPr>
        <w:t>分）+价格分（</w:t>
      </w:r>
      <w:r>
        <w:rPr>
          <w:rFonts w:hint="eastAsia" w:hAnsi="宋体" w:cs="宋体"/>
          <w:spacing w:val="0"/>
          <w:sz w:val="24"/>
          <w:szCs w:val="24"/>
          <w:highlight w:val="none"/>
          <w:lang w:val="en-US" w:eastAsia="zh-CN"/>
        </w:rPr>
        <w:t>20</w:t>
      </w:r>
      <w:r>
        <w:rPr>
          <w:rFonts w:hint="eastAsia" w:hAnsi="宋体" w:cs="宋体"/>
          <w:spacing w:val="0"/>
          <w:sz w:val="24"/>
          <w:szCs w:val="24"/>
          <w:highlight w:val="none"/>
        </w:rPr>
        <w:t>分）</w:t>
      </w:r>
    </w:p>
    <w:p w14:paraId="48C3855D">
      <w:pPr>
        <w:spacing w:beforeLines="50" w:afterLines="50" w:line="360" w:lineRule="auto"/>
        <w:ind w:firstLine="562" w:firstLineChars="200"/>
        <w:rPr>
          <w:rFonts w:ascii="宋体" w:hAnsi="宋体" w:cs="宋体"/>
          <w:b/>
          <w:sz w:val="28"/>
          <w:szCs w:val="28"/>
          <w:highlight w:val="none"/>
        </w:rPr>
      </w:pPr>
      <w:r>
        <w:rPr>
          <w:rFonts w:hint="eastAsia" w:ascii="宋体" w:hAnsi="宋体" w:cs="宋体"/>
          <w:b/>
          <w:sz w:val="28"/>
          <w:szCs w:val="28"/>
          <w:highlight w:val="none"/>
        </w:rPr>
        <w:t>二、评标内容及标准</w:t>
      </w:r>
    </w:p>
    <w:p w14:paraId="3E5AC118">
      <w:pPr>
        <w:spacing w:beforeLines="50" w:afterLines="50"/>
        <w:ind w:firstLine="472" w:firstLineChars="196"/>
        <w:rPr>
          <w:rFonts w:ascii="宋体" w:hAnsi="宋体" w:cs="宋体"/>
          <w:b/>
          <w:bCs/>
          <w:sz w:val="24"/>
          <w:highlight w:val="none"/>
        </w:rPr>
      </w:pPr>
      <w:r>
        <w:rPr>
          <w:rFonts w:hint="eastAsia" w:ascii="宋体" w:hAnsi="宋体" w:cs="宋体"/>
          <w:b/>
          <w:bCs/>
          <w:sz w:val="24"/>
          <w:highlight w:val="none"/>
        </w:rPr>
        <w:t>（一）价格分（</w:t>
      </w:r>
      <w:r>
        <w:rPr>
          <w:rFonts w:hint="eastAsia" w:ascii="宋体" w:hAnsi="宋体" w:cs="宋体"/>
          <w:b/>
          <w:bCs/>
          <w:sz w:val="24"/>
          <w:highlight w:val="none"/>
          <w:lang w:val="en-US" w:eastAsia="zh-CN"/>
        </w:rPr>
        <w:t>20</w:t>
      </w:r>
      <w:r>
        <w:rPr>
          <w:rFonts w:hint="eastAsia" w:ascii="宋体" w:hAnsi="宋体" w:cs="宋体"/>
          <w:b/>
          <w:bCs/>
          <w:sz w:val="24"/>
          <w:highlight w:val="none"/>
        </w:rPr>
        <w:t>分）</w:t>
      </w:r>
    </w:p>
    <w:p w14:paraId="200B0061">
      <w:pPr>
        <w:pStyle w:val="7"/>
        <w:spacing w:beforeLines="50" w:afterLines="50" w:line="320" w:lineRule="exact"/>
        <w:ind w:firstLine="466" w:firstLineChars="200"/>
        <w:rPr>
          <w:rFonts w:hAnsi="宋体" w:cs="宋体"/>
          <w:bCs/>
          <w:sz w:val="24"/>
          <w:szCs w:val="24"/>
          <w:highlight w:val="none"/>
        </w:rPr>
      </w:pPr>
      <w:r>
        <w:rPr>
          <w:rFonts w:hint="eastAsia" w:hAnsi="宋体" w:cs="宋体"/>
          <w:b/>
          <w:sz w:val="24"/>
          <w:highlight w:val="none"/>
        </w:rPr>
        <w:t>1、</w:t>
      </w:r>
      <w:r>
        <w:rPr>
          <w:rFonts w:hint="eastAsia" w:hAnsi="宋体" w:cs="宋体"/>
          <w:bCs/>
          <w:sz w:val="24"/>
          <w:szCs w:val="24"/>
          <w:highlight w:val="none"/>
        </w:rPr>
        <w:t>价格分采用低价优先法计算，取所有投技术入围投标人中投标价格最低的投标报价为评标基准价，其他投标人的价格分按照下列公式计算：</w:t>
      </w:r>
    </w:p>
    <w:p w14:paraId="1ABB62C2">
      <w:pPr>
        <w:pStyle w:val="7"/>
        <w:spacing w:beforeLines="50" w:afterLines="50" w:line="360" w:lineRule="auto"/>
        <w:ind w:firstLine="464" w:firstLineChars="200"/>
        <w:rPr>
          <w:rFonts w:hAnsi="宋体" w:cs="宋体"/>
          <w:bCs/>
          <w:sz w:val="24"/>
          <w:szCs w:val="24"/>
          <w:highlight w:val="none"/>
        </w:rPr>
      </w:pPr>
      <w:r>
        <w:rPr>
          <w:rFonts w:hint="eastAsia" w:hAnsi="宋体"/>
          <w:bCs/>
          <w:sz w:val="24"/>
          <w:szCs w:val="24"/>
          <w:highlight w:val="none"/>
        </w:rPr>
        <w:t>价格分=（评审基准价/投标报价）×</w:t>
      </w:r>
      <w:r>
        <w:rPr>
          <w:rFonts w:hint="eastAsia" w:hAnsi="宋体"/>
          <w:bCs/>
          <w:sz w:val="24"/>
          <w:szCs w:val="24"/>
          <w:highlight w:val="none"/>
          <w:lang w:val="en-US" w:eastAsia="zh-CN"/>
        </w:rPr>
        <w:t>2</w:t>
      </w:r>
      <w:r>
        <w:rPr>
          <w:rFonts w:hint="eastAsia" w:hAnsi="宋体"/>
          <w:bCs/>
          <w:sz w:val="24"/>
          <w:szCs w:val="24"/>
          <w:highlight w:val="none"/>
          <w:u w:val="single"/>
        </w:rPr>
        <w:t>0%</w:t>
      </w:r>
      <w:r>
        <w:rPr>
          <w:rFonts w:hint="eastAsia" w:hAnsi="宋体"/>
          <w:bCs/>
          <w:sz w:val="24"/>
          <w:szCs w:val="24"/>
          <w:highlight w:val="none"/>
        </w:rPr>
        <w:t>×100</w:t>
      </w:r>
    </w:p>
    <w:p w14:paraId="2BD43E8C">
      <w:pPr>
        <w:pageBreakBefore w:val="0"/>
        <w:numPr>
          <w:ilvl w:val="0"/>
          <w:numId w:val="8"/>
        </w:numPr>
        <w:kinsoku/>
        <w:wordWrap/>
        <w:topLinePunct w:val="0"/>
        <w:bidi w:val="0"/>
        <w:spacing w:beforeLines="50" w:afterLines="50" w:line="360" w:lineRule="auto"/>
        <w:ind w:firstLine="466" w:firstLineChars="200"/>
        <w:rPr>
          <w:rFonts w:ascii="宋体" w:hAnsi="宋体"/>
          <w:b/>
          <w:spacing w:val="-4"/>
          <w:sz w:val="24"/>
          <w:highlight w:val="none"/>
        </w:rPr>
      </w:pPr>
      <w:r>
        <w:rPr>
          <w:rFonts w:hint="eastAsia" w:ascii="宋体" w:hAnsi="宋体"/>
          <w:b/>
          <w:spacing w:val="-4"/>
          <w:sz w:val="24"/>
          <w:highlight w:val="none"/>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文件、《财政部关于进一步加大政府采购支持中小企业力度的通知》财库〔2022〕19号的规定，对小型和微型企业、监狱企业、残疾人福利性单位生产的产品价格给予10%～20%的扣除，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与评审。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02AABF06">
      <w:pPr>
        <w:pStyle w:val="21"/>
        <w:pageBreakBefore w:val="0"/>
        <w:numPr>
          <w:ilvl w:val="0"/>
          <w:numId w:val="0"/>
        </w:numPr>
        <w:kinsoku/>
        <w:wordWrap/>
        <w:topLinePunct w:val="0"/>
        <w:bidi w:val="0"/>
        <w:spacing w:line="360" w:lineRule="auto"/>
        <w:ind w:firstLine="482" w:firstLineChars="200"/>
        <w:jc w:val="both"/>
        <w:rPr>
          <w:highlight w:val="none"/>
        </w:rPr>
      </w:pPr>
      <w:r>
        <w:rPr>
          <w:rFonts w:hint="eastAsia"/>
          <w:highlight w:val="none"/>
          <w:lang w:val="en-US" w:eastAsia="zh-CN"/>
        </w:rPr>
        <w:t>3、</w:t>
      </w:r>
      <w:r>
        <w:rPr>
          <w:rFonts w:hint="eastAsia"/>
          <w:b/>
          <w:spacing w:val="-4"/>
          <w:kern w:val="2"/>
          <w:highlight w:val="none"/>
        </w:rPr>
        <w:t>小微企业（监狱企业、福利企业）的评审价格=小微企业（监狱企业、福利企业）的投标报价*（1-10%）</w:t>
      </w:r>
    </w:p>
    <w:p w14:paraId="38EBCEE4">
      <w:pPr>
        <w:numPr>
          <w:ilvl w:val="0"/>
          <w:numId w:val="9"/>
        </w:numPr>
        <w:spacing w:beforeLines="50" w:afterLines="50"/>
        <w:rPr>
          <w:rFonts w:hint="eastAsia" w:ascii="宋体" w:hAnsi="宋体" w:cs="宋体"/>
          <w:b/>
          <w:bCs/>
          <w:sz w:val="24"/>
          <w:highlight w:val="none"/>
        </w:rPr>
      </w:pPr>
      <w:r>
        <w:rPr>
          <w:rFonts w:hint="eastAsia" w:ascii="宋体" w:hAnsi="宋体" w:cs="宋体"/>
          <w:b/>
          <w:bCs/>
          <w:sz w:val="24"/>
          <w:highlight w:val="none"/>
        </w:rPr>
        <w:t>商务技术部分（</w:t>
      </w:r>
      <w:r>
        <w:rPr>
          <w:rFonts w:hint="eastAsia" w:ascii="宋体" w:hAnsi="宋体" w:cs="宋体"/>
          <w:b/>
          <w:bCs/>
          <w:sz w:val="24"/>
          <w:highlight w:val="none"/>
          <w:lang w:val="en-US" w:eastAsia="zh-CN"/>
        </w:rPr>
        <w:t>80</w:t>
      </w:r>
      <w:r>
        <w:rPr>
          <w:rFonts w:hint="eastAsia" w:ascii="宋体" w:hAnsi="宋体" w:cs="宋体"/>
          <w:b/>
          <w:bCs/>
          <w:sz w:val="24"/>
          <w:highlight w:val="none"/>
        </w:rPr>
        <w:t>分）</w:t>
      </w:r>
    </w:p>
    <w:tbl>
      <w:tblPr>
        <w:tblStyle w:val="24"/>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7255"/>
        <w:gridCol w:w="1085"/>
      </w:tblGrid>
      <w:tr w14:paraId="15FC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blHeader/>
          <w:jc w:val="center"/>
        </w:trPr>
        <w:tc>
          <w:tcPr>
            <w:tcW w:w="1426" w:type="dxa"/>
            <w:noWrap w:val="0"/>
            <w:vAlign w:val="center"/>
          </w:tcPr>
          <w:p w14:paraId="6C5E0B8C">
            <w:pPr>
              <w:pStyle w:val="13"/>
              <w:jc w:val="center"/>
              <w:rPr>
                <w:rFonts w:hint="eastAsia" w:asciiTheme="majorEastAsia" w:hAnsiTheme="majorEastAsia" w:eastAsiaTheme="majorEastAsia" w:cstheme="majorEastAsia"/>
                <w:b/>
                <w:bCs/>
                <w:sz w:val="24"/>
                <w:szCs w:val="24"/>
                <w:highlight w:val="none"/>
                <w:lang w:val="zh-CN"/>
              </w:rPr>
            </w:pPr>
            <w:r>
              <w:rPr>
                <w:rFonts w:hint="eastAsia" w:asciiTheme="majorEastAsia" w:hAnsiTheme="majorEastAsia" w:eastAsiaTheme="majorEastAsia" w:cstheme="majorEastAsia"/>
                <w:b/>
                <w:bCs/>
                <w:sz w:val="24"/>
                <w:szCs w:val="24"/>
                <w:highlight w:val="none"/>
                <w:lang w:val="zh-CN"/>
              </w:rPr>
              <w:t>评分项目</w:t>
            </w:r>
          </w:p>
        </w:tc>
        <w:tc>
          <w:tcPr>
            <w:tcW w:w="7255" w:type="dxa"/>
            <w:noWrap w:val="0"/>
            <w:vAlign w:val="center"/>
          </w:tcPr>
          <w:p w14:paraId="2D07EC37">
            <w:pPr>
              <w:pStyle w:val="13"/>
              <w:jc w:val="center"/>
              <w:rPr>
                <w:rFonts w:hint="eastAsia" w:asciiTheme="majorEastAsia" w:hAnsiTheme="majorEastAsia" w:eastAsiaTheme="majorEastAsia" w:cstheme="majorEastAsia"/>
                <w:b/>
                <w:bCs/>
                <w:sz w:val="24"/>
                <w:szCs w:val="24"/>
                <w:highlight w:val="none"/>
                <w:lang w:val="zh-CN"/>
              </w:rPr>
            </w:pPr>
            <w:r>
              <w:rPr>
                <w:rFonts w:hint="eastAsia" w:asciiTheme="majorEastAsia" w:hAnsiTheme="majorEastAsia" w:eastAsiaTheme="majorEastAsia" w:cstheme="majorEastAsia"/>
                <w:b/>
                <w:bCs/>
                <w:sz w:val="24"/>
                <w:szCs w:val="24"/>
                <w:highlight w:val="none"/>
                <w:lang w:val="zh-CN"/>
              </w:rPr>
              <w:t>评分细则</w:t>
            </w:r>
          </w:p>
        </w:tc>
        <w:tc>
          <w:tcPr>
            <w:tcW w:w="1085" w:type="dxa"/>
            <w:noWrap w:val="0"/>
            <w:vAlign w:val="center"/>
          </w:tcPr>
          <w:p w14:paraId="7CAEBC04">
            <w:pPr>
              <w:pStyle w:val="13"/>
              <w:jc w:val="center"/>
              <w:rPr>
                <w:rFonts w:hint="eastAsia" w:asciiTheme="majorEastAsia" w:hAnsiTheme="majorEastAsia" w:eastAsiaTheme="majorEastAsia" w:cstheme="majorEastAsia"/>
                <w:b/>
                <w:bCs/>
                <w:sz w:val="24"/>
                <w:szCs w:val="24"/>
                <w:highlight w:val="none"/>
                <w:lang w:val="zh-CN"/>
              </w:rPr>
            </w:pPr>
            <w:r>
              <w:rPr>
                <w:rFonts w:hint="eastAsia" w:asciiTheme="majorEastAsia" w:hAnsiTheme="majorEastAsia" w:eastAsiaTheme="majorEastAsia" w:cstheme="majorEastAsia"/>
                <w:b/>
                <w:bCs/>
                <w:sz w:val="24"/>
                <w:szCs w:val="24"/>
                <w:highlight w:val="none"/>
                <w:lang w:val="zh-CN"/>
              </w:rPr>
              <w:t>分值</w:t>
            </w:r>
          </w:p>
        </w:tc>
      </w:tr>
      <w:tr w14:paraId="0A95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26" w:type="dxa"/>
            <w:noWrap w:val="0"/>
            <w:vAlign w:val="center"/>
          </w:tcPr>
          <w:p w14:paraId="0F67E260">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报价</w:t>
            </w:r>
          </w:p>
        </w:tc>
        <w:tc>
          <w:tcPr>
            <w:tcW w:w="7255" w:type="dxa"/>
            <w:noWrap w:val="0"/>
            <w:vAlign w:val="center"/>
          </w:tcPr>
          <w:p w14:paraId="6E0761AC">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报价采用固定</w:t>
            </w:r>
            <w:r>
              <w:rPr>
                <w:rFonts w:hint="eastAsia" w:asciiTheme="majorEastAsia" w:hAnsiTheme="majorEastAsia" w:eastAsiaTheme="majorEastAsia" w:cstheme="majorEastAsia"/>
                <w:sz w:val="24"/>
                <w:szCs w:val="24"/>
                <w:highlight w:val="none"/>
                <w:lang w:val="en-US" w:eastAsia="zh-CN"/>
              </w:rPr>
              <w:t>综合单价</w:t>
            </w:r>
            <w:r>
              <w:rPr>
                <w:rFonts w:hint="eastAsia" w:asciiTheme="majorEastAsia" w:hAnsiTheme="majorEastAsia" w:eastAsiaTheme="majorEastAsia" w:cstheme="majorEastAsia"/>
                <w:sz w:val="24"/>
                <w:szCs w:val="24"/>
                <w:highlight w:val="none"/>
                <w:lang w:val="zh-CN"/>
              </w:rPr>
              <w:t>（不竞争价）形式，报价符合采购文件要求的，得</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rPr>
              <w:t>0分。供应商</w:t>
            </w:r>
            <w:r>
              <w:rPr>
                <w:rFonts w:hint="eastAsia" w:asciiTheme="majorEastAsia" w:hAnsiTheme="majorEastAsia" w:eastAsiaTheme="majorEastAsia" w:cstheme="majorEastAsia"/>
                <w:sz w:val="24"/>
                <w:szCs w:val="24"/>
                <w:highlight w:val="none"/>
                <w:lang w:val="en-US" w:eastAsia="zh-CN"/>
              </w:rPr>
              <w:t>报价</w:t>
            </w:r>
            <w:r>
              <w:rPr>
                <w:rFonts w:hint="eastAsia" w:asciiTheme="majorEastAsia" w:hAnsiTheme="majorEastAsia" w:eastAsiaTheme="majorEastAsia" w:cstheme="majorEastAsia"/>
                <w:sz w:val="24"/>
                <w:szCs w:val="24"/>
                <w:highlight w:val="none"/>
                <w:lang w:val="zh-CN"/>
              </w:rPr>
              <w:t>改变</w:t>
            </w:r>
            <w:r>
              <w:rPr>
                <w:rFonts w:hint="eastAsia" w:asciiTheme="majorEastAsia" w:hAnsiTheme="majorEastAsia" w:eastAsiaTheme="majorEastAsia" w:cstheme="majorEastAsia"/>
                <w:sz w:val="24"/>
                <w:szCs w:val="24"/>
                <w:highlight w:val="none"/>
                <w:lang w:val="en-US" w:eastAsia="zh-CN"/>
              </w:rPr>
              <w:t>固定综合单价</w:t>
            </w:r>
            <w:r>
              <w:rPr>
                <w:rFonts w:hint="eastAsia" w:asciiTheme="majorEastAsia" w:hAnsiTheme="majorEastAsia" w:eastAsiaTheme="majorEastAsia" w:cstheme="majorEastAsia"/>
                <w:sz w:val="24"/>
                <w:szCs w:val="24"/>
                <w:highlight w:val="none"/>
                <w:lang w:val="zh-CN"/>
              </w:rPr>
              <w:t>的，作无效标处理。</w:t>
            </w:r>
          </w:p>
        </w:tc>
        <w:tc>
          <w:tcPr>
            <w:tcW w:w="1085" w:type="dxa"/>
            <w:noWrap w:val="0"/>
            <w:vAlign w:val="center"/>
          </w:tcPr>
          <w:p w14:paraId="02CC753E">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rPr>
              <w:t>0分</w:t>
            </w:r>
          </w:p>
        </w:tc>
      </w:tr>
      <w:tr w14:paraId="6464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426" w:type="dxa"/>
            <w:noWrap w:val="0"/>
            <w:vAlign w:val="center"/>
          </w:tcPr>
          <w:p w14:paraId="6206BB08">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类似业绩</w:t>
            </w:r>
          </w:p>
        </w:tc>
        <w:tc>
          <w:tcPr>
            <w:tcW w:w="7255" w:type="dxa"/>
            <w:noWrap w:val="0"/>
            <w:vAlign w:val="center"/>
          </w:tcPr>
          <w:p w14:paraId="71CC5854">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根据投标人提供的自20</w:t>
            </w:r>
            <w:r>
              <w:rPr>
                <w:rFonts w:hint="eastAsia" w:asciiTheme="majorEastAsia" w:hAnsiTheme="majorEastAsia" w:eastAsiaTheme="majorEastAsia" w:cstheme="majorEastAsia"/>
                <w:sz w:val="24"/>
                <w:szCs w:val="24"/>
                <w:highlight w:val="none"/>
                <w:lang w:val="en-US" w:eastAsia="zh-CN"/>
              </w:rPr>
              <w:t>21</w:t>
            </w:r>
            <w:r>
              <w:rPr>
                <w:rFonts w:hint="eastAsia" w:asciiTheme="majorEastAsia" w:hAnsiTheme="majorEastAsia" w:eastAsiaTheme="majorEastAsia" w:cstheme="majorEastAsia"/>
                <w:sz w:val="24"/>
                <w:szCs w:val="24"/>
                <w:highlight w:val="none"/>
                <w:lang w:val="zh-CN"/>
              </w:rPr>
              <w:t>年</w:t>
            </w:r>
            <w:r>
              <w:rPr>
                <w:rFonts w:hint="eastAsia" w:asciiTheme="majorEastAsia" w:hAnsiTheme="majorEastAsia" w:eastAsiaTheme="majorEastAsia" w:cstheme="majorEastAsia"/>
                <w:sz w:val="24"/>
                <w:szCs w:val="24"/>
                <w:highlight w:val="none"/>
                <w:lang w:val="en-US" w:eastAsia="zh-CN"/>
              </w:rPr>
              <w:t>12</w:t>
            </w:r>
            <w:r>
              <w:rPr>
                <w:rFonts w:hint="eastAsia" w:asciiTheme="majorEastAsia" w:hAnsiTheme="majorEastAsia" w:eastAsiaTheme="majorEastAsia" w:cstheme="majorEastAsia"/>
                <w:sz w:val="24"/>
                <w:szCs w:val="24"/>
                <w:highlight w:val="none"/>
                <w:lang w:val="zh-CN"/>
              </w:rPr>
              <w:t>月1日（时间以保单或合同生效时间为准）以来</w:t>
            </w:r>
            <w:r>
              <w:rPr>
                <w:rFonts w:hint="eastAsia" w:asciiTheme="majorEastAsia" w:hAnsiTheme="majorEastAsia" w:eastAsiaTheme="majorEastAsia" w:cstheme="majorEastAsia"/>
                <w:sz w:val="24"/>
                <w:szCs w:val="24"/>
                <w:highlight w:val="none"/>
                <w:lang w:val="zh-CN" w:eastAsia="zh-CN"/>
              </w:rPr>
              <w:t>类似</w:t>
            </w:r>
            <w:r>
              <w:rPr>
                <w:rFonts w:hint="eastAsia" w:asciiTheme="majorEastAsia" w:hAnsiTheme="majorEastAsia" w:eastAsiaTheme="majorEastAsia" w:cstheme="majorEastAsia"/>
                <w:sz w:val="24"/>
                <w:szCs w:val="24"/>
                <w:highlight w:val="none"/>
                <w:lang w:val="zh-CN"/>
              </w:rPr>
              <w:t>家庭健康保险</w:t>
            </w:r>
            <w:r>
              <w:rPr>
                <w:rFonts w:hint="eastAsia" w:asciiTheme="majorEastAsia" w:hAnsiTheme="majorEastAsia" w:eastAsiaTheme="majorEastAsia" w:cstheme="majorEastAsia"/>
                <w:sz w:val="24"/>
                <w:szCs w:val="24"/>
                <w:highlight w:val="none"/>
                <w:lang w:val="zh-CN" w:eastAsia="zh-CN"/>
              </w:rPr>
              <w:t>项目业绩</w:t>
            </w:r>
            <w:r>
              <w:rPr>
                <w:rFonts w:hint="eastAsia" w:asciiTheme="majorEastAsia" w:hAnsiTheme="majorEastAsia" w:eastAsiaTheme="majorEastAsia" w:cstheme="majorEastAsia"/>
                <w:sz w:val="24"/>
                <w:szCs w:val="24"/>
                <w:highlight w:val="none"/>
                <w:lang w:val="zh-CN"/>
              </w:rPr>
              <w:t>，每提供一个得</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rPr>
              <w:t>分，最高得</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rPr>
              <w:t>分。</w:t>
            </w:r>
          </w:p>
          <w:p w14:paraId="2DFDE166">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en-US" w:eastAsia="zh-CN"/>
              </w:rPr>
              <w:t>注：</w:t>
            </w:r>
            <w:r>
              <w:rPr>
                <w:rFonts w:hint="eastAsia" w:asciiTheme="majorEastAsia" w:hAnsiTheme="majorEastAsia" w:eastAsiaTheme="majorEastAsia" w:cstheme="majorEastAsia"/>
                <w:sz w:val="24"/>
                <w:szCs w:val="24"/>
                <w:highlight w:val="none"/>
                <w:lang w:val="zh-CN"/>
              </w:rPr>
              <w:t>须提供合同或保单复印件并加盖公章，不提供不得分。同一业务多份保单或多个单位的，按一项计算。不提供不得分，本项最高得</w:t>
            </w:r>
            <w:r>
              <w:rPr>
                <w:rFonts w:hint="eastAsia" w:asciiTheme="majorEastAsia" w:hAnsiTheme="majorEastAsia" w:eastAsiaTheme="majorEastAsia" w:cstheme="majorEastAsia"/>
                <w:sz w:val="24"/>
                <w:szCs w:val="24"/>
                <w:highlight w:val="none"/>
                <w:lang w:val="zh-CN" w:eastAsia="zh-CN"/>
              </w:rPr>
              <w:t>1</w:t>
            </w:r>
            <w:r>
              <w:rPr>
                <w:rFonts w:hint="eastAsia" w:asciiTheme="majorEastAsia" w:hAnsiTheme="majorEastAsia" w:eastAsiaTheme="majorEastAsia" w:cstheme="majorEastAsia"/>
                <w:sz w:val="24"/>
                <w:szCs w:val="24"/>
                <w:highlight w:val="none"/>
                <w:lang w:val="zh-CN"/>
              </w:rPr>
              <w:t>分。</w:t>
            </w:r>
          </w:p>
        </w:tc>
        <w:tc>
          <w:tcPr>
            <w:tcW w:w="1085" w:type="dxa"/>
            <w:noWrap w:val="0"/>
            <w:vAlign w:val="center"/>
          </w:tcPr>
          <w:p w14:paraId="1138A055">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rPr>
              <w:t>分</w:t>
            </w:r>
          </w:p>
        </w:tc>
      </w:tr>
      <w:tr w14:paraId="013A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1426" w:type="dxa"/>
            <w:noWrap w:val="0"/>
            <w:vAlign w:val="center"/>
          </w:tcPr>
          <w:p w14:paraId="5E185D1E">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公司风险评级</w:t>
            </w:r>
          </w:p>
        </w:tc>
        <w:tc>
          <w:tcPr>
            <w:tcW w:w="7255" w:type="dxa"/>
            <w:noWrap w:val="0"/>
            <w:vAlign w:val="center"/>
          </w:tcPr>
          <w:p w14:paraId="0C48085A">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根据投标人</w:t>
            </w:r>
            <w:r>
              <w:rPr>
                <w:rFonts w:hint="eastAsia" w:asciiTheme="majorEastAsia" w:hAnsiTheme="majorEastAsia" w:eastAsiaTheme="majorEastAsia" w:cstheme="majorEastAsia"/>
                <w:sz w:val="24"/>
                <w:szCs w:val="24"/>
                <w:highlight w:val="none"/>
                <w:lang w:val="zh-CN" w:eastAsia="zh-CN"/>
              </w:rPr>
              <w:t>总公司</w:t>
            </w:r>
            <w:r>
              <w:rPr>
                <w:rFonts w:hint="eastAsia" w:asciiTheme="majorEastAsia" w:hAnsiTheme="majorEastAsia" w:eastAsiaTheme="majorEastAsia" w:cstheme="majorEastAsia"/>
                <w:sz w:val="24"/>
                <w:szCs w:val="24"/>
                <w:highlight w:val="none"/>
                <w:lang w:val="zh-CN"/>
              </w:rPr>
              <w:t>银保监会风险综合评级结果，202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年一季度的风险综合评级（分类监管），</w:t>
            </w:r>
            <w:r>
              <w:rPr>
                <w:rFonts w:hint="eastAsia" w:asciiTheme="majorEastAsia" w:hAnsiTheme="majorEastAsia" w:eastAsiaTheme="majorEastAsia" w:cstheme="majorEastAsia"/>
                <w:sz w:val="24"/>
                <w:szCs w:val="24"/>
                <w:highlight w:val="none"/>
                <w:lang w:val="en-US" w:eastAsia="zh-CN"/>
              </w:rPr>
              <w:t>获得A</w:t>
            </w:r>
            <w:r>
              <w:rPr>
                <w:rFonts w:hint="eastAsia" w:asciiTheme="majorEastAsia" w:hAnsiTheme="majorEastAsia" w:eastAsiaTheme="majorEastAsia" w:cstheme="majorEastAsia"/>
                <w:sz w:val="24"/>
                <w:szCs w:val="24"/>
                <w:highlight w:val="none"/>
                <w:lang w:val="zh-CN"/>
              </w:rPr>
              <w:t>A</w:t>
            </w:r>
            <w:r>
              <w:rPr>
                <w:rFonts w:hint="eastAsia" w:asciiTheme="majorEastAsia" w:hAnsiTheme="majorEastAsia" w:eastAsiaTheme="majorEastAsia" w:cstheme="majorEastAsia"/>
                <w:sz w:val="24"/>
                <w:szCs w:val="24"/>
                <w:highlight w:val="none"/>
                <w:lang w:val="en-US" w:eastAsia="zh-CN"/>
              </w:rPr>
              <w:t>A</w:t>
            </w:r>
            <w:r>
              <w:rPr>
                <w:rFonts w:hint="eastAsia" w:asciiTheme="majorEastAsia" w:hAnsiTheme="majorEastAsia" w:eastAsiaTheme="majorEastAsia" w:cstheme="majorEastAsia"/>
                <w:sz w:val="24"/>
                <w:szCs w:val="24"/>
                <w:highlight w:val="none"/>
                <w:lang w:val="zh-CN"/>
              </w:rPr>
              <w:t>得</w:t>
            </w:r>
            <w:r>
              <w:rPr>
                <w:rFonts w:hint="eastAsia" w:asciiTheme="majorEastAsia" w:hAnsiTheme="majorEastAsia" w:eastAsiaTheme="majorEastAsia" w:cstheme="majorEastAsia"/>
                <w:sz w:val="24"/>
                <w:szCs w:val="24"/>
                <w:highlight w:val="none"/>
                <w:lang w:val="en-US" w:eastAsia="zh-CN"/>
              </w:rPr>
              <w:t>7</w:t>
            </w:r>
            <w:r>
              <w:rPr>
                <w:rFonts w:hint="eastAsia" w:asciiTheme="majorEastAsia" w:hAnsiTheme="majorEastAsia" w:eastAsiaTheme="majorEastAsia" w:cstheme="majorEastAsia"/>
                <w:sz w:val="24"/>
                <w:szCs w:val="24"/>
                <w:highlight w:val="none"/>
                <w:lang w:val="zh-CN"/>
              </w:rPr>
              <w:t>分，</w:t>
            </w:r>
            <w:r>
              <w:rPr>
                <w:rFonts w:hint="eastAsia" w:asciiTheme="majorEastAsia" w:hAnsiTheme="majorEastAsia" w:eastAsiaTheme="majorEastAsia" w:cstheme="majorEastAsia"/>
                <w:sz w:val="24"/>
                <w:szCs w:val="24"/>
                <w:highlight w:val="none"/>
                <w:lang w:val="en-US" w:eastAsia="zh-CN"/>
              </w:rPr>
              <w:t>获得A</w:t>
            </w:r>
            <w:r>
              <w:rPr>
                <w:rFonts w:hint="eastAsia" w:asciiTheme="majorEastAsia" w:hAnsiTheme="majorEastAsia" w:eastAsiaTheme="majorEastAsia" w:cstheme="majorEastAsia"/>
                <w:sz w:val="24"/>
                <w:szCs w:val="24"/>
                <w:highlight w:val="none"/>
                <w:lang w:val="zh-CN"/>
              </w:rPr>
              <w:t>A得</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rPr>
              <w:t>分，</w:t>
            </w:r>
            <w:r>
              <w:rPr>
                <w:rFonts w:hint="eastAsia" w:asciiTheme="majorEastAsia" w:hAnsiTheme="majorEastAsia" w:eastAsiaTheme="majorEastAsia" w:cstheme="majorEastAsia"/>
                <w:sz w:val="24"/>
                <w:szCs w:val="24"/>
                <w:highlight w:val="none"/>
                <w:lang w:val="en-US" w:eastAsia="zh-CN"/>
              </w:rPr>
              <w:t>获得</w:t>
            </w:r>
            <w:r>
              <w:rPr>
                <w:rFonts w:hint="eastAsia" w:asciiTheme="majorEastAsia" w:hAnsiTheme="majorEastAsia" w:eastAsiaTheme="majorEastAsia" w:cstheme="majorEastAsia"/>
                <w:sz w:val="24"/>
                <w:szCs w:val="24"/>
                <w:highlight w:val="none"/>
                <w:lang w:val="zh-CN"/>
              </w:rPr>
              <w:t>A得</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分，</w:t>
            </w:r>
            <w:r>
              <w:rPr>
                <w:rFonts w:hint="eastAsia" w:asciiTheme="majorEastAsia" w:hAnsiTheme="majorEastAsia" w:eastAsiaTheme="majorEastAsia" w:cstheme="majorEastAsia"/>
                <w:sz w:val="24"/>
                <w:szCs w:val="24"/>
                <w:highlight w:val="none"/>
                <w:lang w:val="en-US" w:eastAsia="zh-CN"/>
              </w:rPr>
              <w:t>A</w:t>
            </w:r>
            <w:r>
              <w:rPr>
                <w:rFonts w:hint="eastAsia" w:asciiTheme="majorEastAsia" w:hAnsiTheme="majorEastAsia" w:eastAsiaTheme="majorEastAsia" w:cstheme="majorEastAsia"/>
                <w:sz w:val="24"/>
                <w:szCs w:val="24"/>
                <w:highlight w:val="none"/>
                <w:lang w:val="zh-CN"/>
              </w:rPr>
              <w:t>以下不得分。（以中国保险行业协会官网对外公布的数据或相关证明为准）</w:t>
            </w:r>
          </w:p>
          <w:p w14:paraId="5E665C91">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须提供相关证明材料扫描件并加盖公章，不提供不得分，本项最高得</w:t>
            </w:r>
            <w:r>
              <w:rPr>
                <w:rFonts w:hint="eastAsia" w:asciiTheme="majorEastAsia" w:hAnsiTheme="majorEastAsia" w:eastAsiaTheme="majorEastAsia" w:cstheme="majorEastAsia"/>
                <w:sz w:val="24"/>
                <w:szCs w:val="24"/>
                <w:highlight w:val="none"/>
                <w:lang w:val="en-US" w:eastAsia="zh-CN"/>
              </w:rPr>
              <w:t>7</w:t>
            </w:r>
            <w:r>
              <w:rPr>
                <w:rFonts w:hint="eastAsia" w:asciiTheme="majorEastAsia" w:hAnsiTheme="majorEastAsia" w:eastAsiaTheme="majorEastAsia" w:cstheme="majorEastAsia"/>
                <w:sz w:val="24"/>
                <w:szCs w:val="24"/>
                <w:highlight w:val="none"/>
                <w:lang w:val="zh-CN"/>
              </w:rPr>
              <w:t>分。</w:t>
            </w:r>
          </w:p>
        </w:tc>
        <w:tc>
          <w:tcPr>
            <w:tcW w:w="1085" w:type="dxa"/>
            <w:noWrap w:val="0"/>
            <w:vAlign w:val="center"/>
          </w:tcPr>
          <w:p w14:paraId="457B73B1">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7</w:t>
            </w:r>
            <w:r>
              <w:rPr>
                <w:rFonts w:hint="eastAsia" w:asciiTheme="majorEastAsia" w:hAnsiTheme="majorEastAsia" w:eastAsiaTheme="majorEastAsia" w:cstheme="majorEastAsia"/>
                <w:sz w:val="24"/>
                <w:szCs w:val="24"/>
                <w:highlight w:val="none"/>
                <w:lang w:val="zh-CN" w:eastAsia="zh-CN"/>
              </w:rPr>
              <w:t>分</w:t>
            </w:r>
          </w:p>
        </w:tc>
      </w:tr>
      <w:tr w14:paraId="0C15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1426" w:type="dxa"/>
            <w:noWrap w:val="0"/>
            <w:vAlign w:val="center"/>
          </w:tcPr>
          <w:p w14:paraId="1F25E8DD">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诚信情况</w:t>
            </w:r>
          </w:p>
        </w:tc>
        <w:tc>
          <w:tcPr>
            <w:tcW w:w="7255" w:type="dxa"/>
            <w:noWrap w:val="0"/>
            <w:vAlign w:val="center"/>
          </w:tcPr>
          <w:p w14:paraId="69F104E8">
            <w:pPr>
              <w:pStyle w:val="13"/>
              <w:jc w:val="both"/>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投标人202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年</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月1日起受到浙江银保监局的行政处罚，处罚一起扣1分，以此类推，扣完为止；无处罚得</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rPr>
              <w:t>分。</w:t>
            </w:r>
          </w:p>
          <w:p w14:paraId="5709A803">
            <w:pPr>
              <w:pStyle w:val="13"/>
              <w:jc w:val="both"/>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须提供相关证明材料扫描件并加盖公章，未提供不得分，本项最高得</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rPr>
              <w:t>分。</w:t>
            </w:r>
          </w:p>
        </w:tc>
        <w:tc>
          <w:tcPr>
            <w:tcW w:w="1085" w:type="dxa"/>
            <w:noWrap w:val="0"/>
            <w:vAlign w:val="center"/>
          </w:tcPr>
          <w:p w14:paraId="679E3A05">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rPr>
              <w:t>分</w:t>
            </w:r>
          </w:p>
        </w:tc>
      </w:tr>
      <w:tr w14:paraId="7D31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426" w:type="dxa"/>
            <w:noWrap w:val="0"/>
            <w:vAlign w:val="center"/>
          </w:tcPr>
          <w:p w14:paraId="3F1C4540">
            <w:pPr>
              <w:pStyle w:val="13"/>
              <w:jc w:val="center"/>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服务网点</w:t>
            </w:r>
          </w:p>
        </w:tc>
        <w:tc>
          <w:tcPr>
            <w:tcW w:w="7255" w:type="dxa"/>
            <w:noWrap w:val="0"/>
            <w:vAlign w:val="center"/>
          </w:tcPr>
          <w:p w14:paraId="092C77AF">
            <w:pPr>
              <w:pStyle w:val="13"/>
              <w:jc w:val="both"/>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根据</w:t>
            </w:r>
            <w:r>
              <w:rPr>
                <w:rFonts w:hint="eastAsia" w:asciiTheme="majorEastAsia" w:hAnsiTheme="majorEastAsia" w:eastAsiaTheme="majorEastAsia" w:cstheme="majorEastAsia"/>
                <w:sz w:val="24"/>
                <w:szCs w:val="24"/>
                <w:highlight w:val="none"/>
                <w:lang w:val="en-US" w:eastAsia="zh-CN"/>
              </w:rPr>
              <w:t>衢州市行政区域范围内</w:t>
            </w:r>
            <w:r>
              <w:rPr>
                <w:rFonts w:hint="eastAsia" w:asciiTheme="majorEastAsia" w:hAnsiTheme="majorEastAsia" w:eastAsiaTheme="majorEastAsia" w:cstheme="majorEastAsia"/>
                <w:color w:val="auto"/>
                <w:sz w:val="24"/>
                <w:szCs w:val="24"/>
                <w:highlight w:val="none"/>
                <w:lang w:val="zh-CN"/>
              </w:rPr>
              <w:t>服务网点</w:t>
            </w:r>
            <w:r>
              <w:rPr>
                <w:rFonts w:hint="eastAsia" w:asciiTheme="majorEastAsia" w:hAnsiTheme="majorEastAsia" w:eastAsiaTheme="majorEastAsia" w:cstheme="majorEastAsia"/>
                <w:sz w:val="24"/>
                <w:szCs w:val="24"/>
                <w:highlight w:val="none"/>
                <w:lang w:val="en-US" w:eastAsia="zh-CN"/>
              </w:rPr>
              <w:t>的</w:t>
            </w:r>
            <w:r>
              <w:rPr>
                <w:rFonts w:hint="eastAsia" w:asciiTheme="majorEastAsia" w:hAnsiTheme="majorEastAsia" w:eastAsiaTheme="majorEastAsia" w:cstheme="majorEastAsia"/>
                <w:sz w:val="24"/>
                <w:szCs w:val="24"/>
                <w:highlight w:val="none"/>
                <w:lang w:val="zh-CN"/>
              </w:rPr>
              <w:t>数量进行打分。</w:t>
            </w:r>
          </w:p>
          <w:p w14:paraId="48D4F337">
            <w:pPr>
              <w:pStyle w:val="13"/>
              <w:jc w:val="both"/>
              <w:rPr>
                <w:rFonts w:hint="eastAsia" w:asciiTheme="majorEastAsia" w:hAnsiTheme="majorEastAsia" w:eastAsiaTheme="majorEastAsia" w:cstheme="majorEastAsia"/>
                <w:sz w:val="24"/>
                <w:szCs w:val="24"/>
                <w:highlight w:val="none"/>
                <w:lang w:val="en-US"/>
              </w:rPr>
            </w:pPr>
            <w:r>
              <w:rPr>
                <w:rFonts w:hint="eastAsia" w:asciiTheme="majorEastAsia" w:hAnsiTheme="majorEastAsia" w:eastAsiaTheme="majorEastAsia" w:cstheme="majorEastAsia"/>
                <w:sz w:val="24"/>
                <w:szCs w:val="24"/>
                <w:highlight w:val="none"/>
                <w:lang w:val="en-US" w:eastAsia="zh-CN"/>
              </w:rPr>
              <w:t>服务网点30家（含）以上的得5分；</w:t>
            </w:r>
          </w:p>
          <w:p w14:paraId="61D5BEA7">
            <w:pPr>
              <w:pStyle w:val="13"/>
              <w:jc w:val="both"/>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en-US" w:eastAsia="zh-CN"/>
              </w:rPr>
              <w:t>服务网点25家（含）-30家（不含）的得4分；服务网点20家（含）-25家（不含）的</w:t>
            </w:r>
            <w:r>
              <w:rPr>
                <w:rFonts w:hint="eastAsia" w:asciiTheme="majorEastAsia" w:hAnsiTheme="majorEastAsia" w:eastAsiaTheme="majorEastAsia" w:cstheme="majorEastAsia"/>
                <w:sz w:val="24"/>
                <w:szCs w:val="24"/>
                <w:highlight w:val="none"/>
                <w:lang w:val="zh-CN"/>
              </w:rPr>
              <w:t>得</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rPr>
              <w:t>分</w:t>
            </w:r>
            <w:r>
              <w:rPr>
                <w:rFonts w:hint="eastAsia" w:asciiTheme="majorEastAsia" w:hAnsiTheme="majorEastAsia" w:eastAsiaTheme="majorEastAsia" w:cstheme="majorEastAsia"/>
                <w:sz w:val="24"/>
                <w:szCs w:val="24"/>
                <w:highlight w:val="none"/>
                <w:lang w:val="en-US" w:eastAsia="zh-CN"/>
              </w:rPr>
              <w:t>；服务网点15家（含）-20家（不含）的得2分；服务网点10家（含）-15家（不含）的得1分；服务网点10家（不含）以下的</w:t>
            </w:r>
            <w:r>
              <w:rPr>
                <w:rFonts w:hint="eastAsia" w:asciiTheme="majorEastAsia" w:hAnsiTheme="majorEastAsia" w:eastAsiaTheme="majorEastAsia" w:cstheme="majorEastAsia"/>
                <w:sz w:val="24"/>
                <w:szCs w:val="24"/>
                <w:highlight w:val="none"/>
                <w:lang w:val="zh-CN"/>
              </w:rPr>
              <w:t>不得分。</w:t>
            </w:r>
          </w:p>
          <w:p w14:paraId="491FE254">
            <w:pPr>
              <w:pStyle w:val="13"/>
              <w:jc w:val="both"/>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须提供网点营业执照及经营保险业务许可证扫描件并加盖公章，不提供不得分。</w:t>
            </w:r>
          </w:p>
        </w:tc>
        <w:tc>
          <w:tcPr>
            <w:tcW w:w="1085" w:type="dxa"/>
            <w:noWrap w:val="0"/>
            <w:vAlign w:val="center"/>
          </w:tcPr>
          <w:p w14:paraId="12416775">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eastAsia="zh-CN"/>
              </w:rPr>
              <w:t>分</w:t>
            </w:r>
          </w:p>
        </w:tc>
      </w:tr>
      <w:tr w14:paraId="1AB2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426" w:type="dxa"/>
            <w:noWrap w:val="0"/>
            <w:vAlign w:val="center"/>
          </w:tcPr>
          <w:p w14:paraId="5EC3191E">
            <w:pPr>
              <w:pStyle w:val="13"/>
              <w:jc w:val="center"/>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rPr>
              <w:t>快速理赔直付系统</w:t>
            </w:r>
          </w:p>
        </w:tc>
        <w:tc>
          <w:tcPr>
            <w:tcW w:w="7255" w:type="dxa"/>
            <w:noWrap w:val="0"/>
            <w:vAlign w:val="center"/>
          </w:tcPr>
          <w:p w14:paraId="5862D2BF">
            <w:pPr>
              <w:pStyle w:val="13"/>
              <w:jc w:val="both"/>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zh-CN"/>
              </w:rPr>
              <w:t>投标人有快速理赔直付系统的得</w:t>
            </w:r>
            <w:r>
              <w:rPr>
                <w:rFonts w:hint="eastAsia" w:asciiTheme="majorEastAsia" w:hAnsiTheme="majorEastAsia" w:eastAsiaTheme="majorEastAsia" w:cstheme="majorEastAsia"/>
                <w:sz w:val="24"/>
                <w:szCs w:val="24"/>
                <w:highlight w:val="none"/>
                <w:lang w:val="en-US" w:eastAsia="zh-CN"/>
              </w:rPr>
              <w:t>2分，没有不得分。</w:t>
            </w:r>
          </w:p>
        </w:tc>
        <w:tc>
          <w:tcPr>
            <w:tcW w:w="1085" w:type="dxa"/>
            <w:noWrap w:val="0"/>
            <w:vAlign w:val="center"/>
          </w:tcPr>
          <w:p w14:paraId="766D30B3">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eastAsia="zh-CN"/>
              </w:rPr>
              <w:t>分</w:t>
            </w:r>
          </w:p>
        </w:tc>
      </w:tr>
      <w:tr w14:paraId="6807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26" w:type="dxa"/>
            <w:noWrap w:val="0"/>
            <w:vAlign w:val="center"/>
          </w:tcPr>
          <w:p w14:paraId="784D0F13">
            <w:pPr>
              <w:pStyle w:val="13"/>
              <w:jc w:val="center"/>
              <w:rPr>
                <w:rFonts w:hint="eastAsia" w:asciiTheme="majorEastAsia" w:hAnsiTheme="majorEastAsia" w:eastAsiaTheme="majorEastAsia" w:cstheme="majorEastAsia"/>
                <w:sz w:val="24"/>
                <w:szCs w:val="24"/>
                <w:highlight w:val="none"/>
                <w:lang w:val="zh-CN" w:eastAsia="zh-CN"/>
              </w:rPr>
            </w:pPr>
            <w:r>
              <w:rPr>
                <w:rFonts w:hint="eastAsia" w:ascii="宋体" w:hAnsi="宋体"/>
                <w:sz w:val="24"/>
                <w:highlight w:val="none"/>
                <w:lang w:eastAsia="zh-CN"/>
              </w:rPr>
              <w:t>特</w:t>
            </w:r>
            <w:r>
              <w:rPr>
                <w:rFonts w:hint="eastAsia" w:ascii="宋体" w:hAnsi="宋体"/>
                <w:sz w:val="24"/>
                <w:highlight w:val="none"/>
              </w:rPr>
              <w:t>点、难点分析</w:t>
            </w:r>
          </w:p>
        </w:tc>
        <w:tc>
          <w:tcPr>
            <w:tcW w:w="7255" w:type="dxa"/>
            <w:noWrap w:val="0"/>
            <w:vAlign w:val="center"/>
          </w:tcPr>
          <w:p w14:paraId="407AFBAD">
            <w:pPr>
              <w:pStyle w:val="13"/>
              <w:jc w:val="both"/>
              <w:rPr>
                <w:rFonts w:hint="eastAsia" w:eastAsia="宋体" w:asciiTheme="majorEastAsia" w:hAnsi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zh-CN"/>
              </w:rPr>
              <w:t>根据投标人对本项目理解的正确程度、全面性、合理性、思路清晰程度，对本项目特点、难点、亮点的技术分析和对策措施等方面进行综合评分。对策措施</w:t>
            </w:r>
            <w:r>
              <w:rPr>
                <w:rFonts w:hint="eastAsia" w:ascii="宋体" w:hAnsi="宋体" w:cs="宋体"/>
                <w:bCs/>
                <w:sz w:val="24"/>
                <w:highlight w:val="none"/>
              </w:rPr>
              <w:t>科学合理</w:t>
            </w:r>
            <w:r>
              <w:rPr>
                <w:rFonts w:hint="eastAsia" w:ascii="宋体" w:hAnsi="宋体" w:cs="宋体"/>
                <w:bCs/>
                <w:sz w:val="24"/>
                <w:highlight w:val="none"/>
                <w:lang w:eastAsia="zh-CN"/>
              </w:rPr>
              <w:t>、</w:t>
            </w:r>
            <w:r>
              <w:rPr>
                <w:rFonts w:hint="eastAsia" w:ascii="宋体" w:hAnsi="宋体" w:cs="宋体"/>
                <w:bCs/>
                <w:sz w:val="24"/>
                <w:highlight w:val="none"/>
              </w:rPr>
              <w:t>具有针对性的、</w:t>
            </w:r>
            <w:r>
              <w:rPr>
                <w:rFonts w:hint="eastAsia" w:ascii="宋体" w:hAnsi="宋体" w:cs="宋体"/>
                <w:bCs/>
                <w:sz w:val="24"/>
                <w:highlight w:val="none"/>
                <w:lang w:eastAsia="zh-CN"/>
              </w:rPr>
              <w:t>并切实</w:t>
            </w:r>
            <w:r>
              <w:rPr>
                <w:rFonts w:hint="eastAsia" w:ascii="宋体" w:hAnsi="宋体" w:cs="宋体"/>
                <w:bCs/>
                <w:sz w:val="24"/>
                <w:highlight w:val="none"/>
              </w:rPr>
              <w:t>可行的得</w:t>
            </w:r>
            <w:r>
              <w:rPr>
                <w:rFonts w:hint="eastAsia" w:hAnsi="宋体" w:cs="宋体"/>
                <w:bCs/>
                <w:sz w:val="24"/>
                <w:highlight w:val="none"/>
                <w:lang w:val="en-US" w:eastAsia="zh-CN"/>
              </w:rPr>
              <w:t>5</w:t>
            </w:r>
            <w:r>
              <w:rPr>
                <w:rFonts w:hint="eastAsia" w:ascii="宋体" w:hAnsi="宋体" w:cs="宋体"/>
                <w:bCs/>
                <w:sz w:val="24"/>
                <w:highlight w:val="none"/>
                <w:lang w:val="en-US" w:eastAsia="zh-CN"/>
              </w:rPr>
              <w:t>.1-</w:t>
            </w:r>
            <w:r>
              <w:rPr>
                <w:rFonts w:hint="eastAsia" w:hAnsi="宋体" w:cs="宋体"/>
                <w:bCs/>
                <w:sz w:val="24"/>
                <w:highlight w:val="none"/>
                <w:lang w:val="en-US" w:eastAsia="zh-CN"/>
              </w:rPr>
              <w:t>8</w:t>
            </w:r>
            <w:r>
              <w:rPr>
                <w:rFonts w:hint="eastAsia" w:ascii="宋体" w:hAnsi="宋体" w:cs="宋体"/>
                <w:bCs/>
                <w:sz w:val="24"/>
                <w:highlight w:val="none"/>
              </w:rPr>
              <w:t>分</w:t>
            </w:r>
            <w:r>
              <w:rPr>
                <w:rFonts w:hint="eastAsia" w:ascii="宋体" w:hAnsi="宋体" w:cs="宋体"/>
                <w:bCs/>
                <w:sz w:val="24"/>
                <w:highlight w:val="none"/>
                <w:lang w:eastAsia="zh-CN"/>
              </w:rPr>
              <w:t>；</w:t>
            </w:r>
            <w:r>
              <w:rPr>
                <w:rFonts w:hint="eastAsia" w:asciiTheme="majorEastAsia" w:hAnsiTheme="majorEastAsia" w:eastAsiaTheme="majorEastAsia" w:cstheme="majorEastAsia"/>
                <w:sz w:val="24"/>
                <w:szCs w:val="24"/>
                <w:highlight w:val="none"/>
                <w:lang w:val="zh-CN"/>
              </w:rPr>
              <w:t>对策措施</w:t>
            </w:r>
            <w:r>
              <w:rPr>
                <w:rFonts w:hint="eastAsia" w:asciiTheme="majorEastAsia" w:hAnsiTheme="majorEastAsia" w:eastAsiaTheme="majorEastAsia" w:cstheme="majorEastAsia"/>
                <w:sz w:val="24"/>
                <w:szCs w:val="24"/>
                <w:highlight w:val="none"/>
                <w:lang w:val="en-US" w:eastAsia="zh-CN"/>
              </w:rPr>
              <w:t>较科学合理、较</w:t>
            </w:r>
            <w:r>
              <w:rPr>
                <w:rFonts w:hint="eastAsia" w:ascii="宋体" w:hAnsi="宋体" w:cs="宋体"/>
                <w:bCs/>
                <w:sz w:val="24"/>
                <w:highlight w:val="none"/>
              </w:rPr>
              <w:t>具有针对性的</w:t>
            </w:r>
            <w:r>
              <w:rPr>
                <w:rFonts w:hint="eastAsia" w:asciiTheme="majorEastAsia" w:hAnsiTheme="majorEastAsia" w:eastAsiaTheme="majorEastAsia" w:cstheme="majorEastAsia"/>
                <w:sz w:val="24"/>
                <w:szCs w:val="24"/>
                <w:highlight w:val="none"/>
                <w:lang w:val="en-US" w:eastAsia="zh-CN"/>
              </w:rPr>
              <w:t>、比较切实可行的得3.1-5分；</w:t>
            </w:r>
            <w:r>
              <w:rPr>
                <w:rFonts w:hint="eastAsia" w:asciiTheme="majorEastAsia" w:hAnsiTheme="majorEastAsia" w:eastAsiaTheme="majorEastAsia" w:cstheme="majorEastAsia"/>
                <w:sz w:val="24"/>
                <w:szCs w:val="24"/>
                <w:highlight w:val="none"/>
                <w:lang w:val="zh-CN"/>
              </w:rPr>
              <w:t>对策措施</w:t>
            </w:r>
            <w:r>
              <w:rPr>
                <w:rFonts w:hint="eastAsia" w:asciiTheme="majorEastAsia" w:hAnsiTheme="majorEastAsia" w:eastAsiaTheme="majorEastAsia" w:cstheme="majorEastAsia"/>
                <w:sz w:val="24"/>
                <w:szCs w:val="24"/>
                <w:highlight w:val="none"/>
                <w:lang w:val="en-US" w:eastAsia="zh-CN"/>
              </w:rPr>
              <w:t>不太科学合理、一般的得0.1-4分；未提供不得分。</w:t>
            </w:r>
          </w:p>
        </w:tc>
        <w:tc>
          <w:tcPr>
            <w:tcW w:w="1085" w:type="dxa"/>
            <w:noWrap w:val="0"/>
            <w:vAlign w:val="center"/>
          </w:tcPr>
          <w:p w14:paraId="65BC47AD">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8</w:t>
            </w:r>
            <w:r>
              <w:rPr>
                <w:rFonts w:hint="eastAsia" w:asciiTheme="majorEastAsia" w:hAnsiTheme="majorEastAsia" w:eastAsiaTheme="majorEastAsia" w:cstheme="majorEastAsia"/>
                <w:sz w:val="24"/>
                <w:szCs w:val="24"/>
                <w:highlight w:val="none"/>
                <w:lang w:val="zh-CN" w:eastAsia="zh-CN"/>
              </w:rPr>
              <w:t>分</w:t>
            </w:r>
          </w:p>
        </w:tc>
      </w:tr>
      <w:tr w14:paraId="009C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426" w:type="dxa"/>
            <w:noWrap w:val="0"/>
            <w:vAlign w:val="center"/>
          </w:tcPr>
          <w:p w14:paraId="341CB332">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政策宣传方案</w:t>
            </w:r>
          </w:p>
        </w:tc>
        <w:tc>
          <w:tcPr>
            <w:tcW w:w="7255" w:type="dxa"/>
            <w:noWrap w:val="0"/>
            <w:vAlign w:val="center"/>
          </w:tcPr>
          <w:p w14:paraId="0A9493CD">
            <w:pPr>
              <w:pStyle w:val="13"/>
              <w:jc w:val="both"/>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zh-CN"/>
              </w:rPr>
              <w:t>根据投标人制定的能否行之有效的将我市</w:t>
            </w:r>
            <w:r>
              <w:rPr>
                <w:rFonts w:hint="eastAsia" w:asciiTheme="majorEastAsia" w:hAnsiTheme="majorEastAsia" w:eastAsiaTheme="majorEastAsia" w:cstheme="majorEastAsia"/>
                <w:sz w:val="24"/>
                <w:szCs w:val="24"/>
                <w:highlight w:val="none"/>
                <w:lang w:val="zh-CN" w:eastAsia="zh-Hans"/>
              </w:rPr>
              <w:t>家庭健康保险</w:t>
            </w:r>
            <w:r>
              <w:rPr>
                <w:rFonts w:hint="eastAsia" w:asciiTheme="majorEastAsia" w:hAnsiTheme="majorEastAsia" w:eastAsiaTheme="majorEastAsia" w:cstheme="majorEastAsia"/>
                <w:sz w:val="24"/>
                <w:szCs w:val="24"/>
                <w:highlight w:val="none"/>
                <w:lang w:val="zh-CN"/>
              </w:rPr>
              <w:t>政策内容宣传到位、解释到位的方案进行</w:t>
            </w:r>
            <w:r>
              <w:rPr>
                <w:rFonts w:hint="eastAsia" w:asciiTheme="majorEastAsia" w:hAnsiTheme="majorEastAsia" w:eastAsiaTheme="majorEastAsia" w:cstheme="majorEastAsia"/>
                <w:sz w:val="24"/>
                <w:szCs w:val="24"/>
                <w:highlight w:val="none"/>
                <w:lang w:val="zh-CN" w:eastAsia="zh-CN"/>
              </w:rPr>
              <w:t>综合评分。</w:t>
            </w:r>
            <w:r>
              <w:rPr>
                <w:rFonts w:hint="eastAsia" w:asciiTheme="majorEastAsia" w:hAnsiTheme="majorEastAsia" w:eastAsiaTheme="majorEastAsia" w:cstheme="majorEastAsia"/>
                <w:sz w:val="24"/>
                <w:szCs w:val="24"/>
                <w:highlight w:val="none"/>
                <w:lang w:val="en-US" w:eastAsia="zh-CN"/>
              </w:rPr>
              <w:t>方案</w:t>
            </w:r>
            <w:r>
              <w:rPr>
                <w:rFonts w:hint="eastAsia" w:asciiTheme="majorEastAsia" w:hAnsiTheme="majorEastAsia" w:eastAsiaTheme="majorEastAsia" w:cstheme="majorEastAsia"/>
                <w:sz w:val="24"/>
                <w:szCs w:val="24"/>
                <w:highlight w:val="none"/>
                <w:lang w:val="zh-CN"/>
              </w:rPr>
              <w:t>行之有效、</w:t>
            </w:r>
            <w:r>
              <w:rPr>
                <w:rFonts w:hint="eastAsia" w:asciiTheme="majorEastAsia" w:hAnsiTheme="majorEastAsia" w:eastAsiaTheme="majorEastAsia" w:cstheme="majorEastAsia"/>
                <w:sz w:val="24"/>
                <w:szCs w:val="24"/>
                <w:highlight w:val="none"/>
                <w:lang w:val="zh-CN" w:eastAsia="zh-Hans"/>
              </w:rPr>
              <w:t>保险</w:t>
            </w:r>
            <w:r>
              <w:rPr>
                <w:rFonts w:hint="eastAsia" w:asciiTheme="majorEastAsia" w:hAnsiTheme="majorEastAsia" w:eastAsiaTheme="majorEastAsia" w:cstheme="majorEastAsia"/>
                <w:sz w:val="24"/>
                <w:szCs w:val="24"/>
                <w:highlight w:val="none"/>
                <w:lang w:val="zh-CN"/>
              </w:rPr>
              <w:t>政策内容宣传到位、解释到位</w:t>
            </w:r>
            <w:r>
              <w:rPr>
                <w:rFonts w:hint="eastAsia" w:asciiTheme="majorEastAsia" w:hAnsiTheme="majorEastAsia" w:eastAsiaTheme="majorEastAsia" w:cstheme="majorEastAsia"/>
                <w:sz w:val="24"/>
                <w:szCs w:val="24"/>
                <w:highlight w:val="none"/>
                <w:lang w:val="en-US" w:eastAsia="zh-CN"/>
              </w:rPr>
              <w:t>的得4.1-6分；方案可</w:t>
            </w:r>
            <w:r>
              <w:rPr>
                <w:rFonts w:hint="eastAsia" w:asciiTheme="majorEastAsia" w:hAnsiTheme="majorEastAsia" w:eastAsiaTheme="majorEastAsia" w:cstheme="majorEastAsia"/>
                <w:sz w:val="24"/>
                <w:szCs w:val="24"/>
                <w:highlight w:val="none"/>
                <w:lang w:val="zh-CN"/>
              </w:rPr>
              <w:t>行、</w:t>
            </w:r>
            <w:r>
              <w:rPr>
                <w:rFonts w:hint="eastAsia" w:asciiTheme="majorEastAsia" w:hAnsiTheme="majorEastAsia" w:eastAsiaTheme="majorEastAsia" w:cstheme="majorEastAsia"/>
                <w:sz w:val="24"/>
                <w:szCs w:val="24"/>
                <w:highlight w:val="none"/>
                <w:lang w:val="zh-CN" w:eastAsia="zh-Hans"/>
              </w:rPr>
              <w:t>保险</w:t>
            </w:r>
            <w:r>
              <w:rPr>
                <w:rFonts w:hint="eastAsia" w:asciiTheme="majorEastAsia" w:hAnsiTheme="majorEastAsia" w:eastAsiaTheme="majorEastAsia" w:cstheme="majorEastAsia"/>
                <w:sz w:val="24"/>
                <w:szCs w:val="24"/>
                <w:highlight w:val="none"/>
                <w:lang w:val="zh-CN"/>
              </w:rPr>
              <w:t>政策内容宣传比较到位、解释比较到位</w:t>
            </w:r>
            <w:r>
              <w:rPr>
                <w:rFonts w:hint="eastAsia" w:asciiTheme="majorEastAsia" w:hAnsiTheme="majorEastAsia" w:eastAsiaTheme="majorEastAsia" w:cstheme="majorEastAsia"/>
                <w:sz w:val="24"/>
                <w:szCs w:val="24"/>
                <w:highlight w:val="none"/>
                <w:lang w:val="en-US" w:eastAsia="zh-CN"/>
              </w:rPr>
              <w:t>的得2.1-4分，方案一般的得0.1-2分，未提供不得分。</w:t>
            </w:r>
          </w:p>
        </w:tc>
        <w:tc>
          <w:tcPr>
            <w:tcW w:w="1085" w:type="dxa"/>
            <w:noWrap w:val="0"/>
            <w:vAlign w:val="center"/>
          </w:tcPr>
          <w:p w14:paraId="6D9A8C1F">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eastAsia="zh-CN"/>
              </w:rPr>
              <w:t>分</w:t>
            </w:r>
          </w:p>
        </w:tc>
      </w:tr>
      <w:tr w14:paraId="7E77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426" w:type="dxa"/>
            <w:vMerge w:val="restart"/>
            <w:noWrap w:val="0"/>
            <w:vAlign w:val="center"/>
          </w:tcPr>
          <w:p w14:paraId="353AB77C">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承保服务方案</w:t>
            </w:r>
          </w:p>
        </w:tc>
        <w:tc>
          <w:tcPr>
            <w:tcW w:w="7255" w:type="dxa"/>
            <w:noWrap w:val="0"/>
            <w:vAlign w:val="center"/>
          </w:tcPr>
          <w:p w14:paraId="358200B5">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rPr>
              <w:t>根据投标人服务渠道是否具备网络、电话、短信、网点及专员等多样化服务渠道</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，便于投保人对本合作项目的问题咨询，充分体现服务的人性化和各类服务渠道的便捷性</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等</w:t>
            </w:r>
            <w:r>
              <w:rPr>
                <w:rFonts w:hint="eastAsia" w:asciiTheme="majorEastAsia" w:hAnsiTheme="majorEastAsia" w:eastAsiaTheme="majorEastAsia" w:cstheme="majorEastAsia"/>
                <w:sz w:val="24"/>
                <w:szCs w:val="24"/>
                <w:highlight w:val="none"/>
                <w:lang w:val="zh-CN" w:eastAsia="zh-CN"/>
              </w:rPr>
              <w:t>方面进行综合评分。</w:t>
            </w:r>
          </w:p>
        </w:tc>
        <w:tc>
          <w:tcPr>
            <w:tcW w:w="1085" w:type="dxa"/>
            <w:noWrap w:val="0"/>
            <w:vAlign w:val="center"/>
          </w:tcPr>
          <w:p w14:paraId="07A7ECBA">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8</w:t>
            </w:r>
            <w:r>
              <w:rPr>
                <w:rFonts w:hint="eastAsia" w:asciiTheme="majorEastAsia" w:hAnsiTheme="majorEastAsia" w:eastAsiaTheme="majorEastAsia" w:cstheme="majorEastAsia"/>
                <w:sz w:val="24"/>
                <w:szCs w:val="24"/>
                <w:highlight w:val="none"/>
                <w:lang w:val="zh-CN" w:eastAsia="zh-CN"/>
              </w:rPr>
              <w:t>分</w:t>
            </w:r>
          </w:p>
        </w:tc>
      </w:tr>
      <w:tr w14:paraId="1FE3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426" w:type="dxa"/>
            <w:vMerge w:val="continue"/>
            <w:noWrap w:val="0"/>
            <w:vAlign w:val="center"/>
          </w:tcPr>
          <w:p w14:paraId="6A94D132">
            <w:pPr>
              <w:pStyle w:val="13"/>
              <w:jc w:val="center"/>
              <w:rPr>
                <w:rFonts w:hint="eastAsia" w:asciiTheme="majorEastAsia" w:hAnsiTheme="majorEastAsia" w:eastAsiaTheme="majorEastAsia" w:cstheme="majorEastAsia"/>
                <w:sz w:val="24"/>
                <w:szCs w:val="24"/>
                <w:highlight w:val="none"/>
                <w:lang w:val="zh-CN"/>
              </w:rPr>
            </w:pPr>
          </w:p>
        </w:tc>
        <w:tc>
          <w:tcPr>
            <w:tcW w:w="7255" w:type="dxa"/>
            <w:noWrap w:val="0"/>
            <w:vAlign w:val="center"/>
          </w:tcPr>
          <w:p w14:paraId="7055F5FE">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rPr>
              <w:t>根据投标人的服务响应时间、服务团队配备承诺，如接到采购人通知（电话、电传等）后的响应速度</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及服务团队配备</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情况</w:t>
            </w:r>
            <w:r>
              <w:rPr>
                <w:rFonts w:hint="eastAsia" w:asciiTheme="majorEastAsia" w:hAnsiTheme="majorEastAsia" w:eastAsiaTheme="majorEastAsia" w:cstheme="majorEastAsia"/>
                <w:sz w:val="24"/>
                <w:szCs w:val="24"/>
                <w:highlight w:val="none"/>
                <w:lang w:val="zh-CN" w:eastAsia="zh-CN"/>
              </w:rPr>
              <w:t>等方面进行综合评分。</w:t>
            </w:r>
          </w:p>
        </w:tc>
        <w:tc>
          <w:tcPr>
            <w:tcW w:w="1085" w:type="dxa"/>
            <w:noWrap w:val="0"/>
            <w:vAlign w:val="center"/>
          </w:tcPr>
          <w:p w14:paraId="7CAFCA1A">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eastAsia="zh-CN"/>
              </w:rPr>
              <w:t>分</w:t>
            </w:r>
          </w:p>
        </w:tc>
      </w:tr>
      <w:tr w14:paraId="2ED1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426" w:type="dxa"/>
            <w:noWrap w:val="0"/>
            <w:vAlign w:val="center"/>
          </w:tcPr>
          <w:p w14:paraId="1BE31A66">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理赔服务方案</w:t>
            </w:r>
          </w:p>
        </w:tc>
        <w:tc>
          <w:tcPr>
            <w:tcW w:w="7255" w:type="dxa"/>
            <w:noWrap w:val="0"/>
            <w:vAlign w:val="center"/>
          </w:tcPr>
          <w:p w14:paraId="6E809462">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rPr>
              <w:t>根据投标人制定的本项目被保险人出险后能否快速、便捷、有效</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、有温度的完成赔付工作的理赔服务</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eastAsia="zh-CN"/>
              </w:rPr>
              <w:t>分）</w:t>
            </w:r>
            <w:r>
              <w:rPr>
                <w:rFonts w:hint="eastAsia" w:asciiTheme="majorEastAsia" w:hAnsiTheme="majorEastAsia" w:eastAsiaTheme="majorEastAsia" w:cstheme="majorEastAsia"/>
                <w:sz w:val="24"/>
                <w:szCs w:val="24"/>
                <w:highlight w:val="none"/>
                <w:lang w:val="zh-CN"/>
              </w:rPr>
              <w:t>方案、</w:t>
            </w:r>
            <w:r>
              <w:rPr>
                <w:rFonts w:hint="eastAsia" w:asciiTheme="majorEastAsia" w:hAnsiTheme="majorEastAsia" w:eastAsiaTheme="majorEastAsia" w:cstheme="majorEastAsia"/>
                <w:sz w:val="24"/>
                <w:szCs w:val="24"/>
                <w:highlight w:val="none"/>
                <w:lang w:val="en-US" w:eastAsia="zh-CN"/>
              </w:rPr>
              <w:t>理赔金额</w:t>
            </w: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val="zh-CN" w:eastAsia="zh-CN"/>
              </w:rPr>
              <w:t>分）等方面进行综合评分</w:t>
            </w:r>
            <w:r>
              <w:rPr>
                <w:rFonts w:hint="eastAsia" w:asciiTheme="majorEastAsia" w:hAnsiTheme="majorEastAsia" w:eastAsiaTheme="majorEastAsia" w:cstheme="majorEastAsia"/>
                <w:sz w:val="24"/>
                <w:szCs w:val="24"/>
                <w:highlight w:val="none"/>
                <w:lang w:val="zh-CN"/>
              </w:rPr>
              <w:t>。</w:t>
            </w:r>
          </w:p>
        </w:tc>
        <w:tc>
          <w:tcPr>
            <w:tcW w:w="1085" w:type="dxa"/>
            <w:noWrap w:val="0"/>
            <w:vAlign w:val="center"/>
          </w:tcPr>
          <w:p w14:paraId="7688B774">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eastAsia="zh-CN"/>
              </w:rPr>
              <w:t>分</w:t>
            </w:r>
          </w:p>
        </w:tc>
      </w:tr>
      <w:tr w14:paraId="37E9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26" w:type="dxa"/>
            <w:noWrap w:val="0"/>
            <w:vAlign w:val="center"/>
          </w:tcPr>
          <w:p w14:paraId="4CFA5D78">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纠纷处理方案</w:t>
            </w:r>
          </w:p>
        </w:tc>
        <w:tc>
          <w:tcPr>
            <w:tcW w:w="7255" w:type="dxa"/>
            <w:noWrap w:val="0"/>
            <w:vAlign w:val="center"/>
          </w:tcPr>
          <w:p w14:paraId="132624F2">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rPr>
              <w:t>根据投标人对本项目预期可能会产生的服务纠纷及争议所提出的处理方案是否具备可行性</w:t>
            </w:r>
            <w:r>
              <w:rPr>
                <w:rFonts w:hint="eastAsia" w:asciiTheme="majorEastAsia" w:hAnsiTheme="majorEastAsia" w:eastAsiaTheme="majorEastAsia" w:cstheme="majorEastAsia"/>
                <w:sz w:val="24"/>
                <w:szCs w:val="24"/>
                <w:highlight w:val="none"/>
                <w:lang w:val="zh-CN" w:eastAsia="zh-CN"/>
              </w:rPr>
              <w:t>（0-2分）</w:t>
            </w:r>
            <w:r>
              <w:rPr>
                <w:rFonts w:hint="eastAsia" w:asciiTheme="majorEastAsia" w:hAnsiTheme="majorEastAsia" w:eastAsiaTheme="majorEastAsia" w:cstheme="majorEastAsia"/>
                <w:sz w:val="24"/>
                <w:szCs w:val="24"/>
                <w:highlight w:val="none"/>
                <w:lang w:val="zh-CN"/>
              </w:rPr>
              <w:t>、有效性</w:t>
            </w:r>
            <w:r>
              <w:rPr>
                <w:rFonts w:hint="eastAsia" w:asciiTheme="majorEastAsia" w:hAnsiTheme="majorEastAsia" w:eastAsiaTheme="majorEastAsia" w:cstheme="majorEastAsia"/>
                <w:sz w:val="24"/>
                <w:szCs w:val="24"/>
                <w:highlight w:val="none"/>
                <w:lang w:val="zh-CN" w:eastAsia="zh-CN"/>
              </w:rPr>
              <w:t>（0-2分）</w:t>
            </w:r>
            <w:r>
              <w:rPr>
                <w:rFonts w:hint="eastAsia" w:asciiTheme="majorEastAsia" w:hAnsiTheme="majorEastAsia" w:eastAsiaTheme="majorEastAsia" w:cstheme="majorEastAsia"/>
                <w:sz w:val="24"/>
                <w:szCs w:val="24"/>
                <w:highlight w:val="none"/>
                <w:lang w:val="zh-CN"/>
              </w:rPr>
              <w:t>、针对性</w:t>
            </w:r>
            <w:r>
              <w:rPr>
                <w:rFonts w:hint="eastAsia" w:asciiTheme="majorEastAsia" w:hAnsiTheme="majorEastAsia" w:eastAsiaTheme="majorEastAsia" w:cstheme="majorEastAsia"/>
                <w:sz w:val="24"/>
                <w:szCs w:val="24"/>
                <w:highlight w:val="none"/>
                <w:lang w:val="zh-CN" w:eastAsia="zh-CN"/>
              </w:rPr>
              <w:t>（0-2分）等方面</w:t>
            </w:r>
            <w:r>
              <w:rPr>
                <w:rFonts w:hint="eastAsia" w:asciiTheme="majorEastAsia" w:hAnsiTheme="majorEastAsia" w:eastAsiaTheme="majorEastAsia" w:cstheme="majorEastAsia"/>
                <w:sz w:val="24"/>
                <w:szCs w:val="24"/>
                <w:highlight w:val="none"/>
                <w:lang w:val="zh-CN"/>
              </w:rPr>
              <w:t>进行</w:t>
            </w:r>
            <w:r>
              <w:rPr>
                <w:rFonts w:hint="eastAsia" w:asciiTheme="majorEastAsia" w:hAnsiTheme="majorEastAsia" w:eastAsiaTheme="majorEastAsia" w:cstheme="majorEastAsia"/>
                <w:sz w:val="24"/>
                <w:szCs w:val="24"/>
                <w:highlight w:val="none"/>
                <w:lang w:val="zh-CN" w:eastAsia="zh-CN"/>
              </w:rPr>
              <w:t>综合评分。</w:t>
            </w:r>
          </w:p>
        </w:tc>
        <w:tc>
          <w:tcPr>
            <w:tcW w:w="1085" w:type="dxa"/>
            <w:noWrap w:val="0"/>
            <w:vAlign w:val="center"/>
          </w:tcPr>
          <w:p w14:paraId="4696D0F8">
            <w:pPr>
              <w:pStyle w:val="13"/>
              <w:rPr>
                <w:rFonts w:hint="eastAsia" w:asciiTheme="majorEastAsia" w:hAnsiTheme="majorEastAsia" w:eastAsiaTheme="majorEastAsia" w:cstheme="majorEastAsia"/>
                <w:sz w:val="24"/>
                <w:szCs w:val="24"/>
                <w:highlight w:val="none"/>
                <w:lang w:val="zh-CN" w:eastAsia="zh-CN"/>
              </w:rPr>
            </w:pPr>
            <w:r>
              <w:rPr>
                <w:rFonts w:hint="eastAsia" w:asciiTheme="majorEastAsia" w:hAnsiTheme="majorEastAsia" w:eastAsiaTheme="majorEastAsia" w:cstheme="majorEastAsia"/>
                <w:sz w:val="24"/>
                <w:szCs w:val="24"/>
                <w:highlight w:val="none"/>
                <w:lang w:val="zh-CN" w:eastAsia="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eastAsia="zh-CN"/>
              </w:rPr>
              <w:t>分</w:t>
            </w:r>
          </w:p>
        </w:tc>
      </w:tr>
      <w:tr w14:paraId="77A6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426" w:type="dxa"/>
            <w:noWrap w:val="0"/>
            <w:vAlign w:val="center"/>
          </w:tcPr>
          <w:p w14:paraId="384F2E76">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其它增值服务方案</w:t>
            </w:r>
          </w:p>
        </w:tc>
        <w:tc>
          <w:tcPr>
            <w:tcW w:w="7255" w:type="dxa"/>
            <w:noWrap w:val="0"/>
            <w:vAlign w:val="center"/>
          </w:tcPr>
          <w:p w14:paraId="67317126">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根据投标人提供的其它针对本项目承保、理赔</w:t>
            </w:r>
            <w:r>
              <w:rPr>
                <w:rFonts w:hint="eastAsia" w:asciiTheme="majorEastAsia" w:hAnsiTheme="majorEastAsia" w:eastAsiaTheme="majorEastAsia" w:cstheme="majorEastAsia"/>
                <w:sz w:val="24"/>
                <w:szCs w:val="24"/>
                <w:highlight w:val="none"/>
                <w:lang w:val="en-US" w:eastAsia="zh-CN"/>
              </w:rPr>
              <w:t>廷伸</w:t>
            </w:r>
            <w:r>
              <w:rPr>
                <w:rFonts w:hint="eastAsia" w:asciiTheme="majorEastAsia" w:hAnsiTheme="majorEastAsia" w:eastAsiaTheme="majorEastAsia" w:cstheme="majorEastAsia"/>
                <w:sz w:val="24"/>
                <w:szCs w:val="24"/>
                <w:highlight w:val="none"/>
                <w:lang w:val="zh-CN"/>
              </w:rPr>
              <w:t>服务的，根据</w:t>
            </w:r>
            <w:r>
              <w:rPr>
                <w:rFonts w:hint="eastAsia" w:asciiTheme="majorEastAsia" w:hAnsiTheme="majorEastAsia" w:eastAsiaTheme="majorEastAsia" w:cstheme="majorEastAsia"/>
                <w:sz w:val="24"/>
                <w:szCs w:val="24"/>
                <w:highlight w:val="none"/>
                <w:lang w:val="en-US" w:eastAsia="zh-CN"/>
              </w:rPr>
              <w:t>廷伸</w:t>
            </w:r>
            <w:r>
              <w:rPr>
                <w:rFonts w:hint="eastAsia" w:asciiTheme="majorEastAsia" w:hAnsiTheme="majorEastAsia" w:eastAsiaTheme="majorEastAsia" w:cstheme="majorEastAsia"/>
                <w:sz w:val="24"/>
                <w:szCs w:val="24"/>
                <w:highlight w:val="none"/>
                <w:lang w:val="zh-CN"/>
              </w:rPr>
              <w:t>服务方案切实科学性、合理性</w:t>
            </w:r>
            <w:r>
              <w:rPr>
                <w:rFonts w:hint="eastAsia" w:asciiTheme="majorEastAsia" w:hAnsiTheme="majorEastAsia" w:eastAsiaTheme="majorEastAsia" w:cstheme="majorEastAsia"/>
                <w:sz w:val="24"/>
                <w:szCs w:val="24"/>
                <w:highlight w:val="none"/>
                <w:lang w:val="zh-CN" w:eastAsia="zh-CN"/>
              </w:rPr>
              <w:t>）</w:t>
            </w:r>
            <w:r>
              <w:rPr>
                <w:rFonts w:hint="eastAsia" w:asciiTheme="majorEastAsia" w:hAnsiTheme="majorEastAsia" w:eastAsiaTheme="majorEastAsia" w:cstheme="majorEastAsia"/>
                <w:sz w:val="24"/>
                <w:szCs w:val="24"/>
                <w:highlight w:val="none"/>
                <w:lang w:val="zh-CN"/>
              </w:rPr>
              <w:t>、可操作性</w:t>
            </w:r>
            <w:r>
              <w:rPr>
                <w:rFonts w:hint="eastAsia" w:asciiTheme="majorEastAsia" w:hAnsiTheme="majorEastAsia" w:eastAsiaTheme="majorEastAsia" w:cstheme="majorEastAsia"/>
                <w:sz w:val="24"/>
                <w:szCs w:val="24"/>
                <w:highlight w:val="none"/>
                <w:lang w:val="zh-CN" w:eastAsia="zh-CN"/>
              </w:rPr>
              <w:t>等方面进行综合评分。</w:t>
            </w:r>
            <w:r>
              <w:rPr>
                <w:rFonts w:hint="eastAsia" w:asciiTheme="majorEastAsia" w:hAnsiTheme="majorEastAsia" w:eastAsiaTheme="majorEastAsia" w:cstheme="majorEastAsia"/>
                <w:sz w:val="24"/>
                <w:szCs w:val="24"/>
                <w:highlight w:val="none"/>
                <w:lang w:val="en-US" w:eastAsia="zh-CN"/>
              </w:rPr>
              <w:t>方案科学合理、符合项目实际需求、并切实可行的得4.1-6分；方案较科学合理、符合项目一般需求、比较切实可行的得2.1-4分；方案不太科学合理、一般的得0.1-2分；未提供不得分。</w:t>
            </w:r>
          </w:p>
        </w:tc>
        <w:tc>
          <w:tcPr>
            <w:tcW w:w="1085" w:type="dxa"/>
            <w:noWrap w:val="0"/>
            <w:vAlign w:val="center"/>
          </w:tcPr>
          <w:p w14:paraId="22E6DB0C">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rPr>
              <w:t>分</w:t>
            </w:r>
          </w:p>
        </w:tc>
      </w:tr>
      <w:tr w14:paraId="2E4C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426" w:type="dxa"/>
            <w:noWrap w:val="0"/>
            <w:vAlign w:val="center"/>
          </w:tcPr>
          <w:p w14:paraId="2DC33F00">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服务系统</w:t>
            </w:r>
          </w:p>
        </w:tc>
        <w:tc>
          <w:tcPr>
            <w:tcW w:w="7255" w:type="dxa"/>
            <w:noWrap w:val="0"/>
            <w:vAlign w:val="center"/>
          </w:tcPr>
          <w:p w14:paraId="72D8FFAB">
            <w:pPr>
              <w:pStyle w:val="13"/>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根据</w:t>
            </w:r>
            <w:r>
              <w:rPr>
                <w:rFonts w:hint="eastAsia" w:asciiTheme="majorEastAsia" w:hAnsiTheme="majorEastAsia" w:eastAsiaTheme="majorEastAsia" w:cstheme="majorEastAsia"/>
                <w:sz w:val="24"/>
                <w:szCs w:val="24"/>
                <w:highlight w:val="none"/>
                <w:lang w:val="zh-CN"/>
              </w:rPr>
              <w:t>投标人</w:t>
            </w:r>
            <w:r>
              <w:rPr>
                <w:rFonts w:hint="eastAsia" w:asciiTheme="majorEastAsia" w:hAnsiTheme="majorEastAsia" w:eastAsiaTheme="majorEastAsia" w:cstheme="majorEastAsia"/>
                <w:sz w:val="24"/>
                <w:szCs w:val="24"/>
                <w:highlight w:val="none"/>
                <w:lang w:val="en-US" w:eastAsia="zh-CN"/>
              </w:rPr>
              <w:t>是否设有</w:t>
            </w:r>
            <w:r>
              <w:rPr>
                <w:rFonts w:hint="eastAsia" w:asciiTheme="majorEastAsia" w:hAnsiTheme="majorEastAsia" w:eastAsiaTheme="majorEastAsia" w:cstheme="majorEastAsia"/>
                <w:sz w:val="24"/>
                <w:szCs w:val="24"/>
                <w:highlight w:val="none"/>
                <w:lang w:val="zh-CN"/>
              </w:rPr>
              <w:t>家庭健康保险专属理赔服务系统</w:t>
            </w:r>
            <w:r>
              <w:rPr>
                <w:rFonts w:hint="eastAsia" w:asciiTheme="majorEastAsia" w:hAnsiTheme="majorEastAsia" w:eastAsiaTheme="majorEastAsia" w:cstheme="majorEastAsia"/>
                <w:sz w:val="24"/>
                <w:szCs w:val="24"/>
                <w:highlight w:val="none"/>
                <w:lang w:val="en-US" w:eastAsia="zh-CN"/>
              </w:rPr>
              <w:t>等进行打分。</w:t>
            </w:r>
          </w:p>
          <w:p w14:paraId="067D1069">
            <w:pPr>
              <w:pStyle w:val="13"/>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投标人有专属系统的</w:t>
            </w:r>
            <w:r>
              <w:rPr>
                <w:rFonts w:hint="eastAsia" w:asciiTheme="majorEastAsia" w:hAnsiTheme="majorEastAsia" w:eastAsiaTheme="majorEastAsia" w:cstheme="majorEastAsia"/>
                <w:sz w:val="24"/>
                <w:szCs w:val="24"/>
                <w:highlight w:val="none"/>
                <w:lang w:val="zh-CN"/>
              </w:rPr>
              <w:t>得</w:t>
            </w:r>
            <w:r>
              <w:rPr>
                <w:rFonts w:hint="eastAsia" w:asciiTheme="majorEastAsia" w:hAnsiTheme="majorEastAsia" w:eastAsiaTheme="majorEastAsia" w:cstheme="majorEastAsia"/>
                <w:sz w:val="24"/>
                <w:szCs w:val="24"/>
                <w:highlight w:val="none"/>
                <w:lang w:val="en-US" w:eastAsia="zh-CN"/>
              </w:rPr>
              <w:t>4.1-6</w:t>
            </w:r>
            <w:r>
              <w:rPr>
                <w:rFonts w:hint="eastAsia" w:asciiTheme="majorEastAsia" w:hAnsiTheme="majorEastAsia" w:eastAsiaTheme="majorEastAsia" w:cstheme="majorEastAsia"/>
                <w:sz w:val="24"/>
                <w:szCs w:val="24"/>
                <w:highlight w:val="none"/>
                <w:lang w:val="zh-CN"/>
              </w:rPr>
              <w:t>分；投标人无</w:t>
            </w:r>
            <w:r>
              <w:rPr>
                <w:rFonts w:hint="eastAsia" w:asciiTheme="majorEastAsia" w:hAnsiTheme="majorEastAsia" w:eastAsiaTheme="majorEastAsia" w:cstheme="majorEastAsia"/>
                <w:sz w:val="24"/>
                <w:szCs w:val="24"/>
                <w:highlight w:val="none"/>
                <w:lang w:val="en-US" w:eastAsia="zh-CN"/>
              </w:rPr>
              <w:t>专属</w:t>
            </w:r>
            <w:r>
              <w:rPr>
                <w:rFonts w:hint="eastAsia" w:asciiTheme="majorEastAsia" w:hAnsiTheme="majorEastAsia" w:eastAsiaTheme="majorEastAsia" w:cstheme="majorEastAsia"/>
                <w:sz w:val="24"/>
                <w:szCs w:val="24"/>
                <w:highlight w:val="none"/>
                <w:lang w:val="zh-CN"/>
              </w:rPr>
              <w:t>系统，但建立</w:t>
            </w:r>
            <w:r>
              <w:rPr>
                <w:rFonts w:hint="eastAsia" w:asciiTheme="majorEastAsia" w:hAnsiTheme="majorEastAsia" w:eastAsiaTheme="majorEastAsia" w:cstheme="majorEastAsia"/>
                <w:sz w:val="24"/>
                <w:szCs w:val="24"/>
                <w:highlight w:val="none"/>
                <w:lang w:val="en-US" w:eastAsia="zh-CN"/>
              </w:rPr>
              <w:t>了</w:t>
            </w:r>
            <w:r>
              <w:rPr>
                <w:rFonts w:hint="eastAsia" w:asciiTheme="majorEastAsia" w:hAnsiTheme="majorEastAsia" w:eastAsiaTheme="majorEastAsia" w:cstheme="majorEastAsia"/>
                <w:sz w:val="24"/>
                <w:szCs w:val="24"/>
                <w:highlight w:val="none"/>
                <w:lang w:val="zh-CN"/>
              </w:rPr>
              <w:t>相关机制</w:t>
            </w:r>
            <w:r>
              <w:rPr>
                <w:rFonts w:hint="eastAsia" w:asciiTheme="majorEastAsia" w:hAnsiTheme="majorEastAsia" w:eastAsiaTheme="majorEastAsia" w:cstheme="majorEastAsia"/>
                <w:sz w:val="24"/>
                <w:szCs w:val="24"/>
                <w:highlight w:val="none"/>
                <w:lang w:val="en-US" w:eastAsia="zh-CN"/>
              </w:rPr>
              <w:t>且机制科学合理的得2.1-4分；</w:t>
            </w:r>
            <w:r>
              <w:rPr>
                <w:rFonts w:hint="eastAsia" w:asciiTheme="majorEastAsia" w:hAnsiTheme="majorEastAsia" w:eastAsiaTheme="majorEastAsia" w:cstheme="majorEastAsia"/>
                <w:sz w:val="24"/>
                <w:szCs w:val="24"/>
                <w:highlight w:val="none"/>
                <w:lang w:val="zh-CN"/>
              </w:rPr>
              <w:t>投标人无</w:t>
            </w:r>
            <w:r>
              <w:rPr>
                <w:rFonts w:hint="eastAsia" w:asciiTheme="majorEastAsia" w:hAnsiTheme="majorEastAsia" w:eastAsiaTheme="majorEastAsia" w:cstheme="majorEastAsia"/>
                <w:sz w:val="24"/>
                <w:szCs w:val="24"/>
                <w:highlight w:val="none"/>
                <w:lang w:val="en-US" w:eastAsia="zh-CN"/>
              </w:rPr>
              <w:t>专属</w:t>
            </w:r>
            <w:r>
              <w:rPr>
                <w:rFonts w:hint="eastAsia" w:asciiTheme="majorEastAsia" w:hAnsiTheme="majorEastAsia" w:eastAsiaTheme="majorEastAsia" w:cstheme="majorEastAsia"/>
                <w:sz w:val="24"/>
                <w:szCs w:val="24"/>
                <w:highlight w:val="none"/>
                <w:lang w:val="zh-CN"/>
              </w:rPr>
              <w:t>系统，建立</w:t>
            </w:r>
            <w:r>
              <w:rPr>
                <w:rFonts w:hint="eastAsia" w:asciiTheme="majorEastAsia" w:hAnsiTheme="majorEastAsia" w:eastAsiaTheme="majorEastAsia" w:cstheme="majorEastAsia"/>
                <w:sz w:val="24"/>
                <w:szCs w:val="24"/>
                <w:highlight w:val="none"/>
                <w:lang w:val="en-US" w:eastAsia="zh-CN"/>
              </w:rPr>
              <w:t>了</w:t>
            </w:r>
            <w:r>
              <w:rPr>
                <w:rFonts w:hint="eastAsia" w:asciiTheme="majorEastAsia" w:hAnsiTheme="majorEastAsia" w:eastAsiaTheme="majorEastAsia" w:cstheme="majorEastAsia"/>
                <w:sz w:val="24"/>
                <w:szCs w:val="24"/>
                <w:highlight w:val="none"/>
                <w:lang w:val="zh-CN"/>
              </w:rPr>
              <w:t>相关机制，</w:t>
            </w:r>
            <w:r>
              <w:rPr>
                <w:rFonts w:hint="eastAsia" w:asciiTheme="majorEastAsia" w:hAnsiTheme="majorEastAsia" w:eastAsiaTheme="majorEastAsia" w:cstheme="majorEastAsia"/>
                <w:sz w:val="24"/>
                <w:szCs w:val="24"/>
                <w:highlight w:val="none"/>
                <w:lang w:val="en-US" w:eastAsia="zh-CN"/>
              </w:rPr>
              <w:t>但建立的机制不够科学合理的得0.1-2分，未提供不得分。</w:t>
            </w:r>
          </w:p>
          <w:p w14:paraId="07F51467">
            <w:pPr>
              <w:pStyle w:val="13"/>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en-US" w:eastAsia="zh-CN"/>
              </w:rPr>
              <w:t>注：</w:t>
            </w:r>
            <w:r>
              <w:rPr>
                <w:rFonts w:hint="eastAsia" w:asciiTheme="majorEastAsia" w:hAnsiTheme="majorEastAsia" w:eastAsiaTheme="majorEastAsia" w:cstheme="majorEastAsia"/>
                <w:sz w:val="24"/>
                <w:szCs w:val="24"/>
                <w:highlight w:val="none"/>
                <w:lang w:val="zh-CN"/>
              </w:rPr>
              <w:t>投标人需提供</w:t>
            </w:r>
            <w:r>
              <w:rPr>
                <w:rFonts w:hint="eastAsia" w:asciiTheme="majorEastAsia" w:hAnsiTheme="majorEastAsia" w:eastAsiaTheme="majorEastAsia" w:cstheme="majorEastAsia"/>
                <w:sz w:val="24"/>
                <w:szCs w:val="24"/>
                <w:highlight w:val="none"/>
                <w:lang w:val="en-US" w:eastAsia="zh-CN"/>
              </w:rPr>
              <w:t>系统操作</w:t>
            </w:r>
            <w:r>
              <w:rPr>
                <w:rFonts w:hint="eastAsia" w:asciiTheme="majorEastAsia" w:hAnsiTheme="majorEastAsia" w:eastAsiaTheme="majorEastAsia" w:cstheme="majorEastAsia"/>
                <w:sz w:val="24"/>
                <w:szCs w:val="24"/>
                <w:highlight w:val="none"/>
                <w:lang w:val="zh-CN"/>
              </w:rPr>
              <w:t>截屏、建立系统的相关文件等佐证材料并加盖公章。</w:t>
            </w:r>
          </w:p>
        </w:tc>
        <w:tc>
          <w:tcPr>
            <w:tcW w:w="1085" w:type="dxa"/>
            <w:noWrap w:val="0"/>
            <w:vAlign w:val="center"/>
          </w:tcPr>
          <w:p w14:paraId="593F5D31">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rPr>
              <w:t>分</w:t>
            </w:r>
          </w:p>
        </w:tc>
      </w:tr>
      <w:tr w14:paraId="7FB6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426" w:type="dxa"/>
            <w:noWrap w:val="0"/>
            <w:vAlign w:val="center"/>
          </w:tcPr>
          <w:p w14:paraId="548A4257">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合理化建议</w:t>
            </w:r>
          </w:p>
        </w:tc>
        <w:tc>
          <w:tcPr>
            <w:tcW w:w="7255" w:type="dxa"/>
            <w:noWrap w:val="0"/>
            <w:vAlign w:val="center"/>
          </w:tcPr>
          <w:p w14:paraId="44A957E1">
            <w:pPr>
              <w:pStyle w:val="13"/>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根据</w:t>
            </w:r>
            <w:r>
              <w:rPr>
                <w:rFonts w:hint="eastAsia" w:asciiTheme="majorEastAsia" w:hAnsiTheme="majorEastAsia" w:eastAsiaTheme="majorEastAsia" w:cstheme="majorEastAsia"/>
                <w:sz w:val="24"/>
                <w:szCs w:val="24"/>
                <w:highlight w:val="none"/>
                <w:lang w:val="zh-CN" w:eastAsia="zh-CN"/>
              </w:rPr>
              <w:t>投标人</w:t>
            </w:r>
            <w:r>
              <w:rPr>
                <w:rFonts w:hint="eastAsia" w:asciiTheme="majorEastAsia" w:hAnsiTheme="majorEastAsia" w:eastAsiaTheme="majorEastAsia" w:cstheme="majorEastAsia"/>
                <w:sz w:val="24"/>
                <w:szCs w:val="24"/>
                <w:highlight w:val="none"/>
                <w:lang w:val="en-US" w:eastAsia="zh-CN"/>
              </w:rPr>
              <w:t>针对本项目提出改进服务质量，提高服务水平等相关方案进行综合评分。方案科学合理、符合项目实际需求、并切实可行的得5.1-7分；方案较科学合理、符合项目一般需求、比较切实可行的得3.1-5分；方案不太科学合理、一般的得0.1-3分；未提供不得分。</w:t>
            </w:r>
          </w:p>
        </w:tc>
        <w:tc>
          <w:tcPr>
            <w:tcW w:w="1085" w:type="dxa"/>
            <w:noWrap w:val="0"/>
            <w:vAlign w:val="center"/>
          </w:tcPr>
          <w:p w14:paraId="2C55CD4C">
            <w:pPr>
              <w:pStyle w:val="13"/>
              <w:jc w:val="center"/>
              <w:rPr>
                <w:rFonts w:hint="eastAsia" w:asciiTheme="majorEastAsia" w:hAnsiTheme="majorEastAsia" w:eastAsiaTheme="majorEastAsia" w:cstheme="majorEastAsia"/>
                <w:sz w:val="24"/>
                <w:szCs w:val="24"/>
                <w:highlight w:val="none"/>
                <w:lang w:val="zh-CN"/>
              </w:rPr>
            </w:pPr>
            <w:r>
              <w:rPr>
                <w:rFonts w:hint="eastAsia" w:asciiTheme="majorEastAsia" w:hAnsiTheme="majorEastAsia" w:eastAsiaTheme="majorEastAsia" w:cstheme="majorEastAsia"/>
                <w:sz w:val="24"/>
                <w:szCs w:val="24"/>
                <w:highlight w:val="none"/>
                <w:lang w:val="zh-CN"/>
              </w:rPr>
              <w:t>0-</w:t>
            </w:r>
            <w:r>
              <w:rPr>
                <w:rFonts w:hint="eastAsia" w:asciiTheme="majorEastAsia" w:hAnsiTheme="majorEastAsia" w:eastAsiaTheme="majorEastAsia" w:cstheme="majorEastAsia"/>
                <w:sz w:val="24"/>
                <w:szCs w:val="24"/>
                <w:highlight w:val="none"/>
                <w:lang w:val="en-US" w:eastAsia="zh-CN"/>
              </w:rPr>
              <w:t>7</w:t>
            </w:r>
            <w:r>
              <w:rPr>
                <w:rFonts w:hint="eastAsia" w:asciiTheme="majorEastAsia" w:hAnsiTheme="majorEastAsia" w:eastAsiaTheme="majorEastAsia" w:cstheme="majorEastAsia"/>
                <w:sz w:val="24"/>
                <w:szCs w:val="24"/>
                <w:highlight w:val="none"/>
                <w:lang w:val="zh-CN"/>
              </w:rPr>
              <w:t>分</w:t>
            </w:r>
          </w:p>
        </w:tc>
      </w:tr>
    </w:tbl>
    <w:p w14:paraId="51B71661">
      <w:pPr>
        <w:rPr>
          <w:rFonts w:ascii="仿宋" w:hAnsi="仿宋" w:eastAsia="仿宋"/>
          <w:color w:val="000000" w:themeColor="text1"/>
          <w:szCs w:val="21"/>
          <w:highlight w:val="none"/>
        </w:rPr>
      </w:pPr>
    </w:p>
    <w:p w14:paraId="3C04F9B7">
      <w:pPr>
        <w:pStyle w:val="21"/>
        <w:numPr>
          <w:ilvl w:val="0"/>
          <w:numId w:val="0"/>
        </w:numPr>
        <w:jc w:val="both"/>
        <w:rPr>
          <w:rFonts w:hint="eastAsia"/>
          <w:highlight w:val="none"/>
        </w:rPr>
      </w:pPr>
    </w:p>
    <w:p w14:paraId="4C949B61">
      <w:pPr>
        <w:pageBreakBefore w:val="0"/>
        <w:kinsoku/>
        <w:wordWrap/>
        <w:topLinePunct w:val="0"/>
        <w:bidi w:val="0"/>
        <w:snapToGrid w:val="0"/>
        <w:spacing w:line="360" w:lineRule="auto"/>
        <w:outlineLvl w:val="2"/>
        <w:rPr>
          <w:rFonts w:ascii="宋体" w:hAnsi="宋体" w:cs="宋体"/>
          <w:b/>
          <w:color w:val="000000"/>
          <w:sz w:val="28"/>
          <w:szCs w:val="28"/>
          <w:highlight w:val="none"/>
        </w:rPr>
      </w:pPr>
      <w:r>
        <w:rPr>
          <w:rFonts w:hint="eastAsia" w:ascii="宋体" w:hAnsi="宋体" w:cs="宋体"/>
          <w:b/>
          <w:color w:val="000000"/>
          <w:sz w:val="28"/>
          <w:szCs w:val="28"/>
          <w:highlight w:val="none"/>
        </w:rPr>
        <w:t>三、投标文件报价出现前后不一致的，按照下列规定修正：</w:t>
      </w:r>
      <w:r>
        <w:rPr>
          <w:rFonts w:hint="eastAsia" w:cs="宋体"/>
          <w:b/>
          <w:spacing w:val="-4"/>
          <w:sz w:val="24"/>
          <w:highlight w:val="none"/>
        </w:rPr>
        <w:t> </w:t>
      </w:r>
    </w:p>
    <w:p w14:paraId="4736FA8D">
      <w:pPr>
        <w:pageBreakBefore w:val="0"/>
        <w:kinsoku/>
        <w:wordWrap/>
        <w:topLinePunct w:val="0"/>
        <w:bidi w:val="0"/>
        <w:adjustRightInd w:val="0"/>
        <w:snapToGrid w:val="0"/>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 xml:space="preserve">1.投标文件中开标一览表（报价表）内容与投标文件中相应内容不一致的，以开标一览表（报价表）为准；  </w:t>
      </w:r>
    </w:p>
    <w:p w14:paraId="470DC1B5">
      <w:pPr>
        <w:adjustRightInd w:val="0"/>
        <w:snapToGrid w:val="0"/>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 xml:space="preserve">2.大写金额和小写金额不一致的，以大写金额为准；  </w:t>
      </w:r>
    </w:p>
    <w:p w14:paraId="67986AB8">
      <w:pPr>
        <w:adjustRightInd w:val="0"/>
        <w:snapToGrid w:val="0"/>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3.单价金额小数点或者百分比有明显错位的，以开标一览表的总价为准，并修改单价；</w:t>
      </w:r>
    </w:p>
    <w:p w14:paraId="075DC0B7">
      <w:pPr>
        <w:adjustRightInd w:val="0"/>
        <w:snapToGrid w:val="0"/>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4.总价金额与按单价汇总金额不一致的，以单价金额计算结果为准；</w:t>
      </w:r>
    </w:p>
    <w:p w14:paraId="4102814C">
      <w:pPr>
        <w:adjustRightInd w:val="0"/>
        <w:snapToGrid w:val="0"/>
        <w:spacing w:line="360" w:lineRule="auto"/>
        <w:ind w:firstLine="470" w:firstLineChars="196"/>
        <w:rPr>
          <w:rFonts w:ascii="宋体" w:hAnsi="宋体" w:cs="宋体"/>
          <w:bCs/>
          <w:color w:val="000000"/>
          <w:sz w:val="24"/>
          <w:highlight w:val="none"/>
        </w:rPr>
      </w:pPr>
      <w:r>
        <w:rPr>
          <w:rFonts w:hint="eastAsia" w:ascii="宋体" w:hAnsi="宋体" w:cs="宋体"/>
          <w:bCs/>
          <w:color w:val="000000"/>
          <w:sz w:val="24"/>
          <w:highlight w:val="none"/>
        </w:rPr>
        <w:t>5.同时出现两种以上不一致的，按照前款规定的顺序修正。修正后的报价经投标人确认后产生约束力，投标人不确认的，其投标无效；</w:t>
      </w:r>
    </w:p>
    <w:p w14:paraId="2DA1534F">
      <w:pPr>
        <w:adjustRightInd w:val="0"/>
        <w:snapToGrid w:val="0"/>
        <w:spacing w:line="360" w:lineRule="auto"/>
        <w:ind w:firstLine="470" w:firstLineChars="196"/>
        <w:rPr>
          <w:rFonts w:hAnsi="宋体" w:cs="宋体"/>
          <w:bCs/>
          <w:color w:val="000000"/>
          <w:sz w:val="24"/>
          <w:highlight w:val="none"/>
        </w:rPr>
      </w:pPr>
      <w:r>
        <w:rPr>
          <w:rFonts w:hint="eastAsia" w:ascii="宋体" w:hAnsi="宋体" w:cs="宋体"/>
          <w:bCs/>
          <w:color w:val="000000"/>
          <w:sz w:val="24"/>
          <w:highlight w:val="none"/>
        </w:rPr>
        <w:t>6.按上述修正</w:t>
      </w:r>
      <w:r>
        <w:rPr>
          <w:rFonts w:hAnsi="宋体" w:cs="宋体"/>
          <w:bCs/>
          <w:color w:val="000000"/>
          <w:sz w:val="24"/>
          <w:highlight w:val="none"/>
        </w:rPr>
        <w:t>错误的方法调整的投标报价应对投标人具有约束力。如果投标人不接受修正后的价格，其投标将被拒绝。</w:t>
      </w:r>
    </w:p>
    <w:p w14:paraId="359B24DA">
      <w:pPr>
        <w:snapToGrid w:val="0"/>
        <w:spacing w:line="360" w:lineRule="auto"/>
        <w:ind w:firstLine="551" w:firstLineChars="196"/>
        <w:outlineLvl w:val="2"/>
        <w:rPr>
          <w:rFonts w:ascii="宋体" w:hAnsi="宋体" w:cs="宋体"/>
          <w:b/>
          <w:color w:val="000000"/>
          <w:sz w:val="28"/>
          <w:szCs w:val="28"/>
          <w:highlight w:val="none"/>
        </w:rPr>
      </w:pPr>
      <w:r>
        <w:rPr>
          <w:rFonts w:hint="eastAsia" w:ascii="宋体" w:hAnsi="宋体" w:cs="宋体"/>
          <w:b/>
          <w:color w:val="000000"/>
          <w:sz w:val="28"/>
          <w:szCs w:val="28"/>
          <w:highlight w:val="none"/>
        </w:rPr>
        <w:t>四</w:t>
      </w:r>
      <w:r>
        <w:rPr>
          <w:rFonts w:ascii="宋体" w:hAnsi="宋体" w:cs="宋体"/>
          <w:b/>
          <w:color w:val="000000"/>
          <w:sz w:val="28"/>
          <w:szCs w:val="28"/>
          <w:highlight w:val="none"/>
        </w:rPr>
        <w:t>、询标</w:t>
      </w:r>
    </w:p>
    <w:p w14:paraId="11D16907">
      <w:pPr>
        <w:adjustRightInd w:val="0"/>
        <w:snapToGrid w:val="0"/>
        <w:spacing w:line="360" w:lineRule="auto"/>
        <w:ind w:firstLine="470" w:firstLineChars="196"/>
        <w:rPr>
          <w:rFonts w:hAnsi="宋体" w:cs="宋体"/>
          <w:bCs/>
          <w:color w:val="000000"/>
          <w:sz w:val="24"/>
          <w:highlight w:val="none"/>
        </w:rPr>
      </w:pPr>
      <w:r>
        <w:rPr>
          <w:rFonts w:hAnsi="宋体" w:cs="宋体"/>
          <w:bCs/>
          <w:color w:val="000000"/>
          <w:sz w:val="24"/>
          <w:highlight w:val="none"/>
        </w:rPr>
        <w:t>对投标文件中存在含义不清楚的内容，必要时评标委员会要求供应商作必要的澄清、说明或补正。询标记录需供应商授权代表签字确认，它将作为投标文件的一部分。</w:t>
      </w:r>
    </w:p>
    <w:p w14:paraId="03DA228F">
      <w:pPr>
        <w:snapToGrid w:val="0"/>
        <w:spacing w:line="360" w:lineRule="auto"/>
        <w:ind w:firstLine="551" w:firstLineChars="196"/>
        <w:outlineLvl w:val="2"/>
        <w:rPr>
          <w:rFonts w:ascii="宋体" w:hAnsi="宋体" w:cs="宋体"/>
          <w:b/>
          <w:color w:val="000000"/>
          <w:sz w:val="28"/>
          <w:szCs w:val="28"/>
          <w:highlight w:val="none"/>
        </w:rPr>
      </w:pPr>
      <w:r>
        <w:rPr>
          <w:rFonts w:hint="eastAsia" w:ascii="宋体" w:hAnsi="宋体" w:cs="宋体"/>
          <w:b/>
          <w:color w:val="000000"/>
          <w:sz w:val="28"/>
          <w:szCs w:val="28"/>
          <w:highlight w:val="none"/>
        </w:rPr>
        <w:t>五</w:t>
      </w:r>
      <w:r>
        <w:rPr>
          <w:rFonts w:ascii="宋体" w:hAnsi="宋体" w:cs="宋体"/>
          <w:b/>
          <w:color w:val="000000"/>
          <w:sz w:val="28"/>
          <w:szCs w:val="28"/>
          <w:highlight w:val="none"/>
        </w:rPr>
        <w:t>、修改评标结果</w:t>
      </w:r>
    </w:p>
    <w:p w14:paraId="5C71A0CE">
      <w:pPr>
        <w:pStyle w:val="7"/>
        <w:adjustRightInd w:val="0"/>
        <w:snapToGrid w:val="0"/>
        <w:spacing w:line="360" w:lineRule="auto"/>
        <w:ind w:firstLine="464" w:firstLineChars="200"/>
        <w:rPr>
          <w:rFonts w:ascii="Times New Roman" w:hAnsi="Times New Roman"/>
          <w:bCs/>
          <w:color w:val="000000"/>
          <w:sz w:val="24"/>
          <w:highlight w:val="none"/>
        </w:rPr>
      </w:pPr>
      <w:r>
        <w:rPr>
          <w:rFonts w:ascii="Times New Roman" w:hAnsi="Times New Roman"/>
          <w:bCs/>
          <w:color w:val="000000"/>
          <w:sz w:val="24"/>
          <w:highlight w:val="none"/>
        </w:rPr>
        <w:t>评标结果汇总完成后，除下列情形外，任何人不得修改评标结果：</w:t>
      </w:r>
    </w:p>
    <w:p w14:paraId="72B40D62">
      <w:pPr>
        <w:pStyle w:val="7"/>
        <w:adjustRightInd w:val="0"/>
        <w:snapToGrid w:val="0"/>
        <w:spacing w:line="360" w:lineRule="auto"/>
        <w:ind w:firstLine="464" w:firstLineChars="200"/>
        <w:rPr>
          <w:rFonts w:ascii="Times New Roman" w:hAnsi="Times New Roman"/>
          <w:bCs/>
          <w:color w:val="000000"/>
          <w:sz w:val="24"/>
          <w:highlight w:val="none"/>
        </w:rPr>
      </w:pPr>
      <w:r>
        <w:rPr>
          <w:rFonts w:ascii="Times New Roman" w:hAnsi="Times New Roman"/>
          <w:bCs/>
          <w:color w:val="000000"/>
          <w:sz w:val="24"/>
          <w:highlight w:val="none"/>
        </w:rPr>
        <w:t>（一）分值汇总计算错误的；</w:t>
      </w:r>
    </w:p>
    <w:p w14:paraId="04392426">
      <w:pPr>
        <w:pStyle w:val="7"/>
        <w:adjustRightInd w:val="0"/>
        <w:snapToGrid w:val="0"/>
        <w:spacing w:line="360" w:lineRule="auto"/>
        <w:ind w:firstLine="464" w:firstLineChars="200"/>
        <w:rPr>
          <w:rFonts w:ascii="Times New Roman" w:hAnsi="Times New Roman"/>
          <w:bCs/>
          <w:color w:val="000000"/>
          <w:sz w:val="24"/>
          <w:highlight w:val="none"/>
        </w:rPr>
      </w:pPr>
      <w:r>
        <w:rPr>
          <w:rFonts w:ascii="Times New Roman" w:hAnsi="Times New Roman"/>
          <w:bCs/>
          <w:color w:val="000000"/>
          <w:sz w:val="24"/>
          <w:highlight w:val="none"/>
        </w:rPr>
        <w:t>（二）分项评分超出评分标准范围的；</w:t>
      </w:r>
    </w:p>
    <w:p w14:paraId="3F67AC0A">
      <w:pPr>
        <w:pStyle w:val="7"/>
        <w:adjustRightInd w:val="0"/>
        <w:snapToGrid w:val="0"/>
        <w:spacing w:line="360" w:lineRule="auto"/>
        <w:ind w:firstLine="464" w:firstLineChars="200"/>
        <w:rPr>
          <w:rFonts w:ascii="Times New Roman" w:hAnsi="Times New Roman"/>
          <w:bCs/>
          <w:color w:val="000000"/>
          <w:sz w:val="24"/>
          <w:highlight w:val="none"/>
        </w:rPr>
      </w:pPr>
      <w:r>
        <w:rPr>
          <w:rFonts w:ascii="Times New Roman" w:hAnsi="Times New Roman"/>
          <w:bCs/>
          <w:color w:val="000000"/>
          <w:sz w:val="24"/>
          <w:highlight w:val="none"/>
        </w:rPr>
        <w:t>（三）评标委员会成员对客观评审因素评分不一致的；</w:t>
      </w:r>
    </w:p>
    <w:p w14:paraId="793FE7B9">
      <w:pPr>
        <w:pStyle w:val="7"/>
        <w:adjustRightInd w:val="0"/>
        <w:snapToGrid w:val="0"/>
        <w:spacing w:line="360" w:lineRule="auto"/>
        <w:ind w:firstLine="464" w:firstLineChars="200"/>
        <w:rPr>
          <w:rFonts w:hAnsi="宋体" w:cs="宋体"/>
          <w:color w:val="000000"/>
          <w:sz w:val="24"/>
          <w:highlight w:val="none"/>
        </w:rPr>
        <w:sectPr>
          <w:headerReference r:id="rId7" w:type="default"/>
          <w:footerReference r:id="rId8" w:type="default"/>
          <w:pgSz w:w="11906" w:h="16838"/>
          <w:pgMar w:top="1361" w:right="1247" w:bottom="1361" w:left="1247" w:header="794" w:footer="794" w:gutter="0"/>
          <w:cols w:space="720" w:num="1"/>
          <w:docGrid w:linePitch="312" w:charSpace="0"/>
        </w:sectPr>
      </w:pPr>
      <w:r>
        <w:rPr>
          <w:rFonts w:ascii="Times New Roman" w:hAnsi="Times New Roman"/>
          <w:bCs/>
          <w:color w:val="000000"/>
          <w:sz w:val="24"/>
          <w:highlight w:val="none"/>
        </w:rPr>
        <w:t>（四）</w:t>
      </w:r>
      <w:r>
        <w:rPr>
          <w:rFonts w:hint="eastAsia" w:hAnsi="宋体" w:cs="宋体"/>
          <w:bCs/>
          <w:color w:val="000000"/>
          <w:sz w:val="24"/>
          <w:highlight w:val="none"/>
        </w:rPr>
        <w:t>经评标委员会认定评分畸高、畸低的。如发现分值汇总计算错误、分项评分超出评分标准范围、客观评分不一致以及存在畸高、畸低（评标委员会成员总评分偏离平均分30%以上的，以及个人主观打分偏离所有评标委员会成员主观打分平均值30%以上的），由评标委员会启动评分畸高、畸低行为认定程序，评标委员会组长应提醒相关评审人员进行复核或书面说明理由，评审人员拒绝说明的，由现场监督员据实记录；评审人员的评审、修改记录应保留原件，随项目其他资料一并存档。</w:t>
      </w:r>
    </w:p>
    <w:p w14:paraId="5AA48436">
      <w:pPr>
        <w:numPr>
          <w:ilvl w:val="0"/>
          <w:numId w:val="10"/>
        </w:numPr>
        <w:tabs>
          <w:tab w:val="left" w:pos="1154"/>
        </w:tabs>
        <w:spacing w:line="360" w:lineRule="auto"/>
        <w:jc w:val="center"/>
        <w:rPr>
          <w:rFonts w:hint="eastAsia" w:ascii="宋体" w:hAnsi="宋体" w:eastAsia="宋体" w:cs="宋体"/>
          <w:b/>
          <w:sz w:val="32"/>
          <w:szCs w:val="28"/>
          <w:highlight w:val="none"/>
        </w:rPr>
      </w:pPr>
      <w:r>
        <w:rPr>
          <w:rFonts w:hint="eastAsia" w:ascii="宋体" w:hAnsi="宋体" w:cs="宋体"/>
          <w:b/>
          <w:sz w:val="32"/>
          <w:szCs w:val="28"/>
          <w:highlight w:val="none"/>
        </w:rPr>
        <w:t>采购合同（样本）</w:t>
      </w:r>
    </w:p>
    <w:p w14:paraId="463C6012">
      <w:pPr>
        <w:spacing w:line="560" w:lineRule="exact"/>
        <w:jc w:val="center"/>
        <w:rPr>
          <w:rFonts w:ascii="宋体" w:hAnsi="宋体"/>
          <w:b/>
          <w:bCs/>
          <w:color w:val="000000" w:themeColor="text1"/>
          <w:sz w:val="32"/>
          <w:szCs w:val="32"/>
          <w:highlight w:val="none"/>
        </w:rPr>
      </w:pPr>
      <w:r>
        <w:rPr>
          <w:rFonts w:hint="eastAsia" w:ascii="宋体" w:hAnsi="宋体"/>
          <w:b/>
          <w:bCs/>
          <w:color w:val="000000" w:themeColor="text1"/>
          <w:sz w:val="32"/>
          <w:szCs w:val="32"/>
          <w:highlight w:val="none"/>
          <w:lang w:eastAsia="zh-CN"/>
        </w:rPr>
        <w:t>2025年-2027年衢江区计生特殊家庭健康保险采购</w:t>
      </w:r>
      <w:r>
        <w:rPr>
          <w:rFonts w:hint="eastAsia" w:ascii="宋体" w:hAnsi="宋体"/>
          <w:b/>
          <w:bCs/>
          <w:color w:val="000000" w:themeColor="text1"/>
          <w:sz w:val="32"/>
          <w:szCs w:val="32"/>
          <w:highlight w:val="none"/>
        </w:rPr>
        <w:t>合同</w:t>
      </w:r>
    </w:p>
    <w:p w14:paraId="3C9191EF">
      <w:pPr>
        <w:spacing w:line="560" w:lineRule="exact"/>
        <w:rPr>
          <w:rFonts w:ascii="宋体" w:hAnsi="宋体"/>
          <w:b/>
          <w:bCs/>
          <w:color w:val="000000" w:themeColor="text1"/>
          <w:szCs w:val="21"/>
          <w:highlight w:val="none"/>
        </w:rPr>
      </w:pPr>
    </w:p>
    <w:p w14:paraId="68EFA584">
      <w:pPr>
        <w:spacing w:line="400" w:lineRule="exact"/>
        <w:rPr>
          <w:rFonts w:ascii="宋体" w:hAnsi="宋体"/>
          <w:b/>
          <w:color w:val="000000" w:themeColor="text1"/>
          <w:sz w:val="24"/>
          <w:szCs w:val="24"/>
          <w:highlight w:val="none"/>
        </w:rPr>
      </w:pPr>
      <w:r>
        <w:rPr>
          <w:rFonts w:hint="eastAsia" w:ascii="宋体" w:hAnsi="宋体"/>
          <w:b/>
          <w:bCs/>
          <w:color w:val="000000" w:themeColor="text1"/>
          <w:sz w:val="24"/>
          <w:szCs w:val="24"/>
          <w:highlight w:val="none"/>
        </w:rPr>
        <w:t>甲方</w:t>
      </w:r>
      <w:r>
        <w:rPr>
          <w:rFonts w:hint="eastAsia" w:ascii="宋体" w:hAnsi="宋体"/>
          <w:b/>
          <w:color w:val="000000" w:themeColor="text1"/>
          <w:sz w:val="24"/>
          <w:szCs w:val="24"/>
          <w:highlight w:val="none"/>
        </w:rPr>
        <w:t>：</w:t>
      </w:r>
      <w:r>
        <w:rPr>
          <w:rFonts w:hint="eastAsia" w:ascii="宋体" w:hAnsi="宋体"/>
          <w:color w:val="000000" w:themeColor="text1"/>
          <w:sz w:val="24"/>
          <w:szCs w:val="24"/>
          <w:highlight w:val="none"/>
          <w:u w:val="single"/>
          <w:lang w:eastAsia="zh-CN"/>
        </w:rPr>
        <w:t>衢江区卫生健康局</w:t>
      </w:r>
      <w:r>
        <w:rPr>
          <w:rFonts w:hint="eastAsia" w:asciiTheme="minorEastAsia" w:hAnsiTheme="minorEastAsia"/>
          <w:sz w:val="24"/>
          <w:szCs w:val="24"/>
          <w:highlight w:val="none"/>
        </w:rPr>
        <w:t>（以下简称“甲方”或“医院”）</w:t>
      </w:r>
    </w:p>
    <w:p w14:paraId="280EC2DE">
      <w:pPr>
        <w:spacing w:line="400" w:lineRule="exact"/>
        <w:rPr>
          <w:rFonts w:ascii="宋体" w:hAnsi="宋体"/>
          <w:b/>
          <w:color w:val="000000" w:themeColor="text1"/>
          <w:sz w:val="24"/>
          <w:szCs w:val="32"/>
          <w:highlight w:val="none"/>
          <w:u w:val="single"/>
        </w:rPr>
      </w:pPr>
      <w:r>
        <w:rPr>
          <w:rFonts w:hint="eastAsia" w:ascii="宋体" w:hAnsi="宋体"/>
          <w:b/>
          <w:color w:val="000000" w:themeColor="text1"/>
          <w:sz w:val="24"/>
          <w:szCs w:val="32"/>
          <w:highlight w:val="none"/>
        </w:rPr>
        <w:t>乙方：</w:t>
      </w:r>
      <w:r>
        <w:rPr>
          <w:rFonts w:hint="eastAsia" w:ascii="宋体" w:hAnsi="宋体"/>
          <w:color w:val="0070C0"/>
          <w:sz w:val="24"/>
          <w:szCs w:val="32"/>
          <w:highlight w:val="none"/>
          <w:u w:val="single"/>
        </w:rPr>
        <w:t xml:space="preserve">              </w:t>
      </w:r>
      <w:r>
        <w:rPr>
          <w:rFonts w:hint="eastAsia" w:asciiTheme="minorEastAsia" w:hAnsiTheme="minorEastAsia"/>
          <w:sz w:val="24"/>
          <w:szCs w:val="24"/>
          <w:highlight w:val="none"/>
        </w:rPr>
        <w:t>（以下简称“乙方”或“服务单位”）</w:t>
      </w:r>
    </w:p>
    <w:p w14:paraId="2822B19F">
      <w:pPr>
        <w:spacing w:line="400" w:lineRule="exact"/>
        <w:rPr>
          <w:rFonts w:ascii="宋体" w:hAnsi="宋体"/>
          <w:color w:val="000000" w:themeColor="text1"/>
          <w:sz w:val="24"/>
          <w:szCs w:val="32"/>
          <w:highlight w:val="none"/>
        </w:rPr>
      </w:pPr>
    </w:p>
    <w:p w14:paraId="1865C320">
      <w:pPr>
        <w:spacing w:line="400" w:lineRule="exact"/>
        <w:ind w:firstLine="480" w:firstLineChars="200"/>
        <w:rPr>
          <w:rFonts w:ascii="宋体" w:hAnsi="宋体"/>
          <w:b/>
          <w:color w:val="000000" w:themeColor="text1"/>
          <w:sz w:val="24"/>
          <w:szCs w:val="32"/>
          <w:highlight w:val="none"/>
          <w:u w:val="single"/>
        </w:rPr>
      </w:pPr>
      <w:r>
        <w:rPr>
          <w:rFonts w:hint="eastAsia" w:ascii="宋体" w:hAnsi="宋体"/>
          <w:color w:val="000000" w:themeColor="text1"/>
          <w:sz w:val="24"/>
          <w:szCs w:val="32"/>
          <w:highlight w:val="none"/>
        </w:rPr>
        <w:t>甲、乙双方根据</w:t>
      </w:r>
      <w:r>
        <w:rPr>
          <w:rFonts w:hint="eastAsia" w:ascii="宋体" w:hAnsi="宋体"/>
          <w:color w:val="000000" w:themeColor="text1"/>
          <w:sz w:val="24"/>
          <w:szCs w:val="32"/>
          <w:highlight w:val="none"/>
          <w:u w:val="single"/>
        </w:rPr>
        <w:t>202</w:t>
      </w:r>
      <w:r>
        <w:rPr>
          <w:rFonts w:hint="eastAsia" w:ascii="宋体" w:hAnsi="宋体"/>
          <w:color w:val="000000" w:themeColor="text1"/>
          <w:sz w:val="24"/>
          <w:szCs w:val="32"/>
          <w:highlight w:val="none"/>
          <w:u w:val="single"/>
          <w:lang w:val="en-US" w:eastAsia="zh-CN"/>
        </w:rPr>
        <w:t>5</w:t>
      </w:r>
      <w:r>
        <w:rPr>
          <w:rFonts w:hint="eastAsia" w:ascii="宋体" w:hAnsi="宋体"/>
          <w:color w:val="000000" w:themeColor="text1"/>
          <w:sz w:val="24"/>
          <w:szCs w:val="32"/>
          <w:highlight w:val="none"/>
        </w:rPr>
        <w:t>年</w:t>
      </w:r>
      <w:r>
        <w:rPr>
          <w:rFonts w:hint="eastAsia" w:ascii="宋体" w:hAnsi="宋体"/>
          <w:color w:val="FF0000"/>
          <w:sz w:val="24"/>
          <w:szCs w:val="32"/>
          <w:highlight w:val="none"/>
          <w:u w:val="single"/>
        </w:rPr>
        <w:t xml:space="preserve">  </w:t>
      </w:r>
      <w:r>
        <w:rPr>
          <w:rFonts w:hint="eastAsia" w:ascii="宋体" w:hAnsi="宋体"/>
          <w:color w:val="FF0000"/>
          <w:sz w:val="24"/>
          <w:szCs w:val="32"/>
          <w:highlight w:val="none"/>
        </w:rPr>
        <w:t>月</w:t>
      </w:r>
      <w:r>
        <w:rPr>
          <w:rFonts w:hint="eastAsia" w:ascii="宋体" w:hAnsi="宋体"/>
          <w:color w:val="FF0000"/>
          <w:sz w:val="24"/>
          <w:szCs w:val="32"/>
          <w:highlight w:val="none"/>
          <w:u w:val="single"/>
        </w:rPr>
        <w:t xml:space="preserve">  </w:t>
      </w:r>
      <w:r>
        <w:rPr>
          <w:rFonts w:hint="eastAsia" w:ascii="宋体" w:hAnsi="宋体"/>
          <w:color w:val="FF0000"/>
          <w:sz w:val="24"/>
          <w:szCs w:val="32"/>
          <w:highlight w:val="none"/>
        </w:rPr>
        <w:t>日</w:t>
      </w:r>
      <w:r>
        <w:rPr>
          <w:rFonts w:hint="eastAsia" w:ascii="宋体" w:hAnsi="宋体"/>
          <w:color w:val="000000" w:themeColor="text1"/>
          <w:sz w:val="24"/>
          <w:szCs w:val="32"/>
          <w:highlight w:val="none"/>
        </w:rPr>
        <w:t>经浙江五石中正工程咨询有限公司衢州分公司代理的</w:t>
      </w:r>
      <w:r>
        <w:rPr>
          <w:rFonts w:hint="eastAsia" w:ascii="宋体" w:hAnsi="宋体"/>
          <w:color w:val="000000" w:themeColor="text1"/>
          <w:sz w:val="24"/>
          <w:szCs w:val="32"/>
          <w:highlight w:val="none"/>
          <w:lang w:eastAsia="zh-CN"/>
        </w:rPr>
        <w:t>衢江区卫生健康局</w:t>
      </w:r>
      <w:r>
        <w:rPr>
          <w:rFonts w:hint="eastAsia" w:ascii="宋体" w:hAnsi="宋体"/>
          <w:color w:val="000000" w:themeColor="text1"/>
          <w:sz w:val="24"/>
          <w:szCs w:val="32"/>
          <w:highlight w:val="none"/>
          <w:u w:val="single"/>
          <w:lang w:eastAsia="zh-CN"/>
        </w:rPr>
        <w:t>2025年-2027年衢江区计生特殊家庭健康保险采购</w:t>
      </w:r>
      <w:r>
        <w:rPr>
          <w:rFonts w:hint="eastAsia" w:ascii="宋体" w:hAnsi="宋体"/>
          <w:color w:val="000000" w:themeColor="text1"/>
          <w:sz w:val="24"/>
          <w:szCs w:val="32"/>
          <w:highlight w:val="none"/>
        </w:rPr>
        <w:t>项目（代理项目编号：</w:t>
      </w:r>
      <w:r>
        <w:rPr>
          <w:rFonts w:hint="eastAsia" w:ascii="宋体" w:hAnsi="宋体"/>
          <w:color w:val="FF0000"/>
          <w:sz w:val="24"/>
          <w:szCs w:val="32"/>
          <w:highlight w:val="none"/>
          <w:u w:val="single"/>
        </w:rPr>
        <w:t xml:space="preserve">              </w:t>
      </w:r>
      <w:r>
        <w:rPr>
          <w:rFonts w:hint="eastAsia" w:ascii="宋体" w:hAnsi="宋体"/>
          <w:color w:val="000000" w:themeColor="text1"/>
          <w:sz w:val="24"/>
          <w:szCs w:val="32"/>
          <w:highlight w:val="none"/>
        </w:rPr>
        <w:t>）的采购结果和有关招投标文件要求，经双方友好协商，订立本合同。</w:t>
      </w:r>
    </w:p>
    <w:p w14:paraId="183DCE15">
      <w:pPr>
        <w:spacing w:line="400" w:lineRule="exact"/>
        <w:ind w:firstLine="482" w:firstLineChars="200"/>
        <w:rPr>
          <w:rFonts w:ascii="宋体" w:hAnsi="宋体"/>
          <w:b/>
          <w:color w:val="000000" w:themeColor="text1"/>
          <w:sz w:val="24"/>
          <w:szCs w:val="32"/>
          <w:highlight w:val="none"/>
          <w:u w:val="single"/>
        </w:rPr>
      </w:pPr>
      <w:r>
        <w:rPr>
          <w:rFonts w:hint="eastAsia" w:ascii="宋体" w:hAnsi="宋体"/>
          <w:b/>
          <w:bCs/>
          <w:color w:val="000000" w:themeColor="text1"/>
          <w:sz w:val="24"/>
          <w:szCs w:val="32"/>
          <w:highlight w:val="none"/>
        </w:rPr>
        <w:t>第一条</w:t>
      </w:r>
      <w:r>
        <w:rPr>
          <w:rFonts w:hint="eastAsia" w:ascii="宋体" w:hAnsi="宋体"/>
          <w:color w:val="000000" w:themeColor="text1"/>
          <w:sz w:val="24"/>
          <w:szCs w:val="32"/>
          <w:highlight w:val="none"/>
        </w:rPr>
        <w:t xml:space="preserve">  根据采购结果，确定</w:t>
      </w:r>
      <w:r>
        <w:rPr>
          <w:rFonts w:hint="eastAsia" w:ascii="宋体" w:hAnsi="宋体"/>
          <w:color w:val="0070C0"/>
          <w:sz w:val="24"/>
          <w:szCs w:val="32"/>
          <w:highlight w:val="none"/>
          <w:u w:val="single"/>
        </w:rPr>
        <w:t xml:space="preserve">                </w:t>
      </w:r>
      <w:r>
        <w:rPr>
          <w:rFonts w:hint="eastAsia" w:ascii="宋体" w:hAnsi="宋体"/>
          <w:color w:val="000000" w:themeColor="text1"/>
          <w:sz w:val="24"/>
          <w:szCs w:val="32"/>
          <w:highlight w:val="none"/>
        </w:rPr>
        <w:t>为</w:t>
      </w:r>
      <w:r>
        <w:rPr>
          <w:rFonts w:hint="eastAsia" w:ascii="宋体" w:hAnsi="宋体"/>
          <w:color w:val="000000" w:themeColor="text1"/>
          <w:sz w:val="24"/>
          <w:szCs w:val="32"/>
          <w:highlight w:val="none"/>
          <w:lang w:eastAsia="zh-CN"/>
        </w:rPr>
        <w:t>衢江区卫生健康局</w:t>
      </w:r>
      <w:r>
        <w:rPr>
          <w:rFonts w:hint="eastAsia" w:ascii="宋体" w:hAnsi="宋体"/>
          <w:color w:val="000000" w:themeColor="text1"/>
          <w:sz w:val="24"/>
          <w:szCs w:val="32"/>
          <w:highlight w:val="none"/>
          <w:u w:val="single"/>
          <w:lang w:eastAsia="zh-CN"/>
        </w:rPr>
        <w:t>2025年-2027年衢江区计生特殊家庭健康保险采购</w:t>
      </w:r>
      <w:r>
        <w:rPr>
          <w:rFonts w:hint="eastAsia" w:ascii="宋体" w:hAnsi="宋体"/>
          <w:color w:val="000000" w:themeColor="text1"/>
          <w:sz w:val="24"/>
          <w:szCs w:val="32"/>
          <w:highlight w:val="none"/>
        </w:rPr>
        <w:t>项目的服务单位。</w:t>
      </w:r>
    </w:p>
    <w:p w14:paraId="0D3D2F5F">
      <w:pPr>
        <w:spacing w:before="31" w:beforeLines="10" w:line="400" w:lineRule="exact"/>
        <w:ind w:firstLine="482" w:firstLineChars="200"/>
        <w:rPr>
          <w:rFonts w:ascii="宋体" w:hAnsi="宋体"/>
          <w:color w:val="000000" w:themeColor="text1"/>
          <w:sz w:val="24"/>
          <w:szCs w:val="32"/>
          <w:highlight w:val="none"/>
        </w:rPr>
      </w:pPr>
      <w:r>
        <w:rPr>
          <w:rFonts w:hint="eastAsia" w:ascii="宋体" w:hAnsi="宋体"/>
          <w:b/>
          <w:bCs/>
          <w:color w:val="000000" w:themeColor="text1"/>
          <w:sz w:val="24"/>
          <w:szCs w:val="32"/>
          <w:highlight w:val="none"/>
        </w:rPr>
        <w:t>第二条</w:t>
      </w:r>
      <w:r>
        <w:rPr>
          <w:rFonts w:hint="eastAsia" w:ascii="宋体" w:hAnsi="宋体"/>
          <w:color w:val="000000" w:themeColor="text1"/>
          <w:sz w:val="24"/>
          <w:szCs w:val="32"/>
          <w:highlight w:val="none"/>
        </w:rPr>
        <w:t xml:space="preserve">  乙方承接甲方的服务业务时，应按乙方投标文件的投标价收取费用（如乙方有优惠承诺，则按承诺的优惠价收取费用）。</w:t>
      </w:r>
    </w:p>
    <w:p w14:paraId="22627497">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合同总价：</w:t>
      </w:r>
      <w:r>
        <w:rPr>
          <w:rFonts w:hint="eastAsia" w:asciiTheme="minorEastAsia" w:hAnsiTheme="minorEastAsia"/>
          <w:color w:val="000000" w:themeColor="text1"/>
          <w:sz w:val="24"/>
          <w:szCs w:val="32"/>
          <w:highlight w:val="none"/>
        </w:rPr>
        <w:t>￥</w:t>
      </w:r>
      <w:r>
        <w:rPr>
          <w:rFonts w:hint="eastAsia" w:ascii="宋体" w:hAnsi="宋体" w:eastAsia="宋体" w:cs="宋体"/>
          <w:color w:val="0070C0"/>
          <w:kern w:val="0"/>
          <w:sz w:val="24"/>
          <w:szCs w:val="24"/>
          <w:highlight w:val="none"/>
          <w:u w:val="single"/>
        </w:rPr>
        <w:t xml:space="preserve">      .00</w:t>
      </w:r>
      <w:r>
        <w:rPr>
          <w:rFonts w:hint="eastAsia" w:ascii="宋体" w:hAnsi="宋体"/>
          <w:color w:val="000000" w:themeColor="text1"/>
          <w:sz w:val="24"/>
          <w:szCs w:val="32"/>
          <w:highlight w:val="none"/>
        </w:rPr>
        <w:t>（大写：人民币</w:t>
      </w:r>
      <w:r>
        <w:rPr>
          <w:rFonts w:hint="eastAsia" w:ascii="宋体" w:hAnsi="宋体"/>
          <w:color w:val="0070C0"/>
          <w:sz w:val="24"/>
          <w:szCs w:val="32"/>
          <w:highlight w:val="none"/>
          <w:u w:val="single"/>
        </w:rPr>
        <w:t xml:space="preserve">          </w:t>
      </w:r>
      <w:r>
        <w:rPr>
          <w:rFonts w:hint="eastAsia" w:ascii="宋体" w:hAnsi="宋体"/>
          <w:color w:val="000000" w:themeColor="text1"/>
          <w:sz w:val="24"/>
          <w:szCs w:val="32"/>
          <w:highlight w:val="none"/>
          <w:u w:val="single"/>
        </w:rPr>
        <w:t>元整</w:t>
      </w:r>
      <w:r>
        <w:rPr>
          <w:rFonts w:hint="eastAsia" w:ascii="宋体" w:hAnsi="宋体"/>
          <w:color w:val="000000" w:themeColor="text1"/>
          <w:sz w:val="24"/>
          <w:szCs w:val="32"/>
          <w:highlight w:val="none"/>
        </w:rPr>
        <w:t>，折合</w:t>
      </w:r>
      <w:r>
        <w:rPr>
          <w:rFonts w:hint="eastAsia" w:asciiTheme="minorEastAsia" w:hAnsiTheme="minorEastAsia"/>
          <w:color w:val="000000" w:themeColor="text1"/>
          <w:sz w:val="24"/>
          <w:szCs w:val="32"/>
          <w:highlight w:val="none"/>
        </w:rPr>
        <w:t>￥</w:t>
      </w:r>
      <w:r>
        <w:rPr>
          <w:rFonts w:hint="eastAsia" w:ascii="宋体" w:hAnsi="宋体" w:eastAsia="宋体" w:cs="宋体"/>
          <w:color w:val="0070C0"/>
          <w:kern w:val="0"/>
          <w:sz w:val="24"/>
          <w:szCs w:val="24"/>
          <w:highlight w:val="none"/>
          <w:u w:val="single"/>
        </w:rPr>
        <w:t xml:space="preserve">      .00</w:t>
      </w:r>
      <w:r>
        <w:rPr>
          <w:rFonts w:ascii="宋体" w:hAnsi="宋体" w:eastAsia="宋体" w:cs="宋体"/>
          <w:color w:val="0070C0"/>
          <w:kern w:val="0"/>
          <w:sz w:val="24"/>
          <w:szCs w:val="24"/>
          <w:highlight w:val="none"/>
          <w:u w:val="single"/>
        </w:rPr>
        <w:t>/</w:t>
      </w:r>
      <w:r>
        <w:rPr>
          <w:rFonts w:hint="eastAsia" w:ascii="宋体" w:hAnsi="宋体" w:eastAsia="宋体" w:cs="宋体"/>
          <w:color w:val="0070C0"/>
          <w:kern w:val="0"/>
          <w:sz w:val="24"/>
          <w:szCs w:val="24"/>
          <w:highlight w:val="none"/>
          <w:u w:val="single"/>
        </w:rPr>
        <w:t>年</w:t>
      </w:r>
      <w:r>
        <w:rPr>
          <w:rFonts w:hint="eastAsia" w:ascii="宋体" w:hAnsi="宋体"/>
          <w:color w:val="000000" w:themeColor="text1"/>
          <w:sz w:val="24"/>
          <w:szCs w:val="32"/>
          <w:highlight w:val="none"/>
        </w:rPr>
        <w:t>）</w:t>
      </w:r>
      <w:r>
        <w:rPr>
          <w:rFonts w:hint="eastAsia" w:ascii="宋体" w:hAnsi="宋体"/>
          <w:color w:val="000000" w:themeColor="text1"/>
          <w:sz w:val="24"/>
          <w:szCs w:val="32"/>
          <w:highlight w:val="none"/>
          <w:lang w:eastAsia="zh-CN"/>
        </w:rPr>
        <w:t>，</w:t>
      </w:r>
      <w:r>
        <w:rPr>
          <w:rFonts w:hint="eastAsia" w:ascii="宋体" w:hAnsi="宋体"/>
          <w:color w:val="0070C0"/>
          <w:sz w:val="24"/>
          <w:szCs w:val="32"/>
          <w:highlight w:val="none"/>
          <w:u w:val="single"/>
        </w:rPr>
        <w:t>固定</w:t>
      </w:r>
      <w:r>
        <w:rPr>
          <w:rFonts w:hint="eastAsia" w:ascii="宋体" w:hAnsi="宋体"/>
          <w:color w:val="0070C0"/>
          <w:sz w:val="24"/>
          <w:szCs w:val="32"/>
          <w:highlight w:val="none"/>
          <w:u w:val="single"/>
          <w:lang w:val="en-US" w:eastAsia="zh-CN"/>
        </w:rPr>
        <w:t>综合单</w:t>
      </w:r>
      <w:r>
        <w:rPr>
          <w:rFonts w:hint="eastAsia" w:ascii="宋体" w:hAnsi="宋体"/>
          <w:color w:val="0070C0"/>
          <w:sz w:val="24"/>
          <w:szCs w:val="32"/>
          <w:highlight w:val="none"/>
          <w:u w:val="single"/>
        </w:rPr>
        <w:t>价</w:t>
      </w:r>
      <w:r>
        <w:rPr>
          <w:rFonts w:hint="eastAsia" w:ascii="宋体" w:hAnsi="宋体"/>
          <w:color w:val="0070C0"/>
          <w:sz w:val="24"/>
          <w:szCs w:val="32"/>
          <w:highlight w:val="none"/>
          <w:u w:val="single"/>
          <w:lang w:eastAsia="zh-CN"/>
        </w:rPr>
        <w:t>：</w:t>
      </w:r>
      <w:r>
        <w:rPr>
          <w:rFonts w:hint="eastAsia" w:ascii="宋体" w:hAnsi="宋体"/>
          <w:color w:val="0070C0"/>
          <w:sz w:val="24"/>
          <w:szCs w:val="32"/>
          <w:highlight w:val="none"/>
          <w:u w:val="single"/>
          <w:lang w:val="en-US" w:eastAsia="zh-CN"/>
        </w:rPr>
        <w:t>268元/人/年</w:t>
      </w:r>
      <w:r>
        <w:rPr>
          <w:rFonts w:hint="eastAsia" w:ascii="宋体" w:hAnsi="宋体"/>
          <w:color w:val="000000" w:themeColor="text1"/>
          <w:sz w:val="24"/>
          <w:szCs w:val="32"/>
          <w:highlight w:val="none"/>
        </w:rPr>
        <w:t>，包括</w:t>
      </w:r>
      <w:r>
        <w:rPr>
          <w:rFonts w:hint="eastAsia" w:asciiTheme="minorEastAsia" w:hAnsiTheme="minorEastAsia"/>
          <w:color w:val="0070C0"/>
          <w:sz w:val="24"/>
          <w:szCs w:val="32"/>
          <w:highlight w:val="none"/>
        </w:rPr>
        <w:t>完成本项目所需的雇员工资、雇员五险、验收、利润、雇员伙食费、交通、管理费、税费</w:t>
      </w:r>
      <w:r>
        <w:rPr>
          <w:rFonts w:hint="eastAsia" w:ascii="宋体" w:hAnsi="宋体"/>
          <w:color w:val="000000" w:themeColor="text1"/>
          <w:sz w:val="24"/>
          <w:szCs w:val="32"/>
          <w:highlight w:val="none"/>
        </w:rPr>
        <w:t>等所有费用。</w:t>
      </w:r>
    </w:p>
    <w:p w14:paraId="38FD6D34">
      <w:pPr>
        <w:spacing w:before="31" w:beforeLines="10" w:line="400" w:lineRule="exact"/>
        <w:ind w:firstLine="480" w:firstLineChars="200"/>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注：技术参数以投标文件为准。</w:t>
      </w:r>
    </w:p>
    <w:p w14:paraId="4E359927">
      <w:pPr>
        <w:spacing w:before="31" w:beforeLines="10" w:line="400" w:lineRule="exact"/>
        <w:ind w:firstLine="482" w:firstLineChars="200"/>
        <w:rPr>
          <w:rFonts w:ascii="宋体" w:hAnsi="宋体"/>
          <w:color w:val="000000" w:themeColor="text1"/>
          <w:sz w:val="24"/>
          <w:szCs w:val="32"/>
          <w:highlight w:val="none"/>
        </w:rPr>
      </w:pPr>
      <w:r>
        <w:rPr>
          <w:rFonts w:hint="eastAsia" w:ascii="宋体" w:hAnsi="宋体"/>
          <w:b/>
          <w:color w:val="000000" w:themeColor="text1"/>
          <w:sz w:val="24"/>
          <w:szCs w:val="32"/>
          <w:highlight w:val="none"/>
        </w:rPr>
        <w:t>第三条</w:t>
      </w:r>
      <w:r>
        <w:rPr>
          <w:rFonts w:hint="eastAsia" w:ascii="宋体" w:hAnsi="宋体"/>
          <w:color w:val="000000" w:themeColor="text1"/>
          <w:sz w:val="24"/>
          <w:szCs w:val="32"/>
          <w:highlight w:val="none"/>
        </w:rPr>
        <w:t xml:space="preserve">  服务期</w:t>
      </w:r>
    </w:p>
    <w:p w14:paraId="1A485777">
      <w:pPr>
        <w:spacing w:before="31" w:beforeLines="10" w:line="400" w:lineRule="exact"/>
        <w:ind w:firstLine="480" w:firstLineChars="200"/>
        <w:rPr>
          <w:rFonts w:ascii="宋体" w:hAnsi="宋体"/>
          <w:color w:val="0070C0"/>
          <w:sz w:val="24"/>
          <w:szCs w:val="32"/>
          <w:highlight w:val="none"/>
        </w:rPr>
      </w:pPr>
      <w:r>
        <w:rPr>
          <w:rFonts w:ascii="宋体" w:hAnsi="宋体" w:cs="宋体"/>
          <w:color w:val="0070C0"/>
          <w:kern w:val="0"/>
          <w:sz w:val="24"/>
          <w:szCs w:val="24"/>
          <w:highlight w:val="none"/>
          <w:u w:val="single"/>
        </w:rPr>
        <w:t>3</w:t>
      </w:r>
      <w:r>
        <w:rPr>
          <w:rFonts w:hint="eastAsia" w:ascii="宋体" w:hAnsi="宋体" w:cs="宋体"/>
          <w:color w:val="0070C0"/>
          <w:kern w:val="0"/>
          <w:sz w:val="24"/>
          <w:szCs w:val="24"/>
          <w:highlight w:val="none"/>
        </w:rPr>
        <w:t>年（</w:t>
      </w:r>
      <w:r>
        <w:rPr>
          <w:rFonts w:hint="eastAsia" w:asciiTheme="minorEastAsia" w:hAnsiTheme="minorEastAsia"/>
          <w:color w:val="0070C0"/>
          <w:sz w:val="24"/>
          <w:szCs w:val="32"/>
          <w:highlight w:val="none"/>
        </w:rPr>
        <w:t>自合同签订之日起</w:t>
      </w:r>
      <w:r>
        <w:rPr>
          <w:rFonts w:hint="eastAsia" w:ascii="宋体" w:hAnsi="宋体" w:cs="宋体"/>
          <w:color w:val="0070C0"/>
          <w:kern w:val="0"/>
          <w:sz w:val="24"/>
          <w:szCs w:val="24"/>
          <w:highlight w:val="none"/>
        </w:rPr>
        <w:t>）</w:t>
      </w:r>
    </w:p>
    <w:p w14:paraId="0C76DAA0">
      <w:pPr>
        <w:spacing w:before="31" w:beforeLines="10" w:line="400" w:lineRule="exact"/>
        <w:ind w:firstLine="482" w:firstLineChars="200"/>
        <w:rPr>
          <w:rFonts w:ascii="宋体" w:hAnsi="宋体"/>
          <w:color w:val="000000" w:themeColor="text1"/>
          <w:sz w:val="24"/>
          <w:szCs w:val="32"/>
          <w:highlight w:val="none"/>
        </w:rPr>
      </w:pPr>
      <w:r>
        <w:rPr>
          <w:rFonts w:hint="eastAsia" w:ascii="宋体" w:hAnsi="宋体"/>
          <w:b/>
          <w:color w:val="000000" w:themeColor="text1"/>
          <w:sz w:val="24"/>
          <w:szCs w:val="32"/>
          <w:highlight w:val="none"/>
        </w:rPr>
        <w:t>第四条</w:t>
      </w:r>
      <w:r>
        <w:rPr>
          <w:rFonts w:hint="eastAsia" w:ascii="宋体" w:hAnsi="宋体"/>
          <w:color w:val="000000" w:themeColor="text1"/>
          <w:sz w:val="24"/>
          <w:szCs w:val="32"/>
          <w:highlight w:val="none"/>
        </w:rPr>
        <w:t xml:space="preserve">  费用结算方式</w:t>
      </w:r>
    </w:p>
    <w:p w14:paraId="0733E8C0">
      <w:pPr>
        <w:widowControl/>
        <w:shd w:val="clear" w:color="auto" w:fill="FFFFFF"/>
        <w:spacing w:line="4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1.履约保证金</w:t>
      </w:r>
    </w:p>
    <w:p w14:paraId="0C10EF4A">
      <w:pPr>
        <w:widowControl/>
        <w:shd w:val="clear" w:color="auto" w:fill="FFFFFF"/>
        <w:spacing w:line="400" w:lineRule="exact"/>
        <w:ind w:firstLine="480" w:firstLineChars="200"/>
        <w:jc w:val="left"/>
        <w:rPr>
          <w:rFonts w:ascii="宋体" w:hAnsi="宋体" w:cs="宋体"/>
          <w:color w:val="0070C0"/>
          <w:kern w:val="0"/>
          <w:sz w:val="24"/>
          <w:szCs w:val="24"/>
          <w:highlight w:val="none"/>
        </w:rPr>
      </w:pPr>
      <w:r>
        <w:rPr>
          <w:rFonts w:hint="eastAsia" w:ascii="宋体" w:hAnsi="宋体" w:cs="宋体"/>
          <w:color w:val="0070C0"/>
          <w:kern w:val="0"/>
          <w:sz w:val="24"/>
          <w:szCs w:val="24"/>
          <w:highlight w:val="none"/>
        </w:rPr>
        <w:t>/</w:t>
      </w:r>
    </w:p>
    <w:p w14:paraId="623FB073">
      <w:pPr>
        <w:widowControl/>
        <w:shd w:val="clear" w:color="auto" w:fill="FFFFFF"/>
        <w:spacing w:line="400" w:lineRule="exact"/>
        <w:ind w:firstLine="480" w:firstLineChars="200"/>
        <w:jc w:val="left"/>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2.款项结算</w:t>
      </w:r>
    </w:p>
    <w:p w14:paraId="0A82D4C8">
      <w:pPr>
        <w:spacing w:before="31" w:beforeLines="10" w:line="400" w:lineRule="exact"/>
        <w:ind w:firstLine="480" w:firstLineChars="200"/>
        <w:rPr>
          <w:rFonts w:ascii="宋体" w:hAnsi="宋体"/>
          <w:color w:val="0070C0"/>
          <w:sz w:val="24"/>
          <w:szCs w:val="32"/>
          <w:highlight w:val="none"/>
        </w:rPr>
      </w:pPr>
      <w:r>
        <w:rPr>
          <w:rFonts w:hint="eastAsia" w:ascii="宋体" w:hAnsi="宋体"/>
          <w:color w:val="0070C0"/>
          <w:sz w:val="24"/>
          <w:szCs w:val="32"/>
          <w:highlight w:val="none"/>
          <w:lang w:eastAsia="zh-CN"/>
        </w:rPr>
        <w:t>三年保险签署一份总合同。每年的合同单独签订，</w:t>
      </w:r>
      <w:r>
        <w:rPr>
          <w:rFonts w:hint="eastAsia" w:ascii="宋体" w:hAnsi="宋体"/>
          <w:color w:val="0070C0"/>
          <w:sz w:val="24"/>
          <w:szCs w:val="32"/>
          <w:highlight w:val="none"/>
        </w:rPr>
        <w:t>签订正式生效后</w:t>
      </w:r>
      <w:r>
        <w:rPr>
          <w:rFonts w:hint="eastAsia" w:ascii="宋体" w:hAnsi="宋体"/>
          <w:color w:val="0070C0"/>
          <w:sz w:val="24"/>
          <w:szCs w:val="32"/>
          <w:highlight w:val="none"/>
          <w:lang w:val="en-US" w:eastAsia="zh-CN"/>
        </w:rPr>
        <w:t>2个月</w:t>
      </w:r>
      <w:r>
        <w:rPr>
          <w:rFonts w:hint="eastAsia" w:ascii="宋体" w:hAnsi="宋体"/>
          <w:color w:val="0070C0"/>
          <w:sz w:val="24"/>
          <w:szCs w:val="32"/>
          <w:highlight w:val="none"/>
        </w:rPr>
        <w:t>内支付100％合同款</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color w:val="auto"/>
          <w:sz w:val="24"/>
          <w:szCs w:val="24"/>
          <w:highlight w:val="none"/>
          <w:lang w:val="en-US" w:eastAsia="zh-CN"/>
        </w:rPr>
        <w:t>以实际投保人数及年度保险费结算</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color w:val="0070C0"/>
          <w:sz w:val="24"/>
          <w:szCs w:val="32"/>
          <w:highlight w:val="none"/>
        </w:rPr>
        <w:t>。</w:t>
      </w:r>
    </w:p>
    <w:p w14:paraId="6E3859CF">
      <w:pPr>
        <w:spacing w:before="31" w:beforeLines="10" w:line="400" w:lineRule="exact"/>
        <w:ind w:firstLine="482" w:firstLineChars="200"/>
        <w:rPr>
          <w:rFonts w:ascii="宋体" w:hAnsi="宋体"/>
          <w:color w:val="000000" w:themeColor="text1"/>
          <w:sz w:val="24"/>
          <w:szCs w:val="32"/>
          <w:highlight w:val="none"/>
        </w:rPr>
      </w:pPr>
      <w:r>
        <w:rPr>
          <w:rFonts w:hint="eastAsia" w:ascii="宋体" w:hAnsi="宋体"/>
          <w:b/>
          <w:color w:val="000000" w:themeColor="text1"/>
          <w:sz w:val="24"/>
          <w:szCs w:val="32"/>
          <w:highlight w:val="none"/>
        </w:rPr>
        <w:t>第五条</w:t>
      </w:r>
      <w:r>
        <w:rPr>
          <w:rFonts w:hint="eastAsia" w:ascii="宋体" w:hAnsi="宋体"/>
          <w:color w:val="000000" w:themeColor="text1"/>
          <w:sz w:val="24"/>
          <w:szCs w:val="32"/>
          <w:highlight w:val="none"/>
        </w:rPr>
        <w:t xml:space="preserve">  服务内容和要求</w:t>
      </w:r>
    </w:p>
    <w:p w14:paraId="3DB0CCF6">
      <w:pPr>
        <w:widowControl/>
        <w:shd w:val="clear" w:color="auto" w:fill="FFFFFF"/>
        <w:spacing w:line="400" w:lineRule="exact"/>
        <w:ind w:firstLine="480" w:firstLineChars="200"/>
        <w:jc w:val="left"/>
        <w:rPr>
          <w:rFonts w:ascii="宋体" w:hAnsi="宋体" w:cs="宋体"/>
          <w:color w:val="0070C0"/>
          <w:kern w:val="0"/>
          <w:sz w:val="24"/>
          <w:szCs w:val="24"/>
          <w:highlight w:val="none"/>
        </w:rPr>
      </w:pPr>
      <w:r>
        <w:rPr>
          <w:rFonts w:hint="eastAsia" w:ascii="宋体" w:hAnsi="宋体" w:cs="宋体"/>
          <w:color w:val="0070C0"/>
          <w:kern w:val="0"/>
          <w:sz w:val="24"/>
          <w:szCs w:val="24"/>
          <w:highlight w:val="none"/>
        </w:rPr>
        <w:t>一、服务地点：</w:t>
      </w:r>
      <w:r>
        <w:rPr>
          <w:rFonts w:hint="eastAsia" w:ascii="宋体" w:hAnsi="宋体" w:cs="宋体"/>
          <w:color w:val="0070C0"/>
          <w:kern w:val="0"/>
          <w:sz w:val="24"/>
          <w:szCs w:val="24"/>
          <w:highlight w:val="none"/>
          <w:u w:val="single"/>
          <w:lang w:val="en-US" w:eastAsia="zh-CN"/>
        </w:rPr>
        <w:t xml:space="preserve">           </w:t>
      </w:r>
      <w:r>
        <w:rPr>
          <w:rFonts w:hint="eastAsia" w:ascii="宋体" w:hAnsi="宋体" w:cs="宋体"/>
          <w:color w:val="0070C0"/>
          <w:kern w:val="0"/>
          <w:sz w:val="24"/>
          <w:szCs w:val="24"/>
          <w:highlight w:val="none"/>
        </w:rPr>
        <w:t>。</w:t>
      </w:r>
    </w:p>
    <w:p w14:paraId="55577614">
      <w:pPr>
        <w:widowControl/>
        <w:shd w:val="clear" w:color="auto" w:fill="FFFFFF"/>
        <w:spacing w:line="400" w:lineRule="exact"/>
        <w:ind w:firstLine="480" w:firstLineChars="200"/>
        <w:jc w:val="left"/>
        <w:rPr>
          <w:rFonts w:ascii="宋体" w:hAnsi="宋体" w:cs="宋体"/>
          <w:color w:val="0070C0"/>
          <w:kern w:val="0"/>
          <w:sz w:val="24"/>
          <w:szCs w:val="24"/>
          <w:highlight w:val="none"/>
        </w:rPr>
      </w:pPr>
      <w:r>
        <w:rPr>
          <w:rFonts w:hint="eastAsia" w:ascii="宋体" w:hAnsi="宋体" w:cs="宋体"/>
          <w:color w:val="0070C0"/>
          <w:kern w:val="0"/>
          <w:sz w:val="24"/>
          <w:szCs w:val="24"/>
          <w:highlight w:val="none"/>
        </w:rPr>
        <w:t>二、服务内容：</w:t>
      </w:r>
    </w:p>
    <w:p w14:paraId="5CD39E86">
      <w:pPr>
        <w:widowControl/>
        <w:shd w:val="clear" w:color="auto" w:fill="FFFFFF"/>
        <w:spacing w:line="400" w:lineRule="exact"/>
        <w:ind w:firstLine="480" w:firstLineChars="200"/>
        <w:jc w:val="left"/>
        <w:outlineLvl w:val="2"/>
        <w:rPr>
          <w:rFonts w:hint="default" w:ascii="宋体" w:hAnsi="宋体" w:eastAsia="宋体" w:cs="宋体"/>
          <w:color w:val="0070C0"/>
          <w:kern w:val="0"/>
          <w:sz w:val="24"/>
          <w:szCs w:val="24"/>
          <w:highlight w:val="none"/>
          <w:lang w:val="en-US" w:eastAsia="zh-CN"/>
        </w:rPr>
      </w:pPr>
      <w:r>
        <w:rPr>
          <w:rFonts w:hint="eastAsia" w:asciiTheme="minorEastAsia" w:hAnsiTheme="minorEastAsia"/>
          <w:color w:val="0070C0"/>
          <w:sz w:val="24"/>
          <w:szCs w:val="32"/>
          <w:highlight w:val="none"/>
          <w:u w:val="single"/>
          <w:lang w:val="en-US" w:eastAsia="zh-CN"/>
        </w:rPr>
        <w:t xml:space="preserve">                    </w:t>
      </w:r>
    </w:p>
    <w:p w14:paraId="6CD03C61">
      <w:pPr>
        <w:spacing w:before="31" w:beforeLines="10" w:line="400" w:lineRule="exact"/>
        <w:ind w:firstLine="482" w:firstLineChars="200"/>
        <w:rPr>
          <w:rFonts w:ascii="宋体" w:hAnsi="宋体"/>
          <w:color w:val="000000" w:themeColor="text1"/>
          <w:sz w:val="24"/>
          <w:szCs w:val="32"/>
          <w:highlight w:val="none"/>
        </w:rPr>
      </w:pPr>
      <w:r>
        <w:rPr>
          <w:rFonts w:hint="eastAsia" w:ascii="宋体" w:hAnsi="宋体"/>
          <w:b/>
          <w:bCs/>
          <w:color w:val="000000" w:themeColor="text1"/>
          <w:sz w:val="24"/>
          <w:szCs w:val="32"/>
          <w:highlight w:val="none"/>
        </w:rPr>
        <w:t>第六条</w:t>
      </w:r>
      <w:r>
        <w:rPr>
          <w:rFonts w:hint="eastAsia" w:ascii="宋体" w:hAnsi="宋体"/>
          <w:color w:val="000000" w:themeColor="text1"/>
          <w:sz w:val="24"/>
          <w:szCs w:val="32"/>
          <w:highlight w:val="none"/>
        </w:rPr>
        <w:t xml:space="preserve">  甲方的权利和义务</w:t>
      </w:r>
    </w:p>
    <w:p w14:paraId="6826F986">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一、甲方的权利：</w:t>
      </w:r>
    </w:p>
    <w:p w14:paraId="34C9BBCF">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1.根据乙方投标文件中有关内容，有权对乙方的服务、管理情况进行检查。</w:t>
      </w:r>
    </w:p>
    <w:p w14:paraId="1823FEED">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2.有权对服务质量进行监督和检查，对发现的问题进行调查和处理。</w:t>
      </w:r>
    </w:p>
    <w:p w14:paraId="382B80F5">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3.如甲方发现乙方在投标资料中内容不真实、服务不到位或因乙方违反合同规定给甲方或用户造成损失时，甲方有权要求乙方赔偿，情节严重的将终止合同并追究法律责任。</w:t>
      </w:r>
    </w:p>
    <w:p w14:paraId="7FB9581B">
      <w:pPr>
        <w:spacing w:before="31" w:beforeLines="10" w:line="400" w:lineRule="exact"/>
        <w:ind w:firstLine="480" w:firstLineChars="200"/>
        <w:rPr>
          <w:rFonts w:ascii="宋体" w:hAnsi="宋体"/>
          <w:color w:val="0070C0"/>
          <w:sz w:val="24"/>
          <w:szCs w:val="32"/>
          <w:highlight w:val="none"/>
          <w:u w:val="single"/>
        </w:rPr>
      </w:pPr>
      <w:r>
        <w:rPr>
          <w:rFonts w:hint="eastAsia" w:ascii="宋体" w:hAnsi="宋体"/>
          <w:color w:val="0070C0"/>
          <w:sz w:val="24"/>
          <w:szCs w:val="32"/>
          <w:highlight w:val="none"/>
        </w:rPr>
        <w:t>4.</w:t>
      </w:r>
      <w:r>
        <w:rPr>
          <w:rFonts w:hint="eastAsia" w:ascii="宋体" w:hAnsi="宋体"/>
          <w:color w:val="0070C0"/>
          <w:sz w:val="24"/>
          <w:szCs w:val="32"/>
          <w:highlight w:val="none"/>
          <w:u w:val="single"/>
        </w:rPr>
        <w:t xml:space="preserve">                  </w:t>
      </w:r>
    </w:p>
    <w:p w14:paraId="15C5B8AA">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二、甲方的义务：</w:t>
      </w:r>
    </w:p>
    <w:p w14:paraId="7587B065">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1.为乙方正常开展工作提供必要的便利条件。</w:t>
      </w:r>
    </w:p>
    <w:p w14:paraId="61F2C6A5">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2.指定专门的工作人员与乙方联系、对接相关工作。</w:t>
      </w:r>
    </w:p>
    <w:p w14:paraId="4FA59117">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3.如有需要，为乙方出具服务工作所需的合法书面资料等。</w:t>
      </w:r>
    </w:p>
    <w:p w14:paraId="46A1731A">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4.乙方履行约定的全部服务内容后，甲方及时组织验收，若有异议</w:t>
      </w:r>
      <w:r>
        <w:rPr>
          <w:rFonts w:hint="eastAsia" w:ascii="宋体" w:hAnsi="宋体" w:eastAsia="宋体" w:cs="Times New Roman"/>
          <w:color w:val="000000"/>
          <w:sz w:val="24"/>
          <w:szCs w:val="32"/>
          <w:highlight w:val="none"/>
        </w:rPr>
        <w:t>在</w:t>
      </w:r>
      <w:r>
        <w:rPr>
          <w:rFonts w:hint="eastAsia" w:ascii="宋体" w:hAnsi="宋体"/>
          <w:color w:val="000000" w:themeColor="text1"/>
          <w:sz w:val="24"/>
          <w:szCs w:val="32"/>
          <w:highlight w:val="none"/>
          <w:u w:val="single"/>
        </w:rPr>
        <w:t>10</w:t>
      </w:r>
      <w:r>
        <w:rPr>
          <w:rFonts w:hint="eastAsia" w:ascii="宋体" w:hAnsi="宋体"/>
          <w:color w:val="000000" w:themeColor="text1"/>
          <w:sz w:val="24"/>
          <w:szCs w:val="32"/>
          <w:highlight w:val="none"/>
        </w:rPr>
        <w:t>个工作日内向乙</w:t>
      </w:r>
      <w:r>
        <w:rPr>
          <w:rFonts w:hint="eastAsia" w:ascii="宋体" w:hAnsi="宋体" w:eastAsia="宋体" w:cs="Times New Roman"/>
          <w:color w:val="000000"/>
          <w:sz w:val="24"/>
          <w:szCs w:val="32"/>
          <w:highlight w:val="none"/>
        </w:rPr>
        <w:t>方提出，协助解决</w:t>
      </w:r>
      <w:r>
        <w:rPr>
          <w:rFonts w:hint="eastAsia" w:ascii="宋体" w:hAnsi="宋体"/>
          <w:color w:val="000000" w:themeColor="text1"/>
          <w:sz w:val="24"/>
          <w:szCs w:val="32"/>
          <w:highlight w:val="none"/>
        </w:rPr>
        <w:t>。</w:t>
      </w:r>
    </w:p>
    <w:p w14:paraId="505886A9">
      <w:pPr>
        <w:spacing w:before="31" w:beforeLines="10" w:line="400" w:lineRule="exact"/>
        <w:ind w:firstLine="480" w:firstLineChars="200"/>
        <w:rPr>
          <w:rFonts w:ascii="宋体" w:hAnsi="宋体"/>
          <w:color w:val="0070C0"/>
          <w:sz w:val="24"/>
          <w:szCs w:val="32"/>
          <w:highlight w:val="none"/>
          <w:u w:val="single"/>
        </w:rPr>
      </w:pPr>
      <w:r>
        <w:rPr>
          <w:rFonts w:hint="eastAsia" w:ascii="宋体" w:hAnsi="宋体"/>
          <w:color w:val="0070C0"/>
          <w:sz w:val="24"/>
          <w:szCs w:val="32"/>
          <w:highlight w:val="none"/>
        </w:rPr>
        <w:t>5.</w:t>
      </w:r>
      <w:r>
        <w:rPr>
          <w:rFonts w:hint="eastAsia" w:ascii="宋体" w:hAnsi="宋体"/>
          <w:color w:val="0070C0"/>
          <w:sz w:val="24"/>
          <w:szCs w:val="32"/>
          <w:highlight w:val="none"/>
          <w:u w:val="single"/>
        </w:rPr>
        <w:t xml:space="preserve">                  </w:t>
      </w:r>
    </w:p>
    <w:p w14:paraId="1550D3FD">
      <w:pPr>
        <w:spacing w:before="31" w:beforeLines="10" w:line="400" w:lineRule="exact"/>
        <w:ind w:firstLine="482" w:firstLineChars="200"/>
        <w:rPr>
          <w:rFonts w:ascii="宋体" w:hAnsi="宋体"/>
          <w:color w:val="000000" w:themeColor="text1"/>
          <w:sz w:val="24"/>
          <w:szCs w:val="32"/>
          <w:highlight w:val="none"/>
        </w:rPr>
      </w:pPr>
      <w:r>
        <w:rPr>
          <w:rFonts w:hint="eastAsia" w:ascii="宋体" w:hAnsi="宋体"/>
          <w:b/>
          <w:bCs/>
          <w:color w:val="000000" w:themeColor="text1"/>
          <w:sz w:val="24"/>
          <w:szCs w:val="32"/>
          <w:highlight w:val="none"/>
        </w:rPr>
        <w:t>第七条</w:t>
      </w:r>
      <w:r>
        <w:rPr>
          <w:rFonts w:hint="eastAsia" w:ascii="宋体" w:hAnsi="宋体"/>
          <w:color w:val="000000" w:themeColor="text1"/>
          <w:sz w:val="24"/>
          <w:szCs w:val="32"/>
          <w:highlight w:val="none"/>
        </w:rPr>
        <w:t xml:space="preserve">  乙方的权利和义务</w:t>
      </w:r>
    </w:p>
    <w:p w14:paraId="7A0CBA3D">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一、乙方的权利：</w:t>
      </w:r>
    </w:p>
    <w:p w14:paraId="32136F52">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1.乙方有权拒绝甲方提出的除</w:t>
      </w:r>
      <w:r>
        <w:rPr>
          <w:rFonts w:hint="eastAsia" w:ascii="宋体" w:hAnsi="宋体"/>
          <w:color w:val="000000" w:themeColor="text1"/>
          <w:sz w:val="24"/>
          <w:szCs w:val="32"/>
          <w:highlight w:val="none"/>
          <w:u w:val="single"/>
          <w:lang w:eastAsia="zh-CN"/>
        </w:rPr>
        <w:t>计生特殊家庭健康保险</w:t>
      </w:r>
      <w:r>
        <w:rPr>
          <w:rFonts w:hint="eastAsia" w:ascii="宋体" w:hAnsi="宋体"/>
          <w:color w:val="000000" w:themeColor="text1"/>
          <w:sz w:val="24"/>
          <w:szCs w:val="32"/>
          <w:highlight w:val="none"/>
        </w:rPr>
        <w:t>服务和乙方承诺以外的其它不合理要求。</w:t>
      </w:r>
    </w:p>
    <w:p w14:paraId="58D2C16D">
      <w:pPr>
        <w:spacing w:before="31" w:beforeLines="10" w:line="400" w:lineRule="exact"/>
        <w:ind w:firstLine="480" w:firstLineChars="200"/>
        <w:rPr>
          <w:rFonts w:ascii="宋体" w:hAnsi="宋体"/>
          <w:color w:val="0070C0"/>
          <w:sz w:val="24"/>
          <w:szCs w:val="32"/>
          <w:highlight w:val="none"/>
          <w:u w:val="single"/>
        </w:rPr>
      </w:pPr>
      <w:r>
        <w:rPr>
          <w:rFonts w:hint="eastAsia" w:ascii="宋体" w:hAnsi="宋体"/>
          <w:color w:val="0070C0"/>
          <w:sz w:val="24"/>
          <w:szCs w:val="32"/>
          <w:highlight w:val="none"/>
        </w:rPr>
        <w:t>2.</w:t>
      </w:r>
      <w:r>
        <w:rPr>
          <w:rFonts w:hint="eastAsia" w:ascii="宋体" w:hAnsi="宋体"/>
          <w:color w:val="0070C0"/>
          <w:sz w:val="24"/>
          <w:szCs w:val="32"/>
          <w:highlight w:val="none"/>
          <w:u w:val="single"/>
        </w:rPr>
        <w:t xml:space="preserve">                  </w:t>
      </w:r>
    </w:p>
    <w:p w14:paraId="29BD967E">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二、乙方的义务：</w:t>
      </w:r>
    </w:p>
    <w:p w14:paraId="56FEFBA3">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1.严格执行国家的法律、法规和相关工作规范及行业标准，守法经营，按章办事，自觉维护甲方及用户的利益。</w:t>
      </w:r>
    </w:p>
    <w:p w14:paraId="30248E33">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2.接受甲方的检查、监督，严格履行服务承诺，做到诚实、守信。</w:t>
      </w:r>
    </w:p>
    <w:p w14:paraId="5F63E5B0">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3.加强内部管理，提高服务质量，按照本合同的有关规定开展服务业务。</w:t>
      </w:r>
    </w:p>
    <w:p w14:paraId="59A024EB">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4.必须在甲方规定的期限内完成相关服务。</w:t>
      </w:r>
    </w:p>
    <w:p w14:paraId="2216C09A">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5.加强对服务工作的全程管理，做到每个环节不出差错，确保错漏率为零。</w:t>
      </w:r>
    </w:p>
    <w:p w14:paraId="317DCF3A">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6.妥善保管服务合同及相关资料，以备查验。</w:t>
      </w:r>
    </w:p>
    <w:p w14:paraId="3F969084">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7.负责服务过程中的一切安全防护和安全责任。</w:t>
      </w:r>
    </w:p>
    <w:p w14:paraId="285EDA2D">
      <w:pPr>
        <w:spacing w:before="31" w:beforeLines="10" w:line="400" w:lineRule="exact"/>
        <w:ind w:firstLine="480" w:firstLineChars="200"/>
        <w:rPr>
          <w:rFonts w:ascii="宋体" w:hAnsi="宋体"/>
          <w:color w:val="0070C0"/>
          <w:sz w:val="24"/>
          <w:szCs w:val="32"/>
          <w:highlight w:val="none"/>
          <w:u w:val="single"/>
        </w:rPr>
      </w:pPr>
      <w:r>
        <w:rPr>
          <w:rFonts w:hint="eastAsia" w:ascii="宋体" w:hAnsi="宋体"/>
          <w:color w:val="0070C0"/>
          <w:sz w:val="24"/>
          <w:szCs w:val="32"/>
          <w:highlight w:val="none"/>
        </w:rPr>
        <w:t>8.</w:t>
      </w:r>
      <w:r>
        <w:rPr>
          <w:rFonts w:hint="eastAsia" w:ascii="宋体" w:hAnsi="宋体"/>
          <w:color w:val="0070C0"/>
          <w:sz w:val="24"/>
          <w:szCs w:val="32"/>
          <w:highlight w:val="none"/>
          <w:u w:val="single"/>
        </w:rPr>
        <w:t xml:space="preserve">                  </w:t>
      </w:r>
    </w:p>
    <w:p w14:paraId="1F73ED33">
      <w:pPr>
        <w:spacing w:before="31" w:beforeLines="10" w:line="400" w:lineRule="exact"/>
        <w:ind w:firstLine="482" w:firstLineChars="200"/>
        <w:rPr>
          <w:rFonts w:ascii="宋体" w:hAnsi="宋体"/>
          <w:color w:val="000000" w:themeColor="text1"/>
          <w:sz w:val="24"/>
          <w:szCs w:val="32"/>
          <w:highlight w:val="none"/>
        </w:rPr>
      </w:pPr>
      <w:r>
        <w:rPr>
          <w:rFonts w:hint="eastAsia" w:ascii="宋体" w:hAnsi="宋体"/>
          <w:b/>
          <w:color w:val="000000" w:themeColor="text1"/>
          <w:sz w:val="24"/>
          <w:szCs w:val="32"/>
          <w:highlight w:val="none"/>
        </w:rPr>
        <w:t>第八条</w:t>
      </w:r>
      <w:r>
        <w:rPr>
          <w:rFonts w:hint="eastAsia" w:ascii="宋体" w:hAnsi="宋体"/>
          <w:color w:val="000000" w:themeColor="text1"/>
          <w:sz w:val="24"/>
          <w:szCs w:val="32"/>
          <w:highlight w:val="none"/>
        </w:rPr>
        <w:t xml:space="preserve">  其他承诺及相关服务</w:t>
      </w:r>
    </w:p>
    <w:p w14:paraId="7C16A493">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一、特别约定或要求</w:t>
      </w:r>
    </w:p>
    <w:p w14:paraId="1875DF81">
      <w:pPr>
        <w:spacing w:before="31" w:beforeLines="10" w:line="400" w:lineRule="exact"/>
        <w:ind w:firstLine="480" w:firstLineChars="200"/>
        <w:rPr>
          <w:rFonts w:hint="eastAsia" w:ascii="宋体" w:hAnsi="宋体"/>
          <w:color w:val="0070C0"/>
          <w:sz w:val="24"/>
          <w:szCs w:val="32"/>
          <w:highlight w:val="none"/>
          <w:u w:val="single"/>
          <w:lang w:val="en-US" w:eastAsia="zh-CN"/>
        </w:rPr>
      </w:pPr>
      <w:r>
        <w:rPr>
          <w:rFonts w:hint="eastAsia" w:ascii="宋体" w:hAnsi="宋体"/>
          <w:color w:val="0070C0"/>
          <w:sz w:val="24"/>
          <w:szCs w:val="32"/>
          <w:highlight w:val="none"/>
          <w:u w:val="single"/>
          <w:lang w:val="en-US" w:eastAsia="zh-CN"/>
        </w:rPr>
        <w:t xml:space="preserve">                 </w:t>
      </w:r>
    </w:p>
    <w:p w14:paraId="2E93482C">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二、乙方增值或承诺</w:t>
      </w:r>
    </w:p>
    <w:p w14:paraId="5495C386">
      <w:pPr>
        <w:spacing w:before="31" w:beforeLines="10" w:line="400" w:lineRule="exact"/>
        <w:ind w:firstLine="480" w:firstLineChars="200"/>
        <w:rPr>
          <w:rFonts w:ascii="宋体" w:hAnsi="宋体"/>
          <w:color w:val="0070C0"/>
          <w:sz w:val="24"/>
          <w:szCs w:val="32"/>
          <w:highlight w:val="none"/>
        </w:rPr>
      </w:pPr>
      <w:r>
        <w:rPr>
          <w:rFonts w:hint="eastAsia" w:ascii="宋体" w:hAnsi="宋体"/>
          <w:color w:val="0070C0"/>
          <w:sz w:val="24"/>
          <w:szCs w:val="32"/>
          <w:highlight w:val="none"/>
        </w:rPr>
        <w:t>（按中标单位承诺填写）</w:t>
      </w:r>
    </w:p>
    <w:p w14:paraId="485DAD0A">
      <w:pPr>
        <w:spacing w:before="31" w:beforeLines="10" w:line="400" w:lineRule="exact"/>
        <w:ind w:firstLine="482" w:firstLineChars="200"/>
        <w:rPr>
          <w:rFonts w:ascii="宋体" w:hAnsi="宋体"/>
          <w:b/>
          <w:color w:val="000000" w:themeColor="text1"/>
          <w:sz w:val="24"/>
          <w:szCs w:val="32"/>
          <w:highlight w:val="none"/>
        </w:rPr>
      </w:pPr>
      <w:r>
        <w:rPr>
          <w:rFonts w:hint="eastAsia" w:ascii="宋体" w:hAnsi="宋体"/>
          <w:b/>
          <w:color w:val="000000" w:themeColor="text1"/>
          <w:sz w:val="24"/>
          <w:szCs w:val="32"/>
          <w:highlight w:val="none"/>
        </w:rPr>
        <w:t>第九条</w:t>
      </w:r>
      <w:r>
        <w:rPr>
          <w:rFonts w:hint="eastAsia" w:ascii="宋体" w:hAnsi="宋体"/>
          <w:color w:val="000000" w:themeColor="text1"/>
          <w:sz w:val="24"/>
          <w:szCs w:val="32"/>
          <w:highlight w:val="none"/>
        </w:rPr>
        <w:t xml:space="preserve">  违约责任</w:t>
      </w:r>
    </w:p>
    <w:p w14:paraId="2334052A">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一、乙方应在甲方规定的期限内完成约定的服务内容，如有逾期，乙方须按</w:t>
      </w:r>
      <w:r>
        <w:rPr>
          <w:rFonts w:hint="eastAsia" w:ascii="宋体" w:hAnsi="宋体"/>
          <w:color w:val="000000" w:themeColor="text1"/>
          <w:sz w:val="24"/>
          <w:szCs w:val="32"/>
          <w:highlight w:val="none"/>
          <w:lang w:val="en-US" w:eastAsia="zh-CN"/>
        </w:rPr>
        <w:t>当年</w:t>
      </w:r>
      <w:r>
        <w:rPr>
          <w:rFonts w:hint="eastAsia" w:ascii="宋体" w:hAnsi="宋体" w:cs="宋体"/>
          <w:color w:val="000000" w:themeColor="text1"/>
          <w:kern w:val="0"/>
          <w:sz w:val="24"/>
          <w:szCs w:val="24"/>
          <w:highlight w:val="none"/>
          <w:u w:val="single"/>
        </w:rPr>
        <w:t>合同总价5</w:t>
      </w:r>
      <w:r>
        <w:rPr>
          <w:rFonts w:hint="eastAsia" w:cs="宋体" w:asciiTheme="minorEastAsia" w:hAnsiTheme="minorEastAsia"/>
          <w:color w:val="000000" w:themeColor="text1"/>
          <w:kern w:val="0"/>
          <w:sz w:val="24"/>
          <w:szCs w:val="24"/>
          <w:highlight w:val="none"/>
          <w:u w:val="single"/>
        </w:rPr>
        <w:t>‰/天</w:t>
      </w:r>
      <w:r>
        <w:rPr>
          <w:rFonts w:hint="eastAsia" w:cs="宋体" w:asciiTheme="minorEastAsia" w:hAnsiTheme="minorEastAsia"/>
          <w:color w:val="000000" w:themeColor="text1"/>
          <w:kern w:val="0"/>
          <w:sz w:val="24"/>
          <w:szCs w:val="24"/>
          <w:highlight w:val="none"/>
        </w:rPr>
        <w:t>的标准给予甲方经济</w:t>
      </w:r>
      <w:r>
        <w:rPr>
          <w:rFonts w:hint="eastAsia" w:ascii="宋体" w:hAnsi="宋体"/>
          <w:color w:val="000000" w:themeColor="text1"/>
          <w:sz w:val="24"/>
          <w:szCs w:val="32"/>
          <w:highlight w:val="none"/>
        </w:rPr>
        <w:t>赔偿。</w:t>
      </w:r>
    </w:p>
    <w:p w14:paraId="282D585C">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二、因服务问题给甲方造成的损失，乙方应承担相应的赔偿责任及相关法律责任。</w:t>
      </w:r>
    </w:p>
    <w:p w14:paraId="699317D6">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三、乙方出现下列情形之一的，甲方有权终止合同并要求乙方给予</w:t>
      </w:r>
      <w:r>
        <w:rPr>
          <w:rFonts w:hint="eastAsia" w:ascii="宋体" w:hAnsi="宋体" w:cs="宋体"/>
          <w:color w:val="000000" w:themeColor="text1"/>
          <w:kern w:val="0"/>
          <w:sz w:val="24"/>
          <w:szCs w:val="24"/>
          <w:highlight w:val="none"/>
          <w:u w:val="single"/>
        </w:rPr>
        <w:t>合同总价10%</w:t>
      </w:r>
      <w:r>
        <w:rPr>
          <w:rFonts w:hint="eastAsia" w:ascii="宋体" w:hAnsi="宋体" w:cs="宋体"/>
          <w:color w:val="000000" w:themeColor="text1"/>
          <w:kern w:val="0"/>
          <w:sz w:val="24"/>
          <w:szCs w:val="24"/>
          <w:highlight w:val="none"/>
        </w:rPr>
        <w:t>的违约赔偿</w:t>
      </w:r>
      <w:r>
        <w:rPr>
          <w:rFonts w:hint="eastAsia" w:ascii="宋体" w:hAnsi="宋体"/>
          <w:color w:val="000000" w:themeColor="text1"/>
          <w:sz w:val="24"/>
          <w:szCs w:val="32"/>
          <w:highlight w:val="none"/>
        </w:rPr>
        <w:t>：</w:t>
      </w:r>
    </w:p>
    <w:p w14:paraId="677DF3BA">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1.拒绝接受监督、检查的；</w:t>
      </w:r>
    </w:p>
    <w:p w14:paraId="5EF3B007">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2.未如实反映情况，提供虚假材料的；</w:t>
      </w:r>
    </w:p>
    <w:p w14:paraId="42F795BC">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3.未经甲方书面同意，擅自分包、转包业务的；</w:t>
      </w:r>
    </w:p>
    <w:p w14:paraId="40614551">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4.在本合同有效期内，被行业主管部门取消相关服务经营资质的；</w:t>
      </w:r>
    </w:p>
    <w:p w14:paraId="438BE0A1">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5.在本合同有效期内，乙方擅自变更、转让、租借服务企业资质的；</w:t>
      </w:r>
    </w:p>
    <w:p w14:paraId="3D848CEF">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6.服务工作逾期累计10日以上的；</w:t>
      </w:r>
    </w:p>
    <w:p w14:paraId="248FA2BD">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7.未按照相关法律法规、行业标准、工作规范及双方约定要求开展服务工作的。</w:t>
      </w:r>
    </w:p>
    <w:p w14:paraId="1266690E">
      <w:pPr>
        <w:spacing w:before="31" w:beforeLines="10" w:line="400" w:lineRule="exact"/>
        <w:ind w:firstLine="480" w:firstLineChars="200"/>
        <w:rPr>
          <w:rFonts w:ascii="宋体" w:hAnsi="宋体"/>
          <w:color w:val="0070C0"/>
          <w:sz w:val="24"/>
          <w:szCs w:val="32"/>
          <w:highlight w:val="none"/>
          <w:u w:val="single"/>
        </w:rPr>
      </w:pPr>
      <w:r>
        <w:rPr>
          <w:rFonts w:hint="eastAsia" w:ascii="宋体" w:hAnsi="宋体"/>
          <w:color w:val="0070C0"/>
          <w:sz w:val="24"/>
          <w:szCs w:val="32"/>
          <w:highlight w:val="none"/>
        </w:rPr>
        <w:t>四、</w:t>
      </w:r>
      <w:r>
        <w:rPr>
          <w:rFonts w:hint="eastAsia" w:ascii="宋体" w:hAnsi="宋体"/>
          <w:color w:val="0070C0"/>
          <w:sz w:val="24"/>
          <w:szCs w:val="32"/>
          <w:highlight w:val="none"/>
          <w:u w:val="single"/>
        </w:rPr>
        <w:t xml:space="preserve">                  </w:t>
      </w:r>
    </w:p>
    <w:p w14:paraId="0846C374">
      <w:pPr>
        <w:spacing w:before="31" w:beforeLines="10" w:line="400" w:lineRule="exact"/>
        <w:ind w:firstLine="482" w:firstLineChars="200"/>
        <w:rPr>
          <w:rFonts w:ascii="宋体" w:hAnsi="宋体"/>
          <w:color w:val="000000" w:themeColor="text1"/>
          <w:sz w:val="24"/>
          <w:szCs w:val="32"/>
          <w:highlight w:val="none"/>
        </w:rPr>
      </w:pPr>
      <w:r>
        <w:rPr>
          <w:rFonts w:hint="eastAsia" w:ascii="宋体" w:hAnsi="宋体"/>
          <w:b/>
          <w:bCs/>
          <w:color w:val="000000" w:themeColor="text1"/>
          <w:sz w:val="24"/>
          <w:szCs w:val="32"/>
          <w:highlight w:val="none"/>
        </w:rPr>
        <w:t>第十条</w:t>
      </w:r>
      <w:r>
        <w:rPr>
          <w:rFonts w:hint="eastAsia" w:ascii="宋体" w:hAnsi="宋体"/>
          <w:color w:val="000000" w:themeColor="text1"/>
          <w:sz w:val="24"/>
          <w:szCs w:val="32"/>
          <w:highlight w:val="none"/>
        </w:rPr>
        <w:t xml:space="preserve">  合同的变更和终止</w:t>
      </w:r>
    </w:p>
    <w:p w14:paraId="30640C1B">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l.任何一方无正当理由不得擅自解除合同，否则擅自解除合同的一方应向对方支付违约金，金额为</w:t>
      </w:r>
      <w:r>
        <w:rPr>
          <w:rFonts w:hint="eastAsia" w:ascii="宋体" w:hAnsi="宋体"/>
          <w:color w:val="000000" w:themeColor="text1"/>
          <w:sz w:val="24"/>
          <w:szCs w:val="32"/>
          <w:highlight w:val="none"/>
          <w:u w:val="single"/>
        </w:rPr>
        <w:t>合同总价10%</w:t>
      </w:r>
      <w:r>
        <w:rPr>
          <w:rFonts w:hint="eastAsia" w:ascii="宋体" w:hAnsi="宋体"/>
          <w:color w:val="000000" w:themeColor="text1"/>
          <w:sz w:val="24"/>
          <w:szCs w:val="32"/>
          <w:highlight w:val="none"/>
        </w:rPr>
        <w:t>。</w:t>
      </w:r>
    </w:p>
    <w:p w14:paraId="6DBDA054">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2.经甲乙双方一致同意，可以变更或终止本合同。</w:t>
      </w:r>
    </w:p>
    <w:p w14:paraId="126827ED">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3.因不可抗力导致合同不能履行或不能完全履行，发生不可抗力的一方应在不可抗力发生后十日内将情况通知对方，并采取措施减少或消除不可抗力对履行合同的影响。合同双方应根据不可抗力对合同影响的程度，协调确定是否终止或继续履行合同。</w:t>
      </w:r>
    </w:p>
    <w:p w14:paraId="20357B68">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4.乙方发生下列情况，甲方有权单方面终止合同：乙方破产、解散、清算、停业以及其他原因无法为甲方提供服务的；</w:t>
      </w:r>
    </w:p>
    <w:p w14:paraId="21059B7D">
      <w:pPr>
        <w:spacing w:before="31" w:beforeLines="10" w:line="400" w:lineRule="exact"/>
        <w:ind w:firstLine="480" w:firstLineChars="200"/>
        <w:rPr>
          <w:rFonts w:ascii="宋体" w:hAnsi="宋体"/>
          <w:color w:val="0070C0"/>
          <w:sz w:val="24"/>
          <w:szCs w:val="32"/>
          <w:highlight w:val="none"/>
          <w:u w:val="single"/>
        </w:rPr>
      </w:pPr>
      <w:r>
        <w:rPr>
          <w:rFonts w:hint="eastAsia" w:ascii="宋体" w:hAnsi="宋体"/>
          <w:color w:val="0070C0"/>
          <w:sz w:val="24"/>
          <w:szCs w:val="32"/>
          <w:highlight w:val="none"/>
          <w:lang w:val="en-US" w:eastAsia="zh-CN"/>
        </w:rPr>
        <w:t>5</w:t>
      </w:r>
      <w:r>
        <w:rPr>
          <w:rFonts w:hint="eastAsia" w:ascii="宋体" w:hAnsi="宋体"/>
          <w:color w:val="0070C0"/>
          <w:sz w:val="24"/>
          <w:szCs w:val="32"/>
          <w:highlight w:val="none"/>
        </w:rPr>
        <w:t>.</w:t>
      </w:r>
      <w:r>
        <w:rPr>
          <w:rFonts w:hint="eastAsia" w:ascii="宋体" w:hAnsi="宋体"/>
          <w:color w:val="0070C0"/>
          <w:sz w:val="24"/>
          <w:szCs w:val="32"/>
          <w:highlight w:val="none"/>
          <w:u w:val="single"/>
        </w:rPr>
        <w:t xml:space="preserve">                  </w:t>
      </w:r>
    </w:p>
    <w:p w14:paraId="03A44E0C">
      <w:pPr>
        <w:spacing w:before="31" w:beforeLines="10" w:line="400" w:lineRule="exact"/>
        <w:ind w:firstLine="482" w:firstLineChars="200"/>
        <w:rPr>
          <w:rFonts w:ascii="宋体" w:hAnsi="宋体"/>
          <w:b/>
          <w:bCs/>
          <w:color w:val="000000" w:themeColor="text1"/>
          <w:sz w:val="24"/>
          <w:szCs w:val="32"/>
          <w:highlight w:val="none"/>
        </w:rPr>
      </w:pPr>
      <w:r>
        <w:rPr>
          <w:rFonts w:hint="eastAsia" w:ascii="宋体" w:hAnsi="宋体"/>
          <w:b/>
          <w:bCs/>
          <w:color w:val="000000" w:themeColor="text1"/>
          <w:sz w:val="24"/>
          <w:szCs w:val="32"/>
          <w:highlight w:val="none"/>
        </w:rPr>
        <w:t>第十一条</w:t>
      </w:r>
      <w:r>
        <w:rPr>
          <w:rFonts w:hint="eastAsia" w:ascii="宋体" w:hAnsi="宋体"/>
          <w:color w:val="000000" w:themeColor="text1"/>
          <w:sz w:val="24"/>
          <w:szCs w:val="32"/>
          <w:highlight w:val="none"/>
        </w:rPr>
        <w:t xml:space="preserve">  本次采购活动中的采购文件、中标人投标文件、有关澄清文件和中标通知书，为本合同不可分割的组成部分，具有同等法律效力。</w:t>
      </w:r>
    </w:p>
    <w:p w14:paraId="4C0ACFC5">
      <w:pPr>
        <w:spacing w:before="31" w:beforeLines="10" w:line="400" w:lineRule="exact"/>
        <w:ind w:firstLine="482" w:firstLineChars="200"/>
        <w:rPr>
          <w:rFonts w:ascii="宋体" w:hAnsi="宋体"/>
          <w:color w:val="000000" w:themeColor="text1"/>
          <w:sz w:val="24"/>
          <w:szCs w:val="32"/>
          <w:highlight w:val="none"/>
        </w:rPr>
      </w:pPr>
      <w:r>
        <w:rPr>
          <w:rFonts w:hint="eastAsia" w:ascii="宋体" w:hAnsi="宋体"/>
          <w:b/>
          <w:bCs/>
          <w:color w:val="000000" w:themeColor="text1"/>
          <w:sz w:val="24"/>
          <w:szCs w:val="32"/>
          <w:highlight w:val="none"/>
        </w:rPr>
        <w:t xml:space="preserve">第十二条  </w:t>
      </w:r>
      <w:r>
        <w:rPr>
          <w:rFonts w:hint="eastAsia" w:ascii="宋体" w:hAnsi="宋体"/>
          <w:color w:val="000000" w:themeColor="text1"/>
          <w:sz w:val="24"/>
          <w:szCs w:val="32"/>
          <w:highlight w:val="none"/>
        </w:rPr>
        <w:t>本合同如有未尽事宜，甲乙双方应本着平等互利、友好协商的原则解决。如需变更或补充本合同内容，双方经协商后可签订补充合同，补充合同将作为本合同的一个组成部分。</w:t>
      </w:r>
    </w:p>
    <w:p w14:paraId="1FA67223">
      <w:pPr>
        <w:spacing w:before="31" w:beforeLines="10" w:line="400" w:lineRule="exact"/>
        <w:ind w:firstLine="482" w:firstLineChars="200"/>
        <w:rPr>
          <w:rFonts w:ascii="宋体" w:hAnsi="宋体"/>
          <w:color w:val="000000" w:themeColor="text1"/>
          <w:sz w:val="24"/>
          <w:szCs w:val="32"/>
          <w:highlight w:val="none"/>
        </w:rPr>
      </w:pPr>
      <w:r>
        <w:rPr>
          <w:rFonts w:hint="eastAsia" w:ascii="宋体" w:hAnsi="宋体"/>
          <w:b/>
          <w:bCs/>
          <w:color w:val="000000" w:themeColor="text1"/>
          <w:sz w:val="24"/>
          <w:szCs w:val="32"/>
          <w:highlight w:val="none"/>
        </w:rPr>
        <w:t>第十三条</w:t>
      </w:r>
      <w:r>
        <w:rPr>
          <w:rFonts w:hint="eastAsia" w:ascii="宋体" w:hAnsi="宋体"/>
          <w:color w:val="000000" w:themeColor="text1"/>
          <w:sz w:val="24"/>
          <w:szCs w:val="32"/>
          <w:highlight w:val="none"/>
        </w:rPr>
        <w:t xml:space="preserve">  争议的解决</w:t>
      </w:r>
    </w:p>
    <w:p w14:paraId="2D3C3021">
      <w:pPr>
        <w:spacing w:before="31" w:beforeLines="10"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本合同在履行过程中发生的争议，由双方当事人协商解决，协商不成的，任何一方可向合同履行地</w:t>
      </w:r>
      <w:r>
        <w:rPr>
          <w:rFonts w:hint="eastAsia" w:ascii="宋体" w:hAnsi="宋体"/>
          <w:color w:val="000000" w:themeColor="text1"/>
          <w:sz w:val="24"/>
          <w:szCs w:val="32"/>
          <w:highlight w:val="none"/>
          <w:u w:val="single"/>
        </w:rPr>
        <w:t>浙江省衢州市</w:t>
      </w:r>
      <w:r>
        <w:rPr>
          <w:rFonts w:hint="eastAsia" w:ascii="宋体" w:hAnsi="宋体"/>
          <w:color w:val="000000" w:themeColor="text1"/>
          <w:sz w:val="24"/>
          <w:szCs w:val="32"/>
          <w:highlight w:val="none"/>
          <w:u w:val="single"/>
          <w:lang w:val="en-US" w:eastAsia="zh-CN"/>
        </w:rPr>
        <w:t>衢江</w:t>
      </w:r>
      <w:r>
        <w:rPr>
          <w:rFonts w:hint="eastAsia" w:ascii="宋体" w:hAnsi="宋体"/>
          <w:color w:val="000000" w:themeColor="text1"/>
          <w:sz w:val="24"/>
          <w:szCs w:val="32"/>
          <w:highlight w:val="none"/>
          <w:u w:val="single"/>
        </w:rPr>
        <w:t>区人民法院</w:t>
      </w:r>
      <w:r>
        <w:rPr>
          <w:rFonts w:hint="eastAsia" w:ascii="宋体" w:hAnsi="宋体"/>
          <w:color w:val="000000" w:themeColor="text1"/>
          <w:sz w:val="24"/>
          <w:szCs w:val="32"/>
          <w:highlight w:val="none"/>
        </w:rPr>
        <w:t>提起诉讼。</w:t>
      </w:r>
    </w:p>
    <w:p w14:paraId="0178B8C2">
      <w:pPr>
        <w:spacing w:line="400" w:lineRule="exact"/>
        <w:ind w:firstLine="482" w:firstLineChars="200"/>
        <w:rPr>
          <w:rFonts w:ascii="Times New Roman" w:hAnsi="Times New Roman"/>
          <w:color w:val="000000" w:themeColor="text1"/>
          <w:sz w:val="24"/>
          <w:szCs w:val="24"/>
          <w:highlight w:val="none"/>
        </w:rPr>
      </w:pPr>
      <w:r>
        <w:rPr>
          <w:rFonts w:hint="eastAsia" w:ascii="宋体" w:hAnsi="宋体"/>
          <w:b/>
          <w:bCs/>
          <w:color w:val="000000" w:themeColor="text1"/>
          <w:sz w:val="24"/>
          <w:szCs w:val="32"/>
          <w:highlight w:val="none"/>
        </w:rPr>
        <w:t>第十四条</w:t>
      </w:r>
      <w:r>
        <w:rPr>
          <w:rFonts w:hint="eastAsia" w:ascii="宋体" w:hAnsi="宋体"/>
          <w:color w:val="000000" w:themeColor="text1"/>
          <w:sz w:val="24"/>
          <w:szCs w:val="32"/>
          <w:highlight w:val="none"/>
        </w:rPr>
        <w:t xml:space="preserve">  </w:t>
      </w:r>
      <w:r>
        <w:rPr>
          <w:rFonts w:hint="eastAsia"/>
          <w:color w:val="000000" w:themeColor="text1"/>
          <w:sz w:val="24"/>
          <w:szCs w:val="24"/>
          <w:highlight w:val="none"/>
        </w:rPr>
        <w:t>本合同组成部分及解释顺序</w:t>
      </w:r>
    </w:p>
    <w:p w14:paraId="3F121525">
      <w:pPr>
        <w:spacing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1.本合同</w:t>
      </w:r>
    </w:p>
    <w:p w14:paraId="5C0B509A">
      <w:pPr>
        <w:spacing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2.中标通知书</w:t>
      </w:r>
    </w:p>
    <w:p w14:paraId="1510359F">
      <w:pPr>
        <w:spacing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3.投标/响应文件及附件</w:t>
      </w:r>
    </w:p>
    <w:p w14:paraId="55F8D94B">
      <w:pPr>
        <w:spacing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4.采购文件、书面答疑及澄清文件等其他补充或更正文件</w:t>
      </w:r>
    </w:p>
    <w:p w14:paraId="2D9397BF">
      <w:pPr>
        <w:spacing w:line="400" w:lineRule="exact"/>
        <w:ind w:firstLine="480" w:firstLineChars="200"/>
        <w:rPr>
          <w:rFonts w:ascii="宋体" w:hAnsi="宋体"/>
          <w:color w:val="000000" w:themeColor="text1"/>
          <w:sz w:val="24"/>
          <w:szCs w:val="32"/>
          <w:highlight w:val="none"/>
        </w:rPr>
      </w:pPr>
      <w:r>
        <w:rPr>
          <w:rFonts w:hint="eastAsia" w:ascii="宋体" w:hAnsi="宋体"/>
          <w:color w:val="000000" w:themeColor="text1"/>
          <w:sz w:val="24"/>
          <w:szCs w:val="32"/>
          <w:highlight w:val="none"/>
        </w:rPr>
        <w:t>双方有关的洽商、变更等书面协议或文件为合同的组成部分。</w:t>
      </w:r>
    </w:p>
    <w:p w14:paraId="4732F734">
      <w:pPr>
        <w:spacing w:before="31" w:beforeLines="10" w:line="400" w:lineRule="exact"/>
        <w:ind w:firstLine="482" w:firstLineChars="200"/>
        <w:rPr>
          <w:rFonts w:ascii="宋体" w:hAnsi="宋体"/>
          <w:color w:val="000000" w:themeColor="text1"/>
          <w:sz w:val="24"/>
          <w:szCs w:val="32"/>
          <w:highlight w:val="none"/>
        </w:rPr>
      </w:pPr>
      <w:r>
        <w:rPr>
          <w:rFonts w:hint="eastAsia" w:ascii="宋体" w:hAnsi="宋体"/>
          <w:b/>
          <w:bCs/>
          <w:color w:val="000000" w:themeColor="text1"/>
          <w:sz w:val="24"/>
          <w:szCs w:val="32"/>
          <w:highlight w:val="none"/>
        </w:rPr>
        <w:t xml:space="preserve">第十五条  </w:t>
      </w:r>
      <w:r>
        <w:rPr>
          <w:rFonts w:hint="eastAsia" w:ascii="宋体" w:hAnsi="宋体"/>
          <w:color w:val="000000" w:themeColor="text1"/>
          <w:sz w:val="24"/>
          <w:szCs w:val="32"/>
          <w:highlight w:val="none"/>
        </w:rPr>
        <w:t>本合同正本一式</w:t>
      </w:r>
      <w:r>
        <w:rPr>
          <w:rFonts w:hint="eastAsia" w:ascii="宋体" w:hAnsi="宋体"/>
          <w:color w:val="000000" w:themeColor="text1"/>
          <w:sz w:val="24"/>
          <w:szCs w:val="32"/>
          <w:highlight w:val="none"/>
          <w:u w:val="single"/>
        </w:rPr>
        <w:t>六</w:t>
      </w:r>
      <w:r>
        <w:rPr>
          <w:rFonts w:hint="eastAsia" w:ascii="宋体" w:hAnsi="宋体"/>
          <w:color w:val="000000" w:themeColor="text1"/>
          <w:sz w:val="24"/>
          <w:szCs w:val="32"/>
          <w:highlight w:val="none"/>
        </w:rPr>
        <w:t>份，具有同等法律效力，甲方执</w:t>
      </w:r>
      <w:r>
        <w:rPr>
          <w:rFonts w:hint="eastAsia" w:ascii="宋体" w:hAnsi="宋体"/>
          <w:color w:val="000000" w:themeColor="text1"/>
          <w:sz w:val="24"/>
          <w:szCs w:val="32"/>
          <w:highlight w:val="none"/>
          <w:u w:val="single"/>
        </w:rPr>
        <w:t>四</w:t>
      </w:r>
      <w:r>
        <w:rPr>
          <w:rFonts w:hint="eastAsia" w:ascii="宋体" w:hAnsi="宋体"/>
          <w:color w:val="000000" w:themeColor="text1"/>
          <w:sz w:val="24"/>
          <w:szCs w:val="32"/>
          <w:highlight w:val="none"/>
        </w:rPr>
        <w:t>份，乙方执</w:t>
      </w:r>
      <w:r>
        <w:rPr>
          <w:rFonts w:hint="eastAsia" w:ascii="宋体" w:hAnsi="宋体"/>
          <w:color w:val="000000" w:themeColor="text1"/>
          <w:sz w:val="24"/>
          <w:szCs w:val="32"/>
          <w:highlight w:val="none"/>
          <w:u w:val="single"/>
        </w:rPr>
        <w:t>二</w:t>
      </w:r>
      <w:r>
        <w:rPr>
          <w:rFonts w:hint="eastAsia" w:ascii="宋体" w:hAnsi="宋体"/>
          <w:color w:val="000000" w:themeColor="text1"/>
          <w:sz w:val="24"/>
          <w:szCs w:val="32"/>
          <w:highlight w:val="none"/>
        </w:rPr>
        <w:t>份，经双方签字并盖章后，自合同约定的服务起始之日起生效。</w:t>
      </w:r>
    </w:p>
    <w:p w14:paraId="6D75F387">
      <w:pPr>
        <w:spacing w:before="31" w:beforeLines="10" w:line="400" w:lineRule="exact"/>
        <w:rPr>
          <w:rFonts w:ascii="宋体" w:hAnsi="宋体"/>
          <w:color w:val="000000" w:themeColor="text1"/>
          <w:sz w:val="24"/>
          <w:szCs w:val="32"/>
          <w:highlight w:val="none"/>
        </w:rPr>
      </w:pPr>
    </w:p>
    <w:p w14:paraId="147F3A82">
      <w:pPr>
        <w:spacing w:line="400" w:lineRule="exact"/>
        <w:rPr>
          <w:rFonts w:ascii="宋体" w:hAnsi="宋体"/>
          <w:color w:val="000000" w:themeColor="text1"/>
          <w:sz w:val="24"/>
          <w:szCs w:val="32"/>
          <w:highlight w:val="none"/>
        </w:rPr>
      </w:pPr>
    </w:p>
    <w:p w14:paraId="323B6EF4">
      <w:pPr>
        <w:spacing w:line="400" w:lineRule="exact"/>
        <w:rPr>
          <w:rFonts w:ascii="宋体" w:hAnsi="宋体"/>
          <w:color w:val="000000" w:themeColor="text1"/>
          <w:sz w:val="24"/>
          <w:szCs w:val="32"/>
          <w:highlight w:val="none"/>
        </w:rPr>
      </w:pPr>
    </w:p>
    <w:p w14:paraId="4E6D3767">
      <w:pPr>
        <w:spacing w:line="400" w:lineRule="exact"/>
        <w:rPr>
          <w:rFonts w:ascii="宋体" w:hAnsi="宋体"/>
          <w:color w:val="000000" w:themeColor="text1"/>
          <w:sz w:val="24"/>
          <w:szCs w:val="32"/>
          <w:highlight w:val="none"/>
        </w:rPr>
      </w:pPr>
      <w:r>
        <w:rPr>
          <w:rFonts w:hint="eastAsia" w:ascii="宋体" w:hAnsi="宋体"/>
          <w:color w:val="000000" w:themeColor="text1"/>
          <w:sz w:val="24"/>
          <w:szCs w:val="32"/>
          <w:highlight w:val="none"/>
        </w:rPr>
        <w:t>甲方（盖章）：</w:t>
      </w:r>
      <w:r>
        <w:rPr>
          <w:rFonts w:hint="eastAsia" w:ascii="宋体" w:hAnsi="宋体"/>
          <w:color w:val="000000" w:themeColor="text1"/>
          <w:sz w:val="24"/>
          <w:szCs w:val="32"/>
          <w:highlight w:val="none"/>
          <w:lang w:eastAsia="zh-CN"/>
        </w:rPr>
        <w:t>衢江区卫生健康局</w:t>
      </w:r>
      <w:r>
        <w:rPr>
          <w:rFonts w:hint="eastAsia" w:ascii="宋体" w:hAnsi="宋体"/>
          <w:color w:val="000000" w:themeColor="text1"/>
          <w:sz w:val="24"/>
          <w:szCs w:val="32"/>
          <w:highlight w:val="none"/>
        </w:rPr>
        <w:t xml:space="preserve">                 乙方（盖章）：</w:t>
      </w:r>
    </w:p>
    <w:p w14:paraId="6EFB839E">
      <w:pPr>
        <w:spacing w:line="400" w:lineRule="exact"/>
        <w:rPr>
          <w:rFonts w:ascii="宋体" w:hAnsi="宋体"/>
          <w:color w:val="000000" w:themeColor="text1"/>
          <w:sz w:val="24"/>
          <w:szCs w:val="32"/>
          <w:highlight w:val="none"/>
        </w:rPr>
      </w:pPr>
      <w:r>
        <w:rPr>
          <w:rFonts w:hint="eastAsia" w:ascii="宋体" w:hAnsi="宋体"/>
          <w:color w:val="000000" w:themeColor="text1"/>
          <w:sz w:val="24"/>
          <w:szCs w:val="32"/>
          <w:highlight w:val="none"/>
        </w:rPr>
        <w:t>法定（授权）代表人（签字）：                 法定（授权）代表人（签字）：</w:t>
      </w:r>
    </w:p>
    <w:p w14:paraId="008C40F5">
      <w:pPr>
        <w:spacing w:line="400" w:lineRule="exact"/>
        <w:rPr>
          <w:rFonts w:ascii="宋体" w:hAnsi="宋体"/>
          <w:color w:val="000000" w:themeColor="text1"/>
          <w:sz w:val="24"/>
          <w:szCs w:val="32"/>
          <w:highlight w:val="none"/>
        </w:rPr>
      </w:pPr>
      <w:r>
        <w:rPr>
          <w:rFonts w:hint="eastAsia" w:ascii="宋体" w:hAnsi="宋体"/>
          <w:color w:val="000000" w:themeColor="text1"/>
          <w:sz w:val="24"/>
          <w:szCs w:val="32"/>
          <w:highlight w:val="none"/>
        </w:rPr>
        <w:t>电话：</w:t>
      </w:r>
      <w:r>
        <w:rPr>
          <w:rFonts w:ascii="宋体" w:hAnsi="宋体"/>
          <w:color w:val="000000" w:themeColor="text1"/>
          <w:sz w:val="24"/>
          <w:szCs w:val="32"/>
          <w:highlight w:val="none"/>
        </w:rPr>
        <w:t>/</w:t>
      </w:r>
      <w:r>
        <w:rPr>
          <w:rFonts w:hint="eastAsia" w:ascii="宋体" w:hAnsi="宋体"/>
          <w:color w:val="000000" w:themeColor="text1"/>
          <w:sz w:val="24"/>
          <w:szCs w:val="32"/>
          <w:highlight w:val="none"/>
        </w:rPr>
        <w:t xml:space="preserve">                                     电话：</w:t>
      </w:r>
    </w:p>
    <w:p w14:paraId="33EB702A">
      <w:pPr>
        <w:spacing w:line="400" w:lineRule="exact"/>
        <w:rPr>
          <w:rFonts w:ascii="宋体" w:hAnsi="宋体"/>
          <w:color w:val="000000" w:themeColor="text1"/>
          <w:sz w:val="24"/>
          <w:szCs w:val="32"/>
          <w:highlight w:val="none"/>
        </w:rPr>
      </w:pPr>
      <w:r>
        <w:rPr>
          <w:rFonts w:hint="eastAsia" w:ascii="宋体" w:hAnsi="宋体"/>
          <w:color w:val="000000" w:themeColor="text1"/>
          <w:sz w:val="24"/>
          <w:szCs w:val="32"/>
          <w:highlight w:val="none"/>
        </w:rPr>
        <w:t>传真：</w:t>
      </w:r>
      <w:r>
        <w:rPr>
          <w:rFonts w:ascii="宋体" w:hAnsi="宋体"/>
          <w:color w:val="000000" w:themeColor="text1"/>
          <w:sz w:val="24"/>
          <w:szCs w:val="32"/>
          <w:highlight w:val="none"/>
        </w:rPr>
        <w:t>/</w:t>
      </w:r>
      <w:r>
        <w:rPr>
          <w:rFonts w:hint="eastAsia" w:ascii="宋体" w:hAnsi="宋体"/>
          <w:color w:val="000000" w:themeColor="text1"/>
          <w:sz w:val="24"/>
          <w:szCs w:val="32"/>
          <w:highlight w:val="none"/>
        </w:rPr>
        <w:t xml:space="preserve">                                     传真：</w:t>
      </w:r>
    </w:p>
    <w:p w14:paraId="46330BEA">
      <w:pPr>
        <w:spacing w:line="400" w:lineRule="exact"/>
        <w:rPr>
          <w:rFonts w:ascii="宋体" w:hAnsi="宋体"/>
          <w:color w:val="000000" w:themeColor="text1"/>
          <w:sz w:val="24"/>
          <w:szCs w:val="32"/>
          <w:highlight w:val="none"/>
        </w:rPr>
      </w:pPr>
      <w:r>
        <w:rPr>
          <w:rFonts w:hint="eastAsia" w:ascii="宋体" w:hAnsi="宋体"/>
          <w:color w:val="000000" w:themeColor="text1"/>
          <w:sz w:val="24"/>
          <w:szCs w:val="32"/>
          <w:highlight w:val="none"/>
        </w:rPr>
        <w:t>邮政编码：</w:t>
      </w:r>
      <w:r>
        <w:rPr>
          <w:rFonts w:hint="eastAsia" w:ascii="宋体" w:hAnsi="宋体"/>
          <w:color w:val="000000" w:themeColor="text1"/>
          <w:sz w:val="24"/>
          <w:szCs w:val="32"/>
          <w:highlight w:val="none"/>
          <w:lang w:val="en-US" w:eastAsia="zh-CN"/>
        </w:rPr>
        <w:t xml:space="preserve">      </w:t>
      </w:r>
      <w:r>
        <w:rPr>
          <w:rFonts w:hint="eastAsia" w:ascii="宋体" w:hAnsi="宋体"/>
          <w:color w:val="000000" w:themeColor="text1"/>
          <w:sz w:val="24"/>
          <w:szCs w:val="32"/>
          <w:highlight w:val="none"/>
        </w:rPr>
        <w:t xml:space="preserve">                            邮政编码：</w:t>
      </w:r>
    </w:p>
    <w:p w14:paraId="0E25FBDE">
      <w:pPr>
        <w:spacing w:line="400" w:lineRule="exact"/>
        <w:rPr>
          <w:rFonts w:ascii="宋体" w:hAnsi="宋体"/>
          <w:color w:val="000000" w:themeColor="text1"/>
          <w:sz w:val="24"/>
          <w:szCs w:val="32"/>
          <w:highlight w:val="none"/>
        </w:rPr>
      </w:pPr>
      <w:r>
        <w:rPr>
          <w:rFonts w:hint="eastAsia" w:ascii="宋体" w:hAnsi="宋体"/>
          <w:color w:val="000000" w:themeColor="text1"/>
          <w:sz w:val="24"/>
          <w:szCs w:val="32"/>
          <w:highlight w:val="none"/>
        </w:rPr>
        <w:t>地址：</w:t>
      </w:r>
      <w:r>
        <w:rPr>
          <w:rFonts w:hint="eastAsia" w:ascii="宋体" w:hAnsi="宋体"/>
          <w:color w:val="000000" w:themeColor="text1"/>
          <w:sz w:val="24"/>
          <w:szCs w:val="32"/>
          <w:highlight w:val="none"/>
          <w:lang w:val="en-US" w:eastAsia="zh-CN"/>
        </w:rPr>
        <w:t xml:space="preserve">                          </w:t>
      </w:r>
      <w:r>
        <w:rPr>
          <w:rFonts w:hint="eastAsia" w:ascii="宋体" w:hAnsi="宋体"/>
          <w:color w:val="000000" w:themeColor="text1"/>
          <w:sz w:val="24"/>
          <w:szCs w:val="32"/>
          <w:highlight w:val="none"/>
        </w:rPr>
        <w:t xml:space="preserve">            地址：</w:t>
      </w:r>
    </w:p>
    <w:p w14:paraId="05355F44">
      <w:pPr>
        <w:spacing w:line="400" w:lineRule="exact"/>
        <w:rPr>
          <w:rFonts w:ascii="宋体" w:hAnsi="宋体"/>
          <w:color w:val="000000" w:themeColor="text1"/>
          <w:sz w:val="24"/>
          <w:szCs w:val="32"/>
          <w:highlight w:val="none"/>
        </w:rPr>
      </w:pPr>
      <w:r>
        <w:rPr>
          <w:rFonts w:hint="eastAsia" w:ascii="宋体" w:hAnsi="宋体"/>
          <w:color w:val="000000" w:themeColor="text1"/>
          <w:sz w:val="24"/>
          <w:szCs w:val="32"/>
          <w:highlight w:val="none"/>
        </w:rPr>
        <w:t>开户银行：</w:t>
      </w:r>
      <w:r>
        <w:rPr>
          <w:rFonts w:hint="eastAsia" w:ascii="宋体" w:hAnsi="宋体"/>
          <w:color w:val="000000" w:themeColor="text1"/>
          <w:sz w:val="24"/>
          <w:szCs w:val="32"/>
          <w:highlight w:val="none"/>
          <w:lang w:val="en-US" w:eastAsia="zh-CN"/>
        </w:rPr>
        <w:t xml:space="preserve">                       </w:t>
      </w:r>
      <w:r>
        <w:rPr>
          <w:rFonts w:hint="eastAsia" w:ascii="宋体" w:hAnsi="宋体"/>
          <w:color w:val="000000" w:themeColor="text1"/>
          <w:sz w:val="24"/>
          <w:szCs w:val="32"/>
          <w:highlight w:val="none"/>
        </w:rPr>
        <w:t xml:space="preserve">         </w:t>
      </w:r>
      <w:r>
        <w:rPr>
          <w:rFonts w:hint="eastAsia" w:ascii="宋体" w:hAnsi="宋体"/>
          <w:color w:val="000000" w:themeColor="text1"/>
          <w:sz w:val="24"/>
          <w:szCs w:val="32"/>
          <w:highlight w:val="none"/>
          <w:lang w:val="en-US" w:eastAsia="zh-CN"/>
        </w:rPr>
        <w:t xml:space="preserve"> </w:t>
      </w:r>
      <w:r>
        <w:rPr>
          <w:rFonts w:hint="eastAsia" w:ascii="宋体" w:hAnsi="宋体"/>
          <w:color w:val="000000" w:themeColor="text1"/>
          <w:sz w:val="24"/>
          <w:szCs w:val="32"/>
          <w:highlight w:val="none"/>
        </w:rPr>
        <w:t xml:space="preserve"> 开户银行：</w:t>
      </w:r>
    </w:p>
    <w:p w14:paraId="27AF767D">
      <w:pPr>
        <w:spacing w:line="400" w:lineRule="exact"/>
        <w:rPr>
          <w:rFonts w:ascii="宋体" w:hAnsi="宋体"/>
          <w:color w:val="000000" w:themeColor="text1"/>
          <w:sz w:val="24"/>
          <w:szCs w:val="32"/>
          <w:highlight w:val="none"/>
        </w:rPr>
      </w:pPr>
      <w:r>
        <w:rPr>
          <w:rFonts w:hint="eastAsia" w:ascii="宋体" w:hAnsi="宋体"/>
          <w:color w:val="000000" w:themeColor="text1"/>
          <w:sz w:val="24"/>
          <w:szCs w:val="32"/>
          <w:highlight w:val="none"/>
        </w:rPr>
        <w:t>账号：</w:t>
      </w:r>
      <w:r>
        <w:rPr>
          <w:rFonts w:hint="eastAsia" w:ascii="宋体" w:hAnsi="宋体"/>
          <w:color w:val="000000" w:themeColor="text1"/>
          <w:sz w:val="24"/>
          <w:szCs w:val="32"/>
          <w:highlight w:val="none"/>
          <w:lang w:val="en-US" w:eastAsia="zh-CN"/>
        </w:rPr>
        <w:t xml:space="preserve">                   </w:t>
      </w:r>
      <w:r>
        <w:rPr>
          <w:rFonts w:hint="eastAsia" w:ascii="宋体" w:hAnsi="宋体"/>
          <w:color w:val="000000" w:themeColor="text1"/>
          <w:sz w:val="24"/>
          <w:szCs w:val="32"/>
          <w:highlight w:val="none"/>
        </w:rPr>
        <w:t xml:space="preserve">                   账号：</w:t>
      </w:r>
    </w:p>
    <w:p w14:paraId="500C6135">
      <w:pPr>
        <w:spacing w:line="400" w:lineRule="exact"/>
        <w:rPr>
          <w:color w:val="000000" w:themeColor="text1"/>
          <w:sz w:val="24"/>
          <w:szCs w:val="32"/>
          <w:highlight w:val="none"/>
        </w:rPr>
      </w:pPr>
    </w:p>
    <w:p w14:paraId="58DE9CB8">
      <w:pPr>
        <w:spacing w:line="400" w:lineRule="exact"/>
        <w:rPr>
          <w:rFonts w:asciiTheme="minorEastAsia" w:hAnsiTheme="minorEastAsia"/>
          <w:color w:val="FF0000"/>
          <w:sz w:val="24"/>
          <w:szCs w:val="32"/>
          <w:highlight w:val="none"/>
        </w:rPr>
      </w:pPr>
      <w:r>
        <w:rPr>
          <w:rFonts w:hint="eastAsia" w:asciiTheme="minorEastAsia" w:hAnsiTheme="minorEastAsia"/>
          <w:color w:val="FF0000"/>
          <w:sz w:val="24"/>
          <w:szCs w:val="32"/>
          <w:highlight w:val="none"/>
        </w:rPr>
        <w:t xml:space="preserve">                                               </w:t>
      </w:r>
      <w:r>
        <w:rPr>
          <w:rFonts w:hint="eastAsia" w:asciiTheme="minorEastAsia" w:hAnsiTheme="minorEastAsia"/>
          <w:color w:val="000000" w:themeColor="text1"/>
          <w:sz w:val="24"/>
          <w:szCs w:val="32"/>
          <w:highlight w:val="none"/>
        </w:rPr>
        <w:t>签订日期：</w:t>
      </w:r>
      <w:r>
        <w:rPr>
          <w:rFonts w:hint="eastAsia" w:asciiTheme="minorEastAsia" w:hAnsiTheme="minorEastAsia"/>
          <w:color w:val="FF0000"/>
          <w:kern w:val="0"/>
          <w:sz w:val="24"/>
          <w:szCs w:val="32"/>
          <w:highlight w:val="none"/>
        </w:rPr>
        <w:t>202</w:t>
      </w:r>
      <w:r>
        <w:rPr>
          <w:rFonts w:hint="eastAsia" w:asciiTheme="minorEastAsia" w:hAnsiTheme="minorEastAsia"/>
          <w:color w:val="FF0000"/>
          <w:kern w:val="0"/>
          <w:sz w:val="24"/>
          <w:szCs w:val="32"/>
          <w:highlight w:val="none"/>
          <w:lang w:val="en-US" w:eastAsia="zh-CN"/>
        </w:rPr>
        <w:t>5</w:t>
      </w:r>
      <w:r>
        <w:rPr>
          <w:rFonts w:hint="eastAsia" w:asciiTheme="minorEastAsia" w:hAnsiTheme="minorEastAsia"/>
          <w:color w:val="FF0000"/>
          <w:sz w:val="24"/>
          <w:szCs w:val="32"/>
          <w:highlight w:val="none"/>
        </w:rPr>
        <w:t>年    月    日</w:t>
      </w:r>
    </w:p>
    <w:p w14:paraId="0D71F27D">
      <w:pPr>
        <w:spacing w:line="400" w:lineRule="exact"/>
        <w:rPr>
          <w:color w:val="000000" w:themeColor="text1"/>
          <w:highlight w:val="none"/>
        </w:rPr>
      </w:pPr>
    </w:p>
    <w:p w14:paraId="0D30D13A">
      <w:pPr>
        <w:spacing w:line="400" w:lineRule="exact"/>
        <w:rPr>
          <w:color w:val="000000" w:themeColor="text1"/>
          <w:sz w:val="24"/>
          <w:szCs w:val="24"/>
          <w:highlight w:val="none"/>
        </w:rPr>
      </w:pPr>
    </w:p>
    <w:p w14:paraId="5CE9E3EF">
      <w:pPr>
        <w:pStyle w:val="21"/>
        <w:rPr>
          <w:rFonts w:hint="eastAsia"/>
          <w:highlight w:val="none"/>
        </w:rPr>
      </w:pPr>
    </w:p>
    <w:p w14:paraId="502816C6">
      <w:pPr>
        <w:numPr>
          <w:ilvl w:val="0"/>
          <w:numId w:val="0"/>
        </w:numPr>
        <w:tabs>
          <w:tab w:val="left" w:pos="1154"/>
        </w:tabs>
        <w:spacing w:line="360" w:lineRule="auto"/>
        <w:jc w:val="center"/>
        <w:rPr>
          <w:rFonts w:hint="eastAsia" w:ascii="宋体" w:hAnsi="宋体" w:eastAsia="宋体" w:cs="宋体"/>
          <w:b/>
          <w:sz w:val="32"/>
          <w:szCs w:val="28"/>
          <w:highlight w:val="none"/>
        </w:rPr>
      </w:pPr>
    </w:p>
    <w:p w14:paraId="3E057399">
      <w:pPr>
        <w:spacing w:line="400" w:lineRule="exact"/>
        <w:rPr>
          <w:rFonts w:hint="default" w:ascii="宋体" w:hAnsi="宋体"/>
          <w:color w:val="000000" w:themeColor="text1"/>
          <w:sz w:val="24"/>
          <w:szCs w:val="32"/>
          <w:highlight w:val="none"/>
          <w:lang w:val="en-US" w:eastAsia="zh-CN"/>
        </w:rPr>
      </w:pPr>
      <w:r>
        <w:rPr>
          <w:rFonts w:hint="eastAsia" w:ascii="宋体" w:hAnsi="宋体"/>
          <w:color w:val="000000" w:themeColor="text1"/>
          <w:sz w:val="24"/>
          <w:szCs w:val="32"/>
          <w:highlight w:val="none"/>
          <w:lang w:val="en-US" w:eastAsia="zh-CN"/>
        </w:rPr>
        <w:t>注：</w:t>
      </w:r>
      <w:r>
        <w:rPr>
          <w:rFonts w:hint="eastAsia" w:ascii="宋体" w:hAnsi="宋体"/>
          <w:color w:val="000000" w:themeColor="text1"/>
          <w:sz w:val="24"/>
          <w:szCs w:val="32"/>
          <w:highlight w:val="none"/>
          <w:lang w:eastAsia="zh-CN"/>
        </w:rPr>
        <w:t>每年的单独签订合同</w:t>
      </w:r>
      <w:r>
        <w:rPr>
          <w:rFonts w:hint="eastAsia" w:ascii="宋体" w:hAnsi="宋体"/>
          <w:color w:val="000000" w:themeColor="text1"/>
          <w:sz w:val="24"/>
          <w:szCs w:val="32"/>
          <w:highlight w:val="none"/>
          <w:lang w:val="en-US" w:eastAsia="zh-CN"/>
        </w:rPr>
        <w:t>参考本合同条款；</w:t>
      </w:r>
    </w:p>
    <w:p w14:paraId="1C8ECD6D">
      <w:pPr>
        <w:numPr>
          <w:ilvl w:val="0"/>
          <w:numId w:val="0"/>
        </w:numPr>
        <w:tabs>
          <w:tab w:val="left" w:pos="1154"/>
        </w:tabs>
        <w:spacing w:line="360" w:lineRule="auto"/>
        <w:jc w:val="center"/>
        <w:rPr>
          <w:rFonts w:hint="eastAsia" w:ascii="宋体" w:hAnsi="宋体" w:eastAsia="宋体" w:cs="宋体"/>
          <w:b/>
          <w:sz w:val="32"/>
          <w:szCs w:val="28"/>
          <w:highlight w:val="none"/>
        </w:rPr>
      </w:pPr>
    </w:p>
    <w:p w14:paraId="7D1C8969">
      <w:pPr>
        <w:numPr>
          <w:ilvl w:val="0"/>
          <w:numId w:val="0"/>
        </w:numPr>
        <w:tabs>
          <w:tab w:val="left" w:pos="1154"/>
        </w:tabs>
        <w:spacing w:line="360" w:lineRule="auto"/>
        <w:jc w:val="center"/>
        <w:rPr>
          <w:rFonts w:hint="eastAsia" w:ascii="宋体" w:hAnsi="宋体" w:eastAsia="宋体" w:cs="宋体"/>
          <w:b/>
          <w:sz w:val="32"/>
          <w:szCs w:val="28"/>
          <w:highlight w:val="none"/>
        </w:rPr>
      </w:pPr>
    </w:p>
    <w:p w14:paraId="13C848C6">
      <w:pPr>
        <w:numPr>
          <w:ilvl w:val="0"/>
          <w:numId w:val="0"/>
        </w:numPr>
        <w:tabs>
          <w:tab w:val="left" w:pos="1154"/>
        </w:tabs>
        <w:spacing w:line="360" w:lineRule="auto"/>
        <w:jc w:val="center"/>
        <w:rPr>
          <w:rFonts w:hint="eastAsia" w:ascii="宋体" w:hAnsi="宋体" w:eastAsia="宋体" w:cs="宋体"/>
          <w:b/>
          <w:sz w:val="32"/>
          <w:szCs w:val="28"/>
          <w:highlight w:val="none"/>
        </w:rPr>
      </w:pPr>
    </w:p>
    <w:p w14:paraId="440629B1">
      <w:pPr>
        <w:numPr>
          <w:ilvl w:val="0"/>
          <w:numId w:val="0"/>
        </w:numPr>
        <w:tabs>
          <w:tab w:val="left" w:pos="1154"/>
        </w:tabs>
        <w:spacing w:line="360" w:lineRule="auto"/>
        <w:jc w:val="center"/>
        <w:rPr>
          <w:rFonts w:hint="eastAsia" w:ascii="宋体" w:hAnsi="宋体" w:eastAsia="宋体" w:cs="宋体"/>
          <w:b/>
          <w:sz w:val="32"/>
          <w:szCs w:val="28"/>
          <w:highlight w:val="none"/>
        </w:rPr>
      </w:pPr>
    </w:p>
    <w:p w14:paraId="361398A9">
      <w:pPr>
        <w:numPr>
          <w:ilvl w:val="0"/>
          <w:numId w:val="0"/>
        </w:numPr>
        <w:tabs>
          <w:tab w:val="left" w:pos="1154"/>
        </w:tabs>
        <w:spacing w:line="360" w:lineRule="auto"/>
        <w:jc w:val="both"/>
        <w:rPr>
          <w:rFonts w:hint="eastAsia" w:ascii="宋体" w:hAnsi="宋体" w:eastAsia="宋体" w:cs="宋体"/>
          <w:b/>
          <w:sz w:val="32"/>
          <w:szCs w:val="28"/>
          <w:highlight w:val="none"/>
        </w:rPr>
      </w:pPr>
    </w:p>
    <w:p w14:paraId="7958DF30">
      <w:pPr>
        <w:rPr>
          <w:rFonts w:hint="eastAsia" w:ascii="宋体" w:hAnsi="宋体" w:eastAsia="宋体" w:cs="宋体"/>
          <w:b/>
          <w:sz w:val="32"/>
          <w:szCs w:val="28"/>
          <w:highlight w:val="none"/>
        </w:rPr>
      </w:pPr>
      <w:r>
        <w:rPr>
          <w:rFonts w:hint="eastAsia" w:ascii="宋体" w:hAnsi="宋体" w:eastAsia="宋体" w:cs="宋体"/>
          <w:b/>
          <w:sz w:val="32"/>
          <w:szCs w:val="28"/>
          <w:highlight w:val="none"/>
        </w:rPr>
        <w:br w:type="page"/>
      </w:r>
    </w:p>
    <w:p w14:paraId="06277956">
      <w:pPr>
        <w:numPr>
          <w:ilvl w:val="0"/>
          <w:numId w:val="0"/>
        </w:numPr>
        <w:tabs>
          <w:tab w:val="left" w:pos="1154"/>
        </w:tabs>
        <w:spacing w:line="360" w:lineRule="auto"/>
        <w:jc w:val="center"/>
        <w:rPr>
          <w:rFonts w:hint="eastAsia" w:ascii="宋体" w:hAnsi="宋体" w:eastAsia="宋体" w:cs="宋体"/>
          <w:b/>
          <w:sz w:val="32"/>
          <w:szCs w:val="28"/>
          <w:highlight w:val="none"/>
        </w:rPr>
      </w:pPr>
      <w:r>
        <w:rPr>
          <w:rFonts w:hint="eastAsia" w:ascii="宋体" w:hAnsi="宋体" w:eastAsia="宋体" w:cs="宋体"/>
          <w:b/>
          <w:sz w:val="32"/>
          <w:szCs w:val="28"/>
          <w:highlight w:val="none"/>
        </w:rPr>
        <w:t>第六章　投标文件格式</w:t>
      </w:r>
    </w:p>
    <w:p w14:paraId="75D8301A">
      <w:pPr>
        <w:spacing w:line="400" w:lineRule="exact"/>
        <w:rPr>
          <w:rFonts w:ascii="宋体" w:hAnsi="宋体" w:cs="宋体"/>
          <w:color w:val="000000"/>
          <w:sz w:val="24"/>
          <w:highlight w:val="none"/>
        </w:rPr>
      </w:pPr>
      <w:r>
        <w:rPr>
          <w:rFonts w:hint="eastAsia" w:ascii="宋体" w:hAnsi="宋体" w:cs="宋体"/>
          <w:b/>
          <w:bCs/>
          <w:color w:val="000000"/>
          <w:sz w:val="24"/>
          <w:highlight w:val="none"/>
        </w:rPr>
        <w:t>附件1：</w:t>
      </w:r>
      <w:r>
        <w:rPr>
          <w:rFonts w:hint="eastAsia" w:ascii="宋体" w:hAnsi="宋体" w:cs="宋体"/>
          <w:color w:val="000000"/>
          <w:sz w:val="24"/>
          <w:highlight w:val="none"/>
        </w:rPr>
        <w:t>正本或副本封面式样</w:t>
      </w:r>
    </w:p>
    <w:p w14:paraId="07EDE7EE">
      <w:pPr>
        <w:ind w:left="101" w:leftChars="48" w:firstLine="6583" w:firstLineChars="2342"/>
        <w:rPr>
          <w:b/>
          <w:bCs/>
          <w:color w:val="000000"/>
          <w:sz w:val="28"/>
          <w:szCs w:val="28"/>
          <w:highlight w:val="none"/>
        </w:rPr>
      </w:pPr>
      <w:r>
        <w:rPr>
          <w:b/>
          <w:bCs/>
          <w:color w:val="000000"/>
          <w:sz w:val="28"/>
          <w:szCs w:val="28"/>
          <w:highlight w:val="none"/>
        </w:rPr>
        <w:t>正本（或副本）</w:t>
      </w:r>
    </w:p>
    <w:p w14:paraId="55E430F5">
      <w:pPr>
        <w:ind w:left="-18" w:leftChars="-85" w:hanging="160" w:hangingChars="57"/>
        <w:rPr>
          <w:b/>
          <w:bCs/>
          <w:color w:val="000000"/>
          <w:sz w:val="28"/>
          <w:szCs w:val="28"/>
          <w:highlight w:val="none"/>
        </w:rPr>
      </w:pPr>
    </w:p>
    <w:p w14:paraId="3127CA39">
      <w:pPr>
        <w:ind w:left="-18" w:leftChars="-85" w:hanging="160" w:hangingChars="57"/>
        <w:rPr>
          <w:b/>
          <w:bCs/>
          <w:color w:val="000000"/>
          <w:sz w:val="28"/>
          <w:szCs w:val="28"/>
          <w:highlight w:val="none"/>
        </w:rPr>
      </w:pPr>
    </w:p>
    <w:p w14:paraId="07750C8C">
      <w:pPr>
        <w:pStyle w:val="13"/>
        <w:snapToGrid w:val="0"/>
        <w:spacing w:before="120" w:after="120" w:line="700" w:lineRule="exact"/>
        <w:jc w:val="center"/>
        <w:rPr>
          <w:rFonts w:hint="eastAsia" w:ascii="Times New Roman" w:hAnsi="Times New Roman" w:eastAsia="宋体"/>
          <w:b/>
          <w:bCs/>
          <w:color w:val="000000"/>
          <w:sz w:val="52"/>
          <w:szCs w:val="52"/>
          <w:highlight w:val="none"/>
          <w:lang w:eastAsia="zh-CN"/>
        </w:rPr>
      </w:pPr>
      <w:r>
        <w:rPr>
          <w:rFonts w:hint="eastAsia" w:ascii="Times New Roman" w:hAnsi="Times New Roman"/>
          <w:b/>
          <w:bCs/>
          <w:color w:val="000000"/>
          <w:sz w:val="52"/>
          <w:szCs w:val="52"/>
          <w:highlight w:val="none"/>
          <w:lang w:eastAsia="zh-CN"/>
        </w:rPr>
        <w:t>衢江区卫生健康局</w:t>
      </w:r>
    </w:p>
    <w:p w14:paraId="2D0B132F">
      <w:pPr>
        <w:pStyle w:val="13"/>
        <w:snapToGrid w:val="0"/>
        <w:spacing w:before="120" w:after="120" w:line="700" w:lineRule="exact"/>
        <w:jc w:val="center"/>
        <w:rPr>
          <w:rFonts w:ascii="Times New Roman" w:hAnsi="Times New Roman"/>
          <w:b/>
          <w:bCs/>
          <w:color w:val="000000"/>
          <w:sz w:val="52"/>
          <w:szCs w:val="52"/>
          <w:highlight w:val="none"/>
        </w:rPr>
      </w:pPr>
      <w:r>
        <w:rPr>
          <w:rFonts w:hint="eastAsia" w:ascii="Times New Roman" w:hAnsi="Times New Roman"/>
          <w:b/>
          <w:bCs/>
          <w:color w:val="000000"/>
          <w:sz w:val="52"/>
          <w:szCs w:val="52"/>
          <w:highlight w:val="none"/>
          <w:lang w:eastAsia="zh-CN"/>
        </w:rPr>
        <w:t>2025年-2027年衢江区计生特殊家庭健康保险采购</w:t>
      </w:r>
      <w:r>
        <w:rPr>
          <w:rFonts w:hint="eastAsia" w:ascii="Times New Roman" w:hAnsi="Times New Roman"/>
          <w:b/>
          <w:bCs/>
          <w:color w:val="000000"/>
          <w:sz w:val="52"/>
          <w:szCs w:val="52"/>
          <w:highlight w:val="none"/>
        </w:rPr>
        <w:t>项目</w:t>
      </w:r>
    </w:p>
    <w:p w14:paraId="3FD9409D">
      <w:pPr>
        <w:ind w:left="5" w:leftChars="-85" w:hanging="183" w:hangingChars="57"/>
        <w:jc w:val="center"/>
        <w:rPr>
          <w:b/>
          <w:bCs/>
          <w:color w:val="000000"/>
          <w:sz w:val="32"/>
          <w:highlight w:val="none"/>
        </w:rPr>
      </w:pPr>
      <w:r>
        <w:rPr>
          <w:b/>
          <w:bCs/>
          <w:color w:val="000000"/>
          <w:sz w:val="32"/>
          <w:highlight w:val="none"/>
        </w:rPr>
        <w:t>（项目编号：      ）</w:t>
      </w:r>
    </w:p>
    <w:p w14:paraId="3411B96E">
      <w:pPr>
        <w:ind w:left="5" w:leftChars="-85" w:hanging="183" w:hangingChars="57"/>
        <w:jc w:val="center"/>
        <w:rPr>
          <w:b/>
          <w:bCs/>
          <w:color w:val="000000"/>
          <w:sz w:val="32"/>
          <w:highlight w:val="none"/>
        </w:rPr>
      </w:pPr>
    </w:p>
    <w:p w14:paraId="6A530A11">
      <w:pPr>
        <w:ind w:left="5" w:leftChars="-85" w:hanging="183" w:hangingChars="57"/>
        <w:jc w:val="center"/>
        <w:rPr>
          <w:b/>
          <w:bCs/>
          <w:color w:val="000000"/>
          <w:sz w:val="32"/>
          <w:highlight w:val="none"/>
        </w:rPr>
      </w:pPr>
    </w:p>
    <w:p w14:paraId="1F19C88E">
      <w:pPr>
        <w:ind w:left="5" w:leftChars="-85" w:hanging="183" w:hangingChars="57"/>
        <w:jc w:val="center"/>
        <w:rPr>
          <w:b/>
          <w:bCs/>
          <w:color w:val="000000"/>
          <w:sz w:val="32"/>
          <w:highlight w:val="none"/>
        </w:rPr>
      </w:pPr>
    </w:p>
    <w:p w14:paraId="520AB4A7">
      <w:pPr>
        <w:ind w:left="5" w:leftChars="-85" w:hanging="183" w:hangingChars="57"/>
        <w:jc w:val="center"/>
        <w:rPr>
          <w:b/>
          <w:bCs/>
          <w:color w:val="000000"/>
          <w:sz w:val="32"/>
          <w:highlight w:val="none"/>
        </w:rPr>
      </w:pPr>
    </w:p>
    <w:p w14:paraId="0D950469">
      <w:pPr>
        <w:ind w:left="234" w:leftChars="-85" w:hanging="412" w:hangingChars="57"/>
        <w:jc w:val="center"/>
        <w:rPr>
          <w:b/>
          <w:bCs/>
          <w:color w:val="000000"/>
          <w:sz w:val="72"/>
          <w:szCs w:val="72"/>
          <w:highlight w:val="none"/>
        </w:rPr>
      </w:pPr>
      <w:r>
        <w:rPr>
          <w:b/>
          <w:bCs/>
          <w:color w:val="000000"/>
          <w:sz w:val="72"/>
          <w:szCs w:val="72"/>
          <w:highlight w:val="none"/>
        </w:rPr>
        <w:t>投 标 文 件</w:t>
      </w:r>
    </w:p>
    <w:p w14:paraId="17A1781A">
      <w:pPr>
        <w:ind w:left="-58" w:leftChars="-85" w:hanging="120" w:hangingChars="57"/>
        <w:jc w:val="center"/>
        <w:rPr>
          <w:b/>
          <w:bCs/>
          <w:color w:val="000000"/>
          <w:szCs w:val="21"/>
          <w:highlight w:val="none"/>
        </w:rPr>
      </w:pPr>
    </w:p>
    <w:p w14:paraId="394938CD">
      <w:pPr>
        <w:ind w:left="5" w:leftChars="-85" w:hanging="183" w:hangingChars="57"/>
        <w:jc w:val="center"/>
        <w:rPr>
          <w:b/>
          <w:bCs/>
          <w:color w:val="000000"/>
          <w:sz w:val="32"/>
          <w:highlight w:val="none"/>
        </w:rPr>
      </w:pPr>
      <w:r>
        <w:rPr>
          <w:rFonts w:hint="eastAsia"/>
          <w:b/>
          <w:bCs/>
          <w:color w:val="000000"/>
          <w:sz w:val="32"/>
          <w:highlight w:val="none"/>
        </w:rPr>
        <w:t>资格文件/商务技术文件/报价文件</w:t>
      </w:r>
    </w:p>
    <w:p w14:paraId="65B36B9E">
      <w:pPr>
        <w:ind w:left="5" w:leftChars="-85" w:hanging="183" w:hangingChars="57"/>
        <w:jc w:val="center"/>
        <w:rPr>
          <w:b/>
          <w:bCs/>
          <w:color w:val="000000"/>
          <w:sz w:val="32"/>
          <w:highlight w:val="none"/>
        </w:rPr>
      </w:pPr>
    </w:p>
    <w:p w14:paraId="1BA29B30">
      <w:pPr>
        <w:ind w:left="5" w:leftChars="-85" w:hanging="183" w:hangingChars="57"/>
        <w:jc w:val="center"/>
        <w:rPr>
          <w:b/>
          <w:bCs/>
          <w:color w:val="000000"/>
          <w:sz w:val="32"/>
          <w:highlight w:val="none"/>
        </w:rPr>
      </w:pPr>
    </w:p>
    <w:p w14:paraId="1034B45B">
      <w:pPr>
        <w:ind w:left="5" w:leftChars="-85" w:hanging="183" w:hangingChars="57"/>
        <w:jc w:val="center"/>
        <w:rPr>
          <w:b/>
          <w:bCs/>
          <w:color w:val="000000"/>
          <w:sz w:val="32"/>
          <w:highlight w:val="none"/>
        </w:rPr>
      </w:pPr>
    </w:p>
    <w:p w14:paraId="5DD9894C">
      <w:pPr>
        <w:ind w:left="5" w:leftChars="-85" w:hanging="183" w:hangingChars="57"/>
        <w:jc w:val="center"/>
        <w:rPr>
          <w:b/>
          <w:bCs/>
          <w:color w:val="000000"/>
          <w:sz w:val="32"/>
          <w:highlight w:val="none"/>
        </w:rPr>
      </w:pPr>
    </w:p>
    <w:p w14:paraId="1A9A8DEC">
      <w:pPr>
        <w:ind w:left="5" w:leftChars="-85" w:hanging="183" w:hangingChars="57"/>
        <w:jc w:val="center"/>
        <w:rPr>
          <w:b/>
          <w:bCs/>
          <w:color w:val="000000"/>
          <w:sz w:val="32"/>
          <w:highlight w:val="none"/>
        </w:rPr>
      </w:pPr>
    </w:p>
    <w:p w14:paraId="69A037C0">
      <w:pPr>
        <w:ind w:left="5" w:leftChars="-85" w:hanging="183" w:hangingChars="57"/>
        <w:jc w:val="center"/>
        <w:rPr>
          <w:b/>
          <w:bCs/>
          <w:color w:val="000000"/>
          <w:sz w:val="32"/>
          <w:highlight w:val="none"/>
        </w:rPr>
      </w:pPr>
    </w:p>
    <w:p w14:paraId="0656B501">
      <w:pPr>
        <w:spacing w:line="800" w:lineRule="exact"/>
        <w:ind w:left="4" w:leftChars="-85" w:hanging="182" w:hangingChars="57"/>
        <w:jc w:val="center"/>
        <w:rPr>
          <w:bCs/>
          <w:color w:val="000000"/>
          <w:sz w:val="32"/>
          <w:highlight w:val="none"/>
        </w:rPr>
      </w:pPr>
      <w:r>
        <w:rPr>
          <w:bCs/>
          <w:color w:val="000000"/>
          <w:sz w:val="32"/>
          <w:highlight w:val="none"/>
        </w:rPr>
        <w:t>投标人名称：（加盖公章）</w:t>
      </w:r>
    </w:p>
    <w:p w14:paraId="1993FFC3">
      <w:pPr>
        <w:spacing w:line="800" w:lineRule="exact"/>
        <w:ind w:left="4" w:leftChars="-85" w:hanging="182" w:hangingChars="57"/>
        <w:jc w:val="center"/>
        <w:rPr>
          <w:bCs/>
          <w:color w:val="000000"/>
          <w:sz w:val="32"/>
          <w:highlight w:val="none"/>
        </w:rPr>
      </w:pPr>
      <w:r>
        <w:rPr>
          <w:bCs/>
          <w:color w:val="000000"/>
          <w:sz w:val="32"/>
          <w:highlight w:val="none"/>
        </w:rPr>
        <w:t>投标代表人：（签    字）</w:t>
      </w:r>
    </w:p>
    <w:p w14:paraId="3EDFAD5A">
      <w:pPr>
        <w:pStyle w:val="3"/>
        <w:rPr>
          <w:rFonts w:ascii="宋体" w:hAnsi="宋体" w:eastAsia="宋体" w:cs="宋体"/>
          <w:bCs w:val="0"/>
          <w:sz w:val="24"/>
          <w:szCs w:val="24"/>
          <w:highlight w:val="none"/>
        </w:rPr>
      </w:pPr>
    </w:p>
    <w:p w14:paraId="2AD61A4C">
      <w:pPr>
        <w:rPr>
          <w:highlight w:val="none"/>
        </w:rPr>
      </w:pPr>
    </w:p>
    <w:p w14:paraId="20054B94">
      <w:pPr>
        <w:snapToGrid w:val="0"/>
        <w:spacing w:line="360" w:lineRule="auto"/>
        <w:ind w:right="480"/>
        <w:jc w:val="center"/>
        <w:rPr>
          <w:rFonts w:ascii="宋体" w:hAnsi="宋体" w:cs="宋体"/>
          <w:sz w:val="24"/>
          <w:highlight w:val="none"/>
        </w:rPr>
      </w:pPr>
    </w:p>
    <w:p w14:paraId="745BDA80">
      <w:pPr>
        <w:snapToGrid w:val="0"/>
        <w:spacing w:line="360" w:lineRule="auto"/>
        <w:ind w:right="480"/>
        <w:jc w:val="center"/>
        <w:rPr>
          <w:rFonts w:ascii="宋体" w:hAnsi="宋体" w:cs="宋体"/>
          <w:sz w:val="24"/>
          <w:highlight w:val="none"/>
        </w:rPr>
      </w:pPr>
    </w:p>
    <w:p w14:paraId="65F250B7">
      <w:pPr>
        <w:snapToGrid w:val="0"/>
        <w:spacing w:line="360" w:lineRule="auto"/>
        <w:ind w:right="480"/>
        <w:rPr>
          <w:rFonts w:ascii="宋体" w:hAnsi="宋体" w:cs="宋体"/>
          <w:sz w:val="24"/>
          <w:highlight w:val="none"/>
        </w:rPr>
      </w:pPr>
      <w:r>
        <w:rPr>
          <w:rFonts w:hint="eastAsia" w:ascii="宋体" w:hAnsi="宋体" w:cs="宋体"/>
          <w:b/>
          <w:bCs/>
          <w:sz w:val="24"/>
          <w:highlight w:val="none"/>
        </w:rPr>
        <w:t>附件2：符合参加政府采购活动应当具备的一般条件的承诺函</w:t>
      </w:r>
    </w:p>
    <w:p w14:paraId="664B00A4">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符合参加政府采购活动应当具备的一般条件的承诺函</w:t>
      </w:r>
    </w:p>
    <w:p w14:paraId="3015CD51">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5B01F38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仿宋_GB2312"/>
          <w:sz w:val="24"/>
          <w:highlight w:val="none"/>
        </w:rPr>
        <w:t>（项目名称）</w:t>
      </w:r>
      <w:r>
        <w:rPr>
          <w:rFonts w:hint="eastAsia" w:ascii="宋体" w:hAnsi="宋体" w:cs="仿宋_GB2312"/>
          <w:kern w:val="0"/>
          <w:sz w:val="24"/>
          <w:highlight w:val="none"/>
          <w:lang w:val="zh-CN"/>
        </w:rPr>
        <w:t>【项目编号：（采购编号）】</w:t>
      </w:r>
      <w:r>
        <w:rPr>
          <w:rFonts w:hint="eastAsia" w:ascii="宋体" w:hAnsi="宋体" w:cs="宋体"/>
          <w:sz w:val="24"/>
          <w:highlight w:val="none"/>
        </w:rPr>
        <w:t>政府采购活动，郑重承诺：</w:t>
      </w:r>
    </w:p>
    <w:p w14:paraId="45F8BA6E">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4F3C723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11327B4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7A8D95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B7AC5E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1E9E436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0ACD2DD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19E5369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2670C17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73D876C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A9B6881">
      <w:pPr>
        <w:pStyle w:val="10"/>
        <w:rPr>
          <w:rFonts w:ascii="宋体" w:hAnsi="宋体" w:cs="宋体"/>
          <w:sz w:val="24"/>
          <w:highlight w:val="none"/>
        </w:rPr>
      </w:pPr>
    </w:p>
    <w:p w14:paraId="584774FB">
      <w:pPr>
        <w:pStyle w:val="10"/>
        <w:rPr>
          <w:rFonts w:ascii="宋体" w:hAnsi="宋体" w:cs="宋体"/>
          <w:sz w:val="24"/>
          <w:highlight w:val="none"/>
        </w:rPr>
      </w:pPr>
    </w:p>
    <w:p w14:paraId="1E77C916">
      <w:pPr>
        <w:pStyle w:val="10"/>
        <w:rPr>
          <w:rFonts w:ascii="宋体" w:hAnsi="宋体" w:cs="宋体"/>
          <w:sz w:val="24"/>
          <w:highlight w:val="none"/>
        </w:rPr>
      </w:pPr>
    </w:p>
    <w:p w14:paraId="05C0B85A">
      <w:pPr>
        <w:snapToGrid w:val="0"/>
        <w:spacing w:line="360" w:lineRule="auto"/>
        <w:ind w:firstLine="3840" w:firstLineChars="1600"/>
        <w:rPr>
          <w:rFonts w:ascii="宋体" w:hAnsi="宋体" w:cs="宋体"/>
          <w:kern w:val="0"/>
          <w:sz w:val="24"/>
          <w:highlight w:val="none"/>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r>
        <w:rPr>
          <w:rFonts w:hint="eastAsia" w:ascii="宋体" w:hAnsi="宋体" w:cs="宋体"/>
          <w:kern w:val="0"/>
          <w:sz w:val="24"/>
          <w:highlight w:val="none"/>
          <w:lang w:val="zh-CN"/>
        </w:rPr>
        <w:t>：</w:t>
      </w:r>
    </w:p>
    <w:p w14:paraId="6EBD2C7B">
      <w:pPr>
        <w:widowControl/>
        <w:snapToGrid w:val="0"/>
        <w:spacing w:line="360" w:lineRule="auto"/>
        <w:ind w:firstLine="3840" w:firstLineChars="1600"/>
        <w:jc w:val="left"/>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日</w:t>
      </w:r>
    </w:p>
    <w:p w14:paraId="27CD28BA">
      <w:pPr>
        <w:snapToGrid w:val="0"/>
        <w:spacing w:line="360" w:lineRule="auto"/>
        <w:rPr>
          <w:rFonts w:ascii="宋体" w:hAnsi="宋体" w:cs="宋体"/>
          <w:sz w:val="24"/>
          <w:highlight w:val="none"/>
        </w:rPr>
      </w:pPr>
    </w:p>
    <w:p w14:paraId="499A77DD">
      <w:pPr>
        <w:snapToGrid w:val="0"/>
        <w:spacing w:line="360" w:lineRule="auto"/>
        <w:ind w:firstLine="5520" w:firstLineChars="2300"/>
        <w:rPr>
          <w:rFonts w:ascii="宋体" w:hAnsi="宋体" w:cs="宋体"/>
          <w:sz w:val="24"/>
          <w:highlight w:val="none"/>
        </w:rPr>
      </w:pPr>
    </w:p>
    <w:p w14:paraId="245197B9">
      <w:pPr>
        <w:snapToGrid w:val="0"/>
        <w:spacing w:line="360" w:lineRule="auto"/>
        <w:ind w:firstLine="5520" w:firstLineChars="2300"/>
        <w:rPr>
          <w:rFonts w:ascii="宋体" w:hAnsi="宋体" w:cs="宋体"/>
          <w:sz w:val="24"/>
          <w:highlight w:val="none"/>
        </w:rPr>
      </w:pPr>
    </w:p>
    <w:p w14:paraId="6438B468">
      <w:pPr>
        <w:pStyle w:val="3"/>
        <w:rPr>
          <w:rFonts w:ascii="宋体" w:hAnsi="宋体" w:eastAsia="宋体" w:cs="宋体"/>
          <w:sz w:val="24"/>
          <w:highlight w:val="none"/>
        </w:rPr>
      </w:pPr>
    </w:p>
    <w:p w14:paraId="140F842E">
      <w:pPr>
        <w:pStyle w:val="3"/>
        <w:rPr>
          <w:rFonts w:ascii="宋体" w:hAnsi="宋体" w:eastAsia="宋体" w:cs="宋体"/>
          <w:b w:val="0"/>
          <w:sz w:val="24"/>
          <w:highlight w:val="none"/>
        </w:rPr>
      </w:pPr>
    </w:p>
    <w:p w14:paraId="63195105">
      <w:pPr>
        <w:rPr>
          <w:rFonts w:ascii="宋体" w:hAnsi="宋体" w:cs="宋体"/>
          <w:b/>
          <w:sz w:val="24"/>
          <w:highlight w:val="none"/>
        </w:rPr>
      </w:pPr>
    </w:p>
    <w:p w14:paraId="7EF2A24B">
      <w:pPr>
        <w:pStyle w:val="3"/>
        <w:rPr>
          <w:rFonts w:ascii="宋体" w:hAnsi="宋体" w:eastAsia="宋体" w:cs="宋体"/>
          <w:sz w:val="24"/>
          <w:szCs w:val="24"/>
          <w:highlight w:val="none"/>
        </w:rPr>
      </w:pPr>
      <w:r>
        <w:rPr>
          <w:rFonts w:hint="eastAsia" w:ascii="宋体" w:hAnsi="宋体" w:eastAsia="宋体" w:cs="宋体"/>
          <w:sz w:val="24"/>
          <w:szCs w:val="24"/>
          <w:highlight w:val="none"/>
        </w:rPr>
        <w:t>附件3：投标声明书格式：</w:t>
      </w:r>
    </w:p>
    <w:p w14:paraId="76CF0209">
      <w:pPr>
        <w:snapToGrid w:val="0"/>
        <w:spacing w:beforeLines="50" w:after="50" w:line="360" w:lineRule="auto"/>
        <w:jc w:val="center"/>
        <w:rPr>
          <w:rFonts w:ascii="宋体" w:hAnsi="宋体" w:cs="宋体"/>
          <w:sz w:val="24"/>
          <w:szCs w:val="20"/>
          <w:highlight w:val="none"/>
        </w:rPr>
      </w:pPr>
      <w:r>
        <w:rPr>
          <w:rFonts w:hint="eastAsia" w:ascii="宋体" w:hAnsi="宋体" w:cs="宋体"/>
          <w:b/>
          <w:bCs/>
          <w:sz w:val="30"/>
          <w:highlight w:val="none"/>
        </w:rPr>
        <w:t>投标声明书</w:t>
      </w:r>
    </w:p>
    <w:p w14:paraId="7E8315C7">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1D63A053">
      <w:pPr>
        <w:snapToGrid w:val="0"/>
        <w:spacing w:beforeLines="50" w:after="50" w:line="360" w:lineRule="auto"/>
        <w:ind w:firstLine="720" w:firstLineChars="300"/>
        <w:rPr>
          <w:rFonts w:ascii="宋体" w:hAnsi="宋体" w:cs="宋体"/>
          <w:sz w:val="24"/>
          <w:szCs w:val="20"/>
          <w:highlight w:val="none"/>
        </w:rPr>
      </w:pPr>
      <w:r>
        <w:rPr>
          <w:rFonts w:hint="eastAsia" w:ascii="宋体" w:hAnsi="宋体" w:cs="宋体"/>
          <w:sz w:val="24"/>
          <w:highlight w:val="none"/>
        </w:rPr>
        <w:t>（投标人名称）系中华人民共和国合法企业，经营地址</w:t>
      </w:r>
      <w:r>
        <w:rPr>
          <w:rFonts w:hint="eastAsia" w:ascii="宋体" w:hAnsi="宋体" w:cs="宋体"/>
          <w:sz w:val="24"/>
          <w:highlight w:val="none"/>
          <w:u w:val="single"/>
        </w:rPr>
        <w:t>       </w:t>
      </w:r>
      <w:r>
        <w:rPr>
          <w:rFonts w:hint="eastAsia" w:ascii="宋体" w:hAnsi="宋体" w:cs="宋体"/>
          <w:sz w:val="24"/>
          <w:highlight w:val="none"/>
        </w:rPr>
        <w:t>。</w:t>
      </w:r>
    </w:p>
    <w:p w14:paraId="6599D017">
      <w:pPr>
        <w:snapToGrid w:val="0"/>
        <w:spacing w:beforeLines="50" w:after="50" w:line="360" w:lineRule="auto"/>
        <w:ind w:firstLine="645"/>
        <w:rPr>
          <w:rFonts w:ascii="宋体" w:hAnsi="宋体" w:cs="宋体"/>
          <w:sz w:val="24"/>
          <w:szCs w:val="20"/>
          <w:highlight w:val="none"/>
        </w:rPr>
      </w:pPr>
      <w:r>
        <w:rPr>
          <w:rFonts w:hint="eastAsia" w:ascii="宋体" w:hAnsi="宋体" w:cs="宋体"/>
          <w:sz w:val="24"/>
          <w:highlight w:val="none"/>
        </w:rPr>
        <w:t>我（姓名）系（投标人名称）的法定代表人，我方愿意参加贵方组织的项目的投标，为便于贵方公正、择优地确定中标人及其投标产品和服务，我方就本次投标有关事项郑重声明如下：</w:t>
      </w:r>
    </w:p>
    <w:p w14:paraId="111E4050">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1.我方向贵方提交的所有投标文件、资料都是准确的和真实的。</w:t>
      </w:r>
    </w:p>
    <w:p w14:paraId="048B8039">
      <w:pPr>
        <w:snapToGrid w:val="0"/>
        <w:spacing w:beforeLines="50" w:line="360" w:lineRule="auto"/>
        <w:ind w:firstLine="480" w:firstLineChars="200"/>
        <w:rPr>
          <w:rFonts w:ascii="宋体" w:hAnsi="宋体" w:cs="宋体"/>
          <w:sz w:val="24"/>
          <w:highlight w:val="none"/>
        </w:rPr>
      </w:pPr>
      <w:r>
        <w:rPr>
          <w:rFonts w:hint="eastAsia" w:ascii="宋体" w:hAnsi="宋体" w:cs="宋体"/>
          <w:sz w:val="24"/>
          <w:highlight w:val="none"/>
        </w:rPr>
        <w:t>2.我方不是采购人的附属机构</w:t>
      </w:r>
    </w:p>
    <w:p w14:paraId="433B28BF">
      <w:pPr>
        <w:snapToGrid w:val="0"/>
        <w:spacing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在获知本项目采购信息后，与采购人聘请的为此项目提供咨询服务的公司及其附属机构没有任何联系。</w:t>
      </w:r>
    </w:p>
    <w:p w14:paraId="59401225">
      <w:pPr>
        <w:snapToGrid w:val="0"/>
        <w:spacing w:beforeLines="50" w:line="360" w:lineRule="auto"/>
        <w:ind w:firstLine="480" w:firstLineChars="200"/>
        <w:rPr>
          <w:rFonts w:ascii="宋体" w:hAnsi="宋体" w:cs="宋体"/>
          <w:sz w:val="24"/>
          <w:highlight w:val="none"/>
        </w:rPr>
      </w:pPr>
      <w:r>
        <w:rPr>
          <w:rFonts w:hint="eastAsia" w:ascii="宋体" w:hAnsi="宋体" w:cs="宋体"/>
          <w:sz w:val="24"/>
          <w:highlight w:val="none"/>
        </w:rPr>
        <w:t>3.我方此次向贵方提供的产品名称为：</w:t>
      </w:r>
    </w:p>
    <w:p w14:paraId="7A39E31B">
      <w:pPr>
        <w:snapToGrid w:val="0"/>
        <w:spacing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4.我方诚意提请贵方关注：近期有关该服务的服务方案、保障制度等方面的重大决策和事项有：</w:t>
      </w:r>
    </w:p>
    <w:p w14:paraId="29A9E63D">
      <w:pPr>
        <w:snapToGrid w:val="0"/>
        <w:spacing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14:paraId="70948ED7">
      <w:pPr>
        <w:pStyle w:val="7"/>
        <w:snapToGrid w:val="0"/>
        <w:spacing w:line="360" w:lineRule="auto"/>
        <w:ind w:firstLine="464" w:firstLineChars="200"/>
        <w:rPr>
          <w:rFonts w:hAnsi="宋体" w:cs="宋体"/>
          <w:sz w:val="24"/>
          <w:highlight w:val="none"/>
        </w:rPr>
      </w:pPr>
      <w:r>
        <w:rPr>
          <w:rFonts w:hint="eastAsia" w:hAnsi="宋体" w:cs="宋体"/>
          <w:sz w:val="24"/>
          <w:highlight w:val="none"/>
        </w:rPr>
        <w:t>5.我方及由本人担任法定代表人的其他机构最近三年内被通报、被处罚的违法行为或者可认定为不良行为的有：</w:t>
      </w:r>
    </w:p>
    <w:p w14:paraId="734C1379">
      <w:pPr>
        <w:snapToGrid w:val="0"/>
        <w:spacing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14:paraId="4E1726A9">
      <w:pPr>
        <w:snapToGrid w:val="0"/>
        <w:spacing w:line="360" w:lineRule="auto"/>
        <w:ind w:firstLine="464" w:firstLineChars="200"/>
        <w:rPr>
          <w:rFonts w:ascii="宋体" w:hAnsi="宋体" w:cs="宋体"/>
          <w:spacing w:val="-4"/>
          <w:sz w:val="24"/>
          <w:szCs w:val="20"/>
          <w:highlight w:val="none"/>
        </w:rPr>
      </w:pPr>
      <w:r>
        <w:rPr>
          <w:rFonts w:hint="eastAsia" w:ascii="宋体" w:hAnsi="宋体" w:cs="宋体"/>
          <w:spacing w:val="-4"/>
          <w:sz w:val="24"/>
          <w:szCs w:val="20"/>
          <w:highlight w:val="none"/>
        </w:rPr>
        <w:t>6.以上事项如有虚假或隐瞒，我方愿意承担一切后果，并不再寻求任何旨在减轻或免除法律责任的辩解。</w:t>
      </w:r>
    </w:p>
    <w:p w14:paraId="6010E416">
      <w:pPr>
        <w:snapToGrid w:val="0"/>
        <w:spacing w:beforeLines="50" w:after="50" w:line="360" w:lineRule="auto"/>
        <w:ind w:firstLine="5400" w:firstLineChars="2250"/>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r>
        <w:rPr>
          <w:rFonts w:hint="eastAsia" w:ascii="宋体" w:hAnsi="宋体" w:cs="宋体"/>
          <w:sz w:val="24"/>
          <w:highlight w:val="none"/>
        </w:rPr>
        <w:t>：</w:t>
      </w:r>
    </w:p>
    <w:p w14:paraId="738BB446">
      <w:pPr>
        <w:spacing w:before="100" w:beforeAutospacing="1" w:after="100" w:afterAutospacing="1" w:line="360" w:lineRule="auto"/>
        <w:ind w:firstLine="5520" w:firstLineChars="2300"/>
        <w:jc w:val="left"/>
        <w:outlineLvl w:val="2"/>
        <w:rPr>
          <w:rFonts w:ascii="宋体" w:hAnsi="宋体" w:cs="宋体"/>
          <w:sz w:val="30"/>
          <w:szCs w:val="20"/>
          <w:highlight w:val="none"/>
        </w:rPr>
      </w:pPr>
      <w:r>
        <w:rPr>
          <w:rFonts w:hint="eastAsia" w:ascii="宋体" w:hAnsi="宋体" w:cs="宋体"/>
          <w:sz w:val="24"/>
          <w:highlight w:val="none"/>
        </w:rPr>
        <w:t>年     月     日</w:t>
      </w:r>
      <w:r>
        <w:rPr>
          <w:rFonts w:hint="eastAsia" w:ascii="宋体" w:hAnsi="宋体" w:cs="宋体"/>
          <w:highlight w:val="none"/>
        </w:rPr>
        <w:br w:type="page"/>
      </w:r>
      <w:r>
        <w:rPr>
          <w:rFonts w:hint="eastAsia" w:ascii="宋体" w:hAnsi="宋体" w:cs="宋体"/>
          <w:b/>
          <w:sz w:val="24"/>
          <w:highlight w:val="none"/>
        </w:rPr>
        <w:t>附件4：法定代表人身份证明、法定代表人授权委托书格式：</w:t>
      </w:r>
    </w:p>
    <w:p w14:paraId="3D654D22">
      <w:pPr>
        <w:spacing w:before="100" w:beforeAutospacing="1" w:after="100" w:afterAutospacing="1" w:line="360" w:lineRule="auto"/>
        <w:jc w:val="center"/>
        <w:outlineLvl w:val="2"/>
        <w:rPr>
          <w:rFonts w:ascii="宋体" w:hAnsi="宋体" w:cs="宋体"/>
          <w:b/>
          <w:bCs/>
          <w:sz w:val="28"/>
          <w:szCs w:val="28"/>
          <w:highlight w:val="none"/>
        </w:rPr>
      </w:pPr>
      <w:r>
        <w:rPr>
          <w:rFonts w:hint="eastAsia" w:ascii="宋体" w:hAnsi="宋体" w:cs="宋体"/>
          <w:b/>
          <w:bCs/>
          <w:sz w:val="28"/>
          <w:szCs w:val="28"/>
          <w:highlight w:val="none"/>
        </w:rPr>
        <w:t>法定代表人身份证明</w:t>
      </w:r>
    </w:p>
    <w:p w14:paraId="69F94EF7">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单位名称：</w:t>
      </w:r>
      <w:r>
        <w:rPr>
          <w:rFonts w:hint="eastAsia" w:ascii="宋体" w:hAnsi="宋体" w:cs="宋体"/>
          <w:sz w:val="24"/>
          <w:highlight w:val="none"/>
          <w:u w:val="single"/>
        </w:rPr>
        <w:t>                     </w:t>
      </w:r>
    </w:p>
    <w:p w14:paraId="5912B7D1">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单位性质：</w:t>
      </w:r>
      <w:r>
        <w:rPr>
          <w:rFonts w:hint="eastAsia" w:ascii="宋体" w:hAnsi="宋体" w:cs="宋体"/>
          <w:sz w:val="24"/>
          <w:highlight w:val="none"/>
          <w:u w:val="single"/>
        </w:rPr>
        <w:t>                     </w:t>
      </w:r>
    </w:p>
    <w:p w14:paraId="2B6D7F30">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w:t>
      </w:r>
    </w:p>
    <w:p w14:paraId="44363D54">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w:t>
      </w:r>
      <w:r>
        <w:rPr>
          <w:rFonts w:hint="eastAsia" w:ascii="宋体" w:hAnsi="宋体" w:cs="宋体"/>
          <w:sz w:val="24"/>
          <w:highlight w:val="none"/>
        </w:rPr>
        <w:t>年</w:t>
      </w:r>
      <w:r>
        <w:rPr>
          <w:rFonts w:hint="eastAsia" w:ascii="宋体" w:hAnsi="宋体" w:cs="宋体"/>
          <w:sz w:val="24"/>
          <w:highlight w:val="none"/>
          <w:u w:val="single"/>
        </w:rPr>
        <w:t>     </w:t>
      </w:r>
      <w:r>
        <w:rPr>
          <w:rFonts w:hint="eastAsia" w:ascii="宋体" w:hAnsi="宋体" w:cs="宋体"/>
          <w:sz w:val="24"/>
          <w:highlight w:val="none"/>
        </w:rPr>
        <w:t>月</w:t>
      </w:r>
      <w:r>
        <w:rPr>
          <w:rFonts w:hint="eastAsia" w:ascii="宋体" w:hAnsi="宋体" w:cs="宋体"/>
          <w:sz w:val="24"/>
          <w:highlight w:val="none"/>
          <w:u w:val="single"/>
        </w:rPr>
        <w:t>      </w:t>
      </w:r>
      <w:r>
        <w:rPr>
          <w:rFonts w:hint="eastAsia" w:ascii="宋体" w:hAnsi="宋体" w:cs="宋体"/>
          <w:sz w:val="24"/>
          <w:highlight w:val="none"/>
        </w:rPr>
        <w:t>日</w:t>
      </w:r>
    </w:p>
    <w:p w14:paraId="22ABB402">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经营期限：</w:t>
      </w:r>
      <w:r>
        <w:rPr>
          <w:rFonts w:hint="eastAsia" w:ascii="宋体" w:hAnsi="宋体" w:cs="宋体"/>
          <w:sz w:val="24"/>
          <w:highlight w:val="none"/>
          <w:u w:val="single"/>
        </w:rPr>
        <w:t>                       </w:t>
      </w:r>
    </w:p>
    <w:p w14:paraId="4E2A5FC5">
      <w:pPr>
        <w:spacing w:before="100" w:beforeAutospacing="1" w:after="100" w:afterAutospacing="1" w:line="360" w:lineRule="auto"/>
        <w:ind w:left="420"/>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w:t>
      </w:r>
      <w:r>
        <w:rPr>
          <w:rFonts w:hint="eastAsia" w:ascii="宋体" w:hAnsi="宋体" w:cs="宋体"/>
          <w:sz w:val="24"/>
          <w:highlight w:val="none"/>
        </w:rPr>
        <w:t> 性别：</w:t>
      </w:r>
      <w:r>
        <w:rPr>
          <w:rFonts w:hint="eastAsia" w:ascii="宋体" w:hAnsi="宋体" w:cs="宋体"/>
          <w:sz w:val="24"/>
          <w:highlight w:val="none"/>
          <w:u w:val="single"/>
        </w:rPr>
        <w:t>   </w:t>
      </w:r>
      <w:r>
        <w:rPr>
          <w:rFonts w:hint="eastAsia" w:ascii="宋体" w:hAnsi="宋体" w:cs="宋体"/>
          <w:sz w:val="24"/>
          <w:highlight w:val="none"/>
        </w:rPr>
        <w:t>年龄：</w:t>
      </w:r>
      <w:r>
        <w:rPr>
          <w:rFonts w:hint="eastAsia" w:ascii="宋体" w:hAnsi="宋体" w:cs="宋体"/>
          <w:sz w:val="24"/>
          <w:highlight w:val="none"/>
          <w:u w:val="single"/>
        </w:rPr>
        <w:t>      </w:t>
      </w:r>
      <w:r>
        <w:rPr>
          <w:rFonts w:hint="eastAsia" w:ascii="宋体" w:hAnsi="宋体" w:cs="宋体"/>
          <w:sz w:val="24"/>
          <w:highlight w:val="none"/>
        </w:rPr>
        <w:t> 职务：</w:t>
      </w:r>
      <w:r>
        <w:rPr>
          <w:rFonts w:hint="eastAsia" w:ascii="宋体" w:hAnsi="宋体" w:cs="宋体"/>
          <w:sz w:val="24"/>
          <w:highlight w:val="none"/>
          <w:u w:val="single"/>
        </w:rPr>
        <w:t>    </w:t>
      </w:r>
    </w:p>
    <w:p w14:paraId="197033BC">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w:t>
      </w:r>
      <w:r>
        <w:rPr>
          <w:rFonts w:hint="eastAsia" w:ascii="宋体" w:hAnsi="宋体" w:cs="宋体"/>
          <w:sz w:val="24"/>
          <w:highlight w:val="none"/>
        </w:rPr>
        <w:t>的法定代表人。</w:t>
      </w:r>
    </w:p>
    <w:p w14:paraId="7C67FF06">
      <w:pPr>
        <w:spacing w:before="100" w:beforeAutospacing="1" w:after="100" w:afterAutospacing="1" w:line="360" w:lineRule="auto"/>
        <w:ind w:left="420" w:leftChars="200" w:firstLine="480" w:firstLineChars="200"/>
        <w:rPr>
          <w:rFonts w:ascii="宋体" w:hAnsi="宋体" w:cs="宋体"/>
          <w:sz w:val="24"/>
          <w:highlight w:val="none"/>
        </w:rPr>
      </w:pPr>
      <w:r>
        <w:rPr>
          <w:rFonts w:hint="eastAsia" w:ascii="宋体" w:hAnsi="宋体" w:cs="宋体"/>
          <w:sz w:val="24"/>
          <w:highlight w:val="none"/>
        </w:rPr>
        <w:t>特此证明</w:t>
      </w:r>
    </w:p>
    <w:p w14:paraId="6ADEE821">
      <w:pPr>
        <w:spacing w:line="360" w:lineRule="auto"/>
        <w:rPr>
          <w:rFonts w:ascii="宋体" w:hAnsi="宋体" w:cs="宋体"/>
          <w:sz w:val="24"/>
          <w:highlight w:val="none"/>
        </w:rPr>
      </w:pPr>
    </w:p>
    <w:p w14:paraId="3B3178B1">
      <w:pPr>
        <w:spacing w:line="360" w:lineRule="auto"/>
        <w:rPr>
          <w:rFonts w:ascii="宋体" w:hAnsi="宋体" w:cs="宋体"/>
          <w:sz w:val="24"/>
          <w:highlight w:val="none"/>
        </w:rPr>
      </w:pPr>
    </w:p>
    <w:p w14:paraId="4D9D75E5">
      <w:pPr>
        <w:spacing w:line="480" w:lineRule="auto"/>
        <w:ind w:firstLine="240" w:firstLineChars="100"/>
        <w:rPr>
          <w:rFonts w:ascii="宋体" w:hAnsi="宋体" w:cs="宋体"/>
          <w:sz w:val="24"/>
          <w:szCs w:val="22"/>
          <w:highlight w:val="none"/>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r>
        <w:rPr>
          <w:rFonts w:hint="eastAsia" w:ascii="宋体" w:hAnsi="宋体" w:cs="宋体"/>
          <w:sz w:val="24"/>
          <w:szCs w:val="22"/>
          <w:highlight w:val="none"/>
        </w:rPr>
        <w:t>：</w:t>
      </w:r>
    </w:p>
    <w:p w14:paraId="3F80EB4C">
      <w:pPr>
        <w:spacing w:line="480" w:lineRule="auto"/>
        <w:ind w:firstLine="240" w:firstLineChars="100"/>
        <w:rPr>
          <w:rFonts w:ascii="宋体" w:hAnsi="宋体" w:cs="宋体"/>
          <w:sz w:val="24"/>
          <w:szCs w:val="22"/>
          <w:highlight w:val="none"/>
        </w:rPr>
      </w:pPr>
      <w:r>
        <w:rPr>
          <w:rFonts w:hint="eastAsia" w:ascii="宋体" w:hAnsi="宋体" w:cs="宋体"/>
          <w:sz w:val="24"/>
          <w:szCs w:val="22"/>
          <w:highlight w:val="none"/>
        </w:rPr>
        <w:t>法定代表人（签字或盖章）：</w:t>
      </w:r>
    </w:p>
    <w:p w14:paraId="246A263A">
      <w:pPr>
        <w:spacing w:line="480" w:lineRule="auto"/>
        <w:ind w:firstLine="240" w:firstLineChars="100"/>
        <w:rPr>
          <w:rFonts w:ascii="宋体" w:hAnsi="宋体" w:cs="宋体"/>
          <w:sz w:val="24"/>
          <w:szCs w:val="22"/>
          <w:highlight w:val="none"/>
        </w:rPr>
      </w:pPr>
      <w:r>
        <w:rPr>
          <w:rFonts w:hint="eastAsia" w:ascii="宋体" w:hAnsi="宋体" w:cs="宋体"/>
          <w:sz w:val="24"/>
          <w:szCs w:val="22"/>
          <w:highlight w:val="none"/>
        </w:rPr>
        <w:t>日期：</w:t>
      </w:r>
    </w:p>
    <w:p w14:paraId="4B76E557">
      <w:pPr>
        <w:snapToGrid w:val="0"/>
        <w:spacing w:beforeLines="50" w:after="50" w:line="360" w:lineRule="auto"/>
        <w:jc w:val="center"/>
        <w:rPr>
          <w:rFonts w:ascii="宋体" w:hAnsi="宋体" w:cs="宋体"/>
          <w:highlight w:val="none"/>
        </w:rPr>
        <w:sectPr>
          <w:footerReference r:id="rId11" w:type="first"/>
          <w:headerReference r:id="rId9" w:type="default"/>
          <w:footerReference r:id="rId10" w:type="default"/>
          <w:pgSz w:w="11906" w:h="16838"/>
          <w:pgMar w:top="1587" w:right="907" w:bottom="907" w:left="1588" w:header="851" w:footer="850" w:gutter="0"/>
          <w:cols w:space="720" w:num="1"/>
          <w:titlePg/>
          <w:docGrid w:linePitch="312" w:charSpace="0"/>
        </w:sectPr>
      </w:pPr>
    </w:p>
    <w:p w14:paraId="7A775906">
      <w:pPr>
        <w:snapToGrid w:val="0"/>
        <w:spacing w:beforeLines="50" w:after="50" w:line="360" w:lineRule="auto"/>
        <w:jc w:val="center"/>
        <w:rPr>
          <w:rFonts w:ascii="宋体" w:hAnsi="宋体" w:cs="宋体"/>
          <w:b/>
          <w:sz w:val="24"/>
          <w:highlight w:val="none"/>
        </w:rPr>
      </w:pPr>
    </w:p>
    <w:p w14:paraId="7169E630">
      <w:pPr>
        <w:snapToGrid w:val="0"/>
        <w:spacing w:beforeLines="50" w:after="50" w:line="360" w:lineRule="auto"/>
        <w:jc w:val="center"/>
        <w:rPr>
          <w:rFonts w:ascii="宋体" w:hAnsi="宋体" w:cs="宋体"/>
          <w:b/>
          <w:sz w:val="24"/>
          <w:highlight w:val="none"/>
        </w:rPr>
      </w:pPr>
    </w:p>
    <w:p w14:paraId="1C63931B">
      <w:pPr>
        <w:snapToGrid w:val="0"/>
        <w:spacing w:beforeLines="50" w:after="50" w:line="360" w:lineRule="auto"/>
        <w:jc w:val="center"/>
        <w:rPr>
          <w:rFonts w:ascii="宋体" w:hAnsi="宋体" w:cs="宋体"/>
          <w:b/>
          <w:sz w:val="24"/>
          <w:highlight w:val="none"/>
        </w:rPr>
      </w:pPr>
    </w:p>
    <w:p w14:paraId="24D0B33B">
      <w:pPr>
        <w:snapToGrid w:val="0"/>
        <w:spacing w:beforeLines="50" w:after="50" w:line="360" w:lineRule="auto"/>
        <w:jc w:val="center"/>
        <w:rPr>
          <w:rFonts w:ascii="宋体" w:hAnsi="宋体" w:cs="宋体"/>
          <w:b/>
          <w:sz w:val="24"/>
          <w:highlight w:val="none"/>
        </w:rPr>
      </w:pPr>
    </w:p>
    <w:p w14:paraId="0A55CDC1">
      <w:pPr>
        <w:snapToGrid w:val="0"/>
        <w:spacing w:beforeLines="50" w:after="50" w:line="360" w:lineRule="auto"/>
        <w:jc w:val="center"/>
        <w:rPr>
          <w:rFonts w:ascii="宋体" w:hAnsi="宋体" w:cs="宋体"/>
          <w:b/>
          <w:sz w:val="24"/>
          <w:highlight w:val="none"/>
        </w:rPr>
      </w:pPr>
    </w:p>
    <w:p w14:paraId="7FEB6C40">
      <w:pPr>
        <w:snapToGrid w:val="0"/>
        <w:spacing w:beforeLines="50" w:after="50" w:line="360" w:lineRule="auto"/>
        <w:jc w:val="center"/>
        <w:rPr>
          <w:rFonts w:ascii="宋体" w:hAnsi="宋体" w:cs="宋体"/>
          <w:b/>
          <w:sz w:val="24"/>
          <w:highlight w:val="none"/>
        </w:rPr>
      </w:pPr>
    </w:p>
    <w:p w14:paraId="54B800D5">
      <w:pPr>
        <w:snapToGrid w:val="0"/>
        <w:spacing w:beforeLines="50" w:after="50" w:line="360" w:lineRule="auto"/>
        <w:jc w:val="center"/>
        <w:rPr>
          <w:rFonts w:ascii="宋体" w:hAnsi="宋体" w:cs="宋体"/>
          <w:b/>
          <w:sz w:val="24"/>
          <w:szCs w:val="20"/>
          <w:highlight w:val="none"/>
        </w:rPr>
      </w:pPr>
      <w:r>
        <w:rPr>
          <w:rFonts w:hint="eastAsia" w:ascii="宋体" w:hAnsi="宋体" w:cs="宋体"/>
          <w:b/>
          <w:sz w:val="24"/>
          <w:highlight w:val="none"/>
        </w:rPr>
        <w:t>法定代表人授权委托书</w:t>
      </w:r>
    </w:p>
    <w:p w14:paraId="2CFAD72C">
      <w:pPr>
        <w:snapToGrid w:val="0"/>
        <w:spacing w:beforeLines="50" w:after="50" w:line="360" w:lineRule="auto"/>
        <w:rPr>
          <w:rFonts w:ascii="宋体" w:hAnsi="宋体" w:cs="宋体"/>
          <w:bCs/>
          <w:sz w:val="24"/>
          <w:highlight w:val="none"/>
        </w:rPr>
      </w:pPr>
    </w:p>
    <w:p w14:paraId="266D1914">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53AE8AD7">
      <w:pPr>
        <w:snapToGrid w:val="0"/>
        <w:spacing w:beforeLines="50" w:after="50" w:line="360" w:lineRule="auto"/>
        <w:ind w:firstLine="729" w:firstLineChars="300"/>
        <w:rPr>
          <w:rFonts w:ascii="宋体" w:hAnsi="宋体" w:cs="宋体"/>
          <w:sz w:val="24"/>
          <w:highlight w:val="none"/>
        </w:rPr>
      </w:pPr>
      <w:r>
        <w:rPr>
          <w:rFonts w:hint="eastAsia" w:ascii="宋体" w:hAnsi="宋体" w:cs="宋体"/>
          <w:sz w:val="24"/>
          <w:highlight w:val="none"/>
        </w:rPr>
        <w:t>我（姓名）系 （投标人名称）的法定代表人，现授权委托本单位在职职工</w:t>
      </w:r>
      <w:r>
        <w:rPr>
          <w:rFonts w:hint="eastAsia" w:ascii="宋体" w:hAnsi="宋体" w:cs="宋体"/>
          <w:sz w:val="24"/>
          <w:highlight w:val="none"/>
          <w:u w:val="single"/>
        </w:rPr>
        <w:t>     </w:t>
      </w:r>
      <w:r>
        <w:rPr>
          <w:rFonts w:hint="eastAsia" w:ascii="宋体" w:hAnsi="宋体" w:cs="宋体"/>
          <w:sz w:val="24"/>
          <w:highlight w:val="none"/>
        </w:rPr>
        <w:t>（姓名）以我方的名义参加</w:t>
      </w:r>
      <w:r>
        <w:rPr>
          <w:rFonts w:hint="eastAsia" w:ascii="宋体" w:hAnsi="宋体" w:cs="宋体"/>
          <w:b/>
          <w:sz w:val="24"/>
          <w:highlight w:val="none"/>
        </w:rPr>
        <w:t>衢州市采购项目</w:t>
      </w:r>
      <w:r>
        <w:rPr>
          <w:rFonts w:hint="eastAsia" w:ascii="宋体" w:hAnsi="宋体" w:cs="宋体"/>
          <w:sz w:val="24"/>
          <w:highlight w:val="none"/>
        </w:rPr>
        <w:t>的投标活动，并代表我方全权办理针对上述项目的投标、开标、评标、签约等具体事务和签署相关文件。</w:t>
      </w:r>
    </w:p>
    <w:p w14:paraId="3031125D">
      <w:pPr>
        <w:snapToGrid w:val="0"/>
        <w:spacing w:beforeLines="50" w:after="50" w:line="360" w:lineRule="auto"/>
        <w:rPr>
          <w:rFonts w:ascii="宋体" w:hAnsi="宋体" w:cs="宋体"/>
          <w:sz w:val="24"/>
          <w:highlight w:val="none"/>
        </w:rPr>
      </w:pPr>
      <w:r>
        <w:rPr>
          <w:rFonts w:hint="eastAsia" w:ascii="宋体" w:hAnsi="宋体" w:cs="宋体"/>
          <w:sz w:val="24"/>
          <w:highlight w:val="none"/>
        </w:rPr>
        <w:t>我方对被授权人的签名事项负全部责任。</w:t>
      </w:r>
    </w:p>
    <w:p w14:paraId="1FFEC2DA">
      <w:pPr>
        <w:snapToGrid w:val="0"/>
        <w:spacing w:beforeLines="50" w:after="50" w:line="360" w:lineRule="auto"/>
        <w:ind w:firstLine="480"/>
        <w:rPr>
          <w:rFonts w:ascii="宋体" w:hAnsi="宋体" w:cs="宋体"/>
          <w:sz w:val="24"/>
          <w:szCs w:val="20"/>
          <w:highlight w:val="none"/>
        </w:rPr>
      </w:pPr>
      <w:r>
        <w:rPr>
          <w:rFonts w:hint="eastAsia" w:ascii="宋体" w:hAnsi="宋体" w:cs="宋体"/>
          <w:sz w:val="24"/>
          <w:highlight w:val="none"/>
          <w:u w:val="single"/>
        </w:rPr>
        <w:t>在撤销授权的书面通知以前，本授权书一直有效。</w:t>
      </w:r>
      <w:r>
        <w:rPr>
          <w:rFonts w:hint="eastAsia" w:ascii="宋体" w:hAnsi="宋体" w:cs="宋体"/>
          <w:sz w:val="24"/>
          <w:highlight w:val="none"/>
        </w:rPr>
        <w:t>被授权人在授权书有效期内签署的所有文件不因授权的撤销而失效。</w:t>
      </w:r>
    </w:p>
    <w:p w14:paraId="754D7278">
      <w:pPr>
        <w:snapToGrid w:val="0"/>
        <w:spacing w:beforeLines="50" w:after="50" w:line="360" w:lineRule="auto"/>
        <w:ind w:firstLine="480"/>
        <w:rPr>
          <w:rFonts w:ascii="宋体" w:hAnsi="宋体" w:cs="宋体"/>
          <w:sz w:val="24"/>
          <w:szCs w:val="20"/>
          <w:highlight w:val="none"/>
        </w:rPr>
      </w:pPr>
      <w:r>
        <w:rPr>
          <w:rFonts w:hint="eastAsia" w:ascii="宋体" w:hAnsi="宋体" w:cs="宋体"/>
          <w:sz w:val="24"/>
          <w:highlight w:val="none"/>
        </w:rPr>
        <w:t>被授权人无转委托权，特此委托。</w:t>
      </w:r>
    </w:p>
    <w:p w14:paraId="76478541">
      <w:pPr>
        <w:snapToGrid w:val="0"/>
        <w:spacing w:beforeLines="50" w:after="50" w:line="360" w:lineRule="auto"/>
        <w:rPr>
          <w:rFonts w:ascii="宋体" w:hAnsi="宋体" w:cs="宋体"/>
          <w:sz w:val="24"/>
          <w:szCs w:val="20"/>
          <w:highlight w:val="none"/>
        </w:rPr>
      </w:pPr>
    </w:p>
    <w:p w14:paraId="6595CC3B">
      <w:pPr>
        <w:pStyle w:val="3"/>
        <w:rPr>
          <w:highlight w:val="none"/>
        </w:rPr>
      </w:pPr>
    </w:p>
    <w:p w14:paraId="2EA64B15">
      <w:pPr>
        <w:snapToGrid w:val="0"/>
        <w:spacing w:beforeLines="50" w:after="50" w:line="360" w:lineRule="auto"/>
        <w:rPr>
          <w:rFonts w:ascii="宋体" w:hAnsi="宋体" w:cs="宋体"/>
          <w:sz w:val="24"/>
          <w:szCs w:val="20"/>
          <w:highlight w:val="none"/>
          <w:u w:val="single"/>
        </w:rPr>
      </w:pPr>
      <w:r>
        <w:rPr>
          <w:rFonts w:hint="eastAsia" w:ascii="宋体" w:hAnsi="宋体" w:cs="宋体"/>
          <w:sz w:val="24"/>
          <w:highlight w:val="none"/>
        </w:rPr>
        <w:t>被授权人签名：                                   法定代表人签名或盖章：</w:t>
      </w:r>
    </w:p>
    <w:p w14:paraId="6F0100EF">
      <w:pPr>
        <w:snapToGrid w:val="0"/>
        <w:spacing w:beforeLines="50" w:after="50" w:line="360" w:lineRule="auto"/>
        <w:rPr>
          <w:rFonts w:ascii="宋体" w:hAnsi="宋体" w:cs="宋体"/>
          <w:sz w:val="24"/>
          <w:szCs w:val="20"/>
          <w:highlight w:val="none"/>
        </w:rPr>
      </w:pPr>
      <w:r>
        <w:rPr>
          <w:rFonts w:hint="eastAsia" w:ascii="宋体" w:hAnsi="宋体" w:cs="宋体"/>
          <w:sz w:val="24"/>
          <w:highlight w:val="none"/>
        </w:rPr>
        <w:t>职务：                                           职务：</w:t>
      </w:r>
    </w:p>
    <w:p w14:paraId="2CF1DB11">
      <w:pPr>
        <w:snapToGrid w:val="0"/>
        <w:spacing w:beforeLines="50" w:after="50" w:line="360" w:lineRule="auto"/>
        <w:rPr>
          <w:rFonts w:ascii="宋体" w:hAnsi="宋体" w:cs="宋体"/>
          <w:sz w:val="24"/>
          <w:highlight w:val="none"/>
        </w:rPr>
      </w:pPr>
      <w:r>
        <w:rPr>
          <w:rFonts w:hint="eastAsia" w:ascii="宋体" w:hAnsi="宋体" w:cs="宋体"/>
          <w:sz w:val="24"/>
          <w:highlight w:val="none"/>
        </w:rPr>
        <w:t>被授权人身份证复印件：</w:t>
      </w:r>
    </w:p>
    <w:p w14:paraId="74983BD1">
      <w:pPr>
        <w:snapToGrid w:val="0"/>
        <w:spacing w:beforeLines="50" w:after="50" w:line="360" w:lineRule="auto"/>
        <w:rPr>
          <w:rFonts w:ascii="宋体" w:hAnsi="宋体" w:cs="宋体"/>
          <w:sz w:val="24"/>
          <w:highlight w:val="none"/>
        </w:rPr>
      </w:pPr>
    </w:p>
    <w:p w14:paraId="613A96F0">
      <w:pPr>
        <w:snapToGrid w:val="0"/>
        <w:spacing w:beforeLines="50" w:after="50" w:line="360" w:lineRule="auto"/>
        <w:rPr>
          <w:rFonts w:ascii="宋体" w:hAnsi="宋体" w:cs="宋体"/>
          <w:sz w:val="24"/>
          <w:szCs w:val="20"/>
          <w:highlight w:val="none"/>
        </w:rPr>
      </w:pPr>
    </w:p>
    <w:p w14:paraId="03549F7B">
      <w:pPr>
        <w:snapToGrid w:val="0"/>
        <w:spacing w:beforeLines="50" w:after="50" w:line="360" w:lineRule="auto"/>
        <w:ind w:firstLine="3888" w:firstLineChars="1600"/>
        <w:rPr>
          <w:rFonts w:ascii="宋体" w:hAnsi="宋体" w:cs="宋体"/>
          <w:sz w:val="24"/>
          <w:szCs w:val="20"/>
          <w:highlight w:val="none"/>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r>
        <w:rPr>
          <w:rFonts w:hint="eastAsia" w:ascii="宋体" w:hAnsi="宋体" w:cs="宋体"/>
          <w:sz w:val="24"/>
          <w:highlight w:val="none"/>
        </w:rPr>
        <w:t>：</w:t>
      </w:r>
    </w:p>
    <w:p w14:paraId="0CCAE875">
      <w:pPr>
        <w:snapToGrid w:val="0"/>
        <w:spacing w:beforeLines="50" w:after="50"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5396734C">
      <w:pPr>
        <w:snapToGrid w:val="0"/>
        <w:spacing w:beforeLines="50" w:after="50" w:line="360" w:lineRule="auto"/>
        <w:rPr>
          <w:rFonts w:ascii="宋体" w:hAnsi="宋体" w:cs="宋体"/>
          <w:sz w:val="24"/>
          <w:highlight w:val="none"/>
        </w:rPr>
      </w:pPr>
    </w:p>
    <w:p w14:paraId="63B4F91D">
      <w:pPr>
        <w:spacing w:before="100" w:beforeAutospacing="1" w:after="100" w:afterAutospacing="1" w:line="360" w:lineRule="auto"/>
        <w:jc w:val="center"/>
        <w:outlineLvl w:val="2"/>
        <w:rPr>
          <w:rFonts w:ascii="宋体" w:hAnsi="宋体" w:cs="宋体"/>
          <w:b/>
          <w:bCs/>
          <w:sz w:val="28"/>
          <w:szCs w:val="28"/>
          <w:highlight w:val="none"/>
        </w:rPr>
      </w:pPr>
    </w:p>
    <w:p w14:paraId="313C44A4">
      <w:pPr>
        <w:pStyle w:val="31"/>
        <w:rPr>
          <w:highlight w:val="none"/>
        </w:rPr>
      </w:pPr>
    </w:p>
    <w:p w14:paraId="03CD40F3">
      <w:pPr>
        <w:spacing w:line="360" w:lineRule="auto"/>
        <w:jc w:val="left"/>
        <w:outlineLvl w:val="0"/>
        <w:rPr>
          <w:rFonts w:ascii="宋体" w:hAnsi="宋体"/>
          <w:b/>
          <w:bCs/>
          <w:sz w:val="30"/>
          <w:szCs w:val="30"/>
          <w:highlight w:val="none"/>
        </w:rPr>
      </w:pPr>
      <w:r>
        <w:rPr>
          <w:rFonts w:hint="eastAsia" w:ascii="宋体" w:hAnsi="宋体"/>
          <w:b/>
          <w:bCs/>
          <w:color w:val="000000"/>
          <w:sz w:val="30"/>
          <w:szCs w:val="30"/>
          <w:highlight w:val="none"/>
        </w:rPr>
        <w:t>附件5：服务参数偏离说明表</w:t>
      </w:r>
    </w:p>
    <w:p w14:paraId="781FA82F">
      <w:pPr>
        <w:spacing w:line="360" w:lineRule="auto"/>
        <w:jc w:val="center"/>
        <w:outlineLvl w:val="0"/>
        <w:rPr>
          <w:highlight w:val="none"/>
        </w:rPr>
      </w:pPr>
      <w:r>
        <w:rPr>
          <w:rFonts w:hint="eastAsia" w:ascii="宋体" w:hAnsi="宋体"/>
          <w:b/>
          <w:bCs/>
          <w:color w:val="000000"/>
          <w:sz w:val="30"/>
          <w:szCs w:val="30"/>
          <w:highlight w:val="none"/>
        </w:rPr>
        <w:t>服务参数偏离说明表</w:t>
      </w:r>
    </w:p>
    <w:p w14:paraId="1F7609E5">
      <w:pPr>
        <w:spacing w:line="380" w:lineRule="exact"/>
        <w:rPr>
          <w:rFonts w:ascii="宋体" w:hAnsi="宋体"/>
          <w:snapToGrid w:val="0"/>
          <w:spacing w:val="20"/>
          <w:szCs w:val="21"/>
          <w:highlight w:val="none"/>
        </w:rPr>
      </w:pPr>
      <w:r>
        <w:rPr>
          <w:rFonts w:hint="eastAsia" w:ascii="宋体" w:hAnsi="宋体"/>
          <w:snapToGrid w:val="0"/>
          <w:spacing w:val="20"/>
          <w:szCs w:val="21"/>
          <w:highlight w:val="none"/>
        </w:rPr>
        <w:t>招标项目名称：    招标编号：</w:t>
      </w:r>
    </w:p>
    <w:tbl>
      <w:tblPr>
        <w:tblStyle w:val="24"/>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260"/>
        <w:gridCol w:w="1890"/>
        <w:gridCol w:w="1965"/>
        <w:gridCol w:w="1425"/>
        <w:gridCol w:w="1080"/>
      </w:tblGrid>
      <w:tr w14:paraId="5DB973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double" w:color="auto" w:sz="4" w:space="0"/>
              <w:bottom w:val="single" w:color="auto" w:sz="6" w:space="0"/>
            </w:tcBorders>
            <w:vAlign w:val="center"/>
          </w:tcPr>
          <w:p w14:paraId="2C0626CD">
            <w:pPr>
              <w:jc w:val="center"/>
              <w:rPr>
                <w:rFonts w:ascii="宋体" w:hAnsi="宋体"/>
                <w:snapToGrid w:val="0"/>
                <w:spacing w:val="20"/>
                <w:szCs w:val="21"/>
                <w:highlight w:val="none"/>
              </w:rPr>
            </w:pPr>
          </w:p>
        </w:tc>
        <w:tc>
          <w:tcPr>
            <w:tcW w:w="1260" w:type="dxa"/>
            <w:tcBorders>
              <w:top w:val="double" w:color="auto" w:sz="4" w:space="0"/>
              <w:bottom w:val="single" w:color="auto" w:sz="6" w:space="0"/>
            </w:tcBorders>
            <w:vAlign w:val="center"/>
          </w:tcPr>
          <w:p w14:paraId="5304EF01">
            <w:pPr>
              <w:jc w:val="center"/>
              <w:rPr>
                <w:rFonts w:ascii="宋体" w:hAnsi="宋体"/>
                <w:snapToGrid w:val="0"/>
                <w:spacing w:val="20"/>
                <w:szCs w:val="21"/>
                <w:highlight w:val="none"/>
              </w:rPr>
            </w:pPr>
            <w:r>
              <w:rPr>
                <w:rFonts w:hint="eastAsia" w:ascii="宋体" w:hAnsi="宋体"/>
                <w:snapToGrid w:val="0"/>
                <w:spacing w:val="20"/>
                <w:szCs w:val="21"/>
                <w:highlight w:val="none"/>
              </w:rPr>
              <w:t>序号</w:t>
            </w:r>
          </w:p>
        </w:tc>
        <w:tc>
          <w:tcPr>
            <w:tcW w:w="1890" w:type="dxa"/>
            <w:tcBorders>
              <w:top w:val="double" w:color="auto" w:sz="4" w:space="0"/>
              <w:bottom w:val="single" w:color="auto" w:sz="6" w:space="0"/>
            </w:tcBorders>
            <w:vAlign w:val="center"/>
          </w:tcPr>
          <w:p w14:paraId="3C1D36B1">
            <w:pPr>
              <w:jc w:val="center"/>
              <w:rPr>
                <w:rFonts w:ascii="宋体" w:hAnsi="宋体"/>
                <w:snapToGrid w:val="0"/>
                <w:spacing w:val="20"/>
                <w:szCs w:val="21"/>
                <w:highlight w:val="none"/>
              </w:rPr>
            </w:pPr>
            <w:r>
              <w:rPr>
                <w:rFonts w:hint="eastAsia" w:ascii="宋体" w:hAnsi="宋体"/>
                <w:snapToGrid w:val="0"/>
                <w:spacing w:val="20"/>
                <w:szCs w:val="21"/>
                <w:highlight w:val="none"/>
              </w:rPr>
              <w:t>内 容</w:t>
            </w:r>
          </w:p>
        </w:tc>
        <w:tc>
          <w:tcPr>
            <w:tcW w:w="1965" w:type="dxa"/>
            <w:tcBorders>
              <w:top w:val="double" w:color="auto" w:sz="4" w:space="0"/>
              <w:bottom w:val="single" w:color="auto" w:sz="6" w:space="0"/>
            </w:tcBorders>
            <w:vAlign w:val="center"/>
          </w:tcPr>
          <w:p w14:paraId="0CB8185D">
            <w:pPr>
              <w:jc w:val="center"/>
              <w:rPr>
                <w:rFonts w:ascii="宋体" w:hAnsi="宋体"/>
                <w:snapToGrid w:val="0"/>
                <w:spacing w:val="20"/>
                <w:szCs w:val="21"/>
                <w:highlight w:val="none"/>
              </w:rPr>
            </w:pPr>
            <w:r>
              <w:rPr>
                <w:rFonts w:hint="eastAsia" w:ascii="宋体" w:hAnsi="宋体"/>
                <w:snapToGrid w:val="0"/>
                <w:spacing w:val="20"/>
                <w:szCs w:val="21"/>
                <w:highlight w:val="none"/>
              </w:rPr>
              <w:t>采购要求</w:t>
            </w:r>
          </w:p>
        </w:tc>
        <w:tc>
          <w:tcPr>
            <w:tcW w:w="1425" w:type="dxa"/>
            <w:tcBorders>
              <w:top w:val="double" w:color="auto" w:sz="4" w:space="0"/>
              <w:bottom w:val="single" w:color="auto" w:sz="6" w:space="0"/>
            </w:tcBorders>
            <w:vAlign w:val="center"/>
          </w:tcPr>
          <w:p w14:paraId="61749C5A">
            <w:pPr>
              <w:jc w:val="center"/>
              <w:rPr>
                <w:rFonts w:ascii="宋体" w:hAnsi="宋体"/>
                <w:snapToGrid w:val="0"/>
                <w:spacing w:val="20"/>
                <w:szCs w:val="21"/>
                <w:highlight w:val="none"/>
              </w:rPr>
            </w:pPr>
            <w:r>
              <w:rPr>
                <w:rFonts w:hint="eastAsia" w:ascii="宋体" w:hAnsi="宋体"/>
                <w:snapToGrid w:val="0"/>
                <w:spacing w:val="20"/>
                <w:szCs w:val="21"/>
                <w:highlight w:val="none"/>
              </w:rPr>
              <w:t>投标响应</w:t>
            </w:r>
          </w:p>
        </w:tc>
        <w:tc>
          <w:tcPr>
            <w:tcW w:w="1080" w:type="dxa"/>
            <w:tcBorders>
              <w:top w:val="double" w:color="auto" w:sz="4" w:space="0"/>
              <w:bottom w:val="single" w:color="auto" w:sz="6" w:space="0"/>
            </w:tcBorders>
            <w:vAlign w:val="center"/>
          </w:tcPr>
          <w:p w14:paraId="37D817A6">
            <w:pPr>
              <w:jc w:val="center"/>
              <w:rPr>
                <w:rFonts w:ascii="宋体" w:hAnsi="宋体"/>
                <w:snapToGrid w:val="0"/>
                <w:spacing w:val="20"/>
                <w:szCs w:val="21"/>
                <w:highlight w:val="none"/>
              </w:rPr>
            </w:pPr>
            <w:r>
              <w:rPr>
                <w:rFonts w:hint="eastAsia" w:ascii="宋体" w:hAnsi="宋体"/>
                <w:snapToGrid w:val="0"/>
                <w:spacing w:val="20"/>
                <w:szCs w:val="21"/>
                <w:highlight w:val="none"/>
              </w:rPr>
              <w:t>备注</w:t>
            </w:r>
          </w:p>
        </w:tc>
      </w:tr>
      <w:tr w14:paraId="4C821E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restart"/>
            <w:tcBorders>
              <w:top w:val="single" w:color="auto" w:sz="6" w:space="0"/>
            </w:tcBorders>
            <w:vAlign w:val="center"/>
          </w:tcPr>
          <w:p w14:paraId="63B60B74">
            <w:pPr>
              <w:spacing w:line="440" w:lineRule="exact"/>
              <w:jc w:val="center"/>
              <w:rPr>
                <w:rFonts w:ascii="宋体" w:hAnsi="宋体" w:cs="Arial"/>
                <w:szCs w:val="21"/>
                <w:highlight w:val="none"/>
              </w:rPr>
            </w:pPr>
            <w:r>
              <w:rPr>
                <w:rFonts w:hint="eastAsia" w:ascii="宋体" w:hAnsi="宋体" w:cs="Arial"/>
                <w:szCs w:val="21"/>
                <w:highlight w:val="none"/>
              </w:rPr>
              <w:t>偏</w:t>
            </w:r>
          </w:p>
          <w:p w14:paraId="56CE405A">
            <w:pPr>
              <w:spacing w:line="440" w:lineRule="exact"/>
              <w:jc w:val="center"/>
              <w:rPr>
                <w:rFonts w:ascii="宋体" w:hAnsi="宋体" w:cs="Arial"/>
                <w:szCs w:val="21"/>
                <w:highlight w:val="none"/>
              </w:rPr>
            </w:pPr>
            <w:r>
              <w:rPr>
                <w:rFonts w:hint="eastAsia" w:ascii="宋体" w:hAnsi="宋体" w:cs="Arial"/>
                <w:szCs w:val="21"/>
                <w:highlight w:val="none"/>
              </w:rPr>
              <w:t>离</w:t>
            </w:r>
          </w:p>
          <w:p w14:paraId="18A75957">
            <w:pPr>
              <w:spacing w:line="440" w:lineRule="exact"/>
              <w:jc w:val="center"/>
              <w:rPr>
                <w:rFonts w:ascii="宋体" w:hAnsi="宋体" w:cs="Arial"/>
                <w:szCs w:val="21"/>
                <w:highlight w:val="none"/>
              </w:rPr>
            </w:pPr>
            <w:r>
              <w:rPr>
                <w:rFonts w:hint="eastAsia" w:ascii="宋体" w:hAnsi="宋体" w:cs="Arial"/>
                <w:szCs w:val="21"/>
                <w:highlight w:val="none"/>
              </w:rPr>
              <w:t>说</w:t>
            </w:r>
          </w:p>
          <w:p w14:paraId="18A69787">
            <w:pPr>
              <w:spacing w:line="440" w:lineRule="exact"/>
              <w:jc w:val="center"/>
              <w:rPr>
                <w:rFonts w:ascii="宋体" w:hAnsi="宋体" w:cs="Arial"/>
                <w:szCs w:val="21"/>
                <w:highlight w:val="none"/>
              </w:rPr>
            </w:pPr>
            <w:r>
              <w:rPr>
                <w:rFonts w:hint="eastAsia" w:ascii="宋体" w:hAnsi="宋体" w:cs="Arial"/>
                <w:szCs w:val="21"/>
                <w:highlight w:val="none"/>
              </w:rPr>
              <w:t>明</w:t>
            </w:r>
          </w:p>
        </w:tc>
        <w:tc>
          <w:tcPr>
            <w:tcW w:w="1260" w:type="dxa"/>
            <w:tcBorders>
              <w:top w:val="single" w:color="auto" w:sz="6" w:space="0"/>
              <w:bottom w:val="single" w:color="auto" w:sz="6" w:space="0"/>
            </w:tcBorders>
            <w:vAlign w:val="center"/>
          </w:tcPr>
          <w:p w14:paraId="11D9CB55">
            <w:pPr>
              <w:jc w:val="center"/>
              <w:rPr>
                <w:rFonts w:ascii="宋体" w:hAnsi="宋体"/>
                <w:snapToGrid w:val="0"/>
                <w:spacing w:val="20"/>
                <w:szCs w:val="21"/>
                <w:highlight w:val="none"/>
              </w:rPr>
            </w:pPr>
          </w:p>
        </w:tc>
        <w:tc>
          <w:tcPr>
            <w:tcW w:w="1890" w:type="dxa"/>
            <w:tcBorders>
              <w:top w:val="single" w:color="auto" w:sz="6" w:space="0"/>
              <w:bottom w:val="single" w:color="auto" w:sz="6" w:space="0"/>
            </w:tcBorders>
            <w:vAlign w:val="center"/>
          </w:tcPr>
          <w:p w14:paraId="33D58390">
            <w:pPr>
              <w:jc w:val="center"/>
              <w:rPr>
                <w:rFonts w:ascii="宋体" w:hAnsi="宋体"/>
                <w:snapToGrid w:val="0"/>
                <w:spacing w:val="20"/>
                <w:szCs w:val="21"/>
                <w:highlight w:val="none"/>
              </w:rPr>
            </w:pPr>
          </w:p>
        </w:tc>
        <w:tc>
          <w:tcPr>
            <w:tcW w:w="1965" w:type="dxa"/>
            <w:tcBorders>
              <w:top w:val="single" w:color="auto" w:sz="6" w:space="0"/>
              <w:bottom w:val="single" w:color="auto" w:sz="6" w:space="0"/>
            </w:tcBorders>
            <w:vAlign w:val="center"/>
          </w:tcPr>
          <w:p w14:paraId="1525A400">
            <w:pPr>
              <w:jc w:val="center"/>
              <w:rPr>
                <w:rFonts w:ascii="宋体" w:hAnsi="宋体"/>
                <w:snapToGrid w:val="0"/>
                <w:spacing w:val="20"/>
                <w:szCs w:val="21"/>
                <w:highlight w:val="none"/>
              </w:rPr>
            </w:pPr>
          </w:p>
        </w:tc>
        <w:tc>
          <w:tcPr>
            <w:tcW w:w="1425" w:type="dxa"/>
            <w:tcBorders>
              <w:top w:val="single" w:color="auto" w:sz="6" w:space="0"/>
              <w:bottom w:val="single" w:color="auto" w:sz="6" w:space="0"/>
            </w:tcBorders>
            <w:vAlign w:val="center"/>
          </w:tcPr>
          <w:p w14:paraId="55DB338E">
            <w:pPr>
              <w:jc w:val="center"/>
              <w:rPr>
                <w:rFonts w:ascii="宋体" w:hAnsi="宋体"/>
                <w:snapToGrid w:val="0"/>
                <w:spacing w:val="20"/>
                <w:szCs w:val="21"/>
                <w:highlight w:val="none"/>
              </w:rPr>
            </w:pPr>
          </w:p>
        </w:tc>
        <w:tc>
          <w:tcPr>
            <w:tcW w:w="1080" w:type="dxa"/>
            <w:tcBorders>
              <w:top w:val="single" w:color="auto" w:sz="6" w:space="0"/>
              <w:bottom w:val="single" w:color="auto" w:sz="6" w:space="0"/>
            </w:tcBorders>
            <w:vAlign w:val="center"/>
          </w:tcPr>
          <w:p w14:paraId="33F90BE9">
            <w:pPr>
              <w:jc w:val="center"/>
              <w:rPr>
                <w:rFonts w:ascii="宋体" w:hAnsi="宋体"/>
                <w:snapToGrid w:val="0"/>
                <w:spacing w:val="20"/>
                <w:szCs w:val="21"/>
                <w:highlight w:val="none"/>
              </w:rPr>
            </w:pPr>
          </w:p>
        </w:tc>
      </w:tr>
      <w:tr w14:paraId="2A574D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48AF25CA">
            <w:pPr>
              <w:spacing w:line="440" w:lineRule="exact"/>
              <w:jc w:val="center"/>
              <w:rPr>
                <w:rFonts w:ascii="宋体" w:hAnsi="宋体"/>
                <w:snapToGrid w:val="0"/>
                <w:spacing w:val="20"/>
                <w:szCs w:val="21"/>
                <w:highlight w:val="none"/>
              </w:rPr>
            </w:pPr>
          </w:p>
        </w:tc>
        <w:tc>
          <w:tcPr>
            <w:tcW w:w="1260" w:type="dxa"/>
            <w:tcBorders>
              <w:top w:val="single" w:color="auto" w:sz="6" w:space="0"/>
              <w:bottom w:val="single" w:color="auto" w:sz="6" w:space="0"/>
            </w:tcBorders>
            <w:vAlign w:val="center"/>
          </w:tcPr>
          <w:p w14:paraId="58E704F2">
            <w:pPr>
              <w:jc w:val="center"/>
              <w:rPr>
                <w:rFonts w:ascii="宋体" w:hAnsi="宋体"/>
                <w:snapToGrid w:val="0"/>
                <w:spacing w:val="20"/>
                <w:szCs w:val="21"/>
                <w:highlight w:val="none"/>
              </w:rPr>
            </w:pPr>
          </w:p>
        </w:tc>
        <w:tc>
          <w:tcPr>
            <w:tcW w:w="1890" w:type="dxa"/>
            <w:tcBorders>
              <w:top w:val="single" w:color="auto" w:sz="6" w:space="0"/>
              <w:bottom w:val="single" w:color="auto" w:sz="6" w:space="0"/>
            </w:tcBorders>
            <w:vAlign w:val="center"/>
          </w:tcPr>
          <w:p w14:paraId="662765BC">
            <w:pPr>
              <w:jc w:val="center"/>
              <w:rPr>
                <w:rFonts w:ascii="宋体" w:hAnsi="宋体"/>
                <w:snapToGrid w:val="0"/>
                <w:spacing w:val="20"/>
                <w:szCs w:val="21"/>
                <w:highlight w:val="none"/>
              </w:rPr>
            </w:pPr>
          </w:p>
        </w:tc>
        <w:tc>
          <w:tcPr>
            <w:tcW w:w="1965" w:type="dxa"/>
            <w:tcBorders>
              <w:top w:val="single" w:color="auto" w:sz="6" w:space="0"/>
              <w:bottom w:val="single" w:color="auto" w:sz="6" w:space="0"/>
            </w:tcBorders>
            <w:vAlign w:val="center"/>
          </w:tcPr>
          <w:p w14:paraId="13D9557D">
            <w:pPr>
              <w:jc w:val="center"/>
              <w:rPr>
                <w:rFonts w:ascii="宋体" w:hAnsi="宋体"/>
                <w:snapToGrid w:val="0"/>
                <w:spacing w:val="20"/>
                <w:szCs w:val="21"/>
                <w:highlight w:val="none"/>
              </w:rPr>
            </w:pPr>
          </w:p>
        </w:tc>
        <w:tc>
          <w:tcPr>
            <w:tcW w:w="1425" w:type="dxa"/>
            <w:tcBorders>
              <w:top w:val="single" w:color="auto" w:sz="6" w:space="0"/>
              <w:bottom w:val="single" w:color="auto" w:sz="6" w:space="0"/>
            </w:tcBorders>
            <w:vAlign w:val="center"/>
          </w:tcPr>
          <w:p w14:paraId="4198CD9F">
            <w:pPr>
              <w:jc w:val="center"/>
              <w:rPr>
                <w:rFonts w:ascii="宋体" w:hAnsi="宋体"/>
                <w:snapToGrid w:val="0"/>
                <w:spacing w:val="20"/>
                <w:szCs w:val="21"/>
                <w:highlight w:val="none"/>
              </w:rPr>
            </w:pPr>
          </w:p>
        </w:tc>
        <w:tc>
          <w:tcPr>
            <w:tcW w:w="1080" w:type="dxa"/>
            <w:tcBorders>
              <w:top w:val="single" w:color="auto" w:sz="6" w:space="0"/>
              <w:bottom w:val="single" w:color="auto" w:sz="6" w:space="0"/>
            </w:tcBorders>
            <w:vAlign w:val="center"/>
          </w:tcPr>
          <w:p w14:paraId="63F833FD">
            <w:pPr>
              <w:jc w:val="center"/>
              <w:rPr>
                <w:rFonts w:ascii="宋体" w:hAnsi="宋体"/>
                <w:snapToGrid w:val="0"/>
                <w:spacing w:val="20"/>
                <w:szCs w:val="21"/>
                <w:highlight w:val="none"/>
              </w:rPr>
            </w:pPr>
          </w:p>
        </w:tc>
      </w:tr>
      <w:tr w14:paraId="031E2F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05216002">
            <w:pPr>
              <w:spacing w:line="440" w:lineRule="exact"/>
              <w:jc w:val="center"/>
              <w:rPr>
                <w:rFonts w:ascii="宋体" w:hAnsi="宋体"/>
                <w:snapToGrid w:val="0"/>
                <w:spacing w:val="20"/>
                <w:szCs w:val="21"/>
                <w:highlight w:val="none"/>
              </w:rPr>
            </w:pPr>
          </w:p>
        </w:tc>
        <w:tc>
          <w:tcPr>
            <w:tcW w:w="1260" w:type="dxa"/>
            <w:tcBorders>
              <w:top w:val="single" w:color="auto" w:sz="6" w:space="0"/>
              <w:bottom w:val="single" w:color="auto" w:sz="6" w:space="0"/>
            </w:tcBorders>
            <w:vAlign w:val="center"/>
          </w:tcPr>
          <w:p w14:paraId="25C92FDF">
            <w:pPr>
              <w:jc w:val="center"/>
              <w:rPr>
                <w:rFonts w:ascii="宋体" w:hAnsi="宋体"/>
                <w:snapToGrid w:val="0"/>
                <w:spacing w:val="20"/>
                <w:szCs w:val="21"/>
                <w:highlight w:val="none"/>
              </w:rPr>
            </w:pPr>
          </w:p>
        </w:tc>
        <w:tc>
          <w:tcPr>
            <w:tcW w:w="1890" w:type="dxa"/>
            <w:tcBorders>
              <w:top w:val="single" w:color="auto" w:sz="6" w:space="0"/>
              <w:bottom w:val="single" w:color="auto" w:sz="6" w:space="0"/>
            </w:tcBorders>
            <w:vAlign w:val="center"/>
          </w:tcPr>
          <w:p w14:paraId="58EE576A">
            <w:pPr>
              <w:jc w:val="center"/>
              <w:rPr>
                <w:rFonts w:ascii="宋体" w:hAnsi="宋体"/>
                <w:snapToGrid w:val="0"/>
                <w:spacing w:val="20"/>
                <w:szCs w:val="21"/>
                <w:highlight w:val="none"/>
              </w:rPr>
            </w:pPr>
          </w:p>
        </w:tc>
        <w:tc>
          <w:tcPr>
            <w:tcW w:w="1965" w:type="dxa"/>
            <w:tcBorders>
              <w:top w:val="single" w:color="auto" w:sz="6" w:space="0"/>
              <w:bottom w:val="single" w:color="auto" w:sz="6" w:space="0"/>
            </w:tcBorders>
            <w:vAlign w:val="center"/>
          </w:tcPr>
          <w:p w14:paraId="65C69B47">
            <w:pPr>
              <w:jc w:val="center"/>
              <w:rPr>
                <w:rFonts w:ascii="宋体" w:hAnsi="宋体"/>
                <w:snapToGrid w:val="0"/>
                <w:spacing w:val="20"/>
                <w:szCs w:val="21"/>
                <w:highlight w:val="none"/>
              </w:rPr>
            </w:pPr>
          </w:p>
        </w:tc>
        <w:tc>
          <w:tcPr>
            <w:tcW w:w="1425" w:type="dxa"/>
            <w:tcBorders>
              <w:top w:val="single" w:color="auto" w:sz="6" w:space="0"/>
              <w:bottom w:val="single" w:color="auto" w:sz="6" w:space="0"/>
            </w:tcBorders>
            <w:vAlign w:val="center"/>
          </w:tcPr>
          <w:p w14:paraId="08181E10">
            <w:pPr>
              <w:jc w:val="center"/>
              <w:rPr>
                <w:rFonts w:ascii="宋体" w:hAnsi="宋体"/>
                <w:snapToGrid w:val="0"/>
                <w:spacing w:val="20"/>
                <w:szCs w:val="21"/>
                <w:highlight w:val="none"/>
              </w:rPr>
            </w:pPr>
          </w:p>
        </w:tc>
        <w:tc>
          <w:tcPr>
            <w:tcW w:w="1080" w:type="dxa"/>
            <w:tcBorders>
              <w:top w:val="single" w:color="auto" w:sz="6" w:space="0"/>
              <w:bottom w:val="single" w:color="auto" w:sz="6" w:space="0"/>
            </w:tcBorders>
            <w:vAlign w:val="center"/>
          </w:tcPr>
          <w:p w14:paraId="57F984D7">
            <w:pPr>
              <w:jc w:val="center"/>
              <w:rPr>
                <w:rFonts w:ascii="宋体" w:hAnsi="宋体"/>
                <w:snapToGrid w:val="0"/>
                <w:spacing w:val="20"/>
                <w:szCs w:val="21"/>
                <w:highlight w:val="none"/>
              </w:rPr>
            </w:pPr>
          </w:p>
        </w:tc>
      </w:tr>
      <w:tr w14:paraId="1A109D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607BED98">
            <w:pPr>
              <w:spacing w:line="440" w:lineRule="exact"/>
              <w:jc w:val="center"/>
              <w:rPr>
                <w:rFonts w:ascii="宋体" w:hAnsi="宋体"/>
                <w:snapToGrid w:val="0"/>
                <w:spacing w:val="20"/>
                <w:szCs w:val="21"/>
                <w:highlight w:val="none"/>
              </w:rPr>
            </w:pPr>
          </w:p>
        </w:tc>
        <w:tc>
          <w:tcPr>
            <w:tcW w:w="1260" w:type="dxa"/>
            <w:tcBorders>
              <w:top w:val="single" w:color="auto" w:sz="6" w:space="0"/>
              <w:bottom w:val="single" w:color="auto" w:sz="6" w:space="0"/>
            </w:tcBorders>
            <w:vAlign w:val="center"/>
          </w:tcPr>
          <w:p w14:paraId="0A628616">
            <w:pPr>
              <w:jc w:val="center"/>
              <w:rPr>
                <w:rFonts w:ascii="宋体" w:hAnsi="宋体"/>
                <w:snapToGrid w:val="0"/>
                <w:spacing w:val="20"/>
                <w:szCs w:val="21"/>
                <w:highlight w:val="none"/>
              </w:rPr>
            </w:pPr>
          </w:p>
        </w:tc>
        <w:tc>
          <w:tcPr>
            <w:tcW w:w="1890" w:type="dxa"/>
            <w:tcBorders>
              <w:top w:val="single" w:color="auto" w:sz="6" w:space="0"/>
              <w:bottom w:val="single" w:color="auto" w:sz="6" w:space="0"/>
            </w:tcBorders>
            <w:vAlign w:val="center"/>
          </w:tcPr>
          <w:p w14:paraId="44CD5B08">
            <w:pPr>
              <w:jc w:val="center"/>
              <w:rPr>
                <w:rFonts w:ascii="宋体" w:hAnsi="宋体"/>
                <w:snapToGrid w:val="0"/>
                <w:spacing w:val="20"/>
                <w:szCs w:val="21"/>
                <w:highlight w:val="none"/>
              </w:rPr>
            </w:pPr>
          </w:p>
        </w:tc>
        <w:tc>
          <w:tcPr>
            <w:tcW w:w="1965" w:type="dxa"/>
            <w:tcBorders>
              <w:top w:val="single" w:color="auto" w:sz="6" w:space="0"/>
              <w:bottom w:val="single" w:color="auto" w:sz="6" w:space="0"/>
            </w:tcBorders>
            <w:vAlign w:val="center"/>
          </w:tcPr>
          <w:p w14:paraId="6F1CA2FC">
            <w:pPr>
              <w:jc w:val="center"/>
              <w:rPr>
                <w:rFonts w:ascii="宋体" w:hAnsi="宋体"/>
                <w:snapToGrid w:val="0"/>
                <w:spacing w:val="20"/>
                <w:szCs w:val="21"/>
                <w:highlight w:val="none"/>
              </w:rPr>
            </w:pPr>
          </w:p>
        </w:tc>
        <w:tc>
          <w:tcPr>
            <w:tcW w:w="1425" w:type="dxa"/>
            <w:tcBorders>
              <w:top w:val="single" w:color="auto" w:sz="6" w:space="0"/>
              <w:bottom w:val="single" w:color="auto" w:sz="6" w:space="0"/>
            </w:tcBorders>
            <w:vAlign w:val="center"/>
          </w:tcPr>
          <w:p w14:paraId="46501541">
            <w:pPr>
              <w:jc w:val="center"/>
              <w:rPr>
                <w:rFonts w:ascii="宋体" w:hAnsi="宋体"/>
                <w:snapToGrid w:val="0"/>
                <w:spacing w:val="20"/>
                <w:szCs w:val="21"/>
                <w:highlight w:val="none"/>
              </w:rPr>
            </w:pPr>
          </w:p>
        </w:tc>
        <w:tc>
          <w:tcPr>
            <w:tcW w:w="1080" w:type="dxa"/>
            <w:tcBorders>
              <w:top w:val="single" w:color="auto" w:sz="6" w:space="0"/>
              <w:bottom w:val="single" w:color="auto" w:sz="6" w:space="0"/>
            </w:tcBorders>
            <w:vAlign w:val="center"/>
          </w:tcPr>
          <w:p w14:paraId="22EAB5AF">
            <w:pPr>
              <w:jc w:val="center"/>
              <w:rPr>
                <w:rFonts w:ascii="宋体" w:hAnsi="宋体"/>
                <w:snapToGrid w:val="0"/>
                <w:spacing w:val="20"/>
                <w:szCs w:val="21"/>
                <w:highlight w:val="none"/>
              </w:rPr>
            </w:pPr>
          </w:p>
        </w:tc>
      </w:tr>
      <w:tr w14:paraId="238BE8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51DB8F89">
            <w:pPr>
              <w:spacing w:line="440" w:lineRule="exact"/>
              <w:jc w:val="center"/>
              <w:rPr>
                <w:rFonts w:ascii="宋体" w:hAnsi="宋体"/>
                <w:snapToGrid w:val="0"/>
                <w:spacing w:val="20"/>
                <w:szCs w:val="21"/>
                <w:highlight w:val="none"/>
              </w:rPr>
            </w:pPr>
          </w:p>
        </w:tc>
        <w:tc>
          <w:tcPr>
            <w:tcW w:w="1260" w:type="dxa"/>
            <w:tcBorders>
              <w:top w:val="single" w:color="auto" w:sz="6" w:space="0"/>
              <w:bottom w:val="double" w:color="auto" w:sz="4" w:space="0"/>
            </w:tcBorders>
            <w:vAlign w:val="center"/>
          </w:tcPr>
          <w:p w14:paraId="722E329E">
            <w:pPr>
              <w:jc w:val="center"/>
              <w:rPr>
                <w:rFonts w:ascii="宋体" w:hAnsi="宋体"/>
                <w:snapToGrid w:val="0"/>
                <w:spacing w:val="20"/>
                <w:szCs w:val="21"/>
                <w:highlight w:val="none"/>
              </w:rPr>
            </w:pPr>
          </w:p>
        </w:tc>
        <w:tc>
          <w:tcPr>
            <w:tcW w:w="1890" w:type="dxa"/>
            <w:tcBorders>
              <w:top w:val="single" w:color="auto" w:sz="6" w:space="0"/>
              <w:bottom w:val="double" w:color="auto" w:sz="4" w:space="0"/>
            </w:tcBorders>
            <w:vAlign w:val="center"/>
          </w:tcPr>
          <w:p w14:paraId="330E2DCE">
            <w:pPr>
              <w:jc w:val="center"/>
              <w:rPr>
                <w:rFonts w:ascii="宋体" w:hAnsi="宋体"/>
                <w:snapToGrid w:val="0"/>
                <w:spacing w:val="20"/>
                <w:szCs w:val="21"/>
                <w:highlight w:val="none"/>
              </w:rPr>
            </w:pPr>
          </w:p>
        </w:tc>
        <w:tc>
          <w:tcPr>
            <w:tcW w:w="1965" w:type="dxa"/>
            <w:tcBorders>
              <w:top w:val="single" w:color="auto" w:sz="6" w:space="0"/>
              <w:bottom w:val="double" w:color="auto" w:sz="4" w:space="0"/>
            </w:tcBorders>
            <w:vAlign w:val="center"/>
          </w:tcPr>
          <w:p w14:paraId="5D6471F0">
            <w:pPr>
              <w:jc w:val="center"/>
              <w:rPr>
                <w:rFonts w:ascii="宋体" w:hAnsi="宋体"/>
                <w:snapToGrid w:val="0"/>
                <w:spacing w:val="20"/>
                <w:szCs w:val="21"/>
                <w:highlight w:val="none"/>
              </w:rPr>
            </w:pPr>
          </w:p>
        </w:tc>
        <w:tc>
          <w:tcPr>
            <w:tcW w:w="1425" w:type="dxa"/>
            <w:tcBorders>
              <w:top w:val="single" w:color="auto" w:sz="6" w:space="0"/>
              <w:bottom w:val="double" w:color="auto" w:sz="4" w:space="0"/>
            </w:tcBorders>
            <w:vAlign w:val="center"/>
          </w:tcPr>
          <w:p w14:paraId="6A289AE4">
            <w:pPr>
              <w:jc w:val="center"/>
              <w:rPr>
                <w:rFonts w:ascii="宋体" w:hAnsi="宋体"/>
                <w:snapToGrid w:val="0"/>
                <w:spacing w:val="20"/>
                <w:szCs w:val="21"/>
                <w:highlight w:val="none"/>
              </w:rPr>
            </w:pPr>
          </w:p>
        </w:tc>
        <w:tc>
          <w:tcPr>
            <w:tcW w:w="1080" w:type="dxa"/>
            <w:tcBorders>
              <w:top w:val="single" w:color="auto" w:sz="6" w:space="0"/>
              <w:bottom w:val="double" w:color="auto" w:sz="4" w:space="0"/>
            </w:tcBorders>
            <w:vAlign w:val="center"/>
          </w:tcPr>
          <w:p w14:paraId="25468F37">
            <w:pPr>
              <w:jc w:val="center"/>
              <w:rPr>
                <w:rFonts w:ascii="宋体" w:hAnsi="宋体"/>
                <w:snapToGrid w:val="0"/>
                <w:spacing w:val="20"/>
                <w:szCs w:val="21"/>
                <w:highlight w:val="none"/>
              </w:rPr>
            </w:pPr>
          </w:p>
        </w:tc>
      </w:tr>
      <w:tr w14:paraId="098CD1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3358D259">
            <w:pPr>
              <w:spacing w:line="440" w:lineRule="exact"/>
              <w:jc w:val="center"/>
              <w:rPr>
                <w:rFonts w:ascii="宋体" w:hAnsi="宋体"/>
                <w:snapToGrid w:val="0"/>
                <w:spacing w:val="20"/>
                <w:szCs w:val="21"/>
                <w:highlight w:val="none"/>
              </w:rPr>
            </w:pPr>
          </w:p>
        </w:tc>
        <w:tc>
          <w:tcPr>
            <w:tcW w:w="1260" w:type="dxa"/>
            <w:tcBorders>
              <w:top w:val="double" w:color="auto" w:sz="4" w:space="0"/>
            </w:tcBorders>
            <w:vAlign w:val="center"/>
          </w:tcPr>
          <w:p w14:paraId="5BDE8A37">
            <w:pPr>
              <w:jc w:val="center"/>
              <w:rPr>
                <w:rFonts w:ascii="宋体" w:hAnsi="宋体"/>
                <w:snapToGrid w:val="0"/>
                <w:spacing w:val="20"/>
                <w:szCs w:val="21"/>
                <w:highlight w:val="none"/>
              </w:rPr>
            </w:pPr>
          </w:p>
        </w:tc>
        <w:tc>
          <w:tcPr>
            <w:tcW w:w="1890" w:type="dxa"/>
            <w:tcBorders>
              <w:top w:val="double" w:color="auto" w:sz="4" w:space="0"/>
            </w:tcBorders>
            <w:vAlign w:val="center"/>
          </w:tcPr>
          <w:p w14:paraId="6D96F5D1">
            <w:pPr>
              <w:jc w:val="center"/>
              <w:rPr>
                <w:rFonts w:ascii="宋体" w:hAnsi="宋体"/>
                <w:snapToGrid w:val="0"/>
                <w:spacing w:val="20"/>
                <w:szCs w:val="21"/>
                <w:highlight w:val="none"/>
              </w:rPr>
            </w:pPr>
          </w:p>
        </w:tc>
        <w:tc>
          <w:tcPr>
            <w:tcW w:w="1965" w:type="dxa"/>
            <w:tcBorders>
              <w:top w:val="double" w:color="auto" w:sz="4" w:space="0"/>
            </w:tcBorders>
            <w:vAlign w:val="center"/>
          </w:tcPr>
          <w:p w14:paraId="286FE1C4">
            <w:pPr>
              <w:jc w:val="center"/>
              <w:rPr>
                <w:rFonts w:ascii="宋体" w:hAnsi="宋体"/>
                <w:snapToGrid w:val="0"/>
                <w:spacing w:val="20"/>
                <w:szCs w:val="21"/>
                <w:highlight w:val="none"/>
              </w:rPr>
            </w:pPr>
          </w:p>
        </w:tc>
        <w:tc>
          <w:tcPr>
            <w:tcW w:w="1425" w:type="dxa"/>
            <w:tcBorders>
              <w:top w:val="double" w:color="auto" w:sz="4" w:space="0"/>
            </w:tcBorders>
            <w:vAlign w:val="center"/>
          </w:tcPr>
          <w:p w14:paraId="6E2ACEB5">
            <w:pPr>
              <w:jc w:val="center"/>
              <w:rPr>
                <w:rFonts w:ascii="宋体" w:hAnsi="宋体"/>
                <w:snapToGrid w:val="0"/>
                <w:spacing w:val="20"/>
                <w:szCs w:val="21"/>
                <w:highlight w:val="none"/>
              </w:rPr>
            </w:pPr>
          </w:p>
        </w:tc>
        <w:tc>
          <w:tcPr>
            <w:tcW w:w="1080" w:type="dxa"/>
            <w:tcBorders>
              <w:top w:val="double" w:color="auto" w:sz="4" w:space="0"/>
            </w:tcBorders>
            <w:vAlign w:val="center"/>
          </w:tcPr>
          <w:p w14:paraId="73F34FB2">
            <w:pPr>
              <w:jc w:val="center"/>
              <w:rPr>
                <w:rFonts w:ascii="宋体" w:hAnsi="宋体"/>
                <w:snapToGrid w:val="0"/>
                <w:spacing w:val="20"/>
                <w:szCs w:val="21"/>
                <w:highlight w:val="none"/>
              </w:rPr>
            </w:pPr>
          </w:p>
        </w:tc>
      </w:tr>
      <w:tr w14:paraId="597289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0E1DA103">
            <w:pPr>
              <w:jc w:val="center"/>
              <w:rPr>
                <w:rFonts w:ascii="宋体" w:hAnsi="宋体"/>
                <w:snapToGrid w:val="0"/>
                <w:spacing w:val="20"/>
                <w:szCs w:val="21"/>
                <w:highlight w:val="none"/>
              </w:rPr>
            </w:pPr>
          </w:p>
        </w:tc>
        <w:tc>
          <w:tcPr>
            <w:tcW w:w="1260" w:type="dxa"/>
            <w:vAlign w:val="center"/>
          </w:tcPr>
          <w:p w14:paraId="5EAAFD33">
            <w:pPr>
              <w:jc w:val="center"/>
              <w:rPr>
                <w:rFonts w:ascii="宋体" w:hAnsi="宋体"/>
                <w:snapToGrid w:val="0"/>
                <w:spacing w:val="20"/>
                <w:szCs w:val="21"/>
                <w:highlight w:val="none"/>
              </w:rPr>
            </w:pPr>
          </w:p>
        </w:tc>
        <w:tc>
          <w:tcPr>
            <w:tcW w:w="1890" w:type="dxa"/>
            <w:vAlign w:val="center"/>
          </w:tcPr>
          <w:p w14:paraId="65AA34EF">
            <w:pPr>
              <w:jc w:val="center"/>
              <w:rPr>
                <w:rFonts w:ascii="宋体" w:hAnsi="宋体"/>
                <w:snapToGrid w:val="0"/>
                <w:spacing w:val="20"/>
                <w:szCs w:val="21"/>
                <w:highlight w:val="none"/>
              </w:rPr>
            </w:pPr>
          </w:p>
        </w:tc>
        <w:tc>
          <w:tcPr>
            <w:tcW w:w="1965" w:type="dxa"/>
            <w:vAlign w:val="center"/>
          </w:tcPr>
          <w:p w14:paraId="6FDD9EAF">
            <w:pPr>
              <w:jc w:val="center"/>
              <w:rPr>
                <w:rFonts w:ascii="宋体" w:hAnsi="宋体"/>
                <w:snapToGrid w:val="0"/>
                <w:spacing w:val="20"/>
                <w:szCs w:val="21"/>
                <w:highlight w:val="none"/>
              </w:rPr>
            </w:pPr>
          </w:p>
        </w:tc>
        <w:tc>
          <w:tcPr>
            <w:tcW w:w="1425" w:type="dxa"/>
            <w:vAlign w:val="center"/>
          </w:tcPr>
          <w:p w14:paraId="68DBD8CC">
            <w:pPr>
              <w:jc w:val="center"/>
              <w:rPr>
                <w:rFonts w:ascii="宋体" w:hAnsi="宋体"/>
                <w:snapToGrid w:val="0"/>
                <w:spacing w:val="20"/>
                <w:szCs w:val="21"/>
                <w:highlight w:val="none"/>
              </w:rPr>
            </w:pPr>
          </w:p>
        </w:tc>
        <w:tc>
          <w:tcPr>
            <w:tcW w:w="1080" w:type="dxa"/>
            <w:vAlign w:val="center"/>
          </w:tcPr>
          <w:p w14:paraId="1CD49023">
            <w:pPr>
              <w:jc w:val="center"/>
              <w:rPr>
                <w:rFonts w:ascii="宋体" w:hAnsi="宋体"/>
                <w:snapToGrid w:val="0"/>
                <w:spacing w:val="20"/>
                <w:szCs w:val="21"/>
                <w:highlight w:val="none"/>
              </w:rPr>
            </w:pPr>
          </w:p>
        </w:tc>
      </w:tr>
      <w:tr w14:paraId="4E1DD7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2C774E76">
            <w:pPr>
              <w:jc w:val="center"/>
              <w:rPr>
                <w:rFonts w:ascii="宋体" w:hAnsi="宋体"/>
                <w:snapToGrid w:val="0"/>
                <w:spacing w:val="20"/>
                <w:szCs w:val="21"/>
                <w:highlight w:val="none"/>
              </w:rPr>
            </w:pPr>
          </w:p>
        </w:tc>
        <w:tc>
          <w:tcPr>
            <w:tcW w:w="1260" w:type="dxa"/>
            <w:vAlign w:val="center"/>
          </w:tcPr>
          <w:p w14:paraId="16DF9D74">
            <w:pPr>
              <w:jc w:val="center"/>
              <w:rPr>
                <w:rFonts w:ascii="宋体" w:hAnsi="宋体"/>
                <w:snapToGrid w:val="0"/>
                <w:spacing w:val="20"/>
                <w:szCs w:val="21"/>
                <w:highlight w:val="none"/>
              </w:rPr>
            </w:pPr>
          </w:p>
        </w:tc>
        <w:tc>
          <w:tcPr>
            <w:tcW w:w="1890" w:type="dxa"/>
            <w:vAlign w:val="center"/>
          </w:tcPr>
          <w:p w14:paraId="049AA0CA">
            <w:pPr>
              <w:jc w:val="center"/>
              <w:rPr>
                <w:rFonts w:ascii="宋体" w:hAnsi="宋体"/>
                <w:snapToGrid w:val="0"/>
                <w:spacing w:val="20"/>
                <w:szCs w:val="21"/>
                <w:highlight w:val="none"/>
              </w:rPr>
            </w:pPr>
          </w:p>
        </w:tc>
        <w:tc>
          <w:tcPr>
            <w:tcW w:w="1965" w:type="dxa"/>
            <w:vAlign w:val="center"/>
          </w:tcPr>
          <w:p w14:paraId="64FA1758">
            <w:pPr>
              <w:jc w:val="center"/>
              <w:rPr>
                <w:rFonts w:ascii="宋体" w:hAnsi="宋体"/>
                <w:snapToGrid w:val="0"/>
                <w:spacing w:val="20"/>
                <w:szCs w:val="21"/>
                <w:highlight w:val="none"/>
              </w:rPr>
            </w:pPr>
          </w:p>
        </w:tc>
        <w:tc>
          <w:tcPr>
            <w:tcW w:w="1425" w:type="dxa"/>
            <w:vAlign w:val="center"/>
          </w:tcPr>
          <w:p w14:paraId="15022CC3">
            <w:pPr>
              <w:jc w:val="center"/>
              <w:rPr>
                <w:rFonts w:ascii="宋体" w:hAnsi="宋体"/>
                <w:snapToGrid w:val="0"/>
                <w:spacing w:val="20"/>
                <w:szCs w:val="21"/>
                <w:highlight w:val="none"/>
              </w:rPr>
            </w:pPr>
          </w:p>
        </w:tc>
        <w:tc>
          <w:tcPr>
            <w:tcW w:w="1080" w:type="dxa"/>
            <w:vAlign w:val="center"/>
          </w:tcPr>
          <w:p w14:paraId="59A7EED3">
            <w:pPr>
              <w:jc w:val="center"/>
              <w:rPr>
                <w:rFonts w:ascii="宋体" w:hAnsi="宋体"/>
                <w:snapToGrid w:val="0"/>
                <w:spacing w:val="20"/>
                <w:szCs w:val="21"/>
                <w:highlight w:val="none"/>
              </w:rPr>
            </w:pPr>
          </w:p>
        </w:tc>
      </w:tr>
      <w:tr w14:paraId="1D06E9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5A12CD89">
            <w:pPr>
              <w:jc w:val="center"/>
              <w:rPr>
                <w:rFonts w:ascii="宋体" w:hAnsi="宋体"/>
                <w:snapToGrid w:val="0"/>
                <w:spacing w:val="20"/>
                <w:szCs w:val="21"/>
                <w:highlight w:val="none"/>
              </w:rPr>
            </w:pPr>
          </w:p>
        </w:tc>
        <w:tc>
          <w:tcPr>
            <w:tcW w:w="1260" w:type="dxa"/>
            <w:vAlign w:val="center"/>
          </w:tcPr>
          <w:p w14:paraId="5B77870B">
            <w:pPr>
              <w:jc w:val="center"/>
              <w:rPr>
                <w:rFonts w:ascii="宋体" w:hAnsi="宋体"/>
                <w:snapToGrid w:val="0"/>
                <w:spacing w:val="20"/>
                <w:szCs w:val="21"/>
                <w:highlight w:val="none"/>
              </w:rPr>
            </w:pPr>
          </w:p>
        </w:tc>
        <w:tc>
          <w:tcPr>
            <w:tcW w:w="1890" w:type="dxa"/>
            <w:vAlign w:val="center"/>
          </w:tcPr>
          <w:p w14:paraId="3A7FEDDA">
            <w:pPr>
              <w:jc w:val="center"/>
              <w:rPr>
                <w:rFonts w:ascii="宋体" w:hAnsi="宋体"/>
                <w:snapToGrid w:val="0"/>
                <w:spacing w:val="20"/>
                <w:szCs w:val="21"/>
                <w:highlight w:val="none"/>
              </w:rPr>
            </w:pPr>
          </w:p>
        </w:tc>
        <w:tc>
          <w:tcPr>
            <w:tcW w:w="1965" w:type="dxa"/>
            <w:vAlign w:val="center"/>
          </w:tcPr>
          <w:p w14:paraId="7F962A7E">
            <w:pPr>
              <w:jc w:val="center"/>
              <w:rPr>
                <w:rFonts w:ascii="宋体" w:hAnsi="宋体"/>
                <w:snapToGrid w:val="0"/>
                <w:spacing w:val="20"/>
                <w:szCs w:val="21"/>
                <w:highlight w:val="none"/>
              </w:rPr>
            </w:pPr>
          </w:p>
        </w:tc>
        <w:tc>
          <w:tcPr>
            <w:tcW w:w="1425" w:type="dxa"/>
            <w:vAlign w:val="center"/>
          </w:tcPr>
          <w:p w14:paraId="75E979FD">
            <w:pPr>
              <w:jc w:val="center"/>
              <w:rPr>
                <w:rFonts w:ascii="宋体" w:hAnsi="宋体"/>
                <w:snapToGrid w:val="0"/>
                <w:spacing w:val="20"/>
                <w:szCs w:val="21"/>
                <w:highlight w:val="none"/>
              </w:rPr>
            </w:pPr>
          </w:p>
        </w:tc>
        <w:tc>
          <w:tcPr>
            <w:tcW w:w="1080" w:type="dxa"/>
            <w:vAlign w:val="center"/>
          </w:tcPr>
          <w:p w14:paraId="2B985DAA">
            <w:pPr>
              <w:jc w:val="center"/>
              <w:rPr>
                <w:rFonts w:ascii="宋体" w:hAnsi="宋体"/>
                <w:snapToGrid w:val="0"/>
                <w:spacing w:val="20"/>
                <w:szCs w:val="21"/>
                <w:highlight w:val="none"/>
              </w:rPr>
            </w:pPr>
          </w:p>
        </w:tc>
      </w:tr>
      <w:tr w14:paraId="2275A8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Merge w:val="continue"/>
            <w:vAlign w:val="center"/>
          </w:tcPr>
          <w:p w14:paraId="3CCE05E4">
            <w:pPr>
              <w:jc w:val="center"/>
              <w:rPr>
                <w:rFonts w:ascii="宋体" w:hAnsi="宋体"/>
                <w:snapToGrid w:val="0"/>
                <w:spacing w:val="20"/>
                <w:szCs w:val="21"/>
                <w:highlight w:val="none"/>
              </w:rPr>
            </w:pPr>
          </w:p>
        </w:tc>
        <w:tc>
          <w:tcPr>
            <w:tcW w:w="1260" w:type="dxa"/>
            <w:vAlign w:val="center"/>
          </w:tcPr>
          <w:p w14:paraId="0B5B03F7">
            <w:pPr>
              <w:jc w:val="center"/>
              <w:rPr>
                <w:rFonts w:ascii="宋体" w:hAnsi="宋体"/>
                <w:snapToGrid w:val="0"/>
                <w:spacing w:val="20"/>
                <w:szCs w:val="21"/>
                <w:highlight w:val="none"/>
              </w:rPr>
            </w:pPr>
          </w:p>
        </w:tc>
        <w:tc>
          <w:tcPr>
            <w:tcW w:w="1890" w:type="dxa"/>
            <w:vAlign w:val="center"/>
          </w:tcPr>
          <w:p w14:paraId="6490E74F">
            <w:pPr>
              <w:jc w:val="center"/>
              <w:rPr>
                <w:rFonts w:ascii="宋体" w:hAnsi="宋体"/>
                <w:snapToGrid w:val="0"/>
                <w:spacing w:val="20"/>
                <w:szCs w:val="21"/>
                <w:highlight w:val="none"/>
              </w:rPr>
            </w:pPr>
          </w:p>
        </w:tc>
        <w:tc>
          <w:tcPr>
            <w:tcW w:w="1965" w:type="dxa"/>
            <w:vAlign w:val="center"/>
          </w:tcPr>
          <w:p w14:paraId="5FBD8365">
            <w:pPr>
              <w:jc w:val="center"/>
              <w:rPr>
                <w:rFonts w:ascii="宋体" w:hAnsi="宋体"/>
                <w:snapToGrid w:val="0"/>
                <w:spacing w:val="20"/>
                <w:szCs w:val="21"/>
                <w:highlight w:val="none"/>
              </w:rPr>
            </w:pPr>
          </w:p>
        </w:tc>
        <w:tc>
          <w:tcPr>
            <w:tcW w:w="1425" w:type="dxa"/>
            <w:vAlign w:val="center"/>
          </w:tcPr>
          <w:p w14:paraId="4DB8AE52">
            <w:pPr>
              <w:jc w:val="center"/>
              <w:rPr>
                <w:rFonts w:ascii="宋体" w:hAnsi="宋体"/>
                <w:snapToGrid w:val="0"/>
                <w:spacing w:val="20"/>
                <w:szCs w:val="21"/>
                <w:highlight w:val="none"/>
              </w:rPr>
            </w:pPr>
          </w:p>
        </w:tc>
        <w:tc>
          <w:tcPr>
            <w:tcW w:w="1080" w:type="dxa"/>
            <w:vAlign w:val="center"/>
          </w:tcPr>
          <w:p w14:paraId="761BAE0F">
            <w:pPr>
              <w:jc w:val="center"/>
              <w:rPr>
                <w:rFonts w:ascii="宋体" w:hAnsi="宋体"/>
                <w:snapToGrid w:val="0"/>
                <w:spacing w:val="20"/>
                <w:szCs w:val="21"/>
                <w:highlight w:val="none"/>
              </w:rPr>
            </w:pPr>
          </w:p>
        </w:tc>
      </w:tr>
    </w:tbl>
    <w:p w14:paraId="5DC30A05">
      <w:pPr>
        <w:rPr>
          <w:rFonts w:ascii="宋体" w:hAnsi="宋体"/>
          <w:snapToGrid w:val="0"/>
          <w:spacing w:val="20"/>
          <w:szCs w:val="21"/>
          <w:highlight w:val="none"/>
        </w:rPr>
      </w:pPr>
    </w:p>
    <w:p w14:paraId="485B6EDA">
      <w:pPr>
        <w:pStyle w:val="13"/>
        <w:spacing w:before="156" w:after="156"/>
        <w:rPr>
          <w:rFonts w:hAnsi="宋体" w:cs="Arial"/>
          <w:szCs w:val="21"/>
          <w:highlight w:val="none"/>
        </w:rPr>
      </w:pPr>
      <w:r>
        <w:rPr>
          <w:rFonts w:hint="eastAsia" w:hAnsi="宋体" w:cs="Arial"/>
          <w:szCs w:val="21"/>
          <w:highlight w:val="none"/>
        </w:rPr>
        <w:t>注：供应商递交的技术规格书中与招标文件的技术规格书中的要求有不同时，应逐条列在技术偏离表中并作出“正偏离/负偏离”，同时在说明栏目中具体说明及填写页码，否则将认为供应商接受招标文件的要求。如若此表填无偏离，采购人有权视为完全响应招标文件的商务及技术要求；如若此表填负偏离，视为不响应招标文件的商务及技术要求；</w:t>
      </w:r>
      <w:r>
        <w:rPr>
          <w:rFonts w:hint="eastAsia" w:hAnsi="宋体" w:cs="Arial"/>
          <w:b/>
          <w:bCs/>
          <w:szCs w:val="21"/>
          <w:highlight w:val="none"/>
        </w:rPr>
        <w:t>如若此表未填，视为不响应招标文件的商务及技术要求</w:t>
      </w:r>
      <w:r>
        <w:rPr>
          <w:rFonts w:hint="eastAsia" w:hAnsi="宋体" w:cs="Arial"/>
          <w:szCs w:val="21"/>
          <w:highlight w:val="none"/>
        </w:rPr>
        <w:t>；如若发现虚假行为，后果由投标商自行承担。</w:t>
      </w:r>
    </w:p>
    <w:p w14:paraId="1C134EA9">
      <w:pPr>
        <w:pStyle w:val="13"/>
        <w:spacing w:before="156" w:after="156" w:line="400" w:lineRule="atLeast"/>
        <w:rPr>
          <w:rFonts w:hAnsi="宋体"/>
          <w:snapToGrid w:val="0"/>
          <w:spacing w:val="20"/>
          <w:szCs w:val="21"/>
          <w:highlight w:val="none"/>
        </w:rPr>
      </w:pPr>
    </w:p>
    <w:p w14:paraId="0F3D6F92">
      <w:pPr>
        <w:pStyle w:val="13"/>
        <w:spacing w:before="156" w:after="156" w:line="400" w:lineRule="atLeast"/>
        <w:ind w:left="666" w:leftChars="313" w:firstLine="4374" w:firstLineChars="1800"/>
        <w:rPr>
          <w:rFonts w:hAnsi="宋体"/>
          <w:szCs w:val="21"/>
          <w:highlight w:val="none"/>
        </w:rPr>
      </w:pPr>
    </w:p>
    <w:p w14:paraId="79283B3B">
      <w:pPr>
        <w:pStyle w:val="13"/>
        <w:spacing w:before="156" w:after="156" w:line="400" w:lineRule="atLeast"/>
        <w:ind w:left="666" w:leftChars="313" w:firstLine="4374" w:firstLineChars="1800"/>
        <w:rPr>
          <w:rFonts w:hAnsi="宋体"/>
          <w:szCs w:val="21"/>
          <w:highlight w:val="none"/>
        </w:rPr>
      </w:pPr>
    </w:p>
    <w:p w14:paraId="0D20DA7F">
      <w:pPr>
        <w:pStyle w:val="13"/>
        <w:spacing w:before="156" w:after="156" w:line="400" w:lineRule="atLeast"/>
        <w:ind w:left="666" w:leftChars="313" w:firstLine="4374" w:firstLineChars="1800"/>
        <w:rPr>
          <w:rFonts w:hAnsi="宋体"/>
          <w:szCs w:val="21"/>
          <w:highlight w:val="none"/>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r>
        <w:rPr>
          <w:rFonts w:hint="eastAsia" w:hAnsi="宋体"/>
          <w:szCs w:val="21"/>
          <w:highlight w:val="none"/>
        </w:rPr>
        <w:t>：</w:t>
      </w:r>
    </w:p>
    <w:p w14:paraId="6F19BBA9">
      <w:pPr>
        <w:pStyle w:val="13"/>
        <w:spacing w:before="156" w:after="156" w:line="400" w:lineRule="atLeast"/>
        <w:ind w:left="729" w:hanging="729" w:hangingChars="300"/>
        <w:rPr>
          <w:rFonts w:hAnsi="宋体"/>
          <w:szCs w:val="21"/>
          <w:highlight w:val="none"/>
        </w:rPr>
      </w:pPr>
      <w:r>
        <w:rPr>
          <w:rFonts w:hint="eastAsia" w:hAnsi="宋体"/>
          <w:szCs w:val="21"/>
          <w:highlight w:val="none"/>
        </w:rPr>
        <w:t xml:space="preserve">                                          授权代表（签字）：</w:t>
      </w:r>
    </w:p>
    <w:p w14:paraId="03C9BC13">
      <w:pPr>
        <w:snapToGrid w:val="0"/>
        <w:spacing w:before="50" w:after="50" w:line="360" w:lineRule="auto"/>
        <w:ind w:firstLine="4860" w:firstLineChars="2000"/>
        <w:rPr>
          <w:rFonts w:ascii="宋体" w:hAnsi="宋体" w:cs="宋体"/>
          <w:sz w:val="24"/>
          <w:highlight w:val="none"/>
        </w:rPr>
      </w:pPr>
      <w:r>
        <w:rPr>
          <w:rFonts w:hint="eastAsia" w:ascii="宋体" w:hAnsi="宋体"/>
          <w:sz w:val="24"/>
          <w:highlight w:val="none"/>
        </w:rPr>
        <w:t>日    期：    年   月   日</w:t>
      </w:r>
    </w:p>
    <w:p w14:paraId="43E738AA">
      <w:pPr>
        <w:pStyle w:val="3"/>
        <w:rPr>
          <w:rFonts w:ascii="宋体" w:hAnsi="宋体" w:eastAsia="宋体" w:cs="宋体"/>
          <w:bCs w:val="0"/>
          <w:sz w:val="24"/>
          <w:szCs w:val="24"/>
          <w:highlight w:val="none"/>
        </w:rPr>
      </w:pPr>
    </w:p>
    <w:p w14:paraId="42387404">
      <w:pPr>
        <w:rPr>
          <w:highlight w:val="none"/>
        </w:rPr>
      </w:pPr>
    </w:p>
    <w:p w14:paraId="415D5BA0">
      <w:pPr>
        <w:widowControl/>
        <w:spacing w:before="100" w:beforeAutospacing="1" w:after="190"/>
        <w:rPr>
          <w:rFonts w:ascii="宋体" w:hAnsi="宋体" w:cs="宋体"/>
          <w:sz w:val="24"/>
          <w:highlight w:val="none"/>
        </w:rPr>
      </w:pPr>
      <w:r>
        <w:rPr>
          <w:rFonts w:hint="eastAsia" w:ascii="宋体" w:hAnsi="宋体" w:cs="宋体"/>
          <w:b/>
          <w:sz w:val="24"/>
          <w:highlight w:val="none"/>
        </w:rPr>
        <w:t xml:space="preserve">附件6：政府采购供应商诚信承诺书 </w:t>
      </w:r>
    </w:p>
    <w:p w14:paraId="0D9ABB4B">
      <w:pPr>
        <w:widowControl/>
        <w:spacing w:before="100" w:beforeAutospacing="1" w:after="190"/>
        <w:jc w:val="center"/>
        <w:rPr>
          <w:rFonts w:ascii="宋体" w:hAnsi="宋体" w:cs="宋体"/>
          <w:kern w:val="0"/>
          <w:sz w:val="30"/>
          <w:szCs w:val="30"/>
          <w:highlight w:val="none"/>
        </w:rPr>
      </w:pPr>
      <w:r>
        <w:rPr>
          <w:rFonts w:hint="eastAsia" w:ascii="宋体" w:hAnsi="宋体" w:cs="宋体"/>
          <w:b/>
          <w:bCs/>
          <w:kern w:val="0"/>
          <w:sz w:val="30"/>
          <w:szCs w:val="30"/>
          <w:highlight w:val="none"/>
        </w:rPr>
        <w:t>政府采购供应商诚信承诺书</w:t>
      </w:r>
    </w:p>
    <w:p w14:paraId="42D71F5A">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70BB522E">
      <w:pPr>
        <w:ind w:firstLine="486" w:firstLineChars="200"/>
        <w:rPr>
          <w:rFonts w:ascii="宋体" w:hAnsi="宋体" w:cs="宋体"/>
          <w:sz w:val="24"/>
          <w:highlight w:val="none"/>
        </w:rPr>
      </w:pPr>
      <w:r>
        <w:rPr>
          <w:rFonts w:hint="eastAsia" w:ascii="宋体" w:hAnsi="宋体" w:cs="宋体"/>
          <w:kern w:val="0"/>
          <w:sz w:val="24"/>
          <w:highlight w:val="none"/>
        </w:rPr>
        <w:t>我公司自愿参与贵中心组织的</w:t>
      </w:r>
      <w:r>
        <w:rPr>
          <w:rFonts w:hint="eastAsia" w:ascii="宋体" w:hAnsi="宋体" w:cs="宋体"/>
          <w:b/>
          <w:kern w:val="0"/>
          <w:sz w:val="24"/>
          <w:highlight w:val="none"/>
          <w:u w:val="single"/>
        </w:rPr>
        <w:t xml:space="preserve">    项目（招标编号：      ）</w:t>
      </w:r>
      <w:r>
        <w:rPr>
          <w:rFonts w:hint="eastAsia" w:ascii="宋体" w:hAnsi="宋体" w:cs="宋体"/>
          <w:kern w:val="0"/>
          <w:sz w:val="24"/>
          <w:highlight w:val="none"/>
        </w:rPr>
        <w:t>采购活动，严格遵守《中华人民共和国</w:t>
      </w:r>
      <w:r>
        <w:rPr>
          <w:rFonts w:hint="eastAsia" w:ascii="宋体" w:hAnsi="宋体" w:cs="宋体"/>
          <w:sz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46915B22">
      <w:pPr>
        <w:spacing w:line="288" w:lineRule="auto"/>
        <w:ind w:firstLine="486" w:firstLineChars="200"/>
        <w:rPr>
          <w:rFonts w:ascii="宋体" w:hAnsi="宋体" w:cs="宋体"/>
          <w:sz w:val="24"/>
          <w:highlight w:val="none"/>
        </w:rPr>
      </w:pPr>
      <w:r>
        <w:rPr>
          <w:rFonts w:hint="eastAsia" w:ascii="宋体" w:hAnsi="宋体" w:cs="宋体"/>
          <w:sz w:val="24"/>
          <w:highlight w:val="none"/>
        </w:rPr>
        <w:t>（一）提供虚假材料谋取中标的；</w:t>
      </w:r>
    </w:p>
    <w:p w14:paraId="568B3F71">
      <w:pPr>
        <w:spacing w:line="288" w:lineRule="auto"/>
        <w:ind w:firstLine="486" w:firstLineChars="200"/>
        <w:rPr>
          <w:rFonts w:ascii="宋体" w:hAnsi="宋体" w:cs="宋体"/>
          <w:sz w:val="24"/>
          <w:highlight w:val="none"/>
        </w:rPr>
      </w:pPr>
      <w:r>
        <w:rPr>
          <w:rFonts w:hint="eastAsia" w:ascii="宋体" w:hAnsi="宋体" w:cs="宋体"/>
          <w:sz w:val="24"/>
          <w:highlight w:val="none"/>
        </w:rPr>
        <w:t>（二）采取不正当手段诋毁、排挤</w:t>
      </w:r>
      <w:r>
        <w:rPr>
          <w:highlight w:val="none"/>
        </w:rPr>
        <w:fldChar w:fldCharType="begin"/>
      </w:r>
      <w:r>
        <w:rPr>
          <w:highlight w:val="none"/>
        </w:rPr>
        <w:instrText xml:space="preserve"> HYPERLINK "http://www.oh100.com/qita/" \t "_blank" </w:instrText>
      </w:r>
      <w:r>
        <w:rPr>
          <w:highlight w:val="none"/>
        </w:rPr>
        <w:fldChar w:fldCharType="separate"/>
      </w:r>
      <w:r>
        <w:rPr>
          <w:rStyle w:val="29"/>
          <w:rFonts w:hint="eastAsia" w:ascii="宋体" w:hAnsi="宋体" w:cs="宋体"/>
          <w:color w:val="auto"/>
          <w:sz w:val="24"/>
          <w:highlight w:val="none"/>
        </w:rPr>
        <w:t>其他</w:t>
      </w:r>
      <w:r>
        <w:rPr>
          <w:rStyle w:val="29"/>
          <w:rFonts w:hint="eastAsia" w:ascii="宋体" w:hAnsi="宋体" w:cs="宋体"/>
          <w:color w:val="auto"/>
          <w:sz w:val="24"/>
          <w:highlight w:val="none"/>
        </w:rPr>
        <w:fldChar w:fldCharType="end"/>
      </w:r>
      <w:r>
        <w:rPr>
          <w:rFonts w:hint="eastAsia" w:ascii="宋体" w:hAnsi="宋体" w:cs="宋体"/>
          <w:sz w:val="24"/>
          <w:highlight w:val="none"/>
        </w:rPr>
        <w:t>供应商的；</w:t>
      </w:r>
    </w:p>
    <w:p w14:paraId="434B0F3A">
      <w:pPr>
        <w:spacing w:line="288" w:lineRule="auto"/>
        <w:ind w:firstLine="486" w:firstLineChars="200"/>
        <w:rPr>
          <w:rFonts w:ascii="宋体" w:hAnsi="宋体" w:cs="宋体"/>
          <w:sz w:val="24"/>
          <w:highlight w:val="none"/>
        </w:rPr>
      </w:pPr>
      <w:r>
        <w:rPr>
          <w:rFonts w:hint="eastAsia" w:ascii="宋体" w:hAnsi="宋体" w:cs="宋体"/>
          <w:sz w:val="24"/>
          <w:highlight w:val="none"/>
        </w:rPr>
        <w:t>（三）与招标采购单位、其他投标人恶意串通的；</w:t>
      </w:r>
    </w:p>
    <w:p w14:paraId="7373BA63">
      <w:pPr>
        <w:spacing w:line="288" w:lineRule="auto"/>
        <w:ind w:firstLine="486" w:firstLineChars="200"/>
        <w:rPr>
          <w:rFonts w:ascii="宋体" w:hAnsi="宋体" w:cs="宋体"/>
          <w:sz w:val="24"/>
          <w:highlight w:val="none"/>
        </w:rPr>
      </w:pPr>
      <w:r>
        <w:rPr>
          <w:rFonts w:hint="eastAsia" w:ascii="宋体" w:hAnsi="宋体" w:cs="宋体"/>
          <w:sz w:val="24"/>
          <w:highlight w:val="none"/>
        </w:rPr>
        <w:t>（四）向招标采购单位行贿或提供其他不正当利益的；</w:t>
      </w:r>
    </w:p>
    <w:p w14:paraId="3EC99F1D">
      <w:pPr>
        <w:spacing w:line="288" w:lineRule="auto"/>
        <w:ind w:firstLine="486" w:firstLineChars="200"/>
        <w:rPr>
          <w:rFonts w:ascii="宋体" w:hAnsi="宋体" w:cs="宋体"/>
          <w:sz w:val="24"/>
          <w:highlight w:val="none"/>
        </w:rPr>
      </w:pPr>
      <w:r>
        <w:rPr>
          <w:rFonts w:hint="eastAsia" w:ascii="宋体" w:hAnsi="宋体" w:cs="宋体"/>
          <w:sz w:val="24"/>
          <w:highlight w:val="none"/>
        </w:rPr>
        <w:t>（五）在招标过程中与招标采购单位进行协商谈判、不按照招标文件和投标文件订立合同，或者与采购人另立背离合同实质性内容协议的；</w:t>
      </w:r>
    </w:p>
    <w:p w14:paraId="475336A4">
      <w:pPr>
        <w:spacing w:line="288" w:lineRule="auto"/>
        <w:ind w:firstLine="607" w:firstLineChars="250"/>
        <w:rPr>
          <w:rFonts w:ascii="宋体" w:hAnsi="宋体" w:cs="宋体"/>
          <w:sz w:val="24"/>
          <w:highlight w:val="none"/>
        </w:rPr>
      </w:pPr>
      <w:r>
        <w:rPr>
          <w:rFonts w:hint="eastAsia" w:ascii="宋体" w:hAnsi="宋体" w:cs="宋体"/>
          <w:sz w:val="24"/>
          <w:highlight w:val="none"/>
        </w:rPr>
        <w:t>（六）中标后无正当理由，在规定时间内不与采购单位签订合同的；</w:t>
      </w:r>
    </w:p>
    <w:p w14:paraId="522C403F">
      <w:pPr>
        <w:spacing w:line="288" w:lineRule="auto"/>
        <w:ind w:firstLine="607" w:firstLineChars="250"/>
        <w:rPr>
          <w:rFonts w:ascii="宋体" w:hAnsi="宋体" w:cs="宋体"/>
          <w:sz w:val="24"/>
          <w:highlight w:val="none"/>
        </w:rPr>
      </w:pPr>
      <w:r>
        <w:rPr>
          <w:rFonts w:hint="eastAsia" w:ascii="宋体" w:hAnsi="宋体" w:cs="宋体"/>
          <w:sz w:val="24"/>
          <w:highlight w:val="none"/>
        </w:rPr>
        <w:t>（七）将中标项目转让给他人或非法分包他人的；</w:t>
      </w:r>
    </w:p>
    <w:p w14:paraId="1567C3A0">
      <w:pPr>
        <w:spacing w:line="288" w:lineRule="auto"/>
        <w:ind w:firstLine="607" w:firstLineChars="250"/>
        <w:rPr>
          <w:rFonts w:ascii="宋体" w:hAnsi="宋体" w:cs="宋体"/>
          <w:sz w:val="24"/>
          <w:highlight w:val="none"/>
        </w:rPr>
      </w:pPr>
      <w:r>
        <w:rPr>
          <w:rFonts w:hint="eastAsia" w:ascii="宋体" w:hAnsi="宋体" w:cs="宋体"/>
          <w:sz w:val="24"/>
          <w:highlight w:val="none"/>
        </w:rPr>
        <w:t>（八）无正当理由，拒绝履行合同义务的；</w:t>
      </w:r>
    </w:p>
    <w:p w14:paraId="4FA5F6ED">
      <w:pPr>
        <w:spacing w:line="288" w:lineRule="auto"/>
        <w:ind w:firstLine="607" w:firstLineChars="250"/>
        <w:rPr>
          <w:rFonts w:ascii="宋体" w:hAnsi="宋体" w:cs="宋体"/>
          <w:sz w:val="24"/>
          <w:highlight w:val="none"/>
        </w:rPr>
      </w:pPr>
      <w:r>
        <w:rPr>
          <w:rFonts w:hint="eastAsia" w:ascii="宋体" w:hAnsi="宋体" w:cs="宋体"/>
          <w:sz w:val="24"/>
          <w:highlight w:val="none"/>
        </w:rPr>
        <w:t>（九）无正当理由放弃中标（成交）项目的；</w:t>
      </w:r>
    </w:p>
    <w:p w14:paraId="70B1923E">
      <w:pPr>
        <w:spacing w:line="288" w:lineRule="auto"/>
        <w:ind w:firstLine="607" w:firstLineChars="250"/>
        <w:rPr>
          <w:rFonts w:ascii="宋体" w:hAnsi="宋体" w:cs="宋体"/>
          <w:sz w:val="24"/>
          <w:highlight w:val="none"/>
        </w:rPr>
      </w:pPr>
      <w:r>
        <w:rPr>
          <w:rFonts w:hint="eastAsia" w:ascii="宋体" w:hAnsi="宋体" w:cs="宋体"/>
          <w:sz w:val="24"/>
          <w:highlight w:val="none"/>
        </w:rPr>
        <w:t>（十）擅自或与采购人串通或接受采购人要求，在履约合同中通过减少货物数量，更换品牌、降低配置、技术要求、质量和服务标准等，却仍按原合同进行虚假验收或终止政府采购合同的；</w:t>
      </w:r>
    </w:p>
    <w:p w14:paraId="676EDB49">
      <w:pPr>
        <w:spacing w:line="288" w:lineRule="auto"/>
        <w:ind w:firstLine="486" w:firstLineChars="200"/>
        <w:rPr>
          <w:rFonts w:ascii="宋体" w:hAnsi="宋体" w:cs="宋体"/>
          <w:sz w:val="24"/>
          <w:highlight w:val="none"/>
        </w:rPr>
      </w:pPr>
      <w:r>
        <w:rPr>
          <w:rFonts w:hint="eastAsia" w:ascii="宋体" w:hAnsi="宋体" w:cs="宋体"/>
          <w:sz w:val="24"/>
          <w:highlight w:val="none"/>
        </w:rPr>
        <w:t>（十一）与采购人串通，对尚未履约完毕的采购项目出具虚假验收报告的；</w:t>
      </w:r>
    </w:p>
    <w:p w14:paraId="005FAA04">
      <w:pPr>
        <w:spacing w:line="288" w:lineRule="auto"/>
        <w:ind w:firstLine="486" w:firstLineChars="200"/>
        <w:rPr>
          <w:rFonts w:ascii="宋体" w:hAnsi="宋体" w:cs="宋体"/>
          <w:sz w:val="24"/>
          <w:highlight w:val="none"/>
        </w:rPr>
      </w:pPr>
      <w:r>
        <w:rPr>
          <w:rFonts w:hint="eastAsia" w:ascii="宋体" w:hAnsi="宋体" w:cs="宋体"/>
          <w:sz w:val="24"/>
          <w:highlight w:val="none"/>
        </w:rPr>
        <w:t>（十二）无不可抗力因素，拒绝提供售后服务、售后服务态度恶劣、故意提高维修配件价格（高于市场平均价）的；</w:t>
      </w:r>
    </w:p>
    <w:p w14:paraId="736F680E">
      <w:pPr>
        <w:spacing w:line="288" w:lineRule="auto"/>
        <w:ind w:firstLine="486" w:firstLineChars="200"/>
        <w:rPr>
          <w:rFonts w:ascii="宋体" w:hAnsi="宋体" w:cs="宋体"/>
          <w:sz w:val="24"/>
          <w:highlight w:val="none"/>
        </w:rPr>
      </w:pPr>
      <w:r>
        <w:rPr>
          <w:rFonts w:hint="eastAsia" w:ascii="宋体" w:hAnsi="宋体" w:cs="宋体"/>
          <w:sz w:val="24"/>
          <w:highlight w:val="none"/>
        </w:rPr>
        <w:t>（十三）开标后对招标文件的相关内容再进行质疑的；</w:t>
      </w:r>
    </w:p>
    <w:p w14:paraId="2309BFB2">
      <w:pPr>
        <w:spacing w:line="288" w:lineRule="auto"/>
        <w:ind w:firstLine="486" w:firstLineChars="200"/>
        <w:rPr>
          <w:rFonts w:ascii="宋体" w:hAnsi="宋体" w:cs="宋体"/>
          <w:sz w:val="24"/>
          <w:highlight w:val="none"/>
        </w:rPr>
      </w:pPr>
      <w:r>
        <w:rPr>
          <w:rFonts w:hint="eastAsia" w:ascii="宋体" w:hAnsi="宋体" w:cs="宋体"/>
          <w:sz w:val="24"/>
          <w:highlight w:val="none"/>
        </w:rPr>
        <w:t>（十四）恶意投诉的行为：投诉经查无实据的、捏造事实或者提供虚假投诉材料的；</w:t>
      </w:r>
    </w:p>
    <w:p w14:paraId="2D219F9B">
      <w:pPr>
        <w:spacing w:line="288" w:lineRule="auto"/>
        <w:ind w:firstLine="486" w:firstLineChars="200"/>
        <w:rPr>
          <w:rFonts w:ascii="宋体" w:hAnsi="宋体" w:cs="宋体"/>
          <w:sz w:val="24"/>
          <w:highlight w:val="none"/>
        </w:rPr>
      </w:pPr>
      <w:r>
        <w:rPr>
          <w:rFonts w:hint="eastAsia" w:ascii="宋体" w:hAnsi="宋体" w:cs="宋体"/>
          <w:sz w:val="24"/>
          <w:highlight w:val="none"/>
        </w:rPr>
        <w:t>（十五）拒绝有关部门监督检查或者提供虚假情况的；</w:t>
      </w:r>
    </w:p>
    <w:p w14:paraId="5A4B7A89">
      <w:pPr>
        <w:spacing w:line="288" w:lineRule="auto"/>
        <w:ind w:firstLine="486" w:firstLineChars="200"/>
        <w:rPr>
          <w:rFonts w:ascii="宋体" w:hAnsi="宋体" w:cs="宋体"/>
          <w:sz w:val="24"/>
          <w:highlight w:val="none"/>
        </w:rPr>
      </w:pPr>
      <w:r>
        <w:rPr>
          <w:rFonts w:hint="eastAsia" w:ascii="宋体" w:hAnsi="宋体" w:cs="宋体"/>
          <w:sz w:val="24"/>
          <w:highlight w:val="none"/>
        </w:rPr>
        <w:t>（十六）财政、监察部门认定的其他不诚信行为。</w:t>
      </w:r>
    </w:p>
    <w:p w14:paraId="2137728E">
      <w:pPr>
        <w:spacing w:line="288" w:lineRule="auto"/>
        <w:ind w:firstLine="486" w:firstLineChars="200"/>
        <w:rPr>
          <w:rFonts w:hint="eastAsia" w:ascii="宋体" w:hAnsi="宋体" w:cs="宋体"/>
          <w:sz w:val="24"/>
          <w:highlight w:val="none"/>
        </w:rPr>
      </w:pPr>
      <w:r>
        <w:rPr>
          <w:rFonts w:hint="eastAsia" w:ascii="宋体" w:hAnsi="宋体" w:cs="宋体"/>
          <w:sz w:val="24"/>
          <w:highlight w:val="none"/>
        </w:rPr>
        <w:t>（十七）招标文件规定的其他不诚信行为。</w:t>
      </w:r>
    </w:p>
    <w:p w14:paraId="57490A47">
      <w:pPr>
        <w:pStyle w:val="31"/>
        <w:rPr>
          <w:highlight w:val="none"/>
        </w:rPr>
      </w:pPr>
    </w:p>
    <w:p w14:paraId="62B1E4FD">
      <w:pPr>
        <w:spacing w:line="288" w:lineRule="auto"/>
        <w:ind w:firstLine="5103" w:firstLineChars="2100"/>
        <w:rPr>
          <w:rFonts w:hint="eastAsia" w:ascii="宋体" w:hAnsi="宋体" w:cs="宋体"/>
          <w:sz w:val="24"/>
          <w:highlight w:val="none"/>
          <w:lang w:eastAsia="zh-CN"/>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p>
    <w:p w14:paraId="5552DEC2">
      <w:pPr>
        <w:spacing w:line="288" w:lineRule="auto"/>
        <w:ind w:firstLine="5832" w:firstLineChars="2400"/>
        <w:rPr>
          <w:rFonts w:ascii="宋体" w:hAnsi="宋体" w:cs="宋体"/>
          <w:b/>
          <w:sz w:val="24"/>
          <w:highlight w:val="none"/>
        </w:rPr>
      </w:pPr>
      <w:r>
        <w:rPr>
          <w:rFonts w:hint="eastAsia" w:ascii="宋体" w:hAnsi="宋体" w:cs="宋体"/>
          <w:sz w:val="24"/>
          <w:highlight w:val="none"/>
        </w:rPr>
        <w:t>年 月 日</w:t>
      </w:r>
    </w:p>
    <w:p w14:paraId="3976D414">
      <w:pPr>
        <w:snapToGrid w:val="0"/>
        <w:spacing w:before="50" w:afterLines="50" w:line="360" w:lineRule="auto"/>
        <w:jc w:val="left"/>
        <w:rPr>
          <w:rFonts w:ascii="宋体" w:hAnsi="宋体" w:cs="宋体"/>
          <w:b/>
          <w:sz w:val="24"/>
          <w:highlight w:val="none"/>
        </w:rPr>
      </w:pPr>
    </w:p>
    <w:p w14:paraId="0CADC28F">
      <w:pPr>
        <w:snapToGrid w:val="0"/>
        <w:spacing w:before="50" w:afterLines="50" w:line="360" w:lineRule="auto"/>
        <w:jc w:val="left"/>
        <w:rPr>
          <w:rFonts w:ascii="宋体" w:hAnsi="宋体" w:cs="宋体"/>
          <w:b/>
          <w:sz w:val="24"/>
          <w:highlight w:val="none"/>
        </w:rPr>
      </w:pPr>
    </w:p>
    <w:p w14:paraId="260993C3">
      <w:pPr>
        <w:widowControl/>
        <w:spacing w:before="100" w:beforeAutospacing="1" w:after="190"/>
        <w:rPr>
          <w:rFonts w:ascii="宋体" w:hAnsi="宋体" w:cs="宋体"/>
          <w:b/>
          <w:sz w:val="24"/>
          <w:highlight w:val="none"/>
        </w:rPr>
      </w:pPr>
      <w:r>
        <w:rPr>
          <w:rFonts w:hint="eastAsia" w:ascii="宋体" w:hAnsi="宋体" w:cs="宋体"/>
          <w:b/>
          <w:sz w:val="24"/>
          <w:highlight w:val="none"/>
        </w:rPr>
        <w:t>7：廉政承诺书</w:t>
      </w:r>
    </w:p>
    <w:p w14:paraId="65380C9C">
      <w:pPr>
        <w:snapToGrid w:val="0"/>
        <w:spacing w:line="560" w:lineRule="exact"/>
        <w:jc w:val="center"/>
        <w:rPr>
          <w:rFonts w:ascii="宋体" w:hAnsi="宋体" w:cs="宋体"/>
          <w:b/>
          <w:bCs/>
          <w:kern w:val="56"/>
          <w:sz w:val="32"/>
          <w:szCs w:val="32"/>
          <w:highlight w:val="none"/>
          <w:shd w:val="clear" w:color="auto" w:fill="FFFFFF"/>
        </w:rPr>
      </w:pPr>
      <w:r>
        <w:rPr>
          <w:rFonts w:hint="eastAsia" w:ascii="宋体" w:hAnsi="宋体" w:cs="宋体"/>
          <w:b/>
          <w:bCs/>
          <w:kern w:val="56"/>
          <w:sz w:val="32"/>
          <w:szCs w:val="32"/>
          <w:highlight w:val="none"/>
          <w:shd w:val="clear" w:color="auto" w:fill="FFFFFF"/>
        </w:rPr>
        <w:t>廉政承诺书</w:t>
      </w:r>
    </w:p>
    <w:p w14:paraId="7EE49B1F">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2BF67E34">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我单位响应（采购人）</w:t>
      </w:r>
      <w:r>
        <w:rPr>
          <w:rFonts w:hint="eastAsia" w:ascii="宋体" w:hAnsi="宋体" w:cs="宋体"/>
          <w:kern w:val="56"/>
          <w:sz w:val="24"/>
          <w:highlight w:val="none"/>
          <w:u w:val="single"/>
          <w:shd w:val="clear" w:color="auto" w:fill="FFFFFF"/>
          <w:lang w:eastAsia="zh-CN"/>
        </w:rPr>
        <w:t>2025年-2027年衢江区计生特殊家庭健康保险采购</w:t>
      </w:r>
      <w:r>
        <w:rPr>
          <w:rFonts w:hint="eastAsia" w:ascii="宋体" w:hAnsi="宋体" w:cs="宋体"/>
          <w:kern w:val="56"/>
          <w:sz w:val="24"/>
          <w:highlight w:val="none"/>
          <w:u w:val="single"/>
          <w:shd w:val="clear" w:color="auto" w:fill="FFFFFF"/>
        </w:rPr>
        <w:t>项目</w:t>
      </w:r>
      <w:r>
        <w:rPr>
          <w:rFonts w:hint="eastAsia" w:ascii="宋体" w:hAnsi="宋体" w:cs="宋体"/>
          <w:kern w:val="56"/>
          <w:sz w:val="24"/>
          <w:highlight w:val="none"/>
          <w:shd w:val="clear" w:color="auto" w:fill="FFFFFF"/>
        </w:rPr>
        <w:t>（项目名称）</w:t>
      </w:r>
      <w:r>
        <w:rPr>
          <w:rFonts w:hint="eastAsia" w:ascii="宋体" w:hAnsi="宋体" w:cs="宋体"/>
          <w:kern w:val="56"/>
          <w:sz w:val="24"/>
          <w:highlight w:val="none"/>
          <w:u w:val="single"/>
          <w:shd w:val="clear" w:color="auto" w:fill="FFFFFF"/>
          <w:lang w:eastAsia="zh-CN"/>
        </w:rPr>
        <w:t>ZJWS-QZ2024121</w:t>
      </w:r>
      <w:r>
        <w:rPr>
          <w:rFonts w:hint="eastAsia" w:ascii="宋体" w:hAnsi="宋体" w:cs="宋体"/>
          <w:kern w:val="56"/>
          <w:sz w:val="24"/>
          <w:highlight w:val="none"/>
          <w:shd w:val="clear" w:color="auto" w:fill="FFFFFF"/>
        </w:rPr>
        <w:t>（项目编号）</w:t>
      </w:r>
      <w:r>
        <w:rPr>
          <w:rFonts w:hint="eastAsia" w:ascii="宋体" w:hAnsi="宋体" w:cs="宋体"/>
          <w:kern w:val="56"/>
          <w:sz w:val="24"/>
          <w:highlight w:val="none"/>
          <w:u w:val="single"/>
          <w:shd w:val="clear" w:color="auto" w:fill="FFFFFF"/>
          <w:lang w:eastAsia="zh-CN"/>
        </w:rPr>
        <w:t>2025年-2027年衢江区计生特殊家庭健康保险采购</w:t>
      </w:r>
      <w:r>
        <w:rPr>
          <w:rFonts w:hint="eastAsia" w:ascii="宋体" w:hAnsi="宋体" w:cs="宋体"/>
          <w:kern w:val="56"/>
          <w:sz w:val="24"/>
          <w:highlight w:val="none"/>
          <w:shd w:val="clear" w:color="auto" w:fill="FFFFFF"/>
        </w:rPr>
        <w:t>（标项名称）项目采购要求并参加采购活动。在这次采购过程中和成交后，我们将严格遵守国家法律法规要求，并郑重承诺：</w:t>
      </w:r>
    </w:p>
    <w:p w14:paraId="4AFCB567">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一、不向项目有关人员及部门赠送礼金礼物、有价证券、回扣以及中介费、介绍费、咨询费等好处费；</w:t>
      </w:r>
    </w:p>
    <w:p w14:paraId="24421C1B">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二、不为项目有关人员及部门报销应由你方单位或个人支付的费用；</w:t>
      </w:r>
    </w:p>
    <w:p w14:paraId="64374AB8">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三、不向项目有关人员及部门提供有可能影响公正的宴请和健身娱乐等活动；</w:t>
      </w:r>
    </w:p>
    <w:p w14:paraId="389ED1F6">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四、不为项目有关人员及部门出国（境）、旅游等提供方便；</w:t>
      </w:r>
    </w:p>
    <w:p w14:paraId="32F9AED5">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五、不为项目有关人员个人装修住房、婚丧嫁娶、配偶子女工作安排等提供好处；</w:t>
      </w:r>
    </w:p>
    <w:p w14:paraId="47F958D5">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如违反上述承诺，你单位有权立即取消我单位成交资格，有权拒绝我单位在一定时期内进入你单位进行项目建设或其他经营活动，并通报同级政府采购监管部门。由此引起的相应损失均由我单位承担。</w:t>
      </w:r>
    </w:p>
    <w:p w14:paraId="3A5261A2">
      <w:pPr>
        <w:snapToGrid w:val="0"/>
        <w:spacing w:line="560" w:lineRule="exact"/>
        <w:ind w:firstLine="486" w:firstLineChars="200"/>
        <w:rPr>
          <w:rFonts w:ascii="宋体" w:hAnsi="宋体" w:cs="宋体"/>
          <w:kern w:val="56"/>
          <w:sz w:val="24"/>
          <w:highlight w:val="none"/>
          <w:shd w:val="clear" w:color="auto" w:fill="FFFFFF"/>
        </w:rPr>
      </w:pPr>
    </w:p>
    <w:p w14:paraId="4B32A704">
      <w:pPr>
        <w:snapToGrid w:val="0"/>
        <w:spacing w:line="560" w:lineRule="exact"/>
        <w:ind w:firstLine="486" w:firstLineChars="200"/>
        <w:rPr>
          <w:rFonts w:ascii="宋体" w:hAnsi="宋体" w:cs="宋体"/>
          <w:kern w:val="56"/>
          <w:sz w:val="24"/>
          <w:highlight w:val="none"/>
          <w:shd w:val="clear" w:color="auto" w:fill="FFFFFF"/>
        </w:rPr>
      </w:pPr>
    </w:p>
    <w:p w14:paraId="30BFBD8D">
      <w:pPr>
        <w:snapToGrid w:val="0"/>
        <w:spacing w:line="560" w:lineRule="exact"/>
        <w:ind w:firstLine="3645" w:firstLineChars="1500"/>
        <w:rPr>
          <w:rFonts w:hint="eastAsia" w:ascii="宋体" w:hAnsi="宋体" w:cs="宋体"/>
          <w:sz w:val="24"/>
          <w:highlight w:val="none"/>
          <w:lang w:eastAsia="zh-CN"/>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p>
    <w:p w14:paraId="35FCA891">
      <w:pPr>
        <w:snapToGrid w:val="0"/>
        <w:spacing w:line="560" w:lineRule="exact"/>
        <w:ind w:firstLine="3888" w:firstLineChars="16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日期：202</w:t>
      </w:r>
      <w:r>
        <w:rPr>
          <w:rFonts w:hint="eastAsia" w:ascii="宋体" w:hAnsi="宋体" w:cs="宋体"/>
          <w:kern w:val="56"/>
          <w:sz w:val="24"/>
          <w:highlight w:val="none"/>
          <w:shd w:val="clear" w:color="auto" w:fill="FFFFFF"/>
          <w:lang w:val="en-US" w:eastAsia="zh-CN"/>
        </w:rPr>
        <w:t>5</w:t>
      </w:r>
      <w:r>
        <w:rPr>
          <w:rFonts w:hint="eastAsia" w:ascii="宋体" w:hAnsi="宋体" w:cs="宋体"/>
          <w:kern w:val="56"/>
          <w:sz w:val="24"/>
          <w:highlight w:val="none"/>
          <w:shd w:val="clear" w:color="auto" w:fill="FFFFFF"/>
        </w:rPr>
        <w:t>年  月  日</w:t>
      </w:r>
    </w:p>
    <w:p w14:paraId="26CD3EE6">
      <w:pPr>
        <w:snapToGrid w:val="0"/>
        <w:spacing w:before="50" w:afterLines="50" w:line="360" w:lineRule="auto"/>
        <w:jc w:val="left"/>
        <w:rPr>
          <w:rFonts w:ascii="宋体" w:hAnsi="宋体" w:cs="宋体"/>
          <w:b/>
          <w:sz w:val="24"/>
          <w:highlight w:val="none"/>
        </w:rPr>
      </w:pPr>
    </w:p>
    <w:p w14:paraId="5A4A01D4">
      <w:pPr>
        <w:snapToGrid w:val="0"/>
        <w:spacing w:before="50" w:afterLines="50" w:line="360" w:lineRule="auto"/>
        <w:jc w:val="left"/>
        <w:rPr>
          <w:rFonts w:ascii="宋体" w:hAnsi="宋体" w:cs="宋体"/>
          <w:b/>
          <w:sz w:val="24"/>
          <w:highlight w:val="none"/>
        </w:rPr>
      </w:pPr>
    </w:p>
    <w:p w14:paraId="307BFC1F">
      <w:pPr>
        <w:snapToGrid w:val="0"/>
        <w:spacing w:before="50" w:afterLines="50" w:line="360" w:lineRule="auto"/>
        <w:jc w:val="left"/>
        <w:rPr>
          <w:rFonts w:ascii="宋体" w:hAnsi="宋体" w:cs="宋体"/>
          <w:b/>
          <w:sz w:val="24"/>
          <w:highlight w:val="none"/>
        </w:rPr>
      </w:pPr>
    </w:p>
    <w:p w14:paraId="4B0CFB2D">
      <w:pPr>
        <w:snapToGrid w:val="0"/>
        <w:spacing w:line="560" w:lineRule="exact"/>
        <w:rPr>
          <w:rFonts w:ascii="宋体" w:hAnsi="宋体" w:cs="宋体"/>
          <w:b/>
          <w:bCs/>
          <w:kern w:val="56"/>
          <w:sz w:val="32"/>
          <w:szCs w:val="32"/>
          <w:highlight w:val="none"/>
          <w:shd w:val="clear" w:color="auto" w:fill="FFFFFF"/>
        </w:rPr>
      </w:pPr>
      <w:r>
        <w:rPr>
          <w:rFonts w:hint="eastAsia" w:ascii="宋体" w:hAnsi="宋体" w:cs="宋体"/>
          <w:b/>
          <w:sz w:val="24"/>
          <w:highlight w:val="none"/>
        </w:rPr>
        <w:t>附件8：与其他供应商无利害关系的声明函</w:t>
      </w:r>
    </w:p>
    <w:p w14:paraId="176F23FD">
      <w:pPr>
        <w:snapToGrid w:val="0"/>
        <w:spacing w:line="560" w:lineRule="exact"/>
        <w:ind w:firstLine="646" w:firstLineChars="200"/>
        <w:jc w:val="center"/>
        <w:rPr>
          <w:rFonts w:ascii="宋体" w:hAnsi="宋体" w:cs="宋体"/>
          <w:b/>
          <w:bCs/>
          <w:kern w:val="56"/>
          <w:sz w:val="32"/>
          <w:szCs w:val="32"/>
          <w:highlight w:val="none"/>
          <w:shd w:val="clear" w:color="auto" w:fill="FFFFFF"/>
        </w:rPr>
      </w:pPr>
    </w:p>
    <w:p w14:paraId="1597E73B">
      <w:pPr>
        <w:snapToGrid w:val="0"/>
        <w:spacing w:line="560" w:lineRule="exact"/>
        <w:ind w:firstLine="646" w:firstLineChars="200"/>
        <w:jc w:val="center"/>
        <w:rPr>
          <w:rFonts w:ascii="宋体" w:hAnsi="宋体" w:cs="宋体"/>
          <w:b/>
          <w:sz w:val="24"/>
          <w:highlight w:val="none"/>
        </w:rPr>
      </w:pPr>
      <w:r>
        <w:rPr>
          <w:rFonts w:hint="eastAsia" w:ascii="宋体" w:hAnsi="宋体" w:cs="宋体"/>
          <w:b/>
          <w:bCs/>
          <w:kern w:val="56"/>
          <w:sz w:val="32"/>
          <w:szCs w:val="32"/>
          <w:highlight w:val="none"/>
          <w:shd w:val="clear" w:color="auto" w:fill="FFFFFF"/>
        </w:rPr>
        <w:t>与其他供应商无利害关系的声明函</w:t>
      </w:r>
    </w:p>
    <w:p w14:paraId="1C444FA9">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456BBB36">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我方参加</w:t>
      </w:r>
      <w:r>
        <w:rPr>
          <w:rFonts w:hint="eastAsia" w:ascii="宋体" w:hAnsi="宋体" w:cs="宋体"/>
          <w:sz w:val="24"/>
          <w:highlight w:val="none"/>
          <w:u w:val="single"/>
        </w:rPr>
        <w:t>       </w:t>
      </w:r>
      <w:r>
        <w:rPr>
          <w:rFonts w:hint="eastAsia" w:ascii="宋体" w:hAnsi="宋体" w:cs="宋体"/>
          <w:kern w:val="56"/>
          <w:sz w:val="24"/>
          <w:highlight w:val="none"/>
          <w:shd w:val="clear" w:color="auto" w:fill="FFFFFF"/>
        </w:rPr>
        <w:t>（采购人）（项目名称）（项目编号）政府采购活动，与其他供应商不存在法定代表人为同一人或存在直接控股、管理关系。</w:t>
      </w:r>
    </w:p>
    <w:p w14:paraId="6DF509EC">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本单位对上述声明的真实性负责。如有虚假，愿意承担相应责任，对此无任何异议。</w:t>
      </w:r>
    </w:p>
    <w:p w14:paraId="4202583C">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特此声明！</w:t>
      </w:r>
    </w:p>
    <w:p w14:paraId="2D8FED26">
      <w:pPr>
        <w:pStyle w:val="31"/>
        <w:rPr>
          <w:highlight w:val="none"/>
        </w:rPr>
      </w:pPr>
    </w:p>
    <w:p w14:paraId="446D186B">
      <w:pPr>
        <w:snapToGrid w:val="0"/>
        <w:spacing w:line="560" w:lineRule="exact"/>
        <w:ind w:firstLine="486" w:firstLineChars="200"/>
        <w:rPr>
          <w:rFonts w:hint="eastAsia" w:ascii="宋体" w:hAnsi="宋体" w:cs="宋体"/>
          <w:sz w:val="24"/>
          <w:highlight w:val="none"/>
          <w:lang w:eastAsia="zh-CN"/>
        </w:rPr>
      </w:pPr>
      <w:r>
        <w:rPr>
          <w:rFonts w:hint="eastAsia" w:ascii="宋体" w:hAnsi="宋体" w:cs="宋体"/>
          <w:sz w:val="24"/>
          <w:highlight w:val="none"/>
        </w:rPr>
        <w:t>投标人</w:t>
      </w:r>
      <w:r>
        <w:rPr>
          <w:rFonts w:hint="eastAsia" w:ascii="宋体" w:hAnsi="宋体" w:cs="宋体"/>
          <w:sz w:val="24"/>
          <w:highlight w:val="none"/>
          <w:lang w:eastAsia="zh-CN"/>
        </w:rPr>
        <w:t>名称（</w:t>
      </w:r>
      <w:r>
        <w:rPr>
          <w:rFonts w:hint="eastAsia" w:ascii="宋体" w:hAnsi="宋体" w:cs="宋体"/>
          <w:sz w:val="24"/>
          <w:highlight w:val="none"/>
        </w:rPr>
        <w:t>公章</w:t>
      </w:r>
      <w:r>
        <w:rPr>
          <w:rFonts w:hint="eastAsia" w:ascii="宋体" w:hAnsi="宋体" w:cs="宋体"/>
          <w:sz w:val="24"/>
          <w:highlight w:val="none"/>
          <w:lang w:eastAsia="zh-CN"/>
        </w:rPr>
        <w:t>）</w:t>
      </w:r>
    </w:p>
    <w:p w14:paraId="25A23F07">
      <w:pPr>
        <w:snapToGrid w:val="0"/>
        <w:spacing w:line="560" w:lineRule="exact"/>
        <w:ind w:firstLine="486" w:firstLineChars="200"/>
        <w:rPr>
          <w:rFonts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日期：   年  月  日</w:t>
      </w:r>
    </w:p>
    <w:p w14:paraId="4196AAAD">
      <w:pPr>
        <w:snapToGrid w:val="0"/>
        <w:spacing w:before="50" w:afterLines="50" w:line="360" w:lineRule="auto"/>
        <w:jc w:val="left"/>
        <w:rPr>
          <w:rFonts w:ascii="宋体" w:hAnsi="宋体" w:cs="宋体"/>
          <w:b/>
          <w:sz w:val="24"/>
          <w:highlight w:val="none"/>
        </w:rPr>
      </w:pPr>
    </w:p>
    <w:p w14:paraId="5862CB4E">
      <w:pPr>
        <w:snapToGrid w:val="0"/>
        <w:spacing w:before="50" w:afterLines="50" w:line="360" w:lineRule="auto"/>
        <w:jc w:val="left"/>
        <w:rPr>
          <w:rFonts w:ascii="宋体" w:hAnsi="宋体" w:cs="宋体"/>
          <w:b/>
          <w:sz w:val="24"/>
          <w:highlight w:val="none"/>
        </w:rPr>
      </w:pPr>
    </w:p>
    <w:p w14:paraId="50228CFC">
      <w:pPr>
        <w:snapToGrid w:val="0"/>
        <w:spacing w:before="50" w:afterLines="50" w:line="360" w:lineRule="auto"/>
        <w:jc w:val="left"/>
        <w:rPr>
          <w:rFonts w:ascii="宋体" w:hAnsi="宋体" w:cs="宋体"/>
          <w:b/>
          <w:sz w:val="24"/>
          <w:highlight w:val="none"/>
        </w:rPr>
      </w:pPr>
    </w:p>
    <w:p w14:paraId="45BBB673">
      <w:pPr>
        <w:pStyle w:val="21"/>
        <w:rPr>
          <w:rFonts w:ascii="宋体" w:hAnsi="宋体" w:cs="宋体"/>
          <w:highlight w:val="none"/>
        </w:rPr>
      </w:pPr>
    </w:p>
    <w:p w14:paraId="70320DB5">
      <w:pPr>
        <w:rPr>
          <w:rFonts w:ascii="宋体" w:hAnsi="宋体" w:cs="宋体"/>
          <w:b/>
          <w:sz w:val="24"/>
          <w:highlight w:val="none"/>
        </w:rPr>
      </w:pPr>
    </w:p>
    <w:p w14:paraId="493CFAAB">
      <w:pPr>
        <w:pStyle w:val="21"/>
        <w:rPr>
          <w:rFonts w:ascii="宋体" w:hAnsi="宋体" w:cs="宋体"/>
          <w:highlight w:val="none"/>
        </w:rPr>
      </w:pPr>
    </w:p>
    <w:p w14:paraId="0890BC01">
      <w:pPr>
        <w:rPr>
          <w:rFonts w:ascii="宋体" w:hAnsi="宋体" w:cs="宋体"/>
          <w:b/>
          <w:sz w:val="24"/>
          <w:highlight w:val="none"/>
        </w:rPr>
      </w:pPr>
    </w:p>
    <w:p w14:paraId="7C869883">
      <w:pPr>
        <w:pStyle w:val="21"/>
        <w:rPr>
          <w:rFonts w:ascii="宋体" w:hAnsi="宋体" w:cs="宋体"/>
          <w:highlight w:val="none"/>
        </w:rPr>
      </w:pPr>
    </w:p>
    <w:p w14:paraId="2E09142F">
      <w:pPr>
        <w:rPr>
          <w:rFonts w:ascii="宋体" w:hAnsi="宋体" w:cs="宋体"/>
          <w:b/>
          <w:sz w:val="24"/>
          <w:highlight w:val="none"/>
        </w:rPr>
      </w:pPr>
    </w:p>
    <w:p w14:paraId="472632B0">
      <w:pPr>
        <w:pStyle w:val="21"/>
        <w:rPr>
          <w:rFonts w:ascii="宋体" w:hAnsi="宋体" w:cs="宋体"/>
          <w:highlight w:val="none"/>
        </w:rPr>
      </w:pPr>
    </w:p>
    <w:p w14:paraId="0C786BAB">
      <w:pPr>
        <w:rPr>
          <w:rFonts w:ascii="宋体" w:hAnsi="宋体" w:cs="宋体"/>
          <w:b/>
          <w:sz w:val="24"/>
          <w:highlight w:val="none"/>
        </w:rPr>
      </w:pPr>
    </w:p>
    <w:p w14:paraId="5083A366">
      <w:pPr>
        <w:pStyle w:val="21"/>
        <w:rPr>
          <w:rFonts w:ascii="宋体" w:hAnsi="宋体" w:cs="宋体"/>
          <w:highlight w:val="none"/>
        </w:rPr>
      </w:pPr>
    </w:p>
    <w:p w14:paraId="281BF0F0">
      <w:pPr>
        <w:rPr>
          <w:rFonts w:ascii="宋体" w:hAnsi="宋体" w:cs="宋体"/>
          <w:b/>
          <w:sz w:val="24"/>
          <w:highlight w:val="none"/>
        </w:rPr>
      </w:pPr>
    </w:p>
    <w:p w14:paraId="55CD881B">
      <w:pPr>
        <w:pStyle w:val="21"/>
        <w:rPr>
          <w:rFonts w:ascii="宋体" w:hAnsi="宋体" w:cs="宋体"/>
          <w:highlight w:val="none"/>
        </w:rPr>
      </w:pPr>
    </w:p>
    <w:p w14:paraId="4134301F">
      <w:pPr>
        <w:rPr>
          <w:rFonts w:ascii="宋体" w:hAnsi="宋体" w:cs="宋体"/>
          <w:b/>
          <w:sz w:val="24"/>
          <w:highlight w:val="none"/>
        </w:rPr>
      </w:pPr>
    </w:p>
    <w:p w14:paraId="33EB7419">
      <w:pPr>
        <w:pStyle w:val="21"/>
        <w:rPr>
          <w:rFonts w:ascii="宋体" w:hAnsi="宋体" w:cs="宋体"/>
          <w:highlight w:val="none"/>
        </w:rPr>
      </w:pPr>
    </w:p>
    <w:p w14:paraId="4DF043F4">
      <w:pPr>
        <w:rPr>
          <w:rFonts w:ascii="宋体" w:hAnsi="宋体" w:cs="宋体"/>
          <w:b/>
          <w:sz w:val="24"/>
          <w:highlight w:val="none"/>
        </w:rPr>
      </w:pPr>
    </w:p>
    <w:p w14:paraId="7E7C92EC">
      <w:pPr>
        <w:pStyle w:val="21"/>
        <w:rPr>
          <w:rFonts w:ascii="宋体" w:hAnsi="宋体" w:cs="宋体"/>
          <w:highlight w:val="none"/>
        </w:rPr>
      </w:pPr>
    </w:p>
    <w:p w14:paraId="2590D776">
      <w:pPr>
        <w:rPr>
          <w:rFonts w:ascii="宋体" w:hAnsi="宋体" w:cs="宋体"/>
          <w:b/>
          <w:sz w:val="24"/>
          <w:highlight w:val="none"/>
        </w:rPr>
      </w:pPr>
    </w:p>
    <w:p w14:paraId="5A945938">
      <w:pPr>
        <w:pStyle w:val="21"/>
        <w:rPr>
          <w:rFonts w:ascii="宋体" w:hAnsi="宋体" w:cs="宋体"/>
          <w:highlight w:val="none"/>
        </w:rPr>
      </w:pPr>
    </w:p>
    <w:p w14:paraId="04A2FDEA">
      <w:pPr>
        <w:rPr>
          <w:highlight w:val="none"/>
        </w:rPr>
      </w:pPr>
    </w:p>
    <w:p w14:paraId="4447FC56">
      <w:pPr>
        <w:snapToGrid w:val="0"/>
        <w:spacing w:before="50" w:afterLines="50" w:line="360" w:lineRule="auto"/>
        <w:jc w:val="left"/>
        <w:rPr>
          <w:rFonts w:ascii="宋体" w:hAnsi="宋体" w:cs="宋体"/>
          <w:b/>
          <w:sz w:val="24"/>
          <w:highlight w:val="none"/>
        </w:rPr>
      </w:pPr>
      <w:r>
        <w:rPr>
          <w:rFonts w:hint="eastAsia" w:ascii="宋体" w:hAnsi="宋体" w:cs="宋体"/>
          <w:b/>
          <w:sz w:val="24"/>
          <w:highlight w:val="none"/>
        </w:rPr>
        <w:t>附件9：投标函格式：</w:t>
      </w:r>
    </w:p>
    <w:p w14:paraId="334D353F">
      <w:pPr>
        <w:snapToGrid w:val="0"/>
        <w:spacing w:beforeLines="50" w:after="50" w:line="360" w:lineRule="auto"/>
        <w:jc w:val="center"/>
        <w:rPr>
          <w:rFonts w:ascii="宋体" w:hAnsi="宋体" w:cs="宋体"/>
          <w:b/>
          <w:sz w:val="24"/>
          <w:szCs w:val="20"/>
          <w:highlight w:val="none"/>
        </w:rPr>
      </w:pPr>
      <w:r>
        <w:rPr>
          <w:rFonts w:hint="eastAsia" w:ascii="宋体" w:hAnsi="宋体" w:cs="宋体"/>
          <w:b/>
          <w:sz w:val="24"/>
          <w:highlight w:val="none"/>
        </w:rPr>
        <w:t>投标函</w:t>
      </w:r>
    </w:p>
    <w:p w14:paraId="7A593372">
      <w:pPr>
        <w:snapToGrid w:val="0"/>
        <w:spacing w:beforeLines="50" w:after="50" w:line="360" w:lineRule="auto"/>
        <w:rPr>
          <w:rFonts w:hint="eastAsia" w:ascii="宋体" w:hAnsi="宋体" w:eastAsia="宋体" w:cs="宋体"/>
          <w:sz w:val="24"/>
          <w:szCs w:val="20"/>
          <w:highlight w:val="none"/>
          <w:lang w:eastAsia="zh-CN"/>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cs="仿宋_GB2312"/>
          <w:sz w:val="24"/>
          <w:highlight w:val="none"/>
          <w:lang w:eastAsia="zh-CN"/>
        </w:rPr>
        <w:t>：</w:t>
      </w:r>
    </w:p>
    <w:p w14:paraId="520A9C43">
      <w:pPr>
        <w:snapToGrid w:val="0"/>
        <w:spacing w:line="360" w:lineRule="auto"/>
        <w:ind w:firstLine="480"/>
        <w:rPr>
          <w:rFonts w:ascii="宋体" w:hAnsi="宋体" w:cs="宋体"/>
          <w:sz w:val="24"/>
          <w:szCs w:val="20"/>
          <w:highlight w:val="none"/>
        </w:rPr>
      </w:pPr>
      <w:r>
        <w:rPr>
          <w:rFonts w:hint="eastAsia" w:ascii="宋体" w:hAnsi="宋体" w:cs="宋体"/>
          <w:sz w:val="24"/>
          <w:highlight w:val="none"/>
        </w:rPr>
        <w:t>根据贵方为项目的招标公告/投标邀请书</w:t>
      </w:r>
    </w:p>
    <w:p w14:paraId="5942FA91">
      <w:pPr>
        <w:snapToGrid w:val="0"/>
        <w:spacing w:line="360" w:lineRule="auto"/>
        <w:rPr>
          <w:rFonts w:ascii="宋体" w:hAnsi="宋体" w:cs="宋体"/>
          <w:sz w:val="24"/>
          <w:szCs w:val="20"/>
          <w:highlight w:val="none"/>
        </w:rPr>
      </w:pPr>
      <w:r>
        <w:rPr>
          <w:rFonts w:hint="eastAsia" w:ascii="宋体" w:hAnsi="宋体" w:cs="宋体"/>
          <w:sz w:val="24"/>
          <w:highlight w:val="none"/>
        </w:rPr>
        <w:t>（项目编号：</w:t>
      </w:r>
      <w:r>
        <w:rPr>
          <w:rFonts w:hint="eastAsia" w:ascii="宋体" w:hAnsi="宋体" w:cs="宋体"/>
          <w:sz w:val="24"/>
          <w:highlight w:val="none"/>
          <w:u w:val="single"/>
        </w:rPr>
        <w:t>       </w:t>
      </w:r>
      <w:r>
        <w:rPr>
          <w:rFonts w:hint="eastAsia" w:ascii="宋体" w:hAnsi="宋体" w:cs="宋体"/>
          <w:sz w:val="24"/>
          <w:highlight w:val="none"/>
        </w:rPr>
        <w:t>），签字代表</w:t>
      </w:r>
      <w:r>
        <w:rPr>
          <w:rFonts w:hint="eastAsia" w:ascii="宋体" w:hAnsi="宋体" w:cs="宋体"/>
          <w:sz w:val="24"/>
          <w:highlight w:val="none"/>
          <w:u w:val="single"/>
        </w:rPr>
        <w:t>       </w:t>
      </w:r>
      <w:r>
        <w:rPr>
          <w:rFonts w:hint="eastAsia" w:ascii="宋体" w:hAnsi="宋体" w:cs="宋体"/>
          <w:sz w:val="24"/>
          <w:highlight w:val="none"/>
        </w:rPr>
        <w:t>（全名）经正式授权并代表投标人</w:t>
      </w:r>
      <w:r>
        <w:rPr>
          <w:rFonts w:hint="eastAsia" w:ascii="宋体" w:hAnsi="宋体" w:cs="宋体"/>
          <w:sz w:val="24"/>
          <w:highlight w:val="none"/>
          <w:u w:val="single"/>
        </w:rPr>
        <w:t>       </w:t>
      </w:r>
      <w:r>
        <w:rPr>
          <w:rFonts w:hint="eastAsia" w:ascii="宋体" w:hAnsi="宋体" w:cs="宋体"/>
          <w:sz w:val="24"/>
          <w:highlight w:val="none"/>
        </w:rPr>
        <w:t>（投标人名称）提交电子投标文件一份，中标后提供资格文件、报价文件、商务技术文件正本各一份，副本各两份。</w:t>
      </w:r>
    </w:p>
    <w:p w14:paraId="0ECAF857">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据此函，签字代表宣布同意如下：</w:t>
      </w:r>
    </w:p>
    <w:p w14:paraId="42E141E8">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7F5FC45F">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2.投标人在投标之前已经与贵方进行了充分的沟通，完全理解并接受招标文件的各项规定和要求，对招标文件的合理性、合法性不再有异议。</w:t>
      </w:r>
    </w:p>
    <w:p w14:paraId="5E8846C8">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3.本投标有效期自开标日起______天。</w:t>
      </w:r>
    </w:p>
    <w:p w14:paraId="4B28EC34">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4.如中标，本投标文件至本项目合同履行完毕止均保持有效，本投标人将按“招标文件”及政府采购法律、法规的规定履行合同责任和义务。</w:t>
      </w:r>
    </w:p>
    <w:p w14:paraId="26969746">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5.投标人同意按照贵方要求提供与投标有关的一切数据或资料。</w:t>
      </w:r>
    </w:p>
    <w:p w14:paraId="3F69F570">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6.与本投标有关的一切正式往来信函请寄：</w:t>
      </w:r>
    </w:p>
    <w:p w14:paraId="33F766C5">
      <w:pPr>
        <w:snapToGrid w:val="0"/>
        <w:spacing w:line="360" w:lineRule="auto"/>
        <w:rPr>
          <w:rFonts w:ascii="宋体" w:hAnsi="宋体" w:cs="宋体"/>
          <w:sz w:val="24"/>
          <w:szCs w:val="20"/>
          <w:highlight w:val="none"/>
        </w:rPr>
      </w:pPr>
      <w:r>
        <w:rPr>
          <w:rFonts w:hint="eastAsia" w:ascii="宋体" w:hAnsi="宋体" w:cs="宋体"/>
          <w:sz w:val="24"/>
          <w:highlight w:val="none"/>
        </w:rPr>
        <w:t>地址：邮编：__________电话：______________</w:t>
      </w:r>
    </w:p>
    <w:p w14:paraId="7F567324">
      <w:pPr>
        <w:snapToGrid w:val="0"/>
        <w:spacing w:line="360" w:lineRule="auto"/>
        <w:rPr>
          <w:rFonts w:ascii="宋体" w:hAnsi="宋体" w:cs="宋体"/>
          <w:sz w:val="24"/>
          <w:szCs w:val="20"/>
          <w:highlight w:val="none"/>
        </w:rPr>
      </w:pPr>
      <w:r>
        <w:rPr>
          <w:rFonts w:hint="eastAsia" w:ascii="宋体" w:hAnsi="宋体" w:cs="宋体"/>
          <w:sz w:val="24"/>
          <w:highlight w:val="none"/>
        </w:rPr>
        <w:t>传真：______________投标人代表姓名___________职务：_____________</w:t>
      </w:r>
    </w:p>
    <w:p w14:paraId="4F82F11D">
      <w:pPr>
        <w:snapToGrid w:val="0"/>
        <w:spacing w:line="360" w:lineRule="auto"/>
        <w:rPr>
          <w:rFonts w:ascii="宋体" w:hAnsi="宋体" w:cs="宋体"/>
          <w:sz w:val="24"/>
          <w:szCs w:val="20"/>
          <w:highlight w:val="none"/>
        </w:rPr>
      </w:pPr>
      <w:r>
        <w:rPr>
          <w:rFonts w:hint="eastAsia" w:ascii="宋体" w:hAnsi="宋体" w:cs="宋体"/>
          <w:sz w:val="24"/>
          <w:highlight w:val="none"/>
        </w:rPr>
        <w:t>投标人名称(公章):___________________</w:t>
      </w:r>
    </w:p>
    <w:p w14:paraId="1521ED46">
      <w:pPr>
        <w:snapToGrid w:val="0"/>
        <w:spacing w:line="360" w:lineRule="auto"/>
        <w:rPr>
          <w:rFonts w:ascii="宋体" w:hAnsi="宋体" w:cs="宋体"/>
          <w:b/>
          <w:sz w:val="24"/>
          <w:highlight w:val="none"/>
        </w:rPr>
      </w:pPr>
      <w:r>
        <w:rPr>
          <w:rFonts w:hint="eastAsia" w:ascii="宋体" w:hAnsi="宋体" w:cs="宋体"/>
          <w:sz w:val="24"/>
          <w:highlight w:val="none"/>
        </w:rPr>
        <w:t>授权代表签字:___________日期:_____年___月___日</w:t>
      </w:r>
    </w:p>
    <w:p w14:paraId="08FEEA6D">
      <w:pPr>
        <w:snapToGrid w:val="0"/>
        <w:spacing w:before="50" w:after="50" w:line="360" w:lineRule="auto"/>
        <w:ind w:left="-4" w:leftChars="-72" w:right="-828" w:rightChars="-389" w:hanging="149" w:hangingChars="62"/>
        <w:rPr>
          <w:rFonts w:ascii="宋体" w:hAnsi="宋体" w:cs="宋体"/>
          <w:b/>
          <w:sz w:val="24"/>
          <w:highlight w:val="none"/>
        </w:rPr>
      </w:pPr>
    </w:p>
    <w:p w14:paraId="4F3E4FB1">
      <w:pPr>
        <w:snapToGrid w:val="0"/>
        <w:spacing w:before="50" w:after="50" w:line="360" w:lineRule="auto"/>
        <w:ind w:left="-4" w:leftChars="-72" w:right="-828" w:rightChars="-389" w:hanging="149" w:hangingChars="62"/>
        <w:rPr>
          <w:rFonts w:ascii="宋体" w:hAnsi="宋体" w:cs="宋体"/>
          <w:b/>
          <w:sz w:val="24"/>
          <w:highlight w:val="none"/>
        </w:rPr>
      </w:pPr>
    </w:p>
    <w:p w14:paraId="3FFDC5DB">
      <w:pPr>
        <w:snapToGrid w:val="0"/>
        <w:spacing w:before="50" w:after="50" w:line="360" w:lineRule="auto"/>
        <w:ind w:left="-4" w:leftChars="-72" w:right="-828" w:rightChars="-389" w:hanging="149" w:hangingChars="62"/>
        <w:rPr>
          <w:rFonts w:ascii="宋体" w:hAnsi="宋体" w:cs="宋体"/>
          <w:b/>
          <w:sz w:val="24"/>
          <w:highlight w:val="none"/>
        </w:rPr>
      </w:pPr>
    </w:p>
    <w:p w14:paraId="45BC9C5D">
      <w:pPr>
        <w:snapToGrid w:val="0"/>
        <w:spacing w:before="50" w:after="50" w:line="360" w:lineRule="auto"/>
        <w:ind w:left="-4" w:leftChars="-72" w:right="-828" w:rightChars="-389" w:hanging="149" w:hangingChars="62"/>
        <w:rPr>
          <w:rFonts w:ascii="宋体" w:hAnsi="宋体" w:cs="宋体"/>
          <w:b/>
          <w:sz w:val="24"/>
          <w:highlight w:val="none"/>
        </w:rPr>
      </w:pPr>
    </w:p>
    <w:p w14:paraId="3A75CA10">
      <w:pPr>
        <w:pStyle w:val="4"/>
        <w:spacing w:line="40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附件10：开标一览表</w:t>
      </w:r>
    </w:p>
    <w:p w14:paraId="30B6C20A">
      <w:pPr>
        <w:snapToGrid w:val="0"/>
        <w:spacing w:before="50" w:after="50" w:line="360" w:lineRule="auto"/>
        <w:jc w:val="center"/>
        <w:rPr>
          <w:rFonts w:ascii="宋体" w:hAnsi="宋体" w:cs="宋体"/>
          <w:b/>
          <w:sz w:val="30"/>
          <w:szCs w:val="20"/>
          <w:highlight w:val="none"/>
        </w:rPr>
      </w:pPr>
      <w:r>
        <w:rPr>
          <w:rFonts w:hint="eastAsia" w:ascii="宋体" w:hAnsi="宋体" w:cs="宋体"/>
          <w:b/>
          <w:sz w:val="30"/>
          <w:highlight w:val="none"/>
        </w:rPr>
        <w:t>开标一览表</w:t>
      </w:r>
    </w:p>
    <w:p w14:paraId="1AA7AFA0">
      <w:pPr>
        <w:snapToGrid w:val="0"/>
        <w:spacing w:before="50" w:after="50" w:line="360" w:lineRule="auto"/>
        <w:rPr>
          <w:rFonts w:hint="default" w:ascii="宋体" w:hAnsi="宋体" w:cs="宋体"/>
          <w:sz w:val="24"/>
          <w:highlight w:val="none"/>
          <w:lang w:val="en-US"/>
        </w:rPr>
      </w:pPr>
      <w:r>
        <w:rPr>
          <w:rFonts w:hint="eastAsia" w:ascii="宋体" w:hAnsi="宋体" w:cs="宋体"/>
          <w:sz w:val="24"/>
          <w:highlight w:val="none"/>
        </w:rPr>
        <w:t>招标编号：                标项：                  单位：</w:t>
      </w:r>
      <w:r>
        <w:rPr>
          <w:rFonts w:hint="eastAsia" w:asciiTheme="minorEastAsia" w:hAnsiTheme="minorEastAsia" w:eastAsiaTheme="minorEastAsia" w:cstheme="minorEastAsia"/>
          <w:color w:val="auto"/>
          <w:sz w:val="24"/>
          <w:szCs w:val="24"/>
          <w:highlight w:val="none"/>
          <w:lang w:val="en-US" w:eastAsia="zh-CN"/>
        </w:rPr>
        <w:t>元</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74"/>
        <w:gridCol w:w="3109"/>
        <w:gridCol w:w="2023"/>
      </w:tblGrid>
      <w:tr w14:paraId="4201D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974" w:type="dxa"/>
            <w:tcBorders>
              <w:top w:val="single" w:color="auto" w:sz="12" w:space="0"/>
              <w:left w:val="single" w:color="auto" w:sz="12" w:space="0"/>
              <w:bottom w:val="single" w:color="auto" w:sz="4" w:space="0"/>
              <w:right w:val="single" w:color="auto" w:sz="4" w:space="0"/>
            </w:tcBorders>
            <w:noWrap/>
            <w:vAlign w:val="center"/>
          </w:tcPr>
          <w:p w14:paraId="5B99DF3C">
            <w:pPr>
              <w:ind w:right="-21" w:rightChars="-10"/>
              <w:jc w:val="center"/>
              <w:rPr>
                <w:rFonts w:ascii="宋体" w:hAnsi="宋体"/>
                <w:bCs/>
                <w:color w:val="000000"/>
                <w:sz w:val="24"/>
                <w:highlight w:val="none"/>
              </w:rPr>
            </w:pPr>
            <w:r>
              <w:rPr>
                <w:rFonts w:hint="eastAsia" w:ascii="宋体" w:hAnsi="宋体"/>
                <w:bCs/>
                <w:color w:val="000000"/>
                <w:sz w:val="24"/>
                <w:highlight w:val="none"/>
              </w:rPr>
              <w:t>采购项目</w:t>
            </w:r>
          </w:p>
        </w:tc>
        <w:tc>
          <w:tcPr>
            <w:tcW w:w="3109" w:type="dxa"/>
            <w:tcBorders>
              <w:top w:val="single" w:color="auto" w:sz="12" w:space="0"/>
              <w:left w:val="single" w:color="auto" w:sz="4" w:space="0"/>
              <w:bottom w:val="single" w:color="auto" w:sz="4" w:space="0"/>
              <w:right w:val="single" w:color="auto" w:sz="4" w:space="0"/>
            </w:tcBorders>
            <w:noWrap/>
            <w:vAlign w:val="center"/>
          </w:tcPr>
          <w:p w14:paraId="1D054081">
            <w:pPr>
              <w:ind w:right="-21" w:rightChars="-10"/>
              <w:jc w:val="center"/>
              <w:rPr>
                <w:rFonts w:hint="eastAsia" w:ascii="宋体" w:hAnsi="宋体" w:eastAsia="宋体"/>
                <w:bCs/>
                <w:color w:val="000000"/>
                <w:sz w:val="24"/>
                <w:highlight w:val="none"/>
                <w:lang w:eastAsia="zh-CN"/>
              </w:rPr>
            </w:pPr>
            <w:r>
              <w:rPr>
                <w:rFonts w:hint="eastAsia" w:ascii="宋体" w:hAnsi="宋体"/>
                <w:bCs/>
                <w:color w:val="000000"/>
                <w:sz w:val="24"/>
                <w:highlight w:val="none"/>
                <w:lang w:val="en-US" w:eastAsia="zh-CN"/>
              </w:rPr>
              <w:t>保险期限</w:t>
            </w:r>
          </w:p>
        </w:tc>
        <w:tc>
          <w:tcPr>
            <w:tcW w:w="2023" w:type="dxa"/>
            <w:tcBorders>
              <w:top w:val="single" w:color="auto" w:sz="12" w:space="0"/>
              <w:left w:val="single" w:color="auto" w:sz="4" w:space="0"/>
              <w:bottom w:val="single" w:color="auto" w:sz="4" w:space="0"/>
              <w:right w:val="single" w:color="auto" w:sz="12" w:space="0"/>
            </w:tcBorders>
            <w:noWrap/>
            <w:vAlign w:val="center"/>
          </w:tcPr>
          <w:p w14:paraId="381553B6">
            <w:pPr>
              <w:ind w:right="-21" w:rightChars="-10"/>
              <w:jc w:val="center"/>
              <w:rPr>
                <w:rFonts w:hint="eastAsia" w:ascii="宋体" w:hAnsi="宋体" w:eastAsia="宋体"/>
                <w:bCs/>
                <w:color w:val="000000"/>
                <w:sz w:val="24"/>
                <w:highlight w:val="none"/>
                <w:lang w:eastAsia="zh-CN"/>
              </w:rPr>
            </w:pPr>
            <w:r>
              <w:rPr>
                <w:rFonts w:hint="eastAsia" w:ascii="宋体" w:hAnsi="宋体"/>
                <w:bCs/>
                <w:color w:val="000000"/>
                <w:sz w:val="24"/>
                <w:highlight w:val="none"/>
                <w:lang w:val="en-US" w:eastAsia="zh-CN"/>
              </w:rPr>
              <w:t>固定综合单价</w:t>
            </w:r>
          </w:p>
        </w:tc>
      </w:tr>
      <w:tr w14:paraId="3347F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3974" w:type="dxa"/>
            <w:tcBorders>
              <w:top w:val="single" w:color="auto" w:sz="4" w:space="0"/>
              <w:left w:val="single" w:color="auto" w:sz="12" w:space="0"/>
              <w:right w:val="single" w:color="auto" w:sz="4" w:space="0"/>
            </w:tcBorders>
            <w:noWrap/>
            <w:vAlign w:val="center"/>
          </w:tcPr>
          <w:p w14:paraId="2062A2C3">
            <w:pPr>
              <w:ind w:right="-21" w:rightChars="-10"/>
              <w:jc w:val="left"/>
              <w:rPr>
                <w:rFonts w:ascii="宋体" w:hAnsi="宋体"/>
                <w:bCs/>
                <w:color w:val="000000"/>
                <w:sz w:val="24"/>
                <w:highlight w:val="none"/>
              </w:rPr>
            </w:pPr>
            <w:r>
              <w:rPr>
                <w:rFonts w:hint="eastAsia" w:ascii="宋体" w:hAnsi="宋体"/>
                <w:bCs/>
                <w:color w:val="000000"/>
                <w:sz w:val="24"/>
                <w:highlight w:val="none"/>
                <w:lang w:eastAsia="zh-CN"/>
              </w:rPr>
              <w:t>2025年-2027年衢江区计生特殊家庭健康保险采购</w:t>
            </w:r>
            <w:r>
              <w:rPr>
                <w:rFonts w:hint="eastAsia" w:hAnsi="宋体"/>
                <w:bCs/>
                <w:color w:val="000000"/>
                <w:sz w:val="24"/>
                <w:highlight w:val="none"/>
              </w:rPr>
              <w:t>项目</w:t>
            </w:r>
          </w:p>
        </w:tc>
        <w:tc>
          <w:tcPr>
            <w:tcW w:w="3109" w:type="dxa"/>
            <w:tcBorders>
              <w:top w:val="single" w:color="auto" w:sz="4" w:space="0"/>
              <w:left w:val="single" w:color="auto" w:sz="4" w:space="0"/>
              <w:right w:val="single" w:color="auto" w:sz="4" w:space="0"/>
            </w:tcBorders>
            <w:noWrap/>
            <w:vAlign w:val="center"/>
          </w:tcPr>
          <w:p w14:paraId="175823E5">
            <w:pPr>
              <w:ind w:right="-21" w:rightChars="-10"/>
              <w:jc w:val="center"/>
              <w:rPr>
                <w:rFonts w:hint="default" w:ascii="宋体" w:hAnsi="宋体" w:eastAsia="宋体"/>
                <w:bCs/>
                <w:color w:val="000000"/>
                <w:sz w:val="24"/>
                <w:highlight w:val="none"/>
                <w:lang w:val="en-US" w:eastAsia="zh-CN"/>
              </w:rPr>
            </w:pPr>
            <w:r>
              <w:rPr>
                <w:rFonts w:hint="eastAsia" w:ascii="宋体" w:hAnsi="宋体"/>
                <w:bCs/>
                <w:color w:val="000000"/>
                <w:sz w:val="24"/>
                <w:highlight w:val="none"/>
                <w:lang w:val="en-US" w:eastAsia="zh-CN"/>
              </w:rPr>
              <w:t>3年</w:t>
            </w:r>
          </w:p>
        </w:tc>
        <w:tc>
          <w:tcPr>
            <w:tcW w:w="2023" w:type="dxa"/>
            <w:tcBorders>
              <w:top w:val="single" w:color="auto" w:sz="4" w:space="0"/>
              <w:left w:val="single" w:color="auto" w:sz="4" w:space="0"/>
              <w:right w:val="single" w:color="auto" w:sz="12" w:space="0"/>
            </w:tcBorders>
            <w:noWrap/>
            <w:vAlign w:val="center"/>
          </w:tcPr>
          <w:p w14:paraId="550D2A27">
            <w:pPr>
              <w:ind w:right="-21" w:rightChars="-10"/>
              <w:jc w:val="center"/>
              <w:rPr>
                <w:rFonts w:hint="default" w:ascii="宋体" w:hAnsi="宋体" w:eastAsia="宋体"/>
                <w:bCs/>
                <w:color w:val="000000"/>
                <w:sz w:val="24"/>
                <w:highlight w:val="none"/>
                <w:lang w:val="en-US" w:eastAsia="zh-CN"/>
              </w:rPr>
            </w:pPr>
            <w:r>
              <w:rPr>
                <w:rFonts w:hint="eastAsia" w:ascii="宋体" w:hAnsi="宋体"/>
                <w:bCs/>
                <w:color w:val="000000"/>
                <w:sz w:val="24"/>
                <w:highlight w:val="none"/>
                <w:lang w:val="en-US" w:eastAsia="zh-CN"/>
              </w:rPr>
              <w:t>268元/人/年</w:t>
            </w:r>
          </w:p>
        </w:tc>
      </w:tr>
      <w:tr w14:paraId="17974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9106" w:type="dxa"/>
            <w:gridSpan w:val="3"/>
            <w:tcBorders>
              <w:left w:val="single" w:color="auto" w:sz="12" w:space="0"/>
              <w:bottom w:val="single" w:color="auto" w:sz="12" w:space="0"/>
              <w:right w:val="single" w:color="auto" w:sz="12" w:space="0"/>
            </w:tcBorders>
            <w:noWrap/>
            <w:vAlign w:val="center"/>
          </w:tcPr>
          <w:p w14:paraId="32C3E665">
            <w:pPr>
              <w:ind w:right="-21" w:rightChars="-10"/>
              <w:rPr>
                <w:rFonts w:hint="eastAsia" w:hAnsi="宋体"/>
                <w:bCs/>
                <w:color w:val="000000"/>
                <w:sz w:val="24"/>
                <w:highlight w:val="none"/>
                <w:u w:val="none"/>
                <w:lang w:val="en-US" w:eastAsia="zh-CN"/>
              </w:rPr>
            </w:pPr>
            <w:r>
              <w:rPr>
                <w:rFonts w:hint="eastAsia" w:hAnsi="宋体"/>
                <w:bCs/>
                <w:color w:val="000000"/>
                <w:sz w:val="24"/>
                <w:highlight w:val="none"/>
              </w:rPr>
              <w:t>投标报价</w:t>
            </w:r>
            <w:r>
              <w:rPr>
                <w:rFonts w:hint="eastAsia" w:hAnsi="宋体"/>
                <w:bCs/>
                <w:color w:val="000000"/>
                <w:sz w:val="24"/>
                <w:highlight w:val="none"/>
                <w:lang w:val="en-US" w:eastAsia="zh-CN"/>
              </w:rPr>
              <w:t xml:space="preserve">  </w:t>
            </w:r>
            <w:r>
              <w:rPr>
                <w:rFonts w:hint="eastAsia" w:hAnsi="宋体"/>
                <w:bCs/>
                <w:color w:val="000000"/>
                <w:sz w:val="24"/>
                <w:highlight w:val="none"/>
              </w:rPr>
              <w:t>大写：</w:t>
            </w:r>
            <w:r>
              <w:rPr>
                <w:rFonts w:hint="eastAsia" w:hAnsi="宋体"/>
                <w:bCs/>
                <w:color w:val="000000"/>
                <w:sz w:val="24"/>
                <w:highlight w:val="none"/>
                <w:u w:val="single"/>
                <w:lang w:val="en-US" w:eastAsia="zh-CN"/>
              </w:rPr>
              <w:t xml:space="preserve">            元</w:t>
            </w:r>
            <w:r>
              <w:rPr>
                <w:rFonts w:hint="eastAsia" w:hAnsi="宋体"/>
                <w:bCs/>
                <w:color w:val="000000"/>
                <w:sz w:val="24"/>
                <w:highlight w:val="none"/>
                <w:u w:val="none"/>
                <w:lang w:val="en-US" w:eastAsia="zh-CN"/>
              </w:rPr>
              <w:t xml:space="preserve"> </w:t>
            </w:r>
          </w:p>
          <w:p w14:paraId="68CD6977">
            <w:pPr>
              <w:ind w:right="-21" w:rightChars="-10" w:firstLine="1215" w:firstLineChars="500"/>
              <w:rPr>
                <w:rFonts w:ascii="宋体" w:hAnsi="宋体"/>
                <w:bCs/>
                <w:color w:val="000000"/>
                <w:sz w:val="24"/>
                <w:highlight w:val="none"/>
              </w:rPr>
            </w:pPr>
            <w:r>
              <w:rPr>
                <w:rFonts w:hint="eastAsia" w:hAnsi="宋体"/>
                <w:bCs/>
                <w:color w:val="000000"/>
                <w:sz w:val="24"/>
                <w:highlight w:val="none"/>
              </w:rPr>
              <w:t>小写：</w:t>
            </w:r>
            <w:r>
              <w:rPr>
                <w:rFonts w:hint="eastAsia" w:hAnsi="宋体"/>
                <w:bCs/>
                <w:color w:val="000000"/>
                <w:sz w:val="24"/>
                <w:highlight w:val="none"/>
                <w:u w:val="single"/>
                <w:lang w:val="en-US" w:eastAsia="zh-CN"/>
              </w:rPr>
              <w:t xml:space="preserve">              </w:t>
            </w:r>
          </w:p>
        </w:tc>
      </w:tr>
    </w:tbl>
    <w:p w14:paraId="7D4688CD">
      <w:pPr>
        <w:spacing w:line="360" w:lineRule="auto"/>
        <w:rPr>
          <w:rFonts w:ascii="宋体" w:hAnsi="宋体" w:cs="宋体"/>
          <w:b/>
          <w:sz w:val="24"/>
          <w:highlight w:val="none"/>
          <w:lang w:val="zh-CN"/>
        </w:rPr>
      </w:pPr>
      <w:r>
        <w:rPr>
          <w:rFonts w:hint="eastAsia" w:ascii="宋体" w:hAnsi="宋体" w:cs="宋体"/>
          <w:b/>
          <w:sz w:val="24"/>
          <w:highlight w:val="none"/>
          <w:lang w:val="zh-CN"/>
        </w:rPr>
        <w:t>注:</w:t>
      </w:r>
    </w:p>
    <w:p w14:paraId="10619E37">
      <w:pPr>
        <w:spacing w:line="360" w:lineRule="auto"/>
        <w:rPr>
          <w:rFonts w:ascii="宋体" w:hAnsi="宋体" w:cs="宋体"/>
          <w:bCs/>
          <w:sz w:val="24"/>
          <w:highlight w:val="none"/>
          <w:lang w:val="zh-CN"/>
        </w:rPr>
      </w:pPr>
      <w:r>
        <w:rPr>
          <w:rFonts w:hint="eastAsia" w:ascii="宋体" w:hAnsi="宋体" w:cs="宋体"/>
          <w:bCs/>
          <w:sz w:val="24"/>
          <w:highlight w:val="none"/>
        </w:rPr>
        <w:t>1、</w:t>
      </w:r>
      <w:r>
        <w:rPr>
          <w:rFonts w:hint="eastAsia" w:ascii="宋体" w:hAnsi="宋体" w:cs="宋体"/>
          <w:bCs/>
          <w:sz w:val="24"/>
          <w:highlight w:val="none"/>
          <w:lang w:val="zh-CN"/>
        </w:rPr>
        <w:t>投标报价是履行合同的最终价格，应报价包括但不限于雇员工资、雇员五险、验收、利润、雇员伙食费、交通、管理费、税费、招标代理费等完成本项目所产生的一切费用、政策性文件规定及合同包含的所有风险、责任等所有涉及本项目所产生的一切费用。投标人在编写投标文件时应充分考虑，凡投标人漏项、漏报均认为已包含在投标报价中。</w:t>
      </w:r>
    </w:p>
    <w:p w14:paraId="398CA20C">
      <w:pPr>
        <w:spacing w:line="360" w:lineRule="auto"/>
        <w:rPr>
          <w:rFonts w:ascii="宋体" w:hAnsi="宋体" w:cs="宋体"/>
          <w:b/>
          <w:sz w:val="24"/>
          <w:highlight w:val="none"/>
        </w:rPr>
      </w:pPr>
      <w:r>
        <w:rPr>
          <w:rFonts w:hint="eastAsia" w:ascii="宋体" w:hAnsi="宋体" w:cs="宋体"/>
          <w:b/>
          <w:sz w:val="24"/>
          <w:highlight w:val="none"/>
          <w:lang w:val="zh-CN"/>
        </w:rPr>
        <w:t>2、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1BD3679E">
      <w:pPr>
        <w:spacing w:line="360" w:lineRule="auto"/>
        <w:rPr>
          <w:rFonts w:hint="eastAsia" w:ascii="宋体" w:hAnsi="宋体" w:cs="宋体"/>
          <w:bCs/>
          <w:sz w:val="24"/>
          <w:highlight w:val="none"/>
          <w:lang w:val="en-US" w:eastAsia="zh-CN"/>
        </w:rPr>
      </w:pPr>
      <w:r>
        <w:rPr>
          <w:rFonts w:hint="eastAsia" w:ascii="宋体" w:hAnsi="宋体" w:cs="宋体"/>
          <w:bCs/>
          <w:sz w:val="24"/>
          <w:highlight w:val="none"/>
          <w:lang w:val="en-US" w:eastAsia="zh-CN"/>
        </w:rPr>
        <w:t>3、本项目的报价为固定综合单价（不竞争价），供应商应根据采购人要求进行相应性报价。</w:t>
      </w:r>
    </w:p>
    <w:p w14:paraId="28D6C425">
      <w:pPr>
        <w:snapToGrid w:val="0"/>
        <w:spacing w:before="50" w:after="50" w:line="360" w:lineRule="auto"/>
        <w:ind w:left="-4" w:leftChars="-72" w:right="-828" w:rightChars="-389" w:hanging="149" w:hangingChars="62"/>
        <w:rPr>
          <w:rFonts w:ascii="宋体" w:hAnsi="宋体" w:cs="宋体"/>
          <w:sz w:val="24"/>
          <w:highlight w:val="none"/>
        </w:rPr>
      </w:pPr>
    </w:p>
    <w:p w14:paraId="15D6BFF5">
      <w:pPr>
        <w:snapToGrid w:val="0"/>
        <w:spacing w:before="50" w:after="50" w:line="360" w:lineRule="auto"/>
        <w:ind w:left="-4" w:leftChars="-72" w:right="-828" w:rightChars="-389" w:hanging="149" w:hangingChars="62"/>
        <w:rPr>
          <w:rFonts w:ascii="宋体" w:hAnsi="宋体" w:cs="宋体"/>
          <w:sz w:val="24"/>
          <w:highlight w:val="none"/>
        </w:rPr>
      </w:pPr>
    </w:p>
    <w:p w14:paraId="43F49681">
      <w:pPr>
        <w:snapToGrid w:val="0"/>
        <w:spacing w:before="50" w:after="50" w:line="360" w:lineRule="auto"/>
        <w:ind w:left="89" w:leftChars="42" w:right="-828" w:rightChars="-389" w:firstLine="2755" w:firstLineChars="1134"/>
        <w:rPr>
          <w:rFonts w:ascii="宋体" w:hAnsi="宋体" w:cs="宋体"/>
          <w:sz w:val="24"/>
          <w:szCs w:val="20"/>
          <w:highlight w:val="none"/>
        </w:rPr>
      </w:pPr>
      <w:r>
        <w:rPr>
          <w:rFonts w:hint="eastAsia" w:ascii="宋体" w:hAnsi="宋体" w:cs="宋体"/>
          <w:sz w:val="24"/>
          <w:highlight w:val="none"/>
        </w:rPr>
        <w:t>法定代表人或授权代表（签字或盖章）：</w:t>
      </w:r>
    </w:p>
    <w:p w14:paraId="08C613D3">
      <w:pPr>
        <w:snapToGrid w:val="0"/>
        <w:spacing w:before="50" w:after="50" w:line="360" w:lineRule="auto"/>
        <w:ind w:left="89" w:leftChars="42" w:right="-828" w:rightChars="-389" w:firstLine="4213" w:firstLineChars="1734"/>
        <w:rPr>
          <w:rFonts w:ascii="宋体" w:hAnsi="宋体" w:cs="宋体"/>
          <w:sz w:val="24"/>
          <w:highlight w:val="none"/>
        </w:rPr>
      </w:pPr>
      <w:r>
        <w:rPr>
          <w:rFonts w:hint="eastAsia" w:ascii="宋体" w:hAnsi="宋体" w:cs="宋体"/>
          <w:sz w:val="24"/>
          <w:highlight w:val="none"/>
        </w:rPr>
        <w:t>投标人名称（公章）：</w:t>
      </w:r>
    </w:p>
    <w:p w14:paraId="5F51EAE9">
      <w:pPr>
        <w:snapToGrid w:val="0"/>
        <w:spacing w:before="50" w:after="50" w:line="360" w:lineRule="auto"/>
        <w:ind w:left="-4" w:leftChars="-72" w:right="-828" w:rightChars="-389" w:hanging="149" w:hangingChars="62"/>
        <w:rPr>
          <w:rFonts w:ascii="宋体" w:hAnsi="宋体" w:cs="宋体"/>
          <w:sz w:val="24"/>
          <w:highlight w:val="none"/>
          <w:u w:val="single"/>
        </w:rPr>
      </w:pPr>
    </w:p>
    <w:p w14:paraId="23757509">
      <w:pPr>
        <w:pStyle w:val="31"/>
        <w:rPr>
          <w:highlight w:val="none"/>
        </w:rPr>
      </w:pPr>
    </w:p>
    <w:p w14:paraId="70935D76">
      <w:pPr>
        <w:pStyle w:val="4"/>
        <w:spacing w:line="400" w:lineRule="exact"/>
        <w:jc w:val="left"/>
        <w:rPr>
          <w:rFonts w:ascii="宋体" w:hAnsi="宋体" w:eastAsia="宋体" w:cs="宋体"/>
          <w:color w:val="000000"/>
          <w:highlight w:val="none"/>
        </w:rPr>
      </w:pPr>
      <w:r>
        <w:rPr>
          <w:rFonts w:hint="eastAsia" w:ascii="宋体" w:hAnsi="宋体" w:eastAsia="宋体" w:cs="宋体"/>
          <w:color w:val="000000"/>
          <w:highlight w:val="none"/>
        </w:rPr>
        <w:t>附件11：投标报价明细表</w:t>
      </w:r>
    </w:p>
    <w:p w14:paraId="26457F35">
      <w:pPr>
        <w:spacing w:line="400" w:lineRule="exact"/>
        <w:jc w:val="center"/>
        <w:rPr>
          <w:rFonts w:hint="eastAsia" w:ascii="宋体" w:hAnsi="宋体" w:cs="宋体"/>
          <w:b/>
          <w:bCs/>
          <w:sz w:val="30"/>
          <w:szCs w:val="30"/>
          <w:highlight w:val="none"/>
        </w:rPr>
      </w:pPr>
      <w:r>
        <w:rPr>
          <w:rFonts w:hint="eastAsia" w:ascii="宋体" w:hAnsi="宋体" w:cs="宋体"/>
          <w:b/>
          <w:bCs/>
          <w:color w:val="000000"/>
          <w:sz w:val="30"/>
          <w:szCs w:val="30"/>
          <w:highlight w:val="none"/>
        </w:rPr>
        <w:t>投标</w:t>
      </w:r>
      <w:r>
        <w:rPr>
          <w:rFonts w:hint="eastAsia" w:ascii="宋体" w:hAnsi="宋体" w:cs="宋体"/>
          <w:b/>
          <w:bCs/>
          <w:sz w:val="30"/>
          <w:szCs w:val="30"/>
          <w:highlight w:val="none"/>
        </w:rPr>
        <w:t>报价明细表</w:t>
      </w:r>
    </w:p>
    <w:p w14:paraId="025DD81C">
      <w:pPr>
        <w:pStyle w:val="31"/>
        <w:rPr>
          <w:highlight w:val="none"/>
        </w:rPr>
      </w:pPr>
    </w:p>
    <w:tbl>
      <w:tblPr>
        <w:tblStyle w:val="24"/>
        <w:tblW w:w="9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2811"/>
        <w:gridCol w:w="1486"/>
        <w:gridCol w:w="1855"/>
        <w:gridCol w:w="1642"/>
      </w:tblGrid>
      <w:tr w14:paraId="2CCB9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3615F7EA">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2811" w:type="dxa"/>
            <w:noWrap w:val="0"/>
            <w:vAlign w:val="top"/>
          </w:tcPr>
          <w:p w14:paraId="70E61CF7">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服务内容</w:t>
            </w:r>
          </w:p>
        </w:tc>
        <w:tc>
          <w:tcPr>
            <w:tcW w:w="1486" w:type="dxa"/>
            <w:noWrap w:val="0"/>
            <w:vAlign w:val="top"/>
          </w:tcPr>
          <w:p w14:paraId="366AE260">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数量</w:t>
            </w:r>
          </w:p>
        </w:tc>
        <w:tc>
          <w:tcPr>
            <w:tcW w:w="1855" w:type="dxa"/>
            <w:noWrap w:val="0"/>
            <w:vAlign w:val="top"/>
          </w:tcPr>
          <w:p w14:paraId="116B4F3B">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单价</w:t>
            </w:r>
          </w:p>
        </w:tc>
        <w:tc>
          <w:tcPr>
            <w:tcW w:w="1642" w:type="dxa"/>
            <w:noWrap w:val="0"/>
            <w:vAlign w:val="top"/>
          </w:tcPr>
          <w:p w14:paraId="68842F99">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sz w:val="24"/>
                <w:szCs w:val="24"/>
                <w:highlight w:val="none"/>
              </w:rPr>
              <w:t>单价合计</w:t>
            </w:r>
          </w:p>
        </w:tc>
      </w:tr>
      <w:tr w14:paraId="16E7D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593EC929">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p>
        </w:tc>
        <w:tc>
          <w:tcPr>
            <w:tcW w:w="2811" w:type="dxa"/>
            <w:noWrap w:val="0"/>
            <w:vAlign w:val="top"/>
          </w:tcPr>
          <w:p w14:paraId="6E94E356">
            <w:pPr>
              <w:spacing w:line="440" w:lineRule="exact"/>
              <w:jc w:val="center"/>
              <w:rPr>
                <w:rFonts w:hint="eastAsia" w:ascii="宋体" w:hAnsi="宋体" w:eastAsia="宋体" w:cs="宋体"/>
                <w:b/>
                <w:color w:val="000000"/>
                <w:sz w:val="24"/>
                <w:szCs w:val="24"/>
                <w:highlight w:val="none"/>
              </w:rPr>
            </w:pPr>
          </w:p>
        </w:tc>
        <w:tc>
          <w:tcPr>
            <w:tcW w:w="1486" w:type="dxa"/>
            <w:noWrap w:val="0"/>
            <w:vAlign w:val="top"/>
          </w:tcPr>
          <w:p w14:paraId="5EE746AA">
            <w:pPr>
              <w:spacing w:line="440" w:lineRule="exact"/>
              <w:jc w:val="center"/>
              <w:rPr>
                <w:rFonts w:hint="eastAsia" w:ascii="宋体" w:hAnsi="宋体" w:eastAsia="宋体" w:cs="宋体"/>
                <w:b/>
                <w:color w:val="000000"/>
                <w:sz w:val="24"/>
                <w:szCs w:val="24"/>
                <w:highlight w:val="none"/>
              </w:rPr>
            </w:pPr>
          </w:p>
        </w:tc>
        <w:tc>
          <w:tcPr>
            <w:tcW w:w="1855" w:type="dxa"/>
            <w:noWrap w:val="0"/>
            <w:vAlign w:val="top"/>
          </w:tcPr>
          <w:p w14:paraId="64E78369">
            <w:pPr>
              <w:spacing w:line="440" w:lineRule="exact"/>
              <w:jc w:val="center"/>
              <w:rPr>
                <w:rFonts w:hint="eastAsia" w:ascii="宋体" w:hAnsi="宋体" w:eastAsia="宋体" w:cs="宋体"/>
                <w:b/>
                <w:color w:val="000000"/>
                <w:sz w:val="24"/>
                <w:szCs w:val="24"/>
                <w:highlight w:val="none"/>
              </w:rPr>
            </w:pPr>
          </w:p>
        </w:tc>
        <w:tc>
          <w:tcPr>
            <w:tcW w:w="1642" w:type="dxa"/>
            <w:noWrap w:val="0"/>
            <w:vAlign w:val="top"/>
          </w:tcPr>
          <w:p w14:paraId="12932773">
            <w:pPr>
              <w:spacing w:line="440" w:lineRule="exact"/>
              <w:jc w:val="center"/>
              <w:rPr>
                <w:rFonts w:hint="eastAsia" w:ascii="宋体" w:hAnsi="宋体" w:eastAsia="宋体" w:cs="宋体"/>
                <w:b/>
                <w:color w:val="000000"/>
                <w:sz w:val="24"/>
                <w:szCs w:val="24"/>
                <w:highlight w:val="none"/>
              </w:rPr>
            </w:pPr>
          </w:p>
        </w:tc>
      </w:tr>
      <w:tr w14:paraId="2B69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4CE0CF2C">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p>
        </w:tc>
        <w:tc>
          <w:tcPr>
            <w:tcW w:w="2811" w:type="dxa"/>
            <w:noWrap w:val="0"/>
            <w:vAlign w:val="top"/>
          </w:tcPr>
          <w:p w14:paraId="78969188">
            <w:pPr>
              <w:spacing w:line="440" w:lineRule="exact"/>
              <w:jc w:val="center"/>
              <w:rPr>
                <w:rFonts w:hint="eastAsia" w:ascii="宋体" w:hAnsi="宋体" w:eastAsia="宋体" w:cs="宋体"/>
                <w:b/>
                <w:color w:val="000000"/>
                <w:sz w:val="24"/>
                <w:szCs w:val="24"/>
                <w:highlight w:val="none"/>
              </w:rPr>
            </w:pPr>
          </w:p>
        </w:tc>
        <w:tc>
          <w:tcPr>
            <w:tcW w:w="1486" w:type="dxa"/>
            <w:noWrap w:val="0"/>
            <w:vAlign w:val="top"/>
          </w:tcPr>
          <w:p w14:paraId="3379B87D">
            <w:pPr>
              <w:spacing w:line="440" w:lineRule="exact"/>
              <w:jc w:val="center"/>
              <w:rPr>
                <w:rFonts w:hint="eastAsia" w:ascii="宋体" w:hAnsi="宋体" w:eastAsia="宋体" w:cs="宋体"/>
                <w:b/>
                <w:color w:val="000000"/>
                <w:sz w:val="24"/>
                <w:szCs w:val="24"/>
                <w:highlight w:val="none"/>
              </w:rPr>
            </w:pPr>
          </w:p>
        </w:tc>
        <w:tc>
          <w:tcPr>
            <w:tcW w:w="1855" w:type="dxa"/>
            <w:noWrap w:val="0"/>
            <w:vAlign w:val="top"/>
          </w:tcPr>
          <w:p w14:paraId="68F438D7">
            <w:pPr>
              <w:spacing w:line="440" w:lineRule="exact"/>
              <w:jc w:val="center"/>
              <w:rPr>
                <w:rFonts w:hint="eastAsia" w:ascii="宋体" w:hAnsi="宋体" w:eastAsia="宋体" w:cs="宋体"/>
                <w:b/>
                <w:color w:val="000000"/>
                <w:sz w:val="24"/>
                <w:szCs w:val="24"/>
                <w:highlight w:val="none"/>
              </w:rPr>
            </w:pPr>
          </w:p>
        </w:tc>
        <w:tc>
          <w:tcPr>
            <w:tcW w:w="1642" w:type="dxa"/>
            <w:noWrap w:val="0"/>
            <w:vAlign w:val="top"/>
          </w:tcPr>
          <w:p w14:paraId="135BDB2E">
            <w:pPr>
              <w:spacing w:line="440" w:lineRule="exact"/>
              <w:jc w:val="center"/>
              <w:rPr>
                <w:rFonts w:hint="eastAsia" w:ascii="宋体" w:hAnsi="宋体" w:eastAsia="宋体" w:cs="宋体"/>
                <w:b/>
                <w:color w:val="000000"/>
                <w:sz w:val="24"/>
                <w:szCs w:val="24"/>
                <w:highlight w:val="none"/>
              </w:rPr>
            </w:pPr>
          </w:p>
        </w:tc>
      </w:tr>
      <w:tr w14:paraId="72488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62C55965">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w:t>
            </w:r>
          </w:p>
        </w:tc>
        <w:tc>
          <w:tcPr>
            <w:tcW w:w="2811" w:type="dxa"/>
            <w:noWrap w:val="0"/>
            <w:vAlign w:val="top"/>
          </w:tcPr>
          <w:p w14:paraId="4E7E23BC">
            <w:pPr>
              <w:spacing w:line="440" w:lineRule="exact"/>
              <w:jc w:val="center"/>
              <w:rPr>
                <w:rFonts w:hint="eastAsia" w:ascii="宋体" w:hAnsi="宋体" w:eastAsia="宋体" w:cs="宋体"/>
                <w:b/>
                <w:color w:val="000000"/>
                <w:sz w:val="24"/>
                <w:szCs w:val="24"/>
                <w:highlight w:val="none"/>
              </w:rPr>
            </w:pPr>
          </w:p>
        </w:tc>
        <w:tc>
          <w:tcPr>
            <w:tcW w:w="1486" w:type="dxa"/>
            <w:noWrap w:val="0"/>
            <w:vAlign w:val="top"/>
          </w:tcPr>
          <w:p w14:paraId="7091042E">
            <w:pPr>
              <w:spacing w:line="440" w:lineRule="exact"/>
              <w:jc w:val="center"/>
              <w:rPr>
                <w:rFonts w:hint="eastAsia" w:ascii="宋体" w:hAnsi="宋体" w:eastAsia="宋体" w:cs="宋体"/>
                <w:b/>
                <w:color w:val="000000"/>
                <w:sz w:val="24"/>
                <w:szCs w:val="24"/>
                <w:highlight w:val="none"/>
              </w:rPr>
            </w:pPr>
          </w:p>
        </w:tc>
        <w:tc>
          <w:tcPr>
            <w:tcW w:w="1855" w:type="dxa"/>
            <w:noWrap w:val="0"/>
            <w:vAlign w:val="top"/>
          </w:tcPr>
          <w:p w14:paraId="3ABA1B39">
            <w:pPr>
              <w:spacing w:line="440" w:lineRule="exact"/>
              <w:jc w:val="center"/>
              <w:rPr>
                <w:rFonts w:hint="eastAsia" w:ascii="宋体" w:hAnsi="宋体" w:eastAsia="宋体" w:cs="宋体"/>
                <w:b/>
                <w:color w:val="000000"/>
                <w:sz w:val="24"/>
                <w:szCs w:val="24"/>
                <w:highlight w:val="none"/>
              </w:rPr>
            </w:pPr>
          </w:p>
        </w:tc>
        <w:tc>
          <w:tcPr>
            <w:tcW w:w="1642" w:type="dxa"/>
            <w:noWrap w:val="0"/>
            <w:vAlign w:val="top"/>
          </w:tcPr>
          <w:p w14:paraId="44178040">
            <w:pPr>
              <w:spacing w:line="440" w:lineRule="exact"/>
              <w:jc w:val="center"/>
              <w:rPr>
                <w:rFonts w:hint="eastAsia" w:ascii="宋体" w:hAnsi="宋体" w:eastAsia="宋体" w:cs="宋体"/>
                <w:b/>
                <w:color w:val="000000"/>
                <w:sz w:val="24"/>
                <w:szCs w:val="24"/>
                <w:highlight w:val="none"/>
              </w:rPr>
            </w:pPr>
          </w:p>
        </w:tc>
      </w:tr>
      <w:tr w14:paraId="66876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0164E6A0">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w:t>
            </w:r>
          </w:p>
        </w:tc>
        <w:tc>
          <w:tcPr>
            <w:tcW w:w="2811" w:type="dxa"/>
            <w:noWrap w:val="0"/>
            <w:vAlign w:val="top"/>
          </w:tcPr>
          <w:p w14:paraId="3E8649F5">
            <w:pPr>
              <w:spacing w:line="440" w:lineRule="exact"/>
              <w:jc w:val="center"/>
              <w:rPr>
                <w:rFonts w:hint="eastAsia" w:ascii="宋体" w:hAnsi="宋体" w:eastAsia="宋体" w:cs="宋体"/>
                <w:b/>
                <w:color w:val="000000"/>
                <w:sz w:val="24"/>
                <w:szCs w:val="24"/>
                <w:highlight w:val="none"/>
              </w:rPr>
            </w:pPr>
          </w:p>
        </w:tc>
        <w:tc>
          <w:tcPr>
            <w:tcW w:w="1486" w:type="dxa"/>
            <w:noWrap w:val="0"/>
            <w:vAlign w:val="top"/>
          </w:tcPr>
          <w:p w14:paraId="555804E0">
            <w:pPr>
              <w:spacing w:line="440" w:lineRule="exact"/>
              <w:jc w:val="center"/>
              <w:rPr>
                <w:rFonts w:hint="eastAsia" w:ascii="宋体" w:hAnsi="宋体" w:eastAsia="宋体" w:cs="宋体"/>
                <w:b/>
                <w:color w:val="000000"/>
                <w:sz w:val="24"/>
                <w:szCs w:val="24"/>
                <w:highlight w:val="none"/>
              </w:rPr>
            </w:pPr>
          </w:p>
        </w:tc>
        <w:tc>
          <w:tcPr>
            <w:tcW w:w="1855" w:type="dxa"/>
            <w:noWrap w:val="0"/>
            <w:vAlign w:val="top"/>
          </w:tcPr>
          <w:p w14:paraId="14222154">
            <w:pPr>
              <w:spacing w:line="440" w:lineRule="exact"/>
              <w:jc w:val="center"/>
              <w:rPr>
                <w:rFonts w:hint="eastAsia" w:ascii="宋体" w:hAnsi="宋体" w:eastAsia="宋体" w:cs="宋体"/>
                <w:b/>
                <w:color w:val="000000"/>
                <w:sz w:val="24"/>
                <w:szCs w:val="24"/>
                <w:highlight w:val="none"/>
              </w:rPr>
            </w:pPr>
          </w:p>
        </w:tc>
        <w:tc>
          <w:tcPr>
            <w:tcW w:w="1642" w:type="dxa"/>
            <w:noWrap w:val="0"/>
            <w:vAlign w:val="top"/>
          </w:tcPr>
          <w:p w14:paraId="0029D435">
            <w:pPr>
              <w:spacing w:line="440" w:lineRule="exact"/>
              <w:jc w:val="center"/>
              <w:rPr>
                <w:rFonts w:hint="eastAsia" w:ascii="宋体" w:hAnsi="宋体" w:eastAsia="宋体" w:cs="宋体"/>
                <w:b/>
                <w:color w:val="000000"/>
                <w:sz w:val="24"/>
                <w:szCs w:val="24"/>
                <w:highlight w:val="none"/>
              </w:rPr>
            </w:pPr>
          </w:p>
        </w:tc>
      </w:tr>
      <w:tr w14:paraId="07FA9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1CFA1D78">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w:t>
            </w:r>
          </w:p>
        </w:tc>
        <w:tc>
          <w:tcPr>
            <w:tcW w:w="2811" w:type="dxa"/>
            <w:noWrap w:val="0"/>
            <w:vAlign w:val="top"/>
          </w:tcPr>
          <w:p w14:paraId="00FBC489">
            <w:pPr>
              <w:spacing w:line="440" w:lineRule="exact"/>
              <w:jc w:val="center"/>
              <w:rPr>
                <w:rFonts w:hint="eastAsia" w:ascii="宋体" w:hAnsi="宋体" w:eastAsia="宋体" w:cs="宋体"/>
                <w:b/>
                <w:color w:val="000000"/>
                <w:sz w:val="24"/>
                <w:szCs w:val="24"/>
                <w:highlight w:val="none"/>
              </w:rPr>
            </w:pPr>
          </w:p>
        </w:tc>
        <w:tc>
          <w:tcPr>
            <w:tcW w:w="1486" w:type="dxa"/>
            <w:noWrap w:val="0"/>
            <w:vAlign w:val="top"/>
          </w:tcPr>
          <w:p w14:paraId="6724F848">
            <w:pPr>
              <w:spacing w:line="440" w:lineRule="exact"/>
              <w:jc w:val="center"/>
              <w:rPr>
                <w:rFonts w:hint="eastAsia" w:ascii="宋体" w:hAnsi="宋体" w:eastAsia="宋体" w:cs="宋体"/>
                <w:b/>
                <w:color w:val="000000"/>
                <w:sz w:val="24"/>
                <w:szCs w:val="24"/>
                <w:highlight w:val="none"/>
              </w:rPr>
            </w:pPr>
          </w:p>
        </w:tc>
        <w:tc>
          <w:tcPr>
            <w:tcW w:w="1855" w:type="dxa"/>
            <w:noWrap w:val="0"/>
            <w:vAlign w:val="top"/>
          </w:tcPr>
          <w:p w14:paraId="44B95DB2">
            <w:pPr>
              <w:spacing w:line="440" w:lineRule="exact"/>
              <w:jc w:val="center"/>
              <w:rPr>
                <w:rFonts w:hint="eastAsia" w:ascii="宋体" w:hAnsi="宋体" w:eastAsia="宋体" w:cs="宋体"/>
                <w:b/>
                <w:color w:val="000000"/>
                <w:sz w:val="24"/>
                <w:szCs w:val="24"/>
                <w:highlight w:val="none"/>
              </w:rPr>
            </w:pPr>
          </w:p>
        </w:tc>
        <w:tc>
          <w:tcPr>
            <w:tcW w:w="1642" w:type="dxa"/>
            <w:noWrap w:val="0"/>
            <w:vAlign w:val="top"/>
          </w:tcPr>
          <w:p w14:paraId="07FEF28D">
            <w:pPr>
              <w:spacing w:line="440" w:lineRule="exact"/>
              <w:jc w:val="center"/>
              <w:rPr>
                <w:rFonts w:hint="eastAsia" w:ascii="宋体" w:hAnsi="宋体" w:eastAsia="宋体" w:cs="宋体"/>
                <w:b/>
                <w:color w:val="000000"/>
                <w:sz w:val="24"/>
                <w:szCs w:val="24"/>
                <w:highlight w:val="none"/>
              </w:rPr>
            </w:pPr>
          </w:p>
        </w:tc>
      </w:tr>
      <w:tr w14:paraId="45838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0554A6D9">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6</w:t>
            </w:r>
          </w:p>
        </w:tc>
        <w:tc>
          <w:tcPr>
            <w:tcW w:w="2811" w:type="dxa"/>
            <w:noWrap w:val="0"/>
            <w:vAlign w:val="top"/>
          </w:tcPr>
          <w:p w14:paraId="52B33D7C">
            <w:pPr>
              <w:spacing w:line="440" w:lineRule="exact"/>
              <w:jc w:val="center"/>
              <w:rPr>
                <w:rFonts w:hint="eastAsia" w:ascii="宋体" w:hAnsi="宋体" w:eastAsia="宋体" w:cs="宋体"/>
                <w:b/>
                <w:color w:val="000000"/>
                <w:sz w:val="24"/>
                <w:szCs w:val="24"/>
                <w:highlight w:val="none"/>
              </w:rPr>
            </w:pPr>
          </w:p>
        </w:tc>
        <w:tc>
          <w:tcPr>
            <w:tcW w:w="1486" w:type="dxa"/>
            <w:noWrap w:val="0"/>
            <w:vAlign w:val="top"/>
          </w:tcPr>
          <w:p w14:paraId="0D92CDC4">
            <w:pPr>
              <w:spacing w:line="440" w:lineRule="exact"/>
              <w:jc w:val="center"/>
              <w:rPr>
                <w:rFonts w:hint="eastAsia" w:ascii="宋体" w:hAnsi="宋体" w:eastAsia="宋体" w:cs="宋体"/>
                <w:b/>
                <w:color w:val="000000"/>
                <w:sz w:val="24"/>
                <w:szCs w:val="24"/>
                <w:highlight w:val="none"/>
              </w:rPr>
            </w:pPr>
          </w:p>
        </w:tc>
        <w:tc>
          <w:tcPr>
            <w:tcW w:w="1855" w:type="dxa"/>
            <w:noWrap w:val="0"/>
            <w:vAlign w:val="top"/>
          </w:tcPr>
          <w:p w14:paraId="532E3953">
            <w:pPr>
              <w:spacing w:line="440" w:lineRule="exact"/>
              <w:jc w:val="center"/>
              <w:rPr>
                <w:rFonts w:hint="eastAsia" w:ascii="宋体" w:hAnsi="宋体" w:eastAsia="宋体" w:cs="宋体"/>
                <w:b/>
                <w:color w:val="000000"/>
                <w:sz w:val="24"/>
                <w:szCs w:val="24"/>
                <w:highlight w:val="none"/>
              </w:rPr>
            </w:pPr>
          </w:p>
        </w:tc>
        <w:tc>
          <w:tcPr>
            <w:tcW w:w="1642" w:type="dxa"/>
            <w:noWrap w:val="0"/>
            <w:vAlign w:val="top"/>
          </w:tcPr>
          <w:p w14:paraId="11EA138B">
            <w:pPr>
              <w:spacing w:line="440" w:lineRule="exact"/>
              <w:jc w:val="center"/>
              <w:rPr>
                <w:rFonts w:hint="eastAsia" w:ascii="宋体" w:hAnsi="宋体" w:eastAsia="宋体" w:cs="宋体"/>
                <w:b/>
                <w:color w:val="000000"/>
                <w:sz w:val="24"/>
                <w:szCs w:val="24"/>
                <w:highlight w:val="none"/>
              </w:rPr>
            </w:pPr>
          </w:p>
        </w:tc>
      </w:tr>
      <w:tr w14:paraId="5FEAC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3A23EA78">
            <w:pPr>
              <w:spacing w:line="440" w:lineRule="exact"/>
              <w:jc w:val="center"/>
              <w:rPr>
                <w:rFonts w:hint="eastAsia" w:ascii="宋体" w:hAnsi="宋体" w:eastAsia="宋体" w:cs="宋体"/>
                <w:b/>
                <w:color w:val="000000"/>
                <w:sz w:val="24"/>
                <w:szCs w:val="24"/>
                <w:highlight w:val="none"/>
              </w:rPr>
            </w:pPr>
          </w:p>
        </w:tc>
        <w:tc>
          <w:tcPr>
            <w:tcW w:w="2811" w:type="dxa"/>
            <w:noWrap w:val="0"/>
            <w:vAlign w:val="top"/>
          </w:tcPr>
          <w:p w14:paraId="2492F39C">
            <w:pPr>
              <w:spacing w:line="440" w:lineRule="exact"/>
              <w:jc w:val="center"/>
              <w:rPr>
                <w:rFonts w:hint="eastAsia" w:ascii="宋体" w:hAnsi="宋体" w:eastAsia="宋体" w:cs="宋体"/>
                <w:b/>
                <w:color w:val="000000"/>
                <w:sz w:val="24"/>
                <w:szCs w:val="24"/>
                <w:highlight w:val="none"/>
              </w:rPr>
            </w:pPr>
          </w:p>
        </w:tc>
        <w:tc>
          <w:tcPr>
            <w:tcW w:w="1486" w:type="dxa"/>
            <w:noWrap w:val="0"/>
            <w:vAlign w:val="top"/>
          </w:tcPr>
          <w:p w14:paraId="257A83B9">
            <w:pPr>
              <w:spacing w:line="440" w:lineRule="exact"/>
              <w:jc w:val="center"/>
              <w:rPr>
                <w:rFonts w:hint="eastAsia" w:ascii="宋体" w:hAnsi="宋体" w:eastAsia="宋体" w:cs="宋体"/>
                <w:b/>
                <w:color w:val="000000"/>
                <w:sz w:val="24"/>
                <w:szCs w:val="24"/>
                <w:highlight w:val="none"/>
              </w:rPr>
            </w:pPr>
          </w:p>
        </w:tc>
        <w:tc>
          <w:tcPr>
            <w:tcW w:w="1855" w:type="dxa"/>
            <w:noWrap w:val="0"/>
            <w:vAlign w:val="top"/>
          </w:tcPr>
          <w:p w14:paraId="7EDB8A27">
            <w:pPr>
              <w:spacing w:line="440" w:lineRule="exact"/>
              <w:jc w:val="center"/>
              <w:rPr>
                <w:rFonts w:hint="eastAsia" w:ascii="宋体" w:hAnsi="宋体" w:eastAsia="宋体" w:cs="宋体"/>
                <w:b/>
                <w:color w:val="000000"/>
                <w:sz w:val="24"/>
                <w:szCs w:val="24"/>
                <w:highlight w:val="none"/>
              </w:rPr>
            </w:pPr>
          </w:p>
        </w:tc>
        <w:tc>
          <w:tcPr>
            <w:tcW w:w="1642" w:type="dxa"/>
            <w:noWrap w:val="0"/>
            <w:vAlign w:val="top"/>
          </w:tcPr>
          <w:p w14:paraId="34DBCD57">
            <w:pPr>
              <w:spacing w:line="440" w:lineRule="exact"/>
              <w:jc w:val="center"/>
              <w:rPr>
                <w:rFonts w:hint="eastAsia" w:ascii="宋体" w:hAnsi="宋体" w:eastAsia="宋体" w:cs="宋体"/>
                <w:b/>
                <w:color w:val="000000"/>
                <w:sz w:val="24"/>
                <w:szCs w:val="24"/>
                <w:highlight w:val="none"/>
              </w:rPr>
            </w:pPr>
          </w:p>
        </w:tc>
      </w:tr>
      <w:tr w14:paraId="3ADD4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6B47C666">
            <w:pPr>
              <w:spacing w:line="440" w:lineRule="exact"/>
              <w:jc w:val="center"/>
              <w:rPr>
                <w:rFonts w:hint="eastAsia" w:ascii="宋体" w:hAnsi="宋体" w:eastAsia="宋体" w:cs="宋体"/>
                <w:b/>
                <w:color w:val="000000"/>
                <w:sz w:val="24"/>
                <w:szCs w:val="24"/>
                <w:highlight w:val="none"/>
              </w:rPr>
            </w:pPr>
          </w:p>
        </w:tc>
        <w:tc>
          <w:tcPr>
            <w:tcW w:w="2811" w:type="dxa"/>
            <w:noWrap w:val="0"/>
            <w:vAlign w:val="top"/>
          </w:tcPr>
          <w:p w14:paraId="795697DF">
            <w:pPr>
              <w:spacing w:line="440" w:lineRule="exact"/>
              <w:jc w:val="center"/>
              <w:rPr>
                <w:rFonts w:hint="eastAsia" w:ascii="宋体" w:hAnsi="宋体" w:eastAsia="宋体" w:cs="宋体"/>
                <w:b/>
                <w:color w:val="000000"/>
                <w:sz w:val="24"/>
                <w:szCs w:val="24"/>
                <w:highlight w:val="none"/>
              </w:rPr>
            </w:pPr>
          </w:p>
        </w:tc>
        <w:tc>
          <w:tcPr>
            <w:tcW w:w="1486" w:type="dxa"/>
            <w:noWrap w:val="0"/>
            <w:vAlign w:val="top"/>
          </w:tcPr>
          <w:p w14:paraId="484B2036">
            <w:pPr>
              <w:spacing w:line="440" w:lineRule="exact"/>
              <w:jc w:val="center"/>
              <w:rPr>
                <w:rFonts w:hint="eastAsia" w:ascii="宋体" w:hAnsi="宋体" w:eastAsia="宋体" w:cs="宋体"/>
                <w:b/>
                <w:color w:val="000000"/>
                <w:sz w:val="24"/>
                <w:szCs w:val="24"/>
                <w:highlight w:val="none"/>
              </w:rPr>
            </w:pPr>
          </w:p>
        </w:tc>
        <w:tc>
          <w:tcPr>
            <w:tcW w:w="1855" w:type="dxa"/>
            <w:noWrap w:val="0"/>
            <w:vAlign w:val="top"/>
          </w:tcPr>
          <w:p w14:paraId="17D490D0">
            <w:pPr>
              <w:spacing w:line="440" w:lineRule="exact"/>
              <w:jc w:val="center"/>
              <w:rPr>
                <w:rFonts w:hint="eastAsia" w:ascii="宋体" w:hAnsi="宋体" w:eastAsia="宋体" w:cs="宋体"/>
                <w:b/>
                <w:color w:val="000000"/>
                <w:sz w:val="24"/>
                <w:szCs w:val="24"/>
                <w:highlight w:val="none"/>
              </w:rPr>
            </w:pPr>
          </w:p>
        </w:tc>
        <w:tc>
          <w:tcPr>
            <w:tcW w:w="1642" w:type="dxa"/>
            <w:noWrap w:val="0"/>
            <w:vAlign w:val="top"/>
          </w:tcPr>
          <w:p w14:paraId="0BE66567">
            <w:pPr>
              <w:spacing w:line="440" w:lineRule="exact"/>
              <w:jc w:val="center"/>
              <w:rPr>
                <w:rFonts w:hint="eastAsia" w:ascii="宋体" w:hAnsi="宋体" w:eastAsia="宋体" w:cs="宋体"/>
                <w:b/>
                <w:color w:val="000000"/>
                <w:sz w:val="24"/>
                <w:szCs w:val="24"/>
                <w:highlight w:val="none"/>
              </w:rPr>
            </w:pPr>
          </w:p>
        </w:tc>
      </w:tr>
      <w:tr w14:paraId="61266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noWrap w:val="0"/>
            <w:vAlign w:val="top"/>
          </w:tcPr>
          <w:p w14:paraId="4670EF95">
            <w:pPr>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合计</w:t>
            </w:r>
          </w:p>
        </w:tc>
        <w:tc>
          <w:tcPr>
            <w:tcW w:w="7794" w:type="dxa"/>
            <w:gridSpan w:val="4"/>
            <w:noWrap w:val="0"/>
            <w:vAlign w:val="top"/>
          </w:tcPr>
          <w:p w14:paraId="030B8E09">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小写：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大写：</w:t>
            </w:r>
            <w:r>
              <w:rPr>
                <w:rFonts w:hint="eastAsia" w:ascii="宋体" w:hAnsi="宋体" w:eastAsia="宋体" w:cs="宋体"/>
                <w:sz w:val="24"/>
                <w:szCs w:val="24"/>
                <w:highlight w:val="none"/>
                <w:u w:val="single"/>
              </w:rPr>
              <w:t xml:space="preserve">                                 </w:t>
            </w:r>
          </w:p>
        </w:tc>
      </w:tr>
    </w:tbl>
    <w:p w14:paraId="6B63F681">
      <w:pPr>
        <w:spacing w:line="440" w:lineRule="exact"/>
        <w:jc w:val="left"/>
        <w:rPr>
          <w:rFonts w:ascii="宋体" w:hAnsi="宋体"/>
          <w:b/>
          <w:color w:val="000000"/>
          <w:szCs w:val="21"/>
          <w:highlight w:val="none"/>
        </w:rPr>
      </w:pPr>
    </w:p>
    <w:p w14:paraId="4EBA38DE">
      <w:pPr>
        <w:spacing w:line="360" w:lineRule="exact"/>
        <w:rPr>
          <w:rFonts w:ascii="宋体" w:hAnsi="宋体" w:cs="宋体"/>
          <w:sz w:val="24"/>
          <w:highlight w:val="none"/>
        </w:rPr>
      </w:pPr>
      <w:r>
        <w:rPr>
          <w:rFonts w:hint="eastAsia" w:ascii="宋体" w:hAnsi="宋体" w:cs="宋体"/>
          <w:kern w:val="0"/>
          <w:sz w:val="24"/>
          <w:highlight w:val="none"/>
          <w:lang w:val="zh-CN"/>
        </w:rPr>
        <w:t>注：以上表格要求按细分项目报价，与项目有关的费用均应计入总报价。</w:t>
      </w:r>
      <w:r>
        <w:rPr>
          <w:rFonts w:hint="eastAsia" w:ascii="宋体" w:hAnsi="宋体" w:cs="宋体"/>
          <w:sz w:val="24"/>
          <w:highlight w:val="none"/>
        </w:rPr>
        <w:t>报价应包括项目涉及的一切相关费用（税、费等）。投标报价明细表为投标人对投标总价形成的具体分解，投标人应详细列表说明。</w:t>
      </w:r>
    </w:p>
    <w:p w14:paraId="5EE879AC">
      <w:pPr>
        <w:spacing w:line="312" w:lineRule="auto"/>
        <w:rPr>
          <w:rFonts w:ascii="宋体" w:hAnsi="宋体" w:cs="宋体"/>
          <w:b/>
          <w:sz w:val="24"/>
          <w:highlight w:val="none"/>
        </w:rPr>
      </w:pPr>
      <w:r>
        <w:rPr>
          <w:rFonts w:hint="eastAsia" w:ascii="宋体" w:hAnsi="宋体" w:cs="宋体"/>
          <w:b/>
          <w:sz w:val="24"/>
          <w:highlight w:val="none"/>
        </w:rPr>
        <w:t>1、不提供投标报价明细表将视为没有实质性响应采购文件。</w:t>
      </w:r>
    </w:p>
    <w:p w14:paraId="13692FF2">
      <w:pPr>
        <w:spacing w:line="312" w:lineRule="auto"/>
        <w:rPr>
          <w:rFonts w:ascii="宋体" w:hAnsi="宋体" w:cs="宋体"/>
          <w:b/>
          <w:sz w:val="24"/>
          <w:highlight w:val="none"/>
        </w:rPr>
      </w:pPr>
      <w:r>
        <w:rPr>
          <w:rFonts w:hint="eastAsia" w:ascii="宋体" w:hAnsi="宋体" w:cs="宋体"/>
          <w:b/>
          <w:sz w:val="24"/>
          <w:highlight w:val="none"/>
        </w:rPr>
        <w:t>2、此表的合价应与 “开标一览表”报价总价相一致。</w:t>
      </w:r>
    </w:p>
    <w:p w14:paraId="16169085">
      <w:pPr>
        <w:spacing w:line="312" w:lineRule="auto"/>
        <w:rPr>
          <w:rFonts w:ascii="宋体" w:hAnsi="宋体" w:cs="宋体"/>
          <w:b/>
          <w:sz w:val="24"/>
          <w:highlight w:val="none"/>
        </w:rPr>
      </w:pPr>
    </w:p>
    <w:p w14:paraId="3A83AFD4">
      <w:pPr>
        <w:pStyle w:val="31"/>
        <w:rPr>
          <w:highlight w:val="none"/>
        </w:rPr>
      </w:pPr>
    </w:p>
    <w:p w14:paraId="2DCF4A38">
      <w:pPr>
        <w:spacing w:line="312" w:lineRule="auto"/>
        <w:rPr>
          <w:rFonts w:ascii="宋体" w:hAnsi="宋体" w:cs="宋体"/>
          <w:b/>
          <w:sz w:val="24"/>
          <w:highlight w:val="none"/>
        </w:rPr>
      </w:pPr>
    </w:p>
    <w:p w14:paraId="10DCFA1E">
      <w:pPr>
        <w:adjustRightInd w:val="0"/>
        <w:snapToGrid w:val="0"/>
        <w:spacing w:line="312" w:lineRule="auto"/>
        <w:ind w:right="480" w:firstLine="4981" w:firstLineChars="2050"/>
        <w:rPr>
          <w:rFonts w:ascii="宋体" w:hAnsi="宋体" w:cs="宋体"/>
          <w:kern w:val="0"/>
          <w:sz w:val="24"/>
          <w:highlight w:val="none"/>
        </w:rPr>
      </w:pPr>
      <w:r>
        <w:rPr>
          <w:rFonts w:hint="eastAsia" w:ascii="宋体" w:hAnsi="宋体" w:cs="宋体"/>
          <w:kern w:val="0"/>
          <w:sz w:val="24"/>
          <w:highlight w:val="none"/>
          <w:lang w:val="zh-CN"/>
        </w:rPr>
        <w:t>投标人名称(</w:t>
      </w:r>
      <w:r>
        <w:rPr>
          <w:rFonts w:hint="eastAsia" w:ascii="宋体" w:hAnsi="宋体" w:cs="宋体"/>
          <w:sz w:val="24"/>
          <w:highlight w:val="none"/>
        </w:rPr>
        <w:t>公章</w:t>
      </w:r>
      <w:r>
        <w:rPr>
          <w:rFonts w:hint="eastAsia" w:ascii="宋体" w:hAnsi="宋体" w:cs="宋体"/>
          <w:kern w:val="0"/>
          <w:sz w:val="24"/>
          <w:highlight w:val="none"/>
          <w:lang w:val="zh-CN"/>
        </w:rPr>
        <w:t>)：</w:t>
      </w:r>
    </w:p>
    <w:p w14:paraId="584BB304">
      <w:pPr>
        <w:adjustRightInd w:val="0"/>
        <w:snapToGrid w:val="0"/>
        <w:spacing w:line="312" w:lineRule="auto"/>
        <w:rPr>
          <w:rFonts w:ascii="宋体" w:hAnsi="宋体" w:cs="宋体"/>
          <w:kern w:val="0"/>
          <w:sz w:val="24"/>
          <w:highlight w:val="none"/>
        </w:rPr>
      </w:pPr>
      <w:r>
        <w:rPr>
          <w:rFonts w:hint="eastAsia" w:ascii="宋体" w:hAnsi="宋体" w:cs="宋体"/>
          <w:kern w:val="0"/>
          <w:sz w:val="24"/>
          <w:highlight w:val="none"/>
          <w:lang w:val="zh-CN"/>
        </w:rPr>
        <w:t xml:space="preserve">                                  法定代表人或授权代表人（签字</w:t>
      </w:r>
      <w:r>
        <w:rPr>
          <w:rFonts w:hint="eastAsia" w:ascii="宋体" w:hAnsi="宋体" w:cs="宋体"/>
          <w:kern w:val="0"/>
          <w:sz w:val="24"/>
          <w:highlight w:val="none"/>
        </w:rPr>
        <w:t>或盖章</w:t>
      </w:r>
      <w:r>
        <w:rPr>
          <w:rFonts w:hint="eastAsia" w:ascii="宋体" w:hAnsi="宋体" w:cs="宋体"/>
          <w:kern w:val="0"/>
          <w:sz w:val="24"/>
          <w:highlight w:val="none"/>
          <w:lang w:val="zh-CN"/>
        </w:rPr>
        <w:t>）：</w:t>
      </w:r>
    </w:p>
    <w:p w14:paraId="7AE02E8E">
      <w:pPr>
        <w:snapToGrid w:val="0"/>
        <w:spacing w:beforeLines="50" w:after="50"/>
        <w:rPr>
          <w:rFonts w:ascii="宋体" w:hAnsi="宋体" w:cs="宋体"/>
          <w:b/>
          <w:sz w:val="24"/>
          <w:highlight w:val="none"/>
        </w:rPr>
      </w:pPr>
      <w:r>
        <w:rPr>
          <w:rFonts w:hint="eastAsia" w:ascii="宋体" w:hAnsi="宋体" w:cs="宋体"/>
          <w:kern w:val="0"/>
          <w:sz w:val="24"/>
          <w:highlight w:val="none"/>
          <w:lang w:val="zh-CN"/>
        </w:rPr>
        <w:t xml:space="preserve">                                         日期：   年  月   日</w:t>
      </w:r>
    </w:p>
    <w:p w14:paraId="3C04B431">
      <w:pPr>
        <w:snapToGrid w:val="0"/>
        <w:spacing w:beforeLines="50" w:after="50"/>
        <w:rPr>
          <w:rFonts w:ascii="宋体" w:hAnsi="宋体" w:cs="宋体"/>
          <w:b/>
          <w:sz w:val="24"/>
          <w:highlight w:val="none"/>
        </w:rPr>
      </w:pPr>
    </w:p>
    <w:p w14:paraId="459592F0">
      <w:pPr>
        <w:pStyle w:val="31"/>
        <w:rPr>
          <w:rFonts w:ascii="宋体" w:hAnsi="宋体" w:cs="宋体"/>
          <w:b/>
          <w:sz w:val="24"/>
          <w:highlight w:val="none"/>
        </w:rPr>
      </w:pPr>
    </w:p>
    <w:p w14:paraId="073044D5">
      <w:pPr>
        <w:pStyle w:val="10"/>
        <w:rPr>
          <w:rFonts w:ascii="宋体" w:hAnsi="宋体" w:cs="宋体"/>
          <w:b/>
          <w:sz w:val="24"/>
          <w:highlight w:val="none"/>
        </w:rPr>
      </w:pPr>
    </w:p>
    <w:p w14:paraId="19C380BC">
      <w:pPr>
        <w:pStyle w:val="11"/>
        <w:rPr>
          <w:rFonts w:ascii="宋体" w:hAnsi="宋体" w:cs="宋体"/>
          <w:b/>
          <w:sz w:val="24"/>
          <w:highlight w:val="none"/>
        </w:rPr>
      </w:pPr>
    </w:p>
    <w:p w14:paraId="7ADE7890">
      <w:pPr>
        <w:pStyle w:val="12"/>
        <w:rPr>
          <w:rFonts w:ascii="宋体" w:hAnsi="宋体" w:cs="宋体"/>
          <w:b/>
          <w:sz w:val="24"/>
          <w:highlight w:val="none"/>
        </w:rPr>
      </w:pPr>
    </w:p>
    <w:p w14:paraId="30E5121F">
      <w:pPr>
        <w:rPr>
          <w:rFonts w:ascii="宋体" w:hAnsi="宋体" w:cs="宋体"/>
          <w:b/>
          <w:sz w:val="24"/>
          <w:highlight w:val="none"/>
        </w:rPr>
      </w:pPr>
    </w:p>
    <w:p w14:paraId="32068BEC">
      <w:pPr>
        <w:pStyle w:val="31"/>
        <w:rPr>
          <w:highlight w:val="none"/>
        </w:rPr>
      </w:pPr>
    </w:p>
    <w:p w14:paraId="5294DCFB">
      <w:pPr>
        <w:pStyle w:val="4"/>
        <w:spacing w:line="40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附件12：中小企业声明函：</w:t>
      </w:r>
    </w:p>
    <w:p w14:paraId="01CF0439">
      <w:pPr>
        <w:jc w:val="center"/>
        <w:rPr>
          <w:rFonts w:ascii="宋体" w:hAnsi="宋体" w:cs="宋体"/>
          <w:color w:val="000000"/>
          <w:sz w:val="28"/>
          <w:szCs w:val="28"/>
          <w:highlight w:val="none"/>
        </w:rPr>
      </w:pPr>
      <w:r>
        <w:rPr>
          <w:rFonts w:hint="eastAsia" w:ascii="宋体" w:hAnsi="宋体" w:cs="宋体"/>
          <w:color w:val="000000"/>
          <w:sz w:val="28"/>
          <w:szCs w:val="28"/>
          <w:highlight w:val="none"/>
        </w:rPr>
        <w:t>中小企业声明函（服务）</w:t>
      </w:r>
    </w:p>
    <w:p w14:paraId="0DD835E1">
      <w:pPr>
        <w:spacing w:line="500" w:lineRule="exact"/>
        <w:ind w:firstLine="486" w:firstLineChars="200"/>
        <w:rPr>
          <w:rFonts w:ascii="宋体" w:hAnsi="宋体"/>
          <w:sz w:val="24"/>
          <w:highlight w:val="none"/>
        </w:rPr>
      </w:pPr>
      <w:r>
        <w:rPr>
          <w:rFonts w:hint="eastAsia" w:ascii="宋体" w:hAnsi="宋体"/>
          <w:sz w:val="24"/>
          <w:highlight w:val="none"/>
        </w:rPr>
        <w:t xml:space="preserve">  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66168EB7">
      <w:pPr>
        <w:spacing w:line="500" w:lineRule="exact"/>
        <w:ind w:firstLine="486" w:firstLineChars="20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u w:val="single"/>
        </w:rPr>
        <w:t>（</w:t>
      </w:r>
      <w:r>
        <w:rPr>
          <w:rFonts w:hint="eastAsia" w:ascii="宋体" w:hAnsi="宋体" w:cs="宋体"/>
          <w:color w:val="000000"/>
          <w:sz w:val="24"/>
          <w:highlight w:val="none"/>
          <w:u w:val="single"/>
          <w:lang w:val="en-US" w:eastAsia="zh-CN"/>
        </w:rPr>
        <w:t>计生特殊家庭健康保险服务</w:t>
      </w:r>
      <w:r>
        <w:rPr>
          <w:rFonts w:hint="eastAsia" w:ascii="宋体" w:hAnsi="宋体" w:cs="宋体"/>
          <w:color w:val="000000"/>
          <w:sz w:val="24"/>
          <w:highlight w:val="none"/>
          <w:u w:val="single"/>
        </w:rPr>
        <w:t>）</w:t>
      </w:r>
      <w:r>
        <w:rPr>
          <w:rFonts w:hint="eastAsia" w:ascii="宋体" w:hAnsi="宋体" w:cs="宋体"/>
          <w:color w:val="000000"/>
          <w:sz w:val="24"/>
          <w:highlight w:val="none"/>
        </w:rPr>
        <w:t>，属于</w:t>
      </w:r>
      <w:r>
        <w:rPr>
          <w:rFonts w:hint="eastAsia" w:ascii="宋体" w:hAnsi="宋体" w:cs="宋体"/>
          <w:color w:val="000000"/>
          <w:sz w:val="24"/>
          <w:highlight w:val="none"/>
          <w:u w:val="single"/>
        </w:rPr>
        <w:t>（金融业）</w:t>
      </w:r>
      <w:r>
        <w:rPr>
          <w:rFonts w:hint="eastAsia" w:ascii="宋体" w:hAnsi="宋体" w:cs="宋体"/>
          <w:color w:val="000000"/>
          <w:sz w:val="24"/>
          <w:highlight w:val="none"/>
        </w:rPr>
        <w:t>行业；承接企业为</w:t>
      </w:r>
      <w:r>
        <w:rPr>
          <w:rFonts w:hint="eastAsia" w:ascii="宋体" w:hAnsi="宋体" w:cs="宋体"/>
          <w:color w:val="000000"/>
          <w:sz w:val="24"/>
          <w:highlight w:val="none"/>
          <w:u w:val="single"/>
        </w:rPr>
        <w:t>（企业名称）</w:t>
      </w:r>
      <w:r>
        <w:rPr>
          <w:rFonts w:hint="eastAsia" w:ascii="宋体" w:hAnsi="宋体" w:cs="宋体"/>
          <w:color w:val="000000"/>
          <w:sz w:val="24"/>
          <w:highlight w:val="none"/>
        </w:rPr>
        <w:t>，从业人员</w:t>
      </w:r>
      <w:r>
        <w:rPr>
          <w:rFonts w:hint="eastAsia" w:ascii="宋体" w:hAnsi="宋体" w:cs="宋体"/>
          <w:color w:val="000000"/>
          <w:sz w:val="24"/>
          <w:highlight w:val="none"/>
          <w:u w:val="single"/>
        </w:rPr>
        <w:tab/>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ab/>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ab/>
      </w:r>
      <w:r>
        <w:rPr>
          <w:rFonts w:hint="eastAsia" w:ascii="宋体" w:hAnsi="宋体" w:cs="宋体"/>
          <w:color w:val="000000"/>
          <w:sz w:val="24"/>
          <w:highlight w:val="none"/>
        </w:rPr>
        <w:t>万元，属于（□中型企业、□小型企业、□微型企业）；</w:t>
      </w:r>
    </w:p>
    <w:p w14:paraId="7A573BFA">
      <w:pPr>
        <w:spacing w:line="500" w:lineRule="exact"/>
        <w:ind w:firstLine="486" w:firstLineChars="20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，属于</w:t>
      </w:r>
      <w:r>
        <w:rPr>
          <w:rFonts w:hint="eastAsia" w:ascii="宋体" w:hAnsi="宋体" w:cs="宋体"/>
          <w:color w:val="000000"/>
          <w:sz w:val="24"/>
          <w:highlight w:val="none"/>
          <w:u w:val="single"/>
        </w:rPr>
        <w:t>（所属行业）</w:t>
      </w:r>
      <w:r>
        <w:rPr>
          <w:rFonts w:hint="eastAsia" w:ascii="宋体" w:hAnsi="宋体" w:cs="宋体"/>
          <w:color w:val="000000"/>
          <w:sz w:val="24"/>
          <w:highlight w:val="none"/>
        </w:rPr>
        <w:t>行业；承接企业为</w:t>
      </w:r>
      <w:r>
        <w:rPr>
          <w:rFonts w:hint="eastAsia" w:ascii="宋体" w:hAnsi="宋体" w:cs="宋体"/>
          <w:color w:val="000000"/>
          <w:sz w:val="24"/>
          <w:highlight w:val="none"/>
          <w:u w:val="single"/>
        </w:rPr>
        <w:t>（企业名称）</w:t>
      </w:r>
      <w:r>
        <w:rPr>
          <w:rFonts w:hint="eastAsia" w:ascii="宋体" w:hAnsi="宋体" w:cs="宋体"/>
          <w:color w:val="000000"/>
          <w:sz w:val="24"/>
          <w:highlight w:val="none"/>
        </w:rPr>
        <w:t>，从业人员</w:t>
      </w:r>
      <w:r>
        <w:rPr>
          <w:rFonts w:hint="eastAsia" w:ascii="宋体" w:hAnsi="宋体" w:cs="宋体"/>
          <w:color w:val="000000"/>
          <w:sz w:val="24"/>
          <w:highlight w:val="none"/>
          <w:u w:val="single"/>
        </w:rPr>
        <w:tab/>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ab/>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ab/>
      </w:r>
      <w:r>
        <w:rPr>
          <w:rFonts w:hint="eastAsia" w:ascii="宋体" w:hAnsi="宋体" w:cs="宋体"/>
          <w:color w:val="000000"/>
          <w:sz w:val="24"/>
          <w:highlight w:val="none"/>
        </w:rPr>
        <w:t>万元，属于（□中型企业、□小型企业、□微型企业）；</w:t>
      </w:r>
    </w:p>
    <w:p w14:paraId="0A98E75A">
      <w:pPr>
        <w:spacing w:line="500" w:lineRule="exact"/>
        <w:ind w:firstLine="486" w:firstLineChars="200"/>
        <w:rPr>
          <w:rFonts w:ascii="宋体" w:hAnsi="宋体" w:cs="宋体"/>
          <w:color w:val="000000"/>
          <w:sz w:val="24"/>
          <w:highlight w:val="none"/>
        </w:rPr>
      </w:pPr>
      <w:r>
        <w:rPr>
          <w:rFonts w:hint="eastAsia" w:ascii="宋体" w:hAnsi="宋体" w:cs="宋体"/>
          <w:color w:val="000000"/>
          <w:sz w:val="24"/>
          <w:highlight w:val="none"/>
        </w:rPr>
        <w:t xml:space="preserve">…… </w:t>
      </w:r>
    </w:p>
    <w:p w14:paraId="568F4BF7">
      <w:pPr>
        <w:spacing w:line="500" w:lineRule="exact"/>
        <w:ind w:firstLine="486" w:firstLineChars="200"/>
        <w:rPr>
          <w:rFonts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14:paraId="39D022B7">
      <w:pPr>
        <w:spacing w:line="500" w:lineRule="exact"/>
        <w:ind w:firstLine="486" w:firstLineChars="200"/>
        <w:rPr>
          <w:rFonts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14:paraId="0D116414">
      <w:pPr>
        <w:spacing w:line="500" w:lineRule="exact"/>
        <w:ind w:firstLine="3766" w:firstLineChars="1550"/>
        <w:rPr>
          <w:rFonts w:ascii="宋体" w:hAnsi="宋体" w:cs="宋体"/>
          <w:color w:val="000000"/>
          <w:sz w:val="24"/>
          <w:highlight w:val="none"/>
        </w:rPr>
      </w:pPr>
    </w:p>
    <w:p w14:paraId="184F43A6">
      <w:pPr>
        <w:spacing w:line="500" w:lineRule="exact"/>
        <w:ind w:firstLine="3766" w:firstLineChars="1550"/>
        <w:rPr>
          <w:rFonts w:ascii="宋体" w:hAnsi="宋体" w:cs="宋体"/>
          <w:color w:val="000000"/>
          <w:sz w:val="24"/>
          <w:highlight w:val="none"/>
        </w:rPr>
      </w:pPr>
      <w:r>
        <w:rPr>
          <w:rFonts w:hint="eastAsia" w:ascii="宋体" w:hAnsi="宋体" w:cs="宋体"/>
          <w:color w:val="000000"/>
          <w:sz w:val="24"/>
          <w:highlight w:val="none"/>
        </w:rPr>
        <w:t xml:space="preserve">企业名称（盖章）： </w:t>
      </w:r>
    </w:p>
    <w:p w14:paraId="4E911DDA">
      <w:pPr>
        <w:spacing w:line="500" w:lineRule="exact"/>
        <w:ind w:firstLine="3766" w:firstLineChars="1550"/>
        <w:rPr>
          <w:rFonts w:ascii="仿宋_GB2312" w:hAnsi="仿宋_GB2312" w:eastAsia="仿宋_GB2312" w:cs="仿宋_GB2312"/>
          <w:b/>
          <w:color w:val="000000"/>
          <w:sz w:val="24"/>
          <w:highlight w:val="none"/>
        </w:rPr>
      </w:pPr>
      <w:r>
        <w:rPr>
          <w:rFonts w:hint="eastAsia" w:ascii="宋体" w:hAnsi="宋体" w:cs="宋体"/>
          <w:color w:val="000000"/>
          <w:sz w:val="24"/>
          <w:highlight w:val="none"/>
        </w:rPr>
        <w:t>日 期：</w:t>
      </w:r>
    </w:p>
    <w:p w14:paraId="474A0DBD">
      <w:pPr>
        <w:keepNext w:val="0"/>
        <w:keepLines w:val="0"/>
        <w:pageBreakBefore w:val="0"/>
        <w:widowControl w:val="0"/>
        <w:kinsoku/>
        <w:wordWrap/>
        <w:overflowPunct/>
        <w:topLinePunct w:val="0"/>
        <w:autoSpaceDE/>
        <w:autoSpaceDN/>
        <w:bidi w:val="0"/>
        <w:adjustRightInd/>
        <w:snapToGrid/>
        <w:spacing w:line="300" w:lineRule="exact"/>
        <w:textAlignment w:val="auto"/>
        <w:rPr>
          <w:rFonts w:asciiTheme="minorEastAsia" w:hAnsiTheme="minorEastAsia" w:eastAsiaTheme="minorEastAsia" w:cstheme="minorEastAsia"/>
          <w:bCs/>
          <w:color w:val="000000"/>
          <w:sz w:val="18"/>
          <w:szCs w:val="18"/>
          <w:highlight w:val="none"/>
        </w:rPr>
      </w:pPr>
      <w:r>
        <w:rPr>
          <w:rFonts w:hint="eastAsia" w:asciiTheme="minorEastAsia" w:hAnsiTheme="minorEastAsia" w:eastAsiaTheme="minorEastAsia" w:cstheme="minorEastAsia"/>
          <w:bCs/>
          <w:color w:val="000000"/>
          <w:sz w:val="18"/>
          <w:szCs w:val="18"/>
          <w:highlight w:val="none"/>
        </w:rPr>
        <w:t>注：</w:t>
      </w:r>
    </w:p>
    <w:p w14:paraId="7E9781E7">
      <w:pPr>
        <w:keepNext w:val="0"/>
        <w:keepLines w:val="0"/>
        <w:pageBreakBefore w:val="0"/>
        <w:widowControl w:val="0"/>
        <w:kinsoku/>
        <w:wordWrap/>
        <w:overflowPunct/>
        <w:topLinePunct w:val="0"/>
        <w:autoSpaceDE/>
        <w:autoSpaceDN/>
        <w:bidi w:val="0"/>
        <w:adjustRightInd/>
        <w:snapToGrid/>
        <w:spacing w:line="300" w:lineRule="exact"/>
        <w:ind w:firstLine="366" w:firstLineChars="200"/>
        <w:textAlignment w:val="auto"/>
        <w:rPr>
          <w:rFonts w:asciiTheme="minorEastAsia" w:hAnsiTheme="minorEastAsia" w:eastAsiaTheme="minorEastAsia" w:cstheme="minorEastAsia"/>
          <w:bCs/>
          <w:color w:val="000000"/>
          <w:sz w:val="18"/>
          <w:szCs w:val="18"/>
          <w:highlight w:val="none"/>
        </w:rPr>
      </w:pPr>
      <w:r>
        <w:rPr>
          <w:rFonts w:hint="eastAsia" w:asciiTheme="minorEastAsia" w:hAnsiTheme="minorEastAsia" w:eastAsiaTheme="minorEastAsia" w:cstheme="minorEastAsia"/>
          <w:bCs/>
          <w:color w:val="000000"/>
          <w:sz w:val="18"/>
          <w:szCs w:val="18"/>
          <w:highlight w:val="none"/>
        </w:rPr>
        <w:t>1.填写要求：①从业人员、营业收入、资产总额填报上一年度数据，无上一年度数据的新成立企业可不填报；②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如国家颁布新的企业划型标准，则按最新标准执行。）；③供应商提供的《中小企业声明函》与实际情况不符的或者未按以上要求填写的，中小企业声明函无效，不享受中小企业扶持政策。声明内容不实的，属于提供虚假材料谋取中标、成交的，依法承担法律责任。</w:t>
      </w:r>
    </w:p>
    <w:p w14:paraId="24C8EDD3">
      <w:pPr>
        <w:keepNext w:val="0"/>
        <w:keepLines w:val="0"/>
        <w:pageBreakBefore w:val="0"/>
        <w:widowControl w:val="0"/>
        <w:kinsoku/>
        <w:wordWrap/>
        <w:overflowPunct/>
        <w:topLinePunct w:val="0"/>
        <w:autoSpaceDE/>
        <w:autoSpaceDN/>
        <w:bidi w:val="0"/>
        <w:adjustRightInd/>
        <w:snapToGrid/>
        <w:spacing w:line="300" w:lineRule="exact"/>
        <w:ind w:firstLine="366" w:firstLineChars="200"/>
        <w:textAlignment w:val="auto"/>
        <w:rPr>
          <w:rFonts w:asciiTheme="minorEastAsia" w:hAnsiTheme="minorEastAsia" w:eastAsiaTheme="minorEastAsia" w:cstheme="minorEastAsia"/>
          <w:bCs/>
          <w:color w:val="000000"/>
          <w:sz w:val="18"/>
          <w:szCs w:val="18"/>
          <w:highlight w:val="none"/>
        </w:rPr>
      </w:pPr>
      <w:r>
        <w:rPr>
          <w:rFonts w:hint="eastAsia" w:asciiTheme="minorEastAsia" w:hAnsiTheme="minorEastAsia" w:eastAsiaTheme="minorEastAsia" w:cstheme="minorEastAsia"/>
          <w:bCs/>
          <w:color w:val="000000"/>
          <w:sz w:val="18"/>
          <w:szCs w:val="18"/>
          <w:highlight w:val="none"/>
        </w:rPr>
        <w:t>2.根据《政府采购促进中小企业发展管理办法》的通知（财库〔2020〕46号）规定，中标、成交供应商享受中小企业扶持政策的，采购代理机构将随中标、成交结果公开中标、成交供应商的《中小企业声明函》。</w:t>
      </w:r>
    </w:p>
    <w:p w14:paraId="7F5D1691">
      <w:pPr>
        <w:spacing w:line="588" w:lineRule="exact"/>
        <w:jc w:val="center"/>
        <w:rPr>
          <w:rFonts w:hint="eastAsia" w:ascii="宋体" w:hAnsi="宋体"/>
          <w:b/>
          <w:spacing w:val="6"/>
          <w:sz w:val="32"/>
          <w:szCs w:val="32"/>
          <w:highlight w:val="none"/>
        </w:rPr>
      </w:pPr>
    </w:p>
    <w:p w14:paraId="6EFC2142">
      <w:pPr>
        <w:spacing w:line="588" w:lineRule="exact"/>
        <w:jc w:val="center"/>
        <w:rPr>
          <w:rFonts w:ascii="宋体" w:hAnsi="宋体"/>
          <w:b/>
          <w:spacing w:val="6"/>
          <w:sz w:val="32"/>
          <w:szCs w:val="32"/>
          <w:highlight w:val="none"/>
        </w:rPr>
      </w:pPr>
      <w:r>
        <w:rPr>
          <w:rFonts w:hint="eastAsia" w:ascii="宋体" w:hAnsi="宋体"/>
          <w:b/>
          <w:spacing w:val="6"/>
          <w:sz w:val="32"/>
          <w:szCs w:val="32"/>
          <w:highlight w:val="none"/>
        </w:rPr>
        <w:t>监狱或戒毒企业声明函</w:t>
      </w:r>
    </w:p>
    <w:p w14:paraId="0AF2597E">
      <w:pPr>
        <w:pStyle w:val="40"/>
        <w:tabs>
          <w:tab w:val="left" w:pos="1260"/>
        </w:tabs>
        <w:jc w:val="center"/>
        <w:rPr>
          <w:highlight w:val="none"/>
          <w:lang w:val="en-GB"/>
        </w:rPr>
      </w:pPr>
      <w:r>
        <w:rPr>
          <w:rFonts w:hint="eastAsia" w:ascii="宋体" w:hAnsi="宋体"/>
          <w:sz w:val="28"/>
          <w:szCs w:val="28"/>
          <w:highlight w:val="none"/>
          <w:lang w:val="en-GB"/>
        </w:rPr>
        <w:t>【不属于监狱或戒毒企业，不用提供此函】</w:t>
      </w:r>
    </w:p>
    <w:p w14:paraId="0F1C13EF">
      <w:pPr>
        <w:pStyle w:val="21"/>
        <w:rPr>
          <w:highlight w:val="none"/>
        </w:rPr>
      </w:pPr>
    </w:p>
    <w:p w14:paraId="15BCE3A7">
      <w:pPr>
        <w:spacing w:line="560" w:lineRule="exact"/>
        <w:ind w:firstLine="590" w:firstLineChars="200"/>
        <w:rPr>
          <w:rFonts w:ascii="宋体" w:hAnsi="宋体"/>
          <w:spacing w:val="6"/>
          <w:sz w:val="28"/>
          <w:szCs w:val="28"/>
          <w:highlight w:val="none"/>
        </w:rPr>
      </w:pPr>
      <w:r>
        <w:rPr>
          <w:rFonts w:hint="eastAsia" w:ascii="宋体" w:hAnsi="宋体"/>
          <w:spacing w:val="6"/>
          <w:sz w:val="28"/>
          <w:szCs w:val="28"/>
          <w:highlight w:val="none"/>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14:paraId="288B1B17">
      <w:pPr>
        <w:spacing w:line="560" w:lineRule="exact"/>
        <w:ind w:firstLine="590" w:firstLineChars="200"/>
        <w:rPr>
          <w:rFonts w:ascii="宋体" w:hAnsi="宋体"/>
          <w:spacing w:val="6"/>
          <w:sz w:val="28"/>
          <w:szCs w:val="28"/>
          <w:highlight w:val="none"/>
        </w:rPr>
      </w:pPr>
      <w:r>
        <w:rPr>
          <w:rFonts w:hint="eastAsia" w:ascii="宋体" w:hAnsi="宋体"/>
          <w:spacing w:val="6"/>
          <w:sz w:val="28"/>
          <w:szCs w:val="28"/>
          <w:highlight w:val="none"/>
        </w:rPr>
        <w:t>本企业对上述声明的真实性负责。如有虚假，将依法承担相应责任。</w:t>
      </w:r>
    </w:p>
    <w:p w14:paraId="14C3A4F8">
      <w:pPr>
        <w:spacing w:line="560" w:lineRule="exact"/>
        <w:ind w:firstLine="590" w:firstLineChars="200"/>
        <w:rPr>
          <w:rFonts w:ascii="宋体" w:hAnsi="宋体"/>
          <w:spacing w:val="6"/>
          <w:sz w:val="28"/>
          <w:szCs w:val="28"/>
          <w:highlight w:val="none"/>
        </w:rPr>
      </w:pPr>
    </w:p>
    <w:p w14:paraId="757695AA">
      <w:pPr>
        <w:tabs>
          <w:tab w:val="left" w:pos="4860"/>
        </w:tabs>
        <w:spacing w:line="560" w:lineRule="exact"/>
        <w:ind w:right="1560" w:firstLine="590" w:firstLineChars="200"/>
        <w:jc w:val="center"/>
        <w:rPr>
          <w:rFonts w:ascii="宋体" w:hAnsi="宋体"/>
          <w:spacing w:val="6"/>
          <w:sz w:val="28"/>
          <w:szCs w:val="28"/>
          <w:highlight w:val="none"/>
        </w:rPr>
      </w:pPr>
      <w:r>
        <w:rPr>
          <w:rFonts w:hint="eastAsia" w:ascii="宋体" w:hAnsi="宋体"/>
          <w:spacing w:val="6"/>
          <w:sz w:val="28"/>
          <w:szCs w:val="28"/>
          <w:highlight w:val="none"/>
        </w:rPr>
        <w:t xml:space="preserve">               企业名称（盖章）： </w:t>
      </w:r>
    </w:p>
    <w:p w14:paraId="53997154">
      <w:pPr>
        <w:ind w:left="-59" w:leftChars="-28" w:firstLine="147" w:firstLineChars="50"/>
        <w:rPr>
          <w:rFonts w:ascii="宋体" w:hAnsi="宋体"/>
          <w:bCs/>
          <w:color w:val="000000"/>
          <w:szCs w:val="21"/>
          <w:highlight w:val="none"/>
        </w:rPr>
      </w:pPr>
      <w:r>
        <w:rPr>
          <w:rFonts w:hint="eastAsia" w:ascii="宋体" w:hAnsi="宋体"/>
          <w:spacing w:val="6"/>
          <w:sz w:val="28"/>
          <w:szCs w:val="28"/>
          <w:highlight w:val="none"/>
        </w:rPr>
        <w:t xml:space="preserve">                            日  期：</w:t>
      </w:r>
    </w:p>
    <w:p w14:paraId="578631D5">
      <w:pPr>
        <w:ind w:left="-59" w:leftChars="-28" w:firstLine="106" w:firstLineChars="50"/>
        <w:rPr>
          <w:rFonts w:ascii="宋体" w:hAnsi="宋体"/>
          <w:bCs/>
          <w:color w:val="000000"/>
          <w:szCs w:val="21"/>
          <w:highlight w:val="none"/>
        </w:rPr>
      </w:pPr>
    </w:p>
    <w:p w14:paraId="69C3DD6B">
      <w:pPr>
        <w:ind w:left="-59" w:leftChars="-28" w:firstLine="106" w:firstLineChars="50"/>
        <w:rPr>
          <w:rFonts w:ascii="宋体" w:hAnsi="宋体"/>
          <w:bCs/>
          <w:color w:val="000000"/>
          <w:szCs w:val="21"/>
          <w:highlight w:val="none"/>
        </w:rPr>
      </w:pPr>
    </w:p>
    <w:p w14:paraId="6A28DA28">
      <w:pPr>
        <w:pStyle w:val="40"/>
        <w:jc w:val="center"/>
        <w:rPr>
          <w:rFonts w:ascii="宋体" w:hAnsi="宋体"/>
          <w:b/>
          <w:sz w:val="28"/>
          <w:szCs w:val="28"/>
          <w:highlight w:val="none"/>
          <w:lang w:val="en-GB"/>
        </w:rPr>
      </w:pPr>
      <w:r>
        <w:rPr>
          <w:rFonts w:hint="eastAsia" w:ascii="宋体" w:hAnsi="宋体"/>
          <w:b/>
          <w:sz w:val="28"/>
          <w:szCs w:val="28"/>
          <w:highlight w:val="none"/>
          <w:lang w:val="en-GB"/>
        </w:rPr>
        <w:t>产品适用</w:t>
      </w:r>
      <w:r>
        <w:rPr>
          <w:rFonts w:hint="eastAsia" w:ascii="宋体" w:hAnsi="宋体"/>
          <w:b/>
          <w:sz w:val="28"/>
          <w:szCs w:val="28"/>
          <w:highlight w:val="none"/>
        </w:rPr>
        <w:t>监狱或戒毒企业</w:t>
      </w:r>
      <w:r>
        <w:rPr>
          <w:rFonts w:hint="eastAsia" w:ascii="宋体" w:hAnsi="宋体"/>
          <w:b/>
          <w:sz w:val="28"/>
          <w:szCs w:val="28"/>
          <w:highlight w:val="none"/>
          <w:lang w:val="en-GB"/>
        </w:rPr>
        <w:t>政策情况表</w:t>
      </w:r>
    </w:p>
    <w:p w14:paraId="2A310599">
      <w:pPr>
        <w:pStyle w:val="40"/>
        <w:jc w:val="center"/>
        <w:rPr>
          <w:rFonts w:ascii="宋体" w:hAnsi="宋体"/>
          <w:b/>
          <w:sz w:val="28"/>
          <w:szCs w:val="28"/>
          <w:highlight w:val="none"/>
          <w:lang w:val="en-GB"/>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576"/>
        <w:gridCol w:w="1392"/>
        <w:gridCol w:w="1392"/>
      </w:tblGrid>
      <w:tr w14:paraId="6BB3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restart"/>
            <w:noWrap/>
            <w:vAlign w:val="center"/>
          </w:tcPr>
          <w:p w14:paraId="0F1433AF">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rPr>
              <w:t>监狱或戒毒企业</w:t>
            </w:r>
            <w:r>
              <w:rPr>
                <w:rFonts w:hint="eastAsia" w:ascii="宋体" w:hAnsi="宋体"/>
                <w:sz w:val="28"/>
                <w:szCs w:val="28"/>
                <w:highlight w:val="none"/>
                <w:lang w:val="en-GB"/>
              </w:rPr>
              <w:t>扶持政策</w:t>
            </w:r>
          </w:p>
        </w:tc>
        <w:tc>
          <w:tcPr>
            <w:tcW w:w="5576" w:type="dxa"/>
            <w:noWrap/>
            <w:vAlign w:val="center"/>
          </w:tcPr>
          <w:p w14:paraId="0B1F3D93">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产品名称（品牌、型号）</w:t>
            </w:r>
          </w:p>
        </w:tc>
        <w:tc>
          <w:tcPr>
            <w:tcW w:w="1392" w:type="dxa"/>
            <w:noWrap/>
            <w:vAlign w:val="center"/>
          </w:tcPr>
          <w:p w14:paraId="6BD7AD96">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数量</w:t>
            </w:r>
          </w:p>
        </w:tc>
        <w:tc>
          <w:tcPr>
            <w:tcW w:w="1392" w:type="dxa"/>
            <w:noWrap/>
            <w:vAlign w:val="center"/>
          </w:tcPr>
          <w:p w14:paraId="3861175C">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金额</w:t>
            </w:r>
          </w:p>
        </w:tc>
      </w:tr>
      <w:tr w14:paraId="090F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14:paraId="573E2E22">
            <w:pPr>
              <w:pStyle w:val="40"/>
              <w:tabs>
                <w:tab w:val="left" w:pos="1260"/>
              </w:tabs>
              <w:jc w:val="center"/>
              <w:rPr>
                <w:rFonts w:ascii="宋体" w:hAnsi="宋体"/>
                <w:sz w:val="28"/>
                <w:szCs w:val="28"/>
                <w:highlight w:val="none"/>
                <w:lang w:val="en-GB"/>
              </w:rPr>
            </w:pPr>
          </w:p>
        </w:tc>
        <w:tc>
          <w:tcPr>
            <w:tcW w:w="5576" w:type="dxa"/>
            <w:noWrap/>
            <w:vAlign w:val="center"/>
          </w:tcPr>
          <w:p w14:paraId="4E1EA0DD">
            <w:pPr>
              <w:pStyle w:val="40"/>
              <w:tabs>
                <w:tab w:val="left" w:pos="1260"/>
              </w:tabs>
              <w:jc w:val="center"/>
              <w:rPr>
                <w:rFonts w:ascii="宋体" w:hAnsi="宋体"/>
                <w:sz w:val="28"/>
                <w:szCs w:val="28"/>
                <w:highlight w:val="none"/>
                <w:lang w:val="en-GB"/>
              </w:rPr>
            </w:pPr>
          </w:p>
        </w:tc>
        <w:tc>
          <w:tcPr>
            <w:tcW w:w="1392" w:type="dxa"/>
            <w:noWrap/>
          </w:tcPr>
          <w:p w14:paraId="0C2ED381">
            <w:pPr>
              <w:pStyle w:val="40"/>
              <w:tabs>
                <w:tab w:val="left" w:pos="1260"/>
              </w:tabs>
              <w:jc w:val="center"/>
              <w:rPr>
                <w:rFonts w:ascii="宋体" w:hAnsi="宋体"/>
                <w:sz w:val="28"/>
                <w:szCs w:val="28"/>
                <w:highlight w:val="none"/>
                <w:lang w:val="en-GB"/>
              </w:rPr>
            </w:pPr>
          </w:p>
        </w:tc>
        <w:tc>
          <w:tcPr>
            <w:tcW w:w="1392" w:type="dxa"/>
            <w:noWrap/>
            <w:vAlign w:val="center"/>
          </w:tcPr>
          <w:p w14:paraId="5243FE36">
            <w:pPr>
              <w:pStyle w:val="40"/>
              <w:tabs>
                <w:tab w:val="left" w:pos="1260"/>
              </w:tabs>
              <w:jc w:val="center"/>
              <w:rPr>
                <w:rFonts w:ascii="宋体" w:hAnsi="宋体"/>
                <w:sz w:val="28"/>
                <w:szCs w:val="28"/>
                <w:highlight w:val="none"/>
                <w:lang w:val="en-GB"/>
              </w:rPr>
            </w:pPr>
          </w:p>
        </w:tc>
      </w:tr>
      <w:tr w14:paraId="20AE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14:paraId="5EE5CDE8">
            <w:pPr>
              <w:pStyle w:val="40"/>
              <w:tabs>
                <w:tab w:val="left" w:pos="1260"/>
              </w:tabs>
              <w:jc w:val="center"/>
              <w:rPr>
                <w:rFonts w:ascii="宋体" w:hAnsi="宋体"/>
                <w:sz w:val="28"/>
                <w:szCs w:val="28"/>
                <w:highlight w:val="none"/>
                <w:lang w:val="en-GB"/>
              </w:rPr>
            </w:pPr>
          </w:p>
        </w:tc>
        <w:tc>
          <w:tcPr>
            <w:tcW w:w="5576" w:type="dxa"/>
            <w:noWrap/>
            <w:vAlign w:val="center"/>
          </w:tcPr>
          <w:p w14:paraId="3C0E3CE2">
            <w:pPr>
              <w:pStyle w:val="40"/>
              <w:tabs>
                <w:tab w:val="left" w:pos="1260"/>
              </w:tabs>
              <w:jc w:val="center"/>
              <w:rPr>
                <w:rFonts w:ascii="宋体" w:hAnsi="宋体"/>
                <w:sz w:val="28"/>
                <w:szCs w:val="28"/>
                <w:highlight w:val="none"/>
                <w:lang w:val="en-GB"/>
              </w:rPr>
            </w:pPr>
          </w:p>
        </w:tc>
        <w:tc>
          <w:tcPr>
            <w:tcW w:w="1392" w:type="dxa"/>
            <w:noWrap/>
          </w:tcPr>
          <w:p w14:paraId="0FEB0AD4">
            <w:pPr>
              <w:pStyle w:val="40"/>
              <w:tabs>
                <w:tab w:val="left" w:pos="1260"/>
              </w:tabs>
              <w:jc w:val="center"/>
              <w:rPr>
                <w:rFonts w:ascii="宋体" w:hAnsi="宋体"/>
                <w:sz w:val="28"/>
                <w:szCs w:val="28"/>
                <w:highlight w:val="none"/>
                <w:lang w:val="en-GB"/>
              </w:rPr>
            </w:pPr>
          </w:p>
        </w:tc>
        <w:tc>
          <w:tcPr>
            <w:tcW w:w="1392" w:type="dxa"/>
            <w:noWrap/>
            <w:vAlign w:val="center"/>
          </w:tcPr>
          <w:p w14:paraId="2C20AAC3">
            <w:pPr>
              <w:pStyle w:val="40"/>
              <w:tabs>
                <w:tab w:val="left" w:pos="1260"/>
              </w:tabs>
              <w:jc w:val="center"/>
              <w:rPr>
                <w:rFonts w:ascii="宋体" w:hAnsi="宋体"/>
                <w:sz w:val="28"/>
                <w:szCs w:val="28"/>
                <w:highlight w:val="none"/>
                <w:lang w:val="en-GB"/>
              </w:rPr>
            </w:pPr>
          </w:p>
        </w:tc>
      </w:tr>
      <w:tr w14:paraId="28E6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14:paraId="59A5C7A0">
            <w:pPr>
              <w:pStyle w:val="40"/>
              <w:tabs>
                <w:tab w:val="left" w:pos="1260"/>
              </w:tabs>
              <w:jc w:val="center"/>
              <w:rPr>
                <w:rFonts w:ascii="宋体" w:hAnsi="宋体"/>
                <w:sz w:val="28"/>
                <w:szCs w:val="28"/>
                <w:highlight w:val="none"/>
                <w:lang w:val="en-GB"/>
              </w:rPr>
            </w:pPr>
          </w:p>
        </w:tc>
        <w:tc>
          <w:tcPr>
            <w:tcW w:w="5576" w:type="dxa"/>
            <w:noWrap/>
            <w:vAlign w:val="center"/>
          </w:tcPr>
          <w:p w14:paraId="794B112D">
            <w:pPr>
              <w:pStyle w:val="40"/>
              <w:tabs>
                <w:tab w:val="left" w:pos="1260"/>
              </w:tabs>
              <w:jc w:val="center"/>
              <w:rPr>
                <w:rFonts w:ascii="宋体" w:hAnsi="宋体"/>
                <w:sz w:val="28"/>
                <w:szCs w:val="28"/>
                <w:highlight w:val="none"/>
                <w:lang w:val="en-GB"/>
              </w:rPr>
            </w:pPr>
          </w:p>
        </w:tc>
        <w:tc>
          <w:tcPr>
            <w:tcW w:w="1392" w:type="dxa"/>
            <w:noWrap/>
          </w:tcPr>
          <w:p w14:paraId="2AFCED3F">
            <w:pPr>
              <w:pStyle w:val="40"/>
              <w:tabs>
                <w:tab w:val="left" w:pos="1260"/>
              </w:tabs>
              <w:jc w:val="center"/>
              <w:rPr>
                <w:rFonts w:ascii="宋体" w:hAnsi="宋体"/>
                <w:sz w:val="28"/>
                <w:szCs w:val="28"/>
                <w:highlight w:val="none"/>
                <w:lang w:val="en-GB"/>
              </w:rPr>
            </w:pPr>
          </w:p>
        </w:tc>
        <w:tc>
          <w:tcPr>
            <w:tcW w:w="1392" w:type="dxa"/>
            <w:noWrap/>
            <w:vAlign w:val="center"/>
          </w:tcPr>
          <w:p w14:paraId="4D35620C">
            <w:pPr>
              <w:pStyle w:val="40"/>
              <w:tabs>
                <w:tab w:val="left" w:pos="1260"/>
              </w:tabs>
              <w:jc w:val="center"/>
              <w:rPr>
                <w:rFonts w:ascii="宋体" w:hAnsi="宋体"/>
                <w:sz w:val="28"/>
                <w:szCs w:val="28"/>
                <w:highlight w:val="none"/>
                <w:lang w:val="en-GB"/>
              </w:rPr>
            </w:pPr>
          </w:p>
        </w:tc>
      </w:tr>
      <w:tr w14:paraId="75AF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72" w:type="dxa"/>
            <w:vMerge w:val="continue"/>
            <w:noWrap/>
            <w:vAlign w:val="center"/>
          </w:tcPr>
          <w:p w14:paraId="28607E11">
            <w:pPr>
              <w:pStyle w:val="40"/>
              <w:tabs>
                <w:tab w:val="left" w:pos="1260"/>
              </w:tabs>
              <w:jc w:val="center"/>
              <w:rPr>
                <w:rFonts w:ascii="宋体" w:hAnsi="宋体"/>
                <w:sz w:val="28"/>
                <w:szCs w:val="28"/>
                <w:highlight w:val="none"/>
                <w:lang w:val="en-GB"/>
              </w:rPr>
            </w:pPr>
          </w:p>
        </w:tc>
        <w:tc>
          <w:tcPr>
            <w:tcW w:w="6968" w:type="dxa"/>
            <w:gridSpan w:val="2"/>
            <w:noWrap/>
            <w:vAlign w:val="center"/>
          </w:tcPr>
          <w:p w14:paraId="4FCEC6A6">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rPr>
              <w:t>监狱或戒毒企业产品</w:t>
            </w:r>
            <w:r>
              <w:rPr>
                <w:rFonts w:hint="eastAsia" w:ascii="宋体" w:hAnsi="宋体"/>
                <w:sz w:val="28"/>
                <w:szCs w:val="28"/>
                <w:highlight w:val="none"/>
                <w:lang w:val="en-GB"/>
              </w:rPr>
              <w:t>金额合计</w:t>
            </w:r>
          </w:p>
        </w:tc>
        <w:tc>
          <w:tcPr>
            <w:tcW w:w="1392" w:type="dxa"/>
            <w:noWrap/>
            <w:vAlign w:val="center"/>
          </w:tcPr>
          <w:p w14:paraId="3811F07E">
            <w:pPr>
              <w:pStyle w:val="40"/>
              <w:tabs>
                <w:tab w:val="left" w:pos="1260"/>
              </w:tabs>
              <w:jc w:val="center"/>
              <w:rPr>
                <w:rFonts w:ascii="宋体" w:hAnsi="宋体"/>
                <w:sz w:val="28"/>
                <w:szCs w:val="28"/>
                <w:highlight w:val="none"/>
                <w:lang w:val="en-GB"/>
              </w:rPr>
            </w:pPr>
          </w:p>
        </w:tc>
      </w:tr>
    </w:tbl>
    <w:p w14:paraId="104D6DAC">
      <w:pPr>
        <w:pStyle w:val="40"/>
        <w:spacing w:line="460" w:lineRule="exact"/>
        <w:ind w:left="968" w:hanging="967" w:hangingChars="342"/>
        <w:rPr>
          <w:rFonts w:ascii="宋体" w:hAnsi="宋体"/>
          <w:sz w:val="28"/>
          <w:szCs w:val="28"/>
          <w:highlight w:val="none"/>
          <w:lang w:val="en-GB"/>
        </w:rPr>
      </w:pPr>
      <w:r>
        <w:rPr>
          <w:rFonts w:hint="eastAsia" w:ascii="宋体" w:hAnsi="宋体"/>
          <w:sz w:val="28"/>
          <w:szCs w:val="28"/>
          <w:highlight w:val="none"/>
          <w:lang w:val="en-GB"/>
        </w:rPr>
        <w:t>填报要求：</w:t>
      </w:r>
    </w:p>
    <w:p w14:paraId="681052A0">
      <w:pPr>
        <w:pStyle w:val="40"/>
        <w:widowControl/>
        <w:spacing w:line="360" w:lineRule="auto"/>
        <w:ind w:right="85" w:rightChars="40"/>
        <w:jc w:val="left"/>
        <w:rPr>
          <w:rFonts w:ascii="宋体" w:hAnsi="宋体"/>
          <w:sz w:val="28"/>
          <w:szCs w:val="28"/>
          <w:highlight w:val="none"/>
          <w:lang w:val="en-GB"/>
        </w:rPr>
      </w:pPr>
      <w:r>
        <w:rPr>
          <w:rFonts w:hint="eastAsia" w:ascii="宋体" w:hAnsi="宋体"/>
          <w:sz w:val="28"/>
          <w:szCs w:val="28"/>
          <w:highlight w:val="none"/>
          <w:lang w:val="en-GB"/>
        </w:rPr>
        <w:t>1.本表的产品名称、规格型号和注册商标、金额要与《报价明细表》一致。</w:t>
      </w:r>
    </w:p>
    <w:p w14:paraId="00F8F185">
      <w:pPr>
        <w:pStyle w:val="40"/>
        <w:widowControl/>
        <w:spacing w:line="360" w:lineRule="auto"/>
        <w:ind w:left="-27" w:leftChars="-13" w:right="85" w:rightChars="40"/>
        <w:jc w:val="left"/>
        <w:rPr>
          <w:rFonts w:ascii="宋体" w:hAnsi="宋体"/>
          <w:sz w:val="28"/>
          <w:szCs w:val="28"/>
          <w:highlight w:val="none"/>
          <w:lang w:val="en-GB"/>
        </w:rPr>
      </w:pPr>
      <w:r>
        <w:rPr>
          <w:rFonts w:hint="eastAsia" w:ascii="宋体" w:hAnsi="宋体"/>
          <w:sz w:val="28"/>
          <w:szCs w:val="28"/>
          <w:highlight w:val="none"/>
        </w:rPr>
        <w:t>2.监狱或戒毒企业投标且提供本企业制造的产品才能</w:t>
      </w:r>
      <w:r>
        <w:rPr>
          <w:rFonts w:hint="eastAsia" w:ascii="宋体" w:hAnsi="宋体"/>
          <w:sz w:val="28"/>
          <w:szCs w:val="28"/>
          <w:highlight w:val="none"/>
          <w:lang w:val="en-GB"/>
        </w:rPr>
        <w:t>享受商务报价里</w:t>
      </w:r>
      <w:r>
        <w:rPr>
          <w:rFonts w:hint="eastAsia" w:ascii="宋体" w:hAnsi="宋体"/>
          <w:sz w:val="28"/>
          <w:szCs w:val="28"/>
          <w:highlight w:val="none"/>
        </w:rPr>
        <w:t>监狱和戒毒企业</w:t>
      </w:r>
      <w:r>
        <w:rPr>
          <w:rFonts w:hint="eastAsia" w:ascii="宋体" w:hAnsi="宋体"/>
          <w:sz w:val="28"/>
          <w:szCs w:val="28"/>
          <w:highlight w:val="none"/>
          <w:lang w:val="en-GB"/>
        </w:rPr>
        <w:t>产品优惠政策。</w:t>
      </w:r>
    </w:p>
    <w:p w14:paraId="2BE8C1E2">
      <w:pPr>
        <w:ind w:left="-59" w:leftChars="-28" w:firstLine="141" w:firstLineChars="50"/>
        <w:rPr>
          <w:rFonts w:ascii="宋体" w:hAnsi="宋体"/>
          <w:bCs/>
          <w:color w:val="000000"/>
          <w:szCs w:val="21"/>
          <w:highlight w:val="none"/>
        </w:rPr>
      </w:pPr>
      <w:r>
        <w:rPr>
          <w:rFonts w:hint="eastAsia" w:ascii="宋体" w:hAnsi="宋体"/>
          <w:sz w:val="28"/>
          <w:szCs w:val="28"/>
          <w:highlight w:val="none"/>
          <w:lang w:val="en-GB"/>
        </w:rPr>
        <w:t>3.本表内容不填写将不能享受商务报价里</w:t>
      </w:r>
      <w:r>
        <w:rPr>
          <w:rFonts w:hint="eastAsia" w:ascii="宋体" w:hAnsi="宋体"/>
          <w:sz w:val="28"/>
          <w:szCs w:val="28"/>
          <w:highlight w:val="none"/>
        </w:rPr>
        <w:t>监狱或戒毒企业</w:t>
      </w:r>
      <w:r>
        <w:rPr>
          <w:rFonts w:hint="eastAsia" w:ascii="宋体" w:hAnsi="宋体"/>
          <w:sz w:val="28"/>
          <w:szCs w:val="28"/>
          <w:highlight w:val="none"/>
          <w:lang w:val="en-GB"/>
        </w:rPr>
        <w:t>产品优惠政策。</w:t>
      </w:r>
    </w:p>
    <w:p w14:paraId="34EB31FF">
      <w:pPr>
        <w:spacing w:line="588" w:lineRule="exact"/>
        <w:jc w:val="center"/>
        <w:rPr>
          <w:rFonts w:ascii="宋体" w:hAnsi="宋体"/>
          <w:b/>
          <w:spacing w:val="6"/>
          <w:sz w:val="32"/>
          <w:szCs w:val="32"/>
          <w:highlight w:val="none"/>
        </w:rPr>
      </w:pPr>
      <w:r>
        <w:rPr>
          <w:rFonts w:hint="eastAsia" w:ascii="宋体" w:hAnsi="宋体"/>
          <w:b/>
          <w:spacing w:val="6"/>
          <w:sz w:val="32"/>
          <w:szCs w:val="32"/>
          <w:highlight w:val="none"/>
        </w:rPr>
        <w:t>残疾人福利性单位声明函</w:t>
      </w:r>
    </w:p>
    <w:p w14:paraId="25D06708">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【不属残疾人福利性单位，不用提供此函】</w:t>
      </w:r>
    </w:p>
    <w:p w14:paraId="0B47A2EF">
      <w:pPr>
        <w:pStyle w:val="21"/>
        <w:rPr>
          <w:highlight w:val="none"/>
        </w:rPr>
      </w:pPr>
    </w:p>
    <w:p w14:paraId="55AF7302">
      <w:pPr>
        <w:snapToGrid w:val="0"/>
        <w:spacing w:line="360" w:lineRule="auto"/>
        <w:ind w:firstLine="566" w:firstLineChars="200"/>
        <w:rPr>
          <w:rFonts w:ascii="宋体" w:hAnsi="宋体"/>
          <w:sz w:val="28"/>
          <w:szCs w:val="28"/>
          <w:highlight w:val="none"/>
        </w:rPr>
      </w:pPr>
      <w:r>
        <w:rPr>
          <w:rFonts w:hint="eastAsia" w:ascii="宋体" w:hAnsi="宋体"/>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F309D5">
      <w:pPr>
        <w:snapToGrid w:val="0"/>
        <w:spacing w:line="360" w:lineRule="auto"/>
        <w:ind w:firstLine="566" w:firstLineChars="200"/>
        <w:rPr>
          <w:rFonts w:ascii="宋体" w:hAnsi="宋体"/>
          <w:sz w:val="28"/>
          <w:szCs w:val="28"/>
          <w:highlight w:val="none"/>
        </w:rPr>
      </w:pPr>
      <w:r>
        <w:rPr>
          <w:rFonts w:hint="eastAsia" w:ascii="宋体" w:hAnsi="宋体"/>
          <w:sz w:val="28"/>
          <w:szCs w:val="28"/>
          <w:highlight w:val="none"/>
        </w:rPr>
        <w:t>本单位对上述声明的真实性负责。如有虚假，将依法承担相应责任。</w:t>
      </w:r>
    </w:p>
    <w:p w14:paraId="4EA8459F">
      <w:pPr>
        <w:snapToGrid w:val="0"/>
        <w:spacing w:line="360" w:lineRule="auto"/>
        <w:ind w:firstLine="566" w:firstLineChars="200"/>
        <w:rPr>
          <w:rFonts w:ascii="宋体" w:hAnsi="宋体"/>
          <w:sz w:val="28"/>
          <w:szCs w:val="28"/>
          <w:highlight w:val="none"/>
        </w:rPr>
      </w:pPr>
    </w:p>
    <w:p w14:paraId="6DCB274D">
      <w:pPr>
        <w:spacing w:line="588" w:lineRule="exact"/>
        <w:ind w:firstLine="630" w:firstLineChars="200"/>
        <w:rPr>
          <w:rFonts w:ascii="宋体" w:hAnsi="宋体"/>
          <w:spacing w:val="6"/>
          <w:sz w:val="30"/>
          <w:szCs w:val="30"/>
          <w:highlight w:val="none"/>
        </w:rPr>
      </w:pPr>
    </w:p>
    <w:p w14:paraId="12722FAE">
      <w:pPr>
        <w:snapToGrid w:val="0"/>
        <w:spacing w:line="360" w:lineRule="auto"/>
        <w:ind w:firstLine="566" w:firstLineChars="200"/>
        <w:jc w:val="right"/>
        <w:rPr>
          <w:rFonts w:ascii="宋体" w:hAnsi="宋体"/>
          <w:sz w:val="28"/>
          <w:szCs w:val="28"/>
          <w:highlight w:val="none"/>
        </w:rPr>
      </w:pPr>
      <w:r>
        <w:rPr>
          <w:rFonts w:hint="eastAsia" w:ascii="宋体" w:hAnsi="宋体"/>
          <w:sz w:val="28"/>
          <w:szCs w:val="28"/>
          <w:highlight w:val="none"/>
        </w:rPr>
        <w:t xml:space="preserve">      单位名称（盖章）：</w:t>
      </w:r>
    </w:p>
    <w:p w14:paraId="595151DD">
      <w:pPr>
        <w:pStyle w:val="39"/>
        <w:spacing w:line="540" w:lineRule="exact"/>
        <w:ind w:firstLine="0" w:firstLineChars="0"/>
        <w:jc w:val="center"/>
        <w:rPr>
          <w:rFonts w:ascii="宋体"/>
          <w:b/>
          <w:sz w:val="28"/>
          <w:highlight w:val="none"/>
          <w:lang w:val="en-GB"/>
        </w:rPr>
      </w:pPr>
      <w:r>
        <w:rPr>
          <w:rFonts w:hint="eastAsia" w:ascii="宋体" w:eastAsia="宋体"/>
          <w:sz w:val="28"/>
          <w:highlight w:val="none"/>
        </w:rPr>
        <w:t xml:space="preserve">                                       日  期：</w:t>
      </w:r>
    </w:p>
    <w:p w14:paraId="16413204">
      <w:pPr>
        <w:pStyle w:val="40"/>
        <w:jc w:val="center"/>
        <w:rPr>
          <w:rFonts w:ascii="宋体" w:hAnsi="宋体"/>
          <w:b/>
          <w:sz w:val="28"/>
          <w:szCs w:val="28"/>
          <w:highlight w:val="none"/>
          <w:lang w:val="en-GB"/>
        </w:rPr>
      </w:pPr>
    </w:p>
    <w:p w14:paraId="0F3BBB1E">
      <w:pPr>
        <w:pStyle w:val="40"/>
        <w:jc w:val="center"/>
        <w:rPr>
          <w:rFonts w:ascii="宋体" w:hAnsi="宋体"/>
          <w:b/>
          <w:sz w:val="28"/>
          <w:szCs w:val="28"/>
          <w:highlight w:val="none"/>
          <w:lang w:val="en-GB"/>
        </w:rPr>
      </w:pPr>
    </w:p>
    <w:p w14:paraId="57A3D16D">
      <w:pPr>
        <w:pStyle w:val="40"/>
        <w:jc w:val="center"/>
        <w:rPr>
          <w:rFonts w:ascii="宋体" w:hAnsi="宋体"/>
          <w:b/>
          <w:sz w:val="28"/>
          <w:szCs w:val="28"/>
          <w:highlight w:val="none"/>
          <w:lang w:val="en-GB"/>
        </w:rPr>
      </w:pPr>
    </w:p>
    <w:p w14:paraId="0DFFC6B6">
      <w:pPr>
        <w:pStyle w:val="40"/>
        <w:jc w:val="center"/>
        <w:rPr>
          <w:rFonts w:ascii="宋体" w:hAnsi="宋体"/>
          <w:b/>
          <w:sz w:val="28"/>
          <w:szCs w:val="28"/>
          <w:highlight w:val="none"/>
          <w:lang w:val="en-GB"/>
        </w:rPr>
      </w:pPr>
    </w:p>
    <w:p w14:paraId="27F49644">
      <w:pPr>
        <w:pStyle w:val="40"/>
        <w:jc w:val="center"/>
        <w:rPr>
          <w:rFonts w:ascii="宋体" w:hAnsi="宋体"/>
          <w:b/>
          <w:sz w:val="28"/>
          <w:szCs w:val="28"/>
          <w:highlight w:val="none"/>
          <w:lang w:val="en-GB"/>
        </w:rPr>
      </w:pPr>
    </w:p>
    <w:p w14:paraId="6FAFC8AB">
      <w:pPr>
        <w:pStyle w:val="40"/>
        <w:jc w:val="center"/>
        <w:rPr>
          <w:rFonts w:ascii="宋体" w:hAnsi="宋体"/>
          <w:b/>
          <w:sz w:val="28"/>
          <w:szCs w:val="28"/>
          <w:highlight w:val="none"/>
          <w:lang w:val="en-GB"/>
        </w:rPr>
      </w:pPr>
      <w:r>
        <w:rPr>
          <w:rFonts w:hint="eastAsia" w:ascii="宋体" w:hAnsi="宋体"/>
          <w:b/>
          <w:sz w:val="28"/>
          <w:szCs w:val="28"/>
          <w:highlight w:val="none"/>
          <w:lang w:val="en-GB"/>
        </w:rPr>
        <w:t>产品适用</w:t>
      </w:r>
      <w:r>
        <w:rPr>
          <w:rFonts w:hint="eastAsia" w:ascii="宋体" w:hAnsi="宋体"/>
          <w:b/>
          <w:spacing w:val="6"/>
          <w:sz w:val="28"/>
          <w:szCs w:val="28"/>
          <w:highlight w:val="none"/>
        </w:rPr>
        <w:t>残疾人福利性单位</w:t>
      </w:r>
      <w:r>
        <w:rPr>
          <w:rFonts w:hint="eastAsia" w:ascii="宋体" w:hAnsi="宋体"/>
          <w:b/>
          <w:sz w:val="28"/>
          <w:szCs w:val="28"/>
          <w:highlight w:val="none"/>
          <w:lang w:val="en-GB"/>
        </w:rPr>
        <w:t>政策情况表</w:t>
      </w:r>
    </w:p>
    <w:p w14:paraId="3E4772C7">
      <w:pPr>
        <w:pStyle w:val="40"/>
        <w:jc w:val="center"/>
        <w:rPr>
          <w:rFonts w:ascii="宋体" w:hAnsi="宋体"/>
          <w:b/>
          <w:sz w:val="28"/>
          <w:szCs w:val="28"/>
          <w:highlight w:val="none"/>
          <w:lang w:val="en-GB"/>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5315"/>
        <w:gridCol w:w="1327"/>
        <w:gridCol w:w="1327"/>
      </w:tblGrid>
      <w:tr w14:paraId="6349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restart"/>
            <w:noWrap/>
            <w:vAlign w:val="center"/>
          </w:tcPr>
          <w:p w14:paraId="2CC2D44A">
            <w:pPr>
              <w:pStyle w:val="40"/>
              <w:tabs>
                <w:tab w:val="left" w:pos="1260"/>
              </w:tabs>
              <w:jc w:val="center"/>
              <w:rPr>
                <w:rFonts w:ascii="宋体" w:hAnsi="宋体"/>
                <w:sz w:val="28"/>
                <w:szCs w:val="28"/>
                <w:highlight w:val="none"/>
                <w:lang w:val="en-GB"/>
              </w:rPr>
            </w:pPr>
            <w:r>
              <w:rPr>
                <w:rFonts w:hint="eastAsia" w:ascii="宋体" w:hAnsi="宋体"/>
                <w:spacing w:val="6"/>
                <w:sz w:val="28"/>
                <w:szCs w:val="28"/>
                <w:highlight w:val="none"/>
              </w:rPr>
              <w:t>残疾人福利性单位扶持政策</w:t>
            </w:r>
          </w:p>
        </w:tc>
        <w:tc>
          <w:tcPr>
            <w:tcW w:w="5315" w:type="dxa"/>
            <w:noWrap/>
            <w:vAlign w:val="center"/>
          </w:tcPr>
          <w:p w14:paraId="735592EA">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产品名称（品牌、型号）</w:t>
            </w:r>
          </w:p>
        </w:tc>
        <w:tc>
          <w:tcPr>
            <w:tcW w:w="1327" w:type="dxa"/>
            <w:noWrap/>
            <w:vAlign w:val="center"/>
          </w:tcPr>
          <w:p w14:paraId="628DF873">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数量</w:t>
            </w:r>
          </w:p>
        </w:tc>
        <w:tc>
          <w:tcPr>
            <w:tcW w:w="1327" w:type="dxa"/>
            <w:noWrap/>
            <w:vAlign w:val="center"/>
          </w:tcPr>
          <w:p w14:paraId="7BFD8C6D">
            <w:pPr>
              <w:pStyle w:val="40"/>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金额</w:t>
            </w:r>
          </w:p>
        </w:tc>
      </w:tr>
      <w:tr w14:paraId="67A4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35A527C6">
            <w:pPr>
              <w:pStyle w:val="40"/>
              <w:tabs>
                <w:tab w:val="left" w:pos="1260"/>
              </w:tabs>
              <w:jc w:val="center"/>
              <w:rPr>
                <w:rFonts w:ascii="宋体" w:hAnsi="宋体"/>
                <w:sz w:val="28"/>
                <w:szCs w:val="28"/>
                <w:highlight w:val="none"/>
                <w:lang w:val="en-GB"/>
              </w:rPr>
            </w:pPr>
          </w:p>
        </w:tc>
        <w:tc>
          <w:tcPr>
            <w:tcW w:w="5315" w:type="dxa"/>
            <w:noWrap/>
            <w:vAlign w:val="center"/>
          </w:tcPr>
          <w:p w14:paraId="0FF2910E">
            <w:pPr>
              <w:pStyle w:val="40"/>
              <w:tabs>
                <w:tab w:val="left" w:pos="1260"/>
              </w:tabs>
              <w:jc w:val="center"/>
              <w:rPr>
                <w:rFonts w:ascii="宋体" w:hAnsi="宋体"/>
                <w:sz w:val="28"/>
                <w:szCs w:val="28"/>
                <w:highlight w:val="none"/>
                <w:lang w:val="en-GB"/>
              </w:rPr>
            </w:pPr>
          </w:p>
        </w:tc>
        <w:tc>
          <w:tcPr>
            <w:tcW w:w="1327" w:type="dxa"/>
            <w:noWrap/>
          </w:tcPr>
          <w:p w14:paraId="032E0054">
            <w:pPr>
              <w:pStyle w:val="40"/>
              <w:tabs>
                <w:tab w:val="left" w:pos="1260"/>
              </w:tabs>
              <w:jc w:val="center"/>
              <w:rPr>
                <w:rFonts w:ascii="宋体" w:hAnsi="宋体"/>
                <w:sz w:val="28"/>
                <w:szCs w:val="28"/>
                <w:highlight w:val="none"/>
                <w:lang w:val="en-GB"/>
              </w:rPr>
            </w:pPr>
          </w:p>
        </w:tc>
        <w:tc>
          <w:tcPr>
            <w:tcW w:w="1327" w:type="dxa"/>
            <w:noWrap/>
            <w:vAlign w:val="center"/>
          </w:tcPr>
          <w:p w14:paraId="10E682D5">
            <w:pPr>
              <w:pStyle w:val="40"/>
              <w:tabs>
                <w:tab w:val="left" w:pos="1260"/>
              </w:tabs>
              <w:jc w:val="center"/>
              <w:rPr>
                <w:rFonts w:ascii="宋体" w:hAnsi="宋体"/>
                <w:sz w:val="28"/>
                <w:szCs w:val="28"/>
                <w:highlight w:val="none"/>
                <w:lang w:val="en-GB"/>
              </w:rPr>
            </w:pPr>
          </w:p>
        </w:tc>
      </w:tr>
      <w:tr w14:paraId="2DBB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311979DC">
            <w:pPr>
              <w:pStyle w:val="40"/>
              <w:tabs>
                <w:tab w:val="left" w:pos="1260"/>
              </w:tabs>
              <w:jc w:val="center"/>
              <w:rPr>
                <w:rFonts w:ascii="宋体" w:hAnsi="宋体"/>
                <w:sz w:val="28"/>
                <w:szCs w:val="28"/>
                <w:highlight w:val="none"/>
                <w:lang w:val="en-GB"/>
              </w:rPr>
            </w:pPr>
          </w:p>
        </w:tc>
        <w:tc>
          <w:tcPr>
            <w:tcW w:w="5315" w:type="dxa"/>
            <w:noWrap/>
            <w:vAlign w:val="center"/>
          </w:tcPr>
          <w:p w14:paraId="288E1BFF">
            <w:pPr>
              <w:pStyle w:val="40"/>
              <w:tabs>
                <w:tab w:val="left" w:pos="1260"/>
              </w:tabs>
              <w:jc w:val="center"/>
              <w:rPr>
                <w:rFonts w:ascii="宋体" w:hAnsi="宋体"/>
                <w:sz w:val="28"/>
                <w:szCs w:val="28"/>
                <w:highlight w:val="none"/>
                <w:lang w:val="en-GB"/>
              </w:rPr>
            </w:pPr>
          </w:p>
        </w:tc>
        <w:tc>
          <w:tcPr>
            <w:tcW w:w="1327" w:type="dxa"/>
            <w:noWrap/>
          </w:tcPr>
          <w:p w14:paraId="4427D74D">
            <w:pPr>
              <w:pStyle w:val="40"/>
              <w:tabs>
                <w:tab w:val="left" w:pos="1260"/>
              </w:tabs>
              <w:jc w:val="center"/>
              <w:rPr>
                <w:rFonts w:ascii="宋体" w:hAnsi="宋体"/>
                <w:sz w:val="28"/>
                <w:szCs w:val="28"/>
                <w:highlight w:val="none"/>
                <w:lang w:val="en-GB"/>
              </w:rPr>
            </w:pPr>
          </w:p>
        </w:tc>
        <w:tc>
          <w:tcPr>
            <w:tcW w:w="1327" w:type="dxa"/>
            <w:noWrap/>
            <w:vAlign w:val="center"/>
          </w:tcPr>
          <w:p w14:paraId="09E84944">
            <w:pPr>
              <w:pStyle w:val="40"/>
              <w:tabs>
                <w:tab w:val="left" w:pos="1260"/>
              </w:tabs>
              <w:jc w:val="center"/>
              <w:rPr>
                <w:rFonts w:ascii="宋体" w:hAnsi="宋体"/>
                <w:sz w:val="28"/>
                <w:szCs w:val="28"/>
                <w:highlight w:val="none"/>
                <w:lang w:val="en-GB"/>
              </w:rPr>
            </w:pPr>
          </w:p>
        </w:tc>
      </w:tr>
      <w:tr w14:paraId="02A7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48841864">
            <w:pPr>
              <w:pStyle w:val="40"/>
              <w:tabs>
                <w:tab w:val="left" w:pos="1260"/>
              </w:tabs>
              <w:jc w:val="center"/>
              <w:rPr>
                <w:rFonts w:ascii="宋体" w:hAnsi="宋体"/>
                <w:sz w:val="28"/>
                <w:szCs w:val="28"/>
                <w:highlight w:val="none"/>
                <w:lang w:val="en-GB"/>
              </w:rPr>
            </w:pPr>
          </w:p>
        </w:tc>
        <w:tc>
          <w:tcPr>
            <w:tcW w:w="5315" w:type="dxa"/>
            <w:noWrap/>
            <w:vAlign w:val="center"/>
          </w:tcPr>
          <w:p w14:paraId="522C28C9">
            <w:pPr>
              <w:pStyle w:val="40"/>
              <w:tabs>
                <w:tab w:val="left" w:pos="1260"/>
              </w:tabs>
              <w:jc w:val="center"/>
              <w:rPr>
                <w:rFonts w:ascii="宋体" w:hAnsi="宋体"/>
                <w:sz w:val="28"/>
                <w:szCs w:val="28"/>
                <w:highlight w:val="none"/>
                <w:lang w:val="en-GB"/>
              </w:rPr>
            </w:pPr>
          </w:p>
        </w:tc>
        <w:tc>
          <w:tcPr>
            <w:tcW w:w="1327" w:type="dxa"/>
            <w:noWrap/>
          </w:tcPr>
          <w:p w14:paraId="331946BA">
            <w:pPr>
              <w:pStyle w:val="40"/>
              <w:tabs>
                <w:tab w:val="left" w:pos="1260"/>
              </w:tabs>
              <w:jc w:val="center"/>
              <w:rPr>
                <w:rFonts w:ascii="宋体" w:hAnsi="宋体"/>
                <w:sz w:val="28"/>
                <w:szCs w:val="28"/>
                <w:highlight w:val="none"/>
                <w:lang w:val="en-GB"/>
              </w:rPr>
            </w:pPr>
          </w:p>
        </w:tc>
        <w:tc>
          <w:tcPr>
            <w:tcW w:w="1327" w:type="dxa"/>
            <w:noWrap/>
            <w:vAlign w:val="center"/>
          </w:tcPr>
          <w:p w14:paraId="42B70F5C">
            <w:pPr>
              <w:pStyle w:val="40"/>
              <w:tabs>
                <w:tab w:val="left" w:pos="1260"/>
              </w:tabs>
              <w:jc w:val="center"/>
              <w:rPr>
                <w:rFonts w:ascii="宋体" w:hAnsi="宋体"/>
                <w:sz w:val="28"/>
                <w:szCs w:val="28"/>
                <w:highlight w:val="none"/>
                <w:lang w:val="en-GB"/>
              </w:rPr>
            </w:pPr>
          </w:p>
        </w:tc>
      </w:tr>
      <w:tr w14:paraId="57B4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312B7109">
            <w:pPr>
              <w:pStyle w:val="40"/>
              <w:tabs>
                <w:tab w:val="left" w:pos="1260"/>
              </w:tabs>
              <w:jc w:val="center"/>
              <w:rPr>
                <w:rFonts w:ascii="宋体" w:hAnsi="宋体"/>
                <w:sz w:val="28"/>
                <w:szCs w:val="28"/>
                <w:highlight w:val="none"/>
                <w:lang w:val="en-GB"/>
              </w:rPr>
            </w:pPr>
          </w:p>
        </w:tc>
        <w:tc>
          <w:tcPr>
            <w:tcW w:w="6642" w:type="dxa"/>
            <w:gridSpan w:val="2"/>
            <w:noWrap/>
            <w:vAlign w:val="center"/>
          </w:tcPr>
          <w:p w14:paraId="1BB33194">
            <w:pPr>
              <w:pStyle w:val="40"/>
              <w:tabs>
                <w:tab w:val="left" w:pos="1260"/>
              </w:tabs>
              <w:jc w:val="center"/>
              <w:rPr>
                <w:rFonts w:ascii="宋体" w:hAnsi="宋体"/>
                <w:sz w:val="28"/>
                <w:szCs w:val="28"/>
                <w:highlight w:val="none"/>
                <w:lang w:val="en-GB"/>
              </w:rPr>
            </w:pPr>
            <w:r>
              <w:rPr>
                <w:rFonts w:hint="eastAsia" w:ascii="宋体" w:hAnsi="宋体"/>
                <w:spacing w:val="6"/>
                <w:sz w:val="28"/>
                <w:szCs w:val="28"/>
                <w:highlight w:val="none"/>
              </w:rPr>
              <w:t>残疾人福利性单位</w:t>
            </w:r>
            <w:r>
              <w:rPr>
                <w:rFonts w:hint="eastAsia" w:ascii="宋体" w:hAnsi="宋体"/>
                <w:sz w:val="28"/>
                <w:szCs w:val="28"/>
                <w:highlight w:val="none"/>
              </w:rPr>
              <w:t>产品</w:t>
            </w:r>
            <w:r>
              <w:rPr>
                <w:rFonts w:hint="eastAsia" w:ascii="宋体" w:hAnsi="宋体"/>
                <w:sz w:val="28"/>
                <w:szCs w:val="28"/>
                <w:highlight w:val="none"/>
                <w:lang w:val="en-GB"/>
              </w:rPr>
              <w:t>金额合计</w:t>
            </w:r>
          </w:p>
        </w:tc>
        <w:tc>
          <w:tcPr>
            <w:tcW w:w="1327" w:type="dxa"/>
            <w:noWrap/>
            <w:vAlign w:val="center"/>
          </w:tcPr>
          <w:p w14:paraId="4C2F66E0">
            <w:pPr>
              <w:pStyle w:val="40"/>
              <w:tabs>
                <w:tab w:val="left" w:pos="1260"/>
              </w:tabs>
              <w:jc w:val="center"/>
              <w:rPr>
                <w:rFonts w:ascii="宋体" w:hAnsi="宋体"/>
                <w:sz w:val="28"/>
                <w:szCs w:val="28"/>
                <w:highlight w:val="none"/>
                <w:lang w:val="en-GB"/>
              </w:rPr>
            </w:pPr>
          </w:p>
        </w:tc>
      </w:tr>
    </w:tbl>
    <w:p w14:paraId="1865254E">
      <w:pPr>
        <w:pStyle w:val="40"/>
        <w:spacing w:line="460" w:lineRule="exact"/>
        <w:ind w:left="968" w:hanging="967" w:hangingChars="342"/>
        <w:rPr>
          <w:rFonts w:ascii="宋体" w:hAnsi="宋体"/>
          <w:sz w:val="28"/>
          <w:szCs w:val="28"/>
          <w:highlight w:val="none"/>
          <w:lang w:val="en-GB"/>
        </w:rPr>
      </w:pPr>
      <w:r>
        <w:rPr>
          <w:rFonts w:hint="eastAsia" w:ascii="宋体" w:hAnsi="宋体"/>
          <w:sz w:val="28"/>
          <w:szCs w:val="28"/>
          <w:highlight w:val="none"/>
          <w:lang w:val="en-GB"/>
        </w:rPr>
        <w:t>填报要求：</w:t>
      </w:r>
    </w:p>
    <w:p w14:paraId="3F175018">
      <w:pPr>
        <w:ind w:left="83" w:leftChars="39"/>
        <w:rPr>
          <w:rFonts w:ascii="宋体" w:hAnsi="宋体"/>
          <w:bCs/>
          <w:color w:val="000000"/>
          <w:szCs w:val="21"/>
          <w:highlight w:val="none"/>
        </w:rPr>
      </w:pPr>
      <w:r>
        <w:rPr>
          <w:rFonts w:hint="eastAsia" w:ascii="宋体" w:hAnsi="宋体"/>
          <w:sz w:val="28"/>
          <w:szCs w:val="28"/>
          <w:highlight w:val="none"/>
          <w:lang w:val="en-GB"/>
        </w:rPr>
        <w:t>1.本表的产品名称、规格型号和注册商标、金额要与《报价明细表》一致。2.本表内容不填写将不能享受商务报价里</w:t>
      </w:r>
      <w:r>
        <w:rPr>
          <w:rFonts w:hint="eastAsia" w:ascii="宋体" w:hAnsi="宋体"/>
          <w:spacing w:val="6"/>
          <w:sz w:val="28"/>
          <w:szCs w:val="28"/>
          <w:highlight w:val="none"/>
        </w:rPr>
        <w:t>残疾人福利性单位</w:t>
      </w:r>
      <w:r>
        <w:rPr>
          <w:rFonts w:hint="eastAsia" w:ascii="宋体" w:hAnsi="宋体"/>
          <w:sz w:val="28"/>
          <w:szCs w:val="28"/>
          <w:highlight w:val="none"/>
          <w:lang w:val="en-GB"/>
        </w:rPr>
        <w:t>产品优惠政策。</w:t>
      </w:r>
    </w:p>
    <w:p w14:paraId="1163BFAE">
      <w:pPr>
        <w:snapToGrid w:val="0"/>
        <w:spacing w:before="50" w:after="50"/>
        <w:ind w:right="-828" w:rightChars="-389"/>
        <w:rPr>
          <w:rFonts w:ascii="宋体" w:hAnsi="宋体" w:cs="宋体"/>
          <w:b/>
          <w:sz w:val="24"/>
          <w:highlight w:val="none"/>
        </w:rPr>
      </w:pPr>
    </w:p>
    <w:p w14:paraId="451A98D5">
      <w:pPr>
        <w:snapToGrid w:val="0"/>
        <w:spacing w:before="50" w:after="50"/>
        <w:ind w:right="-828" w:rightChars="-389"/>
        <w:rPr>
          <w:rFonts w:ascii="宋体" w:hAnsi="宋体" w:cs="宋体"/>
          <w:b/>
          <w:sz w:val="24"/>
          <w:highlight w:val="none"/>
        </w:rPr>
      </w:pPr>
    </w:p>
    <w:p w14:paraId="439E9218">
      <w:pPr>
        <w:snapToGrid w:val="0"/>
        <w:spacing w:before="50" w:after="50"/>
        <w:ind w:right="-828" w:rightChars="-389"/>
        <w:rPr>
          <w:rFonts w:ascii="宋体" w:hAnsi="宋体" w:cs="宋体"/>
          <w:b/>
          <w:sz w:val="24"/>
          <w:highlight w:val="none"/>
        </w:rPr>
      </w:pPr>
    </w:p>
    <w:p w14:paraId="5EA31022">
      <w:pPr>
        <w:snapToGrid w:val="0"/>
        <w:spacing w:before="50" w:after="50"/>
        <w:ind w:right="-828" w:rightChars="-389"/>
        <w:rPr>
          <w:rFonts w:ascii="宋体" w:hAnsi="宋体" w:cs="宋体"/>
          <w:b/>
          <w:sz w:val="24"/>
          <w:highlight w:val="none"/>
        </w:rPr>
      </w:pPr>
    </w:p>
    <w:p w14:paraId="22107F1C">
      <w:pPr>
        <w:snapToGrid w:val="0"/>
        <w:spacing w:before="50" w:after="50"/>
        <w:ind w:right="-828" w:rightChars="-389"/>
        <w:rPr>
          <w:rFonts w:ascii="宋体" w:hAnsi="宋体" w:cs="宋体"/>
          <w:b/>
          <w:sz w:val="24"/>
          <w:highlight w:val="none"/>
        </w:rPr>
      </w:pPr>
    </w:p>
    <w:p w14:paraId="1352F204">
      <w:pPr>
        <w:snapToGrid w:val="0"/>
        <w:spacing w:before="50" w:after="50"/>
        <w:ind w:right="-828" w:rightChars="-389"/>
        <w:rPr>
          <w:rFonts w:ascii="宋体" w:hAnsi="宋体" w:cs="宋体"/>
          <w:b/>
          <w:sz w:val="24"/>
          <w:highlight w:val="none"/>
        </w:rPr>
      </w:pPr>
    </w:p>
    <w:p w14:paraId="6F927D17">
      <w:pPr>
        <w:snapToGrid w:val="0"/>
        <w:spacing w:before="50" w:after="50"/>
        <w:ind w:right="-828" w:rightChars="-389"/>
        <w:rPr>
          <w:rFonts w:ascii="宋体" w:hAnsi="宋体" w:cs="宋体"/>
          <w:b/>
          <w:sz w:val="24"/>
          <w:highlight w:val="none"/>
        </w:rPr>
      </w:pPr>
    </w:p>
    <w:p w14:paraId="72C93100">
      <w:pPr>
        <w:snapToGrid w:val="0"/>
        <w:spacing w:before="50" w:after="50"/>
        <w:ind w:right="-828" w:rightChars="-389"/>
        <w:rPr>
          <w:rFonts w:ascii="宋体" w:hAnsi="宋体" w:cs="宋体"/>
          <w:b/>
          <w:sz w:val="24"/>
          <w:highlight w:val="none"/>
        </w:rPr>
      </w:pPr>
    </w:p>
    <w:p w14:paraId="355B8225">
      <w:pPr>
        <w:snapToGrid w:val="0"/>
        <w:spacing w:before="50" w:after="50"/>
        <w:ind w:right="-828" w:rightChars="-389"/>
        <w:rPr>
          <w:rFonts w:ascii="宋体" w:hAnsi="宋体" w:cs="宋体"/>
          <w:b/>
          <w:sz w:val="24"/>
          <w:highlight w:val="none"/>
        </w:rPr>
      </w:pPr>
    </w:p>
    <w:p w14:paraId="7E53529D">
      <w:pPr>
        <w:pStyle w:val="31"/>
        <w:rPr>
          <w:rFonts w:ascii="宋体" w:hAnsi="宋体" w:cs="宋体"/>
          <w:b/>
          <w:sz w:val="24"/>
          <w:highlight w:val="none"/>
        </w:rPr>
      </w:pPr>
    </w:p>
    <w:p w14:paraId="3DF9604D">
      <w:pPr>
        <w:pStyle w:val="10"/>
        <w:rPr>
          <w:rFonts w:ascii="宋体" w:hAnsi="宋体" w:cs="宋体"/>
          <w:b/>
          <w:sz w:val="24"/>
          <w:highlight w:val="none"/>
        </w:rPr>
      </w:pPr>
    </w:p>
    <w:p w14:paraId="3D40F90D">
      <w:pPr>
        <w:pStyle w:val="11"/>
        <w:rPr>
          <w:rFonts w:ascii="宋体" w:hAnsi="宋体" w:cs="宋体"/>
          <w:b/>
          <w:sz w:val="24"/>
          <w:highlight w:val="none"/>
        </w:rPr>
      </w:pPr>
    </w:p>
    <w:p w14:paraId="0F6E5884">
      <w:pPr>
        <w:pStyle w:val="12"/>
        <w:rPr>
          <w:rFonts w:ascii="宋体" w:hAnsi="宋体" w:cs="宋体"/>
          <w:b/>
          <w:sz w:val="24"/>
          <w:highlight w:val="none"/>
        </w:rPr>
      </w:pPr>
    </w:p>
    <w:p w14:paraId="59969DCE">
      <w:pPr>
        <w:rPr>
          <w:highlight w:val="none"/>
        </w:rPr>
      </w:pPr>
    </w:p>
    <w:p w14:paraId="52E4A66F">
      <w:pPr>
        <w:snapToGrid w:val="0"/>
        <w:spacing w:before="50" w:after="50"/>
        <w:ind w:right="-828" w:rightChars="-389"/>
        <w:rPr>
          <w:rFonts w:ascii="宋体" w:hAnsi="宋体" w:cs="宋体"/>
          <w:b/>
          <w:sz w:val="24"/>
          <w:highlight w:val="none"/>
        </w:rPr>
      </w:pPr>
    </w:p>
    <w:p w14:paraId="4B1AE6B8">
      <w:pPr>
        <w:snapToGrid w:val="0"/>
        <w:spacing w:before="50" w:after="50"/>
        <w:ind w:right="-828" w:rightChars="-389"/>
        <w:rPr>
          <w:rFonts w:ascii="宋体" w:hAnsi="宋体" w:cs="宋体"/>
          <w:b/>
          <w:sz w:val="24"/>
          <w:highlight w:val="none"/>
        </w:rPr>
      </w:pPr>
    </w:p>
    <w:p w14:paraId="6CCFE8B9">
      <w:pPr>
        <w:snapToGrid w:val="0"/>
        <w:spacing w:before="50" w:after="50"/>
        <w:ind w:right="-828" w:rightChars="-389"/>
        <w:rPr>
          <w:rFonts w:ascii="宋体" w:hAnsi="宋体" w:cs="宋体"/>
          <w:b/>
          <w:sz w:val="24"/>
          <w:highlight w:val="none"/>
        </w:rPr>
      </w:pPr>
      <w:r>
        <w:rPr>
          <w:rFonts w:hint="eastAsia" w:ascii="宋体" w:hAnsi="宋体" w:cs="宋体"/>
          <w:b/>
          <w:sz w:val="24"/>
          <w:highlight w:val="none"/>
        </w:rPr>
        <w:t>质疑函范本</w:t>
      </w:r>
    </w:p>
    <w:p w14:paraId="1582527A">
      <w:pPr>
        <w:jc w:val="center"/>
        <w:rPr>
          <w:rFonts w:ascii="宋体" w:hAnsi="宋体" w:cs="宋体"/>
          <w:b/>
          <w:bCs/>
          <w:sz w:val="44"/>
          <w:szCs w:val="44"/>
          <w:highlight w:val="none"/>
        </w:rPr>
      </w:pPr>
      <w:r>
        <w:rPr>
          <w:rFonts w:hint="eastAsia" w:ascii="宋体" w:hAnsi="宋体" w:cs="宋体"/>
          <w:b/>
          <w:bCs/>
          <w:sz w:val="44"/>
          <w:szCs w:val="44"/>
          <w:highlight w:val="none"/>
        </w:rPr>
        <w:t>质疑函范本</w:t>
      </w:r>
    </w:p>
    <w:p w14:paraId="56201F8F">
      <w:pPr>
        <w:adjustRightInd w:val="0"/>
        <w:snapToGrid w:val="0"/>
        <w:spacing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5C49EDD4">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6E36CE78">
      <w:pPr>
        <w:adjustRightInd w:val="0"/>
        <w:snapToGrid w:val="0"/>
        <w:spacing w:line="360" w:lineRule="auto"/>
        <w:rPr>
          <w:rFonts w:ascii="宋体" w:hAnsi="宋体" w:cs="宋体"/>
          <w:sz w:val="24"/>
          <w:highlight w:val="none"/>
        </w:rPr>
      </w:pPr>
      <w:r>
        <w:rPr>
          <w:rFonts w:hint="eastAsia" w:ascii="宋体" w:hAnsi="宋体" w:cs="宋体"/>
          <w:sz w:val="24"/>
          <w:highlight w:val="none"/>
        </w:rPr>
        <w:t>地址：邮编：</w:t>
      </w:r>
    </w:p>
    <w:p w14:paraId="56EB201E">
      <w:pPr>
        <w:adjustRightInd w:val="0"/>
        <w:snapToGrid w:val="0"/>
        <w:spacing w:line="360" w:lineRule="auto"/>
        <w:rPr>
          <w:rFonts w:ascii="宋体" w:hAnsi="宋体" w:cs="宋体"/>
          <w:sz w:val="24"/>
          <w:highlight w:val="none"/>
        </w:rPr>
      </w:pPr>
      <w:r>
        <w:rPr>
          <w:rFonts w:hint="eastAsia" w:ascii="宋体" w:hAnsi="宋体" w:cs="宋体"/>
          <w:sz w:val="24"/>
          <w:highlight w:val="none"/>
        </w:rPr>
        <w:t>联系人：联系电话：</w:t>
      </w:r>
    </w:p>
    <w:p w14:paraId="59957163">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5DA2F720">
      <w:pPr>
        <w:adjustRightInd w:val="0"/>
        <w:snapToGrid w:val="0"/>
        <w:spacing w:line="360" w:lineRule="auto"/>
        <w:rPr>
          <w:rFonts w:ascii="宋体" w:hAnsi="宋体" w:cs="宋体"/>
          <w:sz w:val="24"/>
          <w:highlight w:val="none"/>
        </w:rPr>
      </w:pPr>
      <w:r>
        <w:rPr>
          <w:rFonts w:hint="eastAsia" w:ascii="宋体" w:hAnsi="宋体" w:cs="宋体"/>
          <w:sz w:val="24"/>
          <w:highlight w:val="none"/>
        </w:rPr>
        <w:t>联系电话：</w:t>
      </w:r>
    </w:p>
    <w:p w14:paraId="68E5ECF9">
      <w:pPr>
        <w:adjustRightInd w:val="0"/>
        <w:snapToGrid w:val="0"/>
        <w:spacing w:line="360" w:lineRule="auto"/>
        <w:rPr>
          <w:rFonts w:ascii="宋体" w:hAnsi="宋体" w:cs="宋体"/>
          <w:sz w:val="24"/>
          <w:highlight w:val="none"/>
        </w:rPr>
      </w:pPr>
      <w:r>
        <w:rPr>
          <w:rFonts w:hint="eastAsia" w:ascii="宋体" w:hAnsi="宋体" w:cs="宋体"/>
          <w:sz w:val="24"/>
          <w:highlight w:val="none"/>
        </w:rPr>
        <w:t>地址： 邮编：</w:t>
      </w:r>
    </w:p>
    <w:p w14:paraId="4772C214">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19B13078">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5275DA6A">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14:paraId="7551EF09">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4554638B">
      <w:pPr>
        <w:adjustRightInd w:val="0"/>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48E8633F">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62E4CAD1">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087D0007">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516C68C9">
      <w:pPr>
        <w:adjustRightInd w:val="0"/>
        <w:snapToGrid w:val="0"/>
        <w:spacing w:line="360" w:lineRule="auto"/>
        <w:rPr>
          <w:rFonts w:ascii="宋体" w:hAnsi="宋体" w:cs="宋体"/>
          <w:sz w:val="24"/>
          <w:highlight w:val="none"/>
        </w:rPr>
      </w:pPr>
    </w:p>
    <w:p w14:paraId="4AA2F92E">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6EEE7837">
      <w:pPr>
        <w:adjustRightInd w:val="0"/>
        <w:snapToGrid w:val="0"/>
        <w:spacing w:line="360" w:lineRule="auto"/>
        <w:rPr>
          <w:rFonts w:ascii="宋体" w:hAnsi="宋体" w:cs="宋体"/>
          <w:sz w:val="24"/>
          <w:highlight w:val="none"/>
          <w:u w:val="dotted"/>
        </w:rPr>
      </w:pPr>
    </w:p>
    <w:p w14:paraId="4E3D28B7">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6D863166">
      <w:pPr>
        <w:adjustRightInd w:val="0"/>
        <w:snapToGrid w:val="0"/>
        <w:spacing w:line="360" w:lineRule="auto"/>
        <w:rPr>
          <w:rFonts w:ascii="宋体" w:hAnsi="宋体" w:cs="宋体"/>
          <w:sz w:val="24"/>
          <w:highlight w:val="none"/>
        </w:rPr>
      </w:pPr>
      <w:r>
        <w:rPr>
          <w:rFonts w:hint="eastAsia" w:ascii="宋体" w:hAnsi="宋体" w:cs="宋体"/>
          <w:sz w:val="24"/>
          <w:highlight w:val="none"/>
        </w:rPr>
        <w:t>……</w:t>
      </w:r>
    </w:p>
    <w:p w14:paraId="35D5BD32">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47A27A1">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4E2CE5CF">
      <w:pPr>
        <w:rPr>
          <w:rFonts w:ascii="宋体" w:hAnsi="宋体" w:cs="宋体"/>
          <w:sz w:val="24"/>
          <w:highlight w:val="none"/>
        </w:rPr>
      </w:pPr>
      <w:r>
        <w:rPr>
          <w:rFonts w:hint="eastAsia" w:ascii="宋体" w:hAnsi="宋体" w:cs="宋体"/>
          <w:sz w:val="24"/>
          <w:highlight w:val="none"/>
        </w:rPr>
        <w:t xml:space="preserve">签字(签章)：                   公章：                      </w:t>
      </w:r>
    </w:p>
    <w:p w14:paraId="1D9F5989">
      <w:pPr>
        <w:rPr>
          <w:rFonts w:ascii="宋体" w:hAnsi="宋体" w:cs="宋体"/>
          <w:sz w:val="24"/>
          <w:highlight w:val="none"/>
        </w:rPr>
      </w:pPr>
      <w:r>
        <w:rPr>
          <w:rFonts w:hint="eastAsia" w:ascii="宋体" w:hAnsi="宋体" w:cs="宋体"/>
          <w:sz w:val="24"/>
          <w:highlight w:val="none"/>
        </w:rPr>
        <w:t xml:space="preserve">日期：    </w:t>
      </w:r>
    </w:p>
    <w:p w14:paraId="6FAC7756">
      <w:pPr>
        <w:rPr>
          <w:rFonts w:ascii="宋体" w:hAnsi="宋体" w:cs="宋体"/>
          <w:b/>
          <w:sz w:val="24"/>
          <w:highlight w:val="none"/>
        </w:rPr>
      </w:pPr>
      <w:r>
        <w:rPr>
          <w:rFonts w:hint="eastAsia" w:ascii="宋体" w:hAnsi="宋体" w:cs="宋体"/>
          <w:b/>
          <w:sz w:val="24"/>
          <w:highlight w:val="none"/>
        </w:rPr>
        <w:t>质疑函制作说明：</w:t>
      </w:r>
    </w:p>
    <w:p w14:paraId="10EBC399">
      <w:pPr>
        <w:widowControl/>
        <w:ind w:firstLine="486"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956C7E7">
      <w:pPr>
        <w:widowControl/>
        <w:ind w:firstLine="486"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760229B">
      <w:pPr>
        <w:widowControl/>
        <w:ind w:firstLine="486"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F71E66C">
      <w:pPr>
        <w:widowControl/>
        <w:ind w:firstLine="486"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27E7E06">
      <w:pPr>
        <w:widowControl/>
        <w:ind w:firstLine="486"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0298620F">
      <w:pPr>
        <w:widowControl/>
        <w:ind w:firstLine="486" w:firstLineChars="200"/>
        <w:jc w:val="left"/>
        <w:rPr>
          <w:rFonts w:ascii="宋体" w:hAnsi="宋体" w:cs="宋体"/>
          <w:sz w:val="32"/>
          <w:szCs w:val="32"/>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48796986">
      <w:pPr>
        <w:widowControl/>
        <w:ind w:firstLine="606" w:firstLineChars="200"/>
        <w:jc w:val="left"/>
        <w:rPr>
          <w:rFonts w:ascii="宋体" w:hAnsi="宋体" w:cs="宋体"/>
          <w:sz w:val="30"/>
          <w:szCs w:val="30"/>
          <w:highlight w:val="none"/>
        </w:rPr>
      </w:pPr>
    </w:p>
    <w:p w14:paraId="18B6D0F7">
      <w:pPr>
        <w:pStyle w:val="23"/>
        <w:ind w:left="426" w:firstLine="426"/>
        <w:rPr>
          <w:rFonts w:ascii="宋体" w:hAnsi="宋体" w:cs="宋体"/>
          <w:highlight w:val="none"/>
        </w:rPr>
      </w:pPr>
    </w:p>
    <w:p w14:paraId="1C4B3F27">
      <w:pPr>
        <w:pStyle w:val="23"/>
        <w:ind w:left="426" w:firstLine="426"/>
        <w:rPr>
          <w:rFonts w:ascii="宋体" w:hAnsi="宋体" w:cs="宋体"/>
          <w:highlight w:val="none"/>
        </w:rPr>
      </w:pPr>
    </w:p>
    <w:p w14:paraId="60E23C31">
      <w:pPr>
        <w:pStyle w:val="23"/>
        <w:ind w:left="0" w:leftChars="0" w:firstLine="0" w:firstLineChars="0"/>
        <w:rPr>
          <w:rFonts w:ascii="宋体" w:hAnsi="宋体" w:cs="宋体"/>
          <w:highlight w:val="none"/>
        </w:rPr>
      </w:pPr>
    </w:p>
    <w:p w14:paraId="4C1F1B34">
      <w:pPr>
        <w:snapToGrid w:val="0"/>
        <w:spacing w:before="50" w:after="50"/>
        <w:ind w:right="-828" w:rightChars="-389"/>
        <w:rPr>
          <w:rFonts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投诉书范本</w:t>
      </w:r>
    </w:p>
    <w:p w14:paraId="076169C7">
      <w:pPr>
        <w:jc w:val="center"/>
        <w:rPr>
          <w:rFonts w:ascii="宋体" w:hAnsi="宋体" w:cs="宋体"/>
          <w:b/>
          <w:sz w:val="44"/>
          <w:szCs w:val="44"/>
          <w:highlight w:val="none"/>
        </w:rPr>
      </w:pPr>
      <w:r>
        <w:rPr>
          <w:rFonts w:hint="eastAsia" w:ascii="宋体" w:hAnsi="宋体" w:cs="宋体"/>
          <w:b/>
          <w:sz w:val="44"/>
          <w:szCs w:val="44"/>
          <w:highlight w:val="none"/>
        </w:rPr>
        <w:t>投诉书范本</w:t>
      </w:r>
    </w:p>
    <w:p w14:paraId="2209AD19">
      <w:pPr>
        <w:rPr>
          <w:rFonts w:ascii="宋体" w:hAnsi="宋体" w:cs="宋体"/>
          <w:sz w:val="24"/>
          <w:highlight w:val="none"/>
        </w:rPr>
      </w:pPr>
      <w:r>
        <w:rPr>
          <w:rFonts w:hint="eastAsia" w:ascii="宋体" w:hAnsi="宋体" w:cs="宋体"/>
          <w:sz w:val="24"/>
          <w:highlight w:val="none"/>
        </w:rPr>
        <w:t>一、投诉相关主体基本情况</w:t>
      </w:r>
    </w:p>
    <w:p w14:paraId="5FD752F8">
      <w:pPr>
        <w:rPr>
          <w:rFonts w:ascii="宋体" w:hAnsi="宋体" w:cs="宋体"/>
          <w:sz w:val="24"/>
          <w:highlight w:val="none"/>
          <w:u w:val="dotted"/>
        </w:rPr>
      </w:pPr>
      <w:r>
        <w:rPr>
          <w:rFonts w:hint="eastAsia" w:ascii="宋体" w:hAnsi="宋体" w:cs="宋体"/>
          <w:sz w:val="24"/>
          <w:highlight w:val="none"/>
        </w:rPr>
        <w:t>投诉人：</w:t>
      </w:r>
    </w:p>
    <w:p w14:paraId="10BF7A5B">
      <w:pPr>
        <w:rPr>
          <w:rFonts w:ascii="宋体" w:hAnsi="宋体" w:cs="宋体"/>
          <w:sz w:val="24"/>
          <w:highlight w:val="none"/>
          <w:u w:val="single"/>
        </w:rPr>
      </w:pPr>
      <w:r>
        <w:rPr>
          <w:rFonts w:hint="eastAsia" w:ascii="宋体" w:hAnsi="宋体" w:cs="宋体"/>
          <w:sz w:val="24"/>
          <w:highlight w:val="none"/>
        </w:rPr>
        <w:t>地     址：邮编：</w:t>
      </w:r>
    </w:p>
    <w:p w14:paraId="478EDEBB">
      <w:pPr>
        <w:tabs>
          <w:tab w:val="left" w:pos="6510"/>
        </w:tabs>
        <w:jc w:val="left"/>
        <w:rPr>
          <w:rFonts w:ascii="宋体" w:hAnsi="宋体" w:cs="宋体"/>
          <w:sz w:val="24"/>
          <w:highlight w:val="none"/>
        </w:rPr>
      </w:pPr>
      <w:r>
        <w:rPr>
          <w:rFonts w:hint="eastAsia" w:ascii="宋体" w:hAnsi="宋体" w:cs="宋体"/>
          <w:sz w:val="24"/>
          <w:highlight w:val="none"/>
        </w:rPr>
        <w:t>法定代表人/主要负责人：</w:t>
      </w:r>
    </w:p>
    <w:p w14:paraId="5738C1B8">
      <w:pPr>
        <w:tabs>
          <w:tab w:val="left" w:pos="6510"/>
        </w:tabs>
        <w:rPr>
          <w:rFonts w:ascii="宋体" w:hAnsi="宋体" w:cs="宋体"/>
          <w:sz w:val="24"/>
          <w:highlight w:val="none"/>
          <w:u w:val="dotted"/>
        </w:rPr>
      </w:pPr>
      <w:r>
        <w:rPr>
          <w:rFonts w:hint="eastAsia" w:ascii="宋体" w:hAnsi="宋体" w:cs="宋体"/>
          <w:sz w:val="24"/>
          <w:highlight w:val="none"/>
        </w:rPr>
        <w:t>联系电话：</w:t>
      </w:r>
    </w:p>
    <w:p w14:paraId="2444E822">
      <w:pPr>
        <w:rPr>
          <w:rFonts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 xml:space="preserve">：                  </w:t>
      </w:r>
    </w:p>
    <w:p w14:paraId="3D141BFD">
      <w:pPr>
        <w:rPr>
          <w:rFonts w:ascii="宋体" w:hAnsi="宋体" w:cs="宋体"/>
          <w:sz w:val="24"/>
          <w:highlight w:val="none"/>
          <w:u w:val="dotted"/>
        </w:rPr>
      </w:pPr>
      <w:r>
        <w:rPr>
          <w:rFonts w:hint="eastAsia" w:ascii="宋体" w:hAnsi="宋体" w:cs="宋体"/>
          <w:sz w:val="24"/>
          <w:highlight w:val="none"/>
        </w:rPr>
        <w:t>地     址：邮编：</w:t>
      </w:r>
    </w:p>
    <w:p w14:paraId="12CB6E15">
      <w:pPr>
        <w:rPr>
          <w:rFonts w:ascii="宋体" w:hAnsi="宋体" w:cs="宋体"/>
          <w:sz w:val="24"/>
          <w:highlight w:val="none"/>
          <w:u w:val="single"/>
        </w:rPr>
      </w:pPr>
      <w:r>
        <w:rPr>
          <w:rFonts w:hint="eastAsia" w:ascii="宋体" w:hAnsi="宋体" w:cs="宋体"/>
          <w:sz w:val="24"/>
          <w:highlight w:val="none"/>
        </w:rPr>
        <w:t>被投诉人1：</w:t>
      </w:r>
    </w:p>
    <w:p w14:paraId="3E701D8F">
      <w:pPr>
        <w:rPr>
          <w:rFonts w:ascii="宋体" w:hAnsi="宋体" w:cs="宋体"/>
          <w:sz w:val="24"/>
          <w:highlight w:val="none"/>
          <w:u w:val="single"/>
        </w:rPr>
      </w:pPr>
      <w:r>
        <w:rPr>
          <w:rFonts w:hint="eastAsia" w:ascii="宋体" w:hAnsi="宋体" w:cs="宋体"/>
          <w:sz w:val="24"/>
          <w:highlight w:val="none"/>
        </w:rPr>
        <w:t>地     址：邮编：</w:t>
      </w:r>
    </w:p>
    <w:p w14:paraId="6AD0AF1A">
      <w:pPr>
        <w:rPr>
          <w:rFonts w:ascii="宋体" w:hAnsi="宋体" w:cs="宋体"/>
          <w:sz w:val="24"/>
          <w:highlight w:val="none"/>
          <w:u w:val="single"/>
        </w:rPr>
      </w:pPr>
      <w:r>
        <w:rPr>
          <w:rFonts w:hint="eastAsia" w:ascii="宋体" w:hAnsi="宋体" w:cs="宋体"/>
          <w:sz w:val="24"/>
          <w:highlight w:val="none"/>
        </w:rPr>
        <w:t>联系人：联系电话：</w:t>
      </w:r>
    </w:p>
    <w:p w14:paraId="36DFABBF">
      <w:pPr>
        <w:rPr>
          <w:rFonts w:ascii="宋体" w:hAnsi="宋体" w:cs="宋体"/>
          <w:sz w:val="24"/>
          <w:highlight w:val="none"/>
        </w:rPr>
      </w:pPr>
      <w:r>
        <w:rPr>
          <w:rFonts w:hint="eastAsia" w:ascii="宋体" w:hAnsi="宋体" w:cs="宋体"/>
          <w:sz w:val="24"/>
          <w:highlight w:val="none"/>
        </w:rPr>
        <w:t>被投诉人2</w:t>
      </w:r>
    </w:p>
    <w:p w14:paraId="357B991B">
      <w:pPr>
        <w:rPr>
          <w:rFonts w:ascii="宋体" w:hAnsi="宋体" w:cs="宋体"/>
          <w:sz w:val="24"/>
          <w:highlight w:val="none"/>
          <w:u w:val="dotted"/>
        </w:rPr>
      </w:pPr>
      <w:r>
        <w:rPr>
          <w:rFonts w:hint="eastAsia" w:ascii="宋体" w:hAnsi="宋体" w:cs="宋体"/>
          <w:sz w:val="24"/>
          <w:highlight w:val="none"/>
        </w:rPr>
        <w:t>……</w:t>
      </w:r>
    </w:p>
    <w:p w14:paraId="3AD7978C">
      <w:pPr>
        <w:rPr>
          <w:rFonts w:ascii="宋体" w:hAnsi="宋体" w:cs="宋体"/>
          <w:sz w:val="24"/>
          <w:highlight w:val="none"/>
          <w:u w:val="single"/>
        </w:rPr>
      </w:pPr>
      <w:r>
        <w:rPr>
          <w:rFonts w:hint="eastAsia" w:ascii="宋体" w:hAnsi="宋体" w:cs="宋体"/>
          <w:sz w:val="24"/>
          <w:highlight w:val="none"/>
        </w:rPr>
        <w:t>相关供应商：</w:t>
      </w:r>
    </w:p>
    <w:p w14:paraId="09F81E51">
      <w:pPr>
        <w:rPr>
          <w:rFonts w:ascii="宋体" w:hAnsi="宋体" w:cs="宋体"/>
          <w:sz w:val="24"/>
          <w:highlight w:val="none"/>
          <w:u w:val="single"/>
        </w:rPr>
      </w:pPr>
      <w:r>
        <w:rPr>
          <w:rFonts w:hint="eastAsia" w:ascii="宋体" w:hAnsi="宋体" w:cs="宋体"/>
          <w:sz w:val="24"/>
          <w:highlight w:val="none"/>
        </w:rPr>
        <w:t>地     址：邮编：</w:t>
      </w:r>
    </w:p>
    <w:p w14:paraId="1E078A37">
      <w:pPr>
        <w:rPr>
          <w:rFonts w:ascii="宋体" w:hAnsi="宋体" w:cs="宋体"/>
          <w:sz w:val="24"/>
          <w:highlight w:val="none"/>
          <w:u w:val="single"/>
        </w:rPr>
      </w:pPr>
      <w:r>
        <w:rPr>
          <w:rFonts w:hint="eastAsia" w:ascii="宋体" w:hAnsi="宋体" w:cs="宋体"/>
          <w:sz w:val="24"/>
          <w:highlight w:val="none"/>
        </w:rPr>
        <w:t>联系人：联系电话：</w:t>
      </w:r>
    </w:p>
    <w:p w14:paraId="55A0DCC4">
      <w:pPr>
        <w:rPr>
          <w:rFonts w:ascii="宋体" w:hAnsi="宋体" w:cs="宋体"/>
          <w:sz w:val="24"/>
          <w:highlight w:val="none"/>
        </w:rPr>
      </w:pPr>
      <w:r>
        <w:rPr>
          <w:rFonts w:hint="eastAsia" w:ascii="宋体" w:hAnsi="宋体" w:cs="宋体"/>
          <w:sz w:val="24"/>
          <w:highlight w:val="none"/>
        </w:rPr>
        <w:t>二、投诉项目基本情况</w:t>
      </w:r>
    </w:p>
    <w:p w14:paraId="47ACF319">
      <w:pPr>
        <w:rPr>
          <w:rFonts w:ascii="宋体" w:hAnsi="宋体" w:cs="宋体"/>
          <w:sz w:val="24"/>
          <w:highlight w:val="none"/>
          <w:u w:val="dotted"/>
        </w:rPr>
      </w:pPr>
      <w:r>
        <w:rPr>
          <w:rFonts w:hint="eastAsia" w:ascii="宋体" w:hAnsi="宋体" w:cs="宋体"/>
          <w:sz w:val="24"/>
          <w:highlight w:val="none"/>
        </w:rPr>
        <w:t>采购项目名称：</w:t>
      </w:r>
    </w:p>
    <w:p w14:paraId="2826FBB5">
      <w:pPr>
        <w:rPr>
          <w:rFonts w:ascii="宋体" w:hAnsi="宋体" w:cs="宋体"/>
          <w:sz w:val="24"/>
          <w:highlight w:val="none"/>
          <w:u w:val="single"/>
        </w:rPr>
      </w:pPr>
      <w:r>
        <w:rPr>
          <w:rFonts w:hint="eastAsia" w:ascii="宋体" w:hAnsi="宋体" w:cs="宋体"/>
          <w:sz w:val="24"/>
          <w:highlight w:val="none"/>
        </w:rPr>
        <w:t>采购项目编号：包号：</w:t>
      </w:r>
    </w:p>
    <w:p w14:paraId="17A0EF04">
      <w:pPr>
        <w:rPr>
          <w:rFonts w:ascii="宋体" w:hAnsi="宋体" w:cs="宋体"/>
          <w:sz w:val="24"/>
          <w:highlight w:val="none"/>
        </w:rPr>
      </w:pPr>
      <w:r>
        <w:rPr>
          <w:rFonts w:hint="eastAsia" w:ascii="宋体" w:hAnsi="宋体" w:cs="宋体"/>
          <w:sz w:val="24"/>
          <w:highlight w:val="none"/>
        </w:rPr>
        <w:t>采购人名称：</w:t>
      </w:r>
    </w:p>
    <w:p w14:paraId="78406EC9">
      <w:pPr>
        <w:rPr>
          <w:rFonts w:ascii="宋体" w:hAnsi="宋体" w:cs="宋体"/>
          <w:sz w:val="24"/>
          <w:highlight w:val="none"/>
          <w:u w:val="single"/>
        </w:rPr>
      </w:pPr>
      <w:r>
        <w:rPr>
          <w:rFonts w:hint="eastAsia" w:ascii="宋体" w:hAnsi="宋体" w:cs="宋体"/>
          <w:sz w:val="24"/>
          <w:highlight w:val="none"/>
        </w:rPr>
        <w:t>代理机构名称：</w:t>
      </w:r>
    </w:p>
    <w:p w14:paraId="3F5AD42A">
      <w:pPr>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6C177504">
      <w:pPr>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0ECDB2C1">
      <w:pPr>
        <w:rPr>
          <w:rFonts w:ascii="宋体" w:hAnsi="宋体" w:cs="宋体"/>
          <w:sz w:val="24"/>
          <w:highlight w:val="none"/>
        </w:rPr>
      </w:pPr>
      <w:r>
        <w:rPr>
          <w:rFonts w:hint="eastAsia" w:ascii="宋体" w:hAnsi="宋体" w:cs="宋体"/>
          <w:sz w:val="24"/>
          <w:highlight w:val="none"/>
        </w:rPr>
        <w:t>三、质疑基本情况</w:t>
      </w:r>
    </w:p>
    <w:p w14:paraId="0AE676AF">
      <w:pPr>
        <w:ind w:firstLine="486" w:firstLineChars="200"/>
        <w:rPr>
          <w:rFonts w:ascii="宋体" w:hAnsi="宋体" w:cs="宋体"/>
          <w:sz w:val="24"/>
          <w:highlight w:val="none"/>
          <w:u w:val="dotted"/>
        </w:rPr>
      </w:pPr>
      <w:r>
        <w:rPr>
          <w:rFonts w:hint="eastAsia" w:ascii="宋体" w:hAnsi="宋体" w:cs="宋体"/>
          <w:sz w:val="24"/>
          <w:highlight w:val="none"/>
        </w:rPr>
        <w:t>投诉人于年月日,向提出质疑，质疑事项为：</w:t>
      </w:r>
    </w:p>
    <w:p w14:paraId="7072A09A">
      <w:pPr>
        <w:rPr>
          <w:rFonts w:ascii="宋体" w:hAnsi="宋体" w:cs="宋体"/>
          <w:sz w:val="24"/>
          <w:highlight w:val="none"/>
          <w:u w:val="dotted"/>
        </w:rPr>
      </w:pPr>
    </w:p>
    <w:p w14:paraId="7F3B77BB">
      <w:pPr>
        <w:ind w:firstLine="364"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14:paraId="1221AF7B">
      <w:pPr>
        <w:rPr>
          <w:rFonts w:ascii="宋体" w:hAnsi="宋体" w:cs="宋体"/>
          <w:sz w:val="24"/>
          <w:highlight w:val="none"/>
        </w:rPr>
      </w:pPr>
      <w:r>
        <w:rPr>
          <w:rFonts w:hint="eastAsia" w:ascii="宋体" w:hAnsi="宋体" w:cs="宋体"/>
          <w:sz w:val="24"/>
          <w:highlight w:val="none"/>
        </w:rPr>
        <w:t>四、投诉事项具体内容</w:t>
      </w:r>
    </w:p>
    <w:p w14:paraId="00367698">
      <w:pPr>
        <w:rPr>
          <w:rFonts w:ascii="宋体" w:hAnsi="宋体" w:cs="宋体"/>
          <w:sz w:val="24"/>
          <w:highlight w:val="none"/>
          <w:u w:val="single"/>
        </w:rPr>
      </w:pPr>
      <w:r>
        <w:rPr>
          <w:rFonts w:hint="eastAsia" w:ascii="宋体" w:hAnsi="宋体" w:cs="宋体"/>
          <w:sz w:val="24"/>
          <w:highlight w:val="none"/>
        </w:rPr>
        <w:t>投诉事项 1：</w:t>
      </w:r>
    </w:p>
    <w:p w14:paraId="1CA4D966">
      <w:pPr>
        <w:rPr>
          <w:rFonts w:ascii="宋体" w:hAnsi="宋体" w:cs="宋体"/>
          <w:sz w:val="24"/>
          <w:highlight w:val="none"/>
        </w:rPr>
      </w:pPr>
      <w:r>
        <w:rPr>
          <w:rFonts w:hint="eastAsia" w:ascii="宋体" w:hAnsi="宋体" w:cs="宋体"/>
          <w:sz w:val="24"/>
          <w:highlight w:val="none"/>
        </w:rPr>
        <w:t>事实依据：</w:t>
      </w:r>
    </w:p>
    <w:p w14:paraId="3FC35891">
      <w:pPr>
        <w:rPr>
          <w:rFonts w:ascii="宋体" w:hAnsi="宋体" w:cs="宋体"/>
          <w:sz w:val="24"/>
          <w:highlight w:val="none"/>
          <w:u w:val="dotted"/>
        </w:rPr>
      </w:pPr>
    </w:p>
    <w:p w14:paraId="59820ADD">
      <w:pPr>
        <w:rPr>
          <w:rFonts w:ascii="宋体" w:hAnsi="宋体" w:cs="宋体"/>
          <w:sz w:val="24"/>
          <w:highlight w:val="none"/>
          <w:u w:val="single"/>
        </w:rPr>
      </w:pPr>
      <w:r>
        <w:rPr>
          <w:rFonts w:hint="eastAsia" w:ascii="宋体" w:hAnsi="宋体" w:cs="宋体"/>
          <w:sz w:val="24"/>
          <w:highlight w:val="none"/>
        </w:rPr>
        <w:t>法律依据：</w:t>
      </w:r>
    </w:p>
    <w:p w14:paraId="416E23D0">
      <w:pPr>
        <w:rPr>
          <w:rFonts w:ascii="宋体" w:hAnsi="宋体" w:cs="宋体"/>
          <w:sz w:val="24"/>
          <w:highlight w:val="none"/>
          <w:u w:val="dotted"/>
        </w:rPr>
      </w:pPr>
    </w:p>
    <w:p w14:paraId="09EDA61C">
      <w:pPr>
        <w:rPr>
          <w:rFonts w:ascii="宋体" w:hAnsi="宋体" w:cs="宋体"/>
          <w:sz w:val="24"/>
          <w:highlight w:val="none"/>
        </w:rPr>
      </w:pPr>
      <w:r>
        <w:rPr>
          <w:rFonts w:hint="eastAsia" w:ascii="宋体" w:hAnsi="宋体" w:cs="宋体"/>
          <w:sz w:val="24"/>
          <w:highlight w:val="none"/>
        </w:rPr>
        <w:t>投诉事项2</w:t>
      </w:r>
    </w:p>
    <w:p w14:paraId="5BA898B6">
      <w:pPr>
        <w:rPr>
          <w:rFonts w:ascii="宋体" w:hAnsi="宋体" w:cs="宋体"/>
          <w:sz w:val="24"/>
          <w:highlight w:val="none"/>
          <w:u w:val="dotted"/>
        </w:rPr>
      </w:pPr>
      <w:r>
        <w:rPr>
          <w:rFonts w:hint="eastAsia" w:ascii="宋体" w:hAnsi="宋体" w:cs="宋体"/>
          <w:sz w:val="24"/>
          <w:highlight w:val="none"/>
        </w:rPr>
        <w:t>……</w:t>
      </w:r>
    </w:p>
    <w:p w14:paraId="453BC781">
      <w:pPr>
        <w:rPr>
          <w:rFonts w:ascii="宋体" w:hAnsi="宋体" w:cs="宋体"/>
          <w:sz w:val="24"/>
          <w:highlight w:val="none"/>
        </w:rPr>
      </w:pPr>
      <w:r>
        <w:rPr>
          <w:rFonts w:hint="eastAsia" w:ascii="宋体" w:hAnsi="宋体" w:cs="宋体"/>
          <w:sz w:val="24"/>
          <w:highlight w:val="none"/>
        </w:rPr>
        <w:t>五、与投诉事项相关的投诉请求</w:t>
      </w:r>
    </w:p>
    <w:p w14:paraId="3679CE07">
      <w:pPr>
        <w:rPr>
          <w:rFonts w:ascii="宋体" w:hAnsi="宋体" w:cs="宋体"/>
          <w:sz w:val="24"/>
          <w:highlight w:val="none"/>
        </w:rPr>
      </w:pPr>
      <w:r>
        <w:rPr>
          <w:rFonts w:hint="eastAsia" w:ascii="宋体" w:hAnsi="宋体" w:cs="宋体"/>
          <w:sz w:val="24"/>
          <w:highlight w:val="none"/>
        </w:rPr>
        <w:t>请求：</w:t>
      </w:r>
    </w:p>
    <w:p w14:paraId="263FA870">
      <w:pPr>
        <w:rPr>
          <w:rFonts w:ascii="宋体" w:hAnsi="宋体" w:cs="宋体"/>
          <w:sz w:val="24"/>
          <w:highlight w:val="none"/>
          <w:u w:val="single"/>
        </w:rPr>
      </w:pPr>
    </w:p>
    <w:p w14:paraId="771C009D">
      <w:pPr>
        <w:rPr>
          <w:rFonts w:ascii="宋体" w:hAnsi="宋体" w:cs="宋体"/>
          <w:sz w:val="24"/>
          <w:highlight w:val="none"/>
        </w:rPr>
      </w:pPr>
      <w:r>
        <w:rPr>
          <w:rFonts w:hint="eastAsia" w:ascii="宋体" w:hAnsi="宋体" w:cs="宋体"/>
          <w:sz w:val="24"/>
          <w:highlight w:val="none"/>
        </w:rPr>
        <w:t xml:space="preserve">签字(签章)：                   公章：                      </w:t>
      </w:r>
    </w:p>
    <w:p w14:paraId="4A1990AE">
      <w:pPr>
        <w:rPr>
          <w:rFonts w:ascii="宋体" w:hAnsi="宋体" w:cs="宋体"/>
          <w:sz w:val="24"/>
          <w:highlight w:val="none"/>
        </w:rPr>
      </w:pPr>
      <w:r>
        <w:rPr>
          <w:rFonts w:hint="eastAsia" w:ascii="宋体" w:hAnsi="宋体" w:cs="宋体"/>
          <w:sz w:val="24"/>
          <w:highlight w:val="none"/>
        </w:rPr>
        <w:t xml:space="preserve">日期：    </w:t>
      </w:r>
    </w:p>
    <w:p w14:paraId="2027CE32">
      <w:pPr>
        <w:rPr>
          <w:rFonts w:ascii="宋体" w:hAnsi="宋体" w:cs="宋体"/>
          <w:b/>
          <w:sz w:val="24"/>
          <w:highlight w:val="none"/>
        </w:rPr>
      </w:pPr>
    </w:p>
    <w:p w14:paraId="12C105C9">
      <w:pPr>
        <w:rPr>
          <w:rFonts w:ascii="宋体" w:hAnsi="宋体" w:cs="宋体"/>
          <w:b/>
          <w:sz w:val="24"/>
          <w:highlight w:val="none"/>
        </w:rPr>
      </w:pPr>
      <w:r>
        <w:rPr>
          <w:rFonts w:hint="eastAsia" w:ascii="宋体" w:hAnsi="宋体" w:cs="宋体"/>
          <w:b/>
          <w:sz w:val="24"/>
          <w:highlight w:val="none"/>
        </w:rPr>
        <w:t>投诉书制作说明：</w:t>
      </w:r>
    </w:p>
    <w:p w14:paraId="4C0E07EE">
      <w:pPr>
        <w:widowControl/>
        <w:ind w:firstLine="486"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35F4A988">
      <w:pPr>
        <w:widowControl/>
        <w:ind w:firstLine="486"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6DC4E99D">
      <w:pPr>
        <w:widowControl/>
        <w:ind w:firstLine="486"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2D7CD587">
      <w:pPr>
        <w:widowControl/>
        <w:ind w:firstLine="486"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23767493">
      <w:pPr>
        <w:widowControl/>
        <w:ind w:firstLine="486"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24C1909">
      <w:pPr>
        <w:widowControl/>
        <w:ind w:firstLine="486"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4878FF48">
      <w:pPr>
        <w:widowControl/>
        <w:ind w:firstLine="486" w:firstLineChars="200"/>
        <w:jc w:val="left"/>
        <w:rPr>
          <w:rFonts w:ascii="宋体" w:hAnsi="宋体" w:cs="宋体"/>
          <w:kern w:val="0"/>
          <w:sz w:val="32"/>
          <w:szCs w:val="32"/>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7BF010F2">
      <w:pPr>
        <w:jc w:val="left"/>
        <w:rPr>
          <w:rFonts w:ascii="宋体" w:hAnsi="宋体" w:cs="宋体"/>
          <w:b/>
          <w:sz w:val="30"/>
          <w:szCs w:val="30"/>
          <w:highlight w:val="none"/>
        </w:rPr>
      </w:pPr>
    </w:p>
    <w:p w14:paraId="61D521FA">
      <w:pPr>
        <w:jc w:val="left"/>
        <w:rPr>
          <w:rFonts w:ascii="宋体" w:hAnsi="宋体" w:cs="宋体"/>
          <w:b/>
          <w:sz w:val="30"/>
          <w:szCs w:val="30"/>
          <w:highlight w:val="none"/>
        </w:rPr>
      </w:pPr>
    </w:p>
    <w:p w14:paraId="193A4BAF">
      <w:pPr>
        <w:jc w:val="left"/>
        <w:rPr>
          <w:rFonts w:ascii="宋体" w:hAnsi="宋体" w:cs="宋体"/>
          <w:b/>
          <w:sz w:val="30"/>
          <w:szCs w:val="30"/>
          <w:highlight w:val="none"/>
        </w:rPr>
      </w:pPr>
    </w:p>
    <w:p w14:paraId="1A291FD5">
      <w:pPr>
        <w:jc w:val="left"/>
        <w:rPr>
          <w:rFonts w:ascii="宋体" w:hAnsi="宋体" w:cs="宋体"/>
          <w:b/>
          <w:sz w:val="30"/>
          <w:szCs w:val="30"/>
          <w:highlight w:val="none"/>
        </w:rPr>
      </w:pPr>
    </w:p>
    <w:p w14:paraId="40E71C2A">
      <w:pPr>
        <w:jc w:val="left"/>
        <w:rPr>
          <w:rFonts w:ascii="宋体" w:hAnsi="宋体" w:cs="宋体"/>
          <w:b/>
          <w:sz w:val="30"/>
          <w:szCs w:val="30"/>
          <w:highlight w:val="none"/>
        </w:rPr>
      </w:pPr>
    </w:p>
    <w:p w14:paraId="2D625DDA">
      <w:pPr>
        <w:jc w:val="left"/>
        <w:rPr>
          <w:rFonts w:ascii="宋体" w:hAnsi="宋体" w:cs="宋体"/>
          <w:b/>
          <w:sz w:val="30"/>
          <w:szCs w:val="30"/>
          <w:highlight w:val="none"/>
        </w:rPr>
      </w:pPr>
    </w:p>
    <w:p w14:paraId="0A05399C">
      <w:pPr>
        <w:jc w:val="left"/>
        <w:rPr>
          <w:rFonts w:ascii="宋体" w:hAnsi="宋体" w:cs="宋体"/>
          <w:b/>
          <w:sz w:val="30"/>
          <w:szCs w:val="30"/>
          <w:highlight w:val="none"/>
        </w:rPr>
      </w:pPr>
    </w:p>
    <w:p w14:paraId="59AC4264">
      <w:pPr>
        <w:jc w:val="left"/>
        <w:rPr>
          <w:rFonts w:ascii="宋体" w:hAnsi="宋体" w:cs="宋体"/>
          <w:b/>
          <w:sz w:val="30"/>
          <w:szCs w:val="30"/>
          <w:highlight w:val="none"/>
        </w:rPr>
      </w:pPr>
    </w:p>
    <w:p w14:paraId="2F352868">
      <w:pPr>
        <w:jc w:val="left"/>
        <w:rPr>
          <w:rFonts w:ascii="宋体" w:hAnsi="宋体" w:cs="宋体"/>
          <w:b/>
          <w:sz w:val="30"/>
          <w:szCs w:val="30"/>
          <w:highlight w:val="none"/>
        </w:rPr>
      </w:pPr>
    </w:p>
    <w:p w14:paraId="2C0E8AAC">
      <w:pPr>
        <w:jc w:val="left"/>
        <w:rPr>
          <w:rFonts w:ascii="宋体" w:hAnsi="宋体" w:cs="宋体"/>
          <w:b/>
          <w:sz w:val="30"/>
          <w:szCs w:val="30"/>
          <w:highlight w:val="none"/>
        </w:rPr>
      </w:pPr>
    </w:p>
    <w:p w14:paraId="7E35CAFB">
      <w:pPr>
        <w:jc w:val="left"/>
        <w:rPr>
          <w:rFonts w:ascii="宋体" w:hAnsi="宋体" w:cs="宋体"/>
          <w:b/>
          <w:sz w:val="30"/>
          <w:szCs w:val="30"/>
          <w:highlight w:val="none"/>
        </w:rPr>
      </w:pPr>
    </w:p>
    <w:p w14:paraId="4B6329A7">
      <w:pPr>
        <w:jc w:val="left"/>
        <w:rPr>
          <w:rFonts w:ascii="宋体" w:hAnsi="宋体" w:cs="宋体"/>
          <w:b/>
          <w:sz w:val="30"/>
          <w:szCs w:val="30"/>
          <w:highlight w:val="none"/>
        </w:rPr>
      </w:pPr>
    </w:p>
    <w:p w14:paraId="52535D12">
      <w:pPr>
        <w:jc w:val="left"/>
        <w:rPr>
          <w:rFonts w:ascii="宋体" w:hAnsi="宋体" w:cs="宋体"/>
          <w:b/>
          <w:sz w:val="30"/>
          <w:szCs w:val="30"/>
          <w:highlight w:val="none"/>
        </w:rPr>
      </w:pPr>
    </w:p>
    <w:p w14:paraId="1A5F4BC2">
      <w:pPr>
        <w:rPr>
          <w:highlight w:val="none"/>
        </w:rPr>
      </w:pPr>
    </w:p>
    <w:p w14:paraId="792B3636">
      <w:pPr>
        <w:rPr>
          <w:highlight w:val="none"/>
        </w:rPr>
      </w:pPr>
    </w:p>
    <w:p w14:paraId="089945C7">
      <w:pPr>
        <w:rPr>
          <w:highlight w:val="none"/>
        </w:rPr>
      </w:pPr>
    </w:p>
    <w:p w14:paraId="7E622049">
      <w:pPr>
        <w:pStyle w:val="20"/>
        <w:shd w:val="clear" w:color="auto" w:fill="FFFFFF"/>
        <w:spacing w:before="0" w:beforeAutospacing="0" w:after="225" w:afterAutospacing="0" w:line="360" w:lineRule="atLeast"/>
        <w:ind w:firstLine="420"/>
        <w:rPr>
          <w:highlight w:val="none"/>
        </w:rPr>
      </w:pPr>
      <w:r>
        <w:rPr>
          <w:rFonts w:hint="eastAsia"/>
          <w:highlight w:val="none"/>
        </w:rPr>
        <w:tab/>
      </w:r>
    </w:p>
    <w:p w14:paraId="4D6F16AA">
      <w:pPr>
        <w:tabs>
          <w:tab w:val="left" w:pos="2240"/>
        </w:tabs>
        <w:jc w:val="center"/>
        <w:rPr>
          <w:rFonts w:ascii="宋体" w:hAnsi="宋体" w:cs="宋体"/>
          <w:b/>
          <w:bCs/>
          <w:kern w:val="0"/>
          <w:sz w:val="36"/>
          <w:szCs w:val="36"/>
          <w:highlight w:val="none"/>
        </w:rPr>
      </w:pPr>
      <w:r>
        <w:rPr>
          <w:rFonts w:hint="eastAsia" w:ascii="宋体" w:hAnsi="宋体" w:cs="宋体"/>
          <w:b/>
          <w:bCs/>
          <w:kern w:val="0"/>
          <w:sz w:val="36"/>
          <w:szCs w:val="36"/>
          <w:highlight w:val="none"/>
        </w:rPr>
        <w:t>国家统计局关于印发《统计上大中小微型企业划分办法（2017）》的通知</w:t>
      </w:r>
    </w:p>
    <w:p w14:paraId="5D02019E">
      <w:pPr>
        <w:widowControl/>
        <w:shd w:val="clear" w:color="auto" w:fill="FFFFFF"/>
        <w:spacing w:before="150"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各省、自治区、直辖市统计局，新疆生产建设兵团统计局，国务院各有关部门，国家统计局各调查总队：</w:t>
      </w:r>
    </w:p>
    <w:p w14:paraId="35C58D64">
      <w:pPr>
        <w:widowControl/>
        <w:shd w:val="clear" w:color="auto" w:fill="FFFFFF"/>
        <w:spacing w:before="150" w:line="420" w:lineRule="atLeast"/>
        <w:ind w:firstLine="426" w:firstLineChars="200"/>
        <w:jc w:val="left"/>
        <w:textAlignment w:val="baseline"/>
        <w:rPr>
          <w:rFonts w:ascii="宋体" w:hAnsi="宋体" w:cs="宋体"/>
          <w:kern w:val="0"/>
          <w:szCs w:val="21"/>
          <w:highlight w:val="none"/>
        </w:rPr>
      </w:pPr>
      <w:r>
        <w:rPr>
          <w:rFonts w:hint="eastAsia" w:ascii="宋体" w:hAnsi="宋体" w:cs="宋体"/>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EC6B5EB">
      <w:pPr>
        <w:widowControl/>
        <w:jc w:val="left"/>
        <w:rPr>
          <w:rFonts w:ascii="宋体" w:hAnsi="宋体" w:cs="宋体"/>
          <w:kern w:val="0"/>
          <w:szCs w:val="21"/>
          <w:highlight w:val="none"/>
        </w:rPr>
      </w:pPr>
      <w:r>
        <w:rPr>
          <w:rFonts w:hint="eastAsia" w:ascii="宋体" w:hAnsi="宋体" w:cs="宋体"/>
          <w:kern w:val="0"/>
          <w:szCs w:val="21"/>
          <w:highlight w:val="none"/>
        </w:rPr>
        <w:t>附件：《统计上大中小微型企业划分办法（2017）》修订说明</w:t>
      </w:r>
    </w:p>
    <w:p w14:paraId="60B3A5CD">
      <w:pPr>
        <w:widowControl/>
        <w:shd w:val="clear" w:color="auto" w:fill="FFFFFF"/>
        <w:spacing w:before="150" w:line="420" w:lineRule="atLeast"/>
        <w:ind w:right="825"/>
        <w:jc w:val="right"/>
        <w:textAlignment w:val="baseline"/>
        <w:rPr>
          <w:rFonts w:ascii="宋体" w:hAnsi="宋体" w:cs="宋体"/>
          <w:kern w:val="0"/>
          <w:szCs w:val="21"/>
          <w:highlight w:val="none"/>
        </w:rPr>
      </w:pPr>
      <w:r>
        <w:rPr>
          <w:rFonts w:hint="eastAsia" w:ascii="宋体" w:hAnsi="宋体" w:cs="宋体"/>
          <w:kern w:val="0"/>
          <w:szCs w:val="21"/>
          <w:highlight w:val="none"/>
        </w:rPr>
        <w:t>国家统计局  </w:t>
      </w:r>
    </w:p>
    <w:p w14:paraId="6FA00859">
      <w:pPr>
        <w:widowControl/>
        <w:shd w:val="clear" w:color="auto" w:fill="FFFFFF"/>
        <w:spacing w:before="150" w:line="420" w:lineRule="atLeast"/>
        <w:ind w:right="825"/>
        <w:jc w:val="right"/>
        <w:textAlignment w:val="baseline"/>
        <w:rPr>
          <w:rFonts w:ascii="宋体" w:hAnsi="宋体" w:cs="宋体"/>
          <w:highlight w:val="none"/>
        </w:rPr>
      </w:pPr>
      <w:r>
        <w:rPr>
          <w:rFonts w:hint="eastAsia" w:ascii="宋体" w:hAnsi="宋体" w:cs="宋体"/>
          <w:kern w:val="0"/>
          <w:szCs w:val="21"/>
          <w:highlight w:val="none"/>
        </w:rPr>
        <w:t>2017年12月28日</w:t>
      </w:r>
    </w:p>
    <w:p w14:paraId="1C0B7755">
      <w:pPr>
        <w:widowControl/>
        <w:shd w:val="clear" w:color="auto" w:fill="FFFFFF"/>
        <w:spacing w:before="150" w:line="600" w:lineRule="atLeast"/>
        <w:jc w:val="center"/>
        <w:textAlignment w:val="baseline"/>
        <w:rPr>
          <w:rFonts w:ascii="宋体" w:hAnsi="宋体" w:cs="宋体"/>
          <w:b/>
          <w:bCs/>
          <w:kern w:val="0"/>
          <w:sz w:val="36"/>
          <w:szCs w:val="36"/>
          <w:highlight w:val="none"/>
        </w:rPr>
      </w:pPr>
      <w:r>
        <w:rPr>
          <w:rFonts w:hint="eastAsia" w:ascii="宋体" w:hAnsi="宋体" w:cs="宋体"/>
          <w:b/>
          <w:bCs/>
          <w:kern w:val="0"/>
          <w:sz w:val="36"/>
          <w:szCs w:val="36"/>
          <w:highlight w:val="none"/>
        </w:rPr>
        <w:t>统计上大中小微型企业划分办法（2017）</w:t>
      </w:r>
    </w:p>
    <w:p w14:paraId="37AE1DCE">
      <w:pPr>
        <w:widowControl/>
        <w:shd w:val="clear" w:color="auto" w:fill="FFFFFF"/>
        <w:spacing w:before="150"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0C3F28A8">
      <w:pPr>
        <w:widowControl/>
        <w:shd w:val="clear" w:color="auto" w:fill="FFFFFF"/>
        <w:spacing w:before="150"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二、本办法适用对象为在中华人民共和国境内依法设立的各种组织形式的法人企业或单位。个体工商户参照本办法进行划分。</w:t>
      </w:r>
    </w:p>
    <w:p w14:paraId="131A7434">
      <w:pPr>
        <w:widowControl/>
        <w:shd w:val="clear" w:color="auto" w:fill="FFFFFF"/>
        <w:spacing w:before="150"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1958A28">
      <w:pPr>
        <w:widowControl/>
        <w:shd w:val="clear" w:color="auto" w:fill="FFFFFF"/>
        <w:spacing w:before="150"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7F39EC55">
      <w:pPr>
        <w:widowControl/>
        <w:shd w:val="clear" w:color="auto" w:fill="FFFFFF"/>
        <w:spacing w:before="150"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五、企业划分由政府综合统计部门根据统计年报每年确定一次，定报统计原则上不进行调整。</w:t>
      </w:r>
    </w:p>
    <w:p w14:paraId="1BBFC213">
      <w:pPr>
        <w:widowControl/>
        <w:shd w:val="clear" w:color="auto" w:fill="FFFFFF"/>
        <w:spacing w:before="150"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六、本办法自印发之日起执行，国家统计局2011年印发的《统计上大中小微型企业划分办法》（国统字〔2011〕75号）同时废止。</w:t>
      </w:r>
    </w:p>
    <w:p w14:paraId="5F6BBF33">
      <w:pPr>
        <w:widowControl/>
        <w:shd w:val="clear" w:color="auto" w:fill="FFFFFF"/>
        <w:spacing w:before="150"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附表：统计上大中小微型企业划分标准</w:t>
      </w:r>
    </w:p>
    <w:p w14:paraId="355F12A3">
      <w:pPr>
        <w:widowControl/>
        <w:jc w:val="left"/>
        <w:rPr>
          <w:rFonts w:ascii="宋体" w:hAnsi="宋体" w:cs="宋体"/>
          <w:kern w:val="0"/>
          <w:sz w:val="24"/>
          <w:highlight w:val="none"/>
        </w:rPr>
      </w:pPr>
    </w:p>
    <w:p w14:paraId="0906B341">
      <w:pPr>
        <w:widowControl/>
        <w:shd w:val="clear" w:color="auto" w:fill="FFFFFF"/>
        <w:spacing w:before="150" w:line="600" w:lineRule="atLeast"/>
        <w:jc w:val="center"/>
        <w:textAlignment w:val="baseline"/>
        <w:rPr>
          <w:rFonts w:ascii="宋体" w:hAnsi="宋体" w:cs="宋体"/>
          <w:b/>
          <w:bCs/>
          <w:kern w:val="0"/>
          <w:sz w:val="36"/>
          <w:szCs w:val="36"/>
          <w:highlight w:val="none"/>
        </w:rPr>
      </w:pPr>
      <w:r>
        <w:rPr>
          <w:rFonts w:hint="eastAsia" w:ascii="宋体" w:hAnsi="宋体" w:cs="宋体"/>
          <w:b/>
          <w:bCs/>
          <w:kern w:val="0"/>
          <w:sz w:val="36"/>
          <w:szCs w:val="36"/>
          <w:highlight w:val="none"/>
        </w:rPr>
        <w:t>统计上大中小微型企业划分标准</w:t>
      </w:r>
    </w:p>
    <w:tbl>
      <w:tblPr>
        <w:tblStyle w:val="2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2CBDC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6E37FED5">
            <w:pPr>
              <w:widowControl/>
              <w:jc w:val="center"/>
              <w:rPr>
                <w:rFonts w:ascii="宋体" w:hAnsi="宋体" w:cs="宋体"/>
                <w:b/>
                <w:bCs/>
                <w:kern w:val="0"/>
                <w:szCs w:val="21"/>
                <w:highlight w:val="none"/>
              </w:rPr>
            </w:pPr>
            <w:r>
              <w:rPr>
                <w:rFonts w:hint="eastAsia" w:ascii="宋体" w:hAnsi="宋体" w:cs="宋体"/>
                <w:b/>
                <w:bCs/>
                <w:kern w:val="0"/>
                <w:szCs w:val="21"/>
                <w:highlight w:val="none"/>
              </w:rPr>
              <w:t>行业名称</w:t>
            </w:r>
          </w:p>
        </w:tc>
        <w:tc>
          <w:tcPr>
            <w:tcW w:w="1560" w:type="dxa"/>
            <w:tcMar>
              <w:top w:w="75" w:type="dxa"/>
              <w:left w:w="75" w:type="dxa"/>
              <w:bottom w:w="75" w:type="dxa"/>
              <w:right w:w="75" w:type="dxa"/>
            </w:tcMar>
            <w:vAlign w:val="bottom"/>
          </w:tcPr>
          <w:p w14:paraId="39DB1778">
            <w:pPr>
              <w:widowControl/>
              <w:jc w:val="center"/>
              <w:rPr>
                <w:rFonts w:ascii="宋体" w:hAnsi="宋体" w:cs="宋体"/>
                <w:b/>
                <w:bCs/>
                <w:kern w:val="0"/>
                <w:szCs w:val="21"/>
                <w:highlight w:val="none"/>
              </w:rPr>
            </w:pPr>
            <w:r>
              <w:rPr>
                <w:rFonts w:hint="eastAsia" w:ascii="宋体" w:hAnsi="宋体" w:cs="宋体"/>
                <w:b/>
                <w:bCs/>
                <w:kern w:val="0"/>
                <w:szCs w:val="21"/>
                <w:highlight w:val="none"/>
              </w:rPr>
              <w:t>指标名称</w:t>
            </w:r>
          </w:p>
        </w:tc>
        <w:tc>
          <w:tcPr>
            <w:tcW w:w="671" w:type="dxa"/>
            <w:tcMar>
              <w:top w:w="75" w:type="dxa"/>
              <w:left w:w="75" w:type="dxa"/>
              <w:bottom w:w="75" w:type="dxa"/>
              <w:right w:w="75" w:type="dxa"/>
            </w:tcMar>
            <w:vAlign w:val="bottom"/>
          </w:tcPr>
          <w:p w14:paraId="586FDA12">
            <w:pPr>
              <w:widowControl/>
              <w:jc w:val="center"/>
              <w:rPr>
                <w:rFonts w:ascii="宋体" w:hAnsi="宋体" w:cs="宋体"/>
                <w:b/>
                <w:bCs/>
                <w:kern w:val="0"/>
                <w:szCs w:val="21"/>
                <w:highlight w:val="none"/>
              </w:rPr>
            </w:pPr>
            <w:r>
              <w:rPr>
                <w:rFonts w:hint="eastAsia" w:ascii="宋体" w:hAnsi="宋体" w:cs="宋体"/>
                <w:b/>
                <w:bCs/>
                <w:kern w:val="0"/>
                <w:szCs w:val="21"/>
                <w:highlight w:val="none"/>
              </w:rPr>
              <w:t>计量单位</w:t>
            </w:r>
          </w:p>
        </w:tc>
        <w:tc>
          <w:tcPr>
            <w:tcW w:w="1231" w:type="dxa"/>
            <w:tcMar>
              <w:top w:w="75" w:type="dxa"/>
              <w:left w:w="75" w:type="dxa"/>
              <w:bottom w:w="75" w:type="dxa"/>
              <w:right w:w="75" w:type="dxa"/>
            </w:tcMar>
            <w:vAlign w:val="bottom"/>
          </w:tcPr>
          <w:p w14:paraId="410DA193">
            <w:pPr>
              <w:widowControl/>
              <w:jc w:val="center"/>
              <w:rPr>
                <w:rFonts w:ascii="宋体" w:hAnsi="宋体" w:cs="宋体"/>
                <w:b/>
                <w:bCs/>
                <w:kern w:val="0"/>
                <w:szCs w:val="21"/>
                <w:highlight w:val="none"/>
              </w:rPr>
            </w:pPr>
            <w:r>
              <w:rPr>
                <w:rFonts w:hint="eastAsia" w:ascii="宋体" w:hAnsi="宋体" w:cs="宋体"/>
                <w:b/>
                <w:bCs/>
                <w:kern w:val="0"/>
                <w:szCs w:val="21"/>
                <w:highlight w:val="none"/>
              </w:rPr>
              <w:t>大型</w:t>
            </w:r>
          </w:p>
        </w:tc>
        <w:tc>
          <w:tcPr>
            <w:tcW w:w="1891" w:type="dxa"/>
            <w:tcMar>
              <w:top w:w="75" w:type="dxa"/>
              <w:left w:w="75" w:type="dxa"/>
              <w:bottom w:w="75" w:type="dxa"/>
              <w:right w:w="75" w:type="dxa"/>
            </w:tcMar>
            <w:vAlign w:val="bottom"/>
          </w:tcPr>
          <w:p w14:paraId="09507330">
            <w:pPr>
              <w:widowControl/>
              <w:jc w:val="center"/>
              <w:rPr>
                <w:rFonts w:ascii="宋体" w:hAnsi="宋体" w:cs="宋体"/>
                <w:b/>
                <w:bCs/>
                <w:kern w:val="0"/>
                <w:szCs w:val="21"/>
                <w:highlight w:val="none"/>
              </w:rPr>
            </w:pPr>
            <w:r>
              <w:rPr>
                <w:rFonts w:hint="eastAsia" w:ascii="宋体" w:hAnsi="宋体" w:cs="宋体"/>
                <w:b/>
                <w:bCs/>
                <w:kern w:val="0"/>
                <w:szCs w:val="21"/>
                <w:highlight w:val="none"/>
              </w:rPr>
              <w:t>中型</w:t>
            </w:r>
          </w:p>
        </w:tc>
        <w:tc>
          <w:tcPr>
            <w:tcW w:w="1730" w:type="dxa"/>
            <w:tcMar>
              <w:top w:w="75" w:type="dxa"/>
              <w:left w:w="75" w:type="dxa"/>
              <w:bottom w:w="75" w:type="dxa"/>
              <w:right w:w="75" w:type="dxa"/>
            </w:tcMar>
            <w:vAlign w:val="bottom"/>
          </w:tcPr>
          <w:p w14:paraId="5624681B">
            <w:pPr>
              <w:widowControl/>
              <w:jc w:val="center"/>
              <w:rPr>
                <w:rFonts w:ascii="宋体" w:hAnsi="宋体" w:cs="宋体"/>
                <w:b/>
                <w:bCs/>
                <w:kern w:val="0"/>
                <w:szCs w:val="21"/>
                <w:highlight w:val="none"/>
              </w:rPr>
            </w:pPr>
            <w:r>
              <w:rPr>
                <w:rFonts w:hint="eastAsia" w:ascii="宋体" w:hAnsi="宋体" w:cs="宋体"/>
                <w:b/>
                <w:bCs/>
                <w:kern w:val="0"/>
                <w:szCs w:val="21"/>
                <w:highlight w:val="none"/>
              </w:rPr>
              <w:t>小型</w:t>
            </w:r>
          </w:p>
        </w:tc>
        <w:tc>
          <w:tcPr>
            <w:tcW w:w="1203" w:type="dxa"/>
            <w:tcMar>
              <w:top w:w="75" w:type="dxa"/>
              <w:left w:w="75" w:type="dxa"/>
              <w:bottom w:w="75" w:type="dxa"/>
              <w:right w:w="75" w:type="dxa"/>
            </w:tcMar>
            <w:vAlign w:val="bottom"/>
          </w:tcPr>
          <w:p w14:paraId="6423E5E2">
            <w:pPr>
              <w:widowControl/>
              <w:jc w:val="center"/>
              <w:rPr>
                <w:rFonts w:ascii="宋体" w:hAnsi="宋体" w:cs="宋体"/>
                <w:b/>
                <w:bCs/>
                <w:kern w:val="0"/>
                <w:szCs w:val="21"/>
                <w:highlight w:val="none"/>
              </w:rPr>
            </w:pPr>
            <w:r>
              <w:rPr>
                <w:rFonts w:hint="eastAsia" w:ascii="宋体" w:hAnsi="宋体" w:cs="宋体"/>
                <w:b/>
                <w:bCs/>
                <w:kern w:val="0"/>
                <w:szCs w:val="21"/>
                <w:highlight w:val="none"/>
              </w:rPr>
              <w:t>微型</w:t>
            </w:r>
          </w:p>
        </w:tc>
      </w:tr>
      <w:tr w14:paraId="1D30C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9BBC81A">
            <w:pPr>
              <w:widowControl/>
              <w:jc w:val="left"/>
              <w:rPr>
                <w:rFonts w:ascii="宋体" w:hAnsi="宋体" w:cs="宋体"/>
                <w:kern w:val="0"/>
                <w:sz w:val="24"/>
                <w:highlight w:val="none"/>
              </w:rPr>
            </w:pPr>
            <w:r>
              <w:rPr>
                <w:rFonts w:hint="eastAsia" w:ascii="宋体" w:hAnsi="宋体" w:cs="宋体"/>
                <w:kern w:val="0"/>
                <w:sz w:val="24"/>
                <w:highlight w:val="none"/>
              </w:rPr>
              <w:t>农、林、牧、渔业</w:t>
            </w:r>
          </w:p>
        </w:tc>
        <w:tc>
          <w:tcPr>
            <w:tcW w:w="1560" w:type="dxa"/>
            <w:vAlign w:val="center"/>
          </w:tcPr>
          <w:p w14:paraId="74CC16A0">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248923C0">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3B9A1403">
            <w:pPr>
              <w:widowControl/>
              <w:jc w:val="left"/>
              <w:rPr>
                <w:rFonts w:ascii="宋体" w:hAnsi="宋体" w:cs="宋体"/>
                <w:kern w:val="0"/>
                <w:sz w:val="24"/>
                <w:highlight w:val="none"/>
              </w:rPr>
            </w:pPr>
            <w:r>
              <w:rPr>
                <w:rFonts w:hint="eastAsia" w:ascii="宋体" w:hAnsi="宋体" w:cs="宋体"/>
                <w:kern w:val="0"/>
                <w:sz w:val="24"/>
                <w:highlight w:val="none"/>
              </w:rPr>
              <w:t>Y≥20000</w:t>
            </w:r>
          </w:p>
        </w:tc>
        <w:tc>
          <w:tcPr>
            <w:tcW w:w="1891" w:type="dxa"/>
            <w:vAlign w:val="center"/>
          </w:tcPr>
          <w:p w14:paraId="2781B779">
            <w:pPr>
              <w:widowControl/>
              <w:jc w:val="left"/>
              <w:rPr>
                <w:rFonts w:ascii="宋体" w:hAnsi="宋体" w:cs="宋体"/>
                <w:kern w:val="0"/>
                <w:sz w:val="24"/>
                <w:highlight w:val="none"/>
              </w:rPr>
            </w:pPr>
            <w:r>
              <w:rPr>
                <w:rFonts w:hint="eastAsia" w:ascii="宋体" w:hAnsi="宋体" w:cs="宋体"/>
                <w:kern w:val="0"/>
                <w:sz w:val="24"/>
                <w:highlight w:val="none"/>
              </w:rPr>
              <w:t>500≤Y＜20000</w:t>
            </w:r>
          </w:p>
        </w:tc>
        <w:tc>
          <w:tcPr>
            <w:tcW w:w="1730" w:type="dxa"/>
            <w:vAlign w:val="center"/>
          </w:tcPr>
          <w:p w14:paraId="0C40B076">
            <w:pPr>
              <w:widowControl/>
              <w:jc w:val="left"/>
              <w:rPr>
                <w:rFonts w:ascii="宋体" w:hAnsi="宋体" w:cs="宋体"/>
                <w:kern w:val="0"/>
                <w:sz w:val="24"/>
                <w:highlight w:val="none"/>
              </w:rPr>
            </w:pPr>
            <w:r>
              <w:rPr>
                <w:rFonts w:hint="eastAsia" w:ascii="宋体" w:hAnsi="宋体" w:cs="宋体"/>
                <w:kern w:val="0"/>
                <w:sz w:val="24"/>
                <w:highlight w:val="none"/>
              </w:rPr>
              <w:t>50≤Y＜500</w:t>
            </w:r>
          </w:p>
        </w:tc>
        <w:tc>
          <w:tcPr>
            <w:tcW w:w="1203" w:type="dxa"/>
            <w:vAlign w:val="center"/>
          </w:tcPr>
          <w:p w14:paraId="7DD0A434">
            <w:pPr>
              <w:widowControl/>
              <w:jc w:val="left"/>
              <w:rPr>
                <w:rFonts w:ascii="宋体" w:hAnsi="宋体" w:cs="宋体"/>
                <w:kern w:val="0"/>
                <w:sz w:val="24"/>
                <w:highlight w:val="none"/>
              </w:rPr>
            </w:pPr>
            <w:r>
              <w:rPr>
                <w:rFonts w:hint="eastAsia" w:ascii="宋体" w:hAnsi="宋体" w:cs="宋体"/>
                <w:kern w:val="0"/>
                <w:sz w:val="24"/>
                <w:highlight w:val="none"/>
              </w:rPr>
              <w:t>Y＜50</w:t>
            </w:r>
          </w:p>
        </w:tc>
      </w:tr>
      <w:tr w14:paraId="08372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26A31C0">
            <w:pPr>
              <w:widowControl/>
              <w:jc w:val="left"/>
              <w:rPr>
                <w:rFonts w:ascii="宋体" w:hAnsi="宋体" w:cs="宋体"/>
                <w:kern w:val="0"/>
                <w:sz w:val="24"/>
                <w:highlight w:val="none"/>
              </w:rPr>
            </w:pPr>
            <w:r>
              <w:rPr>
                <w:rFonts w:hint="eastAsia" w:ascii="宋体" w:hAnsi="宋体" w:cs="宋体"/>
                <w:kern w:val="0"/>
                <w:sz w:val="24"/>
                <w:highlight w:val="none"/>
              </w:rPr>
              <w:t>工业 *</w:t>
            </w:r>
          </w:p>
        </w:tc>
        <w:tc>
          <w:tcPr>
            <w:tcW w:w="1560" w:type="dxa"/>
            <w:vAlign w:val="center"/>
          </w:tcPr>
          <w:p w14:paraId="14D32B1C">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1274681C">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44294618">
            <w:pPr>
              <w:widowControl/>
              <w:jc w:val="left"/>
              <w:rPr>
                <w:rFonts w:ascii="宋体" w:hAnsi="宋体" w:cs="宋体"/>
                <w:kern w:val="0"/>
                <w:sz w:val="24"/>
                <w:highlight w:val="none"/>
              </w:rPr>
            </w:pPr>
            <w:r>
              <w:rPr>
                <w:rFonts w:hint="eastAsia" w:ascii="宋体" w:hAnsi="宋体" w:cs="宋体"/>
                <w:kern w:val="0"/>
                <w:sz w:val="24"/>
                <w:highlight w:val="none"/>
              </w:rPr>
              <w:t>X≥1000</w:t>
            </w:r>
          </w:p>
        </w:tc>
        <w:tc>
          <w:tcPr>
            <w:tcW w:w="1891" w:type="dxa"/>
            <w:vAlign w:val="center"/>
          </w:tcPr>
          <w:p w14:paraId="26415FE2">
            <w:pPr>
              <w:widowControl/>
              <w:jc w:val="left"/>
              <w:rPr>
                <w:rFonts w:ascii="宋体" w:hAnsi="宋体" w:cs="宋体"/>
                <w:kern w:val="0"/>
                <w:sz w:val="24"/>
                <w:highlight w:val="none"/>
              </w:rPr>
            </w:pPr>
            <w:r>
              <w:rPr>
                <w:rFonts w:hint="eastAsia" w:ascii="宋体" w:hAnsi="宋体" w:cs="宋体"/>
                <w:kern w:val="0"/>
                <w:sz w:val="24"/>
                <w:highlight w:val="none"/>
              </w:rPr>
              <w:t>300≤X＜1000</w:t>
            </w:r>
          </w:p>
        </w:tc>
        <w:tc>
          <w:tcPr>
            <w:tcW w:w="1730" w:type="dxa"/>
            <w:vAlign w:val="center"/>
          </w:tcPr>
          <w:p w14:paraId="7B4B9637">
            <w:pPr>
              <w:widowControl/>
              <w:jc w:val="left"/>
              <w:rPr>
                <w:rFonts w:ascii="宋体" w:hAnsi="宋体" w:cs="宋体"/>
                <w:kern w:val="0"/>
                <w:sz w:val="24"/>
                <w:highlight w:val="none"/>
              </w:rPr>
            </w:pPr>
            <w:r>
              <w:rPr>
                <w:rFonts w:hint="eastAsia" w:ascii="宋体" w:hAnsi="宋体" w:cs="宋体"/>
                <w:kern w:val="0"/>
                <w:sz w:val="24"/>
                <w:highlight w:val="none"/>
              </w:rPr>
              <w:t>20≤X＜300</w:t>
            </w:r>
          </w:p>
        </w:tc>
        <w:tc>
          <w:tcPr>
            <w:tcW w:w="1203" w:type="dxa"/>
            <w:vAlign w:val="center"/>
          </w:tcPr>
          <w:p w14:paraId="397B6374">
            <w:pPr>
              <w:widowControl/>
              <w:jc w:val="left"/>
              <w:rPr>
                <w:rFonts w:ascii="宋体" w:hAnsi="宋体" w:cs="宋体"/>
                <w:kern w:val="0"/>
                <w:sz w:val="24"/>
                <w:highlight w:val="none"/>
              </w:rPr>
            </w:pPr>
            <w:r>
              <w:rPr>
                <w:rFonts w:hint="eastAsia" w:ascii="宋体" w:hAnsi="宋体" w:cs="宋体"/>
                <w:kern w:val="0"/>
                <w:sz w:val="24"/>
                <w:highlight w:val="none"/>
              </w:rPr>
              <w:t>X＜20</w:t>
            </w:r>
          </w:p>
        </w:tc>
      </w:tr>
      <w:tr w14:paraId="7AD66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E841030">
            <w:pPr>
              <w:widowControl/>
              <w:jc w:val="left"/>
              <w:rPr>
                <w:rFonts w:ascii="宋体" w:hAnsi="宋体" w:cs="宋体"/>
                <w:kern w:val="0"/>
                <w:sz w:val="24"/>
                <w:highlight w:val="none"/>
              </w:rPr>
            </w:pPr>
          </w:p>
        </w:tc>
        <w:tc>
          <w:tcPr>
            <w:tcW w:w="1560" w:type="dxa"/>
            <w:vAlign w:val="center"/>
          </w:tcPr>
          <w:p w14:paraId="4CD365B0">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7D36BE61">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3B614126">
            <w:pPr>
              <w:widowControl/>
              <w:jc w:val="left"/>
              <w:rPr>
                <w:rFonts w:ascii="宋体" w:hAnsi="宋体" w:cs="宋体"/>
                <w:kern w:val="0"/>
                <w:sz w:val="24"/>
                <w:highlight w:val="none"/>
              </w:rPr>
            </w:pPr>
            <w:r>
              <w:rPr>
                <w:rFonts w:hint="eastAsia" w:ascii="宋体" w:hAnsi="宋体" w:cs="宋体"/>
                <w:kern w:val="0"/>
                <w:sz w:val="24"/>
                <w:highlight w:val="none"/>
              </w:rPr>
              <w:t>Y≥40000</w:t>
            </w:r>
          </w:p>
        </w:tc>
        <w:tc>
          <w:tcPr>
            <w:tcW w:w="1891" w:type="dxa"/>
            <w:vAlign w:val="center"/>
          </w:tcPr>
          <w:p w14:paraId="6A4B8046">
            <w:pPr>
              <w:widowControl/>
              <w:jc w:val="left"/>
              <w:rPr>
                <w:rFonts w:ascii="宋体" w:hAnsi="宋体" w:cs="宋体"/>
                <w:kern w:val="0"/>
                <w:sz w:val="24"/>
                <w:highlight w:val="none"/>
              </w:rPr>
            </w:pPr>
            <w:r>
              <w:rPr>
                <w:rFonts w:hint="eastAsia" w:ascii="宋体" w:hAnsi="宋体" w:cs="宋体"/>
                <w:kern w:val="0"/>
                <w:sz w:val="24"/>
                <w:highlight w:val="none"/>
              </w:rPr>
              <w:t>2000≤Y＜40000</w:t>
            </w:r>
          </w:p>
        </w:tc>
        <w:tc>
          <w:tcPr>
            <w:tcW w:w="1730" w:type="dxa"/>
            <w:vAlign w:val="center"/>
          </w:tcPr>
          <w:p w14:paraId="16EF9E8F">
            <w:pPr>
              <w:widowControl/>
              <w:jc w:val="left"/>
              <w:rPr>
                <w:rFonts w:ascii="宋体" w:hAnsi="宋体" w:cs="宋体"/>
                <w:kern w:val="0"/>
                <w:sz w:val="24"/>
                <w:highlight w:val="none"/>
              </w:rPr>
            </w:pPr>
            <w:r>
              <w:rPr>
                <w:rFonts w:hint="eastAsia" w:ascii="宋体" w:hAnsi="宋体" w:cs="宋体"/>
                <w:kern w:val="0"/>
                <w:sz w:val="24"/>
                <w:highlight w:val="none"/>
              </w:rPr>
              <w:t>300≤Y＜2000</w:t>
            </w:r>
          </w:p>
        </w:tc>
        <w:tc>
          <w:tcPr>
            <w:tcW w:w="1203" w:type="dxa"/>
            <w:vAlign w:val="center"/>
          </w:tcPr>
          <w:p w14:paraId="248ACF34">
            <w:pPr>
              <w:widowControl/>
              <w:jc w:val="left"/>
              <w:rPr>
                <w:rFonts w:ascii="宋体" w:hAnsi="宋体" w:cs="宋体"/>
                <w:kern w:val="0"/>
                <w:sz w:val="24"/>
                <w:highlight w:val="none"/>
              </w:rPr>
            </w:pPr>
            <w:r>
              <w:rPr>
                <w:rFonts w:hint="eastAsia" w:ascii="宋体" w:hAnsi="宋体" w:cs="宋体"/>
                <w:kern w:val="0"/>
                <w:sz w:val="24"/>
                <w:highlight w:val="none"/>
              </w:rPr>
              <w:t>Y＜300</w:t>
            </w:r>
          </w:p>
        </w:tc>
      </w:tr>
      <w:tr w14:paraId="4DE01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C3CD6CD">
            <w:pPr>
              <w:widowControl/>
              <w:jc w:val="left"/>
              <w:rPr>
                <w:rFonts w:ascii="宋体" w:hAnsi="宋体" w:cs="宋体"/>
                <w:kern w:val="0"/>
                <w:sz w:val="24"/>
                <w:highlight w:val="none"/>
              </w:rPr>
            </w:pPr>
            <w:r>
              <w:rPr>
                <w:rFonts w:hint="eastAsia" w:ascii="宋体" w:hAnsi="宋体" w:cs="宋体"/>
                <w:kern w:val="0"/>
                <w:sz w:val="24"/>
                <w:highlight w:val="none"/>
              </w:rPr>
              <w:t>建筑业</w:t>
            </w:r>
          </w:p>
        </w:tc>
        <w:tc>
          <w:tcPr>
            <w:tcW w:w="1560" w:type="dxa"/>
            <w:vAlign w:val="center"/>
          </w:tcPr>
          <w:p w14:paraId="7F425285">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4D2A72E5">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256EB144">
            <w:pPr>
              <w:widowControl/>
              <w:jc w:val="left"/>
              <w:rPr>
                <w:rFonts w:ascii="宋体" w:hAnsi="宋体" w:cs="宋体"/>
                <w:kern w:val="0"/>
                <w:sz w:val="24"/>
                <w:highlight w:val="none"/>
              </w:rPr>
            </w:pPr>
            <w:r>
              <w:rPr>
                <w:rFonts w:hint="eastAsia" w:ascii="宋体" w:hAnsi="宋体" w:cs="宋体"/>
                <w:kern w:val="0"/>
                <w:sz w:val="24"/>
                <w:highlight w:val="none"/>
              </w:rPr>
              <w:t>Y≥80000</w:t>
            </w:r>
          </w:p>
        </w:tc>
        <w:tc>
          <w:tcPr>
            <w:tcW w:w="1891" w:type="dxa"/>
            <w:vAlign w:val="center"/>
          </w:tcPr>
          <w:p w14:paraId="26658822">
            <w:pPr>
              <w:widowControl/>
              <w:jc w:val="left"/>
              <w:rPr>
                <w:rFonts w:ascii="宋体" w:hAnsi="宋体" w:cs="宋体"/>
                <w:kern w:val="0"/>
                <w:sz w:val="24"/>
                <w:highlight w:val="none"/>
              </w:rPr>
            </w:pPr>
            <w:r>
              <w:rPr>
                <w:rFonts w:hint="eastAsia" w:ascii="宋体" w:hAnsi="宋体" w:cs="宋体"/>
                <w:kern w:val="0"/>
                <w:sz w:val="24"/>
                <w:highlight w:val="none"/>
              </w:rPr>
              <w:t>6000≤Y＜80000</w:t>
            </w:r>
          </w:p>
        </w:tc>
        <w:tc>
          <w:tcPr>
            <w:tcW w:w="1730" w:type="dxa"/>
            <w:vAlign w:val="center"/>
          </w:tcPr>
          <w:p w14:paraId="6BF20D4A">
            <w:pPr>
              <w:widowControl/>
              <w:jc w:val="left"/>
              <w:rPr>
                <w:rFonts w:ascii="宋体" w:hAnsi="宋体" w:cs="宋体"/>
                <w:kern w:val="0"/>
                <w:sz w:val="24"/>
                <w:highlight w:val="none"/>
              </w:rPr>
            </w:pPr>
            <w:r>
              <w:rPr>
                <w:rFonts w:hint="eastAsia" w:ascii="宋体" w:hAnsi="宋体" w:cs="宋体"/>
                <w:kern w:val="0"/>
                <w:sz w:val="24"/>
                <w:highlight w:val="none"/>
              </w:rPr>
              <w:t>300≤Y＜6000</w:t>
            </w:r>
          </w:p>
        </w:tc>
        <w:tc>
          <w:tcPr>
            <w:tcW w:w="1203" w:type="dxa"/>
            <w:vAlign w:val="center"/>
          </w:tcPr>
          <w:p w14:paraId="48F4E49F">
            <w:pPr>
              <w:widowControl/>
              <w:jc w:val="left"/>
              <w:rPr>
                <w:rFonts w:ascii="宋体" w:hAnsi="宋体" w:cs="宋体"/>
                <w:kern w:val="0"/>
                <w:sz w:val="24"/>
                <w:highlight w:val="none"/>
              </w:rPr>
            </w:pPr>
            <w:r>
              <w:rPr>
                <w:rFonts w:hint="eastAsia" w:ascii="宋体" w:hAnsi="宋体" w:cs="宋体"/>
                <w:kern w:val="0"/>
                <w:sz w:val="24"/>
                <w:highlight w:val="none"/>
              </w:rPr>
              <w:t>Y＜300</w:t>
            </w:r>
          </w:p>
        </w:tc>
      </w:tr>
      <w:tr w14:paraId="59293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EE53206">
            <w:pPr>
              <w:widowControl/>
              <w:jc w:val="left"/>
              <w:rPr>
                <w:rFonts w:ascii="宋体" w:hAnsi="宋体" w:cs="宋体"/>
                <w:kern w:val="0"/>
                <w:sz w:val="24"/>
                <w:highlight w:val="none"/>
              </w:rPr>
            </w:pPr>
          </w:p>
        </w:tc>
        <w:tc>
          <w:tcPr>
            <w:tcW w:w="1560" w:type="dxa"/>
            <w:vAlign w:val="center"/>
          </w:tcPr>
          <w:p w14:paraId="4B0452EF">
            <w:pPr>
              <w:widowControl/>
              <w:jc w:val="left"/>
              <w:rPr>
                <w:rFonts w:ascii="宋体" w:hAnsi="宋体" w:cs="宋体"/>
                <w:kern w:val="0"/>
                <w:sz w:val="24"/>
                <w:highlight w:val="none"/>
              </w:rPr>
            </w:pPr>
            <w:r>
              <w:rPr>
                <w:rFonts w:hint="eastAsia" w:ascii="宋体" w:hAnsi="宋体" w:cs="宋体"/>
                <w:kern w:val="0"/>
                <w:sz w:val="24"/>
                <w:highlight w:val="none"/>
              </w:rPr>
              <w:t>资产总额(Z)</w:t>
            </w:r>
          </w:p>
        </w:tc>
        <w:tc>
          <w:tcPr>
            <w:tcW w:w="671" w:type="dxa"/>
            <w:vAlign w:val="center"/>
          </w:tcPr>
          <w:p w14:paraId="5635C11D">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3343B0AE">
            <w:pPr>
              <w:widowControl/>
              <w:jc w:val="left"/>
              <w:rPr>
                <w:rFonts w:ascii="宋体" w:hAnsi="宋体" w:cs="宋体"/>
                <w:kern w:val="0"/>
                <w:sz w:val="24"/>
                <w:highlight w:val="none"/>
              </w:rPr>
            </w:pPr>
            <w:r>
              <w:rPr>
                <w:rFonts w:hint="eastAsia" w:ascii="宋体" w:hAnsi="宋体" w:cs="宋体"/>
                <w:kern w:val="0"/>
                <w:sz w:val="24"/>
                <w:highlight w:val="none"/>
              </w:rPr>
              <w:t>Z≥80000</w:t>
            </w:r>
          </w:p>
        </w:tc>
        <w:tc>
          <w:tcPr>
            <w:tcW w:w="1891" w:type="dxa"/>
            <w:vAlign w:val="center"/>
          </w:tcPr>
          <w:p w14:paraId="2E3BB525">
            <w:pPr>
              <w:widowControl/>
              <w:jc w:val="left"/>
              <w:rPr>
                <w:rFonts w:ascii="宋体" w:hAnsi="宋体" w:cs="宋体"/>
                <w:kern w:val="0"/>
                <w:sz w:val="24"/>
                <w:highlight w:val="none"/>
              </w:rPr>
            </w:pPr>
            <w:r>
              <w:rPr>
                <w:rFonts w:hint="eastAsia" w:ascii="宋体" w:hAnsi="宋体" w:cs="宋体"/>
                <w:kern w:val="0"/>
                <w:sz w:val="24"/>
                <w:highlight w:val="none"/>
              </w:rPr>
              <w:t>5000≤Z＜80000</w:t>
            </w:r>
          </w:p>
        </w:tc>
        <w:tc>
          <w:tcPr>
            <w:tcW w:w="1730" w:type="dxa"/>
            <w:vAlign w:val="center"/>
          </w:tcPr>
          <w:p w14:paraId="103718C1">
            <w:pPr>
              <w:widowControl/>
              <w:jc w:val="left"/>
              <w:rPr>
                <w:rFonts w:ascii="宋体" w:hAnsi="宋体" w:cs="宋体"/>
                <w:kern w:val="0"/>
                <w:sz w:val="24"/>
                <w:highlight w:val="none"/>
              </w:rPr>
            </w:pPr>
            <w:r>
              <w:rPr>
                <w:rFonts w:hint="eastAsia" w:ascii="宋体" w:hAnsi="宋体" w:cs="宋体"/>
                <w:kern w:val="0"/>
                <w:sz w:val="24"/>
                <w:highlight w:val="none"/>
              </w:rPr>
              <w:t>300≤Z＜5000</w:t>
            </w:r>
          </w:p>
        </w:tc>
        <w:tc>
          <w:tcPr>
            <w:tcW w:w="1203" w:type="dxa"/>
            <w:vAlign w:val="center"/>
          </w:tcPr>
          <w:p w14:paraId="574A60A5">
            <w:pPr>
              <w:widowControl/>
              <w:jc w:val="left"/>
              <w:rPr>
                <w:rFonts w:ascii="宋体" w:hAnsi="宋体" w:cs="宋体"/>
                <w:kern w:val="0"/>
                <w:sz w:val="24"/>
                <w:highlight w:val="none"/>
              </w:rPr>
            </w:pPr>
            <w:r>
              <w:rPr>
                <w:rFonts w:hint="eastAsia" w:ascii="宋体" w:hAnsi="宋体" w:cs="宋体"/>
                <w:kern w:val="0"/>
                <w:sz w:val="24"/>
                <w:highlight w:val="none"/>
              </w:rPr>
              <w:t>Z＜300</w:t>
            </w:r>
          </w:p>
        </w:tc>
      </w:tr>
      <w:tr w14:paraId="1703F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960B4C3">
            <w:pPr>
              <w:widowControl/>
              <w:jc w:val="left"/>
              <w:rPr>
                <w:rFonts w:ascii="宋体" w:hAnsi="宋体" w:cs="宋体"/>
                <w:kern w:val="0"/>
                <w:sz w:val="24"/>
                <w:highlight w:val="none"/>
              </w:rPr>
            </w:pPr>
            <w:r>
              <w:rPr>
                <w:rFonts w:hint="eastAsia" w:ascii="宋体" w:hAnsi="宋体" w:cs="宋体"/>
                <w:kern w:val="0"/>
                <w:sz w:val="24"/>
                <w:highlight w:val="none"/>
              </w:rPr>
              <w:t>批发业</w:t>
            </w:r>
          </w:p>
        </w:tc>
        <w:tc>
          <w:tcPr>
            <w:tcW w:w="1560" w:type="dxa"/>
            <w:vAlign w:val="center"/>
          </w:tcPr>
          <w:p w14:paraId="026E0DA2">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1223A198">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6CB35650">
            <w:pPr>
              <w:widowControl/>
              <w:jc w:val="left"/>
              <w:rPr>
                <w:rFonts w:ascii="宋体" w:hAnsi="宋体" w:cs="宋体"/>
                <w:kern w:val="0"/>
                <w:sz w:val="24"/>
                <w:highlight w:val="none"/>
              </w:rPr>
            </w:pPr>
            <w:r>
              <w:rPr>
                <w:rFonts w:hint="eastAsia" w:ascii="宋体" w:hAnsi="宋体" w:cs="宋体"/>
                <w:kern w:val="0"/>
                <w:sz w:val="24"/>
                <w:highlight w:val="none"/>
              </w:rPr>
              <w:t>X≥200</w:t>
            </w:r>
          </w:p>
        </w:tc>
        <w:tc>
          <w:tcPr>
            <w:tcW w:w="1891" w:type="dxa"/>
            <w:vAlign w:val="center"/>
          </w:tcPr>
          <w:p w14:paraId="65606D18">
            <w:pPr>
              <w:widowControl/>
              <w:jc w:val="left"/>
              <w:rPr>
                <w:rFonts w:ascii="宋体" w:hAnsi="宋体" w:cs="宋体"/>
                <w:kern w:val="0"/>
                <w:sz w:val="24"/>
                <w:highlight w:val="none"/>
              </w:rPr>
            </w:pPr>
            <w:r>
              <w:rPr>
                <w:rFonts w:hint="eastAsia" w:ascii="宋体" w:hAnsi="宋体" w:cs="宋体"/>
                <w:kern w:val="0"/>
                <w:sz w:val="24"/>
                <w:highlight w:val="none"/>
              </w:rPr>
              <w:t>20≤X＜200</w:t>
            </w:r>
          </w:p>
        </w:tc>
        <w:tc>
          <w:tcPr>
            <w:tcW w:w="1730" w:type="dxa"/>
            <w:vAlign w:val="center"/>
          </w:tcPr>
          <w:p w14:paraId="6452CD59">
            <w:pPr>
              <w:widowControl/>
              <w:jc w:val="left"/>
              <w:rPr>
                <w:rFonts w:ascii="宋体" w:hAnsi="宋体" w:cs="宋体"/>
                <w:kern w:val="0"/>
                <w:sz w:val="24"/>
                <w:highlight w:val="none"/>
              </w:rPr>
            </w:pPr>
            <w:r>
              <w:rPr>
                <w:rFonts w:hint="eastAsia" w:ascii="宋体" w:hAnsi="宋体" w:cs="宋体"/>
                <w:kern w:val="0"/>
                <w:sz w:val="24"/>
                <w:highlight w:val="none"/>
              </w:rPr>
              <w:t>5≤X＜20</w:t>
            </w:r>
          </w:p>
        </w:tc>
        <w:tc>
          <w:tcPr>
            <w:tcW w:w="1203" w:type="dxa"/>
            <w:vAlign w:val="center"/>
          </w:tcPr>
          <w:p w14:paraId="3DC6E068">
            <w:pPr>
              <w:widowControl/>
              <w:jc w:val="left"/>
              <w:rPr>
                <w:rFonts w:ascii="宋体" w:hAnsi="宋体" w:cs="宋体"/>
                <w:kern w:val="0"/>
                <w:sz w:val="24"/>
                <w:highlight w:val="none"/>
              </w:rPr>
            </w:pPr>
            <w:r>
              <w:rPr>
                <w:rFonts w:hint="eastAsia" w:ascii="宋体" w:hAnsi="宋体" w:cs="宋体"/>
                <w:kern w:val="0"/>
                <w:sz w:val="24"/>
                <w:highlight w:val="none"/>
              </w:rPr>
              <w:t>X＜5</w:t>
            </w:r>
          </w:p>
        </w:tc>
      </w:tr>
      <w:tr w14:paraId="34F33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121A7FA">
            <w:pPr>
              <w:widowControl/>
              <w:jc w:val="left"/>
              <w:rPr>
                <w:rFonts w:ascii="宋体" w:hAnsi="宋体" w:cs="宋体"/>
                <w:kern w:val="0"/>
                <w:sz w:val="24"/>
                <w:highlight w:val="none"/>
              </w:rPr>
            </w:pPr>
          </w:p>
        </w:tc>
        <w:tc>
          <w:tcPr>
            <w:tcW w:w="1560" w:type="dxa"/>
            <w:vAlign w:val="center"/>
          </w:tcPr>
          <w:p w14:paraId="66E54B7A">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46C27640">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2C426042">
            <w:pPr>
              <w:widowControl/>
              <w:jc w:val="left"/>
              <w:rPr>
                <w:rFonts w:ascii="宋体" w:hAnsi="宋体" w:cs="宋体"/>
                <w:kern w:val="0"/>
                <w:sz w:val="24"/>
                <w:highlight w:val="none"/>
              </w:rPr>
            </w:pPr>
            <w:r>
              <w:rPr>
                <w:rFonts w:hint="eastAsia" w:ascii="宋体" w:hAnsi="宋体" w:cs="宋体"/>
                <w:kern w:val="0"/>
                <w:sz w:val="24"/>
                <w:highlight w:val="none"/>
              </w:rPr>
              <w:t>Y≥40000</w:t>
            </w:r>
          </w:p>
        </w:tc>
        <w:tc>
          <w:tcPr>
            <w:tcW w:w="1891" w:type="dxa"/>
            <w:vAlign w:val="center"/>
          </w:tcPr>
          <w:p w14:paraId="74930CE5">
            <w:pPr>
              <w:widowControl/>
              <w:jc w:val="left"/>
              <w:rPr>
                <w:rFonts w:ascii="宋体" w:hAnsi="宋体" w:cs="宋体"/>
                <w:kern w:val="0"/>
                <w:sz w:val="24"/>
                <w:highlight w:val="none"/>
              </w:rPr>
            </w:pPr>
            <w:r>
              <w:rPr>
                <w:rFonts w:hint="eastAsia" w:ascii="宋体" w:hAnsi="宋体" w:cs="宋体"/>
                <w:kern w:val="0"/>
                <w:sz w:val="24"/>
                <w:highlight w:val="none"/>
              </w:rPr>
              <w:t>5000≤Y＜40000</w:t>
            </w:r>
          </w:p>
        </w:tc>
        <w:tc>
          <w:tcPr>
            <w:tcW w:w="1730" w:type="dxa"/>
            <w:vAlign w:val="center"/>
          </w:tcPr>
          <w:p w14:paraId="39C3C65D">
            <w:pPr>
              <w:widowControl/>
              <w:jc w:val="left"/>
              <w:rPr>
                <w:rFonts w:ascii="宋体" w:hAnsi="宋体" w:cs="宋体"/>
                <w:kern w:val="0"/>
                <w:sz w:val="24"/>
                <w:highlight w:val="none"/>
              </w:rPr>
            </w:pPr>
            <w:r>
              <w:rPr>
                <w:rFonts w:hint="eastAsia" w:ascii="宋体" w:hAnsi="宋体" w:cs="宋体"/>
                <w:kern w:val="0"/>
                <w:sz w:val="24"/>
                <w:highlight w:val="none"/>
              </w:rPr>
              <w:t>1000≤Y＜5000</w:t>
            </w:r>
          </w:p>
        </w:tc>
        <w:tc>
          <w:tcPr>
            <w:tcW w:w="1203" w:type="dxa"/>
            <w:vAlign w:val="center"/>
          </w:tcPr>
          <w:p w14:paraId="700200EA">
            <w:pPr>
              <w:widowControl/>
              <w:jc w:val="left"/>
              <w:rPr>
                <w:rFonts w:ascii="宋体" w:hAnsi="宋体" w:cs="宋体"/>
                <w:kern w:val="0"/>
                <w:sz w:val="24"/>
                <w:highlight w:val="none"/>
              </w:rPr>
            </w:pPr>
            <w:r>
              <w:rPr>
                <w:rFonts w:hint="eastAsia" w:ascii="宋体" w:hAnsi="宋体" w:cs="宋体"/>
                <w:kern w:val="0"/>
                <w:sz w:val="24"/>
                <w:highlight w:val="none"/>
              </w:rPr>
              <w:t>Y＜1000</w:t>
            </w:r>
          </w:p>
        </w:tc>
      </w:tr>
      <w:tr w14:paraId="59C50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19B841C">
            <w:pPr>
              <w:widowControl/>
              <w:jc w:val="left"/>
              <w:rPr>
                <w:rFonts w:ascii="宋体" w:hAnsi="宋体" w:cs="宋体"/>
                <w:kern w:val="0"/>
                <w:sz w:val="24"/>
                <w:highlight w:val="none"/>
              </w:rPr>
            </w:pPr>
            <w:r>
              <w:rPr>
                <w:rFonts w:hint="eastAsia" w:ascii="宋体" w:hAnsi="宋体" w:cs="宋体"/>
                <w:kern w:val="0"/>
                <w:sz w:val="24"/>
                <w:highlight w:val="none"/>
              </w:rPr>
              <w:t>零售业</w:t>
            </w:r>
          </w:p>
        </w:tc>
        <w:tc>
          <w:tcPr>
            <w:tcW w:w="1560" w:type="dxa"/>
            <w:vAlign w:val="center"/>
          </w:tcPr>
          <w:p w14:paraId="3AEA50DF">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6E8A347D">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4377AA0E">
            <w:pPr>
              <w:widowControl/>
              <w:jc w:val="left"/>
              <w:rPr>
                <w:rFonts w:ascii="宋体" w:hAnsi="宋体" w:cs="宋体"/>
                <w:kern w:val="0"/>
                <w:sz w:val="24"/>
                <w:highlight w:val="none"/>
              </w:rPr>
            </w:pPr>
            <w:r>
              <w:rPr>
                <w:rFonts w:hint="eastAsia" w:ascii="宋体" w:hAnsi="宋体" w:cs="宋体"/>
                <w:kern w:val="0"/>
                <w:sz w:val="24"/>
                <w:highlight w:val="none"/>
              </w:rPr>
              <w:t>X≥300</w:t>
            </w:r>
          </w:p>
        </w:tc>
        <w:tc>
          <w:tcPr>
            <w:tcW w:w="1891" w:type="dxa"/>
            <w:vAlign w:val="center"/>
          </w:tcPr>
          <w:p w14:paraId="6B1B2F69">
            <w:pPr>
              <w:widowControl/>
              <w:jc w:val="left"/>
              <w:rPr>
                <w:rFonts w:ascii="宋体" w:hAnsi="宋体" w:cs="宋体"/>
                <w:kern w:val="0"/>
                <w:sz w:val="24"/>
                <w:highlight w:val="none"/>
              </w:rPr>
            </w:pPr>
            <w:r>
              <w:rPr>
                <w:rFonts w:hint="eastAsia" w:ascii="宋体" w:hAnsi="宋体" w:cs="宋体"/>
                <w:kern w:val="0"/>
                <w:sz w:val="24"/>
                <w:highlight w:val="none"/>
              </w:rPr>
              <w:t>50≤X＜300</w:t>
            </w:r>
          </w:p>
        </w:tc>
        <w:tc>
          <w:tcPr>
            <w:tcW w:w="1730" w:type="dxa"/>
            <w:vAlign w:val="center"/>
          </w:tcPr>
          <w:p w14:paraId="49B5263F">
            <w:pPr>
              <w:widowControl/>
              <w:jc w:val="left"/>
              <w:rPr>
                <w:rFonts w:ascii="宋体" w:hAnsi="宋体" w:cs="宋体"/>
                <w:kern w:val="0"/>
                <w:sz w:val="24"/>
                <w:highlight w:val="none"/>
              </w:rPr>
            </w:pPr>
            <w:r>
              <w:rPr>
                <w:rFonts w:hint="eastAsia" w:ascii="宋体" w:hAnsi="宋体" w:cs="宋体"/>
                <w:kern w:val="0"/>
                <w:sz w:val="24"/>
                <w:highlight w:val="none"/>
              </w:rPr>
              <w:t>10≤X＜50</w:t>
            </w:r>
          </w:p>
        </w:tc>
        <w:tc>
          <w:tcPr>
            <w:tcW w:w="1203" w:type="dxa"/>
            <w:vAlign w:val="center"/>
          </w:tcPr>
          <w:p w14:paraId="6DBF45F9">
            <w:pPr>
              <w:widowControl/>
              <w:jc w:val="left"/>
              <w:rPr>
                <w:rFonts w:ascii="宋体" w:hAnsi="宋体" w:cs="宋体"/>
                <w:kern w:val="0"/>
                <w:sz w:val="24"/>
                <w:highlight w:val="none"/>
              </w:rPr>
            </w:pPr>
            <w:r>
              <w:rPr>
                <w:rFonts w:hint="eastAsia" w:ascii="宋体" w:hAnsi="宋体" w:cs="宋体"/>
                <w:kern w:val="0"/>
                <w:sz w:val="24"/>
                <w:highlight w:val="none"/>
              </w:rPr>
              <w:t>X＜10</w:t>
            </w:r>
          </w:p>
        </w:tc>
      </w:tr>
      <w:tr w14:paraId="13073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C326355">
            <w:pPr>
              <w:widowControl/>
              <w:jc w:val="left"/>
              <w:rPr>
                <w:rFonts w:ascii="宋体" w:hAnsi="宋体" w:cs="宋体"/>
                <w:kern w:val="0"/>
                <w:sz w:val="24"/>
                <w:highlight w:val="none"/>
              </w:rPr>
            </w:pPr>
          </w:p>
        </w:tc>
        <w:tc>
          <w:tcPr>
            <w:tcW w:w="1560" w:type="dxa"/>
            <w:vAlign w:val="center"/>
          </w:tcPr>
          <w:p w14:paraId="28FDEF75">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2361E584">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5A7554A3">
            <w:pPr>
              <w:widowControl/>
              <w:jc w:val="left"/>
              <w:rPr>
                <w:rFonts w:ascii="宋体" w:hAnsi="宋体" w:cs="宋体"/>
                <w:kern w:val="0"/>
                <w:sz w:val="24"/>
                <w:highlight w:val="none"/>
              </w:rPr>
            </w:pPr>
            <w:r>
              <w:rPr>
                <w:rFonts w:hint="eastAsia" w:ascii="宋体" w:hAnsi="宋体" w:cs="宋体"/>
                <w:kern w:val="0"/>
                <w:sz w:val="24"/>
                <w:highlight w:val="none"/>
              </w:rPr>
              <w:t>Y≥20000</w:t>
            </w:r>
          </w:p>
        </w:tc>
        <w:tc>
          <w:tcPr>
            <w:tcW w:w="1891" w:type="dxa"/>
            <w:vAlign w:val="center"/>
          </w:tcPr>
          <w:p w14:paraId="1E221E9C">
            <w:pPr>
              <w:widowControl/>
              <w:jc w:val="left"/>
              <w:rPr>
                <w:rFonts w:ascii="宋体" w:hAnsi="宋体" w:cs="宋体"/>
                <w:kern w:val="0"/>
                <w:sz w:val="24"/>
                <w:highlight w:val="none"/>
              </w:rPr>
            </w:pPr>
            <w:r>
              <w:rPr>
                <w:rFonts w:hint="eastAsia" w:ascii="宋体" w:hAnsi="宋体" w:cs="宋体"/>
                <w:kern w:val="0"/>
                <w:sz w:val="24"/>
                <w:highlight w:val="none"/>
              </w:rPr>
              <w:t>500≤Y＜20000</w:t>
            </w:r>
          </w:p>
        </w:tc>
        <w:tc>
          <w:tcPr>
            <w:tcW w:w="1730" w:type="dxa"/>
            <w:vAlign w:val="center"/>
          </w:tcPr>
          <w:p w14:paraId="4F3C9CF0">
            <w:pPr>
              <w:widowControl/>
              <w:jc w:val="left"/>
              <w:rPr>
                <w:rFonts w:ascii="宋体" w:hAnsi="宋体" w:cs="宋体"/>
                <w:kern w:val="0"/>
                <w:sz w:val="24"/>
                <w:highlight w:val="none"/>
              </w:rPr>
            </w:pPr>
            <w:r>
              <w:rPr>
                <w:rFonts w:hint="eastAsia" w:ascii="宋体" w:hAnsi="宋体" w:cs="宋体"/>
                <w:kern w:val="0"/>
                <w:sz w:val="24"/>
                <w:highlight w:val="none"/>
              </w:rPr>
              <w:t>100≤Y＜500</w:t>
            </w:r>
          </w:p>
        </w:tc>
        <w:tc>
          <w:tcPr>
            <w:tcW w:w="1203" w:type="dxa"/>
            <w:vAlign w:val="center"/>
          </w:tcPr>
          <w:p w14:paraId="54733951">
            <w:pPr>
              <w:widowControl/>
              <w:jc w:val="left"/>
              <w:rPr>
                <w:rFonts w:ascii="宋体" w:hAnsi="宋体" w:cs="宋体"/>
                <w:kern w:val="0"/>
                <w:sz w:val="24"/>
                <w:highlight w:val="none"/>
              </w:rPr>
            </w:pPr>
            <w:r>
              <w:rPr>
                <w:rFonts w:hint="eastAsia" w:ascii="宋体" w:hAnsi="宋体" w:cs="宋体"/>
                <w:kern w:val="0"/>
                <w:sz w:val="24"/>
                <w:highlight w:val="none"/>
              </w:rPr>
              <w:t>Y＜100</w:t>
            </w:r>
          </w:p>
        </w:tc>
      </w:tr>
      <w:tr w14:paraId="6D1E3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BBEAFA1">
            <w:pPr>
              <w:widowControl/>
              <w:jc w:val="left"/>
              <w:rPr>
                <w:rFonts w:ascii="宋体" w:hAnsi="宋体" w:cs="宋体"/>
                <w:kern w:val="0"/>
                <w:sz w:val="24"/>
                <w:highlight w:val="none"/>
              </w:rPr>
            </w:pPr>
            <w:r>
              <w:rPr>
                <w:rFonts w:hint="eastAsia" w:ascii="宋体" w:hAnsi="宋体" w:cs="宋体"/>
                <w:kern w:val="0"/>
                <w:sz w:val="24"/>
                <w:highlight w:val="none"/>
              </w:rPr>
              <w:t>交通运输业 *</w:t>
            </w:r>
          </w:p>
        </w:tc>
        <w:tc>
          <w:tcPr>
            <w:tcW w:w="1560" w:type="dxa"/>
            <w:vAlign w:val="center"/>
          </w:tcPr>
          <w:p w14:paraId="37587871">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3574847B">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3F29C0B2">
            <w:pPr>
              <w:widowControl/>
              <w:jc w:val="left"/>
              <w:rPr>
                <w:rFonts w:ascii="宋体" w:hAnsi="宋体" w:cs="宋体"/>
                <w:kern w:val="0"/>
                <w:sz w:val="24"/>
                <w:highlight w:val="none"/>
              </w:rPr>
            </w:pPr>
            <w:r>
              <w:rPr>
                <w:rFonts w:hint="eastAsia" w:ascii="宋体" w:hAnsi="宋体" w:cs="宋体"/>
                <w:kern w:val="0"/>
                <w:sz w:val="24"/>
                <w:highlight w:val="none"/>
              </w:rPr>
              <w:t>X≥1000</w:t>
            </w:r>
          </w:p>
        </w:tc>
        <w:tc>
          <w:tcPr>
            <w:tcW w:w="1891" w:type="dxa"/>
            <w:vAlign w:val="center"/>
          </w:tcPr>
          <w:p w14:paraId="05879A21">
            <w:pPr>
              <w:widowControl/>
              <w:jc w:val="left"/>
              <w:rPr>
                <w:rFonts w:ascii="宋体" w:hAnsi="宋体" w:cs="宋体"/>
                <w:kern w:val="0"/>
                <w:sz w:val="24"/>
                <w:highlight w:val="none"/>
              </w:rPr>
            </w:pPr>
            <w:r>
              <w:rPr>
                <w:rFonts w:hint="eastAsia" w:ascii="宋体" w:hAnsi="宋体" w:cs="宋体"/>
                <w:kern w:val="0"/>
                <w:sz w:val="24"/>
                <w:highlight w:val="none"/>
              </w:rPr>
              <w:t>300≤X＜1000</w:t>
            </w:r>
          </w:p>
        </w:tc>
        <w:tc>
          <w:tcPr>
            <w:tcW w:w="1730" w:type="dxa"/>
            <w:vAlign w:val="center"/>
          </w:tcPr>
          <w:p w14:paraId="2C2B9206">
            <w:pPr>
              <w:widowControl/>
              <w:jc w:val="left"/>
              <w:rPr>
                <w:rFonts w:ascii="宋体" w:hAnsi="宋体" w:cs="宋体"/>
                <w:kern w:val="0"/>
                <w:sz w:val="24"/>
                <w:highlight w:val="none"/>
              </w:rPr>
            </w:pPr>
            <w:r>
              <w:rPr>
                <w:rFonts w:hint="eastAsia" w:ascii="宋体" w:hAnsi="宋体" w:cs="宋体"/>
                <w:kern w:val="0"/>
                <w:sz w:val="24"/>
                <w:highlight w:val="none"/>
              </w:rPr>
              <w:t>20≤X＜300</w:t>
            </w:r>
          </w:p>
        </w:tc>
        <w:tc>
          <w:tcPr>
            <w:tcW w:w="1203" w:type="dxa"/>
            <w:vAlign w:val="center"/>
          </w:tcPr>
          <w:p w14:paraId="39995628">
            <w:pPr>
              <w:widowControl/>
              <w:jc w:val="left"/>
              <w:rPr>
                <w:rFonts w:ascii="宋体" w:hAnsi="宋体" w:cs="宋体"/>
                <w:kern w:val="0"/>
                <w:sz w:val="24"/>
                <w:highlight w:val="none"/>
              </w:rPr>
            </w:pPr>
            <w:r>
              <w:rPr>
                <w:rFonts w:hint="eastAsia" w:ascii="宋体" w:hAnsi="宋体" w:cs="宋体"/>
                <w:kern w:val="0"/>
                <w:sz w:val="24"/>
                <w:highlight w:val="none"/>
              </w:rPr>
              <w:t>X＜20</w:t>
            </w:r>
          </w:p>
        </w:tc>
      </w:tr>
      <w:tr w14:paraId="100F9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2ADF0E4">
            <w:pPr>
              <w:widowControl/>
              <w:jc w:val="left"/>
              <w:rPr>
                <w:rFonts w:ascii="宋体" w:hAnsi="宋体" w:cs="宋体"/>
                <w:kern w:val="0"/>
                <w:sz w:val="24"/>
                <w:highlight w:val="none"/>
              </w:rPr>
            </w:pPr>
          </w:p>
        </w:tc>
        <w:tc>
          <w:tcPr>
            <w:tcW w:w="1560" w:type="dxa"/>
            <w:vAlign w:val="center"/>
          </w:tcPr>
          <w:p w14:paraId="7021F0DD">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651843FC">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7899E0A5">
            <w:pPr>
              <w:widowControl/>
              <w:jc w:val="left"/>
              <w:rPr>
                <w:rFonts w:ascii="宋体" w:hAnsi="宋体" w:cs="宋体"/>
                <w:kern w:val="0"/>
                <w:sz w:val="24"/>
                <w:highlight w:val="none"/>
              </w:rPr>
            </w:pPr>
            <w:r>
              <w:rPr>
                <w:rFonts w:hint="eastAsia" w:ascii="宋体" w:hAnsi="宋体" w:cs="宋体"/>
                <w:kern w:val="0"/>
                <w:sz w:val="24"/>
                <w:highlight w:val="none"/>
              </w:rPr>
              <w:t>Y≥30000</w:t>
            </w:r>
          </w:p>
        </w:tc>
        <w:tc>
          <w:tcPr>
            <w:tcW w:w="1891" w:type="dxa"/>
            <w:vAlign w:val="center"/>
          </w:tcPr>
          <w:p w14:paraId="0903F0C6">
            <w:pPr>
              <w:widowControl/>
              <w:jc w:val="left"/>
              <w:rPr>
                <w:rFonts w:ascii="宋体" w:hAnsi="宋体" w:cs="宋体"/>
                <w:kern w:val="0"/>
                <w:sz w:val="24"/>
                <w:highlight w:val="none"/>
              </w:rPr>
            </w:pPr>
            <w:r>
              <w:rPr>
                <w:rFonts w:hint="eastAsia" w:ascii="宋体" w:hAnsi="宋体" w:cs="宋体"/>
                <w:kern w:val="0"/>
                <w:sz w:val="24"/>
                <w:highlight w:val="none"/>
              </w:rPr>
              <w:t>3000≤Y＜30000</w:t>
            </w:r>
          </w:p>
        </w:tc>
        <w:tc>
          <w:tcPr>
            <w:tcW w:w="1730" w:type="dxa"/>
            <w:vAlign w:val="center"/>
          </w:tcPr>
          <w:p w14:paraId="6D70FF40">
            <w:pPr>
              <w:widowControl/>
              <w:jc w:val="left"/>
              <w:rPr>
                <w:rFonts w:ascii="宋体" w:hAnsi="宋体" w:cs="宋体"/>
                <w:kern w:val="0"/>
                <w:sz w:val="24"/>
                <w:highlight w:val="none"/>
              </w:rPr>
            </w:pPr>
            <w:r>
              <w:rPr>
                <w:rFonts w:hint="eastAsia" w:ascii="宋体" w:hAnsi="宋体" w:cs="宋体"/>
                <w:kern w:val="0"/>
                <w:sz w:val="24"/>
                <w:highlight w:val="none"/>
              </w:rPr>
              <w:t>200≤Y＜3000</w:t>
            </w:r>
          </w:p>
        </w:tc>
        <w:tc>
          <w:tcPr>
            <w:tcW w:w="1203" w:type="dxa"/>
            <w:vAlign w:val="center"/>
          </w:tcPr>
          <w:p w14:paraId="58EAC509">
            <w:pPr>
              <w:widowControl/>
              <w:jc w:val="left"/>
              <w:rPr>
                <w:rFonts w:ascii="宋体" w:hAnsi="宋体" w:cs="宋体"/>
                <w:kern w:val="0"/>
                <w:sz w:val="24"/>
                <w:highlight w:val="none"/>
              </w:rPr>
            </w:pPr>
            <w:r>
              <w:rPr>
                <w:rFonts w:hint="eastAsia" w:ascii="宋体" w:hAnsi="宋体" w:cs="宋体"/>
                <w:kern w:val="0"/>
                <w:sz w:val="24"/>
                <w:highlight w:val="none"/>
              </w:rPr>
              <w:t>Y＜200</w:t>
            </w:r>
          </w:p>
        </w:tc>
      </w:tr>
      <w:tr w14:paraId="0B13B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CBDD99B">
            <w:pPr>
              <w:widowControl/>
              <w:jc w:val="left"/>
              <w:rPr>
                <w:rFonts w:ascii="宋体" w:hAnsi="宋体" w:cs="宋体"/>
                <w:kern w:val="0"/>
                <w:sz w:val="24"/>
                <w:highlight w:val="none"/>
              </w:rPr>
            </w:pPr>
            <w:r>
              <w:rPr>
                <w:rFonts w:hint="eastAsia" w:ascii="宋体" w:hAnsi="宋体" w:cs="宋体"/>
                <w:kern w:val="0"/>
                <w:sz w:val="24"/>
                <w:highlight w:val="none"/>
              </w:rPr>
              <w:t>仓储业*</w:t>
            </w:r>
          </w:p>
        </w:tc>
        <w:tc>
          <w:tcPr>
            <w:tcW w:w="1560" w:type="dxa"/>
            <w:vAlign w:val="center"/>
          </w:tcPr>
          <w:p w14:paraId="2B45B98E">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31BC0009">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41C52507">
            <w:pPr>
              <w:widowControl/>
              <w:jc w:val="left"/>
              <w:rPr>
                <w:rFonts w:ascii="宋体" w:hAnsi="宋体" w:cs="宋体"/>
                <w:kern w:val="0"/>
                <w:sz w:val="24"/>
                <w:highlight w:val="none"/>
              </w:rPr>
            </w:pPr>
            <w:r>
              <w:rPr>
                <w:rFonts w:hint="eastAsia" w:ascii="宋体" w:hAnsi="宋体" w:cs="宋体"/>
                <w:kern w:val="0"/>
                <w:sz w:val="24"/>
                <w:highlight w:val="none"/>
              </w:rPr>
              <w:t>X≥200</w:t>
            </w:r>
          </w:p>
        </w:tc>
        <w:tc>
          <w:tcPr>
            <w:tcW w:w="1891" w:type="dxa"/>
            <w:vAlign w:val="center"/>
          </w:tcPr>
          <w:p w14:paraId="69E51140">
            <w:pPr>
              <w:widowControl/>
              <w:jc w:val="left"/>
              <w:rPr>
                <w:rFonts w:ascii="宋体" w:hAnsi="宋体" w:cs="宋体"/>
                <w:kern w:val="0"/>
                <w:sz w:val="24"/>
                <w:highlight w:val="none"/>
              </w:rPr>
            </w:pPr>
            <w:r>
              <w:rPr>
                <w:rFonts w:hint="eastAsia" w:ascii="宋体" w:hAnsi="宋体" w:cs="宋体"/>
                <w:kern w:val="0"/>
                <w:sz w:val="24"/>
                <w:highlight w:val="none"/>
              </w:rPr>
              <w:t>100≤X＜200</w:t>
            </w:r>
          </w:p>
        </w:tc>
        <w:tc>
          <w:tcPr>
            <w:tcW w:w="1730" w:type="dxa"/>
            <w:vAlign w:val="center"/>
          </w:tcPr>
          <w:p w14:paraId="24BD4A1F">
            <w:pPr>
              <w:widowControl/>
              <w:jc w:val="left"/>
              <w:rPr>
                <w:rFonts w:ascii="宋体" w:hAnsi="宋体" w:cs="宋体"/>
                <w:kern w:val="0"/>
                <w:sz w:val="24"/>
                <w:highlight w:val="none"/>
              </w:rPr>
            </w:pPr>
            <w:r>
              <w:rPr>
                <w:rFonts w:hint="eastAsia" w:ascii="宋体" w:hAnsi="宋体" w:cs="宋体"/>
                <w:kern w:val="0"/>
                <w:sz w:val="24"/>
                <w:highlight w:val="none"/>
              </w:rPr>
              <w:t>20≤X＜100</w:t>
            </w:r>
          </w:p>
        </w:tc>
        <w:tc>
          <w:tcPr>
            <w:tcW w:w="1203" w:type="dxa"/>
            <w:vAlign w:val="center"/>
          </w:tcPr>
          <w:p w14:paraId="1F1A371D">
            <w:pPr>
              <w:widowControl/>
              <w:jc w:val="left"/>
              <w:rPr>
                <w:rFonts w:ascii="宋体" w:hAnsi="宋体" w:cs="宋体"/>
                <w:kern w:val="0"/>
                <w:sz w:val="24"/>
                <w:highlight w:val="none"/>
              </w:rPr>
            </w:pPr>
            <w:r>
              <w:rPr>
                <w:rFonts w:hint="eastAsia" w:ascii="宋体" w:hAnsi="宋体" w:cs="宋体"/>
                <w:kern w:val="0"/>
                <w:sz w:val="24"/>
                <w:highlight w:val="none"/>
              </w:rPr>
              <w:t>X＜20</w:t>
            </w:r>
          </w:p>
        </w:tc>
      </w:tr>
      <w:tr w14:paraId="0E1E2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77D2441">
            <w:pPr>
              <w:widowControl/>
              <w:jc w:val="left"/>
              <w:rPr>
                <w:rFonts w:ascii="宋体" w:hAnsi="宋体" w:cs="宋体"/>
                <w:kern w:val="0"/>
                <w:sz w:val="24"/>
                <w:highlight w:val="none"/>
              </w:rPr>
            </w:pPr>
          </w:p>
        </w:tc>
        <w:tc>
          <w:tcPr>
            <w:tcW w:w="1560" w:type="dxa"/>
            <w:vAlign w:val="center"/>
          </w:tcPr>
          <w:p w14:paraId="57CF8D9A">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3F79BEBC">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7EA22B4D">
            <w:pPr>
              <w:widowControl/>
              <w:jc w:val="left"/>
              <w:rPr>
                <w:rFonts w:ascii="宋体" w:hAnsi="宋体" w:cs="宋体"/>
                <w:kern w:val="0"/>
                <w:sz w:val="24"/>
                <w:highlight w:val="none"/>
              </w:rPr>
            </w:pPr>
            <w:r>
              <w:rPr>
                <w:rFonts w:hint="eastAsia" w:ascii="宋体" w:hAnsi="宋体" w:cs="宋体"/>
                <w:kern w:val="0"/>
                <w:sz w:val="24"/>
                <w:highlight w:val="none"/>
              </w:rPr>
              <w:t>Y≥30000</w:t>
            </w:r>
          </w:p>
        </w:tc>
        <w:tc>
          <w:tcPr>
            <w:tcW w:w="1891" w:type="dxa"/>
            <w:vAlign w:val="center"/>
          </w:tcPr>
          <w:p w14:paraId="190D7D1C">
            <w:pPr>
              <w:widowControl/>
              <w:jc w:val="left"/>
              <w:rPr>
                <w:rFonts w:ascii="宋体" w:hAnsi="宋体" w:cs="宋体"/>
                <w:kern w:val="0"/>
                <w:sz w:val="24"/>
                <w:highlight w:val="none"/>
              </w:rPr>
            </w:pPr>
            <w:r>
              <w:rPr>
                <w:rFonts w:hint="eastAsia" w:ascii="宋体" w:hAnsi="宋体" w:cs="宋体"/>
                <w:kern w:val="0"/>
                <w:sz w:val="24"/>
                <w:highlight w:val="none"/>
              </w:rPr>
              <w:t>1000≤Y＜30000</w:t>
            </w:r>
          </w:p>
        </w:tc>
        <w:tc>
          <w:tcPr>
            <w:tcW w:w="1730" w:type="dxa"/>
            <w:vAlign w:val="center"/>
          </w:tcPr>
          <w:p w14:paraId="214BE77E">
            <w:pPr>
              <w:widowControl/>
              <w:jc w:val="left"/>
              <w:rPr>
                <w:rFonts w:ascii="宋体" w:hAnsi="宋体" w:cs="宋体"/>
                <w:kern w:val="0"/>
                <w:sz w:val="24"/>
                <w:highlight w:val="none"/>
              </w:rPr>
            </w:pPr>
            <w:r>
              <w:rPr>
                <w:rFonts w:hint="eastAsia" w:ascii="宋体" w:hAnsi="宋体" w:cs="宋体"/>
                <w:kern w:val="0"/>
                <w:sz w:val="24"/>
                <w:highlight w:val="none"/>
              </w:rPr>
              <w:t>100≤Y＜1000</w:t>
            </w:r>
          </w:p>
        </w:tc>
        <w:tc>
          <w:tcPr>
            <w:tcW w:w="1203" w:type="dxa"/>
            <w:vAlign w:val="center"/>
          </w:tcPr>
          <w:p w14:paraId="0310D829">
            <w:pPr>
              <w:widowControl/>
              <w:jc w:val="left"/>
              <w:rPr>
                <w:rFonts w:ascii="宋体" w:hAnsi="宋体" w:cs="宋体"/>
                <w:kern w:val="0"/>
                <w:sz w:val="24"/>
                <w:highlight w:val="none"/>
              </w:rPr>
            </w:pPr>
            <w:r>
              <w:rPr>
                <w:rFonts w:hint="eastAsia" w:ascii="宋体" w:hAnsi="宋体" w:cs="宋体"/>
                <w:kern w:val="0"/>
                <w:sz w:val="24"/>
                <w:highlight w:val="none"/>
              </w:rPr>
              <w:t>Y＜100</w:t>
            </w:r>
          </w:p>
        </w:tc>
      </w:tr>
      <w:tr w14:paraId="0D7C0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B4AF45C">
            <w:pPr>
              <w:widowControl/>
              <w:jc w:val="left"/>
              <w:rPr>
                <w:rFonts w:ascii="宋体" w:hAnsi="宋体" w:cs="宋体"/>
                <w:kern w:val="0"/>
                <w:sz w:val="24"/>
                <w:highlight w:val="none"/>
              </w:rPr>
            </w:pPr>
            <w:r>
              <w:rPr>
                <w:rFonts w:hint="eastAsia" w:ascii="宋体" w:hAnsi="宋体" w:cs="宋体"/>
                <w:kern w:val="0"/>
                <w:sz w:val="24"/>
                <w:highlight w:val="none"/>
              </w:rPr>
              <w:t>邮政业</w:t>
            </w:r>
          </w:p>
        </w:tc>
        <w:tc>
          <w:tcPr>
            <w:tcW w:w="1560" w:type="dxa"/>
            <w:vAlign w:val="center"/>
          </w:tcPr>
          <w:p w14:paraId="4EE2F489">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3C1B4E12">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26DA246E">
            <w:pPr>
              <w:widowControl/>
              <w:jc w:val="left"/>
              <w:rPr>
                <w:rFonts w:ascii="宋体" w:hAnsi="宋体" w:cs="宋体"/>
                <w:kern w:val="0"/>
                <w:sz w:val="24"/>
                <w:highlight w:val="none"/>
              </w:rPr>
            </w:pPr>
            <w:r>
              <w:rPr>
                <w:rFonts w:hint="eastAsia" w:ascii="宋体" w:hAnsi="宋体" w:cs="宋体"/>
                <w:kern w:val="0"/>
                <w:sz w:val="24"/>
                <w:highlight w:val="none"/>
              </w:rPr>
              <w:t>X≥1000</w:t>
            </w:r>
          </w:p>
        </w:tc>
        <w:tc>
          <w:tcPr>
            <w:tcW w:w="1891" w:type="dxa"/>
            <w:vAlign w:val="center"/>
          </w:tcPr>
          <w:p w14:paraId="580B78A6">
            <w:pPr>
              <w:widowControl/>
              <w:jc w:val="left"/>
              <w:rPr>
                <w:rFonts w:ascii="宋体" w:hAnsi="宋体" w:cs="宋体"/>
                <w:kern w:val="0"/>
                <w:sz w:val="24"/>
                <w:highlight w:val="none"/>
              </w:rPr>
            </w:pPr>
            <w:r>
              <w:rPr>
                <w:rFonts w:hint="eastAsia" w:ascii="宋体" w:hAnsi="宋体" w:cs="宋体"/>
                <w:kern w:val="0"/>
                <w:sz w:val="24"/>
                <w:highlight w:val="none"/>
              </w:rPr>
              <w:t>300≤X＜1000</w:t>
            </w:r>
          </w:p>
        </w:tc>
        <w:tc>
          <w:tcPr>
            <w:tcW w:w="1730" w:type="dxa"/>
            <w:vAlign w:val="center"/>
          </w:tcPr>
          <w:p w14:paraId="26F07F97">
            <w:pPr>
              <w:widowControl/>
              <w:jc w:val="left"/>
              <w:rPr>
                <w:rFonts w:ascii="宋体" w:hAnsi="宋体" w:cs="宋体"/>
                <w:kern w:val="0"/>
                <w:sz w:val="24"/>
                <w:highlight w:val="none"/>
              </w:rPr>
            </w:pPr>
            <w:r>
              <w:rPr>
                <w:rFonts w:hint="eastAsia" w:ascii="宋体" w:hAnsi="宋体" w:cs="宋体"/>
                <w:kern w:val="0"/>
                <w:sz w:val="24"/>
                <w:highlight w:val="none"/>
              </w:rPr>
              <w:t>20≤X＜300</w:t>
            </w:r>
          </w:p>
        </w:tc>
        <w:tc>
          <w:tcPr>
            <w:tcW w:w="1203" w:type="dxa"/>
            <w:vAlign w:val="center"/>
          </w:tcPr>
          <w:p w14:paraId="1B491B4D">
            <w:pPr>
              <w:widowControl/>
              <w:jc w:val="left"/>
              <w:rPr>
                <w:rFonts w:ascii="宋体" w:hAnsi="宋体" w:cs="宋体"/>
                <w:kern w:val="0"/>
                <w:sz w:val="24"/>
                <w:highlight w:val="none"/>
              </w:rPr>
            </w:pPr>
            <w:r>
              <w:rPr>
                <w:rFonts w:hint="eastAsia" w:ascii="宋体" w:hAnsi="宋体" w:cs="宋体"/>
                <w:kern w:val="0"/>
                <w:sz w:val="24"/>
                <w:highlight w:val="none"/>
              </w:rPr>
              <w:t>X＜20</w:t>
            </w:r>
          </w:p>
        </w:tc>
      </w:tr>
      <w:tr w14:paraId="4ED3C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3AE1793">
            <w:pPr>
              <w:widowControl/>
              <w:jc w:val="left"/>
              <w:rPr>
                <w:rFonts w:ascii="宋体" w:hAnsi="宋体" w:cs="宋体"/>
                <w:kern w:val="0"/>
                <w:sz w:val="24"/>
                <w:highlight w:val="none"/>
              </w:rPr>
            </w:pPr>
          </w:p>
        </w:tc>
        <w:tc>
          <w:tcPr>
            <w:tcW w:w="1560" w:type="dxa"/>
            <w:vAlign w:val="center"/>
          </w:tcPr>
          <w:p w14:paraId="20B6C265">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04D278CC">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37C9D222">
            <w:pPr>
              <w:widowControl/>
              <w:jc w:val="left"/>
              <w:rPr>
                <w:rFonts w:ascii="宋体" w:hAnsi="宋体" w:cs="宋体"/>
                <w:kern w:val="0"/>
                <w:sz w:val="24"/>
                <w:highlight w:val="none"/>
              </w:rPr>
            </w:pPr>
            <w:r>
              <w:rPr>
                <w:rFonts w:hint="eastAsia" w:ascii="宋体" w:hAnsi="宋体" w:cs="宋体"/>
                <w:kern w:val="0"/>
                <w:sz w:val="24"/>
                <w:highlight w:val="none"/>
              </w:rPr>
              <w:t>Y≥30000</w:t>
            </w:r>
          </w:p>
        </w:tc>
        <w:tc>
          <w:tcPr>
            <w:tcW w:w="1891" w:type="dxa"/>
            <w:vAlign w:val="center"/>
          </w:tcPr>
          <w:p w14:paraId="31BEB90A">
            <w:pPr>
              <w:widowControl/>
              <w:jc w:val="left"/>
              <w:rPr>
                <w:rFonts w:ascii="宋体" w:hAnsi="宋体" w:cs="宋体"/>
                <w:kern w:val="0"/>
                <w:sz w:val="24"/>
                <w:highlight w:val="none"/>
              </w:rPr>
            </w:pPr>
            <w:r>
              <w:rPr>
                <w:rFonts w:hint="eastAsia" w:ascii="宋体" w:hAnsi="宋体" w:cs="宋体"/>
                <w:kern w:val="0"/>
                <w:sz w:val="24"/>
                <w:highlight w:val="none"/>
              </w:rPr>
              <w:t>2000≤Y＜30000</w:t>
            </w:r>
          </w:p>
        </w:tc>
        <w:tc>
          <w:tcPr>
            <w:tcW w:w="1730" w:type="dxa"/>
            <w:vAlign w:val="center"/>
          </w:tcPr>
          <w:p w14:paraId="2896A1A7">
            <w:pPr>
              <w:widowControl/>
              <w:jc w:val="left"/>
              <w:rPr>
                <w:rFonts w:ascii="宋体" w:hAnsi="宋体" w:cs="宋体"/>
                <w:kern w:val="0"/>
                <w:sz w:val="24"/>
                <w:highlight w:val="none"/>
              </w:rPr>
            </w:pPr>
            <w:r>
              <w:rPr>
                <w:rFonts w:hint="eastAsia" w:ascii="宋体" w:hAnsi="宋体" w:cs="宋体"/>
                <w:kern w:val="0"/>
                <w:sz w:val="24"/>
                <w:highlight w:val="none"/>
              </w:rPr>
              <w:t>100≤Y＜2000</w:t>
            </w:r>
          </w:p>
        </w:tc>
        <w:tc>
          <w:tcPr>
            <w:tcW w:w="1203" w:type="dxa"/>
            <w:vAlign w:val="center"/>
          </w:tcPr>
          <w:p w14:paraId="217AFFF1">
            <w:pPr>
              <w:widowControl/>
              <w:jc w:val="left"/>
              <w:rPr>
                <w:rFonts w:ascii="宋体" w:hAnsi="宋体" w:cs="宋体"/>
                <w:kern w:val="0"/>
                <w:sz w:val="24"/>
                <w:highlight w:val="none"/>
              </w:rPr>
            </w:pPr>
            <w:r>
              <w:rPr>
                <w:rFonts w:hint="eastAsia" w:ascii="宋体" w:hAnsi="宋体" w:cs="宋体"/>
                <w:kern w:val="0"/>
                <w:sz w:val="24"/>
                <w:highlight w:val="none"/>
              </w:rPr>
              <w:t>Y＜100</w:t>
            </w:r>
          </w:p>
        </w:tc>
      </w:tr>
      <w:tr w14:paraId="0931A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CBA7146">
            <w:pPr>
              <w:widowControl/>
              <w:jc w:val="left"/>
              <w:rPr>
                <w:rFonts w:ascii="宋体" w:hAnsi="宋体" w:cs="宋体"/>
                <w:kern w:val="0"/>
                <w:sz w:val="24"/>
                <w:highlight w:val="none"/>
              </w:rPr>
            </w:pPr>
            <w:r>
              <w:rPr>
                <w:rFonts w:hint="eastAsia" w:ascii="宋体" w:hAnsi="宋体" w:cs="宋体"/>
                <w:kern w:val="0"/>
                <w:sz w:val="24"/>
                <w:highlight w:val="none"/>
              </w:rPr>
              <w:t>住宿业</w:t>
            </w:r>
          </w:p>
        </w:tc>
        <w:tc>
          <w:tcPr>
            <w:tcW w:w="1560" w:type="dxa"/>
            <w:vAlign w:val="center"/>
          </w:tcPr>
          <w:p w14:paraId="414E26F6">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43A66A14">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2DF3BCA4">
            <w:pPr>
              <w:widowControl/>
              <w:jc w:val="left"/>
              <w:rPr>
                <w:rFonts w:ascii="宋体" w:hAnsi="宋体" w:cs="宋体"/>
                <w:kern w:val="0"/>
                <w:sz w:val="24"/>
                <w:highlight w:val="none"/>
              </w:rPr>
            </w:pPr>
            <w:r>
              <w:rPr>
                <w:rFonts w:hint="eastAsia" w:ascii="宋体" w:hAnsi="宋体" w:cs="宋体"/>
                <w:kern w:val="0"/>
                <w:sz w:val="24"/>
                <w:highlight w:val="none"/>
              </w:rPr>
              <w:t>X≥300</w:t>
            </w:r>
          </w:p>
        </w:tc>
        <w:tc>
          <w:tcPr>
            <w:tcW w:w="1891" w:type="dxa"/>
            <w:vAlign w:val="center"/>
          </w:tcPr>
          <w:p w14:paraId="5BC58905">
            <w:pPr>
              <w:widowControl/>
              <w:jc w:val="left"/>
              <w:rPr>
                <w:rFonts w:ascii="宋体" w:hAnsi="宋体" w:cs="宋体"/>
                <w:kern w:val="0"/>
                <w:sz w:val="24"/>
                <w:highlight w:val="none"/>
              </w:rPr>
            </w:pPr>
            <w:r>
              <w:rPr>
                <w:rFonts w:hint="eastAsia" w:ascii="宋体" w:hAnsi="宋体" w:cs="宋体"/>
                <w:kern w:val="0"/>
                <w:sz w:val="24"/>
                <w:highlight w:val="none"/>
              </w:rPr>
              <w:t>100≤X＜300</w:t>
            </w:r>
          </w:p>
        </w:tc>
        <w:tc>
          <w:tcPr>
            <w:tcW w:w="1730" w:type="dxa"/>
            <w:vAlign w:val="center"/>
          </w:tcPr>
          <w:p w14:paraId="75F61BD9">
            <w:pPr>
              <w:widowControl/>
              <w:jc w:val="left"/>
              <w:rPr>
                <w:rFonts w:ascii="宋体" w:hAnsi="宋体" w:cs="宋体"/>
                <w:kern w:val="0"/>
                <w:sz w:val="24"/>
                <w:highlight w:val="none"/>
              </w:rPr>
            </w:pPr>
            <w:r>
              <w:rPr>
                <w:rFonts w:hint="eastAsia" w:ascii="宋体" w:hAnsi="宋体" w:cs="宋体"/>
                <w:kern w:val="0"/>
                <w:sz w:val="24"/>
                <w:highlight w:val="none"/>
              </w:rPr>
              <w:t>10≤X＜100</w:t>
            </w:r>
          </w:p>
        </w:tc>
        <w:tc>
          <w:tcPr>
            <w:tcW w:w="1203" w:type="dxa"/>
            <w:vAlign w:val="center"/>
          </w:tcPr>
          <w:p w14:paraId="470FCCD4">
            <w:pPr>
              <w:widowControl/>
              <w:jc w:val="left"/>
              <w:rPr>
                <w:rFonts w:ascii="宋体" w:hAnsi="宋体" w:cs="宋体"/>
                <w:kern w:val="0"/>
                <w:sz w:val="24"/>
                <w:highlight w:val="none"/>
              </w:rPr>
            </w:pPr>
            <w:r>
              <w:rPr>
                <w:rFonts w:hint="eastAsia" w:ascii="宋体" w:hAnsi="宋体" w:cs="宋体"/>
                <w:kern w:val="0"/>
                <w:sz w:val="24"/>
                <w:highlight w:val="none"/>
              </w:rPr>
              <w:t>X＜10</w:t>
            </w:r>
          </w:p>
        </w:tc>
      </w:tr>
      <w:tr w14:paraId="303BE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A85A46">
            <w:pPr>
              <w:widowControl/>
              <w:jc w:val="left"/>
              <w:rPr>
                <w:rFonts w:ascii="宋体" w:hAnsi="宋体" w:cs="宋体"/>
                <w:kern w:val="0"/>
                <w:sz w:val="24"/>
                <w:highlight w:val="none"/>
              </w:rPr>
            </w:pPr>
          </w:p>
        </w:tc>
        <w:tc>
          <w:tcPr>
            <w:tcW w:w="1560" w:type="dxa"/>
            <w:vAlign w:val="center"/>
          </w:tcPr>
          <w:p w14:paraId="678261EC">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1C14F69F">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5F1A4454">
            <w:pPr>
              <w:widowControl/>
              <w:jc w:val="left"/>
              <w:rPr>
                <w:rFonts w:ascii="宋体" w:hAnsi="宋体" w:cs="宋体"/>
                <w:kern w:val="0"/>
                <w:sz w:val="24"/>
                <w:highlight w:val="none"/>
              </w:rPr>
            </w:pPr>
            <w:r>
              <w:rPr>
                <w:rFonts w:hint="eastAsia" w:ascii="宋体" w:hAnsi="宋体" w:cs="宋体"/>
                <w:kern w:val="0"/>
                <w:sz w:val="24"/>
                <w:highlight w:val="none"/>
              </w:rPr>
              <w:t>Y≥10000</w:t>
            </w:r>
          </w:p>
        </w:tc>
        <w:tc>
          <w:tcPr>
            <w:tcW w:w="1891" w:type="dxa"/>
            <w:vAlign w:val="center"/>
          </w:tcPr>
          <w:p w14:paraId="44B39D68">
            <w:pPr>
              <w:widowControl/>
              <w:jc w:val="left"/>
              <w:rPr>
                <w:rFonts w:ascii="宋体" w:hAnsi="宋体" w:cs="宋体"/>
                <w:kern w:val="0"/>
                <w:sz w:val="24"/>
                <w:highlight w:val="none"/>
              </w:rPr>
            </w:pPr>
            <w:r>
              <w:rPr>
                <w:rFonts w:hint="eastAsia" w:ascii="宋体" w:hAnsi="宋体" w:cs="宋体"/>
                <w:kern w:val="0"/>
                <w:sz w:val="24"/>
                <w:highlight w:val="none"/>
              </w:rPr>
              <w:t>2000≤Y＜10000</w:t>
            </w:r>
          </w:p>
        </w:tc>
        <w:tc>
          <w:tcPr>
            <w:tcW w:w="1730" w:type="dxa"/>
            <w:vAlign w:val="center"/>
          </w:tcPr>
          <w:p w14:paraId="2F929A60">
            <w:pPr>
              <w:widowControl/>
              <w:jc w:val="left"/>
              <w:rPr>
                <w:rFonts w:ascii="宋体" w:hAnsi="宋体" w:cs="宋体"/>
                <w:kern w:val="0"/>
                <w:sz w:val="24"/>
                <w:highlight w:val="none"/>
              </w:rPr>
            </w:pPr>
            <w:r>
              <w:rPr>
                <w:rFonts w:hint="eastAsia" w:ascii="宋体" w:hAnsi="宋体" w:cs="宋体"/>
                <w:kern w:val="0"/>
                <w:sz w:val="24"/>
                <w:highlight w:val="none"/>
              </w:rPr>
              <w:t>100≤Y＜2000</w:t>
            </w:r>
          </w:p>
        </w:tc>
        <w:tc>
          <w:tcPr>
            <w:tcW w:w="1203" w:type="dxa"/>
            <w:vAlign w:val="center"/>
          </w:tcPr>
          <w:p w14:paraId="65CC4806">
            <w:pPr>
              <w:widowControl/>
              <w:jc w:val="left"/>
              <w:rPr>
                <w:rFonts w:ascii="宋体" w:hAnsi="宋体" w:cs="宋体"/>
                <w:kern w:val="0"/>
                <w:sz w:val="24"/>
                <w:highlight w:val="none"/>
              </w:rPr>
            </w:pPr>
            <w:r>
              <w:rPr>
                <w:rFonts w:hint="eastAsia" w:ascii="宋体" w:hAnsi="宋体" w:cs="宋体"/>
                <w:kern w:val="0"/>
                <w:sz w:val="24"/>
                <w:highlight w:val="none"/>
              </w:rPr>
              <w:t>Y＜100</w:t>
            </w:r>
          </w:p>
        </w:tc>
      </w:tr>
      <w:tr w14:paraId="07740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F1B1994">
            <w:pPr>
              <w:widowControl/>
              <w:jc w:val="left"/>
              <w:rPr>
                <w:rFonts w:ascii="宋体" w:hAnsi="宋体" w:cs="宋体"/>
                <w:kern w:val="0"/>
                <w:sz w:val="24"/>
                <w:highlight w:val="none"/>
              </w:rPr>
            </w:pPr>
            <w:r>
              <w:rPr>
                <w:rFonts w:hint="eastAsia" w:ascii="宋体" w:hAnsi="宋体" w:cs="宋体"/>
                <w:kern w:val="0"/>
                <w:sz w:val="24"/>
                <w:highlight w:val="none"/>
              </w:rPr>
              <w:t>餐饮业</w:t>
            </w:r>
          </w:p>
        </w:tc>
        <w:tc>
          <w:tcPr>
            <w:tcW w:w="1560" w:type="dxa"/>
            <w:vAlign w:val="center"/>
          </w:tcPr>
          <w:p w14:paraId="1D1C622F">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6FCD5E73">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03838873">
            <w:pPr>
              <w:widowControl/>
              <w:jc w:val="left"/>
              <w:rPr>
                <w:rFonts w:ascii="宋体" w:hAnsi="宋体" w:cs="宋体"/>
                <w:kern w:val="0"/>
                <w:sz w:val="24"/>
                <w:highlight w:val="none"/>
              </w:rPr>
            </w:pPr>
            <w:r>
              <w:rPr>
                <w:rFonts w:hint="eastAsia" w:ascii="宋体" w:hAnsi="宋体" w:cs="宋体"/>
                <w:kern w:val="0"/>
                <w:sz w:val="24"/>
                <w:highlight w:val="none"/>
              </w:rPr>
              <w:t>X≥300</w:t>
            </w:r>
          </w:p>
        </w:tc>
        <w:tc>
          <w:tcPr>
            <w:tcW w:w="1891" w:type="dxa"/>
            <w:vAlign w:val="center"/>
          </w:tcPr>
          <w:p w14:paraId="1BAEF740">
            <w:pPr>
              <w:widowControl/>
              <w:jc w:val="left"/>
              <w:rPr>
                <w:rFonts w:ascii="宋体" w:hAnsi="宋体" w:cs="宋体"/>
                <w:kern w:val="0"/>
                <w:sz w:val="24"/>
                <w:highlight w:val="none"/>
              </w:rPr>
            </w:pPr>
            <w:r>
              <w:rPr>
                <w:rFonts w:hint="eastAsia" w:ascii="宋体" w:hAnsi="宋体" w:cs="宋体"/>
                <w:kern w:val="0"/>
                <w:sz w:val="24"/>
                <w:highlight w:val="none"/>
              </w:rPr>
              <w:t>100≤X＜300</w:t>
            </w:r>
          </w:p>
        </w:tc>
        <w:tc>
          <w:tcPr>
            <w:tcW w:w="1730" w:type="dxa"/>
            <w:vAlign w:val="center"/>
          </w:tcPr>
          <w:p w14:paraId="4A826811">
            <w:pPr>
              <w:widowControl/>
              <w:jc w:val="left"/>
              <w:rPr>
                <w:rFonts w:ascii="宋体" w:hAnsi="宋体" w:cs="宋体"/>
                <w:kern w:val="0"/>
                <w:sz w:val="24"/>
                <w:highlight w:val="none"/>
              </w:rPr>
            </w:pPr>
            <w:r>
              <w:rPr>
                <w:rFonts w:hint="eastAsia" w:ascii="宋体" w:hAnsi="宋体" w:cs="宋体"/>
                <w:kern w:val="0"/>
                <w:sz w:val="24"/>
                <w:highlight w:val="none"/>
              </w:rPr>
              <w:t>10≤X＜100</w:t>
            </w:r>
          </w:p>
        </w:tc>
        <w:tc>
          <w:tcPr>
            <w:tcW w:w="1203" w:type="dxa"/>
            <w:vAlign w:val="center"/>
          </w:tcPr>
          <w:p w14:paraId="05F5A1C1">
            <w:pPr>
              <w:widowControl/>
              <w:jc w:val="left"/>
              <w:rPr>
                <w:rFonts w:ascii="宋体" w:hAnsi="宋体" w:cs="宋体"/>
                <w:kern w:val="0"/>
                <w:sz w:val="24"/>
                <w:highlight w:val="none"/>
              </w:rPr>
            </w:pPr>
            <w:r>
              <w:rPr>
                <w:rFonts w:hint="eastAsia" w:ascii="宋体" w:hAnsi="宋体" w:cs="宋体"/>
                <w:kern w:val="0"/>
                <w:sz w:val="24"/>
                <w:highlight w:val="none"/>
              </w:rPr>
              <w:t>X＜10</w:t>
            </w:r>
          </w:p>
        </w:tc>
      </w:tr>
      <w:tr w14:paraId="3C2B8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E6B5497">
            <w:pPr>
              <w:widowControl/>
              <w:jc w:val="left"/>
              <w:rPr>
                <w:rFonts w:ascii="宋体" w:hAnsi="宋体" w:cs="宋体"/>
                <w:kern w:val="0"/>
                <w:sz w:val="24"/>
                <w:highlight w:val="none"/>
              </w:rPr>
            </w:pPr>
          </w:p>
        </w:tc>
        <w:tc>
          <w:tcPr>
            <w:tcW w:w="1560" w:type="dxa"/>
            <w:vAlign w:val="center"/>
          </w:tcPr>
          <w:p w14:paraId="6BEE7465">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050B229E">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13259204">
            <w:pPr>
              <w:widowControl/>
              <w:jc w:val="left"/>
              <w:rPr>
                <w:rFonts w:ascii="宋体" w:hAnsi="宋体" w:cs="宋体"/>
                <w:kern w:val="0"/>
                <w:sz w:val="24"/>
                <w:highlight w:val="none"/>
              </w:rPr>
            </w:pPr>
            <w:r>
              <w:rPr>
                <w:rFonts w:hint="eastAsia" w:ascii="宋体" w:hAnsi="宋体" w:cs="宋体"/>
                <w:kern w:val="0"/>
                <w:sz w:val="24"/>
                <w:highlight w:val="none"/>
              </w:rPr>
              <w:t>Y≥10000</w:t>
            </w:r>
          </w:p>
        </w:tc>
        <w:tc>
          <w:tcPr>
            <w:tcW w:w="1891" w:type="dxa"/>
            <w:vAlign w:val="center"/>
          </w:tcPr>
          <w:p w14:paraId="7BAE0084">
            <w:pPr>
              <w:widowControl/>
              <w:jc w:val="left"/>
              <w:rPr>
                <w:rFonts w:ascii="宋体" w:hAnsi="宋体" w:cs="宋体"/>
                <w:kern w:val="0"/>
                <w:sz w:val="24"/>
                <w:highlight w:val="none"/>
              </w:rPr>
            </w:pPr>
            <w:r>
              <w:rPr>
                <w:rFonts w:hint="eastAsia" w:ascii="宋体" w:hAnsi="宋体" w:cs="宋体"/>
                <w:kern w:val="0"/>
                <w:sz w:val="24"/>
                <w:highlight w:val="none"/>
              </w:rPr>
              <w:t>2000≤Y＜10000</w:t>
            </w:r>
          </w:p>
        </w:tc>
        <w:tc>
          <w:tcPr>
            <w:tcW w:w="1730" w:type="dxa"/>
            <w:vAlign w:val="center"/>
          </w:tcPr>
          <w:p w14:paraId="7BFEB3C5">
            <w:pPr>
              <w:widowControl/>
              <w:jc w:val="left"/>
              <w:rPr>
                <w:rFonts w:ascii="宋体" w:hAnsi="宋体" w:cs="宋体"/>
                <w:kern w:val="0"/>
                <w:sz w:val="24"/>
                <w:highlight w:val="none"/>
              </w:rPr>
            </w:pPr>
            <w:r>
              <w:rPr>
                <w:rFonts w:hint="eastAsia" w:ascii="宋体" w:hAnsi="宋体" w:cs="宋体"/>
                <w:kern w:val="0"/>
                <w:sz w:val="24"/>
                <w:highlight w:val="none"/>
              </w:rPr>
              <w:t>100≤Y＜2000</w:t>
            </w:r>
          </w:p>
        </w:tc>
        <w:tc>
          <w:tcPr>
            <w:tcW w:w="1203" w:type="dxa"/>
            <w:vAlign w:val="center"/>
          </w:tcPr>
          <w:p w14:paraId="7F792392">
            <w:pPr>
              <w:widowControl/>
              <w:jc w:val="left"/>
              <w:rPr>
                <w:rFonts w:ascii="宋体" w:hAnsi="宋体" w:cs="宋体"/>
                <w:kern w:val="0"/>
                <w:sz w:val="24"/>
                <w:highlight w:val="none"/>
              </w:rPr>
            </w:pPr>
            <w:r>
              <w:rPr>
                <w:rFonts w:hint="eastAsia" w:ascii="宋体" w:hAnsi="宋体" w:cs="宋体"/>
                <w:kern w:val="0"/>
                <w:sz w:val="24"/>
                <w:highlight w:val="none"/>
              </w:rPr>
              <w:t>Y＜100</w:t>
            </w:r>
          </w:p>
        </w:tc>
      </w:tr>
      <w:tr w14:paraId="06100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C0B830E">
            <w:pPr>
              <w:widowControl/>
              <w:jc w:val="left"/>
              <w:rPr>
                <w:rFonts w:ascii="宋体" w:hAnsi="宋体" w:cs="宋体"/>
                <w:kern w:val="0"/>
                <w:sz w:val="24"/>
                <w:highlight w:val="none"/>
              </w:rPr>
            </w:pPr>
            <w:r>
              <w:rPr>
                <w:rFonts w:hint="eastAsia" w:ascii="宋体" w:hAnsi="宋体" w:cs="宋体"/>
                <w:kern w:val="0"/>
                <w:sz w:val="24"/>
                <w:highlight w:val="none"/>
              </w:rPr>
              <w:t>信息传输业 *</w:t>
            </w:r>
          </w:p>
        </w:tc>
        <w:tc>
          <w:tcPr>
            <w:tcW w:w="1560" w:type="dxa"/>
            <w:vAlign w:val="center"/>
          </w:tcPr>
          <w:p w14:paraId="31945A30">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2BFE2092">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4CF956F4">
            <w:pPr>
              <w:widowControl/>
              <w:jc w:val="left"/>
              <w:rPr>
                <w:rFonts w:ascii="宋体" w:hAnsi="宋体" w:cs="宋体"/>
                <w:kern w:val="0"/>
                <w:sz w:val="24"/>
                <w:highlight w:val="none"/>
              </w:rPr>
            </w:pPr>
            <w:r>
              <w:rPr>
                <w:rFonts w:hint="eastAsia" w:ascii="宋体" w:hAnsi="宋体" w:cs="宋体"/>
                <w:kern w:val="0"/>
                <w:sz w:val="24"/>
                <w:highlight w:val="none"/>
              </w:rPr>
              <w:t>X≥2000</w:t>
            </w:r>
          </w:p>
        </w:tc>
        <w:tc>
          <w:tcPr>
            <w:tcW w:w="1891" w:type="dxa"/>
            <w:vAlign w:val="center"/>
          </w:tcPr>
          <w:p w14:paraId="3350E068">
            <w:pPr>
              <w:widowControl/>
              <w:jc w:val="left"/>
              <w:rPr>
                <w:rFonts w:ascii="宋体" w:hAnsi="宋体" w:cs="宋体"/>
                <w:kern w:val="0"/>
                <w:sz w:val="24"/>
                <w:highlight w:val="none"/>
              </w:rPr>
            </w:pPr>
            <w:r>
              <w:rPr>
                <w:rFonts w:hint="eastAsia" w:ascii="宋体" w:hAnsi="宋体" w:cs="宋体"/>
                <w:kern w:val="0"/>
                <w:sz w:val="24"/>
                <w:highlight w:val="none"/>
              </w:rPr>
              <w:t>100≤X＜2000</w:t>
            </w:r>
          </w:p>
        </w:tc>
        <w:tc>
          <w:tcPr>
            <w:tcW w:w="1730" w:type="dxa"/>
            <w:vAlign w:val="center"/>
          </w:tcPr>
          <w:p w14:paraId="4F3BEC0C">
            <w:pPr>
              <w:widowControl/>
              <w:jc w:val="left"/>
              <w:rPr>
                <w:rFonts w:ascii="宋体" w:hAnsi="宋体" w:cs="宋体"/>
                <w:kern w:val="0"/>
                <w:sz w:val="24"/>
                <w:highlight w:val="none"/>
              </w:rPr>
            </w:pPr>
            <w:r>
              <w:rPr>
                <w:rFonts w:hint="eastAsia" w:ascii="宋体" w:hAnsi="宋体" w:cs="宋体"/>
                <w:kern w:val="0"/>
                <w:sz w:val="24"/>
                <w:highlight w:val="none"/>
              </w:rPr>
              <w:t>10≤X＜100</w:t>
            </w:r>
          </w:p>
        </w:tc>
        <w:tc>
          <w:tcPr>
            <w:tcW w:w="1203" w:type="dxa"/>
            <w:vAlign w:val="center"/>
          </w:tcPr>
          <w:p w14:paraId="11272D2B">
            <w:pPr>
              <w:widowControl/>
              <w:jc w:val="left"/>
              <w:rPr>
                <w:rFonts w:ascii="宋体" w:hAnsi="宋体" w:cs="宋体"/>
                <w:kern w:val="0"/>
                <w:sz w:val="24"/>
                <w:highlight w:val="none"/>
              </w:rPr>
            </w:pPr>
            <w:r>
              <w:rPr>
                <w:rFonts w:hint="eastAsia" w:ascii="宋体" w:hAnsi="宋体" w:cs="宋体"/>
                <w:kern w:val="0"/>
                <w:sz w:val="24"/>
                <w:highlight w:val="none"/>
              </w:rPr>
              <w:t>X＜10</w:t>
            </w:r>
          </w:p>
        </w:tc>
      </w:tr>
      <w:tr w14:paraId="57755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63F8E5A">
            <w:pPr>
              <w:widowControl/>
              <w:jc w:val="left"/>
              <w:rPr>
                <w:rFonts w:ascii="宋体" w:hAnsi="宋体" w:cs="宋体"/>
                <w:kern w:val="0"/>
                <w:sz w:val="24"/>
                <w:highlight w:val="none"/>
              </w:rPr>
            </w:pPr>
          </w:p>
        </w:tc>
        <w:tc>
          <w:tcPr>
            <w:tcW w:w="1560" w:type="dxa"/>
            <w:vAlign w:val="center"/>
          </w:tcPr>
          <w:p w14:paraId="71EC74CA">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068A975E">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3F33D62D">
            <w:pPr>
              <w:widowControl/>
              <w:jc w:val="left"/>
              <w:rPr>
                <w:rFonts w:ascii="宋体" w:hAnsi="宋体" w:cs="宋体"/>
                <w:kern w:val="0"/>
                <w:sz w:val="24"/>
                <w:highlight w:val="none"/>
              </w:rPr>
            </w:pPr>
            <w:r>
              <w:rPr>
                <w:rFonts w:hint="eastAsia" w:ascii="宋体" w:hAnsi="宋体" w:cs="宋体"/>
                <w:kern w:val="0"/>
                <w:sz w:val="24"/>
                <w:highlight w:val="none"/>
              </w:rPr>
              <w:t>Y≥100000</w:t>
            </w:r>
          </w:p>
        </w:tc>
        <w:tc>
          <w:tcPr>
            <w:tcW w:w="1891" w:type="dxa"/>
            <w:vAlign w:val="center"/>
          </w:tcPr>
          <w:p w14:paraId="39C6F572">
            <w:pPr>
              <w:widowControl/>
              <w:jc w:val="left"/>
              <w:rPr>
                <w:rFonts w:ascii="宋体" w:hAnsi="宋体" w:cs="宋体"/>
                <w:kern w:val="0"/>
                <w:sz w:val="24"/>
                <w:highlight w:val="none"/>
              </w:rPr>
            </w:pPr>
            <w:r>
              <w:rPr>
                <w:rFonts w:hint="eastAsia" w:ascii="宋体" w:hAnsi="宋体" w:cs="宋体"/>
                <w:kern w:val="0"/>
                <w:sz w:val="24"/>
                <w:highlight w:val="none"/>
              </w:rPr>
              <w:t>1000≤Y＜100000</w:t>
            </w:r>
          </w:p>
        </w:tc>
        <w:tc>
          <w:tcPr>
            <w:tcW w:w="1730" w:type="dxa"/>
            <w:vAlign w:val="center"/>
          </w:tcPr>
          <w:p w14:paraId="5871FF71">
            <w:pPr>
              <w:widowControl/>
              <w:jc w:val="left"/>
              <w:rPr>
                <w:rFonts w:ascii="宋体" w:hAnsi="宋体" w:cs="宋体"/>
                <w:kern w:val="0"/>
                <w:sz w:val="24"/>
                <w:highlight w:val="none"/>
              </w:rPr>
            </w:pPr>
            <w:r>
              <w:rPr>
                <w:rFonts w:hint="eastAsia" w:ascii="宋体" w:hAnsi="宋体" w:cs="宋体"/>
                <w:kern w:val="0"/>
                <w:sz w:val="24"/>
                <w:highlight w:val="none"/>
              </w:rPr>
              <w:t>100≤Y＜1000</w:t>
            </w:r>
          </w:p>
        </w:tc>
        <w:tc>
          <w:tcPr>
            <w:tcW w:w="1203" w:type="dxa"/>
            <w:vAlign w:val="center"/>
          </w:tcPr>
          <w:p w14:paraId="3D7A6947">
            <w:pPr>
              <w:widowControl/>
              <w:jc w:val="left"/>
              <w:rPr>
                <w:rFonts w:ascii="宋体" w:hAnsi="宋体" w:cs="宋体"/>
                <w:kern w:val="0"/>
                <w:sz w:val="24"/>
                <w:highlight w:val="none"/>
              </w:rPr>
            </w:pPr>
            <w:r>
              <w:rPr>
                <w:rFonts w:hint="eastAsia" w:ascii="宋体" w:hAnsi="宋体" w:cs="宋体"/>
                <w:kern w:val="0"/>
                <w:sz w:val="24"/>
                <w:highlight w:val="none"/>
              </w:rPr>
              <w:t>Y＜100</w:t>
            </w:r>
          </w:p>
        </w:tc>
      </w:tr>
      <w:tr w14:paraId="3086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A5D313E">
            <w:pPr>
              <w:widowControl/>
              <w:jc w:val="left"/>
              <w:rPr>
                <w:rFonts w:ascii="宋体" w:hAnsi="宋体" w:cs="宋体"/>
                <w:kern w:val="0"/>
                <w:sz w:val="24"/>
                <w:highlight w:val="none"/>
              </w:rPr>
            </w:pPr>
            <w:r>
              <w:rPr>
                <w:rFonts w:hint="eastAsia" w:ascii="宋体" w:hAnsi="宋体" w:cs="宋体"/>
                <w:kern w:val="0"/>
                <w:sz w:val="24"/>
                <w:highlight w:val="none"/>
              </w:rPr>
              <w:t>软件和信息技术服务业</w:t>
            </w:r>
          </w:p>
        </w:tc>
        <w:tc>
          <w:tcPr>
            <w:tcW w:w="1560" w:type="dxa"/>
            <w:vAlign w:val="center"/>
          </w:tcPr>
          <w:p w14:paraId="4EBF00E8">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6E955BFA">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64AC4958">
            <w:pPr>
              <w:widowControl/>
              <w:jc w:val="left"/>
              <w:rPr>
                <w:rFonts w:ascii="宋体" w:hAnsi="宋体" w:cs="宋体"/>
                <w:kern w:val="0"/>
                <w:sz w:val="24"/>
                <w:highlight w:val="none"/>
              </w:rPr>
            </w:pPr>
            <w:r>
              <w:rPr>
                <w:rFonts w:hint="eastAsia" w:ascii="宋体" w:hAnsi="宋体" w:cs="宋体"/>
                <w:kern w:val="0"/>
                <w:sz w:val="24"/>
                <w:highlight w:val="none"/>
              </w:rPr>
              <w:t>X≥300</w:t>
            </w:r>
          </w:p>
        </w:tc>
        <w:tc>
          <w:tcPr>
            <w:tcW w:w="1891" w:type="dxa"/>
            <w:vAlign w:val="center"/>
          </w:tcPr>
          <w:p w14:paraId="3D1FE26F">
            <w:pPr>
              <w:widowControl/>
              <w:jc w:val="left"/>
              <w:rPr>
                <w:rFonts w:ascii="宋体" w:hAnsi="宋体" w:cs="宋体"/>
                <w:kern w:val="0"/>
                <w:sz w:val="24"/>
                <w:highlight w:val="none"/>
              </w:rPr>
            </w:pPr>
            <w:r>
              <w:rPr>
                <w:rFonts w:hint="eastAsia" w:ascii="宋体" w:hAnsi="宋体" w:cs="宋体"/>
                <w:kern w:val="0"/>
                <w:sz w:val="24"/>
                <w:highlight w:val="none"/>
              </w:rPr>
              <w:t>100≤X＜300</w:t>
            </w:r>
          </w:p>
        </w:tc>
        <w:tc>
          <w:tcPr>
            <w:tcW w:w="1730" w:type="dxa"/>
            <w:vAlign w:val="center"/>
          </w:tcPr>
          <w:p w14:paraId="0FEF2F11">
            <w:pPr>
              <w:widowControl/>
              <w:jc w:val="left"/>
              <w:rPr>
                <w:rFonts w:ascii="宋体" w:hAnsi="宋体" w:cs="宋体"/>
                <w:kern w:val="0"/>
                <w:sz w:val="24"/>
                <w:highlight w:val="none"/>
              </w:rPr>
            </w:pPr>
            <w:r>
              <w:rPr>
                <w:rFonts w:hint="eastAsia" w:ascii="宋体" w:hAnsi="宋体" w:cs="宋体"/>
                <w:kern w:val="0"/>
                <w:sz w:val="24"/>
                <w:highlight w:val="none"/>
              </w:rPr>
              <w:t>10≤X＜100</w:t>
            </w:r>
          </w:p>
        </w:tc>
        <w:tc>
          <w:tcPr>
            <w:tcW w:w="1203" w:type="dxa"/>
            <w:vAlign w:val="center"/>
          </w:tcPr>
          <w:p w14:paraId="0E7F4632">
            <w:pPr>
              <w:widowControl/>
              <w:jc w:val="left"/>
              <w:rPr>
                <w:rFonts w:ascii="宋体" w:hAnsi="宋体" w:cs="宋体"/>
                <w:kern w:val="0"/>
                <w:sz w:val="24"/>
                <w:highlight w:val="none"/>
              </w:rPr>
            </w:pPr>
            <w:r>
              <w:rPr>
                <w:rFonts w:hint="eastAsia" w:ascii="宋体" w:hAnsi="宋体" w:cs="宋体"/>
                <w:kern w:val="0"/>
                <w:sz w:val="24"/>
                <w:highlight w:val="none"/>
              </w:rPr>
              <w:t>X＜10</w:t>
            </w:r>
          </w:p>
        </w:tc>
      </w:tr>
      <w:tr w14:paraId="172D8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424B3D7">
            <w:pPr>
              <w:widowControl/>
              <w:jc w:val="left"/>
              <w:rPr>
                <w:rFonts w:ascii="宋体" w:hAnsi="宋体" w:cs="宋体"/>
                <w:kern w:val="0"/>
                <w:sz w:val="24"/>
                <w:highlight w:val="none"/>
              </w:rPr>
            </w:pPr>
          </w:p>
        </w:tc>
        <w:tc>
          <w:tcPr>
            <w:tcW w:w="1560" w:type="dxa"/>
            <w:vAlign w:val="center"/>
          </w:tcPr>
          <w:p w14:paraId="6D51DF21">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0F1D0D56">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3DBE942D">
            <w:pPr>
              <w:widowControl/>
              <w:jc w:val="left"/>
              <w:rPr>
                <w:rFonts w:ascii="宋体" w:hAnsi="宋体" w:cs="宋体"/>
                <w:kern w:val="0"/>
                <w:sz w:val="24"/>
                <w:highlight w:val="none"/>
              </w:rPr>
            </w:pPr>
            <w:r>
              <w:rPr>
                <w:rFonts w:hint="eastAsia" w:ascii="宋体" w:hAnsi="宋体" w:cs="宋体"/>
                <w:kern w:val="0"/>
                <w:sz w:val="24"/>
                <w:highlight w:val="none"/>
              </w:rPr>
              <w:t>Y≥10000</w:t>
            </w:r>
          </w:p>
        </w:tc>
        <w:tc>
          <w:tcPr>
            <w:tcW w:w="1891" w:type="dxa"/>
            <w:vAlign w:val="center"/>
          </w:tcPr>
          <w:p w14:paraId="031BDA4B">
            <w:pPr>
              <w:widowControl/>
              <w:jc w:val="left"/>
              <w:rPr>
                <w:rFonts w:ascii="宋体" w:hAnsi="宋体" w:cs="宋体"/>
                <w:kern w:val="0"/>
                <w:sz w:val="24"/>
                <w:highlight w:val="none"/>
              </w:rPr>
            </w:pPr>
            <w:r>
              <w:rPr>
                <w:rFonts w:hint="eastAsia" w:ascii="宋体" w:hAnsi="宋体" w:cs="宋体"/>
                <w:kern w:val="0"/>
                <w:sz w:val="24"/>
                <w:highlight w:val="none"/>
              </w:rPr>
              <w:t>1000≤Y＜10000</w:t>
            </w:r>
          </w:p>
        </w:tc>
        <w:tc>
          <w:tcPr>
            <w:tcW w:w="1730" w:type="dxa"/>
            <w:vAlign w:val="center"/>
          </w:tcPr>
          <w:p w14:paraId="3DE4894D">
            <w:pPr>
              <w:widowControl/>
              <w:jc w:val="left"/>
              <w:rPr>
                <w:rFonts w:ascii="宋体" w:hAnsi="宋体" w:cs="宋体"/>
                <w:kern w:val="0"/>
                <w:sz w:val="24"/>
                <w:highlight w:val="none"/>
              </w:rPr>
            </w:pPr>
            <w:r>
              <w:rPr>
                <w:rFonts w:hint="eastAsia" w:ascii="宋体" w:hAnsi="宋体" w:cs="宋体"/>
                <w:kern w:val="0"/>
                <w:sz w:val="24"/>
                <w:highlight w:val="none"/>
              </w:rPr>
              <w:t>50≤Y＜1000</w:t>
            </w:r>
          </w:p>
        </w:tc>
        <w:tc>
          <w:tcPr>
            <w:tcW w:w="1203" w:type="dxa"/>
            <w:vAlign w:val="center"/>
          </w:tcPr>
          <w:p w14:paraId="35F1A8AB">
            <w:pPr>
              <w:widowControl/>
              <w:jc w:val="left"/>
              <w:rPr>
                <w:rFonts w:ascii="宋体" w:hAnsi="宋体" w:cs="宋体"/>
                <w:kern w:val="0"/>
                <w:sz w:val="24"/>
                <w:highlight w:val="none"/>
              </w:rPr>
            </w:pPr>
            <w:r>
              <w:rPr>
                <w:rFonts w:hint="eastAsia" w:ascii="宋体" w:hAnsi="宋体" w:cs="宋体"/>
                <w:kern w:val="0"/>
                <w:sz w:val="24"/>
                <w:highlight w:val="none"/>
              </w:rPr>
              <w:t>Y＜50</w:t>
            </w:r>
          </w:p>
        </w:tc>
      </w:tr>
      <w:tr w14:paraId="282FE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93A0231">
            <w:pPr>
              <w:widowControl/>
              <w:jc w:val="left"/>
              <w:rPr>
                <w:rFonts w:ascii="宋体" w:hAnsi="宋体" w:cs="宋体"/>
                <w:kern w:val="0"/>
                <w:sz w:val="24"/>
                <w:highlight w:val="none"/>
              </w:rPr>
            </w:pPr>
            <w:r>
              <w:rPr>
                <w:rFonts w:hint="eastAsia" w:ascii="宋体" w:hAnsi="宋体" w:cs="宋体"/>
                <w:kern w:val="0"/>
                <w:sz w:val="24"/>
                <w:highlight w:val="none"/>
              </w:rPr>
              <w:t>房地产开发经营</w:t>
            </w:r>
          </w:p>
        </w:tc>
        <w:tc>
          <w:tcPr>
            <w:tcW w:w="1560" w:type="dxa"/>
            <w:vAlign w:val="center"/>
          </w:tcPr>
          <w:p w14:paraId="650A5E53">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71E6AF33">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6B074E2B">
            <w:pPr>
              <w:widowControl/>
              <w:jc w:val="left"/>
              <w:rPr>
                <w:rFonts w:ascii="宋体" w:hAnsi="宋体" w:cs="宋体"/>
                <w:kern w:val="0"/>
                <w:sz w:val="24"/>
                <w:highlight w:val="none"/>
              </w:rPr>
            </w:pPr>
            <w:r>
              <w:rPr>
                <w:rFonts w:hint="eastAsia" w:ascii="宋体" w:hAnsi="宋体" w:cs="宋体"/>
                <w:kern w:val="0"/>
                <w:sz w:val="24"/>
                <w:highlight w:val="none"/>
              </w:rPr>
              <w:t>Y≥200000</w:t>
            </w:r>
          </w:p>
        </w:tc>
        <w:tc>
          <w:tcPr>
            <w:tcW w:w="1891" w:type="dxa"/>
            <w:vAlign w:val="center"/>
          </w:tcPr>
          <w:p w14:paraId="5EA6DCF9">
            <w:pPr>
              <w:widowControl/>
              <w:jc w:val="left"/>
              <w:rPr>
                <w:rFonts w:ascii="宋体" w:hAnsi="宋体" w:cs="宋体"/>
                <w:kern w:val="0"/>
                <w:sz w:val="24"/>
                <w:highlight w:val="none"/>
              </w:rPr>
            </w:pPr>
            <w:r>
              <w:rPr>
                <w:rFonts w:hint="eastAsia" w:ascii="宋体" w:hAnsi="宋体" w:cs="宋体"/>
                <w:kern w:val="0"/>
                <w:sz w:val="24"/>
                <w:highlight w:val="none"/>
              </w:rPr>
              <w:t>1000≤Y＜200000</w:t>
            </w:r>
          </w:p>
        </w:tc>
        <w:tc>
          <w:tcPr>
            <w:tcW w:w="1730" w:type="dxa"/>
            <w:vAlign w:val="center"/>
          </w:tcPr>
          <w:p w14:paraId="4BFFA625">
            <w:pPr>
              <w:widowControl/>
              <w:jc w:val="left"/>
              <w:rPr>
                <w:rFonts w:ascii="宋体" w:hAnsi="宋体" w:cs="宋体"/>
                <w:kern w:val="0"/>
                <w:sz w:val="24"/>
                <w:highlight w:val="none"/>
              </w:rPr>
            </w:pPr>
            <w:r>
              <w:rPr>
                <w:rFonts w:hint="eastAsia" w:ascii="宋体" w:hAnsi="宋体" w:cs="宋体"/>
                <w:kern w:val="0"/>
                <w:sz w:val="24"/>
                <w:highlight w:val="none"/>
              </w:rPr>
              <w:t>100≤Y＜1000</w:t>
            </w:r>
          </w:p>
        </w:tc>
        <w:tc>
          <w:tcPr>
            <w:tcW w:w="1203" w:type="dxa"/>
            <w:vAlign w:val="center"/>
          </w:tcPr>
          <w:p w14:paraId="4730E276">
            <w:pPr>
              <w:widowControl/>
              <w:jc w:val="left"/>
              <w:rPr>
                <w:rFonts w:ascii="宋体" w:hAnsi="宋体" w:cs="宋体"/>
                <w:kern w:val="0"/>
                <w:sz w:val="24"/>
                <w:highlight w:val="none"/>
              </w:rPr>
            </w:pPr>
            <w:r>
              <w:rPr>
                <w:rFonts w:hint="eastAsia" w:ascii="宋体" w:hAnsi="宋体" w:cs="宋体"/>
                <w:kern w:val="0"/>
                <w:sz w:val="24"/>
                <w:highlight w:val="none"/>
              </w:rPr>
              <w:t>Y＜100</w:t>
            </w:r>
          </w:p>
        </w:tc>
      </w:tr>
      <w:tr w14:paraId="3B3D7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291C505">
            <w:pPr>
              <w:widowControl/>
              <w:jc w:val="left"/>
              <w:rPr>
                <w:rFonts w:ascii="宋体" w:hAnsi="宋体" w:cs="宋体"/>
                <w:kern w:val="0"/>
                <w:sz w:val="24"/>
                <w:highlight w:val="none"/>
              </w:rPr>
            </w:pPr>
          </w:p>
        </w:tc>
        <w:tc>
          <w:tcPr>
            <w:tcW w:w="1560" w:type="dxa"/>
            <w:vAlign w:val="center"/>
          </w:tcPr>
          <w:p w14:paraId="6E670C26">
            <w:pPr>
              <w:widowControl/>
              <w:jc w:val="left"/>
              <w:rPr>
                <w:rFonts w:ascii="宋体" w:hAnsi="宋体" w:cs="宋体"/>
                <w:kern w:val="0"/>
                <w:sz w:val="24"/>
                <w:highlight w:val="none"/>
              </w:rPr>
            </w:pPr>
            <w:r>
              <w:rPr>
                <w:rFonts w:hint="eastAsia" w:ascii="宋体" w:hAnsi="宋体" w:cs="宋体"/>
                <w:kern w:val="0"/>
                <w:sz w:val="24"/>
                <w:highlight w:val="none"/>
              </w:rPr>
              <w:t>资产总额(Z)</w:t>
            </w:r>
          </w:p>
        </w:tc>
        <w:tc>
          <w:tcPr>
            <w:tcW w:w="671" w:type="dxa"/>
            <w:vAlign w:val="center"/>
          </w:tcPr>
          <w:p w14:paraId="642525CE">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5A370D95">
            <w:pPr>
              <w:widowControl/>
              <w:jc w:val="left"/>
              <w:rPr>
                <w:rFonts w:ascii="宋体" w:hAnsi="宋体" w:cs="宋体"/>
                <w:kern w:val="0"/>
                <w:sz w:val="24"/>
                <w:highlight w:val="none"/>
              </w:rPr>
            </w:pPr>
            <w:r>
              <w:rPr>
                <w:rFonts w:hint="eastAsia" w:ascii="宋体" w:hAnsi="宋体" w:cs="宋体"/>
                <w:kern w:val="0"/>
                <w:sz w:val="24"/>
                <w:highlight w:val="none"/>
              </w:rPr>
              <w:t>Z≥10000</w:t>
            </w:r>
          </w:p>
        </w:tc>
        <w:tc>
          <w:tcPr>
            <w:tcW w:w="1891" w:type="dxa"/>
            <w:vAlign w:val="center"/>
          </w:tcPr>
          <w:p w14:paraId="679376FD">
            <w:pPr>
              <w:widowControl/>
              <w:jc w:val="left"/>
              <w:rPr>
                <w:rFonts w:ascii="宋体" w:hAnsi="宋体" w:cs="宋体"/>
                <w:kern w:val="0"/>
                <w:sz w:val="24"/>
                <w:highlight w:val="none"/>
              </w:rPr>
            </w:pPr>
            <w:r>
              <w:rPr>
                <w:rFonts w:hint="eastAsia" w:ascii="宋体" w:hAnsi="宋体" w:cs="宋体"/>
                <w:kern w:val="0"/>
                <w:sz w:val="24"/>
                <w:highlight w:val="none"/>
              </w:rPr>
              <w:t>5000≤Z＜10000</w:t>
            </w:r>
          </w:p>
        </w:tc>
        <w:tc>
          <w:tcPr>
            <w:tcW w:w="1730" w:type="dxa"/>
            <w:vAlign w:val="center"/>
          </w:tcPr>
          <w:p w14:paraId="10CF9AC4">
            <w:pPr>
              <w:widowControl/>
              <w:jc w:val="left"/>
              <w:rPr>
                <w:rFonts w:ascii="宋体" w:hAnsi="宋体" w:cs="宋体"/>
                <w:kern w:val="0"/>
                <w:sz w:val="24"/>
                <w:highlight w:val="none"/>
              </w:rPr>
            </w:pPr>
            <w:r>
              <w:rPr>
                <w:rFonts w:hint="eastAsia" w:ascii="宋体" w:hAnsi="宋体" w:cs="宋体"/>
                <w:kern w:val="0"/>
                <w:sz w:val="24"/>
                <w:highlight w:val="none"/>
              </w:rPr>
              <w:t>2000≤Z＜5000</w:t>
            </w:r>
          </w:p>
        </w:tc>
        <w:tc>
          <w:tcPr>
            <w:tcW w:w="1203" w:type="dxa"/>
            <w:vAlign w:val="center"/>
          </w:tcPr>
          <w:p w14:paraId="1F9C4656">
            <w:pPr>
              <w:widowControl/>
              <w:jc w:val="left"/>
              <w:rPr>
                <w:rFonts w:ascii="宋体" w:hAnsi="宋体" w:cs="宋体"/>
                <w:kern w:val="0"/>
                <w:sz w:val="24"/>
                <w:highlight w:val="none"/>
              </w:rPr>
            </w:pPr>
            <w:r>
              <w:rPr>
                <w:rFonts w:hint="eastAsia" w:ascii="宋体" w:hAnsi="宋体" w:cs="宋体"/>
                <w:kern w:val="0"/>
                <w:sz w:val="24"/>
                <w:highlight w:val="none"/>
              </w:rPr>
              <w:t>Z＜2000</w:t>
            </w:r>
          </w:p>
        </w:tc>
      </w:tr>
      <w:tr w14:paraId="50497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ED3FA3A">
            <w:pPr>
              <w:widowControl/>
              <w:jc w:val="left"/>
              <w:rPr>
                <w:rFonts w:ascii="宋体" w:hAnsi="宋体" w:cs="宋体"/>
                <w:kern w:val="0"/>
                <w:sz w:val="24"/>
                <w:highlight w:val="none"/>
              </w:rPr>
            </w:pPr>
            <w:r>
              <w:rPr>
                <w:rFonts w:hint="eastAsia" w:ascii="宋体" w:hAnsi="宋体" w:cs="宋体"/>
                <w:kern w:val="0"/>
                <w:sz w:val="24"/>
                <w:highlight w:val="none"/>
              </w:rPr>
              <w:t>物业管理</w:t>
            </w:r>
          </w:p>
        </w:tc>
        <w:tc>
          <w:tcPr>
            <w:tcW w:w="1560" w:type="dxa"/>
            <w:vAlign w:val="center"/>
          </w:tcPr>
          <w:p w14:paraId="4FE3ED00">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27924AB5">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3DD9B631">
            <w:pPr>
              <w:widowControl/>
              <w:jc w:val="left"/>
              <w:rPr>
                <w:rFonts w:ascii="宋体" w:hAnsi="宋体" w:cs="宋体"/>
                <w:kern w:val="0"/>
                <w:sz w:val="24"/>
                <w:highlight w:val="none"/>
              </w:rPr>
            </w:pPr>
            <w:r>
              <w:rPr>
                <w:rFonts w:hint="eastAsia" w:ascii="宋体" w:hAnsi="宋体" w:cs="宋体"/>
                <w:kern w:val="0"/>
                <w:sz w:val="24"/>
                <w:highlight w:val="none"/>
              </w:rPr>
              <w:t>X≥1000</w:t>
            </w:r>
          </w:p>
        </w:tc>
        <w:tc>
          <w:tcPr>
            <w:tcW w:w="1891" w:type="dxa"/>
            <w:vAlign w:val="center"/>
          </w:tcPr>
          <w:p w14:paraId="003A3833">
            <w:pPr>
              <w:widowControl/>
              <w:jc w:val="left"/>
              <w:rPr>
                <w:rFonts w:ascii="宋体" w:hAnsi="宋体" w:cs="宋体"/>
                <w:kern w:val="0"/>
                <w:sz w:val="24"/>
                <w:highlight w:val="none"/>
              </w:rPr>
            </w:pPr>
            <w:r>
              <w:rPr>
                <w:rFonts w:hint="eastAsia" w:ascii="宋体" w:hAnsi="宋体" w:cs="宋体"/>
                <w:kern w:val="0"/>
                <w:sz w:val="24"/>
                <w:highlight w:val="none"/>
              </w:rPr>
              <w:t>300≤X＜1000</w:t>
            </w:r>
          </w:p>
        </w:tc>
        <w:tc>
          <w:tcPr>
            <w:tcW w:w="1730" w:type="dxa"/>
            <w:vAlign w:val="center"/>
          </w:tcPr>
          <w:p w14:paraId="76B7DE42">
            <w:pPr>
              <w:widowControl/>
              <w:jc w:val="left"/>
              <w:rPr>
                <w:rFonts w:ascii="宋体" w:hAnsi="宋体" w:cs="宋体"/>
                <w:kern w:val="0"/>
                <w:sz w:val="24"/>
                <w:highlight w:val="none"/>
              </w:rPr>
            </w:pPr>
            <w:r>
              <w:rPr>
                <w:rFonts w:hint="eastAsia" w:ascii="宋体" w:hAnsi="宋体" w:cs="宋体"/>
                <w:kern w:val="0"/>
                <w:sz w:val="24"/>
                <w:highlight w:val="none"/>
              </w:rPr>
              <w:t>100≤X＜300</w:t>
            </w:r>
          </w:p>
        </w:tc>
        <w:tc>
          <w:tcPr>
            <w:tcW w:w="1203" w:type="dxa"/>
            <w:vAlign w:val="center"/>
          </w:tcPr>
          <w:p w14:paraId="5C3364B4">
            <w:pPr>
              <w:widowControl/>
              <w:jc w:val="left"/>
              <w:rPr>
                <w:rFonts w:ascii="宋体" w:hAnsi="宋体" w:cs="宋体"/>
                <w:kern w:val="0"/>
                <w:sz w:val="24"/>
                <w:highlight w:val="none"/>
              </w:rPr>
            </w:pPr>
            <w:r>
              <w:rPr>
                <w:rFonts w:hint="eastAsia" w:ascii="宋体" w:hAnsi="宋体" w:cs="宋体"/>
                <w:kern w:val="0"/>
                <w:sz w:val="24"/>
                <w:highlight w:val="none"/>
              </w:rPr>
              <w:t>X＜100</w:t>
            </w:r>
          </w:p>
        </w:tc>
      </w:tr>
      <w:tr w14:paraId="0A1FF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98A41E2">
            <w:pPr>
              <w:widowControl/>
              <w:jc w:val="left"/>
              <w:rPr>
                <w:rFonts w:ascii="宋体" w:hAnsi="宋体" w:cs="宋体"/>
                <w:kern w:val="0"/>
                <w:sz w:val="24"/>
                <w:highlight w:val="none"/>
              </w:rPr>
            </w:pPr>
          </w:p>
        </w:tc>
        <w:tc>
          <w:tcPr>
            <w:tcW w:w="1560" w:type="dxa"/>
            <w:vAlign w:val="center"/>
          </w:tcPr>
          <w:p w14:paraId="4B9E75B6">
            <w:pPr>
              <w:widowControl/>
              <w:jc w:val="left"/>
              <w:rPr>
                <w:rFonts w:ascii="宋体" w:hAnsi="宋体" w:cs="宋体"/>
                <w:kern w:val="0"/>
                <w:sz w:val="24"/>
                <w:highlight w:val="none"/>
              </w:rPr>
            </w:pPr>
            <w:r>
              <w:rPr>
                <w:rFonts w:hint="eastAsia" w:ascii="宋体" w:hAnsi="宋体" w:cs="宋体"/>
                <w:kern w:val="0"/>
                <w:sz w:val="24"/>
                <w:highlight w:val="none"/>
              </w:rPr>
              <w:t>营业收入(Y)</w:t>
            </w:r>
          </w:p>
        </w:tc>
        <w:tc>
          <w:tcPr>
            <w:tcW w:w="671" w:type="dxa"/>
            <w:vAlign w:val="center"/>
          </w:tcPr>
          <w:p w14:paraId="3F5C4C98">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5B24EDFA">
            <w:pPr>
              <w:widowControl/>
              <w:jc w:val="left"/>
              <w:rPr>
                <w:rFonts w:ascii="宋体" w:hAnsi="宋体" w:cs="宋体"/>
                <w:kern w:val="0"/>
                <w:sz w:val="24"/>
                <w:highlight w:val="none"/>
              </w:rPr>
            </w:pPr>
            <w:r>
              <w:rPr>
                <w:rFonts w:hint="eastAsia" w:ascii="宋体" w:hAnsi="宋体" w:cs="宋体"/>
                <w:kern w:val="0"/>
                <w:sz w:val="24"/>
                <w:highlight w:val="none"/>
              </w:rPr>
              <w:t>Y≥5000</w:t>
            </w:r>
          </w:p>
        </w:tc>
        <w:tc>
          <w:tcPr>
            <w:tcW w:w="1891" w:type="dxa"/>
            <w:vAlign w:val="center"/>
          </w:tcPr>
          <w:p w14:paraId="760AC009">
            <w:pPr>
              <w:widowControl/>
              <w:jc w:val="left"/>
              <w:rPr>
                <w:rFonts w:ascii="宋体" w:hAnsi="宋体" w:cs="宋体"/>
                <w:kern w:val="0"/>
                <w:sz w:val="24"/>
                <w:highlight w:val="none"/>
              </w:rPr>
            </w:pPr>
            <w:r>
              <w:rPr>
                <w:rFonts w:hint="eastAsia" w:ascii="宋体" w:hAnsi="宋体" w:cs="宋体"/>
                <w:kern w:val="0"/>
                <w:sz w:val="24"/>
                <w:highlight w:val="none"/>
              </w:rPr>
              <w:t>1000≤Y＜5000</w:t>
            </w:r>
          </w:p>
        </w:tc>
        <w:tc>
          <w:tcPr>
            <w:tcW w:w="1730" w:type="dxa"/>
            <w:vAlign w:val="center"/>
          </w:tcPr>
          <w:p w14:paraId="62FE59BF">
            <w:pPr>
              <w:widowControl/>
              <w:jc w:val="left"/>
              <w:rPr>
                <w:rFonts w:ascii="宋体" w:hAnsi="宋体" w:cs="宋体"/>
                <w:kern w:val="0"/>
                <w:sz w:val="24"/>
                <w:highlight w:val="none"/>
              </w:rPr>
            </w:pPr>
            <w:r>
              <w:rPr>
                <w:rFonts w:hint="eastAsia" w:ascii="宋体" w:hAnsi="宋体" w:cs="宋体"/>
                <w:kern w:val="0"/>
                <w:sz w:val="24"/>
                <w:highlight w:val="none"/>
              </w:rPr>
              <w:t>500≤Y＜1000</w:t>
            </w:r>
          </w:p>
        </w:tc>
        <w:tc>
          <w:tcPr>
            <w:tcW w:w="1203" w:type="dxa"/>
            <w:vAlign w:val="center"/>
          </w:tcPr>
          <w:p w14:paraId="775FC69C">
            <w:pPr>
              <w:widowControl/>
              <w:jc w:val="left"/>
              <w:rPr>
                <w:rFonts w:ascii="宋体" w:hAnsi="宋体" w:cs="宋体"/>
                <w:kern w:val="0"/>
                <w:sz w:val="24"/>
                <w:highlight w:val="none"/>
              </w:rPr>
            </w:pPr>
            <w:r>
              <w:rPr>
                <w:rFonts w:hint="eastAsia" w:ascii="宋体" w:hAnsi="宋体" w:cs="宋体"/>
                <w:kern w:val="0"/>
                <w:sz w:val="24"/>
                <w:highlight w:val="none"/>
              </w:rPr>
              <w:t>Y＜500</w:t>
            </w:r>
          </w:p>
        </w:tc>
      </w:tr>
      <w:tr w14:paraId="51E83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116152F">
            <w:pPr>
              <w:widowControl/>
              <w:jc w:val="left"/>
              <w:rPr>
                <w:rFonts w:ascii="宋体" w:hAnsi="宋体" w:cs="宋体"/>
                <w:kern w:val="0"/>
                <w:sz w:val="24"/>
                <w:highlight w:val="none"/>
              </w:rPr>
            </w:pPr>
            <w:r>
              <w:rPr>
                <w:rFonts w:hint="eastAsia" w:ascii="宋体" w:hAnsi="宋体" w:cs="宋体"/>
                <w:kern w:val="0"/>
                <w:sz w:val="24"/>
                <w:highlight w:val="none"/>
              </w:rPr>
              <w:t>租赁和商务服务业</w:t>
            </w:r>
          </w:p>
        </w:tc>
        <w:tc>
          <w:tcPr>
            <w:tcW w:w="1560" w:type="dxa"/>
            <w:vAlign w:val="center"/>
          </w:tcPr>
          <w:p w14:paraId="767B2A83">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209CE58C">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3F2FD42A">
            <w:pPr>
              <w:widowControl/>
              <w:jc w:val="left"/>
              <w:rPr>
                <w:rFonts w:ascii="宋体" w:hAnsi="宋体" w:cs="宋体"/>
                <w:kern w:val="0"/>
                <w:sz w:val="24"/>
                <w:highlight w:val="none"/>
              </w:rPr>
            </w:pPr>
            <w:r>
              <w:rPr>
                <w:rFonts w:hint="eastAsia" w:ascii="宋体" w:hAnsi="宋体" w:cs="宋体"/>
                <w:kern w:val="0"/>
                <w:sz w:val="24"/>
                <w:highlight w:val="none"/>
              </w:rPr>
              <w:t>X≥300</w:t>
            </w:r>
          </w:p>
        </w:tc>
        <w:tc>
          <w:tcPr>
            <w:tcW w:w="1891" w:type="dxa"/>
            <w:vAlign w:val="center"/>
          </w:tcPr>
          <w:p w14:paraId="24464FD5">
            <w:pPr>
              <w:widowControl/>
              <w:jc w:val="left"/>
              <w:rPr>
                <w:rFonts w:ascii="宋体" w:hAnsi="宋体" w:cs="宋体"/>
                <w:kern w:val="0"/>
                <w:sz w:val="24"/>
                <w:highlight w:val="none"/>
              </w:rPr>
            </w:pPr>
            <w:r>
              <w:rPr>
                <w:rFonts w:hint="eastAsia" w:ascii="宋体" w:hAnsi="宋体" w:cs="宋体"/>
                <w:kern w:val="0"/>
                <w:sz w:val="24"/>
                <w:highlight w:val="none"/>
              </w:rPr>
              <w:t>100≤X＜300</w:t>
            </w:r>
          </w:p>
        </w:tc>
        <w:tc>
          <w:tcPr>
            <w:tcW w:w="1730" w:type="dxa"/>
            <w:vAlign w:val="center"/>
          </w:tcPr>
          <w:p w14:paraId="027942B0">
            <w:pPr>
              <w:widowControl/>
              <w:jc w:val="left"/>
              <w:rPr>
                <w:rFonts w:ascii="宋体" w:hAnsi="宋体" w:cs="宋体"/>
                <w:kern w:val="0"/>
                <w:sz w:val="24"/>
                <w:highlight w:val="none"/>
              </w:rPr>
            </w:pPr>
            <w:r>
              <w:rPr>
                <w:rFonts w:hint="eastAsia" w:ascii="宋体" w:hAnsi="宋体" w:cs="宋体"/>
                <w:kern w:val="0"/>
                <w:sz w:val="24"/>
                <w:highlight w:val="none"/>
              </w:rPr>
              <w:t>10≤X＜100</w:t>
            </w:r>
          </w:p>
        </w:tc>
        <w:tc>
          <w:tcPr>
            <w:tcW w:w="1203" w:type="dxa"/>
            <w:vAlign w:val="center"/>
          </w:tcPr>
          <w:p w14:paraId="33593A31">
            <w:pPr>
              <w:widowControl/>
              <w:jc w:val="left"/>
              <w:rPr>
                <w:rFonts w:ascii="宋体" w:hAnsi="宋体" w:cs="宋体"/>
                <w:kern w:val="0"/>
                <w:sz w:val="24"/>
                <w:highlight w:val="none"/>
              </w:rPr>
            </w:pPr>
            <w:r>
              <w:rPr>
                <w:rFonts w:hint="eastAsia" w:ascii="宋体" w:hAnsi="宋体" w:cs="宋体"/>
                <w:kern w:val="0"/>
                <w:sz w:val="24"/>
                <w:highlight w:val="none"/>
              </w:rPr>
              <w:t>X＜10</w:t>
            </w:r>
          </w:p>
        </w:tc>
      </w:tr>
      <w:tr w14:paraId="39A03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3D89A36">
            <w:pPr>
              <w:widowControl/>
              <w:jc w:val="left"/>
              <w:rPr>
                <w:rFonts w:ascii="宋体" w:hAnsi="宋体" w:cs="宋体"/>
                <w:kern w:val="0"/>
                <w:sz w:val="24"/>
                <w:highlight w:val="none"/>
              </w:rPr>
            </w:pPr>
          </w:p>
        </w:tc>
        <w:tc>
          <w:tcPr>
            <w:tcW w:w="1560" w:type="dxa"/>
            <w:vAlign w:val="center"/>
          </w:tcPr>
          <w:p w14:paraId="379C5C1A">
            <w:pPr>
              <w:widowControl/>
              <w:jc w:val="left"/>
              <w:rPr>
                <w:rFonts w:ascii="宋体" w:hAnsi="宋体" w:cs="宋体"/>
                <w:kern w:val="0"/>
                <w:sz w:val="24"/>
                <w:highlight w:val="none"/>
              </w:rPr>
            </w:pPr>
            <w:r>
              <w:rPr>
                <w:rFonts w:hint="eastAsia" w:ascii="宋体" w:hAnsi="宋体" w:cs="宋体"/>
                <w:kern w:val="0"/>
                <w:sz w:val="24"/>
                <w:highlight w:val="none"/>
              </w:rPr>
              <w:t>资产总额(Z)</w:t>
            </w:r>
          </w:p>
        </w:tc>
        <w:tc>
          <w:tcPr>
            <w:tcW w:w="671" w:type="dxa"/>
            <w:vAlign w:val="center"/>
          </w:tcPr>
          <w:p w14:paraId="3D3FF38D">
            <w:pPr>
              <w:widowControl/>
              <w:jc w:val="left"/>
              <w:rPr>
                <w:rFonts w:ascii="宋体" w:hAnsi="宋体" w:cs="宋体"/>
                <w:kern w:val="0"/>
                <w:sz w:val="24"/>
                <w:highlight w:val="none"/>
              </w:rPr>
            </w:pPr>
            <w:r>
              <w:rPr>
                <w:rFonts w:hint="eastAsia" w:ascii="宋体" w:hAnsi="宋体" w:cs="宋体"/>
                <w:kern w:val="0"/>
                <w:sz w:val="24"/>
                <w:highlight w:val="none"/>
              </w:rPr>
              <w:t>万元</w:t>
            </w:r>
          </w:p>
        </w:tc>
        <w:tc>
          <w:tcPr>
            <w:tcW w:w="1231" w:type="dxa"/>
            <w:vAlign w:val="center"/>
          </w:tcPr>
          <w:p w14:paraId="1A6A9749">
            <w:pPr>
              <w:widowControl/>
              <w:jc w:val="left"/>
              <w:rPr>
                <w:rFonts w:ascii="宋体" w:hAnsi="宋体" w:cs="宋体"/>
                <w:kern w:val="0"/>
                <w:sz w:val="24"/>
                <w:highlight w:val="none"/>
              </w:rPr>
            </w:pPr>
            <w:r>
              <w:rPr>
                <w:rFonts w:hint="eastAsia" w:ascii="宋体" w:hAnsi="宋体" w:cs="宋体"/>
                <w:kern w:val="0"/>
                <w:sz w:val="24"/>
                <w:highlight w:val="none"/>
              </w:rPr>
              <w:t>Z≥120000</w:t>
            </w:r>
          </w:p>
        </w:tc>
        <w:tc>
          <w:tcPr>
            <w:tcW w:w="1891" w:type="dxa"/>
            <w:vAlign w:val="center"/>
          </w:tcPr>
          <w:p w14:paraId="25E00E3B">
            <w:pPr>
              <w:widowControl/>
              <w:jc w:val="left"/>
              <w:rPr>
                <w:rFonts w:ascii="宋体" w:hAnsi="宋体" w:cs="宋体"/>
                <w:kern w:val="0"/>
                <w:sz w:val="24"/>
                <w:highlight w:val="none"/>
              </w:rPr>
            </w:pPr>
            <w:r>
              <w:rPr>
                <w:rFonts w:hint="eastAsia" w:ascii="宋体" w:hAnsi="宋体" w:cs="宋体"/>
                <w:kern w:val="0"/>
                <w:sz w:val="24"/>
                <w:highlight w:val="none"/>
              </w:rPr>
              <w:t>8000≤Z＜120000</w:t>
            </w:r>
          </w:p>
        </w:tc>
        <w:tc>
          <w:tcPr>
            <w:tcW w:w="1730" w:type="dxa"/>
            <w:vAlign w:val="center"/>
          </w:tcPr>
          <w:p w14:paraId="41A0EA07">
            <w:pPr>
              <w:widowControl/>
              <w:jc w:val="left"/>
              <w:rPr>
                <w:rFonts w:ascii="宋体" w:hAnsi="宋体" w:cs="宋体"/>
                <w:kern w:val="0"/>
                <w:sz w:val="24"/>
                <w:highlight w:val="none"/>
              </w:rPr>
            </w:pPr>
            <w:r>
              <w:rPr>
                <w:rFonts w:hint="eastAsia" w:ascii="宋体" w:hAnsi="宋体" w:cs="宋体"/>
                <w:kern w:val="0"/>
                <w:sz w:val="24"/>
                <w:highlight w:val="none"/>
              </w:rPr>
              <w:t>100≤Z＜8000</w:t>
            </w:r>
          </w:p>
        </w:tc>
        <w:tc>
          <w:tcPr>
            <w:tcW w:w="1203" w:type="dxa"/>
            <w:vAlign w:val="center"/>
          </w:tcPr>
          <w:p w14:paraId="2209A687">
            <w:pPr>
              <w:widowControl/>
              <w:jc w:val="left"/>
              <w:rPr>
                <w:rFonts w:ascii="宋体" w:hAnsi="宋体" w:cs="宋体"/>
                <w:kern w:val="0"/>
                <w:sz w:val="24"/>
                <w:highlight w:val="none"/>
              </w:rPr>
            </w:pPr>
            <w:r>
              <w:rPr>
                <w:rFonts w:hint="eastAsia" w:ascii="宋体" w:hAnsi="宋体" w:cs="宋体"/>
                <w:kern w:val="0"/>
                <w:sz w:val="24"/>
                <w:highlight w:val="none"/>
              </w:rPr>
              <w:t>Z＜100</w:t>
            </w:r>
          </w:p>
        </w:tc>
      </w:tr>
      <w:tr w14:paraId="40CFD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0AEA92D">
            <w:pPr>
              <w:widowControl/>
              <w:jc w:val="left"/>
              <w:rPr>
                <w:rFonts w:ascii="宋体" w:hAnsi="宋体" w:cs="宋体"/>
                <w:kern w:val="0"/>
                <w:sz w:val="24"/>
                <w:highlight w:val="none"/>
              </w:rPr>
            </w:pPr>
            <w:r>
              <w:rPr>
                <w:rFonts w:hint="eastAsia" w:ascii="宋体" w:hAnsi="宋体" w:cs="宋体"/>
                <w:kern w:val="0"/>
                <w:sz w:val="24"/>
                <w:highlight w:val="none"/>
              </w:rPr>
              <w:t>其他未列明行业 *</w:t>
            </w:r>
          </w:p>
        </w:tc>
        <w:tc>
          <w:tcPr>
            <w:tcW w:w="1560" w:type="dxa"/>
            <w:vAlign w:val="center"/>
          </w:tcPr>
          <w:p w14:paraId="4C3469F9">
            <w:pPr>
              <w:widowControl/>
              <w:jc w:val="left"/>
              <w:rPr>
                <w:rFonts w:ascii="宋体" w:hAnsi="宋体" w:cs="宋体"/>
                <w:kern w:val="0"/>
                <w:sz w:val="24"/>
                <w:highlight w:val="none"/>
              </w:rPr>
            </w:pPr>
            <w:r>
              <w:rPr>
                <w:rFonts w:hint="eastAsia" w:ascii="宋体" w:hAnsi="宋体" w:cs="宋体"/>
                <w:kern w:val="0"/>
                <w:sz w:val="24"/>
                <w:highlight w:val="none"/>
              </w:rPr>
              <w:t>从业人员(X)</w:t>
            </w:r>
          </w:p>
        </w:tc>
        <w:tc>
          <w:tcPr>
            <w:tcW w:w="671" w:type="dxa"/>
            <w:vAlign w:val="center"/>
          </w:tcPr>
          <w:p w14:paraId="4E777130">
            <w:pPr>
              <w:widowControl/>
              <w:jc w:val="left"/>
              <w:rPr>
                <w:rFonts w:ascii="宋体" w:hAnsi="宋体" w:cs="宋体"/>
                <w:kern w:val="0"/>
                <w:sz w:val="24"/>
                <w:highlight w:val="none"/>
              </w:rPr>
            </w:pPr>
            <w:r>
              <w:rPr>
                <w:rFonts w:hint="eastAsia" w:ascii="宋体" w:hAnsi="宋体" w:cs="宋体"/>
                <w:kern w:val="0"/>
                <w:sz w:val="24"/>
                <w:highlight w:val="none"/>
              </w:rPr>
              <w:t>人</w:t>
            </w:r>
          </w:p>
        </w:tc>
        <w:tc>
          <w:tcPr>
            <w:tcW w:w="1231" w:type="dxa"/>
            <w:vAlign w:val="center"/>
          </w:tcPr>
          <w:p w14:paraId="60C52A7C">
            <w:pPr>
              <w:widowControl/>
              <w:jc w:val="left"/>
              <w:rPr>
                <w:rFonts w:ascii="宋体" w:hAnsi="宋体" w:cs="宋体"/>
                <w:kern w:val="0"/>
                <w:sz w:val="24"/>
                <w:highlight w:val="none"/>
              </w:rPr>
            </w:pPr>
            <w:r>
              <w:rPr>
                <w:rFonts w:hint="eastAsia" w:ascii="宋体" w:hAnsi="宋体" w:cs="宋体"/>
                <w:kern w:val="0"/>
                <w:sz w:val="24"/>
                <w:highlight w:val="none"/>
              </w:rPr>
              <w:t>X≥300</w:t>
            </w:r>
          </w:p>
        </w:tc>
        <w:tc>
          <w:tcPr>
            <w:tcW w:w="1891" w:type="dxa"/>
            <w:vAlign w:val="center"/>
          </w:tcPr>
          <w:p w14:paraId="53837D18">
            <w:pPr>
              <w:widowControl/>
              <w:jc w:val="left"/>
              <w:rPr>
                <w:rFonts w:ascii="宋体" w:hAnsi="宋体" w:cs="宋体"/>
                <w:kern w:val="0"/>
                <w:sz w:val="24"/>
                <w:highlight w:val="none"/>
              </w:rPr>
            </w:pPr>
            <w:r>
              <w:rPr>
                <w:rFonts w:hint="eastAsia" w:ascii="宋体" w:hAnsi="宋体" w:cs="宋体"/>
                <w:kern w:val="0"/>
                <w:sz w:val="24"/>
                <w:highlight w:val="none"/>
              </w:rPr>
              <w:t>100≤X＜300</w:t>
            </w:r>
          </w:p>
        </w:tc>
        <w:tc>
          <w:tcPr>
            <w:tcW w:w="1730" w:type="dxa"/>
            <w:vAlign w:val="center"/>
          </w:tcPr>
          <w:p w14:paraId="5F9078C7">
            <w:pPr>
              <w:widowControl/>
              <w:jc w:val="left"/>
              <w:rPr>
                <w:rFonts w:ascii="宋体" w:hAnsi="宋体" w:cs="宋体"/>
                <w:kern w:val="0"/>
                <w:sz w:val="24"/>
                <w:highlight w:val="none"/>
              </w:rPr>
            </w:pPr>
            <w:r>
              <w:rPr>
                <w:rFonts w:hint="eastAsia" w:ascii="宋体" w:hAnsi="宋体" w:cs="宋体"/>
                <w:kern w:val="0"/>
                <w:sz w:val="24"/>
                <w:highlight w:val="none"/>
              </w:rPr>
              <w:t>10≤X＜100</w:t>
            </w:r>
          </w:p>
        </w:tc>
        <w:tc>
          <w:tcPr>
            <w:tcW w:w="1203" w:type="dxa"/>
            <w:vAlign w:val="center"/>
          </w:tcPr>
          <w:p w14:paraId="40A1F4CC">
            <w:pPr>
              <w:widowControl/>
              <w:jc w:val="left"/>
              <w:rPr>
                <w:rFonts w:ascii="宋体" w:hAnsi="宋体" w:cs="宋体"/>
                <w:kern w:val="0"/>
                <w:sz w:val="24"/>
                <w:highlight w:val="none"/>
              </w:rPr>
            </w:pPr>
            <w:r>
              <w:rPr>
                <w:rFonts w:hint="eastAsia" w:ascii="宋体" w:hAnsi="宋体" w:cs="宋体"/>
                <w:kern w:val="0"/>
                <w:sz w:val="24"/>
                <w:highlight w:val="none"/>
              </w:rPr>
              <w:t>X＜10</w:t>
            </w:r>
          </w:p>
        </w:tc>
      </w:tr>
    </w:tbl>
    <w:p w14:paraId="280202ED">
      <w:pPr>
        <w:widowControl/>
        <w:shd w:val="clear" w:color="auto" w:fill="FFFFFF"/>
        <w:spacing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说明： 　　</w:t>
      </w:r>
    </w:p>
    <w:p w14:paraId="3CC3A5B6">
      <w:pPr>
        <w:widowControl/>
        <w:shd w:val="clear" w:color="auto" w:fill="FFFFFF"/>
        <w:spacing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    1.大型、中型和小型企业须同时满足所列指标的下限，否则下划一档；微型企业只须满足所列指标中的一项即可。 　　</w:t>
      </w:r>
    </w:p>
    <w:p w14:paraId="297084D6">
      <w:pPr>
        <w:widowControl/>
        <w:shd w:val="clear" w:color="auto" w:fill="FFFFFF"/>
        <w:spacing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6231D286">
      <w:pPr>
        <w:widowControl/>
        <w:shd w:val="clear" w:color="auto" w:fill="FFFFFF"/>
        <w:spacing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    3.企业划分指标以现行统计制度为准。</w:t>
      </w:r>
    </w:p>
    <w:p w14:paraId="1F0CE1AA">
      <w:pPr>
        <w:widowControl/>
        <w:shd w:val="clear" w:color="auto" w:fill="FFFFFF"/>
        <w:spacing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    （1）从业人员，是指期末从业人员数，没有期末从业人员数的，采用全年平均人员数代替。</w:t>
      </w:r>
    </w:p>
    <w:p w14:paraId="6DEA805F">
      <w:pPr>
        <w:widowControl/>
        <w:shd w:val="clear" w:color="auto" w:fill="FFFFFF"/>
        <w:spacing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49E2048">
      <w:pPr>
        <w:widowControl/>
        <w:shd w:val="clear" w:color="auto" w:fill="FFFFFF"/>
        <w:spacing w:line="420" w:lineRule="atLeast"/>
        <w:jc w:val="left"/>
        <w:textAlignment w:val="baseline"/>
        <w:rPr>
          <w:rFonts w:ascii="宋体" w:hAnsi="宋体" w:cs="宋体"/>
          <w:kern w:val="0"/>
          <w:szCs w:val="21"/>
          <w:highlight w:val="none"/>
        </w:rPr>
      </w:pPr>
      <w:r>
        <w:rPr>
          <w:rFonts w:hint="eastAsia" w:ascii="宋体" w:hAnsi="宋体" w:cs="宋体"/>
          <w:kern w:val="0"/>
          <w:szCs w:val="21"/>
          <w:highlight w:val="none"/>
        </w:rPr>
        <w:t>    （3）资产总额，采用资产总计代替。</w:t>
      </w:r>
    </w:p>
    <w:p w14:paraId="5BE947B0">
      <w:pPr>
        <w:widowControl/>
        <w:jc w:val="left"/>
        <w:rPr>
          <w:rFonts w:ascii="宋体" w:hAnsi="宋体" w:cs="宋体"/>
          <w:kern w:val="0"/>
          <w:sz w:val="24"/>
          <w:highlight w:val="none"/>
        </w:rPr>
      </w:pPr>
    </w:p>
    <w:p w14:paraId="5C28DD7A">
      <w:pPr>
        <w:widowControl/>
        <w:jc w:val="left"/>
        <w:rPr>
          <w:rFonts w:ascii="宋体" w:hAnsi="宋体" w:cs="宋体"/>
          <w:kern w:val="0"/>
          <w:sz w:val="24"/>
          <w:highlight w:val="none"/>
        </w:rPr>
      </w:pPr>
    </w:p>
    <w:p w14:paraId="78B39C78">
      <w:pPr>
        <w:widowControl/>
        <w:shd w:val="clear" w:color="auto" w:fill="FFFFFF"/>
        <w:spacing w:before="150" w:line="600" w:lineRule="atLeast"/>
        <w:jc w:val="center"/>
        <w:textAlignment w:val="baseline"/>
        <w:rPr>
          <w:rFonts w:ascii="宋体" w:hAnsi="宋体" w:cs="宋体"/>
          <w:b/>
          <w:bCs/>
          <w:kern w:val="0"/>
          <w:sz w:val="36"/>
          <w:szCs w:val="36"/>
          <w:highlight w:val="none"/>
        </w:rPr>
      </w:pPr>
    </w:p>
    <w:p w14:paraId="36E504F1">
      <w:pPr>
        <w:widowControl/>
        <w:shd w:val="clear" w:color="auto" w:fill="FFFFFF"/>
        <w:spacing w:before="150" w:line="600" w:lineRule="atLeast"/>
        <w:jc w:val="center"/>
        <w:textAlignment w:val="baseline"/>
        <w:rPr>
          <w:rFonts w:ascii="宋体" w:hAnsi="宋体" w:cs="宋体"/>
          <w:b/>
          <w:bCs/>
          <w:kern w:val="0"/>
          <w:sz w:val="36"/>
          <w:szCs w:val="36"/>
          <w:highlight w:val="none"/>
        </w:rPr>
      </w:pPr>
    </w:p>
    <w:p w14:paraId="1CC96B57">
      <w:pPr>
        <w:widowControl/>
        <w:shd w:val="clear" w:color="auto" w:fill="FFFFFF"/>
        <w:spacing w:before="150" w:line="600" w:lineRule="atLeast"/>
        <w:jc w:val="center"/>
        <w:textAlignment w:val="baseline"/>
        <w:rPr>
          <w:rFonts w:ascii="宋体" w:hAnsi="宋体" w:cs="宋体"/>
          <w:b/>
          <w:bCs/>
          <w:kern w:val="0"/>
          <w:sz w:val="36"/>
          <w:szCs w:val="36"/>
          <w:highlight w:val="none"/>
        </w:rPr>
      </w:pPr>
    </w:p>
    <w:p w14:paraId="3A12081E">
      <w:pPr>
        <w:widowControl/>
        <w:shd w:val="clear" w:color="auto" w:fill="FFFFFF"/>
        <w:spacing w:before="150" w:line="600" w:lineRule="atLeast"/>
        <w:jc w:val="center"/>
        <w:textAlignment w:val="baseline"/>
        <w:rPr>
          <w:rFonts w:ascii="宋体" w:hAnsi="宋体" w:cs="宋体"/>
          <w:b/>
          <w:bCs/>
          <w:kern w:val="0"/>
          <w:sz w:val="36"/>
          <w:szCs w:val="36"/>
          <w:highlight w:val="none"/>
        </w:rPr>
      </w:pPr>
    </w:p>
    <w:p w14:paraId="30C5DBDE">
      <w:pPr>
        <w:widowControl/>
        <w:shd w:val="clear" w:color="auto" w:fill="FFFFFF"/>
        <w:spacing w:before="150" w:line="600" w:lineRule="atLeast"/>
        <w:textAlignment w:val="baseline"/>
        <w:rPr>
          <w:rFonts w:ascii="宋体" w:hAnsi="宋体" w:cs="宋体"/>
          <w:b/>
          <w:bCs/>
          <w:kern w:val="0"/>
          <w:sz w:val="36"/>
          <w:szCs w:val="36"/>
          <w:highlight w:val="none"/>
        </w:rPr>
      </w:pPr>
    </w:p>
    <w:p w14:paraId="515A1CC8">
      <w:pPr>
        <w:widowControl/>
        <w:shd w:val="clear" w:color="auto" w:fill="FFFFFF"/>
        <w:spacing w:before="150" w:line="600" w:lineRule="atLeast"/>
        <w:textAlignment w:val="baseline"/>
        <w:rPr>
          <w:rFonts w:ascii="宋体" w:hAnsi="宋体" w:cs="宋体"/>
          <w:b/>
          <w:bCs/>
          <w:kern w:val="0"/>
          <w:sz w:val="36"/>
          <w:szCs w:val="36"/>
          <w:highlight w:val="none"/>
        </w:rPr>
      </w:pPr>
    </w:p>
    <w:p w14:paraId="096A9CE7">
      <w:pPr>
        <w:widowControl/>
        <w:shd w:val="clear" w:color="auto" w:fill="FFFFFF"/>
        <w:spacing w:before="150" w:line="600" w:lineRule="atLeast"/>
        <w:textAlignment w:val="baseline"/>
        <w:rPr>
          <w:rFonts w:ascii="宋体" w:hAnsi="宋体" w:cs="宋体"/>
          <w:b/>
          <w:bCs/>
          <w:kern w:val="0"/>
          <w:sz w:val="36"/>
          <w:szCs w:val="36"/>
          <w:highlight w:val="none"/>
        </w:rPr>
      </w:pPr>
    </w:p>
    <w:p w14:paraId="061DDB4A">
      <w:pPr>
        <w:widowControl/>
        <w:shd w:val="clear" w:color="auto" w:fill="FFFFFF"/>
        <w:spacing w:before="150" w:line="600" w:lineRule="atLeast"/>
        <w:textAlignment w:val="baseline"/>
        <w:rPr>
          <w:rFonts w:ascii="宋体" w:hAnsi="宋体" w:cs="宋体"/>
          <w:b/>
          <w:bCs/>
          <w:kern w:val="0"/>
          <w:sz w:val="36"/>
          <w:szCs w:val="36"/>
          <w:highlight w:val="none"/>
        </w:rPr>
      </w:pPr>
      <w:r>
        <w:rPr>
          <w:rFonts w:hint="eastAsia" w:ascii="宋体" w:hAnsi="宋体" w:cs="宋体"/>
          <w:b/>
          <w:bCs/>
          <w:kern w:val="0"/>
          <w:sz w:val="36"/>
          <w:szCs w:val="36"/>
          <w:highlight w:val="none"/>
        </w:rPr>
        <w:t>《统计上大中小微型企业划分办法（2017）》修订说明</w:t>
      </w:r>
    </w:p>
    <w:p w14:paraId="450FD616">
      <w:pPr>
        <w:widowControl/>
        <w:shd w:val="clear" w:color="auto" w:fill="FFFFFF"/>
        <w:spacing w:before="150" w:line="540" w:lineRule="atLeast"/>
        <w:jc w:val="left"/>
        <w:textAlignment w:val="baseline"/>
        <w:rPr>
          <w:rFonts w:ascii="宋体" w:hAnsi="宋体" w:cs="宋体"/>
          <w:b/>
          <w:bCs/>
          <w:kern w:val="0"/>
          <w:sz w:val="27"/>
          <w:szCs w:val="27"/>
        </w:rPr>
      </w:pPr>
      <w:r>
        <w:rPr>
          <w:rFonts w:hint="eastAsia" w:ascii="宋体" w:hAnsi="宋体" w:cs="宋体"/>
          <w:b/>
          <w:bCs/>
          <w:kern w:val="0"/>
          <w:sz w:val="27"/>
          <w:szCs w:val="27"/>
        </w:rPr>
        <w:t>一、修订背景</w:t>
      </w:r>
    </w:p>
    <w:p w14:paraId="73E22A9D">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B157A21">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1E0598E">
      <w:pPr>
        <w:widowControl/>
        <w:shd w:val="clear" w:color="auto" w:fill="FFFFFF"/>
        <w:spacing w:before="150" w:line="540" w:lineRule="atLeast"/>
        <w:jc w:val="left"/>
        <w:textAlignment w:val="baseline"/>
        <w:rPr>
          <w:rFonts w:ascii="宋体" w:hAnsi="宋体" w:cs="宋体"/>
          <w:b/>
          <w:bCs/>
          <w:kern w:val="0"/>
          <w:sz w:val="27"/>
          <w:szCs w:val="27"/>
        </w:rPr>
      </w:pPr>
      <w:r>
        <w:rPr>
          <w:rFonts w:hint="eastAsia" w:ascii="宋体" w:hAnsi="宋体" w:cs="宋体"/>
          <w:b/>
          <w:bCs/>
          <w:kern w:val="0"/>
          <w:sz w:val="27"/>
          <w:szCs w:val="27"/>
        </w:rPr>
        <w:t>二、修订主要内容</w:t>
      </w:r>
    </w:p>
    <w:p w14:paraId="1087FDB5">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3238E6B4">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将交通运输业中包括的“装卸搬运和运输代理业”修改为“多式联运和运输代理业、装卸搬运”。</w:t>
      </w:r>
    </w:p>
    <w:p w14:paraId="39821C22">
      <w:pPr>
        <w:widowControl/>
        <w:shd w:val="clear" w:color="auto" w:fill="FFFFFF"/>
        <w:spacing w:before="150" w:line="420" w:lineRule="atLeast"/>
        <w:jc w:val="left"/>
        <w:textAlignment w:val="baseline"/>
        <w:rPr>
          <w:rFonts w:ascii="宋体" w:hAnsi="宋体" w:cs="宋体"/>
          <w:kern w:val="0"/>
          <w:szCs w:val="21"/>
        </w:rPr>
      </w:pPr>
      <w:r>
        <w:rPr>
          <w:rFonts w:hint="eastAsia" w:ascii="宋体" w:hAnsi="宋体" w:cs="宋体"/>
          <w:kern w:val="0"/>
          <w:szCs w:val="21"/>
        </w:rPr>
        <w:t>    仓储业所包括的行业中类，根据《国民经济行业分类》（GB/T4754—2017）调整为“通用仓储，低温仓储，危险品仓储，谷物、棉花等农产品仓储，中药材仓储和其他仓储业”。</w:t>
      </w:r>
    </w:p>
    <w:p w14:paraId="5AF4E4CD">
      <w:pPr>
        <w:widowControl/>
        <w:jc w:val="left"/>
        <w:rPr>
          <w:rFonts w:ascii="宋体" w:hAnsi="宋体" w:cs="宋体"/>
          <w:kern w:val="0"/>
          <w:sz w:val="18"/>
          <w:szCs w:val="18"/>
        </w:rPr>
      </w:pPr>
    </w:p>
    <w:p w14:paraId="674170FF"/>
    <w:p w14:paraId="5D46D91F"/>
    <w:p w14:paraId="1D4EC8DD"/>
    <w:sectPr>
      <w:headerReference r:id="rId12" w:type="default"/>
      <w:footerReference r:id="rId13" w:type="default"/>
      <w:type w:val="continuous"/>
      <w:pgSz w:w="11906" w:h="16838"/>
      <w:pgMar w:top="1440" w:right="1169" w:bottom="1440" w:left="1797" w:header="851" w:footer="992" w:gutter="0"/>
      <w:cols w:space="72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09536">
    <w:pPr>
      <w:pStyle w:val="16"/>
    </w:pPr>
    <w:r>
      <w:pict>
        <v:shape id="_x0000_s1031" o:spid="_x0000_s1031"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WywGlKwBAABPAwAA&#10;DgAAAAAAAAABACAAAAAeAQAAZHJzL2Uyb0RvYy54bWxQSwUGAAAAAAYABgBZAQAAPAUAAAAA&#10;">
          <v:path/>
          <v:fill on="f" focussize="0,0"/>
          <v:stroke on="f" joinstyle="miter"/>
          <v:imagedata o:title=""/>
          <o:lock v:ext="edit"/>
          <v:textbox inset="0mm,0mm,0mm,0mm" style="mso-fit-shape-to-text:t;">
            <w:txbxContent>
              <w:p w14:paraId="56638250">
                <w:pPr>
                  <w:pStyle w:val="16"/>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E8E14">
    <w:pPr>
      <w:pStyle w:val="16"/>
      <w:ind w:right="360"/>
      <w:jc w:val="center"/>
    </w:pPr>
    <w:r>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nftjJqwBAABPAwAA&#10;DgAAAAAAAAABACAAAAAeAQAAZHJzL2Uyb0RvYy54bWxQSwUGAAAAAAYABgBZAQAAPAUAAAAA&#10;">
          <v:path/>
          <v:fill on="f" focussize="0,0"/>
          <v:stroke on="f" joinstyle="miter"/>
          <v:imagedata o:title=""/>
          <o:lock v:ext="edit"/>
          <v:textbox inset="0mm,0mm,0mm,0mm" style="mso-fit-shape-to-text:t;">
            <w:txbxContent>
              <w:p w14:paraId="48FF5FDD">
                <w:pPr>
                  <w:pStyle w:val="16"/>
                  <w:rPr>
                    <w:rFonts w:eastAsia="宋体"/>
                  </w:rPr>
                </w:pPr>
                <w:r>
                  <w:fldChar w:fldCharType="begin"/>
                </w:r>
                <w:r>
                  <w:instrText xml:space="preserve"> PAGE  \* MERGEFORMAT </w:instrText>
                </w:r>
                <w:r>
                  <w:fldChar w:fldCharType="separate"/>
                </w:r>
                <w:r>
                  <w:t>43</w:t>
                </w:r>
                <w:r>
                  <w:fldChar w:fldCharType="end"/>
                </w:r>
              </w:p>
            </w:txbxContent>
          </v:textbox>
        </v:shape>
      </w:pict>
    </w:r>
    <w:r>
      <w:rPr>
        <w:rFonts w:hint="eastAsia"/>
      </w:rPr>
      <w:t>浙江五石中正工程咨询有限公司衢州分公司</w:t>
    </w:r>
  </w:p>
  <w:p w14:paraId="4CBB4E5E">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3AB3D">
    <w:pPr>
      <w:pStyle w:val="16"/>
      <w:ind w:right="360" w:firstLine="360"/>
    </w:pPr>
    <w:r>
      <w:pict>
        <v:shape id="_x0000_s1030" o:spid="_x0000_s1030"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lfknQAAAAAwEAAA8AAAAAAAAAAQAgAAAA&#10;IgAAAGRycy9kb3ducmV2LnhtbFBLAQIUABQAAAAIAIdO4kBT8kDC2gEAAJIDAAAOAAAAAAAAAAEA&#10;IAAAAB8BAABkcnMvZTJvRG9jLnhtbFBLBQYAAAAABgAGAFkBAABrBQAAAAA=&#10;">
          <v:path/>
          <v:fill on="f" focussize="0,0"/>
          <v:stroke on="f" joinstyle="miter"/>
          <v:imagedata o:title=""/>
          <o:lock v:ext="edit"/>
          <v:textbox inset="0mm,0mm,0mm,0mm" style="mso-fit-shape-to-text:t;">
            <w:txbxContent>
              <w:p w14:paraId="16EC371D">
                <w:pPr>
                  <w:pStyle w:val="16"/>
                </w:pPr>
                <w:r>
                  <w:fldChar w:fldCharType="begin"/>
                </w:r>
                <w:r>
                  <w:instrText xml:space="preserve"> PAGE  \* MERGEFORMAT </w:instrText>
                </w:r>
                <w:r>
                  <w:fldChar w:fldCharType="separate"/>
                </w:r>
                <w:r>
                  <w:t>29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4A04C">
    <w:pPr>
      <w:pStyle w:val="16"/>
      <w:ind w:right="360"/>
      <w:jc w:val="center"/>
    </w:pPr>
    <w:r>
      <w:pict>
        <v:shape id="_x0000_s1028" o:spid="_x0000_s1028"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WhbwrqwEAAE8DAAAO&#10;AAAAAAAAAAEAIAAAAB4BAABkcnMvZTJvRG9jLnhtbFBLBQYAAAAABgAGAFkBAAA7BQAAAAA=&#10;">
          <v:path/>
          <v:fill on="f" focussize="0,0"/>
          <v:stroke on="f" joinstyle="miter"/>
          <v:imagedata o:title=""/>
          <o:lock v:ext="edit"/>
          <v:textbox inset="0mm,0mm,0mm,0mm" style="mso-fit-shape-to-text:t;">
            <w:txbxContent>
              <w:p w14:paraId="2CA19FD8">
                <w:pPr>
                  <w:pStyle w:val="16"/>
                </w:pPr>
                <w:r>
                  <w:fldChar w:fldCharType="begin"/>
                </w:r>
                <w:r>
                  <w:instrText xml:space="preserve"> PAGE  \* MERGEFORMAT </w:instrText>
                </w:r>
                <w:r>
                  <w:fldChar w:fldCharType="separate"/>
                </w:r>
                <w:r>
                  <w:t>57</w:t>
                </w:r>
                <w:r>
                  <w:fldChar w:fldCharType="end"/>
                </w:r>
              </w:p>
            </w:txbxContent>
          </v:textbox>
        </v:shape>
      </w:pict>
    </w:r>
    <w:r>
      <w:rPr>
        <w:rFonts w:hint="eastAsia"/>
      </w:rPr>
      <w:t>浙江五石中正工程咨询有限公司衢州分公司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F5D6">
    <w:pPr>
      <w:pStyle w:val="16"/>
      <w:ind w:right="360"/>
      <w:jc w:val="center"/>
    </w:pPr>
    <w:r>
      <w:pict>
        <v:shape id="_x0000_s1029" o:spid="_x0000_s1029" o:spt="202" type="#_x0000_t202" style="position:absolute;left:0pt;margin-top:0pt;height:17.1pt;width:16.5pt;mso-position-horizontal:right;mso-position-horizontal-relative:margin;z-index:251662336;mso-width-relative:page;mso-height-relative:page;" filled="f" stroked="f" coordsize="21600,21600" o:gfxdata="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UiyD0NMAAAADAQAADwAAAAAAAAABACAAAAAi&#10;AAAAZHJzL2Rvd25yZXYueG1sUEsBAhQAFAAAAAgAh07iQGxEdEydAQAAJQMAAA4AAAAAAAAAAQAg&#10;AAAAIgEAAGRycy9lMm9Eb2MueG1sUEsFBgAAAAAGAAYAWQEAADEFAAAAAA==&#10;">
          <v:path/>
          <v:fill on="f" focussize="0,0"/>
          <v:stroke on="f" joinstyle="miter"/>
          <v:imagedata o:title=""/>
          <o:lock v:ext="edit"/>
          <v:textbox inset="0mm,0mm,0mm,0mm">
            <w:txbxContent>
              <w:p w14:paraId="1B079F27">
                <w:pPr>
                  <w:pStyle w:val="16"/>
                  <w:ind w:firstLine="180" w:firstLineChars="100"/>
                  <w:rPr>
                    <w:rFonts w:eastAsia="宋体"/>
                  </w:rPr>
                </w:pPr>
                <w:r>
                  <w:fldChar w:fldCharType="begin"/>
                </w:r>
                <w:r>
                  <w:instrText xml:space="preserve"> PAGE  \* MERGEFORMAT </w:instrText>
                </w:r>
                <w:r>
                  <w:fldChar w:fldCharType="separate"/>
                </w:r>
                <w:r>
                  <w:t>41</w:t>
                </w:r>
                <w:r>
                  <w:fldChar w:fldCharType="end"/>
                </w:r>
              </w:p>
            </w:txbxContent>
          </v:textbox>
        </v:shape>
      </w:pict>
    </w:r>
    <w:r>
      <w:rPr>
        <w:rFonts w:hint="eastAsia"/>
      </w:rPr>
      <w:t>浙江五石中正工程咨询有限公司衢州分公司</w:t>
    </w:r>
  </w:p>
  <w:p w14:paraId="5FA59D63">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133DE">
    <w:pPr>
      <w:pStyle w:val="16"/>
      <w:ind w:right="720" w:firstLine="180" w:firstLineChars="100"/>
      <w:jc w:val="center"/>
    </w:pPr>
    <w: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l3XLKqwEAAE0DAAAO&#10;AAAAAAAAAAEAIAAAAB4BAABkcnMvZTJvRG9jLnhtbFBLBQYAAAAABgAGAFkBAAA7BQAAAAA=&#10;">
          <v:path/>
          <v:fill on="f" focussize="0,0"/>
          <v:stroke on="f" joinstyle="miter"/>
          <v:imagedata o:title=""/>
          <o:lock v:ext="edit"/>
          <v:textbox inset="0mm,0mm,0mm,0mm" style="mso-fit-shape-to-text:t;">
            <w:txbxContent>
              <w:p w14:paraId="68236EDE">
                <w:pPr>
                  <w:pStyle w:val="16"/>
                  <w:rPr>
                    <w:rFonts w:eastAsia="宋体"/>
                  </w:rPr>
                </w:pPr>
                <w:r>
                  <w:fldChar w:fldCharType="begin"/>
                </w:r>
                <w:r>
                  <w:instrText xml:space="preserve"> PAGE  \* MERGEFORMAT </w:instrText>
                </w:r>
                <w:r>
                  <w:fldChar w:fldCharType="separate"/>
                </w:r>
                <w:r>
                  <w:t>82</w:t>
                </w:r>
                <w:r>
                  <w:fldChar w:fldCharType="end"/>
                </w:r>
              </w:p>
            </w:txbxContent>
          </v:textbox>
        </v:shape>
      </w:pict>
    </w:r>
    <w:r>
      <w:rPr>
        <w:rFonts w:hint="eastAsia"/>
      </w:rPr>
      <w:t>浙江五石中正工程咨询有限公司衢州分公司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AB923">
    <w:pPr>
      <w:pStyle w:val="17"/>
      <w:rPr>
        <w:rFonts w:ascii="宋体" w:hAnsi="宋体" w:cs="宋体"/>
        <w:b/>
        <w:bCs/>
        <w:sz w:val="21"/>
        <w:szCs w:val="21"/>
      </w:rPr>
    </w:pPr>
    <w:r>
      <w:rPr>
        <w:rFonts w:hint="eastAsia" w:ascii="宋体" w:hAnsi="宋体" w:cs="宋体"/>
        <w:b/>
        <w:bCs/>
        <w:sz w:val="21"/>
        <w:szCs w:val="21"/>
        <w:lang w:eastAsia="zh-CN"/>
      </w:rPr>
      <w:t>2025年-2027年衢江区计生特殊家庭健康保险采购</w:t>
    </w:r>
    <w:r>
      <w:rPr>
        <w:rFonts w:hint="eastAsia" w:ascii="宋体" w:hAnsi="宋体" w:cs="宋体"/>
        <w:b/>
        <w:bCs/>
        <w:sz w:val="21"/>
        <w:szCs w:val="21"/>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0FDC6">
    <w:pPr>
      <w:pStyle w:val="17"/>
      <w:rPr>
        <w:rFonts w:ascii="宋体" w:hAnsi="宋体" w:eastAsia="宋体" w:cs="宋体"/>
        <w:b/>
        <w:bCs/>
        <w:sz w:val="24"/>
        <w:u w:val="single"/>
      </w:rPr>
    </w:pPr>
    <w:r>
      <w:rPr>
        <w:rFonts w:hint="eastAsia" w:ascii="宋体" w:hAnsi="宋体" w:cs="宋体"/>
        <w:b/>
        <w:bCs/>
        <w:sz w:val="21"/>
        <w:szCs w:val="21"/>
        <w:lang w:eastAsia="zh-CN"/>
      </w:rPr>
      <w:t>2025年-2027年衢江区计生特殊家庭健康保险采购</w:t>
    </w:r>
    <w:r>
      <w:rPr>
        <w:rFonts w:hint="eastAsia" w:ascii="宋体" w:hAnsi="宋体" w:cs="宋体"/>
        <w:b/>
        <w:bCs/>
        <w:sz w:val="21"/>
        <w:szCs w:val="21"/>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86EE">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1F2AA">
    <w:pPr>
      <w:pStyle w:val="17"/>
      <w:rPr>
        <w:rFonts w:ascii="宋体" w:hAnsi="宋体" w:cs="宋体"/>
        <w:b/>
        <w:bCs/>
        <w:sz w:val="21"/>
        <w:szCs w:val="21"/>
      </w:rPr>
    </w:pPr>
    <w:r>
      <w:rPr>
        <w:rFonts w:hint="eastAsia" w:ascii="宋体" w:hAnsi="宋体" w:cs="宋体"/>
        <w:b/>
        <w:bCs/>
        <w:sz w:val="21"/>
        <w:szCs w:val="21"/>
        <w:lang w:eastAsia="zh-CN"/>
      </w:rPr>
      <w:t>2025年-2027年衢江区计生特殊家庭健康保险采购</w:t>
    </w:r>
    <w:r>
      <w:rPr>
        <w:rFonts w:hint="eastAsia" w:ascii="宋体" w:hAnsi="宋体" w:cs="宋体"/>
        <w:b/>
        <w:bCs/>
        <w:sz w:val="21"/>
        <w:szCs w:val="21"/>
      </w:rPr>
      <w:t>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48EF6">
    <w:pPr>
      <w:pStyle w:val="17"/>
      <w:rPr>
        <w:rFonts w:ascii="宋体" w:hAnsi="宋体" w:cs="宋体"/>
        <w:b/>
        <w:bCs/>
        <w:sz w:val="21"/>
        <w:szCs w:val="21"/>
      </w:rPr>
    </w:pPr>
    <w:r>
      <w:rPr>
        <w:rFonts w:hint="eastAsia" w:ascii="宋体" w:hAnsi="宋体" w:cs="宋体"/>
        <w:b/>
        <w:bCs/>
        <w:sz w:val="21"/>
        <w:szCs w:val="21"/>
        <w:lang w:eastAsia="zh-CN"/>
      </w:rPr>
      <w:t>2025年-2027年衢江区计生特殊家庭健康保险采购</w:t>
    </w:r>
    <w:r>
      <w:rPr>
        <w:rFonts w:hint="eastAsia" w:ascii="宋体" w:hAnsi="宋体" w:cs="宋体"/>
        <w:b/>
        <w:bCs/>
        <w:sz w:val="21"/>
        <w:szCs w:val="21"/>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1ACE2"/>
    <w:multiLevelType w:val="singleLevel"/>
    <w:tmpl w:val="9671ACE2"/>
    <w:lvl w:ilvl="0" w:tentative="0">
      <w:start w:val="2"/>
      <w:numFmt w:val="decimal"/>
      <w:suff w:val="nothing"/>
      <w:lvlText w:val="%1、"/>
      <w:lvlJc w:val="left"/>
    </w:lvl>
  </w:abstractNum>
  <w:abstractNum w:abstractNumId="1">
    <w:nsid w:val="9CCF384F"/>
    <w:multiLevelType w:val="singleLevel"/>
    <w:tmpl w:val="9CCF384F"/>
    <w:lvl w:ilvl="0" w:tentative="0">
      <w:start w:val="5"/>
      <w:numFmt w:val="chineseCounting"/>
      <w:suff w:val="space"/>
      <w:lvlText w:val="第%1章"/>
      <w:lvlJc w:val="left"/>
      <w:rPr>
        <w:rFonts w:hint="eastAsia"/>
      </w:rPr>
    </w:lvl>
  </w:abstractNum>
  <w:abstractNum w:abstractNumId="2">
    <w:nsid w:val="A599DC14"/>
    <w:multiLevelType w:val="singleLevel"/>
    <w:tmpl w:val="A599DC14"/>
    <w:lvl w:ilvl="0" w:tentative="0">
      <w:start w:val="6"/>
      <w:numFmt w:val="chineseCounting"/>
      <w:suff w:val="nothing"/>
      <w:lvlText w:val="%1、"/>
      <w:lvlJc w:val="left"/>
      <w:rPr>
        <w:rFonts w:hint="eastAsia"/>
        <w:b/>
        <w:bCs/>
      </w:rPr>
    </w:lvl>
  </w:abstractNum>
  <w:abstractNum w:abstractNumId="3">
    <w:nsid w:val="C486F27F"/>
    <w:multiLevelType w:val="singleLevel"/>
    <w:tmpl w:val="C486F27F"/>
    <w:lvl w:ilvl="0" w:tentative="0">
      <w:start w:val="2"/>
      <w:numFmt w:val="decimal"/>
      <w:suff w:val="nothing"/>
      <w:lvlText w:val="%1、"/>
      <w:lvlJc w:val="left"/>
    </w:lvl>
  </w:abstractNum>
  <w:abstractNum w:abstractNumId="4">
    <w:nsid w:val="D4FA1C4D"/>
    <w:multiLevelType w:val="singleLevel"/>
    <w:tmpl w:val="D4FA1C4D"/>
    <w:lvl w:ilvl="0" w:tentative="0">
      <w:start w:val="1"/>
      <w:numFmt w:val="decimal"/>
      <w:suff w:val="nothing"/>
      <w:lvlText w:val="（%1）"/>
      <w:lvlJc w:val="left"/>
    </w:lvl>
  </w:abstractNum>
  <w:abstractNum w:abstractNumId="5">
    <w:nsid w:val="EB4BE631"/>
    <w:multiLevelType w:val="singleLevel"/>
    <w:tmpl w:val="EB4BE631"/>
    <w:lvl w:ilvl="0" w:tentative="0">
      <w:start w:val="1"/>
      <w:numFmt w:val="decimal"/>
      <w:lvlText w:val="%1."/>
      <w:lvlJc w:val="left"/>
      <w:pPr>
        <w:tabs>
          <w:tab w:val="left" w:pos="312"/>
        </w:tabs>
      </w:pPr>
    </w:lvl>
  </w:abstractNum>
  <w:abstractNum w:abstractNumId="6">
    <w:nsid w:val="F0807FB3"/>
    <w:multiLevelType w:val="singleLevel"/>
    <w:tmpl w:val="F0807FB3"/>
    <w:lvl w:ilvl="0" w:tentative="0">
      <w:start w:val="2"/>
      <w:numFmt w:val="chineseCounting"/>
      <w:suff w:val="nothing"/>
      <w:lvlText w:val="（%1）"/>
      <w:lvlJc w:val="left"/>
      <w:rPr>
        <w:rFonts w:hint="eastAsia"/>
      </w:rPr>
    </w:lvl>
  </w:abstractNum>
  <w:abstractNum w:abstractNumId="7">
    <w:nsid w:val="1E80E6C8"/>
    <w:multiLevelType w:val="singleLevel"/>
    <w:tmpl w:val="1E80E6C8"/>
    <w:lvl w:ilvl="0" w:tentative="0">
      <w:start w:val="3"/>
      <w:numFmt w:val="decimal"/>
      <w:suff w:val="nothing"/>
      <w:lvlText w:val="（%1）"/>
      <w:lvlJc w:val="left"/>
    </w:lvl>
  </w:abstractNum>
  <w:abstractNum w:abstractNumId="8">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7B588253"/>
    <w:multiLevelType w:val="singleLevel"/>
    <w:tmpl w:val="7B588253"/>
    <w:lvl w:ilvl="0" w:tentative="0">
      <w:start w:val="1"/>
      <w:numFmt w:val="decimal"/>
      <w:pStyle w:val="5"/>
      <w:lvlText w:val="%1."/>
      <w:lvlJc w:val="left"/>
      <w:pPr>
        <w:tabs>
          <w:tab w:val="left" w:pos="360"/>
        </w:tabs>
        <w:ind w:left="360" w:hanging="360"/>
      </w:p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BlODBmMjAwMWM2YTRlZDM1MzcyMDllN2ZkMzY0MTkifQ=="/>
  </w:docVars>
  <w:rsids>
    <w:rsidRoot w:val="00B16434"/>
    <w:rsid w:val="00003206"/>
    <w:rsid w:val="001612F0"/>
    <w:rsid w:val="001D58C3"/>
    <w:rsid w:val="001E22C3"/>
    <w:rsid w:val="00210D69"/>
    <w:rsid w:val="002A287E"/>
    <w:rsid w:val="003532FE"/>
    <w:rsid w:val="00442CAF"/>
    <w:rsid w:val="005451DE"/>
    <w:rsid w:val="00573D11"/>
    <w:rsid w:val="005858AC"/>
    <w:rsid w:val="005F0BED"/>
    <w:rsid w:val="00681682"/>
    <w:rsid w:val="006A2B4C"/>
    <w:rsid w:val="006D108F"/>
    <w:rsid w:val="007759E0"/>
    <w:rsid w:val="007A0CA5"/>
    <w:rsid w:val="008933AA"/>
    <w:rsid w:val="00953FDC"/>
    <w:rsid w:val="009931E2"/>
    <w:rsid w:val="009A32CF"/>
    <w:rsid w:val="00A04E21"/>
    <w:rsid w:val="00AA0960"/>
    <w:rsid w:val="00B16434"/>
    <w:rsid w:val="00B20B3B"/>
    <w:rsid w:val="00B406C6"/>
    <w:rsid w:val="00B900A1"/>
    <w:rsid w:val="00B91E4F"/>
    <w:rsid w:val="00C84209"/>
    <w:rsid w:val="00D85F52"/>
    <w:rsid w:val="00F108E9"/>
    <w:rsid w:val="00F67286"/>
    <w:rsid w:val="00FC7977"/>
    <w:rsid w:val="0100390C"/>
    <w:rsid w:val="010D427B"/>
    <w:rsid w:val="01136626"/>
    <w:rsid w:val="01170C55"/>
    <w:rsid w:val="011A3F34"/>
    <w:rsid w:val="012B64AF"/>
    <w:rsid w:val="01395070"/>
    <w:rsid w:val="014A4B87"/>
    <w:rsid w:val="014B3038"/>
    <w:rsid w:val="01514167"/>
    <w:rsid w:val="017305BD"/>
    <w:rsid w:val="01827286"/>
    <w:rsid w:val="018362EB"/>
    <w:rsid w:val="01A06E9D"/>
    <w:rsid w:val="01A3073B"/>
    <w:rsid w:val="01D803E5"/>
    <w:rsid w:val="01E02E34"/>
    <w:rsid w:val="01F571E8"/>
    <w:rsid w:val="02054F52"/>
    <w:rsid w:val="02171CA3"/>
    <w:rsid w:val="023D46EC"/>
    <w:rsid w:val="023F0464"/>
    <w:rsid w:val="024628D4"/>
    <w:rsid w:val="027125E7"/>
    <w:rsid w:val="027520D7"/>
    <w:rsid w:val="02866093"/>
    <w:rsid w:val="029A7D90"/>
    <w:rsid w:val="02C0446B"/>
    <w:rsid w:val="02C6101B"/>
    <w:rsid w:val="02DE7C7D"/>
    <w:rsid w:val="03165668"/>
    <w:rsid w:val="033350FA"/>
    <w:rsid w:val="034C108A"/>
    <w:rsid w:val="035B12CD"/>
    <w:rsid w:val="0370574B"/>
    <w:rsid w:val="03710AF1"/>
    <w:rsid w:val="037800D1"/>
    <w:rsid w:val="03791753"/>
    <w:rsid w:val="038500F8"/>
    <w:rsid w:val="039667A9"/>
    <w:rsid w:val="03A320AB"/>
    <w:rsid w:val="03AF1619"/>
    <w:rsid w:val="03B1713F"/>
    <w:rsid w:val="03C95805"/>
    <w:rsid w:val="03EE2141"/>
    <w:rsid w:val="040E4592"/>
    <w:rsid w:val="0414147C"/>
    <w:rsid w:val="04227647"/>
    <w:rsid w:val="044A0DCB"/>
    <w:rsid w:val="048876CC"/>
    <w:rsid w:val="048900BC"/>
    <w:rsid w:val="049A7BD3"/>
    <w:rsid w:val="04B06424"/>
    <w:rsid w:val="04BF4212"/>
    <w:rsid w:val="04C44C50"/>
    <w:rsid w:val="04F27A0F"/>
    <w:rsid w:val="052B2F21"/>
    <w:rsid w:val="05673499"/>
    <w:rsid w:val="056900C2"/>
    <w:rsid w:val="0598379D"/>
    <w:rsid w:val="05AF3B52"/>
    <w:rsid w:val="05B178CA"/>
    <w:rsid w:val="05B41169"/>
    <w:rsid w:val="05C0366A"/>
    <w:rsid w:val="05E530D0"/>
    <w:rsid w:val="05F371D5"/>
    <w:rsid w:val="06163BD1"/>
    <w:rsid w:val="062532D0"/>
    <w:rsid w:val="0642797C"/>
    <w:rsid w:val="06593E6E"/>
    <w:rsid w:val="06DC0977"/>
    <w:rsid w:val="06DD649D"/>
    <w:rsid w:val="06E93094"/>
    <w:rsid w:val="06F21B6F"/>
    <w:rsid w:val="070103DE"/>
    <w:rsid w:val="070659F4"/>
    <w:rsid w:val="070E48A8"/>
    <w:rsid w:val="073C70FF"/>
    <w:rsid w:val="074D53D1"/>
    <w:rsid w:val="077010BF"/>
    <w:rsid w:val="07702E6D"/>
    <w:rsid w:val="07736B6E"/>
    <w:rsid w:val="07754928"/>
    <w:rsid w:val="07E938A8"/>
    <w:rsid w:val="07F27D26"/>
    <w:rsid w:val="08030185"/>
    <w:rsid w:val="080F08D8"/>
    <w:rsid w:val="08487981"/>
    <w:rsid w:val="085C78FC"/>
    <w:rsid w:val="08775D00"/>
    <w:rsid w:val="08874E83"/>
    <w:rsid w:val="089B0FD2"/>
    <w:rsid w:val="08B1198F"/>
    <w:rsid w:val="08DA7138"/>
    <w:rsid w:val="0913264A"/>
    <w:rsid w:val="09136D79"/>
    <w:rsid w:val="092108C3"/>
    <w:rsid w:val="0922463B"/>
    <w:rsid w:val="09274208"/>
    <w:rsid w:val="093D3223"/>
    <w:rsid w:val="0949606C"/>
    <w:rsid w:val="094C2162"/>
    <w:rsid w:val="09510A7C"/>
    <w:rsid w:val="097C60B7"/>
    <w:rsid w:val="09882978"/>
    <w:rsid w:val="099866AB"/>
    <w:rsid w:val="099C619C"/>
    <w:rsid w:val="09B66248"/>
    <w:rsid w:val="09BB5C35"/>
    <w:rsid w:val="09C15C02"/>
    <w:rsid w:val="09D61080"/>
    <w:rsid w:val="09D93BE3"/>
    <w:rsid w:val="0A424F95"/>
    <w:rsid w:val="0A5A74DD"/>
    <w:rsid w:val="0A6E5D8A"/>
    <w:rsid w:val="0A821835"/>
    <w:rsid w:val="0A9831C1"/>
    <w:rsid w:val="0AA479FE"/>
    <w:rsid w:val="0AAC68B2"/>
    <w:rsid w:val="0AAD6684"/>
    <w:rsid w:val="0AB15C77"/>
    <w:rsid w:val="0ABB6AF5"/>
    <w:rsid w:val="0ACD597D"/>
    <w:rsid w:val="0AFA45BD"/>
    <w:rsid w:val="0B0A1C92"/>
    <w:rsid w:val="0B163D2C"/>
    <w:rsid w:val="0B1D155E"/>
    <w:rsid w:val="0B444D3D"/>
    <w:rsid w:val="0B7078E0"/>
    <w:rsid w:val="0B71249B"/>
    <w:rsid w:val="0BD7170D"/>
    <w:rsid w:val="0BF7590B"/>
    <w:rsid w:val="0C2801BA"/>
    <w:rsid w:val="0C322DE7"/>
    <w:rsid w:val="0C346B5F"/>
    <w:rsid w:val="0C9141AC"/>
    <w:rsid w:val="0C9A5778"/>
    <w:rsid w:val="0CAB4DA3"/>
    <w:rsid w:val="0CE95B9C"/>
    <w:rsid w:val="0CF112B7"/>
    <w:rsid w:val="0D140B10"/>
    <w:rsid w:val="0D162709"/>
    <w:rsid w:val="0D201A9A"/>
    <w:rsid w:val="0D3D1A44"/>
    <w:rsid w:val="0D502628"/>
    <w:rsid w:val="0D643474"/>
    <w:rsid w:val="0D8D29CB"/>
    <w:rsid w:val="0D957AD2"/>
    <w:rsid w:val="0D9C2C0E"/>
    <w:rsid w:val="0DC1145D"/>
    <w:rsid w:val="0DE325EB"/>
    <w:rsid w:val="0DE876F4"/>
    <w:rsid w:val="0DEB14A0"/>
    <w:rsid w:val="0DF26CD2"/>
    <w:rsid w:val="0E012A71"/>
    <w:rsid w:val="0E1D4822"/>
    <w:rsid w:val="0E215C3B"/>
    <w:rsid w:val="0E2C2B37"/>
    <w:rsid w:val="0E370B89"/>
    <w:rsid w:val="0EAA4EB7"/>
    <w:rsid w:val="0ED347A7"/>
    <w:rsid w:val="0EDA48C9"/>
    <w:rsid w:val="0F075642"/>
    <w:rsid w:val="0F1113DA"/>
    <w:rsid w:val="0F1B4006"/>
    <w:rsid w:val="0F405C4E"/>
    <w:rsid w:val="0F411D39"/>
    <w:rsid w:val="0F442038"/>
    <w:rsid w:val="0F59068B"/>
    <w:rsid w:val="0F81030D"/>
    <w:rsid w:val="0F8C280E"/>
    <w:rsid w:val="0FA062BA"/>
    <w:rsid w:val="0FA7589A"/>
    <w:rsid w:val="0FDA51C5"/>
    <w:rsid w:val="0FE9578E"/>
    <w:rsid w:val="10003BC3"/>
    <w:rsid w:val="100625C1"/>
    <w:rsid w:val="10580537"/>
    <w:rsid w:val="10593038"/>
    <w:rsid w:val="108A4FA0"/>
    <w:rsid w:val="10CC19F2"/>
    <w:rsid w:val="10D302CF"/>
    <w:rsid w:val="10E16B8A"/>
    <w:rsid w:val="112E33D4"/>
    <w:rsid w:val="113461CB"/>
    <w:rsid w:val="11370D5D"/>
    <w:rsid w:val="11390774"/>
    <w:rsid w:val="117143B2"/>
    <w:rsid w:val="1176151E"/>
    <w:rsid w:val="118E286E"/>
    <w:rsid w:val="11916802"/>
    <w:rsid w:val="11A03FC4"/>
    <w:rsid w:val="11BA18B5"/>
    <w:rsid w:val="11BD7BE4"/>
    <w:rsid w:val="11C6025A"/>
    <w:rsid w:val="11DA1F57"/>
    <w:rsid w:val="12072F4E"/>
    <w:rsid w:val="120C4BB6"/>
    <w:rsid w:val="12402693"/>
    <w:rsid w:val="12486EC1"/>
    <w:rsid w:val="124B69B1"/>
    <w:rsid w:val="12696E37"/>
    <w:rsid w:val="126B0E01"/>
    <w:rsid w:val="12747082"/>
    <w:rsid w:val="129639E1"/>
    <w:rsid w:val="12B46304"/>
    <w:rsid w:val="13165211"/>
    <w:rsid w:val="131B2276"/>
    <w:rsid w:val="133D1E75"/>
    <w:rsid w:val="136A10B9"/>
    <w:rsid w:val="136E7F4E"/>
    <w:rsid w:val="137F55D6"/>
    <w:rsid w:val="13C94031"/>
    <w:rsid w:val="13CE7899"/>
    <w:rsid w:val="13D221E3"/>
    <w:rsid w:val="13D2292A"/>
    <w:rsid w:val="13FC70A6"/>
    <w:rsid w:val="14042DB7"/>
    <w:rsid w:val="14172FEE"/>
    <w:rsid w:val="143151DE"/>
    <w:rsid w:val="1436127B"/>
    <w:rsid w:val="14434DB5"/>
    <w:rsid w:val="144E4536"/>
    <w:rsid w:val="14531D83"/>
    <w:rsid w:val="145853B5"/>
    <w:rsid w:val="1461426A"/>
    <w:rsid w:val="147540F4"/>
    <w:rsid w:val="14902DA1"/>
    <w:rsid w:val="14CA0061"/>
    <w:rsid w:val="14DA7F3B"/>
    <w:rsid w:val="14E064CE"/>
    <w:rsid w:val="14FC3F92"/>
    <w:rsid w:val="15115C90"/>
    <w:rsid w:val="151614F8"/>
    <w:rsid w:val="1519357C"/>
    <w:rsid w:val="152534E9"/>
    <w:rsid w:val="152635A8"/>
    <w:rsid w:val="153B2D0D"/>
    <w:rsid w:val="154A73F4"/>
    <w:rsid w:val="15597637"/>
    <w:rsid w:val="15602773"/>
    <w:rsid w:val="156D6C3E"/>
    <w:rsid w:val="15781CF4"/>
    <w:rsid w:val="158346B4"/>
    <w:rsid w:val="15A44D56"/>
    <w:rsid w:val="15B40232"/>
    <w:rsid w:val="15D07265"/>
    <w:rsid w:val="15FD6214"/>
    <w:rsid w:val="16107229"/>
    <w:rsid w:val="161377E5"/>
    <w:rsid w:val="162C6AF9"/>
    <w:rsid w:val="1650051A"/>
    <w:rsid w:val="16556050"/>
    <w:rsid w:val="16DD3D17"/>
    <w:rsid w:val="16E80769"/>
    <w:rsid w:val="16F33450"/>
    <w:rsid w:val="170E2458"/>
    <w:rsid w:val="172249FA"/>
    <w:rsid w:val="176A5B2B"/>
    <w:rsid w:val="17710C68"/>
    <w:rsid w:val="177340D7"/>
    <w:rsid w:val="17832749"/>
    <w:rsid w:val="178564C1"/>
    <w:rsid w:val="179901BE"/>
    <w:rsid w:val="17B9260F"/>
    <w:rsid w:val="17C544DF"/>
    <w:rsid w:val="17D66D1D"/>
    <w:rsid w:val="17E21B65"/>
    <w:rsid w:val="17FF4425"/>
    <w:rsid w:val="180970F2"/>
    <w:rsid w:val="18137F71"/>
    <w:rsid w:val="18253800"/>
    <w:rsid w:val="18335F1D"/>
    <w:rsid w:val="1861461F"/>
    <w:rsid w:val="1864257A"/>
    <w:rsid w:val="188E5849"/>
    <w:rsid w:val="18C4126B"/>
    <w:rsid w:val="18C474BD"/>
    <w:rsid w:val="18E952F3"/>
    <w:rsid w:val="19121FD6"/>
    <w:rsid w:val="19531CF4"/>
    <w:rsid w:val="195B5233"/>
    <w:rsid w:val="19600F94"/>
    <w:rsid w:val="19614D0C"/>
    <w:rsid w:val="196C232A"/>
    <w:rsid w:val="198F7ACB"/>
    <w:rsid w:val="19A2365C"/>
    <w:rsid w:val="19A3213C"/>
    <w:rsid w:val="19A86DB6"/>
    <w:rsid w:val="19D21766"/>
    <w:rsid w:val="19D41982"/>
    <w:rsid w:val="19F53DD2"/>
    <w:rsid w:val="1A023DF9"/>
    <w:rsid w:val="1A030E9D"/>
    <w:rsid w:val="1A255D39"/>
    <w:rsid w:val="1A404921"/>
    <w:rsid w:val="1A58610F"/>
    <w:rsid w:val="1A91517D"/>
    <w:rsid w:val="1A942910"/>
    <w:rsid w:val="1AA43102"/>
    <w:rsid w:val="1AB61A93"/>
    <w:rsid w:val="1ABC669E"/>
    <w:rsid w:val="1AD5775F"/>
    <w:rsid w:val="1ADA2FC8"/>
    <w:rsid w:val="1B0D5BF6"/>
    <w:rsid w:val="1B222279"/>
    <w:rsid w:val="1B410951"/>
    <w:rsid w:val="1BB455C7"/>
    <w:rsid w:val="1BB76E65"/>
    <w:rsid w:val="1BC922EF"/>
    <w:rsid w:val="1BCE7E48"/>
    <w:rsid w:val="1C183DA8"/>
    <w:rsid w:val="1C1F66F6"/>
    <w:rsid w:val="1C3B5CE8"/>
    <w:rsid w:val="1C493F61"/>
    <w:rsid w:val="1C550B58"/>
    <w:rsid w:val="1C56042C"/>
    <w:rsid w:val="1CCC4B92"/>
    <w:rsid w:val="1CD656FC"/>
    <w:rsid w:val="1CE375C1"/>
    <w:rsid w:val="1CF8327D"/>
    <w:rsid w:val="1CFF2872"/>
    <w:rsid w:val="1D120B58"/>
    <w:rsid w:val="1D1D719C"/>
    <w:rsid w:val="1D291FE4"/>
    <w:rsid w:val="1D440BCC"/>
    <w:rsid w:val="1D496D84"/>
    <w:rsid w:val="1D7E7C3A"/>
    <w:rsid w:val="1D9531D6"/>
    <w:rsid w:val="1D9C27B6"/>
    <w:rsid w:val="1DAF188E"/>
    <w:rsid w:val="1E214A6A"/>
    <w:rsid w:val="1E34479D"/>
    <w:rsid w:val="1E5B7F7C"/>
    <w:rsid w:val="1E6F15C7"/>
    <w:rsid w:val="1E7B6870"/>
    <w:rsid w:val="1E7C5C66"/>
    <w:rsid w:val="1E933BB9"/>
    <w:rsid w:val="1ECE2E43"/>
    <w:rsid w:val="1EDB2E6A"/>
    <w:rsid w:val="1EE12B77"/>
    <w:rsid w:val="1EEE2B9E"/>
    <w:rsid w:val="1F240CF0"/>
    <w:rsid w:val="1F2C538C"/>
    <w:rsid w:val="1F3F05BE"/>
    <w:rsid w:val="1F42113B"/>
    <w:rsid w:val="1F4D1FBA"/>
    <w:rsid w:val="1F4E5D32"/>
    <w:rsid w:val="1F9F4AF1"/>
    <w:rsid w:val="1FA97BF0"/>
    <w:rsid w:val="1FB13C8F"/>
    <w:rsid w:val="1FC92BB5"/>
    <w:rsid w:val="1FCA53B9"/>
    <w:rsid w:val="1FDE0E64"/>
    <w:rsid w:val="200C0B9F"/>
    <w:rsid w:val="201523AC"/>
    <w:rsid w:val="201725C8"/>
    <w:rsid w:val="20191E9C"/>
    <w:rsid w:val="20250841"/>
    <w:rsid w:val="202F346E"/>
    <w:rsid w:val="2043516B"/>
    <w:rsid w:val="20CA3CF8"/>
    <w:rsid w:val="20DF4E94"/>
    <w:rsid w:val="20EF4D3D"/>
    <w:rsid w:val="21022930"/>
    <w:rsid w:val="21115269"/>
    <w:rsid w:val="212278A6"/>
    <w:rsid w:val="212E5E1B"/>
    <w:rsid w:val="214271D1"/>
    <w:rsid w:val="217557F8"/>
    <w:rsid w:val="21997739"/>
    <w:rsid w:val="21BA3CFD"/>
    <w:rsid w:val="21C10E76"/>
    <w:rsid w:val="21C35D68"/>
    <w:rsid w:val="21CD2C68"/>
    <w:rsid w:val="21E0474F"/>
    <w:rsid w:val="21E602EC"/>
    <w:rsid w:val="220E15D3"/>
    <w:rsid w:val="226D4721"/>
    <w:rsid w:val="228A39DF"/>
    <w:rsid w:val="22985696"/>
    <w:rsid w:val="22A31EF1"/>
    <w:rsid w:val="22AC4C25"/>
    <w:rsid w:val="22B1460E"/>
    <w:rsid w:val="22B50ABD"/>
    <w:rsid w:val="22C9140E"/>
    <w:rsid w:val="22D5496F"/>
    <w:rsid w:val="22D64075"/>
    <w:rsid w:val="22DB5B2F"/>
    <w:rsid w:val="233F009E"/>
    <w:rsid w:val="234C2589"/>
    <w:rsid w:val="2358717F"/>
    <w:rsid w:val="237C4C1C"/>
    <w:rsid w:val="2389558B"/>
    <w:rsid w:val="23A90897"/>
    <w:rsid w:val="23AD1279"/>
    <w:rsid w:val="23B51EDC"/>
    <w:rsid w:val="23C24DFC"/>
    <w:rsid w:val="23E069ED"/>
    <w:rsid w:val="23EE2AE9"/>
    <w:rsid w:val="24343749"/>
    <w:rsid w:val="24577437"/>
    <w:rsid w:val="24A73F1B"/>
    <w:rsid w:val="24B65F0C"/>
    <w:rsid w:val="24B6624E"/>
    <w:rsid w:val="24E2165B"/>
    <w:rsid w:val="24EB3E30"/>
    <w:rsid w:val="24ED38F7"/>
    <w:rsid w:val="24ED6E0A"/>
    <w:rsid w:val="251A293E"/>
    <w:rsid w:val="2523319C"/>
    <w:rsid w:val="25272462"/>
    <w:rsid w:val="25276E09"/>
    <w:rsid w:val="252E0198"/>
    <w:rsid w:val="253A5EAE"/>
    <w:rsid w:val="254B6F9C"/>
    <w:rsid w:val="255A3FD9"/>
    <w:rsid w:val="259D2A0B"/>
    <w:rsid w:val="25B12B77"/>
    <w:rsid w:val="25D16D75"/>
    <w:rsid w:val="25DA3E7C"/>
    <w:rsid w:val="25DF76E4"/>
    <w:rsid w:val="25E60A73"/>
    <w:rsid w:val="260E33E5"/>
    <w:rsid w:val="2610789E"/>
    <w:rsid w:val="261C6242"/>
    <w:rsid w:val="26396DF4"/>
    <w:rsid w:val="26670A2B"/>
    <w:rsid w:val="267267AA"/>
    <w:rsid w:val="26760048"/>
    <w:rsid w:val="26793695"/>
    <w:rsid w:val="268554DC"/>
    <w:rsid w:val="268A58A2"/>
    <w:rsid w:val="268C786C"/>
    <w:rsid w:val="26A5448A"/>
    <w:rsid w:val="26A76301"/>
    <w:rsid w:val="26C2328E"/>
    <w:rsid w:val="26DE174A"/>
    <w:rsid w:val="26E52AD8"/>
    <w:rsid w:val="26F20826"/>
    <w:rsid w:val="26F62F37"/>
    <w:rsid w:val="26F75B60"/>
    <w:rsid w:val="271C2272"/>
    <w:rsid w:val="272D447F"/>
    <w:rsid w:val="27934C2A"/>
    <w:rsid w:val="27F23795"/>
    <w:rsid w:val="27F42278"/>
    <w:rsid w:val="27F60D15"/>
    <w:rsid w:val="28303A9D"/>
    <w:rsid w:val="28304227"/>
    <w:rsid w:val="283B4BD4"/>
    <w:rsid w:val="285C14C0"/>
    <w:rsid w:val="287C03F5"/>
    <w:rsid w:val="289308FC"/>
    <w:rsid w:val="2894468D"/>
    <w:rsid w:val="28A013AD"/>
    <w:rsid w:val="28AA222B"/>
    <w:rsid w:val="28C44D99"/>
    <w:rsid w:val="28EF70DF"/>
    <w:rsid w:val="290E0BBE"/>
    <w:rsid w:val="293E0BC6"/>
    <w:rsid w:val="29826A0B"/>
    <w:rsid w:val="29934A6D"/>
    <w:rsid w:val="29A67BFE"/>
    <w:rsid w:val="29A814A5"/>
    <w:rsid w:val="29BD1AEA"/>
    <w:rsid w:val="29C9048F"/>
    <w:rsid w:val="29E452C9"/>
    <w:rsid w:val="2A225DF1"/>
    <w:rsid w:val="2A4144C9"/>
    <w:rsid w:val="2A467D32"/>
    <w:rsid w:val="2A5341FD"/>
    <w:rsid w:val="2A5561C7"/>
    <w:rsid w:val="2AA44A58"/>
    <w:rsid w:val="2AA50EFC"/>
    <w:rsid w:val="2B0B43FD"/>
    <w:rsid w:val="2B3675C2"/>
    <w:rsid w:val="2B41088E"/>
    <w:rsid w:val="2B42740E"/>
    <w:rsid w:val="2B4B02EF"/>
    <w:rsid w:val="2B807273"/>
    <w:rsid w:val="2BA71534"/>
    <w:rsid w:val="2BAA42F0"/>
    <w:rsid w:val="2BCE7FDF"/>
    <w:rsid w:val="2BD02E02"/>
    <w:rsid w:val="2BDF043E"/>
    <w:rsid w:val="2BF9180D"/>
    <w:rsid w:val="2BFA0DD4"/>
    <w:rsid w:val="2BFD2924"/>
    <w:rsid w:val="2C240DF3"/>
    <w:rsid w:val="2C3824FD"/>
    <w:rsid w:val="2C424529"/>
    <w:rsid w:val="2C5F50DB"/>
    <w:rsid w:val="2C83526D"/>
    <w:rsid w:val="2C8E1D12"/>
    <w:rsid w:val="2C970D19"/>
    <w:rsid w:val="2CA46F92"/>
    <w:rsid w:val="2CB812B9"/>
    <w:rsid w:val="2CC35CFB"/>
    <w:rsid w:val="2CE55F6D"/>
    <w:rsid w:val="2CF442D0"/>
    <w:rsid w:val="2D08256A"/>
    <w:rsid w:val="2D391DD0"/>
    <w:rsid w:val="2D6D1A79"/>
    <w:rsid w:val="2D8F379E"/>
    <w:rsid w:val="2DAB660B"/>
    <w:rsid w:val="2DBD655D"/>
    <w:rsid w:val="2DD536C3"/>
    <w:rsid w:val="2DD613CD"/>
    <w:rsid w:val="2DD6761F"/>
    <w:rsid w:val="2DD8159A"/>
    <w:rsid w:val="2DEC0BF0"/>
    <w:rsid w:val="2E3507E9"/>
    <w:rsid w:val="2E382087"/>
    <w:rsid w:val="2E666BF4"/>
    <w:rsid w:val="2E6A0DEB"/>
    <w:rsid w:val="2E7C6DB5"/>
    <w:rsid w:val="2E813A2E"/>
    <w:rsid w:val="2E81758A"/>
    <w:rsid w:val="2E847F18"/>
    <w:rsid w:val="2E93341D"/>
    <w:rsid w:val="2E975D83"/>
    <w:rsid w:val="2EA8720D"/>
    <w:rsid w:val="2EBA4B0C"/>
    <w:rsid w:val="2EE144CD"/>
    <w:rsid w:val="2EE93382"/>
    <w:rsid w:val="2EF97A69"/>
    <w:rsid w:val="2F0A3A24"/>
    <w:rsid w:val="2F475E9A"/>
    <w:rsid w:val="2F7215C9"/>
    <w:rsid w:val="2F750DEF"/>
    <w:rsid w:val="2F835584"/>
    <w:rsid w:val="2F9231FA"/>
    <w:rsid w:val="2FA63021"/>
    <w:rsid w:val="2FA726C8"/>
    <w:rsid w:val="2FB426A9"/>
    <w:rsid w:val="2FBA4969"/>
    <w:rsid w:val="300A7A53"/>
    <w:rsid w:val="30202DD3"/>
    <w:rsid w:val="30647164"/>
    <w:rsid w:val="306929CC"/>
    <w:rsid w:val="307217AF"/>
    <w:rsid w:val="30922324"/>
    <w:rsid w:val="30A13F14"/>
    <w:rsid w:val="30B359F5"/>
    <w:rsid w:val="30F17182"/>
    <w:rsid w:val="30F57DBC"/>
    <w:rsid w:val="310C7987"/>
    <w:rsid w:val="31126BC0"/>
    <w:rsid w:val="311E37B6"/>
    <w:rsid w:val="314E2B8C"/>
    <w:rsid w:val="318D3FEB"/>
    <w:rsid w:val="319E2FF0"/>
    <w:rsid w:val="31A804E1"/>
    <w:rsid w:val="31ED246C"/>
    <w:rsid w:val="32144BB9"/>
    <w:rsid w:val="32285F6F"/>
    <w:rsid w:val="322D61E8"/>
    <w:rsid w:val="322E5C7B"/>
    <w:rsid w:val="32472899"/>
    <w:rsid w:val="324C7EAF"/>
    <w:rsid w:val="325154C6"/>
    <w:rsid w:val="325E42E1"/>
    <w:rsid w:val="326E6021"/>
    <w:rsid w:val="327304B1"/>
    <w:rsid w:val="32B4260F"/>
    <w:rsid w:val="32DC7485"/>
    <w:rsid w:val="32F56799"/>
    <w:rsid w:val="33274478"/>
    <w:rsid w:val="333F17C2"/>
    <w:rsid w:val="335A2AA0"/>
    <w:rsid w:val="336631F3"/>
    <w:rsid w:val="339F04B3"/>
    <w:rsid w:val="33C9148A"/>
    <w:rsid w:val="33CF0E73"/>
    <w:rsid w:val="33E466A1"/>
    <w:rsid w:val="34140EA1"/>
    <w:rsid w:val="34142C4F"/>
    <w:rsid w:val="34341336"/>
    <w:rsid w:val="34384B8F"/>
    <w:rsid w:val="34480B4A"/>
    <w:rsid w:val="345F1395"/>
    <w:rsid w:val="34621C0C"/>
    <w:rsid w:val="347070B7"/>
    <w:rsid w:val="347E456C"/>
    <w:rsid w:val="34A9783B"/>
    <w:rsid w:val="34BB131C"/>
    <w:rsid w:val="34CA155F"/>
    <w:rsid w:val="34E645EB"/>
    <w:rsid w:val="34E71FDC"/>
    <w:rsid w:val="34F605A6"/>
    <w:rsid w:val="350E769E"/>
    <w:rsid w:val="350F08AD"/>
    <w:rsid w:val="351C625F"/>
    <w:rsid w:val="3520143A"/>
    <w:rsid w:val="352C5D76"/>
    <w:rsid w:val="353C420B"/>
    <w:rsid w:val="3584658E"/>
    <w:rsid w:val="359361EE"/>
    <w:rsid w:val="35A26038"/>
    <w:rsid w:val="35A951E3"/>
    <w:rsid w:val="35C44C2D"/>
    <w:rsid w:val="35ED7BFB"/>
    <w:rsid w:val="360C78AD"/>
    <w:rsid w:val="363166A9"/>
    <w:rsid w:val="36317E2D"/>
    <w:rsid w:val="36370E76"/>
    <w:rsid w:val="36394BEF"/>
    <w:rsid w:val="366B28CE"/>
    <w:rsid w:val="36745C27"/>
    <w:rsid w:val="3684230E"/>
    <w:rsid w:val="369A3923"/>
    <w:rsid w:val="36A062A6"/>
    <w:rsid w:val="36E7464B"/>
    <w:rsid w:val="36F079A3"/>
    <w:rsid w:val="372155B4"/>
    <w:rsid w:val="37265173"/>
    <w:rsid w:val="37296A11"/>
    <w:rsid w:val="372E04CB"/>
    <w:rsid w:val="375D2A64"/>
    <w:rsid w:val="377D0D37"/>
    <w:rsid w:val="37841E99"/>
    <w:rsid w:val="379A346B"/>
    <w:rsid w:val="37A12782"/>
    <w:rsid w:val="37A1658B"/>
    <w:rsid w:val="37A442EA"/>
    <w:rsid w:val="37A80C50"/>
    <w:rsid w:val="37A97B52"/>
    <w:rsid w:val="37BA1E48"/>
    <w:rsid w:val="37C624B2"/>
    <w:rsid w:val="37E1109A"/>
    <w:rsid w:val="37E33ADB"/>
    <w:rsid w:val="37EE32D6"/>
    <w:rsid w:val="37F7266B"/>
    <w:rsid w:val="381107CB"/>
    <w:rsid w:val="38234AA0"/>
    <w:rsid w:val="3826047B"/>
    <w:rsid w:val="383047CA"/>
    <w:rsid w:val="3848736B"/>
    <w:rsid w:val="385555E4"/>
    <w:rsid w:val="386B4E07"/>
    <w:rsid w:val="38710670"/>
    <w:rsid w:val="387939C8"/>
    <w:rsid w:val="38E946AA"/>
    <w:rsid w:val="38F16DB4"/>
    <w:rsid w:val="38F372D7"/>
    <w:rsid w:val="390266C1"/>
    <w:rsid w:val="390C0398"/>
    <w:rsid w:val="39131727"/>
    <w:rsid w:val="39392FF9"/>
    <w:rsid w:val="39643D30"/>
    <w:rsid w:val="396E628F"/>
    <w:rsid w:val="398268AC"/>
    <w:rsid w:val="39921705"/>
    <w:rsid w:val="39934616"/>
    <w:rsid w:val="3995038E"/>
    <w:rsid w:val="39A138E1"/>
    <w:rsid w:val="39A405D1"/>
    <w:rsid w:val="39A84A5C"/>
    <w:rsid w:val="39A86313"/>
    <w:rsid w:val="39D709A6"/>
    <w:rsid w:val="39E84DFD"/>
    <w:rsid w:val="3A1C285D"/>
    <w:rsid w:val="3A2F07E2"/>
    <w:rsid w:val="3A3C2EFF"/>
    <w:rsid w:val="3A3C4CAD"/>
    <w:rsid w:val="3A8A77C7"/>
    <w:rsid w:val="3AA0523C"/>
    <w:rsid w:val="3AA719E7"/>
    <w:rsid w:val="3AC32CD9"/>
    <w:rsid w:val="3AC52EF5"/>
    <w:rsid w:val="3ADB2718"/>
    <w:rsid w:val="3AF85078"/>
    <w:rsid w:val="3AFD3DA6"/>
    <w:rsid w:val="3B7D557D"/>
    <w:rsid w:val="3B8E1539"/>
    <w:rsid w:val="3BA73AE0"/>
    <w:rsid w:val="3BD31641"/>
    <w:rsid w:val="3C1732DC"/>
    <w:rsid w:val="3C4B6577"/>
    <w:rsid w:val="3C634F70"/>
    <w:rsid w:val="3C7921E9"/>
    <w:rsid w:val="3C7C75E3"/>
    <w:rsid w:val="3CA8487C"/>
    <w:rsid w:val="3CB11983"/>
    <w:rsid w:val="3CE55188"/>
    <w:rsid w:val="3D3D4FC4"/>
    <w:rsid w:val="3D6D13E7"/>
    <w:rsid w:val="3D98229D"/>
    <w:rsid w:val="3DA53149"/>
    <w:rsid w:val="3DBA4867"/>
    <w:rsid w:val="3DCC00F6"/>
    <w:rsid w:val="3DDD70B1"/>
    <w:rsid w:val="3DE82E12"/>
    <w:rsid w:val="3E0619A9"/>
    <w:rsid w:val="3E1E2E42"/>
    <w:rsid w:val="3E43485C"/>
    <w:rsid w:val="3E522CF1"/>
    <w:rsid w:val="3E846C23"/>
    <w:rsid w:val="3E895FE7"/>
    <w:rsid w:val="3EA846BF"/>
    <w:rsid w:val="3EBE2135"/>
    <w:rsid w:val="3EBF7C5B"/>
    <w:rsid w:val="3ED100BA"/>
    <w:rsid w:val="3EF23B8C"/>
    <w:rsid w:val="3F0F473E"/>
    <w:rsid w:val="3F1F5640"/>
    <w:rsid w:val="3F336F1B"/>
    <w:rsid w:val="3F400D9C"/>
    <w:rsid w:val="3F406FEE"/>
    <w:rsid w:val="3F450160"/>
    <w:rsid w:val="3F5A562A"/>
    <w:rsid w:val="3F6214D5"/>
    <w:rsid w:val="3F76656C"/>
    <w:rsid w:val="3F890995"/>
    <w:rsid w:val="3FA532F5"/>
    <w:rsid w:val="3FA62F59"/>
    <w:rsid w:val="3FAA0DC6"/>
    <w:rsid w:val="3FBA0573"/>
    <w:rsid w:val="3FC92B3F"/>
    <w:rsid w:val="3FCC262F"/>
    <w:rsid w:val="3FDD483D"/>
    <w:rsid w:val="3FDF78A0"/>
    <w:rsid w:val="3FF011AB"/>
    <w:rsid w:val="40674587"/>
    <w:rsid w:val="408A1289"/>
    <w:rsid w:val="408D71EA"/>
    <w:rsid w:val="409E221E"/>
    <w:rsid w:val="40A47ABF"/>
    <w:rsid w:val="40CF23D7"/>
    <w:rsid w:val="40D152F3"/>
    <w:rsid w:val="40DB5220"/>
    <w:rsid w:val="40FA58C4"/>
    <w:rsid w:val="41030069"/>
    <w:rsid w:val="411E6EBB"/>
    <w:rsid w:val="41200E85"/>
    <w:rsid w:val="41281AE7"/>
    <w:rsid w:val="412F3938"/>
    <w:rsid w:val="413B021E"/>
    <w:rsid w:val="41524DB6"/>
    <w:rsid w:val="41677ED1"/>
    <w:rsid w:val="4187281E"/>
    <w:rsid w:val="4194717D"/>
    <w:rsid w:val="41A878FC"/>
    <w:rsid w:val="41AF2209"/>
    <w:rsid w:val="41E45943"/>
    <w:rsid w:val="42021EDE"/>
    <w:rsid w:val="420F2CA7"/>
    <w:rsid w:val="421844F4"/>
    <w:rsid w:val="424961B9"/>
    <w:rsid w:val="424F34E0"/>
    <w:rsid w:val="42A7625F"/>
    <w:rsid w:val="42E303BC"/>
    <w:rsid w:val="42FC6119"/>
    <w:rsid w:val="42FE0D52"/>
    <w:rsid w:val="43123073"/>
    <w:rsid w:val="432D1637"/>
    <w:rsid w:val="43382A65"/>
    <w:rsid w:val="436F7EA2"/>
    <w:rsid w:val="43880F63"/>
    <w:rsid w:val="438A4CDB"/>
    <w:rsid w:val="43D23F8D"/>
    <w:rsid w:val="43E91A02"/>
    <w:rsid w:val="44054362"/>
    <w:rsid w:val="4416656F"/>
    <w:rsid w:val="441D3BB0"/>
    <w:rsid w:val="441E71D2"/>
    <w:rsid w:val="442B5F63"/>
    <w:rsid w:val="44476B32"/>
    <w:rsid w:val="44663053"/>
    <w:rsid w:val="448A69B8"/>
    <w:rsid w:val="449A0F4E"/>
    <w:rsid w:val="449B0822"/>
    <w:rsid w:val="44C71617"/>
    <w:rsid w:val="4503536F"/>
    <w:rsid w:val="45091C30"/>
    <w:rsid w:val="450D7972"/>
    <w:rsid w:val="45154A79"/>
    <w:rsid w:val="453205CE"/>
    <w:rsid w:val="45444777"/>
    <w:rsid w:val="45596713"/>
    <w:rsid w:val="457273C9"/>
    <w:rsid w:val="45C049E4"/>
    <w:rsid w:val="45DD58C1"/>
    <w:rsid w:val="45E7324E"/>
    <w:rsid w:val="45EF121D"/>
    <w:rsid w:val="45F36B68"/>
    <w:rsid w:val="46175EB3"/>
    <w:rsid w:val="463C3E28"/>
    <w:rsid w:val="46405B25"/>
    <w:rsid w:val="46454217"/>
    <w:rsid w:val="4662784A"/>
    <w:rsid w:val="4665733A"/>
    <w:rsid w:val="466C14C9"/>
    <w:rsid w:val="467268EC"/>
    <w:rsid w:val="46780E1B"/>
    <w:rsid w:val="467B090B"/>
    <w:rsid w:val="469F0A9E"/>
    <w:rsid w:val="46B0764D"/>
    <w:rsid w:val="46C87FF5"/>
    <w:rsid w:val="46CF2634"/>
    <w:rsid w:val="47095F17"/>
    <w:rsid w:val="470E2BF1"/>
    <w:rsid w:val="472069F4"/>
    <w:rsid w:val="473A2575"/>
    <w:rsid w:val="47543636"/>
    <w:rsid w:val="47B0693B"/>
    <w:rsid w:val="47D77DC3"/>
    <w:rsid w:val="47EF335F"/>
    <w:rsid w:val="4800556C"/>
    <w:rsid w:val="480768FB"/>
    <w:rsid w:val="48082673"/>
    <w:rsid w:val="480A0199"/>
    <w:rsid w:val="483376F0"/>
    <w:rsid w:val="484A1473"/>
    <w:rsid w:val="48515DC8"/>
    <w:rsid w:val="486A50DB"/>
    <w:rsid w:val="48945CB4"/>
    <w:rsid w:val="48B06F92"/>
    <w:rsid w:val="48D12A65"/>
    <w:rsid w:val="48DB1B35"/>
    <w:rsid w:val="48F72668"/>
    <w:rsid w:val="48F77A6B"/>
    <w:rsid w:val="491A440C"/>
    <w:rsid w:val="49793828"/>
    <w:rsid w:val="497955D6"/>
    <w:rsid w:val="49836818"/>
    <w:rsid w:val="49A85EBB"/>
    <w:rsid w:val="49AB59AC"/>
    <w:rsid w:val="49B52386"/>
    <w:rsid w:val="49B54086"/>
    <w:rsid w:val="49D1674F"/>
    <w:rsid w:val="4A483A79"/>
    <w:rsid w:val="4A484FA8"/>
    <w:rsid w:val="4A9B5A20"/>
    <w:rsid w:val="4AAE12AF"/>
    <w:rsid w:val="4AB368C6"/>
    <w:rsid w:val="4AB50890"/>
    <w:rsid w:val="4ABD7744"/>
    <w:rsid w:val="4AC349A4"/>
    <w:rsid w:val="4ACA61F8"/>
    <w:rsid w:val="4ACC3E2B"/>
    <w:rsid w:val="4AF869CF"/>
    <w:rsid w:val="4B101F6A"/>
    <w:rsid w:val="4B1154D1"/>
    <w:rsid w:val="4B1732F9"/>
    <w:rsid w:val="4B8B7404"/>
    <w:rsid w:val="4B92297F"/>
    <w:rsid w:val="4B9837EC"/>
    <w:rsid w:val="4BA407A4"/>
    <w:rsid w:val="4BC31916"/>
    <w:rsid w:val="4BC62629"/>
    <w:rsid w:val="4BF453E8"/>
    <w:rsid w:val="4C0D2006"/>
    <w:rsid w:val="4C123AC0"/>
    <w:rsid w:val="4C5F55F7"/>
    <w:rsid w:val="4C6F0F12"/>
    <w:rsid w:val="4C9859A3"/>
    <w:rsid w:val="4CA721A4"/>
    <w:rsid w:val="4CB55588"/>
    <w:rsid w:val="4CBD7ED0"/>
    <w:rsid w:val="4CD86081"/>
    <w:rsid w:val="4CD945DE"/>
    <w:rsid w:val="4CDB0660"/>
    <w:rsid w:val="4CDB65A8"/>
    <w:rsid w:val="4CDC6DE4"/>
    <w:rsid w:val="4CEB617B"/>
    <w:rsid w:val="4CFE5DF2"/>
    <w:rsid w:val="4D166448"/>
    <w:rsid w:val="4D22461E"/>
    <w:rsid w:val="4D2A6BE7"/>
    <w:rsid w:val="4D3B0DF4"/>
    <w:rsid w:val="4D44414D"/>
    <w:rsid w:val="4D7D31BB"/>
    <w:rsid w:val="4D994499"/>
    <w:rsid w:val="4D9A42D6"/>
    <w:rsid w:val="4D9F6CFB"/>
    <w:rsid w:val="4DCA28A4"/>
    <w:rsid w:val="4DF711BF"/>
    <w:rsid w:val="4E0062C6"/>
    <w:rsid w:val="4E041346"/>
    <w:rsid w:val="4E0D09E3"/>
    <w:rsid w:val="4E265320"/>
    <w:rsid w:val="4E2E44B5"/>
    <w:rsid w:val="4E355844"/>
    <w:rsid w:val="4E544B75"/>
    <w:rsid w:val="4E713C78"/>
    <w:rsid w:val="4E714672"/>
    <w:rsid w:val="4E797E26"/>
    <w:rsid w:val="4E8C5DAC"/>
    <w:rsid w:val="4EC92B5C"/>
    <w:rsid w:val="4ECF3EEA"/>
    <w:rsid w:val="4ED76D39"/>
    <w:rsid w:val="4EE80B08"/>
    <w:rsid w:val="4EF8745C"/>
    <w:rsid w:val="4EFD16A2"/>
    <w:rsid w:val="4EFD45B3"/>
    <w:rsid w:val="4F044A31"/>
    <w:rsid w:val="4F5166AD"/>
    <w:rsid w:val="4F894099"/>
    <w:rsid w:val="4F980A69"/>
    <w:rsid w:val="4FA9473B"/>
    <w:rsid w:val="4FB4782A"/>
    <w:rsid w:val="4FB70C06"/>
    <w:rsid w:val="4FC7696F"/>
    <w:rsid w:val="4FC96B8B"/>
    <w:rsid w:val="4FCC3F86"/>
    <w:rsid w:val="50131BB5"/>
    <w:rsid w:val="50146A17"/>
    <w:rsid w:val="50447FC0"/>
    <w:rsid w:val="50504BB7"/>
    <w:rsid w:val="50597F0F"/>
    <w:rsid w:val="50642410"/>
    <w:rsid w:val="507E34D2"/>
    <w:rsid w:val="50815C45"/>
    <w:rsid w:val="50B25872"/>
    <w:rsid w:val="50CB6F9B"/>
    <w:rsid w:val="50D17AA6"/>
    <w:rsid w:val="50EF617E"/>
    <w:rsid w:val="50EF6A8A"/>
    <w:rsid w:val="510936E3"/>
    <w:rsid w:val="51112598"/>
    <w:rsid w:val="511D0482"/>
    <w:rsid w:val="51346287"/>
    <w:rsid w:val="515A3FCC"/>
    <w:rsid w:val="51733348"/>
    <w:rsid w:val="51837B5F"/>
    <w:rsid w:val="519E419C"/>
    <w:rsid w:val="519F1952"/>
    <w:rsid w:val="51A0391C"/>
    <w:rsid w:val="51A608C8"/>
    <w:rsid w:val="51B11685"/>
    <w:rsid w:val="51C21AE4"/>
    <w:rsid w:val="51D07D5D"/>
    <w:rsid w:val="51D84E64"/>
    <w:rsid w:val="51F223CA"/>
    <w:rsid w:val="51F31C9E"/>
    <w:rsid w:val="51F577C4"/>
    <w:rsid w:val="521340EE"/>
    <w:rsid w:val="5248023B"/>
    <w:rsid w:val="52487575"/>
    <w:rsid w:val="524D5852"/>
    <w:rsid w:val="526037D7"/>
    <w:rsid w:val="526A6351"/>
    <w:rsid w:val="526B6542"/>
    <w:rsid w:val="528B637A"/>
    <w:rsid w:val="529671F9"/>
    <w:rsid w:val="529C40E3"/>
    <w:rsid w:val="52BE7D56"/>
    <w:rsid w:val="52C10360"/>
    <w:rsid w:val="52CA2DCE"/>
    <w:rsid w:val="52EE3DA3"/>
    <w:rsid w:val="52EF6909"/>
    <w:rsid w:val="530F2B07"/>
    <w:rsid w:val="53163F7A"/>
    <w:rsid w:val="532D4E46"/>
    <w:rsid w:val="5375751F"/>
    <w:rsid w:val="53837051"/>
    <w:rsid w:val="5387115A"/>
    <w:rsid w:val="538A2803"/>
    <w:rsid w:val="539A6875"/>
    <w:rsid w:val="539F20DD"/>
    <w:rsid w:val="53A94D0A"/>
    <w:rsid w:val="53C71634"/>
    <w:rsid w:val="53D004E8"/>
    <w:rsid w:val="53DF4A6C"/>
    <w:rsid w:val="53E421E6"/>
    <w:rsid w:val="540C5299"/>
    <w:rsid w:val="54106B37"/>
    <w:rsid w:val="5435460F"/>
    <w:rsid w:val="54E0475B"/>
    <w:rsid w:val="55283098"/>
    <w:rsid w:val="553920BD"/>
    <w:rsid w:val="55583D40"/>
    <w:rsid w:val="55590B19"/>
    <w:rsid w:val="555E7D76"/>
    <w:rsid w:val="55686349"/>
    <w:rsid w:val="557717B4"/>
    <w:rsid w:val="558A2919"/>
    <w:rsid w:val="558A322F"/>
    <w:rsid w:val="55A219DE"/>
    <w:rsid w:val="55B40F50"/>
    <w:rsid w:val="55B841BE"/>
    <w:rsid w:val="55C53951"/>
    <w:rsid w:val="55CC0ABE"/>
    <w:rsid w:val="561B2D31"/>
    <w:rsid w:val="562258A3"/>
    <w:rsid w:val="5627460C"/>
    <w:rsid w:val="56382375"/>
    <w:rsid w:val="568441C5"/>
    <w:rsid w:val="56876E58"/>
    <w:rsid w:val="56B714EC"/>
    <w:rsid w:val="56C105BC"/>
    <w:rsid w:val="56D025AE"/>
    <w:rsid w:val="56D46542"/>
    <w:rsid w:val="56F15443"/>
    <w:rsid w:val="572C012C"/>
    <w:rsid w:val="573E7E5F"/>
    <w:rsid w:val="57407733"/>
    <w:rsid w:val="57596A47"/>
    <w:rsid w:val="575F3CF5"/>
    <w:rsid w:val="578C4726"/>
    <w:rsid w:val="57A203EE"/>
    <w:rsid w:val="57A51C8C"/>
    <w:rsid w:val="57BD5228"/>
    <w:rsid w:val="57C32112"/>
    <w:rsid w:val="57F14ED1"/>
    <w:rsid w:val="57F66044"/>
    <w:rsid w:val="58006EC2"/>
    <w:rsid w:val="58044B86"/>
    <w:rsid w:val="582C4CE8"/>
    <w:rsid w:val="58725E54"/>
    <w:rsid w:val="58A040EF"/>
    <w:rsid w:val="58A25C55"/>
    <w:rsid w:val="58A67A6A"/>
    <w:rsid w:val="58AE5E38"/>
    <w:rsid w:val="58BF2F06"/>
    <w:rsid w:val="58DE5456"/>
    <w:rsid w:val="58DF3C1A"/>
    <w:rsid w:val="58EB36CF"/>
    <w:rsid w:val="58F72073"/>
    <w:rsid w:val="58F900E2"/>
    <w:rsid w:val="591064EA"/>
    <w:rsid w:val="59240CAF"/>
    <w:rsid w:val="59253085"/>
    <w:rsid w:val="592C3948"/>
    <w:rsid w:val="592D018B"/>
    <w:rsid w:val="5940666D"/>
    <w:rsid w:val="598A113A"/>
    <w:rsid w:val="599C0E6D"/>
    <w:rsid w:val="59A0270B"/>
    <w:rsid w:val="59B03888"/>
    <w:rsid w:val="59B461B6"/>
    <w:rsid w:val="59CD1026"/>
    <w:rsid w:val="59F42A57"/>
    <w:rsid w:val="5A0114F0"/>
    <w:rsid w:val="5A0B523B"/>
    <w:rsid w:val="5A0E58C7"/>
    <w:rsid w:val="5A351602"/>
    <w:rsid w:val="5A6574B1"/>
    <w:rsid w:val="5A6F20DD"/>
    <w:rsid w:val="5A7C1DA4"/>
    <w:rsid w:val="5AA71877"/>
    <w:rsid w:val="5ACC5362"/>
    <w:rsid w:val="5AE76118"/>
    <w:rsid w:val="5AED7BD2"/>
    <w:rsid w:val="5B3A26EB"/>
    <w:rsid w:val="5B465534"/>
    <w:rsid w:val="5B5D7E1A"/>
    <w:rsid w:val="5BB60E5B"/>
    <w:rsid w:val="5BC54495"/>
    <w:rsid w:val="5BC8419B"/>
    <w:rsid w:val="5BDC3EAB"/>
    <w:rsid w:val="5BF7739A"/>
    <w:rsid w:val="5C1967A5"/>
    <w:rsid w:val="5C1F025F"/>
    <w:rsid w:val="5C237623"/>
    <w:rsid w:val="5C2E04A2"/>
    <w:rsid w:val="5C311D40"/>
    <w:rsid w:val="5C4E1549"/>
    <w:rsid w:val="5C784F5A"/>
    <w:rsid w:val="5C8A1451"/>
    <w:rsid w:val="5CAF46D0"/>
    <w:rsid w:val="5CC606DB"/>
    <w:rsid w:val="5CCB4123"/>
    <w:rsid w:val="5D1207E7"/>
    <w:rsid w:val="5D1D22C5"/>
    <w:rsid w:val="5D2604AA"/>
    <w:rsid w:val="5D465377"/>
    <w:rsid w:val="5D5F6439"/>
    <w:rsid w:val="5D7418B5"/>
    <w:rsid w:val="5D7F0889"/>
    <w:rsid w:val="5D9F2CDA"/>
    <w:rsid w:val="5DCF7A63"/>
    <w:rsid w:val="5DF57B35"/>
    <w:rsid w:val="5DF64FF0"/>
    <w:rsid w:val="5E284956"/>
    <w:rsid w:val="5E2F405E"/>
    <w:rsid w:val="5E4958B0"/>
    <w:rsid w:val="5E4F64AE"/>
    <w:rsid w:val="5E5B4E53"/>
    <w:rsid w:val="5E6D1EC3"/>
    <w:rsid w:val="5E850121"/>
    <w:rsid w:val="5E9418DF"/>
    <w:rsid w:val="5E9B7945"/>
    <w:rsid w:val="5EA66595"/>
    <w:rsid w:val="5ED05841"/>
    <w:rsid w:val="5ED115B9"/>
    <w:rsid w:val="5EDE46E9"/>
    <w:rsid w:val="5EF27DCD"/>
    <w:rsid w:val="5F225970"/>
    <w:rsid w:val="5F2636B2"/>
    <w:rsid w:val="5F5D4BFA"/>
    <w:rsid w:val="5F614F95"/>
    <w:rsid w:val="5F7E529D"/>
    <w:rsid w:val="5FAD16DE"/>
    <w:rsid w:val="5FAD5B82"/>
    <w:rsid w:val="5FB707AE"/>
    <w:rsid w:val="60172FFB"/>
    <w:rsid w:val="602A0F80"/>
    <w:rsid w:val="603351A5"/>
    <w:rsid w:val="60B037A0"/>
    <w:rsid w:val="60CA4511"/>
    <w:rsid w:val="60CB2763"/>
    <w:rsid w:val="60D235C8"/>
    <w:rsid w:val="60D55390"/>
    <w:rsid w:val="60F271B1"/>
    <w:rsid w:val="60F31CBA"/>
    <w:rsid w:val="60F577E0"/>
    <w:rsid w:val="61025A59"/>
    <w:rsid w:val="611063C8"/>
    <w:rsid w:val="612B1454"/>
    <w:rsid w:val="61363E6B"/>
    <w:rsid w:val="6162355C"/>
    <w:rsid w:val="61903065"/>
    <w:rsid w:val="61930DA7"/>
    <w:rsid w:val="61994610"/>
    <w:rsid w:val="619A2136"/>
    <w:rsid w:val="61AF57B2"/>
    <w:rsid w:val="61BA63CF"/>
    <w:rsid w:val="61D05B58"/>
    <w:rsid w:val="61D373F6"/>
    <w:rsid w:val="61DF6F7E"/>
    <w:rsid w:val="61E339B8"/>
    <w:rsid w:val="61EB2991"/>
    <w:rsid w:val="620D2908"/>
    <w:rsid w:val="621662C2"/>
    <w:rsid w:val="62214605"/>
    <w:rsid w:val="622F6D22"/>
    <w:rsid w:val="624843B3"/>
    <w:rsid w:val="624C506B"/>
    <w:rsid w:val="62644C8B"/>
    <w:rsid w:val="627110E9"/>
    <w:rsid w:val="62AC3ECF"/>
    <w:rsid w:val="62CC27C3"/>
    <w:rsid w:val="62DD2773"/>
    <w:rsid w:val="62DF24F6"/>
    <w:rsid w:val="62F15D85"/>
    <w:rsid w:val="62FB30A8"/>
    <w:rsid w:val="63027F93"/>
    <w:rsid w:val="630E2DDB"/>
    <w:rsid w:val="633E4E75"/>
    <w:rsid w:val="638D5C5B"/>
    <w:rsid w:val="638D69A9"/>
    <w:rsid w:val="639037F0"/>
    <w:rsid w:val="639257BA"/>
    <w:rsid w:val="639C03E7"/>
    <w:rsid w:val="63AF3334"/>
    <w:rsid w:val="63B53257"/>
    <w:rsid w:val="63BC0D27"/>
    <w:rsid w:val="63E1404C"/>
    <w:rsid w:val="642C08FC"/>
    <w:rsid w:val="646F1658"/>
    <w:rsid w:val="64882719"/>
    <w:rsid w:val="648F3974"/>
    <w:rsid w:val="64B456E2"/>
    <w:rsid w:val="64B57009"/>
    <w:rsid w:val="64E57F23"/>
    <w:rsid w:val="64FF067B"/>
    <w:rsid w:val="65051FBC"/>
    <w:rsid w:val="650E0E71"/>
    <w:rsid w:val="650F533C"/>
    <w:rsid w:val="651428F1"/>
    <w:rsid w:val="652F0DE7"/>
    <w:rsid w:val="65426D6C"/>
    <w:rsid w:val="655F6755"/>
    <w:rsid w:val="656942F9"/>
    <w:rsid w:val="65904FF3"/>
    <w:rsid w:val="659352FC"/>
    <w:rsid w:val="659770B8"/>
    <w:rsid w:val="65CF567B"/>
    <w:rsid w:val="66192CBC"/>
    <w:rsid w:val="66291CDA"/>
    <w:rsid w:val="665810F5"/>
    <w:rsid w:val="667C005C"/>
    <w:rsid w:val="669C425A"/>
    <w:rsid w:val="66BA2932"/>
    <w:rsid w:val="66CF2882"/>
    <w:rsid w:val="67005B95"/>
    <w:rsid w:val="67013B8D"/>
    <w:rsid w:val="67195D41"/>
    <w:rsid w:val="67206C39"/>
    <w:rsid w:val="676B5339"/>
    <w:rsid w:val="67A54D96"/>
    <w:rsid w:val="67B0620F"/>
    <w:rsid w:val="67B64405"/>
    <w:rsid w:val="67D22629"/>
    <w:rsid w:val="67DD0FCE"/>
    <w:rsid w:val="67E265E5"/>
    <w:rsid w:val="67E45EB9"/>
    <w:rsid w:val="67EE31DB"/>
    <w:rsid w:val="67FF2CF3"/>
    <w:rsid w:val="68303D68"/>
    <w:rsid w:val="684647F0"/>
    <w:rsid w:val="68637725"/>
    <w:rsid w:val="686E1C26"/>
    <w:rsid w:val="6884144A"/>
    <w:rsid w:val="689648A7"/>
    <w:rsid w:val="689871CF"/>
    <w:rsid w:val="689E42BA"/>
    <w:rsid w:val="68B7537B"/>
    <w:rsid w:val="68EC42DB"/>
    <w:rsid w:val="68F640F6"/>
    <w:rsid w:val="68FE744E"/>
    <w:rsid w:val="690031C6"/>
    <w:rsid w:val="69073C72"/>
    <w:rsid w:val="690F6F65"/>
    <w:rsid w:val="692E1B75"/>
    <w:rsid w:val="694F1A58"/>
    <w:rsid w:val="69A85288"/>
    <w:rsid w:val="69AA7FE5"/>
    <w:rsid w:val="69AC2A06"/>
    <w:rsid w:val="69AF24F6"/>
    <w:rsid w:val="69B31FE7"/>
    <w:rsid w:val="69C42446"/>
    <w:rsid w:val="69C51D1A"/>
    <w:rsid w:val="69D71B79"/>
    <w:rsid w:val="6A070584"/>
    <w:rsid w:val="6A166419"/>
    <w:rsid w:val="6A1D3904"/>
    <w:rsid w:val="6A445335"/>
    <w:rsid w:val="6A8B6AC0"/>
    <w:rsid w:val="6A8E65B0"/>
    <w:rsid w:val="6A8F4802"/>
    <w:rsid w:val="6A9C2777"/>
    <w:rsid w:val="6AAB0F10"/>
    <w:rsid w:val="6AB029CA"/>
    <w:rsid w:val="6AB75B07"/>
    <w:rsid w:val="6AE368FC"/>
    <w:rsid w:val="6B014FD4"/>
    <w:rsid w:val="6B064398"/>
    <w:rsid w:val="6B1116BB"/>
    <w:rsid w:val="6B19056F"/>
    <w:rsid w:val="6B364445"/>
    <w:rsid w:val="6B400F78"/>
    <w:rsid w:val="6B5050C9"/>
    <w:rsid w:val="6B737C7F"/>
    <w:rsid w:val="6B741C4A"/>
    <w:rsid w:val="6B7E5284"/>
    <w:rsid w:val="6BB169FA"/>
    <w:rsid w:val="6BD44496"/>
    <w:rsid w:val="6BDD77EF"/>
    <w:rsid w:val="6C044D7B"/>
    <w:rsid w:val="6C133210"/>
    <w:rsid w:val="6C155E31"/>
    <w:rsid w:val="6C2216A6"/>
    <w:rsid w:val="6C24541E"/>
    <w:rsid w:val="6C3367E9"/>
    <w:rsid w:val="6C376EFF"/>
    <w:rsid w:val="6C44161C"/>
    <w:rsid w:val="6C541F44"/>
    <w:rsid w:val="6C5850C7"/>
    <w:rsid w:val="6C635FB0"/>
    <w:rsid w:val="6C6C6BB7"/>
    <w:rsid w:val="6C81017A"/>
    <w:rsid w:val="6C832144"/>
    <w:rsid w:val="6C847C6A"/>
    <w:rsid w:val="6C895EEE"/>
    <w:rsid w:val="6C9C4FB4"/>
    <w:rsid w:val="6CA0170A"/>
    <w:rsid w:val="6CA87DFD"/>
    <w:rsid w:val="6CD429A0"/>
    <w:rsid w:val="6CED5810"/>
    <w:rsid w:val="6D016025"/>
    <w:rsid w:val="6D1014FE"/>
    <w:rsid w:val="6D527D69"/>
    <w:rsid w:val="6D550223"/>
    <w:rsid w:val="6D6655C2"/>
    <w:rsid w:val="6D7B2E1B"/>
    <w:rsid w:val="6D7F5E5E"/>
    <w:rsid w:val="6D81609C"/>
    <w:rsid w:val="6D8F2D6B"/>
    <w:rsid w:val="6D91187B"/>
    <w:rsid w:val="6D92539D"/>
    <w:rsid w:val="6D965D90"/>
    <w:rsid w:val="6D9B170F"/>
    <w:rsid w:val="6DD54C21"/>
    <w:rsid w:val="6DD95D94"/>
    <w:rsid w:val="6E0077C5"/>
    <w:rsid w:val="6E0252EB"/>
    <w:rsid w:val="6E492F1A"/>
    <w:rsid w:val="6E5042A8"/>
    <w:rsid w:val="6E646103"/>
    <w:rsid w:val="6EB37749"/>
    <w:rsid w:val="6F0A08FB"/>
    <w:rsid w:val="6F1501FE"/>
    <w:rsid w:val="6F2F65B3"/>
    <w:rsid w:val="6F3C428D"/>
    <w:rsid w:val="6F4907BE"/>
    <w:rsid w:val="6F6049BF"/>
    <w:rsid w:val="6F7E12CD"/>
    <w:rsid w:val="6FB16FC8"/>
    <w:rsid w:val="6FC00FB9"/>
    <w:rsid w:val="6FDB4045"/>
    <w:rsid w:val="6FDC7A78"/>
    <w:rsid w:val="6FE0134E"/>
    <w:rsid w:val="6FEE1FCA"/>
    <w:rsid w:val="6FF11340"/>
    <w:rsid w:val="6FF70753"/>
    <w:rsid w:val="70177845"/>
    <w:rsid w:val="70196622"/>
    <w:rsid w:val="701D01BA"/>
    <w:rsid w:val="70226AD7"/>
    <w:rsid w:val="704C4F43"/>
    <w:rsid w:val="705A3FCC"/>
    <w:rsid w:val="705B5C2D"/>
    <w:rsid w:val="7062415F"/>
    <w:rsid w:val="70AB3A18"/>
    <w:rsid w:val="70CA0BB8"/>
    <w:rsid w:val="70CE5958"/>
    <w:rsid w:val="70CE7706"/>
    <w:rsid w:val="712B3716"/>
    <w:rsid w:val="712E63F7"/>
    <w:rsid w:val="713779A1"/>
    <w:rsid w:val="71392BC5"/>
    <w:rsid w:val="71483575"/>
    <w:rsid w:val="71593474"/>
    <w:rsid w:val="71630796"/>
    <w:rsid w:val="71796D0C"/>
    <w:rsid w:val="718224E5"/>
    <w:rsid w:val="71956476"/>
    <w:rsid w:val="719A3A8C"/>
    <w:rsid w:val="71A26757"/>
    <w:rsid w:val="71B11484"/>
    <w:rsid w:val="71CD20B4"/>
    <w:rsid w:val="71CD5C10"/>
    <w:rsid w:val="71D2607D"/>
    <w:rsid w:val="71F25676"/>
    <w:rsid w:val="724203AC"/>
    <w:rsid w:val="725956F5"/>
    <w:rsid w:val="72636E03"/>
    <w:rsid w:val="727662A7"/>
    <w:rsid w:val="727A74A9"/>
    <w:rsid w:val="728242AF"/>
    <w:rsid w:val="72985BFE"/>
    <w:rsid w:val="72987FCC"/>
    <w:rsid w:val="72AC7F1B"/>
    <w:rsid w:val="72B03567"/>
    <w:rsid w:val="72EE5E3E"/>
    <w:rsid w:val="73170DCA"/>
    <w:rsid w:val="733B7906"/>
    <w:rsid w:val="735E1215"/>
    <w:rsid w:val="736C0ED5"/>
    <w:rsid w:val="736F3422"/>
    <w:rsid w:val="73744667"/>
    <w:rsid w:val="73770529"/>
    <w:rsid w:val="73AA6208"/>
    <w:rsid w:val="73B70FDE"/>
    <w:rsid w:val="73C90572"/>
    <w:rsid w:val="73F73418"/>
    <w:rsid w:val="742A7349"/>
    <w:rsid w:val="744C5512"/>
    <w:rsid w:val="746B48A4"/>
    <w:rsid w:val="747607E0"/>
    <w:rsid w:val="749E2067"/>
    <w:rsid w:val="74AF784E"/>
    <w:rsid w:val="74B3733F"/>
    <w:rsid w:val="74BC7F31"/>
    <w:rsid w:val="74CA4FB5"/>
    <w:rsid w:val="74F05224"/>
    <w:rsid w:val="750202C6"/>
    <w:rsid w:val="750758DC"/>
    <w:rsid w:val="753A2F9F"/>
    <w:rsid w:val="75596580"/>
    <w:rsid w:val="755A0D87"/>
    <w:rsid w:val="75680069"/>
    <w:rsid w:val="7570132D"/>
    <w:rsid w:val="758774DB"/>
    <w:rsid w:val="75941C40"/>
    <w:rsid w:val="75957371"/>
    <w:rsid w:val="75A5092B"/>
    <w:rsid w:val="75AF3385"/>
    <w:rsid w:val="75C247F8"/>
    <w:rsid w:val="75C666E0"/>
    <w:rsid w:val="75D12160"/>
    <w:rsid w:val="75D152D1"/>
    <w:rsid w:val="75D92DD5"/>
    <w:rsid w:val="760F4A49"/>
    <w:rsid w:val="7610256F"/>
    <w:rsid w:val="761A519B"/>
    <w:rsid w:val="767108C9"/>
    <w:rsid w:val="76832D41"/>
    <w:rsid w:val="769767EC"/>
    <w:rsid w:val="76A322D4"/>
    <w:rsid w:val="76AB16A5"/>
    <w:rsid w:val="76C45833"/>
    <w:rsid w:val="76E34DFB"/>
    <w:rsid w:val="76F428ED"/>
    <w:rsid w:val="7709593C"/>
    <w:rsid w:val="771B74A2"/>
    <w:rsid w:val="77305615"/>
    <w:rsid w:val="7745544C"/>
    <w:rsid w:val="77625CC2"/>
    <w:rsid w:val="77C96E79"/>
    <w:rsid w:val="77F43EF6"/>
    <w:rsid w:val="77F75B06"/>
    <w:rsid w:val="78061E7B"/>
    <w:rsid w:val="780E2ADE"/>
    <w:rsid w:val="782C398D"/>
    <w:rsid w:val="784529A4"/>
    <w:rsid w:val="78724776"/>
    <w:rsid w:val="7872520C"/>
    <w:rsid w:val="787F6D5A"/>
    <w:rsid w:val="78A07BDA"/>
    <w:rsid w:val="78F87A16"/>
    <w:rsid w:val="78FC11C4"/>
    <w:rsid w:val="792A6C1F"/>
    <w:rsid w:val="793D7830"/>
    <w:rsid w:val="794549BB"/>
    <w:rsid w:val="795E1FA3"/>
    <w:rsid w:val="796706F8"/>
    <w:rsid w:val="796A1945"/>
    <w:rsid w:val="797D2716"/>
    <w:rsid w:val="798E3ED6"/>
    <w:rsid w:val="79910EBB"/>
    <w:rsid w:val="79A91ABF"/>
    <w:rsid w:val="79BC4EE7"/>
    <w:rsid w:val="7A020420"/>
    <w:rsid w:val="7A1F7224"/>
    <w:rsid w:val="7A230AC3"/>
    <w:rsid w:val="7A2860D9"/>
    <w:rsid w:val="7A6C7FBD"/>
    <w:rsid w:val="7AC73B44"/>
    <w:rsid w:val="7ACA53E2"/>
    <w:rsid w:val="7ACF0C4A"/>
    <w:rsid w:val="7AE35A48"/>
    <w:rsid w:val="7AF20495"/>
    <w:rsid w:val="7B1E74DC"/>
    <w:rsid w:val="7B222378"/>
    <w:rsid w:val="7B334D35"/>
    <w:rsid w:val="7B3F5280"/>
    <w:rsid w:val="7B5829EE"/>
    <w:rsid w:val="7B5D1DB2"/>
    <w:rsid w:val="7B5F3D7C"/>
    <w:rsid w:val="7B6C6499"/>
    <w:rsid w:val="7B6E0463"/>
    <w:rsid w:val="7BAB6FC2"/>
    <w:rsid w:val="7BB67714"/>
    <w:rsid w:val="7BCA0A21"/>
    <w:rsid w:val="7BEC3136"/>
    <w:rsid w:val="7BF344C5"/>
    <w:rsid w:val="7C093CE8"/>
    <w:rsid w:val="7C1032C9"/>
    <w:rsid w:val="7C1A4147"/>
    <w:rsid w:val="7C4A4A2C"/>
    <w:rsid w:val="7C894DEE"/>
    <w:rsid w:val="7CBC0D5A"/>
    <w:rsid w:val="7CE314B1"/>
    <w:rsid w:val="7CE34C30"/>
    <w:rsid w:val="7CFD384D"/>
    <w:rsid w:val="7D1666BD"/>
    <w:rsid w:val="7D1D5C9D"/>
    <w:rsid w:val="7D233056"/>
    <w:rsid w:val="7D5E1E12"/>
    <w:rsid w:val="7D741635"/>
    <w:rsid w:val="7D9F2B56"/>
    <w:rsid w:val="7DA0242A"/>
    <w:rsid w:val="7DE325DD"/>
    <w:rsid w:val="7DE70059"/>
    <w:rsid w:val="7DFF756D"/>
    <w:rsid w:val="7E03645C"/>
    <w:rsid w:val="7E1626EC"/>
    <w:rsid w:val="7E282543"/>
    <w:rsid w:val="7E5F4093"/>
    <w:rsid w:val="7E655B4E"/>
    <w:rsid w:val="7EC55884"/>
    <w:rsid w:val="7ECA59B1"/>
    <w:rsid w:val="7EDC56E4"/>
    <w:rsid w:val="7F007624"/>
    <w:rsid w:val="7F057D31"/>
    <w:rsid w:val="7F3245CD"/>
    <w:rsid w:val="7F3E639F"/>
    <w:rsid w:val="7F420DF9"/>
    <w:rsid w:val="7F636E90"/>
    <w:rsid w:val="7F9110FB"/>
    <w:rsid w:val="7F925FC6"/>
    <w:rsid w:val="7FAF4BA7"/>
    <w:rsid w:val="7FB75FC0"/>
    <w:rsid w:val="7FC841C1"/>
    <w:rsid w:val="7FD840FD"/>
    <w:rsid w:val="7FDA1D9D"/>
    <w:rsid w:val="7FDB387B"/>
    <w:rsid w:val="DFFB829B"/>
    <w:rsid w:val="F6FF5A62"/>
    <w:rsid w:val="FB7DBF0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eastAsia="仿宋_GB2312"/>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7"/>
    <w:qFormat/>
    <w:uiPriority w:val="0"/>
    <w:pPr>
      <w:spacing w:line="440" w:lineRule="exact"/>
      <w:ind w:firstLine="420" w:firstLineChars="200"/>
    </w:pPr>
    <w:rPr>
      <w:sz w:val="24"/>
    </w:rPr>
  </w:style>
  <w:style w:type="paragraph" w:styleId="7">
    <w:name w:val="Body Text Indent"/>
    <w:basedOn w:val="1"/>
    <w:next w:val="6"/>
    <w:qFormat/>
    <w:uiPriority w:val="0"/>
    <w:pPr>
      <w:spacing w:line="200" w:lineRule="exact"/>
      <w:ind w:firstLine="301"/>
    </w:pPr>
    <w:rPr>
      <w:rFonts w:ascii="宋体" w:hAnsi="Courier New"/>
      <w:spacing w:val="-4"/>
      <w:sz w:val="18"/>
      <w:szCs w:val="20"/>
    </w:rPr>
  </w:style>
  <w:style w:type="paragraph" w:styleId="8">
    <w:name w:val="annotation text"/>
    <w:basedOn w:val="1"/>
    <w:link w:val="43"/>
    <w:qFormat/>
    <w:uiPriority w:val="0"/>
    <w:pPr>
      <w:jc w:val="left"/>
    </w:pPr>
  </w:style>
  <w:style w:type="paragraph" w:styleId="9">
    <w:name w:val="Body Text 3"/>
    <w:basedOn w:val="1"/>
    <w:qFormat/>
    <w:uiPriority w:val="0"/>
    <w:pPr>
      <w:snapToGrid w:val="0"/>
      <w:spacing w:before="50" w:after="50"/>
    </w:pPr>
    <w:rPr>
      <w:rFonts w:hAnsi="宋体" w:eastAsia="仿宋_GB2312"/>
      <w:b/>
      <w:bCs/>
      <w:sz w:val="24"/>
      <w:szCs w:val="20"/>
    </w:rPr>
  </w:style>
  <w:style w:type="paragraph" w:styleId="10">
    <w:name w:val="Body Text"/>
    <w:basedOn w:val="1"/>
    <w:next w:val="11"/>
    <w:qFormat/>
    <w:uiPriority w:val="0"/>
    <w:pPr>
      <w:spacing w:after="120"/>
    </w:pPr>
    <w:rPr>
      <w:sz w:val="28"/>
    </w:rPr>
  </w:style>
  <w:style w:type="paragraph" w:styleId="11">
    <w:name w:val="Body Text First Indent"/>
    <w:basedOn w:val="10"/>
    <w:next w:val="12"/>
    <w:qFormat/>
    <w:uiPriority w:val="0"/>
    <w:pPr>
      <w:ind w:firstLine="420" w:firstLineChars="100"/>
    </w:pPr>
  </w:style>
  <w:style w:type="paragraph" w:styleId="12">
    <w:name w:val="toc 6"/>
    <w:basedOn w:val="1"/>
    <w:next w:val="1"/>
    <w:semiHidden/>
    <w:qFormat/>
    <w:uiPriority w:val="0"/>
    <w:pPr>
      <w:ind w:left="2100" w:leftChars="1000"/>
    </w:pPr>
  </w:style>
  <w:style w:type="paragraph" w:styleId="13">
    <w:name w:val="Plain Text"/>
    <w:basedOn w:val="1"/>
    <w:next w:val="1"/>
    <w:qFormat/>
    <w:uiPriority w:val="0"/>
    <w:pPr>
      <w:spacing w:beforeLines="50" w:afterLines="50" w:line="400" w:lineRule="exact"/>
    </w:pPr>
    <w:rPr>
      <w:rFonts w:ascii="宋体" w:hAnsi="Courier New"/>
      <w:sz w:val="24"/>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42"/>
    <w:qFormat/>
    <w:uiPriority w:val="0"/>
    <w:rPr>
      <w:sz w:val="18"/>
      <w:szCs w:val="18"/>
    </w:rPr>
  </w:style>
  <w:style w:type="paragraph" w:styleId="16">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8">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19">
    <w:name w:val="toc 2"/>
    <w:basedOn w:val="1"/>
    <w:next w:val="1"/>
    <w:qFormat/>
    <w:uiPriority w:val="39"/>
    <w:pPr>
      <w:tabs>
        <w:tab w:val="right" w:leader="dot" w:pos="9403"/>
      </w:tabs>
      <w:snapToGrid w:val="0"/>
      <w:spacing w:line="360" w:lineRule="auto"/>
      <w:ind w:firstLine="200" w:firstLineChars="200"/>
    </w:pPr>
    <w:rPr>
      <w:smallCaps/>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2">
    <w:name w:val="annotation subject"/>
    <w:basedOn w:val="8"/>
    <w:next w:val="8"/>
    <w:link w:val="44"/>
    <w:qFormat/>
    <w:uiPriority w:val="0"/>
    <w:rPr>
      <w:b/>
      <w:bCs/>
    </w:rPr>
  </w:style>
  <w:style w:type="paragraph" w:styleId="23">
    <w:name w:val="Body Text First Indent 2"/>
    <w:basedOn w:val="7"/>
    <w:qFormat/>
    <w:uiPriority w:val="0"/>
    <w:pPr>
      <w:spacing w:after="120" w:line="240" w:lineRule="auto"/>
      <w:ind w:left="420" w:leftChars="200" w:firstLine="420" w:firstLineChars="200"/>
    </w:pPr>
    <w:rPr>
      <w:rFonts w:ascii="Times New Roman" w:hAnsi="Times New Roman"/>
      <w:spacing w:val="0"/>
      <w:sz w:val="21"/>
      <w:szCs w:val="24"/>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page number"/>
    <w:qFormat/>
    <w:uiPriority w:val="0"/>
  </w:style>
  <w:style w:type="character" w:styleId="28">
    <w:name w:val="Emphasis"/>
    <w:basedOn w:val="26"/>
    <w:qFormat/>
    <w:uiPriority w:val="0"/>
    <w:rPr>
      <w:i/>
    </w:rPr>
  </w:style>
  <w:style w:type="character" w:styleId="29">
    <w:name w:val="Hyperlink"/>
    <w:qFormat/>
    <w:uiPriority w:val="0"/>
    <w:rPr>
      <w:color w:val="0000FF"/>
      <w:u w:val="single"/>
    </w:rPr>
  </w:style>
  <w:style w:type="character" w:styleId="30">
    <w:name w:val="annotation reference"/>
    <w:basedOn w:val="26"/>
    <w:qFormat/>
    <w:uiPriority w:val="0"/>
    <w:rPr>
      <w:sz w:val="21"/>
      <w:szCs w:val="21"/>
    </w:rPr>
  </w:style>
  <w:style w:type="paragraph" w:customStyle="1" w:styleId="31">
    <w:name w:val="表格文字"/>
    <w:basedOn w:val="7"/>
    <w:next w:val="10"/>
    <w:qFormat/>
    <w:uiPriority w:val="99"/>
    <w:pPr>
      <w:adjustRightInd w:val="0"/>
      <w:spacing w:line="420" w:lineRule="atLeast"/>
      <w:jc w:val="left"/>
      <w:textAlignment w:val="baseline"/>
    </w:pPr>
    <w:rPr>
      <w:kern w:val="0"/>
    </w:rPr>
  </w:style>
  <w:style w:type="paragraph" w:customStyle="1" w:styleId="3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34">
    <w:name w:val="标题 2 Char1"/>
    <w:qFormat/>
    <w:uiPriority w:val="0"/>
    <w:rPr>
      <w:rFonts w:ascii="Arial" w:hAnsi="Arial" w:eastAsia="宋体" w:cs="Times New Roman"/>
      <w:b/>
      <w:bCs/>
      <w:sz w:val="28"/>
      <w:szCs w:val="32"/>
    </w:rPr>
  </w:style>
  <w:style w:type="paragraph" w:customStyle="1" w:styleId="35">
    <w:name w:val="[Normal]"/>
    <w:qFormat/>
    <w:uiPriority w:val="0"/>
    <w:rPr>
      <w:rFonts w:ascii="宋体" w:hAnsi="宋体" w:eastAsia="宋体" w:cs="Times New Roman"/>
      <w:sz w:val="24"/>
      <w:szCs w:val="22"/>
      <w:lang w:val="zh-CN" w:eastAsia="zh-CN" w:bidi="ar-SA"/>
    </w:rPr>
  </w:style>
  <w:style w:type="paragraph" w:customStyle="1" w:styleId="36">
    <w:name w:val="BodyText1I"/>
    <w:basedOn w:val="37"/>
    <w:qFormat/>
    <w:uiPriority w:val="0"/>
    <w:pPr>
      <w:ind w:firstLine="420" w:firstLineChars="100"/>
    </w:pPr>
  </w:style>
  <w:style w:type="paragraph" w:customStyle="1" w:styleId="37">
    <w:name w:val="BodyText"/>
    <w:basedOn w:val="1"/>
    <w:next w:val="38"/>
    <w:qFormat/>
    <w:uiPriority w:val="0"/>
    <w:pPr>
      <w:textAlignment w:val="baseline"/>
    </w:pPr>
    <w:rPr>
      <w:rFonts w:ascii="宋体" w:hAnsi="宋体"/>
      <w:szCs w:val="21"/>
      <w:lang w:val="zh-CN" w:bidi="zh-CN"/>
    </w:rPr>
  </w:style>
  <w:style w:type="paragraph" w:customStyle="1" w:styleId="38">
    <w:name w:val="TOC2"/>
    <w:basedOn w:val="1"/>
    <w:next w:val="1"/>
    <w:qFormat/>
    <w:uiPriority w:val="0"/>
    <w:pPr>
      <w:ind w:left="420" w:leftChars="200"/>
      <w:textAlignment w:val="baseline"/>
    </w:pPr>
  </w:style>
  <w:style w:type="paragraph" w:customStyle="1" w:styleId="3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1">
    <w:name w:val="List Paragraph"/>
    <w:basedOn w:val="1"/>
    <w:qFormat/>
    <w:uiPriority w:val="34"/>
    <w:pPr>
      <w:ind w:firstLine="420" w:firstLineChars="200"/>
    </w:pPr>
  </w:style>
  <w:style w:type="character" w:customStyle="1" w:styleId="42">
    <w:name w:val="批注框文本 Char"/>
    <w:basedOn w:val="26"/>
    <w:link w:val="15"/>
    <w:qFormat/>
    <w:uiPriority w:val="0"/>
    <w:rPr>
      <w:kern w:val="2"/>
      <w:sz w:val="18"/>
      <w:szCs w:val="18"/>
    </w:rPr>
  </w:style>
  <w:style w:type="character" w:customStyle="1" w:styleId="43">
    <w:name w:val="批注文字 Char"/>
    <w:basedOn w:val="26"/>
    <w:link w:val="8"/>
    <w:qFormat/>
    <w:uiPriority w:val="0"/>
    <w:rPr>
      <w:kern w:val="2"/>
      <w:sz w:val="21"/>
      <w:szCs w:val="24"/>
    </w:rPr>
  </w:style>
  <w:style w:type="character" w:customStyle="1" w:styleId="44">
    <w:name w:val="批注主题 Char"/>
    <w:basedOn w:val="43"/>
    <w:link w:val="22"/>
    <w:qFormat/>
    <w:uiPriority w:val="0"/>
    <w:rPr>
      <w:b/>
      <w:bCs/>
      <w:kern w:val="2"/>
      <w:sz w:val="21"/>
      <w:szCs w:val="24"/>
    </w:rPr>
  </w:style>
  <w:style w:type="table" w:customStyle="1" w:styleId="45">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26"/>
    <customShpInfo spid="_x0000_s1030"/>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qzrmyy</Company>
  <Pages>61</Pages>
  <Words>19678</Words>
  <Characters>21116</Characters>
  <Lines>437</Lines>
  <Paragraphs>123</Paragraphs>
  <TotalTime>39</TotalTime>
  <ScaleCrop>false</ScaleCrop>
  <LinksUpToDate>false</LinksUpToDate>
  <CharactersWithSpaces>21243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2024-01-08T17:29:00Z</dcterms:created>
  <dc:creator>Administrator</dc:creator>
  <cp:lastModifiedBy>五石中正  汪建霞</cp:lastModifiedBy>
  <cp:lastPrinted>2024-05-28T19:41:00Z</cp:lastPrinted>
  <dcterms:modified xsi:type="dcterms:W3CDTF">2024-12-18T03:30:13Z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0A7611BA865348E4B3C57937F61ACB29_12</vt:lpwstr>
  </property>
</Properties>
</file>