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b/>
          <w:color w:val="auto"/>
          <w:spacing w:val="-6"/>
          <w:sz w:val="52"/>
          <w:szCs w:val="72"/>
          <w:highlight w:val="none"/>
        </w:rPr>
      </w:pPr>
      <w:r>
        <w:rPr>
          <w:rFonts w:hint="eastAsia" w:ascii="宋体" w:hAnsi="宋体"/>
          <w:b/>
          <w:color w:val="auto"/>
          <w:spacing w:val="-6"/>
          <w:sz w:val="52"/>
          <w:szCs w:val="72"/>
          <w:highlight w:val="none"/>
        </w:rPr>
        <w:t>浙江工商职业技术学院</w:t>
      </w:r>
    </w:p>
    <w:p>
      <w:pPr>
        <w:spacing w:line="360" w:lineRule="auto"/>
        <w:jc w:val="center"/>
        <w:rPr>
          <w:rFonts w:ascii="宋体" w:hAnsi="宋体"/>
          <w:b/>
          <w:color w:val="auto"/>
          <w:sz w:val="72"/>
          <w:szCs w:val="72"/>
          <w:highlight w:val="none"/>
        </w:rPr>
      </w:pPr>
    </w:p>
    <w:p>
      <w:pPr>
        <w:pStyle w:val="80"/>
        <w:rPr>
          <w:rFonts w:ascii="宋体" w:hAnsi="宋体" w:eastAsia="宋体" w:cs="宋体"/>
          <w:color w:val="auto"/>
          <w:highlight w:val="none"/>
        </w:rPr>
      </w:pPr>
    </w:p>
    <w:p>
      <w:pPr>
        <w:spacing w:line="360" w:lineRule="auto"/>
        <w:jc w:val="center"/>
        <w:rPr>
          <w:rFonts w:ascii="宋体" w:hAnsi="宋体"/>
          <w:b/>
          <w:color w:val="auto"/>
          <w:spacing w:val="-6"/>
          <w:sz w:val="72"/>
          <w:szCs w:val="72"/>
          <w:highlight w:val="none"/>
        </w:rPr>
      </w:pPr>
      <w:r>
        <w:rPr>
          <w:rFonts w:hint="eastAsia" w:ascii="宋体" w:hAnsi="宋体"/>
          <w:b/>
          <w:color w:val="auto"/>
          <w:spacing w:val="-6"/>
          <w:sz w:val="72"/>
          <w:szCs w:val="72"/>
          <w:highlight w:val="none"/>
        </w:rPr>
        <w:t>公开招标文件</w:t>
      </w:r>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(电子交易)</w:t>
      </w:r>
    </w:p>
    <w:p>
      <w:pPr>
        <w:pStyle w:val="80"/>
        <w:rPr>
          <w:rFonts w:ascii="宋体" w:hAnsi="宋体" w:eastAsia="宋体" w:cs="宋体"/>
          <w:color w:val="auto"/>
          <w:sz w:val="44"/>
          <w:szCs w:val="44"/>
          <w:highlight w:val="none"/>
        </w:rPr>
      </w:pPr>
    </w:p>
    <w:p>
      <w:pPr>
        <w:pStyle w:val="81"/>
        <w:rPr>
          <w:rFonts w:ascii="宋体" w:hAnsi="宋体" w:cs="宋体"/>
          <w:color w:val="auto"/>
          <w:highlight w:val="none"/>
        </w:rPr>
      </w:pPr>
    </w:p>
    <w:p>
      <w:pPr>
        <w:spacing w:line="360" w:lineRule="auto"/>
        <w:jc w:val="center"/>
        <w:rPr>
          <w:rFonts w:ascii="宋体" w:hAnsi="宋体"/>
          <w:color w:val="auto"/>
          <w:sz w:val="44"/>
          <w:szCs w:val="44"/>
          <w:highlight w:val="none"/>
        </w:rPr>
      </w:pP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项目名称：风雨场馆项目勘察设计服务项目</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项目编号：ZJWS-GS202413G</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采购人：浙江工商职业技术学院</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采购代理机构：浙江五石中正工程咨询有限公司</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时间：二〇二四年</w:t>
      </w:r>
      <w:r>
        <w:rPr>
          <w:rFonts w:hint="eastAsia" w:ascii="宋体" w:hAnsi="宋体"/>
          <w:b/>
          <w:bCs/>
          <w:color w:val="auto"/>
          <w:sz w:val="32"/>
          <w:szCs w:val="32"/>
          <w:highlight w:val="none"/>
          <w:lang w:eastAsia="zh-CN"/>
        </w:rPr>
        <w:t>八</w:t>
      </w:r>
      <w:r>
        <w:rPr>
          <w:rFonts w:hint="eastAsia" w:ascii="宋体" w:hAnsi="宋体"/>
          <w:b/>
          <w:bCs/>
          <w:color w:val="auto"/>
          <w:sz w:val="32"/>
          <w:szCs w:val="32"/>
          <w:highlight w:val="none"/>
        </w:rPr>
        <w:t>月</w:t>
      </w: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p>
    <w:p>
      <w:pPr>
        <w:spacing w:line="360" w:lineRule="auto"/>
        <w:jc w:val="center"/>
        <w:rPr>
          <w:rFonts w:ascii="宋体" w:hAnsi="宋体" w:cs="宋体"/>
          <w:color w:val="auto"/>
          <w:sz w:val="24"/>
          <w:highlight w:val="none"/>
        </w:rPr>
      </w:pP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pPr>
        <w:spacing w:line="360" w:lineRule="auto"/>
        <w:rPr>
          <w:rFonts w:ascii="宋体" w:hAnsi="宋体" w:cs="宋体"/>
          <w:color w:val="auto"/>
          <w:sz w:val="32"/>
          <w:szCs w:val="32"/>
          <w:highlight w:val="none"/>
        </w:rPr>
      </w:pPr>
    </w:p>
    <w:p>
      <w:pPr>
        <w:pStyle w:val="45"/>
        <w:tabs>
          <w:tab w:val="right" w:leader="dot" w:pos="907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"_Toc1090" </w:instrText>
      </w:r>
      <w:r>
        <w:rPr>
          <w:color w:val="auto"/>
          <w:highlight w:val="none"/>
        </w:rPr>
        <w:fldChar w:fldCharType="separate"/>
      </w:r>
      <w:r>
        <w:rPr>
          <w:rFonts w:hint="eastAsia" w:ascii="宋体" w:hAnsi="宋体" w:cs="宋体"/>
          <w:color w:val="auto"/>
          <w:sz w:val="28"/>
          <w:szCs w:val="28"/>
          <w:highlight w:val="none"/>
        </w:rPr>
        <w:t>第一部分招标公告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5"/>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"_Toc4678" </w:instrText>
      </w:r>
      <w:r>
        <w:rPr>
          <w:color w:val="auto"/>
          <w:highlight w:val="none"/>
        </w:rPr>
        <w:fldChar w:fldCharType="separate"/>
      </w:r>
      <w:r>
        <w:rPr>
          <w:rFonts w:hint="eastAsia" w:ascii="宋体" w:hAnsi="宋体" w:cs="宋体"/>
          <w:color w:val="auto"/>
          <w:sz w:val="28"/>
          <w:szCs w:val="28"/>
          <w:highlight w:val="none"/>
        </w:rPr>
        <w:t>第二部分投标人须知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_Toc4678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5"/>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"_Toc16032" </w:instrText>
      </w:r>
      <w:r>
        <w:rPr>
          <w:color w:val="auto"/>
          <w:highlight w:val="none"/>
        </w:rPr>
        <w:fldChar w:fldCharType="separate"/>
      </w:r>
      <w:r>
        <w:rPr>
          <w:rFonts w:hint="eastAsia" w:ascii="宋体" w:hAnsi="宋体" w:cs="宋体"/>
          <w:color w:val="auto"/>
          <w:sz w:val="28"/>
          <w:szCs w:val="28"/>
          <w:highlight w:val="none"/>
        </w:rPr>
        <w:t>第三部分采购需求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_Toc16032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5"/>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"_Toc20244" </w:instrText>
      </w:r>
      <w:r>
        <w:rPr>
          <w:color w:val="auto"/>
          <w:highlight w:val="none"/>
        </w:rPr>
        <w:fldChar w:fldCharType="separate"/>
      </w:r>
      <w:r>
        <w:rPr>
          <w:rFonts w:hint="eastAsia" w:ascii="宋体" w:hAnsi="宋体" w:cs="宋体"/>
          <w:color w:val="auto"/>
          <w:sz w:val="28"/>
          <w:szCs w:val="28"/>
          <w:highlight w:val="none"/>
        </w:rPr>
        <w:t>第四部分评标办法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_Toc20244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5"/>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"_Toc8900" </w:instrText>
      </w:r>
      <w:r>
        <w:rPr>
          <w:color w:val="auto"/>
          <w:highlight w:val="none"/>
        </w:rPr>
        <w:fldChar w:fldCharType="separate"/>
      </w:r>
      <w:r>
        <w:rPr>
          <w:rFonts w:hint="eastAsia" w:ascii="宋体" w:hAnsi="宋体" w:cs="宋体"/>
          <w:color w:val="auto"/>
          <w:sz w:val="28"/>
          <w:szCs w:val="28"/>
          <w:highlight w:val="none"/>
        </w:rPr>
        <w:t>第五部分拟签订的合同文本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_Toc8900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5"/>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"_Toc10980" </w:instrText>
      </w:r>
      <w:r>
        <w:rPr>
          <w:color w:val="auto"/>
          <w:highlight w:val="none"/>
        </w:rPr>
        <w:fldChar w:fldCharType="separate"/>
      </w:r>
      <w:r>
        <w:rPr>
          <w:rFonts w:hint="eastAsia" w:ascii="宋体" w:hAnsi="宋体" w:cs="宋体"/>
          <w:color w:val="auto"/>
          <w:sz w:val="28"/>
          <w:szCs w:val="28"/>
          <w:highlight w:val="none"/>
        </w:rPr>
        <w:t>第六部分应提交的有关格式范例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_Toc10980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480" w:lineRule="auto"/>
        <w:rPr>
          <w:rFonts w:ascii="宋体" w:hAnsi="宋体" w:cs="宋体"/>
          <w:color w:val="auto"/>
          <w:sz w:val="32"/>
          <w:szCs w:val="32"/>
          <w:highlight w:val="none"/>
        </w:rPr>
      </w:pPr>
      <w:r>
        <w:rPr>
          <w:rFonts w:hint="eastAsia" w:ascii="宋体" w:hAnsi="宋体" w:cs="宋体"/>
          <w:color w:val="auto"/>
          <w:sz w:val="28"/>
          <w:szCs w:val="28"/>
          <w:highlight w:val="none"/>
        </w:rPr>
        <w:fldChar w:fldCharType="end"/>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1090"/>
      <w:bookmarkStart w:id="9" w:name="第二部分"/>
      <w:bookmarkStart w:id="10" w:name="_Toc91899870"/>
      <w:bookmarkStart w:id="11" w:name="_Toc91899871"/>
      <w:r>
        <w:rPr>
          <w:rFonts w:hint="eastAsia" w:ascii="宋体" w:hAnsi="宋体" w:cs="宋体"/>
          <w:b/>
          <w:color w:val="auto"/>
          <w:sz w:val="36"/>
          <w:szCs w:val="20"/>
          <w:highlight w:val="none"/>
        </w:rPr>
        <w:t>第一部分招标公告</w:t>
      </w:r>
      <w:bookmarkEnd w:id="8"/>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浙江工商职业技术学院风雨场馆项目勘察设计服务</w:t>
      </w:r>
      <w:r>
        <w:rPr>
          <w:rFonts w:hint="eastAsia" w:ascii="宋体" w:hAnsi="宋体" w:cs="宋体"/>
          <w:color w:val="auto"/>
          <w:sz w:val="24"/>
          <w:highlight w:val="none"/>
        </w:rPr>
        <w:t>招标项目的潜在投标人应在政采云平</w:t>
      </w:r>
      <w:r>
        <w:rPr>
          <w:rFonts w:hint="eastAsia" w:ascii="宋体" w:hAnsi="宋体" w:cs="宋体"/>
          <w:bCs/>
          <w:color w:val="auto"/>
          <w:sz w:val="24"/>
          <w:highlight w:val="none"/>
        </w:rPr>
        <w:t>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宋体" w:hAnsi="宋体" w:cs="宋体"/>
          <w:bCs/>
          <w:color w:val="auto"/>
          <w:sz w:val="24"/>
          <w:highlight w:val="none"/>
        </w:rPr>
        <w:t>https://www.zcygov.cn/）获取（下载）招标文件，并于2024年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时30分</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pPr>
        <w:spacing w:line="360" w:lineRule="auto"/>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ZJWS-GS202413G</w:t>
      </w:r>
    </w:p>
    <w:p>
      <w:pPr>
        <w:spacing w:line="360" w:lineRule="auto"/>
        <w:rPr>
          <w:rFonts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浙江工商职业技术学院风雨场馆项目勘察设计服务项目</w:t>
      </w:r>
    </w:p>
    <w:p>
      <w:pPr>
        <w:spacing w:line="360" w:lineRule="auto"/>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230000</w:t>
      </w:r>
    </w:p>
    <w:p>
      <w:pPr>
        <w:spacing w:line="360" w:lineRule="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230000</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采购需求：</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标项名称:风雨场馆项目勘察设计服务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    数量:1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    预算金额（元）:230000</w:t>
      </w:r>
      <w:r>
        <w:rPr>
          <w:rFonts w:hint="eastAsia" w:ascii="宋体" w:hAnsi="宋体" w:cs="宋体"/>
          <w:bCs/>
          <w:color w:val="auto"/>
          <w:sz w:val="24"/>
          <w:highlight w:val="none"/>
        </w:rPr>
        <w:br w:type="textWrapping"/>
      </w:r>
      <w:r>
        <w:rPr>
          <w:rFonts w:hint="eastAsia" w:ascii="宋体" w:hAnsi="宋体" w:cs="宋体"/>
          <w:bCs/>
          <w:color w:val="auto"/>
          <w:sz w:val="24"/>
          <w:highlight w:val="none"/>
        </w:rPr>
        <w:t>    简要规格描述或项目基本概况介绍、用途：详见“第三部分采购需求”。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   备注：/ </w:t>
      </w:r>
    </w:p>
    <w:p>
      <w:pPr>
        <w:spacing w:line="360" w:lineRule="auto"/>
        <w:ind w:firstLine="720"/>
        <w:rPr>
          <w:rFonts w:ascii="宋体" w:hAnsi="宋体" w:cs="宋体"/>
          <w:bCs/>
          <w:color w:val="auto"/>
          <w:sz w:val="24"/>
          <w:highlight w:val="none"/>
        </w:rPr>
      </w:pPr>
      <w:r>
        <w:rPr>
          <w:rFonts w:hint="eastAsia" w:ascii="宋体" w:hAnsi="宋体" w:cs="宋体"/>
          <w:bCs/>
          <w:color w:val="auto"/>
          <w:sz w:val="24"/>
          <w:highlight w:val="none"/>
        </w:rPr>
        <w:t>合同履约期限：合同签订后至项目竣工验收合格为止；</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本项目（是）接受联合体投标。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2.落实政府采购政策需满足的资格要求：本项目专门面向中小企业采购，承接服务供应商应为中小微企业或监狱企业或残疾人福利性单位。 </w:t>
      </w:r>
    </w:p>
    <w:p>
      <w:pPr>
        <w:spacing w:line="400" w:lineRule="exact"/>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3.本项目的特定资格要求：</w:t>
      </w:r>
    </w:p>
    <w:p>
      <w:pPr>
        <w:spacing w:line="400" w:lineRule="exact"/>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（1）具备工程设计综合甲级资质或工程设计建筑甲级资质；</w:t>
      </w:r>
    </w:p>
    <w:p>
      <w:pPr>
        <w:spacing w:line="400" w:lineRule="exact"/>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（2）具备</w:t>
      </w:r>
      <w:r>
        <w:rPr>
          <w:color w:val="auto"/>
          <w:highlight w:val="none"/>
        </w:rPr>
        <w:fldChar w:fldCharType="begin"/>
      </w:r>
      <w:r>
        <w:rPr>
          <w:color w:val="auto"/>
          <w:highlight w:val="none"/>
        </w:rPr>
        <w:instrText xml:space="preserve"> HYPERLINK "https://wenda.so.com/q/1661008858218512" \t "https://www.so.com/_blank" </w:instrText>
      </w:r>
      <w:r>
        <w:rPr>
          <w:color w:val="auto"/>
          <w:highlight w:val="none"/>
        </w:rPr>
        <w:fldChar w:fldCharType="separate"/>
      </w:r>
      <w:r>
        <w:rPr>
          <w:rFonts w:ascii="宋体" w:hAnsi="宋体" w:cs="宋体"/>
          <w:color w:val="auto"/>
          <w:sz w:val="24"/>
          <w:highlight w:val="none"/>
        </w:rPr>
        <w:t>工程勘察甲级资质</w:t>
      </w:r>
      <w:r>
        <w:rPr>
          <w:rFonts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时30分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时30分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五、公告期限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highlight w:val="none"/>
        </w:rPr>
        <w:br w:type="textWrapping"/>
      </w:r>
      <w:r>
        <w:rPr>
          <w:rFonts w:hint="eastAsia" w:ascii="宋体" w:hAnsi="宋体" w:cs="宋体"/>
          <w:color w:val="auto"/>
          <w:sz w:val="24"/>
          <w:highlight w:val="none"/>
        </w:rPr>
        <w:t>    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s="宋体"/>
          <w:color w:val="auto"/>
          <w:sz w:val="24"/>
          <w:highlight w:val="none"/>
        </w:rPr>
        <w:br w:type="textWrapping"/>
      </w:r>
      <w:r>
        <w:rPr>
          <w:rFonts w:hint="eastAsia" w:ascii="宋体" w:hAnsi="宋体" w:cs="宋体"/>
          <w:color w:val="auto"/>
          <w:sz w:val="24"/>
          <w:highlight w:val="none"/>
        </w:rPr>
        <w:t>（2）本项目采取电子招投标，电子招投标有关事项说明：</w:t>
      </w:r>
      <w:r>
        <w:rPr>
          <w:rFonts w:hint="eastAsia" w:ascii="宋体" w:hAnsi="宋体" w:cs="宋体"/>
          <w:color w:val="auto"/>
          <w:sz w:val="24"/>
          <w:highlight w:val="none"/>
        </w:rPr>
        <w:br w:type="textWrapping"/>
      </w:r>
      <w:r>
        <w:rPr>
          <w:rFonts w:hint="eastAsia" w:ascii="宋体" w:hAnsi="宋体" w:cs="宋体"/>
          <w:color w:val="auto"/>
          <w:sz w:val="24"/>
          <w:highlight w:val="none"/>
        </w:rPr>
        <w:t>A.本项目通过“浙江政府采购网（http://zfcg.czt.zj.gov.cn）”实行电子投标，供应商须安装客户端软件，并按照招标文件和电子交易平台的要求制作投标文件。</w:t>
      </w:r>
      <w:r>
        <w:rPr>
          <w:rFonts w:hint="eastAsia" w:ascii="宋体" w:hAnsi="宋体" w:cs="宋体"/>
          <w:color w:val="auto"/>
          <w:sz w:val="24"/>
          <w:highlight w:val="none"/>
        </w:rPr>
        <w:br w:type="textWrapping"/>
      </w:r>
      <w:r>
        <w:rPr>
          <w:rFonts w:hint="eastAsia" w:ascii="宋体" w:hAnsi="宋体" w:cs="宋体"/>
          <w:color w:val="auto"/>
          <w:sz w:val="24"/>
          <w:highlight w:val="none"/>
        </w:rPr>
        <w:t>客户端软件下载方式：供应商可通过“浙江政府采购网-下载专区-电子交易客户端”进行下载。</w:t>
      </w:r>
      <w:r>
        <w:rPr>
          <w:rFonts w:hint="eastAsia" w:ascii="宋体" w:hAnsi="宋体" w:cs="宋体"/>
          <w:color w:val="auto"/>
          <w:sz w:val="24"/>
          <w:highlight w:val="none"/>
        </w:rPr>
        <w:br w:type="textWrapping"/>
      </w:r>
      <w:r>
        <w:rPr>
          <w:rFonts w:hint="eastAsia" w:ascii="宋体" w:hAnsi="宋体" w:cs="宋体"/>
          <w:color w:val="auto"/>
          <w:sz w:val="24"/>
          <w:highlight w:val="none"/>
        </w:rPr>
        <w:t>B.供应商须申领CA，并在浙江政府采购网完成绑定方可进行投标文件的编制，CA相关操作可参考“浙江政府采购网-下载专区-电子交易客户端-CA驱动和申领流程”。</w:t>
      </w:r>
      <w:r>
        <w:rPr>
          <w:rFonts w:hint="eastAsia" w:ascii="宋体" w:hAnsi="宋体" w:cs="宋体"/>
          <w:color w:val="auto"/>
          <w:sz w:val="24"/>
          <w:highlight w:val="none"/>
        </w:rPr>
        <w:br w:type="textWrapping"/>
      </w:r>
      <w:r>
        <w:rPr>
          <w:rFonts w:hint="eastAsia" w:ascii="宋体" w:hAnsi="宋体" w:cs="宋体"/>
          <w:color w:val="auto"/>
          <w:sz w:val="24"/>
          <w:highlight w:val="none"/>
        </w:rPr>
        <w:t>（3）单位负责人为同一人或者存在直接控股、管理关系的不同供应商，不得同时参加同一合同项下的投标。</w:t>
      </w:r>
      <w:r>
        <w:rPr>
          <w:rFonts w:hint="eastAsia" w:ascii="宋体" w:hAnsi="宋体" w:cs="宋体"/>
          <w:color w:val="auto"/>
          <w:sz w:val="24"/>
          <w:highlight w:val="none"/>
        </w:rPr>
        <w:br w:type="textWrapping"/>
      </w:r>
      <w:r>
        <w:rPr>
          <w:rFonts w:hint="eastAsia" w:ascii="宋体" w:hAnsi="宋体" w:cs="宋体"/>
          <w:color w:val="auto"/>
          <w:sz w:val="24"/>
          <w:highlight w:val="none"/>
        </w:rPr>
        <w:t>（4）为项目提供整体设计、规范编制或者项目管理、监理、检测等服务的供应商，不得参加该项目的投标</w:t>
      </w:r>
      <w:r>
        <w:rPr>
          <w:rFonts w:hint="eastAsia" w:ascii="宋体" w:hAnsi="宋体" w:cs="宋体"/>
          <w:color w:val="auto"/>
          <w:sz w:val="24"/>
          <w:highlight w:val="none"/>
        </w:rPr>
        <w:br w:type="textWrapping"/>
      </w:r>
      <w:r>
        <w:rPr>
          <w:rFonts w:hint="eastAsia" w:ascii="宋体" w:hAnsi="宋体" w:cs="宋体"/>
          <w:color w:val="auto"/>
          <w:sz w:val="24"/>
          <w:highlight w:val="none"/>
        </w:rPr>
        <w:t>（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名称：浙江工商职业技术学院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地址：宁波市机场路1988号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项目联系人（询问）:王老师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联系方式（询问）：0574-87422007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项目质疑联系人：陈老师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联系电话：0574-87422200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名称：浙江五石中正工程咨询有限公司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地址：宁波市翠柏路89号宁波工程学院公共培训平台大楼A座1108室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业务联系人：毛工、章工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联系电话：0574-83896188、87645885      传真：0574-87520151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质疑联系人：毛工联系电话：0574-87208097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"mailto:hzwsgc@163.com" </w:instrText>
      </w:r>
      <w:r>
        <w:rPr>
          <w:color w:val="auto"/>
          <w:highlight w:val="none"/>
        </w:rPr>
        <w:fldChar w:fldCharType="separate"/>
      </w:r>
      <w:r>
        <w:rPr>
          <w:rFonts w:hint="eastAsia" w:ascii="宋体" w:hAnsi="宋体" w:cs="宋体"/>
          <w:color w:val="auto"/>
          <w:sz w:val="24"/>
          <w:highlight w:val="none"/>
        </w:rPr>
        <w:t>hzwsgc@163.com</w:t>
      </w:r>
      <w:r>
        <w:rPr>
          <w:rFonts w:hint="eastAsia" w:ascii="宋体" w:hAnsi="宋体" w:cs="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pPr>
        <w:spacing w:line="360" w:lineRule="auto"/>
        <w:ind w:firstLine="540" w:firstLineChars="200"/>
        <w:rPr>
          <w:color w:val="auto"/>
          <w:highlight w:val="none"/>
        </w:rPr>
      </w:pPr>
      <w:r>
        <w:rPr>
          <w:rFonts w:hint="eastAsia" w:ascii="仿宋" w:hAnsi="仿宋" w:eastAsia="仿宋" w:cs="仿宋"/>
          <w:color w:val="auto"/>
          <w:sz w:val="27"/>
          <w:szCs w:val="27"/>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rPr>
          <w:rFonts w:hAnsi="宋体" w:cs="宋体"/>
          <w:b/>
          <w:color w:val="auto"/>
          <w:sz w:val="36"/>
          <w:szCs w:val="20"/>
          <w:highlight w:val="none"/>
        </w:rPr>
      </w:pPr>
    </w:p>
    <w:p>
      <w:pPr>
        <w:pStyle w:val="4"/>
        <w:rPr>
          <w:rFonts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bookmarkStart w:id="13" w:name="_Toc4678"/>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投标人须知</w:t>
      </w:r>
      <w:bookmarkEnd w:id="10"/>
      <w:bookmarkEnd w:id="13"/>
    </w:p>
    <w:p>
      <w:pPr>
        <w:adjustRightInd/>
        <w:spacing w:line="360" w:lineRule="auto"/>
        <w:ind w:firstLine="3845" w:firstLineChars="1197"/>
        <w:outlineLvl w:val="0"/>
        <w:rPr>
          <w:rFonts w:ascii="宋体" w:hAnsi="宋体" w:cs="宋体"/>
          <w:b/>
          <w:color w:val="auto"/>
          <w:sz w:val="32"/>
          <w:szCs w:val="20"/>
          <w:highlight w:val="none"/>
        </w:rPr>
      </w:pPr>
      <w:bookmarkStart w:id="14" w:name="_Toc31047"/>
      <w:r>
        <w:rPr>
          <w:rFonts w:hint="eastAsia" w:ascii="宋体" w:hAnsi="宋体" w:cs="宋体"/>
          <w:b/>
          <w:color w:val="auto"/>
          <w:sz w:val="32"/>
          <w:szCs w:val="20"/>
          <w:highlight w:val="none"/>
        </w:rPr>
        <w:t>前附表</w:t>
      </w:r>
      <w:bookmarkEnd w:id="14"/>
    </w:p>
    <w:tbl>
      <w:tblPr>
        <w:tblStyle w:val="73"/>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pPr>
              <w:widowControl/>
              <w:jc w:val="left"/>
              <w:textAlignment w:val="center"/>
              <w:rPr>
                <w:rFonts w:ascii="宋体" w:hAnsi="宋体" w:cs="宋体"/>
                <w:color w:val="auto"/>
                <w:highlight w:val="none"/>
              </w:rPr>
            </w:pPr>
            <w:r>
              <w:rPr>
                <w:rFonts w:hint="eastAsia" w:ascii="宋体" w:hAnsi="宋体" w:cs="宋体"/>
                <w:color w:val="auto"/>
                <w:kern w:val="0"/>
                <w:sz w:val="24"/>
                <w:highlight w:val="none"/>
              </w:rPr>
              <w:t>标的名称：</w:t>
            </w:r>
            <w:r>
              <w:rPr>
                <w:rFonts w:hint="eastAsia" w:ascii="宋体" w:hAnsi="宋体" w:cs="宋体"/>
                <w:color w:val="auto"/>
                <w:kern w:val="0"/>
                <w:sz w:val="24"/>
                <w:highlight w:val="none"/>
                <w:u w:val="single"/>
              </w:rPr>
              <w:t>风雨场馆项目勘察设计服务，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建筑业</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2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w:t>
            </w:r>
            <w:r>
              <w:rPr>
                <w:rFonts w:hint="eastAsia" w:ascii="宋体" w:hAnsi="宋体" w:cs="宋体"/>
                <w:b/>
                <w:color w:val="auto"/>
                <w:sz w:val="24"/>
                <w:highlight w:val="none"/>
                <w:lang w:eastAsia="zh-CN"/>
              </w:rPr>
              <w:t>商务技术</w:t>
            </w:r>
            <w:r>
              <w:rPr>
                <w:rFonts w:hint="eastAsia" w:ascii="宋体" w:hAnsi="宋体" w:cs="宋体"/>
                <w:b/>
                <w:color w:val="auto"/>
                <w:sz w:val="24"/>
                <w:highlight w:val="none"/>
              </w:rPr>
              <w:t>文件</w:t>
            </w:r>
          </w:p>
        </w:tc>
        <w:tc>
          <w:tcPr>
            <w:tcW w:w="682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82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商务技术</w:t>
            </w:r>
            <w:r>
              <w:rPr>
                <w:rFonts w:hint="eastAsia" w:ascii="宋体" w:hAnsi="宋体" w:cs="宋体"/>
                <w:color w:val="auto"/>
                <w:sz w:val="24"/>
                <w:highlight w:val="none"/>
              </w:rPr>
              <w:t>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color w:val="auto"/>
                <w:sz w:val="24"/>
                <w:highlight w:val="none"/>
              </w:rPr>
              <w:t>;</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注：供应商不得进行影响服务质量或者诚信履约的恶意报价。供应商在项目评审前准备好报价核算、报价明细、报价说明等材料，以备评审专家核查。如供应商报价低于项目预算50%的，应当在报价文件中详细阐述不影响服务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本项目实行电子投标。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供应商应准备三种形式的投标文件：电子加密投标文件、以介质存储的数据电文形式的备份投标文件、备份纸质投标文件。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1.“电子加密投标文件”是指通过“政采云电子交易客户端”完成投标文件编制后生成并加密的数据电文形式的投标文件（后缀格式为.jmbs）（必须提供）</w:t>
            </w:r>
          </w:p>
          <w:p>
            <w:pPr>
              <w:spacing w:line="360" w:lineRule="auto"/>
              <w:rPr>
                <w:rFonts w:ascii="宋体" w:hAnsi="宋体" w:cs="宋体"/>
                <w:color w:val="auto"/>
                <w:sz w:val="24"/>
                <w:highlight w:val="none"/>
              </w:rPr>
            </w:pPr>
            <w:r>
              <w:rPr>
                <w:rFonts w:hint="eastAsia" w:ascii="宋体" w:hAnsi="宋体" w:cs="宋体"/>
                <w:color w:val="auto"/>
                <w:sz w:val="24"/>
                <w:highlight w:val="none"/>
              </w:rP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r>
          </w:p>
          <w:p>
            <w:pPr>
              <w:spacing w:line="360" w:lineRule="auto"/>
              <w:rPr>
                <w:rFonts w:ascii="宋体" w:hAnsi="宋体" w:cs="宋体"/>
                <w:color w:val="auto"/>
                <w:kern w:val="28"/>
                <w:sz w:val="24"/>
                <w:highlight w:val="none"/>
              </w:rPr>
            </w:pPr>
            <w:r>
              <w:rPr>
                <w:rFonts w:hint="eastAsia" w:ascii="宋体" w:hAnsi="宋体" w:cs="宋体"/>
                <w:b/>
                <w:bCs/>
                <w:color w:val="auto"/>
                <w:sz w:val="24"/>
                <w:highlight w:val="none"/>
              </w:rPr>
              <w:t>3.“备份纸质投标文件”是指与“电子加密投标文件”一致的纸质投标文件用于采购人存档，一正一副。投标截止时间前递交至宁波市翠柏路89号宁波工程学院公共培训平台大楼A座1108室。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823" w:type="dxa"/>
            <w:tcBorders>
              <w:top w:val="single" w:color="000000" w:sz="8" w:space="0"/>
              <w:left w:val="single" w:color="000000" w:sz="2" w:space="0"/>
              <w:bottom w:val="single" w:color="000000" w:sz="8" w:space="0"/>
              <w:right w:val="single" w:color="000000" w:sz="8"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1、采购代理服务以《国家发展改革委办公厅关于招标代理服务收费有关问题的通知》（发改价格[2011]534号）规定的收费标准的50%向中标（成交）供应商收取。若采购项目的采购代理服务费不足3500元的，统一按3500元计。</w:t>
            </w:r>
          </w:p>
          <w:p>
            <w:pPr>
              <w:spacing w:line="360" w:lineRule="auto"/>
              <w:rPr>
                <w:rFonts w:ascii="宋体" w:hAnsi="宋体" w:cs="宋体"/>
                <w:color w:val="auto"/>
                <w:sz w:val="24"/>
                <w:highlight w:val="none"/>
              </w:rPr>
            </w:pPr>
            <w:r>
              <w:rPr>
                <w:rFonts w:hint="eastAsia" w:ascii="宋体" w:hAnsi="宋体" w:cs="宋体"/>
                <w:color w:val="auto"/>
                <w:sz w:val="24"/>
                <w:highlight w:val="none"/>
              </w:rPr>
              <w:t>2、中标人在领取中标通知书后应向招标代理机构交纳招标代理服务费,若未按上述规定办理，需承担招标代理机构为实现债权的所有费用（包括但不限于律师费、催讨车旅费、保全担保费等）。</w:t>
            </w:r>
          </w:p>
          <w:p>
            <w:pPr>
              <w:spacing w:line="360" w:lineRule="auto"/>
              <w:rPr>
                <w:rFonts w:ascii="宋体" w:hAnsi="宋体" w:cs="宋体"/>
                <w:color w:val="auto"/>
                <w:sz w:val="24"/>
                <w:highlight w:val="none"/>
              </w:rPr>
            </w:pPr>
            <w:r>
              <w:rPr>
                <w:rFonts w:hint="eastAsia" w:ascii="宋体" w:hAnsi="宋体" w:cs="宋体"/>
                <w:color w:val="auto"/>
                <w:sz w:val="24"/>
                <w:highlight w:val="none"/>
              </w:rPr>
              <w:t>3、招标代理服务费以现金或电汇方式支付。</w:t>
            </w:r>
          </w:p>
          <w:p>
            <w:pPr>
              <w:spacing w:line="360" w:lineRule="auto"/>
              <w:rPr>
                <w:rFonts w:ascii="宋体" w:hAnsi="宋体" w:cs="宋体"/>
                <w:color w:val="auto"/>
                <w:sz w:val="24"/>
                <w:highlight w:val="none"/>
              </w:rPr>
            </w:pPr>
            <w:r>
              <w:rPr>
                <w:rFonts w:hint="eastAsia" w:ascii="宋体" w:hAnsi="宋体" w:cs="宋体"/>
                <w:color w:val="auto"/>
                <w:sz w:val="24"/>
                <w:highlight w:val="none"/>
              </w:rPr>
              <w:t>户名：浙江五石中正工程咨询有限公司萧山分公司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账号：33020160201000004399</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开户行：浙江泰隆商业银行股份有限公司杭州祥符小微企业专营支行</w:t>
            </w:r>
          </w:p>
          <w:p>
            <w:pPr>
              <w:spacing w:line="360" w:lineRule="auto"/>
              <w:rPr>
                <w:rFonts w:ascii="宋体" w:hAnsi="宋体" w:cs="宋体"/>
                <w:color w:val="auto"/>
                <w:sz w:val="24"/>
                <w:highlight w:val="none"/>
              </w:rPr>
            </w:pPr>
            <w:r>
              <w:rPr>
                <w:rFonts w:hint="eastAsia" w:ascii="宋体" w:hAnsi="宋体" w:cs="宋体"/>
                <w:color w:val="auto"/>
                <w:sz w:val="24"/>
                <w:highlight w:val="none"/>
              </w:rPr>
              <w:t>精确查找祥符支行行号：313331080163</w:t>
            </w:r>
          </w:p>
          <w:p>
            <w:pPr>
              <w:spacing w:line="360" w:lineRule="auto"/>
              <w:rPr>
                <w:rFonts w:ascii="宋体" w:hAnsi="宋体" w:cs="宋体"/>
                <w:color w:val="auto"/>
                <w:kern w:val="28"/>
                <w:sz w:val="24"/>
                <w:highlight w:val="none"/>
              </w:rPr>
            </w:pPr>
            <w:r>
              <w:rPr>
                <w:rFonts w:hint="eastAsia" w:ascii="宋体" w:hAnsi="宋体" w:cs="宋体"/>
                <w:color w:val="auto"/>
                <w:sz w:val="24"/>
                <w:highlight w:val="none"/>
              </w:rPr>
              <w:t>开票及相关问题联系人：0574-87645885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联合体投标的，联合体各方分别提供与联合体协议中规定的分工内容相应的业绩证明材料，业绩数量以提供材料较少的一方为准。</w:t>
            </w:r>
          </w:p>
          <w:p>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联合体投标的，联合体各方均需按招标文件第四部分评标标准要求提供</w:t>
            </w:r>
            <w:r>
              <w:rPr>
                <w:rFonts w:hint="eastAsia" w:ascii="宋体" w:hAnsi="宋体" w:cs="宋体"/>
                <w:color w:val="auto"/>
                <w:kern w:val="0"/>
                <w:sz w:val="24"/>
                <w:highlight w:val="none"/>
                <w:lang w:eastAsia="zh-CN"/>
              </w:rPr>
              <w:t>商务技术</w:t>
            </w:r>
            <w:r>
              <w:rPr>
                <w:rFonts w:hint="eastAsia" w:ascii="宋体" w:hAnsi="宋体" w:cs="宋体"/>
                <w:color w:val="auto"/>
                <w:kern w:val="0"/>
                <w:sz w:val="24"/>
                <w:highlight w:val="none"/>
              </w:rPr>
              <w:t>文件，否则视为不符合相关要求。</w:t>
            </w:r>
          </w:p>
          <w:p>
            <w:pP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联合体投标的，联合体中有一方或者联合体成员根据分工按招标文件第四部分评标标准要求提供</w:t>
            </w:r>
            <w:r>
              <w:rPr>
                <w:rFonts w:hint="eastAsia" w:ascii="宋体" w:hAnsi="宋体" w:cs="宋体"/>
                <w:color w:val="auto"/>
                <w:kern w:val="0"/>
                <w:sz w:val="24"/>
                <w:highlight w:val="none"/>
                <w:lang w:eastAsia="zh-CN"/>
              </w:rPr>
              <w:t>商务技术</w:t>
            </w:r>
            <w:r>
              <w:rPr>
                <w:rFonts w:hint="eastAsia" w:ascii="宋体" w:hAnsi="宋体" w:cs="宋体"/>
                <w:color w:val="auto"/>
                <w:kern w:val="0"/>
                <w:sz w:val="24"/>
                <w:highlight w:val="none"/>
              </w:rPr>
              <w:t>文件的，视为符合了相关要求。</w:t>
            </w:r>
          </w:p>
        </w:tc>
      </w:tr>
    </w:tbl>
    <w:p>
      <w:pPr>
        <w:snapToGrid w:val="0"/>
        <w:spacing w:line="360" w:lineRule="auto"/>
        <w:jc w:val="center"/>
        <w:rPr>
          <w:rFonts w:ascii="宋体" w:hAnsi="宋体" w:cs="宋体"/>
          <w:b/>
          <w:color w:val="auto"/>
          <w:sz w:val="32"/>
          <w:szCs w:val="20"/>
          <w:highlight w:val="none"/>
        </w:rPr>
      </w:pPr>
    </w:p>
    <w:bookmarkEnd w:id="11"/>
    <w:p>
      <w:pPr>
        <w:adjustRightInd/>
        <w:spacing w:line="360" w:lineRule="auto"/>
        <w:ind w:firstLine="3845" w:firstLineChars="1197"/>
        <w:outlineLvl w:val="0"/>
        <w:rPr>
          <w:rFonts w:ascii="宋体" w:hAnsi="宋体" w:cs="宋体"/>
          <w:b/>
          <w:color w:val="auto"/>
          <w:sz w:val="32"/>
          <w:szCs w:val="20"/>
          <w:highlight w:val="none"/>
        </w:rPr>
      </w:pPr>
      <w:bookmarkStart w:id="15" w:name="第三部分"/>
      <w:bookmarkStart w:id="16"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bookmarkStart w:id="17" w:name="_Toc652"/>
      <w:r>
        <w:rPr>
          <w:rFonts w:hint="eastAsia" w:ascii="宋体" w:hAnsi="宋体" w:cs="宋体"/>
          <w:b/>
          <w:color w:val="auto"/>
          <w:sz w:val="32"/>
          <w:szCs w:val="20"/>
          <w:highlight w:val="none"/>
        </w:rPr>
        <w:t>一、总则</w:t>
      </w:r>
      <w:bookmarkEnd w:id="17"/>
    </w:p>
    <w:p>
      <w:pPr>
        <w:snapToGrid w:val="0"/>
        <w:spacing w:line="360" w:lineRule="auto"/>
        <w:ind w:firstLine="219" w:firstLineChars="91"/>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218" w:firstLineChars="91"/>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19" w:firstLineChars="91"/>
        <w:outlineLvl w:val="0"/>
        <w:rPr>
          <w:rFonts w:ascii="宋体" w:hAnsi="宋体" w:cs="宋体"/>
          <w:b/>
          <w:color w:val="auto"/>
          <w:sz w:val="24"/>
          <w:highlight w:val="none"/>
        </w:rPr>
      </w:pPr>
      <w:bookmarkStart w:id="18" w:name="_Toc6039"/>
      <w:r>
        <w:rPr>
          <w:rFonts w:hint="eastAsia" w:ascii="宋体" w:hAnsi="宋体" w:cs="宋体"/>
          <w:b/>
          <w:color w:val="auto"/>
          <w:sz w:val="24"/>
          <w:highlight w:val="none"/>
        </w:rPr>
        <w:t>2.定义</w:t>
      </w:r>
      <w:bookmarkEnd w:id="18"/>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2.7 “▲”系指实质性要求条款，“★”系指重要技术参数，“</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highlight w:val="none"/>
        </w:rPr>
        <w:t>联合协议或者分包意向协议约定小微企业的合同份额占到合同总金额30%以上的</w:t>
      </w:r>
      <w:bookmarkEnd w:id="20"/>
      <w:r>
        <w:rPr>
          <w:rFonts w:hint="eastAsia"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bookmarkStart w:id="21" w:name="_Toc17110"/>
      <w:r>
        <w:rPr>
          <w:rFonts w:hint="eastAsia" w:ascii="宋体" w:hAnsi="宋体" w:cs="宋体"/>
          <w:b/>
          <w:color w:val="auto"/>
          <w:sz w:val="32"/>
          <w:szCs w:val="20"/>
          <w:highlight w:val="none"/>
        </w:rPr>
        <w:t>二、招标文件的构成、澄清、修改</w:t>
      </w:r>
      <w:bookmarkEnd w:id="21"/>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auto"/>
          <w:sz w:val="18"/>
          <w:szCs w:val="18"/>
          <w:highlight w:val="none"/>
          <w:lang w:val="en-US"/>
        </w:rPr>
      </w:pPr>
    </w:p>
    <w:p>
      <w:pPr>
        <w:adjustRightInd/>
        <w:spacing w:line="360" w:lineRule="auto"/>
        <w:jc w:val="center"/>
        <w:outlineLvl w:val="0"/>
        <w:rPr>
          <w:rFonts w:ascii="宋体" w:hAnsi="宋体" w:cs="宋体"/>
          <w:b/>
          <w:color w:val="auto"/>
          <w:sz w:val="30"/>
          <w:szCs w:val="20"/>
          <w:highlight w:val="none"/>
        </w:rPr>
      </w:pPr>
      <w:bookmarkStart w:id="22" w:name="_Toc19239"/>
      <w:r>
        <w:rPr>
          <w:rFonts w:hint="eastAsia" w:ascii="宋体" w:hAnsi="宋体" w:cs="宋体"/>
          <w:b/>
          <w:color w:val="auto"/>
          <w:sz w:val="30"/>
          <w:szCs w:val="20"/>
          <w:highlight w:val="none"/>
        </w:rPr>
        <w:t>三、投标</w:t>
      </w:r>
      <w:bookmarkEnd w:id="22"/>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11.1.1营业执照副本复印件（加盖投标人公章）；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11.1.5联合体协议书（如有）</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2商务技术</w:t>
      </w:r>
      <w:r>
        <w:rPr>
          <w:rFonts w:hint="eastAsia" w:ascii="宋体" w:hAnsi="宋体" w:cs="宋体"/>
          <w:b/>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11.2.1目录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11.2.2投标函；</w:t>
      </w:r>
    </w:p>
    <w:p>
      <w:pPr>
        <w:pStyle w:val="725"/>
        <w:spacing w:line="360" w:lineRule="auto"/>
        <w:ind w:left="720" w:firstLine="240" w:firstLineChars="100"/>
        <w:rPr>
          <w:rFonts w:hint="eastAsia" w:eastAsia="宋体" w:cs="宋体"/>
          <w:color w:val="auto"/>
          <w:highlight w:val="none"/>
          <w:lang w:eastAsia="zh-CN"/>
        </w:rPr>
      </w:pPr>
      <w:r>
        <w:rPr>
          <w:rFonts w:hint="eastAsia" w:cs="宋体"/>
          <w:color w:val="auto"/>
          <w:highlight w:val="none"/>
        </w:rPr>
        <w:t>11.2.3营业执照副本复印件（加盖投标人公章）</w:t>
      </w:r>
      <w:r>
        <w:rPr>
          <w:rFonts w:hint="eastAsia" w:cs="宋体"/>
          <w:color w:val="auto"/>
          <w:highlight w:val="none"/>
          <w:lang w:eastAsia="zh-CN"/>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5采购需求</w:t>
      </w:r>
      <w:r>
        <w:rPr>
          <w:rFonts w:hint="eastAsia" w:ascii="宋体" w:hAnsi="宋体" w:cs="宋体"/>
          <w:color w:val="auto"/>
          <w:sz w:val="24"/>
          <w:highlight w:val="none"/>
        </w:rPr>
        <w:t>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商务条款偏离表；</w:t>
      </w:r>
    </w:p>
    <w:p>
      <w:pPr>
        <w:snapToGrid w:val="0"/>
        <w:spacing w:line="360" w:lineRule="auto"/>
        <w:ind w:firstLine="960" w:firstLineChars="400"/>
        <w:rPr>
          <w:color w:val="auto"/>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体系认证证书；</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完成的类似项目一览表（附合同复印件）；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服务整体方案；</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设计重点分析；</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设计难点分析；</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设计过程控制方案；</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各类经济技术指标及估算；</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设计质量控制措施；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设计进度控制措施；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突发情况防范及应急预案；</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服从采购人协调和统一管理及配合措施、特殊服务承诺；</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服务响应</w:t>
      </w:r>
      <w:bookmarkStart w:id="417" w:name="_GoBack"/>
      <w:bookmarkEnd w:id="417"/>
      <w:r>
        <w:rPr>
          <w:rFonts w:hint="eastAsia" w:ascii="宋体" w:hAnsi="宋体" w:cs="宋体"/>
          <w:color w:val="auto"/>
          <w:sz w:val="24"/>
          <w:highlight w:val="none"/>
        </w:rPr>
        <w:t>时间；</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合理化建议和改进措施；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项目团队人员；</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第四部分“评标办法”中要求提供的资料。</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11.2.2</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政府采购供应商廉洁自律承诺书；</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缴纳采购代理服务费承诺书；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11.3.2投标分项报价表</w:t>
      </w:r>
    </w:p>
    <w:p>
      <w:pPr>
        <w:pStyle w:val="725"/>
        <w:spacing w:line="360" w:lineRule="auto"/>
        <w:ind w:left="480" w:firstLine="480" w:firstLineChars="200"/>
        <w:rPr>
          <w:rFonts w:cs="宋体"/>
          <w:color w:val="auto"/>
          <w:highlight w:val="none"/>
        </w:rPr>
      </w:pPr>
      <w:r>
        <w:rPr>
          <w:rFonts w:hint="eastAsia" w:cs="宋体"/>
          <w:color w:val="auto"/>
          <w:highlight w:val="none"/>
        </w:rPr>
        <w:t>11.3.3</w:t>
      </w:r>
      <w:bookmarkStart w:id="23" w:name="_Toc5746"/>
      <w:bookmarkStart w:id="24" w:name="_Toc6461"/>
      <w:r>
        <w:rPr>
          <w:rFonts w:hint="eastAsia" w:cs="宋体"/>
          <w:color w:val="auto"/>
          <w:highlight w:val="none"/>
        </w:rPr>
        <w:t>投标人针对报价需要说明的其他文件和说明。</w:t>
      </w:r>
      <w:bookmarkEnd w:id="23"/>
      <w:bookmarkEnd w:id="24"/>
    </w:p>
    <w:p>
      <w:pPr>
        <w:pStyle w:val="82"/>
        <w:spacing w:line="360" w:lineRule="auto"/>
        <w:ind w:firstLine="460"/>
        <w:rPr>
          <w:rFonts w:ascii="宋体" w:hAnsi="宋体" w:cs="宋体"/>
          <w:color w:val="auto"/>
          <w:highlight w:val="none"/>
        </w:rPr>
      </w:pP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3"/>
        <w:snapToGrid w:val="0"/>
        <w:spacing w:before="0"/>
        <w:ind w:firstLine="0" w:firstLineChars="0"/>
        <w:outlineLvl w:val="0"/>
        <w:rPr>
          <w:rFonts w:ascii="宋体" w:hAnsi="宋体" w:cs="宋体"/>
          <w:b/>
          <w:color w:val="auto"/>
          <w:szCs w:val="24"/>
          <w:highlight w:val="none"/>
        </w:rPr>
      </w:pPr>
      <w:bookmarkStart w:id="25" w:name="_Toc30841"/>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5"/>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投标文件未按时解密，投标人提供了备份投标文件的，以备份投标文件作为依据。投标文件已按时解密的，备份投标文件自动失效。</w:t>
      </w:r>
    </w:p>
    <w:p>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hAnsi="宋体" w:cs="宋体"/>
          <w:b/>
          <w:color w:val="auto"/>
          <w:sz w:val="24"/>
          <w:szCs w:val="20"/>
          <w:highlight w:val="none"/>
        </w:rPr>
        <w:t>　</w:t>
      </w:r>
      <w:r>
        <w:rPr>
          <w:rFonts w:hint="eastAsia" w:cs="仿宋_GB2312" w:asciiTheme="minorEastAsia" w:hAnsiTheme="minorEastAsia" w:eastAsiaTheme="minorEastAsia"/>
          <w:b/>
          <w:color w:val="auto"/>
          <w:sz w:val="24"/>
          <w:szCs w:val="24"/>
          <w:highlight w:val="none"/>
        </w:rPr>
        <w:t>18.4投标文件解密结束，各投标人签署《政府采购活动现场确认声明书》（格式见附件），签署完成后，扫描发送至邮箱：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仿宋_GB2312" w:asciiTheme="minorEastAsia" w:hAnsiTheme="minorEastAsia" w:eastAsiaTheme="minorEastAsia"/>
          <w:b/>
          <w:color w:val="auto"/>
          <w:sz w:val="24"/>
          <w:szCs w:val="24"/>
          <w:highlight w:val="none"/>
        </w:rPr>
        <w:t>253656196@qq.com；</w:t>
      </w:r>
      <w:r>
        <w:rPr>
          <w:rFonts w:hint="eastAsia" w:cs="仿宋_GB2312" w:asciiTheme="minorEastAsia" w:hAnsiTheme="minorEastAsia" w:eastAsiaTheme="minorEastAsia"/>
          <w:b/>
          <w:color w:val="auto"/>
          <w:sz w:val="24"/>
          <w:szCs w:val="24"/>
          <w:highlight w:val="none"/>
        </w:rPr>
        <w:fldChar w:fldCharType="end"/>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bookmarkStart w:id="26" w:name="_Toc12389"/>
      <w:r>
        <w:rPr>
          <w:rFonts w:hint="eastAsia" w:ascii="宋体" w:hAnsi="宋体" w:cs="宋体"/>
          <w:b/>
          <w:color w:val="auto"/>
          <w:sz w:val="36"/>
          <w:szCs w:val="36"/>
          <w:highlight w:val="none"/>
        </w:rPr>
        <w:t>五、评标</w:t>
      </w:r>
      <w:bookmarkEnd w:id="26"/>
    </w:p>
    <w:p>
      <w:pPr>
        <w:spacing w:line="360" w:lineRule="auto"/>
        <w:rPr>
          <w:rFonts w:ascii="宋体" w:hAnsi="宋体" w:cs="宋体"/>
          <w:b/>
          <w:color w:val="auto"/>
          <w:sz w:val="24"/>
          <w:highlight w:val="none"/>
        </w:rPr>
      </w:pPr>
      <w:bookmarkStart w:id="27"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bookmarkStart w:id="28" w:name="_Toc20717"/>
      <w:r>
        <w:rPr>
          <w:rFonts w:hint="eastAsia" w:ascii="宋体" w:hAnsi="宋体" w:cs="宋体"/>
          <w:b/>
          <w:color w:val="auto"/>
          <w:sz w:val="36"/>
          <w:szCs w:val="36"/>
          <w:highlight w:val="none"/>
        </w:rPr>
        <w:t>六、定标</w:t>
      </w:r>
      <w:bookmarkEnd w:id="28"/>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480"/>
        <w:rPr>
          <w:rFonts w:ascii="宋体" w:hAnsi="宋体" w:cs="宋体"/>
          <w:color w:val="auto"/>
          <w:szCs w:val="24"/>
          <w:highlight w:val="none"/>
        </w:rPr>
      </w:pPr>
      <w:r>
        <w:rPr>
          <w:rFonts w:ascii="宋体" w:hAnsi="宋体" w:cs="宋体"/>
          <w:color w:val="auto"/>
          <w:szCs w:val="24"/>
          <w:highlight w:val="none"/>
        </w:rPr>
        <w:t>本项目由评标委员会推荐2名中标候选人，采购人在评标委员会推荐的中标候选人名单中按顺序确定中标人。若第一中标候选人放弃中标、或投标过程中所提供的资料有失实或弄虚作假的、或因不可抗力提出不能履行合同的，或不能在招标文件规定的期限内提交履约保证金（如有）的，采购人可视情况选择排名第二的中标候选人为中标人，也可以重新开展政府采购活动。</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27.1电子交易平台发生故障而无法登录访问的；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27.4病毒发作导致不能进行正常操作的；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27"/>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5"/>
    <w:bookmarkEnd w:id="16"/>
    <w:p>
      <w:pPr>
        <w:spacing w:line="360" w:lineRule="auto"/>
        <w:jc w:val="center"/>
        <w:outlineLvl w:val="0"/>
        <w:rPr>
          <w:rFonts w:ascii="宋体" w:hAnsi="宋体" w:cs="宋体"/>
          <w:b/>
          <w:color w:val="auto"/>
          <w:sz w:val="36"/>
          <w:szCs w:val="36"/>
          <w:highlight w:val="none"/>
        </w:rPr>
      </w:pPr>
      <w:bookmarkStart w:id="29" w:name="_Toc16032"/>
      <w:bookmarkStart w:id="30" w:name="第四部分"/>
      <w:r>
        <w:rPr>
          <w:rFonts w:hint="eastAsia" w:ascii="宋体" w:hAnsi="宋体" w:cs="宋体"/>
          <w:b/>
          <w:color w:val="auto"/>
          <w:sz w:val="36"/>
          <w:szCs w:val="36"/>
          <w:highlight w:val="none"/>
        </w:rPr>
        <w:t>第三部分采购需求</w:t>
      </w:r>
      <w:bookmarkEnd w:id="29"/>
    </w:p>
    <w:p>
      <w:pPr>
        <w:rPr>
          <w:color w:val="auto"/>
          <w:highlight w:val="none"/>
        </w:rPr>
      </w:pPr>
    </w:p>
    <w:p>
      <w:pPr>
        <w:pStyle w:val="87"/>
        <w:rPr>
          <w:color w:val="auto"/>
          <w:highlight w:val="none"/>
        </w:rPr>
      </w:pPr>
    </w:p>
    <w:p>
      <w:pPr>
        <w:numPr>
          <w:ilvl w:val="0"/>
          <w:numId w:val="1"/>
        </w:numPr>
        <w:tabs>
          <w:tab w:val="left" w:pos="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项目规模：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新建风雨场馆建筑</w:t>
      </w:r>
      <w:r>
        <w:rPr>
          <w:rFonts w:ascii="宋体" w:hAnsi="宋体" w:cs="宋体"/>
          <w:color w:val="auto"/>
          <w:sz w:val="24"/>
          <w:highlight w:val="none"/>
        </w:rPr>
        <w:t>面积950平方米左右，建筑高度不超过24米</w:t>
      </w:r>
      <w:r>
        <w:rPr>
          <w:rFonts w:hint="eastAsia" w:ascii="宋体" w:hAnsi="宋体" w:cs="宋体"/>
          <w:color w:val="auto"/>
          <w:sz w:val="24"/>
          <w:highlight w:val="none"/>
        </w:rPr>
        <w:t>，具有羽毛球场等功能。主要建设室内球场及室外道路、绿化、电气、给排水等配套工程。项目估算总投资约464.67万元，其中建安费用约373.37万元，工程建设其他费用约77.77万元，预备费约13.53万元。</w:t>
      </w:r>
    </w:p>
    <w:p>
      <w:pPr>
        <w:adjustRightInd/>
        <w:spacing w:line="360" w:lineRule="auto"/>
        <w:ind w:firstLine="480" w:firstLineChars="200"/>
        <w:rPr>
          <w:rFonts w:ascii="宋体" w:hAnsi="宋体" w:cs="宋体"/>
          <w:color w:val="auto"/>
          <w:sz w:val="24"/>
          <w:highlight w:val="none"/>
        </w:rPr>
      </w:pPr>
    </w:p>
    <w:p>
      <w:pPr>
        <w:numPr>
          <w:ilvl w:val="0"/>
          <w:numId w:val="1"/>
        </w:numPr>
        <w:tabs>
          <w:tab w:val="left" w:pos="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主要工作内容</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本项目范围内的设计所有相关任务，包括项目初步设计及优化（含概算编制）、测量、地质勘察以及报批配合、施工配合、验收配合等工程实施期间的其他相关服务。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设计要求：项目建设和运营全过程要严格按照有关部]要求落实环保、节能安全、消防等措施，确保"三同时"。按照相关法律、行政法规的规定，工程核准的依据和相关文件分别是浙(2017) 宁波市海曙不动产权第0545341号不动产权证书、浙交投[2023] 126号。各阶段设计成果应满足国家及地方相关规范、规程、标准及规定，并满足采购人所期望实现的质量目标和效益目标。设计深度应达到国家及地方相关要求，施工图设计深度尚须满足后期工程量清单招标要求的深度。</w:t>
      </w:r>
    </w:p>
    <w:p>
      <w:pPr>
        <w:adjustRightInd/>
        <w:spacing w:line="360" w:lineRule="auto"/>
        <w:ind w:firstLine="480" w:firstLineChars="200"/>
        <w:rPr>
          <w:rFonts w:ascii="宋体" w:hAnsi="宋体" w:cs="宋体"/>
          <w:color w:val="auto"/>
          <w:sz w:val="24"/>
          <w:highlight w:val="none"/>
        </w:rPr>
      </w:pPr>
    </w:p>
    <w:p>
      <w:pPr>
        <w:numPr>
          <w:ilvl w:val="0"/>
          <w:numId w:val="1"/>
        </w:numPr>
        <w:tabs>
          <w:tab w:val="left" w:pos="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进度要求：</w:t>
      </w:r>
    </w:p>
    <w:tbl>
      <w:tblPr>
        <w:tblStyle w:val="73"/>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86"/>
        <w:gridCol w:w="1052"/>
        <w:gridCol w:w="273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1"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486"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资料及文件名称</w:t>
            </w:r>
          </w:p>
        </w:tc>
        <w:tc>
          <w:tcPr>
            <w:tcW w:w="1052"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套数</w:t>
            </w:r>
          </w:p>
        </w:tc>
        <w:tc>
          <w:tcPr>
            <w:tcW w:w="2738"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提交日期</w:t>
            </w:r>
          </w:p>
        </w:tc>
        <w:tc>
          <w:tcPr>
            <w:tcW w:w="1651"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1"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486" w:type="dxa"/>
            <w:vAlign w:val="center"/>
          </w:tcPr>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测量及地质勘察</w:t>
            </w:r>
          </w:p>
        </w:tc>
        <w:tc>
          <w:tcPr>
            <w:tcW w:w="1052" w:type="dxa"/>
            <w:vAlign w:val="center"/>
          </w:tcPr>
          <w:p>
            <w:pPr>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p>
        </w:tc>
        <w:tc>
          <w:tcPr>
            <w:tcW w:w="2738" w:type="dxa"/>
            <w:vAlign w:val="center"/>
          </w:tcPr>
          <w:p>
            <w:pPr>
              <w:spacing w:line="360" w:lineRule="auto"/>
              <w:rPr>
                <w:rFonts w:ascii="宋体" w:hAnsi="宋体" w:cs="宋体"/>
                <w:b/>
                <w:bCs/>
                <w:color w:val="auto"/>
                <w:sz w:val="24"/>
                <w:highlight w:val="none"/>
              </w:rPr>
            </w:pPr>
            <w:r>
              <w:rPr>
                <w:rFonts w:hint="eastAsia" w:ascii="宋体" w:hAnsi="宋体" w:cs="宋体"/>
                <w:color w:val="auto"/>
                <w:sz w:val="24"/>
                <w:highlight w:val="none"/>
              </w:rPr>
              <w:t>合同签定后60天内</w:t>
            </w:r>
          </w:p>
        </w:tc>
        <w:tc>
          <w:tcPr>
            <w:tcW w:w="1651" w:type="dxa"/>
            <w:vAlign w:val="center"/>
          </w:tcPr>
          <w:p>
            <w:pPr>
              <w:spacing w:line="360" w:lineRule="auto"/>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48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初步设计报告</w:t>
            </w:r>
          </w:p>
        </w:tc>
        <w:tc>
          <w:tcPr>
            <w:tcW w:w="1052" w:type="dxa"/>
            <w:vAlign w:val="center"/>
          </w:tcPr>
          <w:p>
            <w:pPr>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p>
        </w:tc>
        <w:tc>
          <w:tcPr>
            <w:tcW w:w="273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可研批复后60天内</w:t>
            </w:r>
          </w:p>
        </w:tc>
        <w:tc>
          <w:tcPr>
            <w:tcW w:w="1651" w:type="dxa"/>
            <w:vMerge w:val="restart"/>
            <w:vAlign w:val="center"/>
          </w:tcPr>
          <w:p>
            <w:pPr>
              <w:spacing w:line="360" w:lineRule="auto"/>
              <w:rPr>
                <w:rFonts w:ascii="宋体" w:hAnsi="宋体" w:cs="宋体"/>
                <w:b/>
                <w:bCs/>
                <w:color w:val="auto"/>
                <w:sz w:val="24"/>
                <w:highlight w:val="none"/>
              </w:rPr>
            </w:pPr>
            <w:r>
              <w:rPr>
                <w:rFonts w:hint="eastAsia" w:ascii="宋体" w:hAnsi="宋体" w:cs="宋体"/>
                <w:color w:val="auto"/>
                <w:sz w:val="24"/>
                <w:highlight w:val="none"/>
              </w:rPr>
              <w:t>提供资料的完整性、准确性和时间须满足工程施工进度要求。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248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施工图设计（含补充、修改时间）</w:t>
            </w:r>
          </w:p>
        </w:tc>
        <w:tc>
          <w:tcPr>
            <w:tcW w:w="1052" w:type="dxa"/>
            <w:vAlign w:val="center"/>
          </w:tcPr>
          <w:p>
            <w:pPr>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w:t>
            </w:r>
          </w:p>
        </w:tc>
        <w:tc>
          <w:tcPr>
            <w:tcW w:w="273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初步设计批复后60天内</w:t>
            </w:r>
          </w:p>
        </w:tc>
        <w:tc>
          <w:tcPr>
            <w:tcW w:w="1651" w:type="dxa"/>
            <w:vMerge w:val="continue"/>
            <w:vAlign w:val="center"/>
          </w:tcPr>
          <w:p>
            <w:pPr>
              <w:spacing w:line="360" w:lineRule="auto"/>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48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后续服务（出具设计技术联系单等）</w:t>
            </w:r>
          </w:p>
        </w:tc>
        <w:tc>
          <w:tcPr>
            <w:tcW w:w="1052" w:type="dxa"/>
            <w:vAlign w:val="center"/>
          </w:tcPr>
          <w:p>
            <w:pPr>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w:t>
            </w:r>
          </w:p>
        </w:tc>
        <w:tc>
          <w:tcPr>
            <w:tcW w:w="273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业主发出指令后5个工作日内提供</w:t>
            </w:r>
          </w:p>
        </w:tc>
        <w:tc>
          <w:tcPr>
            <w:tcW w:w="1651" w:type="dxa"/>
            <w:vMerge w:val="continue"/>
            <w:vAlign w:val="center"/>
          </w:tcPr>
          <w:p>
            <w:pPr>
              <w:spacing w:line="360" w:lineRule="auto"/>
              <w:rPr>
                <w:rFonts w:ascii="宋体" w:hAnsi="宋体" w:cs="宋体"/>
                <w:color w:val="auto"/>
                <w:sz w:val="24"/>
                <w:highlight w:val="none"/>
              </w:rPr>
            </w:pPr>
          </w:p>
        </w:tc>
      </w:tr>
    </w:tbl>
    <w:p>
      <w:pPr>
        <w:spacing w:line="360" w:lineRule="auto"/>
        <w:rPr>
          <w:color w:val="auto"/>
          <w:sz w:val="24"/>
          <w:highlight w:val="none"/>
          <w:lang w:eastAsia="en-US"/>
        </w:rPr>
      </w:pPr>
    </w:p>
    <w:p>
      <w:pPr>
        <w:numPr>
          <w:ilvl w:val="0"/>
          <w:numId w:val="1"/>
        </w:numPr>
        <w:tabs>
          <w:tab w:val="left" w:pos="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成果要求：</w:t>
      </w:r>
    </w:p>
    <w:p>
      <w:pPr>
        <w:adjustRightInd/>
        <w:spacing w:line="360" w:lineRule="auto"/>
        <w:ind w:firstLine="480" w:firstLineChars="200"/>
        <w:rPr>
          <w:rFonts w:ascii="宋体" w:hAnsi="宋体" w:cs="宋体"/>
          <w:color w:val="auto"/>
          <w:sz w:val="24"/>
          <w:highlight w:val="none"/>
          <w:lang w:eastAsia="en-US"/>
        </w:rPr>
      </w:pPr>
      <w:r>
        <w:rPr>
          <w:rFonts w:hint="eastAsia" w:ascii="宋体" w:hAnsi="宋体" w:cs="宋体"/>
          <w:color w:val="auto"/>
          <w:sz w:val="24"/>
          <w:highlight w:val="none"/>
          <w:lang w:eastAsia="en-US"/>
        </w:rPr>
        <w:t>1、成果主要包括：</w:t>
      </w:r>
    </w:p>
    <w:p>
      <w:pPr>
        <w:adjustRightInd/>
        <w:spacing w:line="360" w:lineRule="auto"/>
        <w:ind w:firstLine="480" w:firstLineChars="200"/>
        <w:rPr>
          <w:rFonts w:ascii="宋体" w:hAnsi="宋体" w:cs="宋体"/>
          <w:color w:val="auto"/>
          <w:sz w:val="24"/>
          <w:highlight w:val="none"/>
          <w:lang w:eastAsia="en-US"/>
        </w:rPr>
      </w:pPr>
      <w:r>
        <w:rPr>
          <w:rFonts w:hint="eastAsia" w:ascii="宋体" w:hAnsi="宋体" w:cs="宋体"/>
          <w:color w:val="auto"/>
          <w:sz w:val="24"/>
          <w:highlight w:val="none"/>
          <w:lang w:eastAsia="en-US"/>
        </w:rPr>
        <w:t>①初步设计报告及附图；</w:t>
      </w:r>
    </w:p>
    <w:p>
      <w:pPr>
        <w:adjustRightInd/>
        <w:spacing w:line="360" w:lineRule="auto"/>
        <w:ind w:firstLine="480" w:firstLineChars="200"/>
        <w:rPr>
          <w:rFonts w:ascii="宋体" w:hAnsi="宋体" w:cs="宋体"/>
          <w:color w:val="auto"/>
          <w:sz w:val="24"/>
          <w:highlight w:val="none"/>
          <w:lang w:eastAsia="en-US"/>
        </w:rPr>
      </w:pPr>
      <w:r>
        <w:rPr>
          <w:rFonts w:hint="eastAsia" w:ascii="宋体" w:hAnsi="宋体" w:cs="宋体"/>
          <w:color w:val="auto"/>
          <w:sz w:val="24"/>
          <w:highlight w:val="none"/>
          <w:lang w:eastAsia="en-US"/>
        </w:rPr>
        <w:t>②地质勘察报告。</w:t>
      </w:r>
    </w:p>
    <w:p>
      <w:pPr>
        <w:adjustRightInd/>
        <w:spacing w:line="360" w:lineRule="auto"/>
        <w:ind w:firstLine="480" w:firstLineChars="200"/>
        <w:rPr>
          <w:rFonts w:ascii="宋体" w:hAnsi="宋体" w:cs="宋体"/>
          <w:color w:val="auto"/>
          <w:sz w:val="24"/>
          <w:highlight w:val="none"/>
          <w:lang w:eastAsia="en-US"/>
        </w:rPr>
      </w:pPr>
      <w:r>
        <w:rPr>
          <w:rFonts w:hint="eastAsia" w:ascii="宋体" w:hAnsi="宋体" w:cs="宋体"/>
          <w:color w:val="auto"/>
          <w:sz w:val="24"/>
          <w:highlight w:val="none"/>
          <w:lang w:eastAsia="en-US"/>
        </w:rPr>
        <w:t>③施工图设计文件。</w:t>
      </w:r>
    </w:p>
    <w:p>
      <w:pPr>
        <w:adjustRightInd/>
        <w:spacing w:line="360" w:lineRule="auto"/>
        <w:ind w:firstLine="480" w:firstLineChars="200"/>
        <w:rPr>
          <w:rFonts w:ascii="宋体" w:hAnsi="宋体" w:cs="宋体"/>
          <w:color w:val="auto"/>
          <w:sz w:val="24"/>
          <w:highlight w:val="none"/>
          <w:lang w:eastAsia="en-US"/>
        </w:rPr>
      </w:pPr>
      <w:r>
        <w:rPr>
          <w:rFonts w:hint="eastAsia" w:ascii="宋体" w:hAnsi="宋体" w:cs="宋体"/>
          <w:color w:val="auto"/>
          <w:sz w:val="24"/>
          <w:highlight w:val="none"/>
          <w:lang w:eastAsia="en-US"/>
        </w:rPr>
        <w:t>2、以上报告成果形式包括纸质版和电子版</w:t>
      </w:r>
      <w:r>
        <w:rPr>
          <w:rFonts w:hint="eastAsia" w:ascii="宋体" w:hAnsi="宋体" w:cs="宋体"/>
          <w:color w:val="auto"/>
          <w:sz w:val="24"/>
          <w:highlight w:val="none"/>
        </w:rPr>
        <w:t>，</w:t>
      </w:r>
      <w:r>
        <w:rPr>
          <w:rFonts w:hint="eastAsia" w:ascii="宋体" w:hAnsi="宋体" w:cs="宋体"/>
          <w:color w:val="auto"/>
          <w:sz w:val="24"/>
          <w:highlight w:val="none"/>
          <w:lang w:eastAsia="en-US"/>
        </w:rPr>
        <w:t>具体数量根据采购人实际需求有所变动。</w:t>
      </w:r>
    </w:p>
    <w:p>
      <w:pPr>
        <w:adjustRightInd/>
        <w:spacing w:line="360" w:lineRule="auto"/>
        <w:ind w:firstLine="480" w:firstLineChars="200"/>
        <w:rPr>
          <w:rFonts w:ascii="宋体" w:hAnsi="宋体" w:cs="宋体"/>
          <w:color w:val="auto"/>
          <w:sz w:val="24"/>
          <w:highlight w:val="none"/>
          <w:lang w:eastAsia="en-US"/>
        </w:rPr>
      </w:pPr>
      <w:r>
        <w:rPr>
          <w:rFonts w:hint="eastAsia" w:ascii="宋体" w:hAnsi="宋体" w:cs="宋体"/>
          <w:color w:val="auto"/>
          <w:sz w:val="24"/>
          <w:highlight w:val="none"/>
          <w:lang w:eastAsia="en-US"/>
        </w:rPr>
        <w:t>3、文件（图纸、文本等）应提交可编辑的电子文档（word、excel、autocad文件格式），电子文档不设加密辅助软件，可脱机使用。</w:t>
      </w:r>
    </w:p>
    <w:p>
      <w:pPr>
        <w:spacing w:line="360" w:lineRule="auto"/>
        <w:rPr>
          <w:color w:val="auto"/>
          <w:sz w:val="24"/>
          <w:highlight w:val="none"/>
          <w:lang w:eastAsia="en-US"/>
        </w:rPr>
      </w:pPr>
    </w:p>
    <w:p>
      <w:pPr>
        <w:numPr>
          <w:ilvl w:val="0"/>
          <w:numId w:val="1"/>
        </w:numPr>
        <w:tabs>
          <w:tab w:val="left" w:pos="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项目团队要求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1、投标人应组建能够满足本项目服务需要的项目小组，按照工作范围和内容完成设计工作，并按约定向委托单位汇报工作进展。在投标文件中明确投入本项目服务的人员基本配备。</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拟投入团队成员须具有较高的专业素养和一定工作经验，投标文件中承诺的人员在服务过程中须保持人员的相对稳定；如果人员渎职或不能胜任工作或从事其他违法活动，采购人有权以书面形式提出更换要求，中标人应立即派出具有同等资历的人员替换。若工作进度没有达到投标文件中承诺的进度计划时，采购人有权提出要求增加技术服务人员和技术力量，中标人应立即安排，一切费用由中标人承担。</w:t>
      </w:r>
    </w:p>
    <w:p>
      <w:pPr>
        <w:adjustRightInd/>
        <w:spacing w:line="360" w:lineRule="auto"/>
        <w:ind w:firstLine="480" w:firstLineChars="200"/>
        <w:rPr>
          <w:rFonts w:ascii="宋体" w:hAnsi="宋体" w:cs="宋体"/>
          <w:color w:val="auto"/>
          <w:sz w:val="24"/>
          <w:highlight w:val="none"/>
        </w:rPr>
      </w:pPr>
    </w:p>
    <w:p>
      <w:pPr>
        <w:numPr>
          <w:ilvl w:val="0"/>
          <w:numId w:val="1"/>
        </w:numPr>
        <w:tabs>
          <w:tab w:val="left" w:pos="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设计的一般要求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1、设计人应当按照法律、法规和工程建设强制性标准进行设计，防止因设计不合理导致安全生产隐患或者生产安全事故的发生。</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采用新结构、新材料、新工艺的工程和特殊结构的工程，设计人应当在设计文件中提出保障施工作业人员安全和预防生产安全事故的措施建议。设计人及设计人员必须对其设计负责。</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计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3、设计文件必须符合下列要求：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（1）设计文件的编制必须严格执行国家基本建设程序、工程建设标准强制性条文及相关工程建设的法律、法规、规章、规范、标准、规程、定额和合同的要求；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等规定；</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（3）设计依据的基本资料应完整、准确、可靠，设计方案论证充分，计算可靠，并符合系统运行安全的要求；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（4）设计文件的深度应满足相应设计阶段的有关规定，并符合相关规范的要求；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（5）设计文件必须保证工程质量和安全的要求，符合安全、适用、耐久、经济、美观的综合要求；并应特别注意沿线景观及沿线设施的协调性和环境保护、水土保持的要求；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（6）设计文件中关于工程建设材料、配件和设备的选用，应当注明其性能及技术标准，其质量要求必须符合国家规定的标准，但不得指定生产厂家、供应商和产品品牌。</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4、设计人必须根据批复的可行性研究报告等相关规定的设计深度完成初步设计工作。初步设计文件经审查批复后，则作为编制施工图设计文件和控制建设项目投资的依据。</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设计人的初步设计文件必须接受采购人、咨询单位及采购人的上级主管部门的审查，凡审查意见中提出的问题，设计人应逐条给予认真贯彻落实，提交书面的反馈意见并免费修改初步设计文件。</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若采购人或采购人上级主管部门认为需要进行技术设计，设计人应根据采购人要求，按相关规定编制技术设计文件和修正概算，并通过采购人上级主管部门的审查。如果采购人在招标阶段已明确本项目包括技术设计并且在报价清单中已列有相应报价子目，则按设计人在报价清单中所报的相应费用支付；否则，对于采购人在项目实施过程中提出的技术设计，采购人应另行支付费用。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设计人应按批准的初步设计完成施工图设计工作，并接受采购人、咨询单位及采购人上级主管部门对施工图设计文件的审查，然后按审查意见修改施工图设计文件。设计人应在采购人规定的时间内完成施工图预算的编制，施工图设计文件及施工图预算应按各施工标段进行编制。施工图设计文件批复后，则作为编制施工招标文件的依据。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7、当采购人或咨询单位认为需调用设计人的设计计算书时，设计人必须及时提供。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8、设计人应按采购人要求的数量（符合规范要求）提供所有为完成勘察设计所必需的研究试验阶段性或成果性报告，接受采购人或上级主管部门的审查，并对相关问题作出澄清和解答。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9、设计人应根据设计需要开展专题研究工作，提交相应专题研究报告，并通过采购人或上级主管部门的审查。</w:t>
      </w:r>
    </w:p>
    <w:p>
      <w:pPr>
        <w:adjustRightInd/>
        <w:spacing w:line="360" w:lineRule="auto"/>
        <w:ind w:firstLine="480" w:firstLineChars="200"/>
        <w:rPr>
          <w:rFonts w:ascii="宋体" w:hAnsi="宋体" w:cs="宋体"/>
          <w:color w:val="auto"/>
          <w:sz w:val="24"/>
          <w:highlight w:val="none"/>
        </w:rPr>
      </w:pPr>
    </w:p>
    <w:p>
      <w:pPr>
        <w:numPr>
          <w:ilvl w:val="0"/>
          <w:numId w:val="1"/>
        </w:numPr>
        <w:tabs>
          <w:tab w:val="left" w:pos="0"/>
        </w:tabs>
        <w:snapToGrid w:val="0"/>
        <w:spacing w:line="360" w:lineRule="auto"/>
        <w:rPr>
          <w:rFonts w:ascii="宋体" w:hAnsi="宋体" w:cs="宋体"/>
          <w:b/>
          <w:bCs/>
          <w:color w:val="auto"/>
          <w:sz w:val="24"/>
          <w:highlight w:val="none"/>
        </w:rPr>
      </w:pPr>
      <w:bookmarkStart w:id="31" w:name="_Toc82613543"/>
      <w:r>
        <w:rPr>
          <w:rFonts w:hint="eastAsia" w:ascii="宋体" w:hAnsi="宋体" w:cs="宋体"/>
          <w:b/>
          <w:bCs/>
          <w:color w:val="auto"/>
          <w:sz w:val="24"/>
          <w:highlight w:val="none"/>
        </w:rPr>
        <w:t>后续服务</w:t>
      </w:r>
      <w:bookmarkEnd w:id="31"/>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1、可研后续服务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配合、协助采购人完成各种基础资料的验收工作；</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配合、协助采购人完成可研文件的审查，技术答疑，技术评审等；</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2、初步设计后续服务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配合、协助采购人完成初步设计、施工图设计文件的审查，技术答疑，技术评审等；</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3、施工图设计后续工作</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施工图审查：积极配合采购人做好设计文件的审查工作，并根据审查意见修改。</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施工和监理招标：及时提供完整的施工图纸文本（及电子版本），配合采购人做好招标工作。</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技术交底：施工图设计完成后，根据采购人安排的时间，及时派各分项设计技术骨干进施工现场进行技术交底。</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施工阶段，设计人员主动到现场服务，及时解决施工中与设计有关的问题，主动提供施工期间的难点、重点工作的技术支持。根据现场实际情况，做好设计变更，一般变更1～3天由设计代表现场完成；对于重大设计变更，由专业总工程师到现场与采购人和施工单位、监理单位共同协商，按照采购人的要求及时完成设计变更。</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积极配合采购人进行的竣工验收工作，应采购人邀请，参加竣工验收工作。</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提供从验收合格之日起两年内免费后期设计指导，负责对其实施项目提供现场服务，并要求中标人在接到采购人的电话后24个小时内响应到达现场，并最迟在第2个工作日内提供解决方案，以保证项目的正常进行。</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5、必须按规定程序和有关要求进行实施，服务过程中的各种设计质量及人身财产安全意外，其责任由成交人承担，采购人不承担任何责任。</w:t>
      </w:r>
    </w:p>
    <w:p>
      <w:pPr>
        <w:numPr>
          <w:ilvl w:val="0"/>
          <w:numId w:val="1"/>
        </w:numPr>
        <w:tabs>
          <w:tab w:val="left" w:pos="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知识产权保护</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1、投标人保证本项目投标文件及资料均未侵犯他人的知识产权，否则须承担由此引起的全部法律责任和经济责任；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2、若投标人使用他人的专利、专有技术，投标人应自行承担所涉及的一切费用；</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3、采购人对各投标人递交的投标方案不予退回。</w:t>
      </w:r>
    </w:p>
    <w:p>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4、采购人有权在评标会后公开介绍、展示、评价、推广已支付方案设计使用费的投标方案，不再支付其它费用。</w:t>
      </w:r>
    </w:p>
    <w:p>
      <w:pPr>
        <w:pStyle w:val="87"/>
        <w:rPr>
          <w:color w:val="auto"/>
          <w:highlight w:val="none"/>
        </w:rPr>
        <w:sectPr>
          <w:pgSz w:w="11907" w:h="16840"/>
          <w:pgMar w:top="1247" w:right="1304" w:bottom="1021" w:left="1304" w:header="720" w:footer="720" w:gutter="0"/>
          <w:cols w:space="720" w:num="1"/>
          <w:docGrid w:linePitch="286" w:charSpace="0"/>
        </w:sectPr>
      </w:pPr>
    </w:p>
    <w:p>
      <w:pPr>
        <w:pStyle w:val="82"/>
        <w:ind w:firstLine="0" w:firstLineChars="0"/>
        <w:rPr>
          <w:rFonts w:ascii="宋体" w:hAnsi="宋体" w:cs="宋体"/>
          <w:b/>
          <w:color w:val="auto"/>
          <w:highlight w:val="none"/>
        </w:rPr>
      </w:pPr>
      <w:r>
        <w:rPr>
          <w:rFonts w:hint="eastAsia" w:ascii="宋体" w:hAnsi="宋体" w:cs="宋体"/>
          <w:b/>
          <w:color w:val="auto"/>
          <w:highlight w:val="none"/>
        </w:rPr>
        <w:t>九、商务要求</w:t>
      </w:r>
    </w:p>
    <w:p>
      <w:pPr>
        <w:pStyle w:val="16"/>
        <w:rPr>
          <w:rFonts w:hAnsi="宋体" w:cs="宋体"/>
          <w:color w:val="auto"/>
          <w:highlight w:val="none"/>
        </w:rPr>
      </w:pPr>
    </w:p>
    <w:tbl>
      <w:tblPr>
        <w:tblStyle w:val="73"/>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w:t>
            </w:r>
          </w:p>
        </w:tc>
        <w:tc>
          <w:tcPr>
            <w:tcW w:w="659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533" w:type="dxa"/>
            <w:vAlign w:val="center"/>
          </w:tcPr>
          <w:p>
            <w:pPr>
              <w:spacing w:line="360" w:lineRule="auto"/>
              <w:ind w:firstLine="720"/>
              <w:rPr>
                <w:rFonts w:ascii="宋体" w:hAnsi="宋体" w:cs="宋体"/>
                <w:bCs/>
                <w:color w:val="auto"/>
                <w:sz w:val="24"/>
                <w:highlight w:val="none"/>
              </w:rPr>
            </w:pPr>
            <w:r>
              <w:rPr>
                <w:rFonts w:hint="eastAsia" w:ascii="宋体" w:hAnsi="宋体" w:cs="宋体"/>
                <w:bCs/>
                <w:color w:val="auto"/>
                <w:sz w:val="24"/>
                <w:highlight w:val="none"/>
              </w:rPr>
              <w:t>合同履约期限</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合同签订后 日历天内完成项目所有勘察及设计服务工作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验收标准</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（1）国家工程建设标准强制性条文； </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（2）国家、地方相关技术标准和规范。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履约保证金</w:t>
            </w:r>
          </w:p>
        </w:tc>
        <w:tc>
          <w:tcPr>
            <w:tcW w:w="6593" w:type="dxa"/>
            <w:vAlign w:val="center"/>
          </w:tcPr>
          <w:p>
            <w:pPr>
              <w:kinsoku/>
              <w:topLinePunct w:val="0"/>
              <w:bidi w:val="0"/>
              <w:spacing w:afterAutospacing="0" w:line="360" w:lineRule="auto"/>
              <w:jc w:val="left"/>
              <w:rPr>
                <w:rFonts w:ascii="宋体" w:hAnsi="宋体" w:cs="宋体"/>
                <w:bCs/>
                <w:color w:val="auto"/>
                <w:sz w:val="24"/>
                <w:highlight w:val="none"/>
              </w:rPr>
            </w:pPr>
            <w:r>
              <w:rPr>
                <w:rFonts w:hint="eastAsia" w:ascii="宋体" w:hAnsi="宋体" w:cs="宋体"/>
                <w:bCs/>
                <w:color w:val="auto"/>
                <w:sz w:val="24"/>
                <w:highlight w:val="none"/>
              </w:rPr>
              <w:t>(1)履约保证金金额：合同总价的1%。</w:t>
            </w:r>
          </w:p>
          <w:p>
            <w:pPr>
              <w:kinsoku/>
              <w:topLinePunct w:val="0"/>
              <w:bidi w:val="0"/>
              <w:spacing w:afterAutospacing="0" w:line="360" w:lineRule="auto"/>
              <w:jc w:val="left"/>
              <w:rPr>
                <w:rFonts w:ascii="宋体" w:hAnsi="宋体" w:cs="宋体"/>
                <w:bCs/>
                <w:color w:val="auto"/>
                <w:sz w:val="24"/>
                <w:highlight w:val="none"/>
              </w:rPr>
            </w:pPr>
            <w:r>
              <w:rPr>
                <w:rFonts w:hint="eastAsia" w:ascii="宋体" w:hAnsi="宋体" w:cs="宋体"/>
                <w:bCs/>
                <w:color w:val="auto"/>
                <w:sz w:val="24"/>
                <w:highlight w:val="none"/>
              </w:rPr>
              <w:t>(2)履约保证金形式：转账或银行、保险公司出具的保函形式。</w:t>
            </w:r>
          </w:p>
          <w:p>
            <w:pPr>
              <w:kinsoku/>
              <w:topLinePunct w:val="0"/>
              <w:bidi w:val="0"/>
              <w:spacing w:afterAutospacing="0" w:line="360" w:lineRule="auto"/>
              <w:jc w:val="left"/>
              <w:rPr>
                <w:rFonts w:ascii="宋体" w:hAnsi="宋体" w:cs="宋体"/>
                <w:bCs/>
                <w:color w:val="auto"/>
                <w:sz w:val="24"/>
                <w:highlight w:val="none"/>
              </w:rPr>
            </w:pPr>
            <w:r>
              <w:rPr>
                <w:rFonts w:hint="eastAsia" w:ascii="宋体" w:hAnsi="宋体" w:cs="宋体"/>
                <w:bCs/>
                <w:color w:val="auto"/>
                <w:sz w:val="24"/>
                <w:highlight w:val="none"/>
              </w:rPr>
              <w:t>(3)履约保证金递交时间：合同签订后7个工作日内。</w:t>
            </w:r>
          </w:p>
          <w:p>
            <w:pPr>
              <w:kinsoku/>
              <w:topLinePunct w:val="0"/>
              <w:bidi w:val="0"/>
              <w:spacing w:afterAutospacing="0" w:line="360" w:lineRule="auto"/>
              <w:jc w:val="left"/>
              <w:rPr>
                <w:rFonts w:ascii="宋体" w:hAnsi="宋体" w:cs="宋体"/>
                <w:bCs/>
                <w:color w:val="auto"/>
                <w:sz w:val="24"/>
                <w:highlight w:val="none"/>
              </w:rPr>
            </w:pPr>
            <w:r>
              <w:rPr>
                <w:rFonts w:hint="eastAsia" w:ascii="宋体" w:hAnsi="宋体" w:cs="宋体"/>
                <w:bCs/>
                <w:color w:val="auto"/>
                <w:sz w:val="24"/>
                <w:highlight w:val="none"/>
              </w:rPr>
              <w:t>(4)履约保证金退还时间：最终验收后。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付款方式</w:t>
            </w:r>
          </w:p>
        </w:tc>
        <w:tc>
          <w:tcPr>
            <w:tcW w:w="6593" w:type="dxa"/>
            <w:vAlign w:val="center"/>
          </w:tcPr>
          <w:p>
            <w:pPr>
              <w:spacing w:line="360" w:lineRule="auto"/>
              <w:jc w:val="left"/>
              <w:rPr>
                <w:rFonts w:ascii="宋体" w:hAnsi="宋体" w:cs="宋体"/>
                <w:bCs/>
                <w:color w:val="auto"/>
                <w:sz w:val="24"/>
                <w:highlight w:val="none"/>
                <w:lang w:eastAsia="en-US"/>
              </w:rPr>
            </w:pPr>
            <w:r>
              <w:rPr>
                <w:rFonts w:hint="eastAsia" w:ascii="宋体" w:hAnsi="宋体" w:cs="宋体"/>
                <w:bCs/>
                <w:color w:val="auto"/>
                <w:sz w:val="24"/>
                <w:highlight w:val="none"/>
              </w:rPr>
              <w:t>①</w:t>
            </w:r>
            <w:r>
              <w:rPr>
                <w:rFonts w:hint="eastAsia" w:ascii="宋体" w:hAnsi="宋体" w:cs="宋体"/>
                <w:bCs/>
                <w:color w:val="auto"/>
                <w:sz w:val="24"/>
                <w:highlight w:val="none"/>
                <w:lang w:eastAsia="en-US"/>
              </w:rPr>
              <w:t>合同签订后</w:t>
            </w:r>
            <w:r>
              <w:rPr>
                <w:rFonts w:hint="eastAsia" w:ascii="宋体" w:hAnsi="宋体" w:cs="宋体"/>
                <w:bCs/>
                <w:color w:val="auto"/>
                <w:sz w:val="24"/>
                <w:highlight w:val="none"/>
              </w:rPr>
              <w:t>30</w:t>
            </w:r>
            <w:r>
              <w:rPr>
                <w:rFonts w:hint="eastAsia" w:ascii="宋体" w:hAnsi="宋体" w:cs="宋体"/>
                <w:bCs/>
                <w:color w:val="auto"/>
                <w:sz w:val="24"/>
                <w:highlight w:val="none"/>
                <w:lang w:eastAsia="en-US"/>
              </w:rPr>
              <w:t>个工作日内支付合同价款的</w:t>
            </w:r>
            <w:r>
              <w:rPr>
                <w:rFonts w:hint="eastAsia" w:ascii="宋体" w:hAnsi="宋体" w:cs="宋体"/>
                <w:bCs/>
                <w:color w:val="auto"/>
                <w:sz w:val="24"/>
                <w:highlight w:val="none"/>
              </w:rPr>
              <w:t>4</w:t>
            </w:r>
            <w:r>
              <w:rPr>
                <w:rFonts w:hint="eastAsia" w:ascii="宋体" w:hAnsi="宋体" w:cs="宋体"/>
                <w:bCs/>
                <w:color w:val="auto"/>
                <w:sz w:val="24"/>
                <w:highlight w:val="none"/>
                <w:lang w:eastAsia="en-US"/>
              </w:rPr>
              <w:t>0%作为预付款；</w:t>
            </w:r>
          </w:p>
          <w:p>
            <w:pPr>
              <w:spacing w:line="360" w:lineRule="auto"/>
              <w:jc w:val="left"/>
              <w:rPr>
                <w:rFonts w:ascii="宋体" w:hAnsi="宋体" w:cs="宋体"/>
                <w:bCs/>
                <w:color w:val="auto"/>
                <w:sz w:val="24"/>
                <w:highlight w:val="none"/>
                <w:lang w:eastAsia="en-US"/>
              </w:rPr>
            </w:pPr>
            <w:r>
              <w:rPr>
                <w:rFonts w:hint="eastAsia" w:ascii="宋体" w:hAnsi="宋体" w:cs="宋体"/>
                <w:bCs/>
                <w:color w:val="auto"/>
                <w:sz w:val="24"/>
                <w:highlight w:val="none"/>
              </w:rPr>
              <w:t>②</w:t>
            </w:r>
            <w:r>
              <w:rPr>
                <w:rFonts w:hint="eastAsia" w:ascii="宋体" w:hAnsi="宋体" w:cs="宋体"/>
                <w:bCs/>
                <w:color w:val="auto"/>
                <w:sz w:val="24"/>
                <w:highlight w:val="none"/>
                <w:lang w:val="en-US" w:eastAsia="zh-CN"/>
              </w:rPr>
              <w:t>施工图审查合格证</w:t>
            </w:r>
            <w:r>
              <w:rPr>
                <w:rFonts w:hint="eastAsia" w:ascii="宋体" w:hAnsi="宋体" w:cs="宋体"/>
                <w:bCs/>
                <w:color w:val="auto"/>
                <w:sz w:val="24"/>
                <w:highlight w:val="none"/>
                <w:lang w:eastAsia="en-US"/>
              </w:rPr>
              <w:t>签发后</w:t>
            </w:r>
            <w:r>
              <w:rPr>
                <w:rFonts w:hint="eastAsia" w:ascii="宋体" w:hAnsi="宋体" w:cs="宋体"/>
                <w:bCs/>
                <w:color w:val="auto"/>
                <w:sz w:val="24"/>
                <w:highlight w:val="none"/>
              </w:rPr>
              <w:t>30</w:t>
            </w:r>
            <w:r>
              <w:rPr>
                <w:rFonts w:hint="eastAsia" w:ascii="宋体" w:hAnsi="宋体" w:cs="宋体"/>
                <w:bCs/>
                <w:color w:val="auto"/>
                <w:sz w:val="24"/>
                <w:highlight w:val="none"/>
                <w:lang w:eastAsia="en-US"/>
              </w:rPr>
              <w:t>个工作日内支付合同价款</w:t>
            </w:r>
            <w:r>
              <w:rPr>
                <w:rFonts w:hint="eastAsia" w:ascii="宋体" w:hAnsi="宋体" w:cs="宋体"/>
                <w:bCs/>
                <w:color w:val="auto"/>
                <w:sz w:val="24"/>
                <w:highlight w:val="none"/>
              </w:rPr>
              <w:t>50</w:t>
            </w:r>
            <w:r>
              <w:rPr>
                <w:rFonts w:hint="eastAsia" w:ascii="宋体" w:hAnsi="宋体" w:cs="宋体"/>
                <w:bCs/>
                <w:color w:val="auto"/>
                <w:sz w:val="24"/>
                <w:highlight w:val="none"/>
                <w:lang w:eastAsia="en-US"/>
              </w:rPr>
              <w:t>%；</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③工程竣工验收合格后30</w:t>
            </w:r>
            <w:r>
              <w:rPr>
                <w:rFonts w:hint="eastAsia" w:ascii="宋体" w:hAnsi="宋体" w:cs="宋体"/>
                <w:bCs/>
                <w:color w:val="auto"/>
                <w:sz w:val="24"/>
                <w:highlight w:val="none"/>
                <w:lang w:eastAsia="en-US"/>
              </w:rPr>
              <w:t>个工作日内一次性付清合同剩余款项</w:t>
            </w:r>
            <w:r>
              <w:rPr>
                <w:rFonts w:hint="eastAsia" w:ascii="宋体" w:hAnsi="宋体" w:cs="宋体"/>
                <w:bCs/>
                <w:color w:val="auto"/>
                <w:sz w:val="24"/>
                <w:highlight w:val="none"/>
              </w:rPr>
              <w:t>；以上款项支付均不计息。</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在签订合同时，投标人明确表示无需预付款或者主动要求降低预付款比例的，采购单位可不适用前述预付款比例的规定。每次付款前，中标人应开具正规、足额的发票，否则甲方有权拒绝付款。</w:t>
            </w:r>
          </w:p>
          <w:p>
            <w:pPr>
              <w:spacing w:line="360" w:lineRule="auto"/>
              <w:jc w:val="left"/>
              <w:rPr>
                <w:rFonts w:ascii="宋体" w:hAnsi="宋体" w:cs="宋体"/>
                <w:bCs/>
                <w:color w:val="auto"/>
                <w:sz w:val="24"/>
                <w:highlight w:val="none"/>
              </w:rPr>
            </w:pPr>
            <w:r>
              <w:rPr>
                <w:rFonts w:ascii="宋体" w:hAnsi="宋体" w:cs="宋体"/>
                <w:color w:val="auto"/>
                <w:sz w:val="24"/>
                <w:highlight w:val="none"/>
              </w:rPr>
              <w:t>采购人为实行国库集中支付改革的单位，采购人需向财政国库支付机构提出申请支付令、办理国库支付手续，财政国库支付机构支付流程时间不计入采购人付款期限。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违约责任</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中标人逾期履行合同的，自逾期之日起，向采购人每日偿付合同总价千分之二的滞纳金；中标人逾期10日不能履行的，视为中标人不能履行，采购人有权解除合同，中标人应承担违约责任，应向采购人支付合同总价百分之十的违约金。</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2、中标人放弃中标、中标资格导致重新采购的，应当承担支付代理费和专家评审费等费用在内的赔偿责任。</w:t>
            </w:r>
          </w:p>
        </w:tc>
      </w:tr>
    </w:tbl>
    <w:p>
      <w:pPr>
        <w:pStyle w:val="16"/>
        <w:rPr>
          <w:rFonts w:hAnsi="宋体" w:cs="宋体"/>
          <w:color w:val="auto"/>
          <w:highlight w:val="none"/>
        </w:rPr>
      </w:pPr>
    </w:p>
    <w:p>
      <w:pPr>
        <w:jc w:val="left"/>
        <w:rPr>
          <w:rFonts w:ascii="宋体" w:hAnsi="宋体" w:cs="宋体"/>
          <w:b/>
          <w:color w:val="auto"/>
          <w:sz w:val="36"/>
          <w:szCs w:val="36"/>
          <w:highlight w:val="none"/>
        </w:rPr>
      </w:pPr>
      <w:bookmarkStart w:id="32" w:name="_Toc20244"/>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3" w:name="_Toc184314445"/>
      <w:bookmarkEnd w:id="33"/>
      <w:bookmarkStart w:id="34" w:name="_Toc184313307"/>
      <w:bookmarkEnd w:id="34"/>
      <w:bookmarkStart w:id="35" w:name="_Toc184312116"/>
      <w:bookmarkEnd w:id="35"/>
      <w:bookmarkStart w:id="36" w:name="_Toc184312069"/>
      <w:bookmarkEnd w:id="36"/>
      <w:bookmarkStart w:id="37" w:name="_Toc184308049"/>
      <w:bookmarkEnd w:id="37"/>
      <w:bookmarkStart w:id="38" w:name="_Toc184313263"/>
      <w:bookmarkEnd w:id="38"/>
      <w:bookmarkStart w:id="39" w:name="_Toc184312135"/>
      <w:bookmarkEnd w:id="39"/>
      <w:bookmarkStart w:id="40" w:name="_Toc184308102"/>
      <w:bookmarkEnd w:id="40"/>
      <w:bookmarkStart w:id="41" w:name="_Toc184310341"/>
      <w:bookmarkEnd w:id="41"/>
      <w:bookmarkStart w:id="42" w:name="_Toc184308056"/>
      <w:bookmarkEnd w:id="42"/>
      <w:bookmarkStart w:id="43" w:name="_Toc184314431"/>
      <w:bookmarkEnd w:id="43"/>
      <w:bookmarkStart w:id="44" w:name="_Toc184313238"/>
      <w:bookmarkEnd w:id="44"/>
      <w:bookmarkStart w:id="45" w:name="_Toc184310289"/>
      <w:bookmarkEnd w:id="45"/>
      <w:bookmarkStart w:id="46" w:name="_Toc184310333"/>
      <w:bookmarkEnd w:id="46"/>
      <w:bookmarkStart w:id="47" w:name="_Toc184308095"/>
      <w:bookmarkEnd w:id="47"/>
      <w:bookmarkStart w:id="48" w:name="_Toc184308096"/>
      <w:bookmarkEnd w:id="48"/>
      <w:bookmarkStart w:id="49" w:name="_Toc184313289"/>
      <w:bookmarkEnd w:id="49"/>
      <w:bookmarkStart w:id="50" w:name="_Toc184310318"/>
      <w:bookmarkEnd w:id="50"/>
      <w:bookmarkStart w:id="51" w:name="_Toc184310320"/>
      <w:bookmarkEnd w:id="51"/>
      <w:bookmarkStart w:id="52" w:name="_Toc184313306"/>
      <w:bookmarkEnd w:id="52"/>
      <w:bookmarkStart w:id="53" w:name="_Toc184312105"/>
      <w:bookmarkEnd w:id="53"/>
      <w:bookmarkStart w:id="54" w:name="_Toc184312091"/>
      <w:bookmarkEnd w:id="54"/>
      <w:bookmarkStart w:id="55" w:name="_Toc184308069"/>
      <w:bookmarkEnd w:id="55"/>
      <w:bookmarkStart w:id="56" w:name="_Toc184312079"/>
      <w:bookmarkEnd w:id="56"/>
      <w:bookmarkStart w:id="57" w:name="_Toc184312093"/>
      <w:bookmarkEnd w:id="57"/>
      <w:bookmarkStart w:id="58" w:name="_Toc184312120"/>
      <w:bookmarkEnd w:id="58"/>
      <w:bookmarkStart w:id="59" w:name="_Toc184310321"/>
      <w:bookmarkEnd w:id="59"/>
      <w:bookmarkStart w:id="60" w:name="_Toc184314473"/>
      <w:bookmarkEnd w:id="60"/>
      <w:bookmarkStart w:id="61" w:name="_Toc184313296"/>
      <w:bookmarkEnd w:id="61"/>
      <w:bookmarkStart w:id="62" w:name="_Toc184308042"/>
      <w:bookmarkEnd w:id="62"/>
      <w:bookmarkStart w:id="63" w:name="_Toc184314443"/>
      <w:bookmarkEnd w:id="63"/>
      <w:bookmarkStart w:id="64" w:name="_Toc184310316"/>
      <w:bookmarkEnd w:id="64"/>
      <w:bookmarkStart w:id="65" w:name="_Toc184308055"/>
      <w:bookmarkEnd w:id="65"/>
      <w:bookmarkStart w:id="66" w:name="_Toc184314433"/>
      <w:bookmarkEnd w:id="66"/>
      <w:bookmarkStart w:id="67" w:name="_Toc184312071"/>
      <w:bookmarkEnd w:id="67"/>
      <w:bookmarkStart w:id="68" w:name="_Toc184310307"/>
      <w:bookmarkEnd w:id="68"/>
      <w:bookmarkStart w:id="69" w:name="_Toc184313288"/>
      <w:bookmarkEnd w:id="69"/>
      <w:bookmarkStart w:id="70" w:name="_Toc184314426"/>
      <w:bookmarkEnd w:id="70"/>
      <w:bookmarkStart w:id="71" w:name="_Toc184314480"/>
      <w:bookmarkEnd w:id="71"/>
      <w:bookmarkStart w:id="72" w:name="_Toc184310272"/>
      <w:bookmarkEnd w:id="72"/>
      <w:bookmarkStart w:id="73" w:name="_Toc184310284"/>
      <w:bookmarkEnd w:id="73"/>
      <w:bookmarkStart w:id="74" w:name="_Toc184308054"/>
      <w:bookmarkEnd w:id="74"/>
      <w:bookmarkStart w:id="75" w:name="_Toc184310287"/>
      <w:bookmarkEnd w:id="75"/>
      <w:bookmarkStart w:id="76" w:name="_Toc184308094"/>
      <w:bookmarkEnd w:id="76"/>
      <w:bookmarkStart w:id="77" w:name="_Toc184314460"/>
      <w:bookmarkEnd w:id="77"/>
      <w:bookmarkStart w:id="78" w:name="_Toc184313283"/>
      <w:bookmarkEnd w:id="78"/>
      <w:bookmarkStart w:id="79" w:name="_Toc184312073"/>
      <w:bookmarkEnd w:id="79"/>
      <w:bookmarkStart w:id="80" w:name="_Toc184308040"/>
      <w:bookmarkEnd w:id="80"/>
      <w:bookmarkStart w:id="81" w:name="_Toc184310296"/>
      <w:bookmarkEnd w:id="81"/>
      <w:bookmarkStart w:id="82" w:name="_Toc184308039"/>
      <w:bookmarkEnd w:id="82"/>
      <w:bookmarkStart w:id="83" w:name="_Toc184313239"/>
      <w:bookmarkEnd w:id="83"/>
      <w:bookmarkStart w:id="84" w:name="_Toc184308091"/>
      <w:bookmarkEnd w:id="84"/>
      <w:bookmarkStart w:id="85" w:name="_Toc184310278"/>
      <w:bookmarkEnd w:id="85"/>
      <w:bookmarkStart w:id="86" w:name="_Toc184312134"/>
      <w:bookmarkEnd w:id="86"/>
      <w:bookmarkStart w:id="87" w:name="_Toc184312084"/>
      <w:bookmarkEnd w:id="87"/>
      <w:bookmarkStart w:id="88" w:name="_Toc184313262"/>
      <w:bookmarkEnd w:id="88"/>
      <w:bookmarkStart w:id="89" w:name="_Toc184310343"/>
      <w:bookmarkEnd w:id="89"/>
      <w:bookmarkStart w:id="90" w:name="_Toc184314419"/>
      <w:bookmarkEnd w:id="90"/>
      <w:bookmarkStart w:id="91" w:name="_Toc184313294"/>
      <w:bookmarkEnd w:id="91"/>
      <w:bookmarkStart w:id="92" w:name="_Toc184314448"/>
      <w:bookmarkEnd w:id="92"/>
      <w:bookmarkStart w:id="93" w:name="_Toc184310293"/>
      <w:bookmarkEnd w:id="93"/>
      <w:bookmarkStart w:id="94" w:name="_Toc184313305"/>
      <w:bookmarkEnd w:id="94"/>
      <w:bookmarkStart w:id="95" w:name="_Toc184313271"/>
      <w:bookmarkEnd w:id="95"/>
      <w:bookmarkStart w:id="96" w:name="_Toc184308071"/>
      <w:bookmarkEnd w:id="96"/>
      <w:bookmarkStart w:id="97" w:name="_Toc184308077"/>
      <w:bookmarkEnd w:id="97"/>
      <w:bookmarkStart w:id="98" w:name="_Toc184314411"/>
      <w:bookmarkEnd w:id="98"/>
      <w:bookmarkStart w:id="99" w:name="_Toc184312098"/>
      <w:bookmarkEnd w:id="99"/>
      <w:bookmarkStart w:id="100" w:name="_Toc184308036"/>
      <w:bookmarkEnd w:id="100"/>
      <w:bookmarkStart w:id="101" w:name="_Toc184308081"/>
      <w:bookmarkEnd w:id="101"/>
      <w:bookmarkStart w:id="102" w:name="_Toc184314420"/>
      <w:bookmarkEnd w:id="102"/>
      <w:bookmarkStart w:id="103" w:name="_Toc184314439"/>
      <w:bookmarkEnd w:id="103"/>
      <w:bookmarkStart w:id="104" w:name="_Toc184310327"/>
      <w:bookmarkEnd w:id="104"/>
      <w:bookmarkStart w:id="105" w:name="_Toc184312107"/>
      <w:bookmarkEnd w:id="105"/>
      <w:bookmarkStart w:id="106" w:name="_Toc184312110"/>
      <w:bookmarkEnd w:id="106"/>
      <w:bookmarkStart w:id="107" w:name="_Toc184314451"/>
      <w:bookmarkEnd w:id="107"/>
      <w:bookmarkStart w:id="108" w:name="_Toc184310306"/>
      <w:bookmarkEnd w:id="108"/>
      <w:bookmarkStart w:id="109" w:name="_Toc184312097"/>
      <w:bookmarkEnd w:id="109"/>
      <w:bookmarkStart w:id="110" w:name="_Toc184308047"/>
      <w:bookmarkEnd w:id="110"/>
      <w:bookmarkStart w:id="111" w:name="_Toc184308086"/>
      <w:bookmarkEnd w:id="111"/>
      <w:bookmarkStart w:id="112" w:name="_Toc184314470"/>
      <w:bookmarkEnd w:id="112"/>
      <w:bookmarkStart w:id="113" w:name="_Toc184314417"/>
      <w:bookmarkEnd w:id="113"/>
      <w:bookmarkStart w:id="114" w:name="_Toc184310279"/>
      <w:bookmarkEnd w:id="114"/>
      <w:bookmarkStart w:id="115" w:name="_Toc184312086"/>
      <w:bookmarkEnd w:id="115"/>
      <w:bookmarkStart w:id="116" w:name="_Toc184314481"/>
      <w:bookmarkEnd w:id="116"/>
      <w:bookmarkStart w:id="117" w:name="_Toc184308099"/>
      <w:bookmarkEnd w:id="117"/>
      <w:bookmarkStart w:id="118" w:name="_Toc184310282"/>
      <w:bookmarkEnd w:id="118"/>
      <w:bookmarkStart w:id="119" w:name="_Toc184310324"/>
      <w:bookmarkEnd w:id="119"/>
      <w:bookmarkStart w:id="120" w:name="_Toc184314462"/>
      <w:bookmarkEnd w:id="120"/>
      <w:bookmarkStart w:id="121" w:name="_Toc184313241"/>
      <w:bookmarkEnd w:id="121"/>
      <w:bookmarkStart w:id="122" w:name="_Toc184310309"/>
      <w:bookmarkEnd w:id="122"/>
      <w:bookmarkStart w:id="123" w:name="_Toc184310298"/>
      <w:bookmarkEnd w:id="123"/>
      <w:bookmarkStart w:id="124" w:name="_Toc184312090"/>
      <w:bookmarkEnd w:id="124"/>
      <w:bookmarkStart w:id="125" w:name="_Toc184314459"/>
      <w:bookmarkEnd w:id="125"/>
      <w:bookmarkStart w:id="126" w:name="_Toc184314437"/>
      <w:bookmarkEnd w:id="126"/>
      <w:bookmarkStart w:id="127" w:name="_Toc184310285"/>
      <w:bookmarkEnd w:id="127"/>
      <w:bookmarkStart w:id="128" w:name="_Toc184312076"/>
      <w:bookmarkEnd w:id="128"/>
      <w:bookmarkStart w:id="129" w:name="_Toc184308044"/>
      <w:bookmarkEnd w:id="129"/>
      <w:bookmarkStart w:id="130" w:name="_Toc184308101"/>
      <w:bookmarkEnd w:id="130"/>
      <w:bookmarkStart w:id="131" w:name="_Toc184312131"/>
      <w:bookmarkEnd w:id="131"/>
      <w:bookmarkStart w:id="132" w:name="_Toc184312126"/>
      <w:bookmarkEnd w:id="132"/>
      <w:bookmarkStart w:id="133" w:name="_Toc184310317"/>
      <w:bookmarkEnd w:id="133"/>
      <w:bookmarkStart w:id="134" w:name="_Toc184310302"/>
      <w:bookmarkEnd w:id="134"/>
      <w:bookmarkStart w:id="135" w:name="_Toc184308092"/>
      <w:bookmarkEnd w:id="135"/>
      <w:bookmarkStart w:id="136" w:name="_Toc184313297"/>
      <w:bookmarkEnd w:id="136"/>
      <w:bookmarkStart w:id="137" w:name="_Toc184310312"/>
      <w:bookmarkEnd w:id="137"/>
      <w:bookmarkStart w:id="138" w:name="_Toc184313291"/>
      <w:bookmarkEnd w:id="138"/>
      <w:bookmarkStart w:id="139" w:name="_Toc184308107"/>
      <w:bookmarkEnd w:id="139"/>
      <w:bookmarkStart w:id="140" w:name="_Toc184314423"/>
      <w:bookmarkEnd w:id="140"/>
      <w:bookmarkStart w:id="141" w:name="_Toc184313265"/>
      <w:bookmarkEnd w:id="141"/>
      <w:bookmarkStart w:id="142" w:name="_Toc184312085"/>
      <w:bookmarkEnd w:id="142"/>
      <w:bookmarkStart w:id="143" w:name="_Toc184312128"/>
      <w:bookmarkEnd w:id="143"/>
      <w:bookmarkStart w:id="144" w:name="_Toc184310304"/>
      <w:bookmarkEnd w:id="144"/>
      <w:bookmarkStart w:id="145" w:name="_Toc184314475"/>
      <w:bookmarkEnd w:id="145"/>
      <w:bookmarkStart w:id="146" w:name="_Toc184310337"/>
      <w:bookmarkEnd w:id="146"/>
      <w:bookmarkStart w:id="147" w:name="_Toc184313275"/>
      <w:bookmarkEnd w:id="147"/>
      <w:bookmarkStart w:id="148" w:name="_Toc184308061"/>
      <w:bookmarkEnd w:id="148"/>
      <w:bookmarkStart w:id="149" w:name="_Toc184312119"/>
      <w:bookmarkEnd w:id="149"/>
      <w:bookmarkStart w:id="150" w:name="_Toc184313301"/>
      <w:bookmarkEnd w:id="150"/>
      <w:bookmarkStart w:id="151" w:name="_Toc184313302"/>
      <w:bookmarkEnd w:id="151"/>
      <w:bookmarkStart w:id="152" w:name="_Toc184312132"/>
      <w:bookmarkEnd w:id="152"/>
      <w:bookmarkStart w:id="153" w:name="_Toc184310273"/>
      <w:bookmarkEnd w:id="153"/>
      <w:bookmarkStart w:id="154" w:name="_Toc184308058"/>
      <w:bookmarkEnd w:id="154"/>
      <w:bookmarkStart w:id="155" w:name="_Toc184313270"/>
      <w:bookmarkEnd w:id="155"/>
      <w:bookmarkStart w:id="156" w:name="_Toc184308088"/>
      <w:bookmarkEnd w:id="156"/>
      <w:bookmarkStart w:id="157" w:name="_Toc184312122"/>
      <w:bookmarkEnd w:id="157"/>
      <w:bookmarkStart w:id="158" w:name="_Toc184314478"/>
      <w:bookmarkEnd w:id="158"/>
      <w:bookmarkStart w:id="159" w:name="_Toc184314432"/>
      <w:bookmarkEnd w:id="159"/>
      <w:bookmarkStart w:id="160" w:name="_Toc184308070"/>
      <w:bookmarkEnd w:id="160"/>
      <w:bookmarkStart w:id="161" w:name="_Toc184314410"/>
      <w:bookmarkEnd w:id="161"/>
      <w:bookmarkStart w:id="162" w:name="_Toc184310330"/>
      <w:bookmarkEnd w:id="162"/>
      <w:bookmarkStart w:id="163" w:name="_Toc184313251"/>
      <w:bookmarkEnd w:id="163"/>
      <w:bookmarkStart w:id="164" w:name="_Toc184314464"/>
      <w:bookmarkEnd w:id="164"/>
      <w:bookmarkStart w:id="165" w:name="_Toc184308100"/>
      <w:bookmarkEnd w:id="165"/>
      <w:bookmarkStart w:id="166" w:name="_Toc184314414"/>
      <w:bookmarkEnd w:id="166"/>
      <w:bookmarkStart w:id="167" w:name="_Toc184313255"/>
      <w:bookmarkEnd w:id="167"/>
      <w:bookmarkStart w:id="168" w:name="_Toc184308075"/>
      <w:bookmarkEnd w:id="168"/>
      <w:bookmarkStart w:id="169" w:name="_Toc184312130"/>
      <w:bookmarkEnd w:id="169"/>
      <w:bookmarkStart w:id="170" w:name="_Toc184310281"/>
      <w:bookmarkEnd w:id="170"/>
      <w:bookmarkStart w:id="171" w:name="_Toc184314463"/>
      <w:bookmarkEnd w:id="171"/>
      <w:bookmarkStart w:id="172" w:name="_Toc184314422"/>
      <w:bookmarkEnd w:id="172"/>
      <w:bookmarkStart w:id="173" w:name="_Toc184312087"/>
      <w:bookmarkEnd w:id="173"/>
      <w:bookmarkStart w:id="174" w:name="_Toc184312136"/>
      <w:bookmarkEnd w:id="174"/>
      <w:bookmarkStart w:id="175" w:name="_Toc184313264"/>
      <w:bookmarkEnd w:id="175"/>
      <w:bookmarkStart w:id="176" w:name="_Toc184313308"/>
      <w:bookmarkEnd w:id="176"/>
      <w:bookmarkStart w:id="177" w:name="_Toc184310339"/>
      <w:bookmarkEnd w:id="177"/>
      <w:bookmarkStart w:id="178" w:name="_Toc184313284"/>
      <w:bookmarkEnd w:id="178"/>
      <w:bookmarkStart w:id="179" w:name="_Toc184313286"/>
      <w:bookmarkEnd w:id="179"/>
      <w:bookmarkStart w:id="180" w:name="_Toc184310301"/>
      <w:bookmarkEnd w:id="180"/>
      <w:bookmarkStart w:id="181" w:name="_Toc184310300"/>
      <w:bookmarkEnd w:id="181"/>
      <w:bookmarkStart w:id="182" w:name="_Toc184308085"/>
      <w:bookmarkEnd w:id="182"/>
      <w:bookmarkStart w:id="183" w:name="_Toc184308078"/>
      <w:bookmarkEnd w:id="183"/>
      <w:bookmarkStart w:id="184" w:name="_Toc184314415"/>
      <w:bookmarkEnd w:id="184"/>
      <w:bookmarkStart w:id="185" w:name="_Toc184314453"/>
      <w:bookmarkEnd w:id="185"/>
      <w:bookmarkStart w:id="186" w:name="_Toc184313245"/>
      <w:bookmarkEnd w:id="186"/>
      <w:bookmarkStart w:id="187" w:name="_Toc184314471"/>
      <w:bookmarkEnd w:id="187"/>
      <w:bookmarkStart w:id="188" w:name="_Toc184313254"/>
      <w:bookmarkEnd w:id="188"/>
      <w:bookmarkStart w:id="189" w:name="_Toc184308063"/>
      <w:bookmarkEnd w:id="189"/>
      <w:bookmarkStart w:id="190" w:name="_Toc184314466"/>
      <w:bookmarkEnd w:id="190"/>
      <w:bookmarkStart w:id="191" w:name="_Toc184314461"/>
      <w:bookmarkEnd w:id="191"/>
      <w:bookmarkStart w:id="192" w:name="_Toc184312100"/>
      <w:bookmarkEnd w:id="192"/>
      <w:bookmarkStart w:id="193" w:name="_Toc184312067"/>
      <w:bookmarkEnd w:id="193"/>
      <w:bookmarkStart w:id="194" w:name="_Toc184308062"/>
      <w:bookmarkEnd w:id="194"/>
      <w:bookmarkStart w:id="195" w:name="_Toc184310280"/>
      <w:bookmarkEnd w:id="195"/>
      <w:bookmarkStart w:id="196" w:name="_Toc184310277"/>
      <w:bookmarkEnd w:id="196"/>
      <w:bookmarkStart w:id="197" w:name="_Toc184308082"/>
      <w:bookmarkEnd w:id="197"/>
      <w:bookmarkStart w:id="198" w:name="_Toc184313257"/>
      <w:bookmarkEnd w:id="198"/>
      <w:bookmarkStart w:id="199" w:name="_Toc184310288"/>
      <w:bookmarkEnd w:id="199"/>
      <w:bookmarkStart w:id="200" w:name="_Toc184314446"/>
      <w:bookmarkEnd w:id="200"/>
      <w:bookmarkStart w:id="201" w:name="_Toc184312115"/>
      <w:bookmarkEnd w:id="201"/>
      <w:bookmarkStart w:id="202" w:name="_Toc184314427"/>
      <w:bookmarkEnd w:id="202"/>
      <w:bookmarkStart w:id="203" w:name="_Toc184312078"/>
      <w:bookmarkEnd w:id="203"/>
      <w:bookmarkStart w:id="204" w:name="_Toc184314479"/>
      <w:bookmarkEnd w:id="204"/>
      <w:bookmarkStart w:id="205" w:name="_Toc184313303"/>
      <w:bookmarkEnd w:id="205"/>
      <w:bookmarkStart w:id="206" w:name="_Toc184314458"/>
      <w:bookmarkEnd w:id="206"/>
      <w:bookmarkStart w:id="207" w:name="_Toc184308108"/>
      <w:bookmarkEnd w:id="207"/>
      <w:bookmarkStart w:id="208" w:name="_Toc184313248"/>
      <w:bookmarkEnd w:id="208"/>
      <w:bookmarkStart w:id="209" w:name="_Toc184313250"/>
      <w:bookmarkEnd w:id="209"/>
      <w:bookmarkStart w:id="210" w:name="_Toc184314472"/>
      <w:bookmarkEnd w:id="210"/>
      <w:bookmarkStart w:id="211" w:name="_Toc184310308"/>
      <w:bookmarkEnd w:id="211"/>
      <w:bookmarkStart w:id="212" w:name="_Toc184314435"/>
      <w:bookmarkEnd w:id="212"/>
      <w:bookmarkStart w:id="213" w:name="_Toc184312108"/>
      <w:bookmarkEnd w:id="213"/>
      <w:bookmarkStart w:id="214" w:name="_Toc184308065"/>
      <w:bookmarkEnd w:id="214"/>
      <w:bookmarkStart w:id="215" w:name="_Toc184310290"/>
      <w:bookmarkEnd w:id="215"/>
      <w:bookmarkStart w:id="216" w:name="_Toc184312113"/>
      <w:bookmarkEnd w:id="216"/>
      <w:bookmarkStart w:id="217" w:name="_Toc184313273"/>
      <w:bookmarkEnd w:id="217"/>
      <w:bookmarkStart w:id="218" w:name="_Toc184313246"/>
      <w:bookmarkEnd w:id="218"/>
      <w:bookmarkStart w:id="219" w:name="_Toc184308087"/>
      <w:bookmarkEnd w:id="219"/>
      <w:bookmarkStart w:id="220" w:name="_Toc184313269"/>
      <w:bookmarkEnd w:id="220"/>
      <w:bookmarkStart w:id="221" w:name="_Toc184312109"/>
      <w:bookmarkEnd w:id="221"/>
      <w:bookmarkStart w:id="222" w:name="_Toc184308060"/>
      <w:bookmarkEnd w:id="222"/>
      <w:bookmarkStart w:id="223" w:name="_Toc184312083"/>
      <w:bookmarkEnd w:id="223"/>
      <w:bookmarkStart w:id="224" w:name="_Toc184312123"/>
      <w:bookmarkEnd w:id="224"/>
      <w:bookmarkStart w:id="225" w:name="_Toc184310283"/>
      <w:bookmarkEnd w:id="225"/>
      <w:bookmarkStart w:id="226" w:name="_Toc184310292"/>
      <w:bookmarkEnd w:id="226"/>
      <w:bookmarkStart w:id="227" w:name="_Toc184310340"/>
      <w:bookmarkEnd w:id="227"/>
      <w:bookmarkStart w:id="228" w:name="_Toc184313268"/>
      <w:bookmarkEnd w:id="228"/>
      <w:bookmarkStart w:id="229" w:name="_Toc184312121"/>
      <w:bookmarkEnd w:id="229"/>
      <w:bookmarkStart w:id="230" w:name="_Toc184313247"/>
      <w:bookmarkEnd w:id="230"/>
      <w:bookmarkStart w:id="231" w:name="_Toc184312081"/>
      <w:bookmarkEnd w:id="231"/>
      <w:bookmarkStart w:id="232" w:name="_Toc184313295"/>
      <w:bookmarkEnd w:id="232"/>
      <w:bookmarkStart w:id="233" w:name="_Toc184313280"/>
      <w:bookmarkEnd w:id="233"/>
      <w:bookmarkStart w:id="234" w:name="_Toc184313287"/>
      <w:bookmarkEnd w:id="234"/>
      <w:bookmarkStart w:id="235" w:name="_Toc184310315"/>
      <w:bookmarkEnd w:id="235"/>
      <w:bookmarkStart w:id="236" w:name="_Toc184314421"/>
      <w:bookmarkEnd w:id="236"/>
      <w:bookmarkStart w:id="237" w:name="_Toc184310295"/>
      <w:bookmarkEnd w:id="237"/>
      <w:bookmarkStart w:id="238" w:name="_Toc184308067"/>
      <w:bookmarkEnd w:id="238"/>
      <w:bookmarkStart w:id="239" w:name="_Toc184310310"/>
      <w:bookmarkEnd w:id="239"/>
      <w:bookmarkStart w:id="240" w:name="_Toc184314412"/>
      <w:bookmarkEnd w:id="240"/>
      <w:bookmarkStart w:id="241" w:name="_Toc184312075"/>
      <w:bookmarkEnd w:id="241"/>
      <w:bookmarkStart w:id="242" w:name="_Toc184313293"/>
      <w:bookmarkEnd w:id="242"/>
      <w:bookmarkStart w:id="243" w:name="_Toc184313309"/>
      <w:bookmarkEnd w:id="243"/>
      <w:bookmarkStart w:id="244" w:name="_Toc184308053"/>
      <w:bookmarkEnd w:id="244"/>
      <w:bookmarkStart w:id="245" w:name="_Toc184313244"/>
      <w:bookmarkEnd w:id="245"/>
      <w:bookmarkStart w:id="246" w:name="_Toc184312095"/>
      <w:bookmarkEnd w:id="246"/>
      <w:bookmarkStart w:id="247" w:name="_Toc184312127"/>
      <w:bookmarkEnd w:id="247"/>
      <w:bookmarkStart w:id="248" w:name="_Toc184312094"/>
      <w:bookmarkEnd w:id="248"/>
      <w:bookmarkStart w:id="249" w:name="_Toc184313249"/>
      <w:bookmarkEnd w:id="249"/>
      <w:bookmarkStart w:id="250" w:name="_Toc184312112"/>
      <w:bookmarkEnd w:id="250"/>
      <w:bookmarkStart w:id="251" w:name="_Toc184312096"/>
      <w:bookmarkEnd w:id="251"/>
      <w:bookmarkStart w:id="252" w:name="_Toc184314457"/>
      <w:bookmarkEnd w:id="252"/>
      <w:bookmarkStart w:id="253" w:name="_Toc184310299"/>
      <w:bookmarkEnd w:id="253"/>
      <w:bookmarkStart w:id="254" w:name="_Toc184312089"/>
      <w:bookmarkEnd w:id="254"/>
      <w:bookmarkStart w:id="255" w:name="_Toc184308080"/>
      <w:bookmarkEnd w:id="255"/>
      <w:bookmarkStart w:id="256" w:name="_Toc184314424"/>
      <w:bookmarkEnd w:id="256"/>
      <w:bookmarkStart w:id="257" w:name="_Toc184314452"/>
      <w:bookmarkEnd w:id="257"/>
      <w:bookmarkStart w:id="258" w:name="_Toc184310319"/>
      <w:bookmarkEnd w:id="258"/>
      <w:bookmarkStart w:id="259" w:name="_Toc184314429"/>
      <w:bookmarkEnd w:id="259"/>
      <w:bookmarkStart w:id="260" w:name="_Toc184314425"/>
      <w:bookmarkEnd w:id="260"/>
      <w:bookmarkStart w:id="261" w:name="_Toc184314434"/>
      <w:bookmarkEnd w:id="261"/>
      <w:bookmarkStart w:id="262" w:name="_Toc184308103"/>
      <w:bookmarkEnd w:id="262"/>
      <w:bookmarkStart w:id="263" w:name="_Toc184314474"/>
      <w:bookmarkEnd w:id="263"/>
      <w:bookmarkStart w:id="264" w:name="_Toc184308089"/>
      <w:bookmarkEnd w:id="264"/>
      <w:bookmarkStart w:id="265" w:name="_Toc184314416"/>
      <w:bookmarkEnd w:id="265"/>
      <w:bookmarkStart w:id="266" w:name="_Toc184313282"/>
      <w:bookmarkEnd w:id="266"/>
      <w:bookmarkStart w:id="267" w:name="_Toc184310332"/>
      <w:bookmarkEnd w:id="267"/>
      <w:bookmarkStart w:id="268" w:name="_Toc184310275"/>
      <w:bookmarkEnd w:id="268"/>
      <w:bookmarkStart w:id="269" w:name="_Toc184308072"/>
      <w:bookmarkEnd w:id="269"/>
      <w:bookmarkStart w:id="270" w:name="_Toc184313277"/>
      <w:bookmarkEnd w:id="270"/>
      <w:bookmarkStart w:id="271" w:name="_Toc184310286"/>
      <w:bookmarkEnd w:id="271"/>
      <w:bookmarkStart w:id="272" w:name="_Toc184308038"/>
      <w:bookmarkEnd w:id="272"/>
      <w:bookmarkStart w:id="273" w:name="_Toc184313274"/>
      <w:bookmarkEnd w:id="273"/>
      <w:bookmarkStart w:id="274" w:name="_Toc184314455"/>
      <w:bookmarkEnd w:id="274"/>
      <w:bookmarkStart w:id="275" w:name="_Toc184312104"/>
      <w:bookmarkEnd w:id="275"/>
      <w:bookmarkStart w:id="276" w:name="_Toc184308073"/>
      <w:bookmarkEnd w:id="276"/>
      <w:bookmarkStart w:id="277" w:name="_Toc184312074"/>
      <w:bookmarkEnd w:id="277"/>
      <w:bookmarkStart w:id="278" w:name="_Toc184313256"/>
      <w:bookmarkEnd w:id="278"/>
      <w:bookmarkStart w:id="279" w:name="_Toc184312092"/>
      <w:bookmarkEnd w:id="279"/>
      <w:bookmarkStart w:id="280" w:name="_Toc184314467"/>
      <w:bookmarkEnd w:id="280"/>
      <w:bookmarkStart w:id="281" w:name="_Toc184308083"/>
      <w:bookmarkEnd w:id="281"/>
      <w:bookmarkStart w:id="282" w:name="_Toc184314413"/>
      <w:bookmarkEnd w:id="282"/>
      <w:bookmarkStart w:id="283" w:name="_Toc184312114"/>
      <w:bookmarkEnd w:id="283"/>
      <w:bookmarkStart w:id="284" w:name="_Toc184312099"/>
      <w:bookmarkEnd w:id="284"/>
      <w:bookmarkStart w:id="285" w:name="_Toc184308090"/>
      <w:bookmarkEnd w:id="285"/>
      <w:bookmarkStart w:id="286" w:name="_Toc184312102"/>
      <w:bookmarkEnd w:id="286"/>
      <w:bookmarkStart w:id="287" w:name="_Toc184310336"/>
      <w:bookmarkEnd w:id="287"/>
      <w:bookmarkStart w:id="288" w:name="_Toc184310311"/>
      <w:bookmarkEnd w:id="288"/>
      <w:bookmarkStart w:id="289" w:name="_Toc184313276"/>
      <w:bookmarkEnd w:id="289"/>
      <w:bookmarkStart w:id="290" w:name="_Toc184314465"/>
      <w:bookmarkEnd w:id="290"/>
      <w:bookmarkStart w:id="291" w:name="_Toc184314441"/>
      <w:bookmarkEnd w:id="291"/>
      <w:bookmarkStart w:id="292" w:name="_Toc184312070"/>
      <w:bookmarkEnd w:id="292"/>
      <w:bookmarkStart w:id="293" w:name="_Toc184310325"/>
      <w:bookmarkEnd w:id="293"/>
      <w:bookmarkStart w:id="294" w:name="_Toc184314449"/>
      <w:bookmarkEnd w:id="294"/>
      <w:bookmarkStart w:id="295" w:name="_Toc184310326"/>
      <w:bookmarkEnd w:id="295"/>
      <w:bookmarkStart w:id="296" w:name="_Toc184308064"/>
      <w:bookmarkEnd w:id="296"/>
      <w:bookmarkStart w:id="297" w:name="_Toc184310331"/>
      <w:bookmarkEnd w:id="297"/>
      <w:bookmarkStart w:id="298" w:name="_Toc184313243"/>
      <w:bookmarkEnd w:id="298"/>
      <w:bookmarkStart w:id="299" w:name="_Toc184312118"/>
      <w:bookmarkEnd w:id="299"/>
      <w:bookmarkStart w:id="300" w:name="_Toc184310276"/>
      <w:bookmarkEnd w:id="300"/>
      <w:bookmarkStart w:id="301" w:name="_Toc184313290"/>
      <w:bookmarkEnd w:id="301"/>
      <w:bookmarkStart w:id="302" w:name="_Toc184308084"/>
      <w:bookmarkEnd w:id="302"/>
      <w:bookmarkStart w:id="303" w:name="_Toc184308074"/>
      <w:bookmarkEnd w:id="303"/>
      <w:bookmarkStart w:id="304" w:name="_Toc184313261"/>
      <w:bookmarkEnd w:id="304"/>
      <w:bookmarkStart w:id="305" w:name="_Toc184313259"/>
      <w:bookmarkEnd w:id="305"/>
      <w:bookmarkStart w:id="306" w:name="_Toc184308106"/>
      <w:bookmarkEnd w:id="306"/>
      <w:bookmarkStart w:id="307" w:name="_Toc184313279"/>
      <w:bookmarkEnd w:id="307"/>
      <w:bookmarkStart w:id="308" w:name="_Toc184310303"/>
      <w:bookmarkEnd w:id="308"/>
      <w:bookmarkStart w:id="309" w:name="_Toc184313281"/>
      <w:bookmarkEnd w:id="309"/>
      <w:bookmarkStart w:id="310" w:name="_Toc184308048"/>
      <w:bookmarkEnd w:id="310"/>
      <w:bookmarkStart w:id="311" w:name="_Toc184310328"/>
      <w:bookmarkEnd w:id="311"/>
      <w:bookmarkStart w:id="312" w:name="_Toc184308066"/>
      <w:bookmarkEnd w:id="312"/>
      <w:bookmarkStart w:id="313" w:name="_Toc184310329"/>
      <w:bookmarkEnd w:id="313"/>
      <w:bookmarkStart w:id="314" w:name="_Toc184308059"/>
      <w:bookmarkEnd w:id="314"/>
      <w:bookmarkStart w:id="315" w:name="_Toc184308043"/>
      <w:bookmarkEnd w:id="315"/>
      <w:bookmarkStart w:id="316" w:name="_Toc184310338"/>
      <w:bookmarkEnd w:id="316"/>
      <w:bookmarkStart w:id="317" w:name="_Toc184313299"/>
      <w:bookmarkEnd w:id="317"/>
      <w:bookmarkStart w:id="318" w:name="_Toc184313240"/>
      <w:bookmarkEnd w:id="318"/>
      <w:bookmarkStart w:id="319" w:name="_Toc184314438"/>
      <w:bookmarkEnd w:id="319"/>
      <w:bookmarkStart w:id="320" w:name="_Toc184313242"/>
      <w:bookmarkEnd w:id="320"/>
      <w:bookmarkStart w:id="321" w:name="_Toc184308093"/>
      <w:bookmarkEnd w:id="321"/>
      <w:bookmarkStart w:id="322" w:name="_Toc184314454"/>
      <w:bookmarkEnd w:id="322"/>
      <w:bookmarkStart w:id="323" w:name="_Toc184312137"/>
      <w:bookmarkEnd w:id="323"/>
      <w:bookmarkStart w:id="324" w:name="_Toc184310291"/>
      <w:bookmarkEnd w:id="324"/>
      <w:bookmarkStart w:id="325" w:name="_Toc184312111"/>
      <w:bookmarkEnd w:id="325"/>
      <w:bookmarkStart w:id="326" w:name="_Toc184310294"/>
      <w:bookmarkEnd w:id="326"/>
      <w:bookmarkStart w:id="327" w:name="_Toc184310297"/>
      <w:bookmarkEnd w:id="327"/>
      <w:bookmarkStart w:id="328" w:name="_Toc184313272"/>
      <w:bookmarkEnd w:id="328"/>
      <w:bookmarkStart w:id="329" w:name="_Toc184312101"/>
      <w:bookmarkEnd w:id="329"/>
      <w:bookmarkStart w:id="330" w:name="_Toc184312133"/>
      <w:bookmarkEnd w:id="330"/>
      <w:bookmarkStart w:id="331" w:name="_Toc184314436"/>
      <w:bookmarkEnd w:id="331"/>
      <w:bookmarkStart w:id="332" w:name="_Toc184310313"/>
      <w:bookmarkEnd w:id="332"/>
      <w:bookmarkStart w:id="333" w:name="_Toc184314482"/>
      <w:bookmarkEnd w:id="333"/>
      <w:bookmarkStart w:id="334" w:name="_Toc184313258"/>
      <w:bookmarkEnd w:id="334"/>
      <w:bookmarkStart w:id="335" w:name="_Toc184312106"/>
      <w:bookmarkEnd w:id="335"/>
      <w:bookmarkStart w:id="336" w:name="_Toc184312072"/>
      <w:bookmarkEnd w:id="336"/>
      <w:bookmarkStart w:id="337" w:name="_Toc184314477"/>
      <w:bookmarkEnd w:id="337"/>
      <w:bookmarkStart w:id="338" w:name="_Toc184310334"/>
      <w:bookmarkEnd w:id="338"/>
      <w:bookmarkStart w:id="339" w:name="_Toc184308079"/>
      <w:bookmarkEnd w:id="339"/>
      <w:bookmarkStart w:id="340" w:name="_Toc184314444"/>
      <w:bookmarkEnd w:id="340"/>
      <w:bookmarkStart w:id="341" w:name="_Toc184314442"/>
      <w:bookmarkEnd w:id="341"/>
      <w:bookmarkStart w:id="342" w:name="_Toc184312082"/>
      <w:bookmarkEnd w:id="342"/>
      <w:bookmarkStart w:id="343" w:name="_Toc184308105"/>
      <w:bookmarkEnd w:id="343"/>
      <w:bookmarkStart w:id="344" w:name="_Toc184310314"/>
      <w:bookmarkEnd w:id="344"/>
      <w:bookmarkStart w:id="345" w:name="_Toc184312125"/>
      <w:bookmarkEnd w:id="345"/>
      <w:bookmarkStart w:id="346" w:name="_Toc184312139"/>
      <w:bookmarkEnd w:id="346"/>
      <w:bookmarkStart w:id="347" w:name="_Toc184308045"/>
      <w:bookmarkEnd w:id="347"/>
      <w:bookmarkStart w:id="348" w:name="_Toc184314447"/>
      <w:bookmarkEnd w:id="348"/>
      <w:bookmarkStart w:id="349" w:name="_Toc184312103"/>
      <w:bookmarkEnd w:id="349"/>
      <w:bookmarkStart w:id="350" w:name="_Toc184313252"/>
      <w:bookmarkEnd w:id="350"/>
      <w:bookmarkStart w:id="351" w:name="_Toc184308098"/>
      <w:bookmarkEnd w:id="351"/>
      <w:bookmarkStart w:id="352" w:name="_Toc184313304"/>
      <w:bookmarkEnd w:id="352"/>
      <w:bookmarkStart w:id="353" w:name="_Toc184312124"/>
      <w:bookmarkEnd w:id="353"/>
      <w:bookmarkStart w:id="354" w:name="_Toc184308076"/>
      <w:bookmarkEnd w:id="354"/>
      <w:bookmarkStart w:id="355" w:name="_Toc184312077"/>
      <w:bookmarkEnd w:id="355"/>
      <w:bookmarkStart w:id="356" w:name="_Toc184313278"/>
      <w:bookmarkEnd w:id="356"/>
      <w:bookmarkStart w:id="357" w:name="_Toc184313267"/>
      <w:bookmarkEnd w:id="357"/>
      <w:bookmarkStart w:id="358" w:name="_Toc184313285"/>
      <w:bookmarkEnd w:id="358"/>
      <w:bookmarkStart w:id="359" w:name="_Toc184314430"/>
      <w:bookmarkEnd w:id="359"/>
      <w:bookmarkStart w:id="360" w:name="_Toc184313300"/>
      <w:bookmarkEnd w:id="360"/>
      <w:bookmarkStart w:id="361" w:name="_Toc184308068"/>
      <w:bookmarkEnd w:id="361"/>
      <w:bookmarkStart w:id="362" w:name="_Toc184310342"/>
      <w:bookmarkEnd w:id="362"/>
      <w:bookmarkStart w:id="363" w:name="_Toc184310274"/>
      <w:bookmarkEnd w:id="363"/>
      <w:bookmarkStart w:id="364" w:name="_Toc184314456"/>
      <w:bookmarkEnd w:id="364"/>
      <w:bookmarkStart w:id="365" w:name="_Toc184312129"/>
      <w:bookmarkEnd w:id="365"/>
      <w:bookmarkStart w:id="366" w:name="_Toc184308041"/>
      <w:bookmarkEnd w:id="366"/>
      <w:bookmarkStart w:id="367" w:name="_Toc184310305"/>
      <w:bookmarkEnd w:id="367"/>
      <w:bookmarkStart w:id="368" w:name="_Toc184314469"/>
      <w:bookmarkEnd w:id="368"/>
      <w:bookmarkStart w:id="369" w:name="_Toc184312138"/>
      <w:bookmarkEnd w:id="369"/>
      <w:bookmarkStart w:id="370" w:name="_Toc184308051"/>
      <w:bookmarkEnd w:id="370"/>
      <w:bookmarkStart w:id="371" w:name="_Toc184314476"/>
      <w:bookmarkEnd w:id="371"/>
      <w:bookmarkStart w:id="372" w:name="_Toc184313260"/>
      <w:bookmarkEnd w:id="372"/>
      <w:bookmarkStart w:id="373" w:name="_Toc184312117"/>
      <w:bookmarkEnd w:id="373"/>
      <w:bookmarkStart w:id="374" w:name="_Toc184314418"/>
      <w:bookmarkEnd w:id="374"/>
      <w:bookmarkStart w:id="375" w:name="_Toc184308057"/>
      <w:bookmarkEnd w:id="375"/>
      <w:bookmarkStart w:id="376" w:name="_Toc184313310"/>
      <w:bookmarkEnd w:id="376"/>
      <w:bookmarkStart w:id="377" w:name="_Toc184312068"/>
      <w:bookmarkEnd w:id="377"/>
      <w:bookmarkStart w:id="378" w:name="_Toc184312080"/>
      <w:bookmarkEnd w:id="378"/>
      <w:bookmarkStart w:id="379" w:name="_Toc184310335"/>
      <w:bookmarkEnd w:id="379"/>
      <w:bookmarkStart w:id="380" w:name="_Toc184314440"/>
      <w:bookmarkEnd w:id="380"/>
      <w:bookmarkStart w:id="381" w:name="_Toc184310323"/>
      <w:bookmarkEnd w:id="381"/>
      <w:bookmarkStart w:id="382" w:name="_Toc184308097"/>
      <w:bookmarkEnd w:id="382"/>
      <w:bookmarkStart w:id="383" w:name="_Toc184313266"/>
      <w:bookmarkEnd w:id="383"/>
      <w:bookmarkStart w:id="384" w:name="_Toc184313298"/>
      <w:bookmarkEnd w:id="384"/>
      <w:bookmarkStart w:id="385" w:name="_Toc184310322"/>
      <w:bookmarkEnd w:id="385"/>
      <w:bookmarkStart w:id="386" w:name="_Toc184314450"/>
      <w:bookmarkEnd w:id="386"/>
      <w:bookmarkStart w:id="387" w:name="_Toc184308104"/>
      <w:bookmarkEnd w:id="387"/>
      <w:bookmarkStart w:id="388" w:name="_Toc184308050"/>
      <w:bookmarkEnd w:id="388"/>
      <w:bookmarkStart w:id="389" w:name="_Toc184313292"/>
      <w:bookmarkEnd w:id="389"/>
      <w:bookmarkStart w:id="390" w:name="_Toc184314428"/>
      <w:bookmarkEnd w:id="390"/>
      <w:bookmarkStart w:id="391" w:name="_Toc184308046"/>
      <w:bookmarkEnd w:id="391"/>
      <w:bookmarkStart w:id="392" w:name="_Toc184310344"/>
      <w:bookmarkEnd w:id="392"/>
      <w:bookmarkStart w:id="393" w:name="_Toc184308052"/>
      <w:bookmarkEnd w:id="393"/>
      <w:bookmarkStart w:id="394" w:name="_Toc184313253"/>
      <w:bookmarkEnd w:id="394"/>
      <w:bookmarkStart w:id="395" w:name="_Toc184314468"/>
      <w:bookmarkEnd w:id="395"/>
      <w:bookmarkStart w:id="396" w:name="_Toc184312088"/>
      <w:bookmarkEnd w:id="396"/>
      <w:bookmarkStart w:id="397" w:name="_Toc184308037"/>
      <w:bookmarkEnd w:id="397"/>
      <w:r>
        <w:rPr>
          <w:rFonts w:hint="eastAsia" w:ascii="宋体" w:hAnsi="宋体" w:cs="宋体"/>
          <w:b/>
          <w:color w:val="auto"/>
          <w:sz w:val="36"/>
          <w:szCs w:val="36"/>
          <w:highlight w:val="none"/>
        </w:rPr>
        <w:t>评标办法</w:t>
      </w:r>
      <w:bookmarkEnd w:id="32"/>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资格审查表</w:t>
      </w:r>
    </w:p>
    <w:tbl>
      <w:tblPr>
        <w:tblStyle w:val="73"/>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（1）如供应商是企业（包括合伙企业），提供在工商部门注册的有效“企业法人营业执照”或“营业执照”；</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（2）如供应商是事业单位，提供有效的“事业单位法人证书”；</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（3）如供应商是非企业专业服务机构的，提供执业许可证等证明文件；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（4）如供应商是个体工商户，提供有效的“个体工商户营业执照”；</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（5）如供应商是自然人，提供有效的自然人身份证明。</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承接服务供应商为中小企业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特定资格</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1.提供工程设计综合甲级资质或工程设计建筑甲级资质证书复印件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2.提供</w:t>
            </w:r>
            <w:r>
              <w:rPr>
                <w:color w:val="auto"/>
                <w:highlight w:val="none"/>
              </w:rPr>
              <w:fldChar w:fldCharType="begin"/>
            </w:r>
            <w:r>
              <w:rPr>
                <w:color w:val="auto"/>
                <w:highlight w:val="none"/>
              </w:rPr>
              <w:instrText xml:space="preserve"> HYPERLINK "https://wenda.so.com/q/1661008858218512" \t "https://www.so.com/_blank" </w:instrText>
            </w:r>
            <w:r>
              <w:rPr>
                <w:color w:val="auto"/>
                <w:highlight w:val="none"/>
              </w:rPr>
              <w:fldChar w:fldCharType="separate"/>
            </w:r>
            <w:r>
              <w:rPr>
                <w:rFonts w:ascii="宋体" w:hAnsi="宋体" w:cs="宋体"/>
                <w:color w:val="auto"/>
                <w:sz w:val="24"/>
                <w:highlight w:val="none"/>
              </w:rPr>
              <w:t>工程勘察甲级资质</w:t>
            </w:r>
            <w:r>
              <w:rPr>
                <w:rFonts w:ascii="宋体" w:hAnsi="宋体" w:cs="宋体"/>
                <w:color w:val="auto"/>
                <w:sz w:val="24"/>
                <w:highlight w:val="none"/>
              </w:rPr>
              <w:fldChar w:fldCharType="end"/>
            </w:r>
            <w:r>
              <w:rPr>
                <w:rFonts w:hint="eastAsia" w:ascii="宋体" w:hAnsi="宋体" w:cs="宋体"/>
                <w:color w:val="auto"/>
                <w:sz w:val="24"/>
                <w:highlight w:val="none"/>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spacing w:line="360" w:lineRule="auto"/>
        <w:ind w:firstLine="422"/>
        <w:rPr>
          <w:rFonts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1、上述资格证明文件未按采购文件要求附入响应文件中的，资格性审查不合格。</w:t>
      </w:r>
    </w:p>
    <w:p>
      <w:pPr>
        <w:spacing w:line="360" w:lineRule="auto"/>
        <w:ind w:firstLine="422"/>
        <w:rPr>
          <w:rFonts w:ascii="宋体" w:hAnsi="宋体" w:cs="宋体"/>
          <w:b/>
          <w:bCs/>
          <w:color w:val="auto"/>
          <w:sz w:val="24"/>
          <w:highlight w:val="none"/>
        </w:rPr>
      </w:pPr>
      <w:r>
        <w:rPr>
          <w:rFonts w:hint="eastAsia" w:ascii="宋体" w:hAnsi="宋体" w:cs="宋体"/>
          <w:b/>
          <w:bCs/>
          <w:color w:val="auto"/>
          <w:sz w:val="24"/>
          <w:highlight w:val="none"/>
        </w:rPr>
        <w:t>2、上述审查项目中，任意一项不符合的，资格性审查不合格。</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符合性审查表(可放弃关联)</w:t>
      </w:r>
    </w:p>
    <w:tbl>
      <w:tblPr>
        <w:tblStyle w:val="73"/>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45"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审查项目</w:t>
            </w:r>
          </w:p>
        </w:tc>
        <w:tc>
          <w:tcPr>
            <w:tcW w:w="615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响应文件的签署盖章</w:t>
            </w:r>
          </w:p>
        </w:tc>
        <w:tc>
          <w:tcPr>
            <w:tcW w:w="615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实质性条款响应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法定代表人授权书</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无效响应条款响应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按有关法律、法规、规章不属于响应无效的。</w:t>
            </w:r>
          </w:p>
        </w:tc>
      </w:tr>
    </w:tbl>
    <w:p>
      <w:pPr>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pPr>
        <w:spacing w:line="400" w:lineRule="exact"/>
        <w:ind w:firstLine="422"/>
        <w:jc w:val="center"/>
        <w:rPr>
          <w:rFonts w:cs="宋体"/>
          <w:b/>
          <w:color w:val="auto"/>
          <w:szCs w:val="21"/>
          <w:highlight w:val="none"/>
        </w:rPr>
      </w:pPr>
      <w:r>
        <w:rPr>
          <w:rFonts w:hint="eastAsia" w:cs="宋体"/>
          <w:b/>
          <w:color w:val="auto"/>
          <w:szCs w:val="21"/>
          <w:highlight w:val="none"/>
        </w:rPr>
        <w:t>评分表</w:t>
      </w:r>
    </w:p>
    <w:tbl>
      <w:tblPr>
        <w:tblStyle w:val="7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8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评分项目</w:t>
            </w:r>
          </w:p>
        </w:tc>
        <w:tc>
          <w:tcPr>
            <w:tcW w:w="8493" w:type="dxa"/>
            <w:gridSpan w:val="2"/>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83"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投标报价（20分）</w:t>
            </w: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价格分</w:t>
            </w:r>
          </w:p>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（20分）</w:t>
            </w:r>
          </w:p>
        </w:tc>
        <w:tc>
          <w:tcPr>
            <w:tcW w:w="6804"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评标基准价=满足招标文件要求的参与评审价格中的最低价；</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评标基准价得分为满分。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参与评审价格=投标报价</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投标报价得分=（评标基准价/参与评审价格）×</w:t>
            </w:r>
            <w:r>
              <w:rPr>
                <w:rFonts w:hint="eastAsia" w:ascii="宋体" w:hAnsi="宋体" w:cs="宋体"/>
                <w:bCs/>
                <w:color w:val="auto"/>
                <w:sz w:val="24"/>
                <w:highlight w:val="none"/>
              </w:rPr>
              <w:t>2</w:t>
            </w:r>
            <w:r>
              <w:rPr>
                <w:rFonts w:hint="eastAsia" w:ascii="宋体" w:hAnsi="宋体" w:cs="宋体"/>
                <w:bCs/>
                <w:color w:val="auto"/>
                <w:sz w:val="24"/>
                <w:highlight w:val="none"/>
                <w:lang w:val="zh-CN"/>
              </w:rPr>
              <w:t>0分</w:t>
            </w:r>
          </w:p>
          <w:p>
            <w:pPr>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83" w:type="dxa"/>
            <w:vMerge w:val="restart"/>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商务技术（80分）</w:t>
            </w: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体系认证（6分）</w:t>
            </w:r>
          </w:p>
        </w:tc>
        <w:tc>
          <w:tcPr>
            <w:tcW w:w="6804" w:type="dxa"/>
            <w:vAlign w:val="center"/>
          </w:tcPr>
          <w:p>
            <w:pPr>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rPr>
              <w:t>【客观分】投标人</w:t>
            </w:r>
            <w:r>
              <w:rPr>
                <w:rFonts w:hint="eastAsia" w:ascii="宋体" w:hAnsi="宋体" w:cs="宋体"/>
                <w:color w:val="auto"/>
                <w:sz w:val="24"/>
                <w:highlight w:val="none"/>
                <w:lang w:eastAsia="zh-CN"/>
              </w:rPr>
              <w:t>（或联合体牵头人）</w:t>
            </w:r>
            <w:r>
              <w:rPr>
                <w:rFonts w:hint="eastAsia" w:ascii="宋体" w:hAnsi="宋体" w:cs="宋体"/>
                <w:color w:val="auto"/>
                <w:sz w:val="24"/>
                <w:highlight w:val="none"/>
              </w:rPr>
              <w:t>具有有效的质量管理体系认证、环境管理体系认证证书、职业健康管理体系认证证书的，每个得2分，最多得6分。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689" w:type="dxa"/>
            <w:vAlign w:val="center"/>
          </w:tcPr>
          <w:p>
            <w:pPr>
              <w:spacing w:line="360" w:lineRule="auto"/>
              <w:ind w:right="-21" w:rightChars="-10"/>
              <w:jc w:val="center"/>
              <w:rPr>
                <w:rFonts w:hint="eastAsia" w:ascii="宋体" w:hAnsi="宋体" w:cs="宋体"/>
                <w:b/>
                <w:color w:val="auto"/>
                <w:sz w:val="24"/>
                <w:highlight w:val="none"/>
              </w:rPr>
            </w:pPr>
            <w:r>
              <w:rPr>
                <w:rFonts w:hint="eastAsia" w:ascii="宋体" w:hAnsi="宋体" w:cs="宋体"/>
                <w:b/>
                <w:color w:val="auto"/>
                <w:sz w:val="24"/>
                <w:highlight w:val="none"/>
              </w:rPr>
              <w:t>类似业绩</w:t>
            </w:r>
          </w:p>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分）</w:t>
            </w:r>
          </w:p>
        </w:tc>
        <w:tc>
          <w:tcPr>
            <w:tcW w:w="6804" w:type="dxa"/>
            <w:vAlign w:val="center"/>
          </w:tcPr>
          <w:p>
            <w:pPr>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rPr>
              <w:t>【客观分】投标人（或联合体牵头人）自2021年1月1日至投标截止时间（以合同签订时间为准），具有同类项目业绩的，每提供1个证明材料得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分。业绩证明材料：合同协议书。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服务整体方案（</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分）</w:t>
            </w:r>
          </w:p>
        </w:tc>
        <w:tc>
          <w:tcPr>
            <w:tcW w:w="6804" w:type="dxa"/>
            <w:vAlign w:val="center"/>
          </w:tcPr>
          <w:p>
            <w:pPr>
              <w:spacing w:line="360" w:lineRule="auto"/>
              <w:rPr>
                <w:rFonts w:ascii="宋体" w:hAnsi="宋体" w:cs="宋体"/>
                <w:color w:val="auto"/>
                <w:sz w:val="24"/>
                <w:highlight w:val="none"/>
              </w:rPr>
            </w:pPr>
            <w:r>
              <w:rPr>
                <w:rFonts w:hint="eastAsia" w:ascii="宋体" w:hAnsi="宋体" w:cs="宋体"/>
                <w:b/>
                <w:bCs/>
                <w:color w:val="auto"/>
                <w:sz w:val="24"/>
                <w:highlight w:val="none"/>
              </w:rPr>
              <w:t>[主观分]</w:t>
            </w:r>
            <w:r>
              <w:rPr>
                <w:rFonts w:hint="eastAsia" w:ascii="宋体" w:hAnsi="宋体" w:cs="宋体"/>
                <w:color w:val="auto"/>
                <w:sz w:val="24"/>
                <w:highlight w:val="none"/>
              </w:rPr>
              <w:t>服务整体方案：全面、专业、针对采购需求及实际特点、有利于采购标的实现及合同履约得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分，相对全面但采购需求及实际特点针对性不足、不影响采购标的实现及合同履约得</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分，与采购标的实现及合同履约相关但有不足或落地执行性差或阐述不清晰得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设计重点分析（5分）</w:t>
            </w:r>
          </w:p>
        </w:tc>
        <w:tc>
          <w:tcPr>
            <w:tcW w:w="6804" w:type="dxa"/>
            <w:vAlign w:val="center"/>
          </w:tcPr>
          <w:p>
            <w:pPr>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设计重点分析：全面、专业、充分、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设计难点分析（5分）</w:t>
            </w:r>
          </w:p>
        </w:tc>
        <w:tc>
          <w:tcPr>
            <w:tcW w:w="6804" w:type="dxa"/>
            <w:vAlign w:val="center"/>
          </w:tcPr>
          <w:p>
            <w:pPr>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设计难点分析：全面、专业、充分、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设计过程控制方案（5分）</w:t>
            </w:r>
          </w:p>
        </w:tc>
        <w:tc>
          <w:tcPr>
            <w:tcW w:w="6804" w:type="dxa"/>
            <w:vAlign w:val="center"/>
          </w:tcPr>
          <w:p>
            <w:pPr>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设计过程控制方案：全面、专业、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各类经济技术指标及估算（5分）</w:t>
            </w:r>
          </w:p>
        </w:tc>
        <w:tc>
          <w:tcPr>
            <w:tcW w:w="6804" w:type="dxa"/>
            <w:vAlign w:val="center"/>
          </w:tcPr>
          <w:p>
            <w:pPr>
              <w:snapToGrid w:val="0"/>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各类经济技术指标及估算：专业、规范、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设计质量控制措施（5分）</w:t>
            </w:r>
          </w:p>
        </w:tc>
        <w:tc>
          <w:tcPr>
            <w:tcW w:w="6804" w:type="dxa"/>
            <w:vAlign w:val="center"/>
          </w:tcPr>
          <w:p>
            <w:pPr>
              <w:snapToGrid w:val="0"/>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设计质量控制措施：专业、合理、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设计进度控制措施（5分）</w:t>
            </w:r>
          </w:p>
        </w:tc>
        <w:tc>
          <w:tcPr>
            <w:tcW w:w="6804" w:type="dxa"/>
            <w:vAlign w:val="center"/>
          </w:tcPr>
          <w:p>
            <w:pPr>
              <w:snapToGrid w:val="0"/>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设计进度控制措施：专业、合理、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突发情况防范及应急预案（5分）</w:t>
            </w:r>
          </w:p>
        </w:tc>
        <w:tc>
          <w:tcPr>
            <w:tcW w:w="6804" w:type="dxa"/>
            <w:vAlign w:val="center"/>
          </w:tcPr>
          <w:p>
            <w:pPr>
              <w:snapToGrid w:val="0"/>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突发情况防范及应急预案：全面、专业、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服从采购人协调和统一管理及配合措施、特殊服务承诺（5分）</w:t>
            </w:r>
          </w:p>
        </w:tc>
        <w:tc>
          <w:tcPr>
            <w:tcW w:w="6804" w:type="dxa"/>
            <w:vAlign w:val="center"/>
          </w:tcPr>
          <w:p>
            <w:pPr>
              <w:spacing w:line="360" w:lineRule="auto"/>
              <w:jc w:val="left"/>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服从采购人协调和统一管理及配合措施、特殊服务承诺：全面、专业、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服务响应时间（5分）</w:t>
            </w:r>
          </w:p>
        </w:tc>
        <w:tc>
          <w:tcPr>
            <w:tcW w:w="6804" w:type="dxa"/>
            <w:vAlign w:val="center"/>
          </w:tcPr>
          <w:p>
            <w:pPr>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服务响应时间：全面、及时、针对采购需求及实际特点、有利于采购标的实现及合同履约得5分，相对全面但采购需求及实际特点针对性不足、不影响采购标的实现及合同履约得3.5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tcPr>
          <w:p>
            <w:pPr>
              <w:widowControl/>
              <w:spacing w:line="360" w:lineRule="auto"/>
              <w:rPr>
                <w:rFonts w:ascii="宋体" w:hAnsi="宋体" w:cs="宋体"/>
                <w:color w:val="auto"/>
                <w:sz w:val="24"/>
                <w:highlight w:val="none"/>
              </w:rPr>
            </w:pPr>
          </w:p>
        </w:tc>
        <w:tc>
          <w:tcPr>
            <w:tcW w:w="168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合理化建议和改进措施（</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分）</w:t>
            </w:r>
          </w:p>
        </w:tc>
        <w:tc>
          <w:tcPr>
            <w:tcW w:w="6804" w:type="dxa"/>
            <w:vAlign w:val="center"/>
          </w:tcPr>
          <w:p>
            <w:pPr>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[主观分]</w:t>
            </w:r>
            <w:r>
              <w:rPr>
                <w:rFonts w:hint="eastAsia" w:ascii="宋体" w:hAnsi="宋体" w:cs="宋体"/>
                <w:color w:val="auto"/>
                <w:sz w:val="24"/>
                <w:highlight w:val="none"/>
              </w:rPr>
              <w:t>合理化建议和改进措施：全面、专业、针对采购需求及实际特点、有利于采购标的实现及合同履约得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分，相对全面但采购需求及实际特点针对性不足、不影响采购标的实现及合同履约得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分，与采购标的实现及合同履约相关但有不足或落地执行性差或阐述不清晰得2分，未提供相关内容得0分。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tcPr>
          <w:p>
            <w:pPr>
              <w:widowControl/>
              <w:spacing w:line="360" w:lineRule="auto"/>
              <w:rPr>
                <w:rFonts w:ascii="宋体" w:hAnsi="宋体" w:cs="宋体"/>
                <w:color w:val="auto"/>
                <w:sz w:val="24"/>
                <w:highlight w:val="none"/>
              </w:rPr>
            </w:pPr>
          </w:p>
        </w:tc>
        <w:tc>
          <w:tcPr>
            <w:tcW w:w="1689" w:type="dxa"/>
            <w:vMerge w:val="restart"/>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团队人员（12分）</w:t>
            </w:r>
          </w:p>
        </w:tc>
        <w:tc>
          <w:tcPr>
            <w:tcW w:w="6804" w:type="dxa"/>
            <w:vAlign w:val="center"/>
          </w:tcPr>
          <w:p>
            <w:pPr>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[客观分]</w:t>
            </w:r>
            <w:r>
              <w:rPr>
                <w:rFonts w:hint="eastAsia" w:ascii="宋体" w:hAnsi="宋体" w:cs="宋体"/>
                <w:color w:val="auto"/>
                <w:sz w:val="24"/>
                <w:highlight w:val="none"/>
              </w:rPr>
              <w:t>设计负责人具有</w:t>
            </w:r>
            <w:r>
              <w:rPr>
                <w:rFonts w:hint="eastAsia" w:ascii="宋体" w:hAnsi="宋体" w:cs="宋体"/>
                <w:bCs/>
                <w:color w:val="auto"/>
                <w:sz w:val="24"/>
                <w:highlight w:val="none"/>
              </w:rPr>
              <w:t>正高级工程师（建筑专业）职称得2分，具有高级工程师（建筑专业）职称得1分；</w:t>
            </w:r>
            <w:r>
              <w:rPr>
                <w:rFonts w:hint="eastAsia" w:ascii="宋体" w:hAnsi="宋体" w:cs="宋体"/>
                <w:color w:val="auto"/>
                <w:sz w:val="24"/>
                <w:highlight w:val="none"/>
              </w:rPr>
              <w:t>具有一级注册建筑师执业资格得2分，</w:t>
            </w:r>
            <w:r>
              <w:rPr>
                <w:rFonts w:hint="eastAsia" w:ascii="宋体" w:hAnsi="宋体" w:eastAsia="宋体" w:cs="宋体"/>
                <w:bCs/>
                <w:color w:val="auto"/>
                <w:sz w:val="24"/>
                <w:highlight w:val="none"/>
              </w:rPr>
              <w:t>最高得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分。</w:t>
            </w:r>
            <w:r>
              <w:rPr>
                <w:rFonts w:hint="eastAsia" w:ascii="宋体" w:hAnsi="宋体" w:cs="宋体"/>
                <w:color w:val="auto"/>
                <w:sz w:val="24"/>
                <w:highlight w:val="none"/>
              </w:rPr>
              <w:t>提供证书复印件，否则不得分。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tcPr>
          <w:p>
            <w:pPr>
              <w:widowControl/>
              <w:spacing w:line="360" w:lineRule="auto"/>
              <w:rPr>
                <w:rFonts w:ascii="宋体" w:hAnsi="宋体" w:cs="宋体"/>
                <w:color w:val="auto"/>
                <w:sz w:val="24"/>
                <w:highlight w:val="none"/>
              </w:rPr>
            </w:pPr>
          </w:p>
        </w:tc>
        <w:tc>
          <w:tcPr>
            <w:tcW w:w="1689" w:type="dxa"/>
            <w:vMerge w:val="continue"/>
            <w:vAlign w:val="center"/>
          </w:tcPr>
          <w:p>
            <w:pPr>
              <w:spacing w:line="360" w:lineRule="auto"/>
              <w:ind w:right="-21" w:rightChars="-10"/>
              <w:jc w:val="center"/>
              <w:rPr>
                <w:rFonts w:ascii="宋体" w:hAnsi="宋体" w:cs="宋体"/>
                <w:b/>
                <w:color w:val="auto"/>
                <w:sz w:val="24"/>
                <w:highlight w:val="none"/>
              </w:rPr>
            </w:pPr>
          </w:p>
        </w:tc>
        <w:tc>
          <w:tcPr>
            <w:tcW w:w="6804" w:type="dxa"/>
            <w:vAlign w:val="center"/>
          </w:tcPr>
          <w:p>
            <w:pPr>
              <w:spacing w:line="360" w:lineRule="auto"/>
              <w:rPr>
                <w:rFonts w:ascii="宋体" w:hAnsi="宋体" w:cs="宋体"/>
                <w:bCs/>
                <w:color w:val="auto"/>
                <w:sz w:val="24"/>
                <w:highlight w:val="none"/>
                <w:lang w:val="zh-CN"/>
              </w:rPr>
            </w:pPr>
            <w:r>
              <w:rPr>
                <w:rFonts w:hint="eastAsia" w:ascii="宋体" w:hAnsi="宋体" w:cs="宋体"/>
                <w:b/>
                <w:bCs/>
                <w:color w:val="auto"/>
                <w:sz w:val="24"/>
                <w:highlight w:val="none"/>
              </w:rPr>
              <w:t>[客观分]</w:t>
            </w:r>
            <w:r>
              <w:rPr>
                <w:rFonts w:hint="eastAsia" w:ascii="宋体" w:hAnsi="宋体" w:cs="宋体"/>
                <w:color w:val="auto"/>
                <w:sz w:val="24"/>
                <w:highlight w:val="none"/>
              </w:rPr>
              <w:t>设计负责人具有自202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年1月1日承担过项目设计业绩，每提供一个得0.5分，最多得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分。证明资料：提供用户证明或设计合同复印件，证明资料中需体现设计负责人名字与本项目负责人名字一致，否则不得分。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1283" w:type="dxa"/>
            <w:vMerge w:val="continue"/>
          </w:tcPr>
          <w:p>
            <w:pPr>
              <w:widowControl/>
              <w:spacing w:line="360" w:lineRule="auto"/>
              <w:rPr>
                <w:rFonts w:ascii="宋体" w:hAnsi="宋体" w:cs="宋体"/>
                <w:color w:val="auto"/>
                <w:sz w:val="24"/>
                <w:highlight w:val="none"/>
              </w:rPr>
            </w:pPr>
          </w:p>
        </w:tc>
        <w:tc>
          <w:tcPr>
            <w:tcW w:w="1689" w:type="dxa"/>
            <w:vMerge w:val="continue"/>
          </w:tcPr>
          <w:p>
            <w:pPr>
              <w:spacing w:line="360" w:lineRule="auto"/>
              <w:ind w:right="-21" w:rightChars="-10"/>
              <w:jc w:val="center"/>
              <w:rPr>
                <w:rFonts w:ascii="宋体" w:hAnsi="宋体" w:cs="宋体"/>
                <w:b/>
                <w:color w:val="auto"/>
                <w:sz w:val="24"/>
                <w:highlight w:val="none"/>
              </w:rPr>
            </w:pPr>
          </w:p>
        </w:tc>
        <w:tc>
          <w:tcPr>
            <w:tcW w:w="6804" w:type="dxa"/>
            <w:vAlign w:val="center"/>
          </w:tcPr>
          <w:p>
            <w:pPr>
              <w:spacing w:line="360" w:lineRule="auto"/>
              <w:jc w:val="left"/>
              <w:rPr>
                <w:rFonts w:ascii="宋体" w:hAnsi="宋体" w:cs="宋体"/>
                <w:bCs/>
                <w:color w:val="auto"/>
                <w:sz w:val="24"/>
                <w:szCs w:val="24"/>
                <w:highlight w:val="none"/>
              </w:rPr>
            </w:pPr>
            <w:r>
              <w:rPr>
                <w:rFonts w:hint="eastAsia" w:ascii="宋体" w:hAnsi="宋体" w:cs="宋体"/>
                <w:b/>
                <w:bCs/>
                <w:color w:val="auto"/>
                <w:sz w:val="24"/>
                <w:szCs w:val="24"/>
                <w:highlight w:val="none"/>
              </w:rPr>
              <w:t>[客观分]</w:t>
            </w:r>
            <w:r>
              <w:rPr>
                <w:rFonts w:hint="eastAsia" w:ascii="宋体" w:hAnsi="宋体" w:cs="宋体"/>
                <w:bCs/>
                <w:color w:val="auto"/>
                <w:sz w:val="24"/>
                <w:szCs w:val="24"/>
                <w:highlight w:val="none"/>
              </w:rPr>
              <w:t>拟派设计团队（除设计负责人外）各专业负责人具有国家注册资格证书的，每个专业得1分，最多</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分。</w:t>
            </w:r>
          </w:p>
          <w:p>
            <w:pPr>
              <w:pStyle w:val="42"/>
              <w:spacing w:after="0" w:line="360" w:lineRule="auto"/>
              <w:ind w:left="0" w:leftChars="0" w:firstLine="0" w:firstLineChars="0"/>
              <w:rPr>
                <w:rFonts w:cs="宋体"/>
                <w:bCs/>
                <w:color w:val="auto"/>
                <w:sz w:val="24"/>
                <w:szCs w:val="24"/>
                <w:highlight w:val="none"/>
              </w:rPr>
            </w:pPr>
            <w:r>
              <w:rPr>
                <w:rFonts w:hint="eastAsia" w:cs="宋体"/>
                <w:bCs/>
                <w:color w:val="auto"/>
                <w:sz w:val="24"/>
                <w:szCs w:val="24"/>
                <w:highlight w:val="none"/>
              </w:rPr>
              <w:t>注：1.需提供证书复印件及近三个月任一个月的社保证明，否则不得分。</w:t>
            </w:r>
          </w:p>
          <w:p>
            <w:pPr>
              <w:pStyle w:val="42"/>
              <w:spacing w:after="0" w:line="360" w:lineRule="auto"/>
              <w:ind w:left="0" w:leftChars="0" w:firstLine="0" w:firstLineChars="0"/>
              <w:rPr>
                <w:rFonts w:cs="宋体"/>
                <w:bCs/>
                <w:color w:val="auto"/>
                <w:sz w:val="24"/>
                <w:szCs w:val="24"/>
                <w:highlight w:val="none"/>
              </w:rPr>
            </w:pPr>
            <w:r>
              <w:rPr>
                <w:rFonts w:hint="eastAsia" w:cs="宋体"/>
                <w:bCs/>
                <w:color w:val="auto"/>
                <w:sz w:val="24"/>
                <w:szCs w:val="24"/>
                <w:highlight w:val="none"/>
              </w:rPr>
              <w:t>2.同一个专业多人具有证书或同一个人有多本证书不重复得分。</w:t>
            </w:r>
          </w:p>
          <w:p>
            <w:pPr>
              <w:pStyle w:val="42"/>
              <w:spacing w:after="0" w:line="360" w:lineRule="auto"/>
              <w:ind w:left="0" w:leftChars="0" w:firstLine="0" w:firstLineChars="0"/>
              <w:rPr>
                <w:rFonts w:cs="宋体"/>
                <w:bCs/>
                <w:color w:val="auto"/>
                <w:sz w:val="24"/>
                <w:szCs w:val="24"/>
                <w:highlight w:val="none"/>
                <w:lang w:val="zh-CN"/>
              </w:rPr>
            </w:pPr>
            <w:r>
              <w:rPr>
                <w:rFonts w:hint="eastAsia" w:cs="宋体"/>
                <w:bCs/>
                <w:color w:val="auto"/>
                <w:sz w:val="24"/>
                <w:szCs w:val="24"/>
                <w:highlight w:val="none"/>
              </w:rPr>
              <w:t>3.需提供证书复印件或扫描打印件，否则不得分。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283" w:type="dxa"/>
            <w:vMerge w:val="continue"/>
          </w:tcPr>
          <w:p>
            <w:pPr>
              <w:pStyle w:val="42"/>
              <w:spacing w:after="0" w:line="360" w:lineRule="auto"/>
              <w:ind w:left="0" w:leftChars="0" w:firstLine="0" w:firstLineChars="0"/>
              <w:rPr>
                <w:color w:val="auto"/>
                <w:highlight w:val="none"/>
              </w:rPr>
            </w:pPr>
          </w:p>
        </w:tc>
        <w:tc>
          <w:tcPr>
            <w:tcW w:w="1689" w:type="dxa"/>
            <w:vMerge w:val="continue"/>
          </w:tcPr>
          <w:p>
            <w:pPr>
              <w:pStyle w:val="42"/>
              <w:spacing w:after="0" w:line="360" w:lineRule="auto"/>
              <w:ind w:left="0" w:leftChars="0" w:firstLine="0" w:firstLineChars="0"/>
              <w:rPr>
                <w:color w:val="auto"/>
                <w:highlight w:val="none"/>
              </w:rPr>
            </w:pPr>
          </w:p>
        </w:tc>
        <w:tc>
          <w:tcPr>
            <w:tcW w:w="6804" w:type="dxa"/>
            <w:vAlign w:val="center"/>
          </w:tcPr>
          <w:p>
            <w:pPr>
              <w:pStyle w:val="42"/>
              <w:spacing w:after="0" w:line="360" w:lineRule="auto"/>
              <w:ind w:left="0" w:leftChars="0" w:firstLine="0" w:firstLineChars="0"/>
              <w:rPr>
                <w:rFonts w:hint="eastAsia" w:eastAsia="宋体" w:cs="宋体"/>
                <w:bCs/>
                <w:color w:val="auto"/>
                <w:sz w:val="24"/>
                <w:szCs w:val="24"/>
                <w:highlight w:val="none"/>
                <w:lang w:val="en-US" w:eastAsia="zh-CN"/>
              </w:rPr>
            </w:pPr>
            <w:r>
              <w:rPr>
                <w:rFonts w:hint="eastAsia" w:ascii="宋体" w:hAnsi="宋体" w:cs="宋体"/>
                <w:b/>
                <w:bCs/>
                <w:color w:val="auto"/>
                <w:sz w:val="24"/>
                <w:szCs w:val="24"/>
                <w:highlight w:val="none"/>
              </w:rPr>
              <w:t>[</w:t>
            </w:r>
            <w:r>
              <w:rPr>
                <w:rFonts w:hint="eastAsia" w:cs="宋体"/>
                <w:b/>
                <w:bCs/>
                <w:color w:val="auto"/>
                <w:sz w:val="24"/>
                <w:szCs w:val="24"/>
                <w:highlight w:val="none"/>
                <w:lang w:eastAsia="zh-CN"/>
              </w:rPr>
              <w:t>主</w:t>
            </w:r>
            <w:r>
              <w:rPr>
                <w:rFonts w:hint="eastAsia" w:ascii="宋体" w:hAnsi="宋体" w:cs="宋体"/>
                <w:b/>
                <w:bCs/>
                <w:color w:val="auto"/>
                <w:sz w:val="24"/>
                <w:szCs w:val="24"/>
                <w:highlight w:val="none"/>
              </w:rPr>
              <w:t>观分]</w:t>
            </w:r>
            <w:r>
              <w:rPr>
                <w:rFonts w:hint="eastAsia"/>
                <w:color w:val="auto"/>
                <w:sz w:val="24"/>
                <w:szCs w:val="24"/>
                <w:highlight w:val="none"/>
              </w:rPr>
              <w:t>拟任项目负责人及其工程设计班子的权利和责任明确的得</w:t>
            </w:r>
            <w:r>
              <w:rPr>
                <w:rFonts w:hint="eastAsia"/>
                <w:color w:val="auto"/>
                <w:sz w:val="24"/>
                <w:szCs w:val="24"/>
                <w:highlight w:val="none"/>
                <w:lang w:val="en-US" w:eastAsia="zh-CN"/>
              </w:rPr>
              <w:t>4</w:t>
            </w:r>
            <w:r>
              <w:rPr>
                <w:rFonts w:hint="eastAsia"/>
                <w:color w:val="auto"/>
                <w:sz w:val="24"/>
                <w:szCs w:val="24"/>
                <w:highlight w:val="none"/>
              </w:rPr>
              <w:t>分，基本明确的得</w:t>
            </w:r>
            <w:r>
              <w:rPr>
                <w:rFonts w:hint="eastAsia"/>
                <w:color w:val="auto"/>
                <w:sz w:val="24"/>
                <w:szCs w:val="24"/>
                <w:highlight w:val="none"/>
                <w:lang w:val="en-US" w:eastAsia="zh-CN"/>
              </w:rPr>
              <w:t>2</w:t>
            </w:r>
            <w:r>
              <w:rPr>
                <w:rFonts w:hint="eastAsia"/>
                <w:color w:val="auto"/>
                <w:sz w:val="24"/>
                <w:szCs w:val="24"/>
                <w:highlight w:val="none"/>
              </w:rPr>
              <w:t>分；一般的得1分</w:t>
            </w:r>
            <w:r>
              <w:rPr>
                <w:rFonts w:hint="eastAsia"/>
                <w:color w:val="auto"/>
                <w:sz w:val="24"/>
                <w:szCs w:val="24"/>
                <w:highlight w:val="none"/>
                <w:lang w:val="en-US" w:eastAsia="zh-CN"/>
              </w:rPr>
              <w:t>。</w:t>
            </w:r>
          </w:p>
        </w:tc>
      </w:tr>
    </w:tbl>
    <w:p>
      <w:pPr>
        <w:pStyle w:val="61"/>
        <w:jc w:val="left"/>
        <w:rPr>
          <w:color w:val="auto"/>
          <w:highlight w:val="none"/>
          <w:lang w:val="en-US"/>
        </w:rPr>
      </w:pPr>
      <w:r>
        <w:rPr>
          <w:rFonts w:hint="eastAsia" w:ascii="宋体" w:hAnsi="宋体" w:cs="宋体"/>
          <w:color w:val="auto"/>
          <w:sz w:val="20"/>
          <w:highlight w:val="none"/>
          <w:shd w:val="clear" w:color="auto" w:fill="FFFFFF"/>
        </w:rPr>
        <w:t> *</w:t>
      </w:r>
      <w:r>
        <w:rPr>
          <w:rFonts w:hint="eastAsia" w:ascii="宋体" w:hAnsi="宋体" w:cs="宋体"/>
          <w:color w:val="auto"/>
          <w:highlight w:val="none"/>
        </w:rPr>
        <w:t>备注：投标人编制投标文件（商务技术文件部分）时，建议按此目录（序号和内容）提供评标标准相应的商务技术资料。</w:t>
      </w:r>
    </w:p>
    <w:p>
      <w:pPr>
        <w:rPr>
          <w:color w:val="auto"/>
          <w:highlight w:val="none"/>
        </w:rPr>
      </w:pPr>
    </w:p>
    <w:p>
      <w:pPr>
        <w:pStyle w:val="61"/>
        <w:rPr>
          <w:color w:val="auto"/>
          <w:highlight w:val="none"/>
          <w:lang w:val="en-US"/>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24"/>
          <w:highlight w:val="none"/>
        </w:rPr>
      </w:pPr>
      <w:bookmarkStart w:id="398" w:name="_Toc12759"/>
      <w:r>
        <w:rPr>
          <w:rFonts w:hint="eastAsia" w:ascii="宋体" w:hAnsi="宋体" w:cs="宋体"/>
          <w:b/>
          <w:color w:val="auto"/>
          <w:sz w:val="24"/>
          <w:highlight w:val="none"/>
        </w:rPr>
        <w:t>三、评标程序</w:t>
      </w:r>
      <w:bookmarkEnd w:id="398"/>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4.2.8报价明显低于其他通过符合性审查投标人的报价，有可能影响服务质量或者不能诚信履约的，未能按要求提供书面说明或者提交相关证明材料，不能证明其报价合理性的;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9" w:name="第五部分"/>
      <w:bookmarkStart w:id="400" w:name="_Toc86217003"/>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bookmarkStart w:id="401" w:name="_Toc8900"/>
      <w:r>
        <w:rPr>
          <w:rFonts w:hint="eastAsia" w:ascii="宋体" w:hAnsi="宋体" w:cs="宋体"/>
          <w:b/>
          <w:color w:val="auto"/>
          <w:sz w:val="36"/>
          <w:szCs w:val="36"/>
          <w:highlight w:val="none"/>
        </w:rPr>
        <w:t>第五部分拟签订的合同文本</w:t>
      </w:r>
      <w:bookmarkEnd w:id="401"/>
    </w:p>
    <w:p>
      <w:pPr>
        <w:ind w:firstLine="7140" w:firstLineChars="3400"/>
        <w:rPr>
          <w:rFonts w:cs="宋体"/>
          <w:color w:val="auto"/>
          <w:szCs w:val="21"/>
          <w:highlight w:val="none"/>
        </w:rPr>
      </w:pPr>
      <w:r>
        <w:rPr>
          <w:rFonts w:hint="eastAsia" w:cs="宋体"/>
          <w:color w:val="auto"/>
          <w:szCs w:val="21"/>
          <w:highlight w:val="none"/>
        </w:rPr>
        <w:t>项目编号：</w:t>
      </w:r>
    </w:p>
    <w:p>
      <w:pPr>
        <w:pStyle w:val="26"/>
        <w:spacing w:line="360" w:lineRule="auto"/>
        <w:rPr>
          <w:rFonts w:cs="宋体"/>
          <w:color w:val="auto"/>
          <w:highlight w:val="none"/>
        </w:rPr>
      </w:pPr>
      <w:r>
        <w:rPr>
          <w:rFonts w:hint="eastAsia" w:cs="宋体"/>
          <w:color w:val="auto"/>
          <w:highlight w:val="none"/>
        </w:rPr>
        <w:t>甲方（需方）：</w:t>
      </w:r>
    </w:p>
    <w:p>
      <w:pPr>
        <w:pStyle w:val="26"/>
        <w:spacing w:line="360" w:lineRule="auto"/>
        <w:rPr>
          <w:rFonts w:cs="宋体"/>
          <w:color w:val="auto"/>
          <w:highlight w:val="none"/>
        </w:rPr>
      </w:pPr>
      <w:r>
        <w:rPr>
          <w:rFonts w:hint="eastAsia" w:cs="宋体"/>
          <w:color w:val="auto"/>
          <w:highlight w:val="none"/>
        </w:rPr>
        <w:t>乙方（供方）：</w:t>
      </w:r>
    </w:p>
    <w:p>
      <w:pPr>
        <w:pStyle w:val="26"/>
        <w:spacing w:line="360" w:lineRule="auto"/>
        <w:rPr>
          <w:rFonts w:cs="宋体"/>
          <w:color w:val="auto"/>
          <w:highlight w:val="none"/>
        </w:rPr>
      </w:pPr>
      <w:r>
        <w:rPr>
          <w:rFonts w:hint="eastAsia" w:cs="宋体"/>
          <w:color w:val="auto"/>
          <w:highlight w:val="none"/>
        </w:rPr>
        <w:t>签约时间、地点：2024年   月   日，浙江工商职业技术学院***项目，经过公开招标，确定                为中标人。经协商双方就本采购事项达成以下条款：</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第一条：合同文件的组成</w:t>
      </w:r>
    </w:p>
    <w:p>
      <w:pPr>
        <w:pStyle w:val="26"/>
        <w:spacing w:line="360" w:lineRule="auto"/>
        <w:rPr>
          <w:rFonts w:cs="宋体"/>
          <w:color w:val="auto"/>
          <w:highlight w:val="none"/>
        </w:rPr>
      </w:pPr>
      <w:r>
        <w:rPr>
          <w:rFonts w:hint="eastAsia" w:cs="宋体"/>
          <w:color w:val="auto"/>
          <w:highlight w:val="none"/>
        </w:rPr>
        <w:t>双方的各种协议、中标通知书、招标文件、投标文件、技术澄清及询标答复的所有内容是构成合同不可分割的部分，与本合同具有同等法律效力，当文件有相矛盾之处，以时间后者为准。</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第二条：合同履行时间、履行地点和合同金额</w:t>
      </w:r>
    </w:p>
    <w:p>
      <w:pPr>
        <w:pStyle w:val="26"/>
        <w:spacing w:line="360" w:lineRule="auto"/>
        <w:rPr>
          <w:rFonts w:cs="宋体"/>
          <w:color w:val="auto"/>
          <w:highlight w:val="none"/>
        </w:rPr>
      </w:pPr>
      <w:r>
        <w:rPr>
          <w:rFonts w:hint="eastAsia" w:cs="宋体"/>
          <w:color w:val="auto"/>
          <w:highlight w:val="none"/>
        </w:rPr>
        <w:t>1.服务时间：                ；</w:t>
      </w:r>
    </w:p>
    <w:p>
      <w:pPr>
        <w:pStyle w:val="26"/>
        <w:spacing w:line="360" w:lineRule="auto"/>
        <w:rPr>
          <w:rFonts w:cs="宋体"/>
          <w:color w:val="auto"/>
          <w:highlight w:val="none"/>
        </w:rPr>
      </w:pPr>
      <w:r>
        <w:rPr>
          <w:rFonts w:hint="eastAsia" w:cs="宋体"/>
          <w:color w:val="auto"/>
          <w:highlight w:val="none"/>
        </w:rPr>
        <w:t>2.服务地点：甲方指定地点；</w:t>
      </w:r>
    </w:p>
    <w:p>
      <w:pPr>
        <w:pStyle w:val="26"/>
        <w:spacing w:line="360" w:lineRule="auto"/>
        <w:rPr>
          <w:rFonts w:cs="宋体"/>
          <w:color w:val="auto"/>
          <w:highlight w:val="none"/>
        </w:rPr>
      </w:pPr>
      <w:r>
        <w:rPr>
          <w:rFonts w:hint="eastAsia" w:cs="宋体"/>
          <w:color w:val="auto"/>
          <w:highlight w:val="none"/>
        </w:rPr>
        <w:t>3.合同金额：               。</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第三条：服务范围和内容</w:t>
      </w:r>
    </w:p>
    <w:p>
      <w:pPr>
        <w:pStyle w:val="34"/>
        <w:snapToGrid w:val="0"/>
        <w:spacing w:line="360" w:lineRule="auto"/>
        <w:ind w:firstLine="482"/>
        <w:rPr>
          <w:rFonts w:hAnsi="宋体" w:cs="宋体"/>
          <w:b/>
          <w:color w:val="auto"/>
          <w:highlight w:val="none"/>
        </w:rPr>
      </w:pPr>
    </w:p>
    <w:p>
      <w:pPr>
        <w:pStyle w:val="34"/>
        <w:snapToGrid w:val="0"/>
        <w:spacing w:line="360" w:lineRule="auto"/>
        <w:ind w:firstLine="482"/>
        <w:rPr>
          <w:rFonts w:hAnsi="宋体" w:cs="宋体"/>
          <w:b/>
          <w:color w:val="auto"/>
          <w:highlight w:val="none"/>
        </w:rPr>
      </w:pPr>
      <w:r>
        <w:rPr>
          <w:rFonts w:hint="eastAsia" w:hAnsi="宋体" w:cs="宋体"/>
          <w:b/>
          <w:color w:val="auto"/>
          <w:highlight w:val="none"/>
        </w:rPr>
        <w:t>第四条：服务准则</w:t>
      </w:r>
    </w:p>
    <w:p>
      <w:pPr>
        <w:pStyle w:val="26"/>
        <w:spacing w:line="360" w:lineRule="auto"/>
        <w:rPr>
          <w:rFonts w:cs="宋体"/>
          <w:color w:val="auto"/>
          <w:highlight w:val="none"/>
        </w:rPr>
      </w:pPr>
      <w:r>
        <w:rPr>
          <w:rFonts w:hint="eastAsia" w:cs="宋体"/>
          <w:color w:val="auto"/>
          <w:highlight w:val="none"/>
        </w:rPr>
        <w:t>1、遵照国家相关法律法规，以“守法、诚信、公正、科学”的准则执业，维护建设方与承建方的合法权益。具体应做到：</w:t>
      </w:r>
    </w:p>
    <w:p>
      <w:pPr>
        <w:pStyle w:val="26"/>
        <w:spacing w:line="360" w:lineRule="auto"/>
        <w:rPr>
          <w:rFonts w:cs="宋体"/>
          <w:color w:val="auto"/>
          <w:highlight w:val="none"/>
        </w:rPr>
      </w:pPr>
      <w:r>
        <w:rPr>
          <w:rFonts w:hint="eastAsia" w:cs="宋体"/>
          <w:color w:val="auto"/>
          <w:highlight w:val="none"/>
        </w:rPr>
        <w:t>2、执行有关项目建设的法律、法规、规范、标准和制度，履行合同规定的义务和职责。</w:t>
      </w:r>
    </w:p>
    <w:p>
      <w:pPr>
        <w:pStyle w:val="26"/>
        <w:spacing w:line="360" w:lineRule="auto"/>
        <w:rPr>
          <w:rFonts w:cs="宋体"/>
          <w:color w:val="auto"/>
          <w:highlight w:val="none"/>
        </w:rPr>
      </w:pPr>
      <w:r>
        <w:rPr>
          <w:rFonts w:hint="eastAsia" w:cs="宋体"/>
          <w:color w:val="auto"/>
          <w:highlight w:val="none"/>
        </w:rPr>
        <w:t>3、不收受被服务对象的任何礼金。</w:t>
      </w:r>
    </w:p>
    <w:p>
      <w:pPr>
        <w:pStyle w:val="26"/>
        <w:spacing w:line="360" w:lineRule="auto"/>
        <w:rPr>
          <w:rFonts w:cs="宋体"/>
          <w:color w:val="auto"/>
          <w:highlight w:val="none"/>
        </w:rPr>
      </w:pPr>
      <w:r>
        <w:rPr>
          <w:rFonts w:hint="eastAsia" w:cs="宋体"/>
          <w:color w:val="auto"/>
          <w:highlight w:val="none"/>
        </w:rPr>
        <w:t>4、不泄漏所服务项目各方认为需要保密的事项。</w:t>
      </w:r>
    </w:p>
    <w:p>
      <w:pPr>
        <w:pStyle w:val="26"/>
        <w:spacing w:line="360" w:lineRule="auto"/>
        <w:rPr>
          <w:rFonts w:cs="宋体"/>
          <w:color w:val="auto"/>
          <w:highlight w:val="none"/>
        </w:rPr>
      </w:pPr>
      <w:r>
        <w:rPr>
          <w:rFonts w:hint="eastAsia" w:cs="宋体"/>
          <w:color w:val="auto"/>
          <w:highlight w:val="none"/>
        </w:rPr>
        <w:t>5、遵守国家的法律和政府的有关条例、规定和办法等。</w:t>
      </w:r>
    </w:p>
    <w:p>
      <w:pPr>
        <w:pStyle w:val="26"/>
        <w:spacing w:line="360" w:lineRule="auto"/>
        <w:rPr>
          <w:rFonts w:cs="宋体"/>
          <w:color w:val="auto"/>
          <w:highlight w:val="none"/>
        </w:rPr>
      </w:pPr>
      <w:r>
        <w:rPr>
          <w:rFonts w:hint="eastAsia" w:cs="宋体"/>
          <w:color w:val="auto"/>
          <w:highlight w:val="none"/>
        </w:rPr>
        <w:t>6、坚持公正的立场，独立、公正地处理有关各方的争议。</w:t>
      </w:r>
    </w:p>
    <w:p>
      <w:pPr>
        <w:pStyle w:val="26"/>
        <w:spacing w:line="360" w:lineRule="auto"/>
        <w:rPr>
          <w:rFonts w:cs="宋体"/>
          <w:color w:val="auto"/>
          <w:highlight w:val="none"/>
        </w:rPr>
      </w:pPr>
      <w:r>
        <w:rPr>
          <w:rFonts w:hint="eastAsia" w:cs="宋体"/>
          <w:color w:val="auto"/>
          <w:highlight w:val="none"/>
        </w:rPr>
        <w:t>7、坚持科学的态度和实事求是的原则。</w:t>
      </w:r>
    </w:p>
    <w:p>
      <w:pPr>
        <w:pStyle w:val="26"/>
        <w:spacing w:line="360" w:lineRule="auto"/>
        <w:rPr>
          <w:rFonts w:cs="宋体"/>
          <w:color w:val="auto"/>
          <w:highlight w:val="none"/>
        </w:rPr>
      </w:pPr>
      <w:r>
        <w:rPr>
          <w:rFonts w:hint="eastAsia" w:cs="宋体"/>
          <w:color w:val="auto"/>
          <w:highlight w:val="none"/>
        </w:rPr>
        <w:t>8、在坚持按合同的规定向甲方提供技术服务的同时，帮助被服务者完成起担负的建设任务。</w:t>
      </w:r>
    </w:p>
    <w:p>
      <w:pPr>
        <w:pStyle w:val="26"/>
        <w:spacing w:line="360" w:lineRule="auto"/>
        <w:rPr>
          <w:rFonts w:cs="宋体"/>
          <w:color w:val="auto"/>
          <w:highlight w:val="none"/>
        </w:rPr>
      </w:pPr>
      <w:r>
        <w:rPr>
          <w:rFonts w:hint="eastAsia" w:cs="宋体"/>
          <w:color w:val="auto"/>
          <w:highlight w:val="none"/>
        </w:rPr>
        <w:t>9、不泄漏所服务的项目需保密的事项。</w:t>
      </w:r>
    </w:p>
    <w:p>
      <w:pPr>
        <w:pStyle w:val="26"/>
        <w:spacing w:line="360" w:lineRule="auto"/>
        <w:rPr>
          <w:rFonts w:cs="宋体"/>
          <w:color w:val="auto"/>
          <w:highlight w:val="none"/>
        </w:rPr>
      </w:pPr>
      <w:r>
        <w:rPr>
          <w:rFonts w:hint="eastAsia" w:cs="宋体"/>
          <w:color w:val="auto"/>
          <w:highlight w:val="none"/>
        </w:rPr>
        <w:t>10、经查实服务单位及服务人员与被服务单位发生非正常经济往来及其他徇私舞弊情况，甲方有权要求更换服务人员或更换全体服务项目班子，情况严重的，业主方有权终止合同。</w:t>
      </w:r>
    </w:p>
    <w:p>
      <w:pPr>
        <w:ind w:firstLine="422"/>
        <w:rPr>
          <w:rFonts w:cs="宋体"/>
          <w:bCs/>
          <w:color w:val="auto"/>
          <w:szCs w:val="21"/>
          <w:highlight w:val="none"/>
        </w:rPr>
      </w:pPr>
      <w:r>
        <w:rPr>
          <w:rFonts w:hint="eastAsia" w:cs="宋体"/>
          <w:b/>
          <w:color w:val="auto"/>
          <w:szCs w:val="21"/>
          <w:highlight w:val="none"/>
        </w:rPr>
        <w:t>第五条：</w:t>
      </w:r>
      <w:r>
        <w:rPr>
          <w:rFonts w:hint="eastAsia" w:cs="宋体"/>
          <w:b/>
          <w:bCs/>
          <w:color w:val="auto"/>
          <w:szCs w:val="21"/>
          <w:highlight w:val="none"/>
        </w:rPr>
        <w:t>服务保密约定</w:t>
      </w:r>
    </w:p>
    <w:p>
      <w:pPr>
        <w:pStyle w:val="26"/>
        <w:spacing w:line="360" w:lineRule="auto"/>
        <w:rPr>
          <w:rFonts w:cs="宋体"/>
          <w:color w:val="auto"/>
          <w:highlight w:val="none"/>
        </w:rPr>
      </w:pPr>
      <w:r>
        <w:rPr>
          <w:rFonts w:hint="eastAsia" w:cs="宋体"/>
          <w:color w:val="auto"/>
          <w:highlight w:val="none"/>
        </w:rPr>
        <w:t>1、在项目实施过程中，严格遵守国家相关保密与安全法律法规，遵循甲方各项安全保密制度和规章；</w:t>
      </w:r>
    </w:p>
    <w:p>
      <w:pPr>
        <w:pStyle w:val="26"/>
        <w:spacing w:line="360" w:lineRule="auto"/>
        <w:rPr>
          <w:rFonts w:cs="宋体"/>
          <w:color w:val="auto"/>
          <w:highlight w:val="none"/>
        </w:rPr>
      </w:pPr>
      <w:r>
        <w:rPr>
          <w:rFonts w:hint="eastAsia" w:cs="宋体"/>
          <w:color w:val="auto"/>
          <w:highlight w:val="none"/>
        </w:rPr>
        <w:t>2、要求乙方服务工作人员对工作中涉及到的甲方的数据、文件等任何资料进行保密。因服务工作人员的行为造成泄密等问题由乙方承担相应的责任。</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第六条：转包或分包</w:t>
      </w:r>
    </w:p>
    <w:p>
      <w:pPr>
        <w:pStyle w:val="26"/>
        <w:spacing w:line="360" w:lineRule="auto"/>
        <w:rPr>
          <w:rFonts w:cs="宋体"/>
          <w:color w:val="auto"/>
          <w:highlight w:val="none"/>
        </w:rPr>
      </w:pPr>
      <w:r>
        <w:rPr>
          <w:rFonts w:hint="eastAsia" w:cs="宋体"/>
          <w:color w:val="auto"/>
          <w:highlight w:val="none"/>
        </w:rPr>
        <w:t>1.本合同范围的服务，应由乙方直接提供，不得转让他人提供；</w:t>
      </w:r>
    </w:p>
    <w:p>
      <w:pPr>
        <w:pStyle w:val="26"/>
        <w:spacing w:line="360" w:lineRule="auto"/>
        <w:rPr>
          <w:rFonts w:cs="宋体"/>
          <w:color w:val="auto"/>
          <w:highlight w:val="none"/>
        </w:rPr>
      </w:pPr>
      <w:r>
        <w:rPr>
          <w:rFonts w:hint="eastAsia" w:cs="宋体"/>
          <w:color w:val="auto"/>
          <w:highlight w:val="none"/>
        </w:rPr>
        <w:t>2.乙方不得将本合同范围的服务全部或部分分包给他人提供；</w:t>
      </w:r>
    </w:p>
    <w:p>
      <w:pPr>
        <w:pStyle w:val="26"/>
        <w:spacing w:line="360" w:lineRule="auto"/>
        <w:rPr>
          <w:rFonts w:cs="宋体"/>
          <w:color w:val="auto"/>
          <w:highlight w:val="none"/>
        </w:rPr>
      </w:pPr>
      <w:r>
        <w:rPr>
          <w:rFonts w:hint="eastAsia" w:cs="宋体"/>
          <w:color w:val="auto"/>
          <w:highlight w:val="none"/>
        </w:rPr>
        <w:t>3.如有转让行为，甲方有权解除合同，没收履约保证金并追究乙方的违约责任。</w:t>
      </w:r>
    </w:p>
    <w:p>
      <w:pPr>
        <w:pStyle w:val="34"/>
        <w:snapToGrid w:val="0"/>
        <w:spacing w:line="360" w:lineRule="auto"/>
        <w:ind w:firstLine="422" w:firstLineChars="200"/>
        <w:rPr>
          <w:rFonts w:hAnsi="宋体" w:cs="宋体"/>
          <w:color w:val="auto"/>
          <w:highlight w:val="none"/>
        </w:rPr>
      </w:pPr>
      <w:r>
        <w:rPr>
          <w:rFonts w:hint="eastAsia" w:hAnsi="宋体" w:cs="宋体"/>
          <w:b/>
          <w:color w:val="auto"/>
          <w:highlight w:val="none"/>
        </w:rPr>
        <w:t>第七条：履约保证金</w:t>
      </w:r>
    </w:p>
    <w:p>
      <w:pPr>
        <w:pStyle w:val="34"/>
        <w:snapToGrid w:val="0"/>
        <w:spacing w:line="360" w:lineRule="auto"/>
        <w:ind w:firstLine="422" w:firstLineChars="200"/>
        <w:rPr>
          <w:rFonts w:hAnsi="宋体" w:cs="宋体"/>
          <w:b/>
          <w:color w:val="auto"/>
          <w:highlight w:val="none"/>
        </w:rPr>
      </w:pP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第八条：款项支付</w:t>
      </w:r>
    </w:p>
    <w:p>
      <w:pPr>
        <w:pStyle w:val="34"/>
        <w:snapToGrid w:val="0"/>
        <w:spacing w:line="360" w:lineRule="auto"/>
        <w:ind w:firstLine="422" w:firstLineChars="200"/>
        <w:rPr>
          <w:rFonts w:hAnsi="宋体" w:cs="宋体"/>
          <w:b/>
          <w:color w:val="auto"/>
          <w:highlight w:val="none"/>
        </w:rPr>
      </w:pP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第九条：违约责任</w:t>
      </w:r>
    </w:p>
    <w:p>
      <w:pPr>
        <w:pStyle w:val="26"/>
        <w:spacing w:line="360" w:lineRule="auto"/>
        <w:rPr>
          <w:rFonts w:cs="宋体"/>
          <w:color w:val="auto"/>
          <w:highlight w:val="none"/>
        </w:rPr>
      </w:pPr>
      <w:r>
        <w:rPr>
          <w:rFonts w:hint="eastAsia" w:cs="宋体"/>
          <w:color w:val="auto"/>
          <w:highlight w:val="none"/>
        </w:rPr>
        <w:t>1.甲方无正当理由拒绝接受服务的，甲方应向乙方支付合同总价款百分之五的违约金。</w:t>
      </w:r>
    </w:p>
    <w:p>
      <w:pPr>
        <w:pStyle w:val="26"/>
        <w:spacing w:line="360" w:lineRule="auto"/>
        <w:rPr>
          <w:rFonts w:cs="宋体"/>
          <w:color w:val="auto"/>
          <w:highlight w:val="none"/>
        </w:rPr>
      </w:pPr>
      <w:r>
        <w:rPr>
          <w:rFonts w:hint="eastAsia" w:cs="宋体"/>
          <w:color w:val="auto"/>
          <w:highlight w:val="none"/>
        </w:rPr>
        <w:t>2.甲方无故逾期付款的，应按逾期付款金额的万分之五每日支付违约金。</w:t>
      </w:r>
    </w:p>
    <w:p>
      <w:pPr>
        <w:pStyle w:val="26"/>
        <w:spacing w:line="360" w:lineRule="auto"/>
        <w:rPr>
          <w:rFonts w:cs="宋体"/>
          <w:color w:val="auto"/>
          <w:highlight w:val="none"/>
        </w:rPr>
      </w:pPr>
      <w:r>
        <w:rPr>
          <w:rFonts w:hint="eastAsia" w:cs="宋体"/>
          <w:color w:val="auto"/>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pStyle w:val="26"/>
        <w:spacing w:line="360" w:lineRule="auto"/>
        <w:rPr>
          <w:rFonts w:cs="宋体"/>
          <w:color w:val="auto"/>
          <w:highlight w:val="none"/>
        </w:rPr>
      </w:pPr>
      <w:r>
        <w:rPr>
          <w:rFonts w:hint="eastAsia" w:cs="宋体"/>
          <w:color w:val="auto"/>
          <w:highlight w:val="none"/>
        </w:rPr>
        <w:t>4.合同履行期内，任何一方因不可抗力事件不能履行合同的，合同履行期限可相应顺延。不可抗力事件发生后，应立即通知对方，并邮寄或送达有关权威机构出具的证明。</w:t>
      </w:r>
    </w:p>
    <w:p>
      <w:pPr>
        <w:ind w:firstLine="422"/>
        <w:rPr>
          <w:rFonts w:cs="宋体"/>
          <w:b/>
          <w:color w:val="auto"/>
          <w:szCs w:val="21"/>
          <w:highlight w:val="none"/>
        </w:rPr>
      </w:pPr>
      <w:r>
        <w:rPr>
          <w:rFonts w:hint="eastAsia" w:cs="宋体"/>
          <w:b/>
          <w:color w:val="auto"/>
          <w:szCs w:val="21"/>
          <w:highlight w:val="none"/>
        </w:rPr>
        <w:t>第十条：不可抗力事件处理</w:t>
      </w:r>
    </w:p>
    <w:p>
      <w:pPr>
        <w:pStyle w:val="26"/>
        <w:spacing w:line="360" w:lineRule="auto"/>
        <w:rPr>
          <w:rFonts w:cs="宋体"/>
          <w:color w:val="auto"/>
          <w:highlight w:val="none"/>
        </w:rPr>
      </w:pPr>
      <w:r>
        <w:rPr>
          <w:rFonts w:hint="eastAsia" w:cs="宋体"/>
          <w:color w:val="auto"/>
          <w:highlight w:val="none"/>
        </w:rPr>
        <w:t>1.在合同有效期内，任何一方因不可抗力事件导致不能履行合同，则合同履行期可延长，其延长期与不可抗力影响期相同。</w:t>
      </w:r>
    </w:p>
    <w:p>
      <w:pPr>
        <w:pStyle w:val="26"/>
        <w:spacing w:line="360" w:lineRule="auto"/>
        <w:rPr>
          <w:rFonts w:cs="宋体"/>
          <w:color w:val="auto"/>
          <w:highlight w:val="none"/>
        </w:rPr>
      </w:pPr>
      <w:r>
        <w:rPr>
          <w:rFonts w:hint="eastAsia" w:cs="宋体"/>
          <w:color w:val="auto"/>
          <w:highlight w:val="none"/>
        </w:rPr>
        <w:t>2.不可抗力事件发生后，应立即通知对方，并寄送有关权威机构出具的证明。</w:t>
      </w:r>
    </w:p>
    <w:p>
      <w:pPr>
        <w:pStyle w:val="26"/>
        <w:spacing w:line="360" w:lineRule="auto"/>
        <w:rPr>
          <w:rFonts w:cs="宋体"/>
          <w:color w:val="auto"/>
          <w:highlight w:val="none"/>
        </w:rPr>
      </w:pPr>
      <w:r>
        <w:rPr>
          <w:rFonts w:hint="eastAsia" w:cs="宋体"/>
          <w:color w:val="auto"/>
          <w:highlight w:val="none"/>
        </w:rPr>
        <w:t>3.不可抗力事件延续120天以上，双方应通过友好协商，确定是否继续履行合同。</w:t>
      </w:r>
    </w:p>
    <w:p>
      <w:pPr>
        <w:ind w:firstLine="422"/>
        <w:rPr>
          <w:rFonts w:cs="宋体"/>
          <w:b/>
          <w:color w:val="auto"/>
          <w:szCs w:val="21"/>
          <w:highlight w:val="none"/>
        </w:rPr>
      </w:pPr>
      <w:r>
        <w:rPr>
          <w:rFonts w:hint="eastAsia" w:cs="宋体"/>
          <w:b/>
          <w:color w:val="auto"/>
          <w:szCs w:val="21"/>
          <w:highlight w:val="none"/>
        </w:rPr>
        <w:t>第十一条：争议解决</w:t>
      </w:r>
    </w:p>
    <w:p>
      <w:pPr>
        <w:pStyle w:val="26"/>
        <w:spacing w:line="360" w:lineRule="auto"/>
        <w:rPr>
          <w:rFonts w:cs="宋体"/>
          <w:color w:val="auto"/>
          <w:highlight w:val="none"/>
        </w:rPr>
      </w:pPr>
      <w:r>
        <w:rPr>
          <w:rFonts w:hint="eastAsia" w:cs="宋体"/>
          <w:color w:val="auto"/>
          <w:highlight w:val="none"/>
        </w:rPr>
        <w:t>本合同未尽事宜由双方协商解决，如协商不成，双方同意将本合同引起的争议提交甲方所在地法院起诉。</w:t>
      </w:r>
    </w:p>
    <w:p>
      <w:pPr>
        <w:ind w:firstLine="422"/>
        <w:rPr>
          <w:rFonts w:cs="宋体"/>
          <w:b/>
          <w:color w:val="auto"/>
          <w:szCs w:val="21"/>
          <w:highlight w:val="none"/>
        </w:rPr>
      </w:pPr>
      <w:r>
        <w:rPr>
          <w:rFonts w:hint="eastAsia" w:cs="宋体"/>
          <w:b/>
          <w:color w:val="auto"/>
          <w:szCs w:val="21"/>
          <w:highlight w:val="none"/>
        </w:rPr>
        <w:t>第十二条：合同生效</w:t>
      </w:r>
    </w:p>
    <w:p>
      <w:pPr>
        <w:pStyle w:val="34"/>
        <w:snapToGrid w:val="0"/>
        <w:spacing w:line="360" w:lineRule="auto"/>
        <w:ind w:left="420" w:leftChars="200"/>
        <w:contextualSpacing/>
        <w:rPr>
          <w:rFonts w:hAnsi="宋体" w:cs="宋体"/>
          <w:color w:val="auto"/>
          <w:sz w:val="24"/>
          <w:szCs w:val="24"/>
          <w:highlight w:val="none"/>
        </w:rPr>
      </w:pPr>
      <w:r>
        <w:rPr>
          <w:rFonts w:hint="eastAsia" w:hAnsi="宋体" w:cs="宋体"/>
          <w:color w:val="auto"/>
          <w:sz w:val="24"/>
          <w:szCs w:val="24"/>
          <w:highlight w:val="none"/>
        </w:rPr>
        <w:t>1.合同经双方法定代表人或授权代表签字并加盖单位公章后生效。</w:t>
      </w:r>
    </w:p>
    <w:p>
      <w:pPr>
        <w:pStyle w:val="34"/>
        <w:snapToGrid w:val="0"/>
        <w:spacing w:line="360" w:lineRule="auto"/>
        <w:ind w:left="420" w:leftChars="200"/>
        <w:contextualSpacing/>
        <w:rPr>
          <w:rFonts w:hAnsi="宋体" w:cs="宋体"/>
          <w:color w:val="auto"/>
          <w:sz w:val="24"/>
          <w:szCs w:val="24"/>
          <w:highlight w:val="none"/>
        </w:rPr>
      </w:pPr>
      <w:r>
        <w:rPr>
          <w:rFonts w:hint="eastAsia" w:hAnsi="宋体" w:cs="宋体"/>
          <w:color w:val="auto"/>
          <w:sz w:val="24"/>
          <w:szCs w:val="24"/>
          <w:highlight w:val="none"/>
        </w:rPr>
        <w:t>2.合同执行中涉及采购资金和采购内容修改或补充的，须经甲方审批，并签书面补充协议报采购监督管理部门备案，方可作为主合同不可分割的一部分。</w:t>
      </w:r>
    </w:p>
    <w:p>
      <w:pPr>
        <w:pStyle w:val="34"/>
        <w:snapToGrid w:val="0"/>
        <w:spacing w:line="360" w:lineRule="auto"/>
        <w:ind w:left="420" w:leftChars="200"/>
        <w:contextualSpacing/>
        <w:rPr>
          <w:rFonts w:hAnsi="宋体" w:cs="宋体"/>
          <w:color w:val="auto"/>
          <w:sz w:val="24"/>
          <w:szCs w:val="24"/>
          <w:highlight w:val="none"/>
        </w:rPr>
      </w:pPr>
      <w:r>
        <w:rPr>
          <w:rFonts w:hint="eastAsia" w:hAnsi="宋体" w:cs="宋体"/>
          <w:color w:val="auto"/>
          <w:sz w:val="24"/>
          <w:szCs w:val="24"/>
          <w:highlight w:val="none"/>
        </w:rPr>
        <w:t>3.本合同未尽事宜，遵照《民法典》有关条文执行。</w:t>
      </w:r>
    </w:p>
    <w:p>
      <w:pPr>
        <w:pStyle w:val="26"/>
        <w:spacing w:line="360" w:lineRule="auto"/>
        <w:rPr>
          <w:rFonts w:cs="宋体"/>
          <w:color w:val="auto"/>
          <w:highlight w:val="none"/>
        </w:rPr>
      </w:pPr>
      <w:r>
        <w:rPr>
          <w:rFonts w:hint="eastAsia" w:cs="宋体"/>
          <w:color w:val="auto"/>
          <w:highlight w:val="none"/>
        </w:rPr>
        <w:t>4.本合同一式</w:t>
      </w:r>
      <w:r>
        <w:rPr>
          <w:rFonts w:hint="eastAsia" w:cs="宋体"/>
          <w:color w:val="auto"/>
          <w:highlight w:val="none"/>
          <w:u w:val="single"/>
        </w:rPr>
        <w:t xml:space="preserve">    </w:t>
      </w:r>
      <w:r>
        <w:rPr>
          <w:rFonts w:hint="eastAsia" w:cs="宋体"/>
          <w:color w:val="auto"/>
          <w:highlight w:val="none"/>
        </w:rPr>
        <w:t>份，甲、乙双方各持</w:t>
      </w:r>
      <w:r>
        <w:rPr>
          <w:rFonts w:hint="eastAsia" w:cs="宋体"/>
          <w:color w:val="auto"/>
          <w:highlight w:val="none"/>
          <w:u w:val="single"/>
        </w:rPr>
        <w:t xml:space="preserve">     </w:t>
      </w:r>
      <w:r>
        <w:rPr>
          <w:rFonts w:hint="eastAsia" w:cs="宋体"/>
          <w:color w:val="auto"/>
          <w:highlight w:val="none"/>
        </w:rPr>
        <w:t>份，均具有同等法律效力。</w:t>
      </w:r>
    </w:p>
    <w:p>
      <w:pPr>
        <w:pStyle w:val="34"/>
        <w:snapToGrid w:val="0"/>
        <w:spacing w:line="360" w:lineRule="auto"/>
        <w:ind w:left="420" w:leftChars="200"/>
        <w:contextualSpacing/>
        <w:rPr>
          <w:rFonts w:hAnsi="宋体" w:cs="宋体"/>
          <w:b/>
          <w:color w:val="auto"/>
          <w:sz w:val="24"/>
          <w:szCs w:val="24"/>
          <w:highlight w:val="none"/>
        </w:rPr>
      </w:pPr>
      <w:r>
        <w:rPr>
          <w:rFonts w:hint="eastAsia" w:hAnsi="宋体" w:cs="宋体"/>
          <w:color w:val="auto"/>
          <w:sz w:val="24"/>
          <w:szCs w:val="24"/>
          <w:highlight w:val="none"/>
        </w:rPr>
        <w:t>5.本合同双方签字、盖章后即生效。</w:t>
      </w:r>
    </w:p>
    <w:tbl>
      <w:tblPr>
        <w:tblStyle w:val="73"/>
        <w:tblW w:w="8422"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253" w:type="dxa"/>
            <w:vAlign w:val="center"/>
          </w:tcPr>
          <w:p>
            <w:pPr>
              <w:pStyle w:val="16"/>
              <w:rPr>
                <w:color w:val="auto"/>
                <w:highlight w:val="none"/>
              </w:rPr>
            </w:pPr>
          </w:p>
          <w:p>
            <w:pPr>
              <w:rPr>
                <w:rFonts w:cs="宋体"/>
                <w:color w:val="auto"/>
                <w:spacing w:val="-6"/>
                <w:highlight w:val="none"/>
              </w:rPr>
            </w:pPr>
            <w:r>
              <w:rPr>
                <w:rFonts w:hint="eastAsia" w:cs="宋体"/>
                <w:color w:val="auto"/>
                <w:spacing w:val="-6"/>
                <w:highlight w:val="none"/>
              </w:rPr>
              <w:t>甲方（需方）：浙江工商职业技术学院</w:t>
            </w:r>
          </w:p>
          <w:p>
            <w:pPr>
              <w:rPr>
                <w:rFonts w:cs="宋体"/>
                <w:color w:val="auto"/>
                <w:spacing w:val="-6"/>
                <w:highlight w:val="none"/>
              </w:rPr>
            </w:pPr>
            <w:r>
              <w:rPr>
                <w:rFonts w:hint="eastAsia" w:cs="宋体"/>
                <w:color w:val="auto"/>
                <w:spacing w:val="-6"/>
                <w:highlight w:val="none"/>
              </w:rPr>
              <w:t>（公章）</w:t>
            </w:r>
          </w:p>
          <w:p>
            <w:pPr>
              <w:rPr>
                <w:rFonts w:cs="宋体"/>
                <w:color w:val="auto"/>
                <w:spacing w:val="-6"/>
                <w:highlight w:val="none"/>
              </w:rPr>
            </w:pPr>
          </w:p>
        </w:tc>
        <w:tc>
          <w:tcPr>
            <w:tcW w:w="4169" w:type="dxa"/>
            <w:vAlign w:val="center"/>
          </w:tcPr>
          <w:p>
            <w:pPr>
              <w:rPr>
                <w:rFonts w:cs="宋体"/>
                <w:color w:val="auto"/>
                <w:spacing w:val="-6"/>
                <w:highlight w:val="none"/>
              </w:rPr>
            </w:pPr>
          </w:p>
          <w:p>
            <w:pPr>
              <w:rPr>
                <w:rFonts w:cs="宋体"/>
                <w:color w:val="auto"/>
                <w:spacing w:val="-6"/>
                <w:highlight w:val="none"/>
              </w:rPr>
            </w:pPr>
            <w:r>
              <w:rPr>
                <w:rFonts w:hint="eastAsia" w:cs="宋体"/>
                <w:color w:val="auto"/>
                <w:spacing w:val="-6"/>
                <w:highlight w:val="none"/>
              </w:rPr>
              <w:t>乙方（供方）：</w:t>
            </w:r>
          </w:p>
          <w:p>
            <w:pPr>
              <w:rPr>
                <w:rFonts w:cs="宋体"/>
                <w:color w:val="auto"/>
                <w:spacing w:val="-6"/>
                <w:highlight w:val="none"/>
              </w:rPr>
            </w:pPr>
            <w:r>
              <w:rPr>
                <w:rFonts w:hint="eastAsia" w:cs="宋体"/>
                <w:color w:val="auto"/>
                <w:spacing w:val="-6"/>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253" w:type="dxa"/>
            <w:vAlign w:val="center"/>
          </w:tcPr>
          <w:p>
            <w:pPr>
              <w:rPr>
                <w:rFonts w:cs="宋体"/>
                <w:color w:val="auto"/>
                <w:spacing w:val="-6"/>
                <w:highlight w:val="none"/>
              </w:rPr>
            </w:pPr>
            <w:r>
              <w:rPr>
                <w:rFonts w:hint="eastAsia" w:cs="宋体"/>
                <w:color w:val="auto"/>
                <w:spacing w:val="-6"/>
                <w:highlight w:val="none"/>
              </w:rPr>
              <w:t>甲方代表：(签字）</w:t>
            </w:r>
          </w:p>
          <w:p>
            <w:pPr>
              <w:rPr>
                <w:rFonts w:cs="宋体"/>
                <w:color w:val="auto"/>
                <w:spacing w:val="-6"/>
                <w:highlight w:val="none"/>
              </w:rPr>
            </w:pPr>
          </w:p>
          <w:p>
            <w:pPr>
              <w:rPr>
                <w:rFonts w:cs="宋体"/>
                <w:color w:val="auto"/>
                <w:spacing w:val="-6"/>
                <w:highlight w:val="none"/>
              </w:rPr>
            </w:pPr>
          </w:p>
        </w:tc>
        <w:tc>
          <w:tcPr>
            <w:tcW w:w="4169" w:type="dxa"/>
            <w:vAlign w:val="center"/>
          </w:tcPr>
          <w:p>
            <w:pPr>
              <w:rPr>
                <w:rFonts w:cs="宋体"/>
                <w:color w:val="auto"/>
                <w:spacing w:val="-6"/>
                <w:highlight w:val="none"/>
              </w:rPr>
            </w:pPr>
            <w:r>
              <w:rPr>
                <w:rFonts w:hint="eastAsia" w:cs="宋体"/>
                <w:color w:val="auto"/>
                <w:spacing w:val="-6"/>
                <w:highlight w:val="none"/>
              </w:rPr>
              <w:t>乙方代表：（签字）</w:t>
            </w:r>
          </w:p>
          <w:p>
            <w:pPr>
              <w:rPr>
                <w:rFonts w:cs="宋体"/>
                <w:color w:val="auto"/>
                <w:spacing w:val="-6"/>
                <w:highlight w:val="none"/>
              </w:rPr>
            </w:pPr>
          </w:p>
          <w:p>
            <w:pPr>
              <w:rPr>
                <w:rFonts w:cs="宋体"/>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tcPr>
          <w:p>
            <w:pPr>
              <w:rPr>
                <w:rFonts w:cs="宋体"/>
                <w:color w:val="auto"/>
                <w:spacing w:val="-6"/>
                <w:highlight w:val="none"/>
              </w:rPr>
            </w:pPr>
            <w:r>
              <w:rPr>
                <w:rFonts w:hint="eastAsia" w:cs="宋体"/>
                <w:color w:val="auto"/>
                <w:spacing w:val="-6"/>
                <w:highlight w:val="none"/>
              </w:rPr>
              <w:t>地址： 宁波市机场路1988号</w:t>
            </w:r>
          </w:p>
        </w:tc>
        <w:tc>
          <w:tcPr>
            <w:tcW w:w="4169" w:type="dxa"/>
            <w:vAlign w:val="center"/>
          </w:tcPr>
          <w:p>
            <w:pPr>
              <w:rPr>
                <w:rFonts w:cs="宋体"/>
                <w:color w:val="auto"/>
                <w:spacing w:val="-6"/>
                <w:highlight w:val="none"/>
              </w:rPr>
            </w:pPr>
            <w:r>
              <w:rPr>
                <w:rFonts w:hint="eastAsia" w:cs="宋体"/>
                <w:color w:val="auto"/>
                <w:spacing w:val="-6"/>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tcPr>
          <w:p>
            <w:pPr>
              <w:rPr>
                <w:rFonts w:cs="宋体"/>
                <w:color w:val="auto"/>
                <w:spacing w:val="-6"/>
                <w:highlight w:val="none"/>
              </w:rPr>
            </w:pPr>
            <w:r>
              <w:rPr>
                <w:rFonts w:hint="eastAsia" w:cs="宋体"/>
                <w:color w:val="auto"/>
                <w:spacing w:val="-6"/>
                <w:highlight w:val="none"/>
              </w:rPr>
              <w:t>邮编： 315012</w:t>
            </w:r>
          </w:p>
        </w:tc>
        <w:tc>
          <w:tcPr>
            <w:tcW w:w="4169" w:type="dxa"/>
            <w:vAlign w:val="center"/>
          </w:tcPr>
          <w:p>
            <w:pPr>
              <w:rPr>
                <w:rFonts w:cs="宋体"/>
                <w:color w:val="auto"/>
                <w:spacing w:val="-6"/>
                <w:highlight w:val="none"/>
              </w:rPr>
            </w:pPr>
            <w:r>
              <w:rPr>
                <w:rFonts w:hint="eastAsia" w:cs="宋体"/>
                <w:color w:val="auto"/>
                <w:spacing w:val="-6"/>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tcPr>
          <w:p>
            <w:pPr>
              <w:rPr>
                <w:rFonts w:cs="宋体"/>
                <w:color w:val="auto"/>
                <w:spacing w:val="-6"/>
                <w:highlight w:val="none"/>
              </w:rPr>
            </w:pPr>
            <w:r>
              <w:rPr>
                <w:rFonts w:hint="eastAsia" w:cs="宋体"/>
                <w:color w:val="auto"/>
                <w:spacing w:val="-6"/>
                <w:highlight w:val="none"/>
              </w:rPr>
              <w:t>电话： 0574-87422007</w:t>
            </w:r>
          </w:p>
        </w:tc>
        <w:tc>
          <w:tcPr>
            <w:tcW w:w="4169" w:type="dxa"/>
            <w:vAlign w:val="center"/>
          </w:tcPr>
          <w:p>
            <w:pPr>
              <w:rPr>
                <w:rFonts w:cs="宋体"/>
                <w:color w:val="auto"/>
                <w:spacing w:val="-6"/>
                <w:highlight w:val="none"/>
              </w:rPr>
            </w:pPr>
            <w:r>
              <w:rPr>
                <w:rFonts w:hint="eastAsia" w:cs="宋体"/>
                <w:color w:val="auto"/>
                <w:spacing w:val="-6"/>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tcPr>
          <w:p>
            <w:pPr>
              <w:rPr>
                <w:rFonts w:cs="宋体"/>
                <w:color w:val="auto"/>
                <w:spacing w:val="-6"/>
                <w:highlight w:val="none"/>
              </w:rPr>
            </w:pPr>
            <w:r>
              <w:rPr>
                <w:rFonts w:hint="eastAsia" w:cs="宋体"/>
                <w:color w:val="auto"/>
                <w:spacing w:val="-6"/>
                <w:highlight w:val="none"/>
              </w:rPr>
              <w:t>传真：</w:t>
            </w:r>
          </w:p>
        </w:tc>
        <w:tc>
          <w:tcPr>
            <w:tcW w:w="4169" w:type="dxa"/>
            <w:vAlign w:val="center"/>
          </w:tcPr>
          <w:p>
            <w:pPr>
              <w:rPr>
                <w:rFonts w:cs="宋体"/>
                <w:color w:val="auto"/>
                <w:spacing w:val="-6"/>
                <w:highlight w:val="none"/>
              </w:rPr>
            </w:pPr>
            <w:r>
              <w:rPr>
                <w:rFonts w:hint="eastAsia" w:cs="宋体"/>
                <w:color w:val="auto"/>
                <w:spacing w:val="-6"/>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tcPr>
          <w:p>
            <w:pPr>
              <w:rPr>
                <w:rFonts w:cs="宋体"/>
                <w:color w:val="auto"/>
                <w:spacing w:val="-6"/>
                <w:highlight w:val="none"/>
              </w:rPr>
            </w:pPr>
            <w:r>
              <w:rPr>
                <w:rFonts w:hint="eastAsia" w:cs="宋体"/>
                <w:color w:val="auto"/>
                <w:spacing w:val="-6"/>
                <w:highlight w:val="none"/>
              </w:rPr>
              <w:t>开户银行：</w:t>
            </w:r>
          </w:p>
        </w:tc>
        <w:tc>
          <w:tcPr>
            <w:tcW w:w="4169" w:type="dxa"/>
            <w:vAlign w:val="center"/>
          </w:tcPr>
          <w:p>
            <w:pPr>
              <w:rPr>
                <w:rFonts w:cs="宋体"/>
                <w:color w:val="auto"/>
                <w:spacing w:val="-6"/>
                <w:highlight w:val="none"/>
              </w:rPr>
            </w:pPr>
            <w:r>
              <w:rPr>
                <w:rFonts w:hint="eastAsia" w:cs="宋体"/>
                <w:color w:val="auto"/>
                <w:spacing w:val="-6"/>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tcPr>
          <w:p>
            <w:pPr>
              <w:rPr>
                <w:rFonts w:cs="宋体"/>
                <w:color w:val="auto"/>
                <w:spacing w:val="-6"/>
                <w:highlight w:val="none"/>
              </w:rPr>
            </w:pPr>
            <w:r>
              <w:rPr>
                <w:rFonts w:hint="eastAsia" w:cs="宋体"/>
                <w:color w:val="auto"/>
                <w:spacing w:val="-6"/>
                <w:highlight w:val="none"/>
              </w:rPr>
              <w:t>帐号：</w:t>
            </w:r>
          </w:p>
        </w:tc>
        <w:tc>
          <w:tcPr>
            <w:tcW w:w="4169" w:type="dxa"/>
            <w:vAlign w:val="center"/>
          </w:tcPr>
          <w:p>
            <w:pPr>
              <w:rPr>
                <w:rFonts w:cs="宋体"/>
                <w:color w:val="auto"/>
                <w:spacing w:val="-6"/>
                <w:highlight w:val="none"/>
              </w:rPr>
            </w:pPr>
            <w:r>
              <w:rPr>
                <w:rFonts w:hint="eastAsia" w:cs="宋体"/>
                <w:color w:val="auto"/>
                <w:spacing w:val="-6"/>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rPr>
                <w:rFonts w:cs="宋体"/>
                <w:color w:val="auto"/>
                <w:spacing w:val="-6"/>
                <w:highlight w:val="none"/>
              </w:rPr>
            </w:pPr>
            <w:r>
              <w:rPr>
                <w:rFonts w:hint="eastAsia" w:cs="宋体"/>
                <w:color w:val="auto"/>
                <w:spacing w:val="-6"/>
                <w:highlight w:val="none"/>
              </w:rPr>
              <w:t>签字日期：       年    月   日</w:t>
            </w:r>
          </w:p>
        </w:tc>
        <w:tc>
          <w:tcPr>
            <w:tcW w:w="4169" w:type="dxa"/>
            <w:vAlign w:val="center"/>
          </w:tcPr>
          <w:p>
            <w:pPr>
              <w:rPr>
                <w:rFonts w:cs="宋体"/>
                <w:color w:val="auto"/>
                <w:spacing w:val="-6"/>
                <w:highlight w:val="none"/>
              </w:rPr>
            </w:pPr>
            <w:r>
              <w:rPr>
                <w:rFonts w:hint="eastAsia" w:cs="宋体"/>
                <w:color w:val="auto"/>
                <w:spacing w:val="-6"/>
                <w:highlight w:val="none"/>
              </w:rPr>
              <w:t>签字日期：         年   月   日</w:t>
            </w:r>
          </w:p>
        </w:tc>
      </w:tr>
    </w:tbl>
    <w:p>
      <w:pPr>
        <w:pStyle w:val="26"/>
        <w:rPr>
          <w:color w:val="auto"/>
          <w:highlight w:val="none"/>
        </w:rPr>
      </w:pPr>
    </w:p>
    <w:p>
      <w:pPr>
        <w:spacing w:line="360" w:lineRule="auto"/>
        <w:ind w:firstLine="6240" w:firstLineChars="3000"/>
        <w:rPr>
          <w:rFonts w:ascii="宋体" w:hAnsi="宋体" w:cs="宋体"/>
          <w:color w:val="auto"/>
          <w:spacing w:val="-16"/>
          <w:sz w:val="24"/>
          <w:highlight w:val="none"/>
        </w:rPr>
      </w:pPr>
    </w:p>
    <w:p>
      <w:pPr>
        <w:pStyle w:val="80"/>
        <w:spacing w:line="360" w:lineRule="auto"/>
        <w:rPr>
          <w:rFonts w:ascii="宋体" w:hAnsi="宋体" w:eastAsia="宋体" w:cs="宋体"/>
          <w:color w:val="auto"/>
          <w:highlight w:val="none"/>
        </w:rPr>
        <w:sectPr>
          <w:pgSz w:w="11906" w:h="16838"/>
          <w:pgMar w:top="1247" w:right="1304" w:bottom="1020" w:left="1304" w:header="720" w:footer="720" w:gutter="0"/>
          <w:cols w:space="0" w:num="1"/>
          <w:docGrid w:linePitch="286" w:charSpace="0"/>
        </w:sectPr>
      </w:pPr>
    </w:p>
    <w:p>
      <w:pPr>
        <w:spacing w:line="360" w:lineRule="auto"/>
        <w:ind w:left="-420" w:leftChars="-200" w:right="-420" w:rightChars="-200" w:firstLine="480" w:firstLineChars="200"/>
        <w:rPr>
          <w:rFonts w:ascii="宋体" w:hAnsi="宋体" w:cs="宋体"/>
          <w:color w:val="auto"/>
          <w:sz w:val="24"/>
          <w:highlight w:val="none"/>
        </w:rPr>
      </w:pPr>
    </w:p>
    <w:p>
      <w:pPr>
        <w:tabs>
          <w:tab w:val="left" w:pos="630"/>
        </w:tabs>
        <w:spacing w:line="360" w:lineRule="auto"/>
        <w:jc w:val="center"/>
        <w:outlineLvl w:val="0"/>
        <w:rPr>
          <w:rFonts w:ascii="宋体" w:hAnsi="宋体" w:cs="宋体"/>
          <w:b/>
          <w:color w:val="auto"/>
          <w:sz w:val="36"/>
          <w:szCs w:val="20"/>
          <w:highlight w:val="none"/>
        </w:rPr>
      </w:pPr>
      <w:bookmarkStart w:id="402" w:name="_Toc10980"/>
      <w:r>
        <w:rPr>
          <w:rFonts w:hint="eastAsia" w:ascii="宋体" w:hAnsi="宋体" w:cs="宋体"/>
          <w:b/>
          <w:color w:val="auto"/>
          <w:sz w:val="36"/>
          <w:szCs w:val="20"/>
          <w:highlight w:val="none"/>
        </w:rPr>
        <w:t>第六部分</w:t>
      </w:r>
      <w:bookmarkEnd w:id="399"/>
      <w:bookmarkEnd w:id="400"/>
      <w:r>
        <w:rPr>
          <w:rFonts w:hint="eastAsia" w:ascii="宋体" w:hAnsi="宋体" w:cs="宋体"/>
          <w:b/>
          <w:color w:val="auto"/>
          <w:sz w:val="36"/>
          <w:szCs w:val="20"/>
          <w:highlight w:val="none"/>
        </w:rPr>
        <w:t>应提交的有关格式范例</w:t>
      </w:r>
      <w:bookmarkEnd w:id="402"/>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bookmarkStart w:id="403" w:name="_Toc30716"/>
      <w:r>
        <w:rPr>
          <w:rFonts w:hint="eastAsia" w:ascii="宋体" w:hAnsi="宋体" w:cs="宋体"/>
          <w:b/>
          <w:color w:val="auto"/>
          <w:kern w:val="0"/>
          <w:sz w:val="36"/>
          <w:szCs w:val="36"/>
          <w:highlight w:val="none"/>
        </w:rPr>
        <w:t>资格文件部分</w:t>
      </w:r>
      <w:bookmarkEnd w:id="403"/>
    </w:p>
    <w:p>
      <w:pPr>
        <w:spacing w:line="360" w:lineRule="auto"/>
        <w:jc w:val="center"/>
        <w:outlineLvl w:val="0"/>
        <w:rPr>
          <w:rFonts w:ascii="宋体" w:hAnsi="宋体" w:cs="宋体"/>
          <w:b/>
          <w:color w:val="auto"/>
          <w:kern w:val="0"/>
          <w:sz w:val="36"/>
          <w:szCs w:val="36"/>
          <w:highlight w:val="none"/>
        </w:rPr>
      </w:pPr>
      <w:bookmarkStart w:id="404" w:name="_Toc15804"/>
      <w:r>
        <w:rPr>
          <w:rFonts w:hint="eastAsia" w:ascii="宋体" w:hAnsi="宋体" w:cs="宋体"/>
          <w:b/>
          <w:color w:val="auto"/>
          <w:kern w:val="0"/>
          <w:sz w:val="36"/>
          <w:szCs w:val="36"/>
          <w:highlight w:val="none"/>
        </w:rPr>
        <w:t>目录</w:t>
      </w:r>
      <w:bookmarkEnd w:id="404"/>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（1）营业执照复印件………………………………………………………（页码）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（5）联合体协议书…………………………………………………………（页码）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pPr>
        <w:snapToGrid w:val="0"/>
        <w:spacing w:line="30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四、</w:t>
      </w:r>
      <w:r>
        <w:rPr>
          <w:rFonts w:hint="eastAsia" w:ascii="宋体" w:hAnsi="宋体" w:cs="宋体"/>
          <w:b/>
          <w:color w:val="auto"/>
          <w:kern w:val="0"/>
          <w:sz w:val="32"/>
          <w:szCs w:val="32"/>
          <w:highlight w:val="none"/>
          <w:lang w:val="zh-CN"/>
        </w:rPr>
        <w:t>联合协议</w:t>
      </w:r>
    </w:p>
    <w:p>
      <w:pPr>
        <w:pStyle w:val="80"/>
        <w:rPr>
          <w:color w:val="auto"/>
          <w:highlight w:val="none"/>
          <w:lang w:val="zh-CN"/>
        </w:rPr>
      </w:pPr>
    </w:p>
    <w:p>
      <w:pPr>
        <w:widowControl/>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u w:val="single"/>
        </w:rPr>
        <w:t>（联合体所有成员名称）</w:t>
      </w:r>
      <w:r>
        <w:rPr>
          <w:rFonts w:ascii="宋体" w:hAnsi="宋体" w:cs="宋体"/>
          <w:color w:val="auto"/>
          <w:kern w:val="0"/>
          <w:sz w:val="24"/>
          <w:highlight w:val="none"/>
        </w:rPr>
        <w:t>自愿</w:t>
      </w:r>
      <w:r>
        <w:rPr>
          <w:rFonts w:ascii="宋体" w:hAnsi="宋体" w:cs="宋体"/>
          <w:color w:val="auto"/>
          <w:kern w:val="0"/>
          <w:sz w:val="24"/>
          <w:highlight w:val="none"/>
          <w:lang w:val="zh-CN"/>
        </w:rPr>
        <w:t>组成一个联合体，以一个投标人的身份</w:t>
      </w:r>
      <w:r>
        <w:rPr>
          <w:rFonts w:ascii="宋体" w:hAnsi="宋体" w:cs="宋体"/>
          <w:color w:val="auto"/>
          <w:kern w:val="0"/>
          <w:sz w:val="24"/>
          <w:highlight w:val="none"/>
        </w:rPr>
        <w:t>参加</w:t>
      </w:r>
      <w:r>
        <w:rPr>
          <w:rFonts w:ascii="宋体" w:hAnsi="宋体" w:cs="宋体"/>
          <w:color w:val="auto"/>
          <w:sz w:val="24"/>
          <w:highlight w:val="none"/>
        </w:rPr>
        <w:t>（项目名称）【项目编号：     】</w:t>
      </w:r>
      <w:r>
        <w:rPr>
          <w:rFonts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一、各方一致决定，</w:t>
      </w:r>
      <w:r>
        <w:rPr>
          <w:rFonts w:ascii="宋体" w:hAnsi="宋体" w:cs="宋体"/>
          <w:color w:val="auto"/>
          <w:kern w:val="0"/>
          <w:sz w:val="24"/>
          <w:highlight w:val="none"/>
          <w:u w:val="single"/>
        </w:rPr>
        <w:t>（某联合体成员名称）</w:t>
      </w:r>
      <w:r>
        <w:rPr>
          <w:rFonts w:ascii="宋体" w:hAnsi="宋体" w:cs="宋体"/>
          <w:color w:val="auto"/>
          <w:kern w:val="0"/>
          <w:sz w:val="24"/>
          <w:highlight w:val="none"/>
        </w:rPr>
        <w:t>为联合体</w:t>
      </w:r>
      <w:r>
        <w:rPr>
          <w:rFonts w:ascii="宋体" w:hAnsi="宋体" w:cs="宋体"/>
          <w:color w:val="auto"/>
          <w:kern w:val="0"/>
          <w:sz w:val="24"/>
          <w:highlight w:val="none"/>
          <w:lang w:val="zh-CN"/>
        </w:rPr>
        <w:t>牵头人</w:t>
      </w:r>
      <w:r>
        <w:rPr>
          <w:rFonts w:ascii="宋体" w:hAnsi="宋体" w:cs="宋体"/>
          <w:color w:val="auto"/>
          <w:sz w:val="24"/>
          <w:highlight w:val="none"/>
        </w:rPr>
        <w:t>，代表所有联合体成员负责投标和合同实施阶段的主办、协调工作</w:t>
      </w:r>
      <w:r>
        <w:rPr>
          <w:rFonts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二、</w:t>
      </w:r>
      <w:r>
        <w:rPr>
          <w:rFonts w:ascii="宋体" w:hAnsi="宋体" w:cs="宋体"/>
          <w:color w:val="auto"/>
          <w:sz w:val="24"/>
          <w:highlight w:val="none"/>
        </w:rPr>
        <w:t>所有联合体成员各方签署授权书，授权书载明的</w:t>
      </w:r>
      <w:r>
        <w:rPr>
          <w:rFonts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三、本次联合投标中，分工如下：</w:t>
      </w:r>
      <w:r>
        <w:rPr>
          <w:rFonts w:ascii="宋体" w:hAnsi="宋体" w:cs="宋体"/>
          <w:color w:val="auto"/>
          <w:kern w:val="0"/>
          <w:sz w:val="24"/>
          <w:highlight w:val="none"/>
          <w:u w:val="single"/>
        </w:rPr>
        <w:t>（联合体其中一方成员名称）</w:t>
      </w:r>
      <w:r>
        <w:rPr>
          <w:rFonts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lang w:val="zh-CN"/>
        </w:rPr>
        <w:t>四、</w:t>
      </w:r>
      <w:r>
        <w:rPr>
          <w:rFonts w:ascii="宋体" w:hAnsi="宋体" w:cs="宋体"/>
          <w:color w:val="auto"/>
          <w:kern w:val="0"/>
          <w:sz w:val="24"/>
          <w:highlight w:val="none"/>
          <w:u w:val="single"/>
        </w:rPr>
        <w:t>（联合体其中一方成员名称）</w:t>
      </w:r>
      <w:r>
        <w:rPr>
          <w:rFonts w:ascii="宋体" w:hAnsi="宋体" w:cs="宋体"/>
          <w:color w:val="auto"/>
          <w:kern w:val="0"/>
          <w:sz w:val="24"/>
          <w:highlight w:val="none"/>
        </w:rPr>
        <w:t>提供的全部货物由</w:t>
      </w:r>
      <w:r>
        <w:rPr>
          <w:rFonts w:hint="eastAsia" w:ascii="宋体" w:hAnsi="宋体" w:cs="宋体"/>
          <w:color w:val="auto"/>
          <w:kern w:val="0"/>
          <w:sz w:val="24"/>
          <w:highlight w:val="none"/>
          <w:lang w:val="en-US" w:eastAsia="zh-CN"/>
        </w:rPr>
        <w:t>中</w:t>
      </w:r>
      <w:r>
        <w:rPr>
          <w:rFonts w:ascii="宋体" w:hAnsi="宋体" w:cs="宋体"/>
          <w:color w:val="auto"/>
          <w:kern w:val="0"/>
          <w:sz w:val="24"/>
          <w:highlight w:val="none"/>
        </w:rPr>
        <w:t>小微企业制造，其合同份额占到合同总金额%以上；</w:t>
      </w:r>
      <w:r>
        <w:rPr>
          <w:rFonts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五、如果中标，</w:t>
      </w:r>
      <w:r>
        <w:rPr>
          <w:rFonts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800" w:firstLineChars="2000"/>
        <w:rPr>
          <w:rFonts w:ascii="宋体" w:hAnsi="宋体" w:cs="宋体"/>
          <w:color w:val="auto"/>
          <w:kern w:val="0"/>
          <w:sz w:val="24"/>
          <w:highlight w:val="none"/>
          <w:lang w:val="zh-CN"/>
        </w:rPr>
      </w:pPr>
      <w:r>
        <w:rPr>
          <w:rFonts w:ascii="宋体" w:hAnsi="宋体" w:cs="宋体"/>
          <w:color w:val="auto"/>
          <w:kern w:val="0"/>
          <w:sz w:val="24"/>
          <w:highlight w:val="none"/>
          <w:lang w:val="zh-CN"/>
        </w:rPr>
        <w:t>联合体成员</w:t>
      </w:r>
      <w:r>
        <w:rPr>
          <w:rFonts w:hint="eastAsia" w:ascii="宋体" w:hAnsi="宋体" w:cs="宋体"/>
          <w:color w:val="auto"/>
          <w:kern w:val="0"/>
          <w:sz w:val="24"/>
          <w:highlight w:val="none"/>
        </w:rPr>
        <w:t>1</w:t>
      </w:r>
      <w:r>
        <w:rPr>
          <w:rFonts w:ascii="宋体" w:hAnsi="宋体" w:cs="宋体"/>
          <w:color w:val="auto"/>
          <w:kern w:val="0"/>
          <w:sz w:val="24"/>
          <w:highlight w:val="none"/>
          <w:lang w:val="zh-CN"/>
        </w:rPr>
        <w:t>名称(公章)：</w:t>
      </w:r>
    </w:p>
    <w:p>
      <w:pPr>
        <w:snapToGrid w:val="0"/>
        <w:spacing w:line="360" w:lineRule="auto"/>
        <w:ind w:firstLine="4800" w:firstLineChars="2000"/>
        <w:rPr>
          <w:rFonts w:ascii="宋体" w:hAnsi="宋体" w:cs="宋体"/>
          <w:color w:val="auto"/>
          <w:kern w:val="0"/>
          <w:sz w:val="24"/>
          <w:highlight w:val="none"/>
          <w:lang w:val="zh-CN"/>
        </w:rPr>
      </w:pPr>
      <w:r>
        <w:rPr>
          <w:rFonts w:ascii="宋体" w:hAnsi="宋体" w:cs="宋体"/>
          <w:color w:val="auto"/>
          <w:kern w:val="0"/>
          <w:sz w:val="24"/>
          <w:highlight w:val="none"/>
          <w:lang w:val="zh-CN"/>
        </w:rPr>
        <w:t>联合体成员</w:t>
      </w:r>
      <w:r>
        <w:rPr>
          <w:rFonts w:hint="eastAsia" w:ascii="宋体" w:hAnsi="宋体" w:cs="宋体"/>
          <w:color w:val="auto"/>
          <w:kern w:val="0"/>
          <w:sz w:val="24"/>
          <w:highlight w:val="none"/>
        </w:rPr>
        <w:t>2</w:t>
      </w:r>
      <w:r>
        <w:rPr>
          <w:rFonts w:ascii="宋体" w:hAnsi="宋体" w:cs="宋体"/>
          <w:color w:val="auto"/>
          <w:kern w:val="0"/>
          <w:sz w:val="24"/>
          <w:highlight w:val="none"/>
          <w:lang w:val="zh-CN"/>
        </w:rPr>
        <w:t>名称(公章)：</w:t>
      </w:r>
    </w:p>
    <w:p>
      <w:pPr>
        <w:pStyle w:val="16"/>
        <w:rPr>
          <w:color w:val="auto"/>
          <w:highlight w:val="none"/>
        </w:rPr>
      </w:pPr>
      <w:r>
        <w:rPr>
          <w:rFonts w:hAnsi="宋体" w:cs="宋体"/>
          <w:color w:val="auto"/>
          <w:kern w:val="0"/>
          <w:highlight w:val="none"/>
        </w:rPr>
        <w:t xml:space="preserve">                                               日期：  年  月   日</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bookmarkStart w:id="405" w:name="_Toc3353"/>
      <w:r>
        <w:rPr>
          <w:rFonts w:hint="eastAsia" w:ascii="宋体" w:hAnsi="宋体" w:cs="宋体"/>
          <w:b/>
          <w:color w:val="auto"/>
          <w:kern w:val="0"/>
          <w:sz w:val="24"/>
          <w:highlight w:val="none"/>
        </w:rPr>
        <w:t>目录</w:t>
      </w:r>
      <w:bookmarkEnd w:id="405"/>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投标函………………………………………………………………………（页码）</w:t>
      </w:r>
    </w:p>
    <w:p>
      <w:pPr>
        <w:pStyle w:val="725"/>
        <w:numPr>
          <w:ilvl w:val="0"/>
          <w:numId w:val="2"/>
        </w:numPr>
        <w:spacing w:line="360" w:lineRule="auto"/>
        <w:rPr>
          <w:rFonts w:cs="宋体"/>
          <w:color w:val="auto"/>
          <w:szCs w:val="24"/>
          <w:highlight w:val="none"/>
        </w:rPr>
      </w:pPr>
      <w:r>
        <w:rPr>
          <w:rFonts w:hint="eastAsia" w:cs="宋体"/>
          <w:color w:val="auto"/>
          <w:szCs w:val="24"/>
          <w:highlight w:val="none"/>
        </w:rPr>
        <w:t>营业执照副本复印件（加盖投标人公章）………………………………（页码）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投标人股权信息表…………………………………………………………（页码）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采购需求</w:t>
      </w:r>
      <w:r>
        <w:rPr>
          <w:rFonts w:hint="eastAsia" w:ascii="宋体" w:hAnsi="宋体" w:cs="宋体"/>
          <w:color w:val="auto"/>
          <w:sz w:val="24"/>
          <w:highlight w:val="none"/>
        </w:rPr>
        <w:t>偏离表……………………………………………………………（页码）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商务条款偏离表……………………………………………………………（页码）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体系认证证书………………………………………………………………（页码）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完成的类似项目一览表（附合同复印件）………………………………（页码）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服务整体方案………………………………………………………………（页码）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设计重点分析………………………………………………………………（页码）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设计难点分析………………………………………………………………（页码）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设计过程控制方案…………………………………………………………（页码）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各类经济技术指标及估算…………………………………………………（页码）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设计质量控制措施…………………………………………………………（页码）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设计进度控制措施…………………………………………………………（页码）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突发情况防范及应急预案…………………………………………………（页码）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服从采购人协调和统一管理及配合措施、特殊服务承诺………………（页码）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服务响应时间………………………………………………………………（页码）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合理化建议和改进措施……………………………………………………（页码）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项目团队人员………………………………………………………………（页码）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第四部分“评标办法”中要求提供的资料………………………………（页码）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政府采购供应商廉洁自律承诺书…………………………………………（页码）</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缴纳采购代理服务费承诺书………………………………………………（页码）</w:t>
      </w:r>
    </w:p>
    <w:p>
      <w:pPr>
        <w:snapToGrid w:val="0"/>
        <w:spacing w:line="360" w:lineRule="auto"/>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numPr>
          <w:ilvl w:val="0"/>
          <w:numId w:val="3"/>
        </w:numPr>
        <w:jc w:val="center"/>
        <w:rPr>
          <w:rFonts w:ascii="宋体" w:hAnsi="宋体" w:cs="宋体"/>
          <w:b/>
          <w:color w:val="auto"/>
          <w:kern w:val="0"/>
          <w:sz w:val="32"/>
          <w:szCs w:val="32"/>
          <w:highlight w:val="none"/>
          <w:lang w:val="zh-CN"/>
        </w:rPr>
      </w:pPr>
      <w:bookmarkStart w:id="406" w:name="_Toc1561"/>
      <w:r>
        <w:rPr>
          <w:rFonts w:hint="eastAsia" w:ascii="宋体" w:hAnsi="宋体" w:cs="宋体"/>
          <w:b/>
          <w:color w:val="auto"/>
          <w:kern w:val="0"/>
          <w:sz w:val="32"/>
          <w:szCs w:val="32"/>
          <w:highlight w:val="none"/>
          <w:lang w:val="zh-CN"/>
        </w:rPr>
        <w:br w:type="page"/>
      </w:r>
    </w:p>
    <w:p>
      <w:pPr>
        <w:numPr>
          <w:ilvl w:val="0"/>
          <w:numId w:val="3"/>
        </w:num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投标函</w:t>
      </w:r>
      <w:bookmarkEnd w:id="406"/>
    </w:p>
    <w:p>
      <w:pPr>
        <w:pStyle w:val="16"/>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3.2在签订合同时不向你方提出附加条件；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3.3在合同约定的期限内完成合同规定的全部义务。</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日期：年月日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numPr>
          <w:ilvl w:val="0"/>
          <w:numId w:val="3"/>
        </w:num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营业执照副本复印件（加盖投标人公章）</w:t>
      </w:r>
    </w:p>
    <w:p>
      <w:pPr>
        <w:pStyle w:val="82"/>
        <w:ind w:firstLine="0" w:firstLineChars="0"/>
        <w:rPr>
          <w:rFonts w:ascii="宋体" w:hAnsi="宋体" w:cs="宋体"/>
          <w:color w:val="auto"/>
          <w:highlight w:val="none"/>
          <w:lang w:val="zh-CN"/>
        </w:rPr>
      </w:pPr>
    </w:p>
    <w:tbl>
      <w:tblPr>
        <w:tblStyle w:val="7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Ansi="宋体" w:cs="宋体"/>
                <w:color w:val="auto"/>
                <w:highlight w:val="none"/>
              </w:rPr>
            </w:pPr>
          </w:p>
        </w:tc>
      </w:tr>
    </w:tbl>
    <w:p>
      <w:pPr>
        <w:pStyle w:val="16"/>
        <w:rPr>
          <w:rFonts w:hAnsi="宋体" w:cs="宋体"/>
          <w:color w:val="auto"/>
          <w:highlight w:val="none"/>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p>
    <w:p>
      <w:pPr>
        <w:spacing w:line="400" w:lineRule="exact"/>
        <w:ind w:firstLine="422"/>
        <w:jc w:val="center"/>
        <w:rPr>
          <w:rFonts w:ascii="宋体" w:hAnsi="宋体" w:cs="宋体"/>
          <w:b/>
          <w:color w:val="auto"/>
          <w:szCs w:val="21"/>
          <w:highlight w:val="none"/>
        </w:rPr>
      </w:pPr>
      <w:r>
        <w:rPr>
          <w:rFonts w:hint="eastAsia" w:ascii="宋体" w:hAnsi="宋体" w:cs="宋体"/>
          <w:b/>
          <w:color w:val="auto"/>
          <w:szCs w:val="21"/>
          <w:highlight w:val="none"/>
        </w:rPr>
        <w:t>法定代表人身份证明</w:t>
      </w:r>
    </w:p>
    <w:p>
      <w:pPr>
        <w:ind w:firstLine="422"/>
        <w:rPr>
          <w:rFonts w:ascii="宋体" w:hAnsi="宋体" w:cs="宋体"/>
          <w:b/>
          <w:color w:val="auto"/>
          <w:szCs w:val="21"/>
          <w:highlight w:val="none"/>
        </w:rPr>
      </w:pP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单位名称：</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地址：</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姓名：性别：</w:t>
      </w:r>
    </w:p>
    <w:p>
      <w:pPr>
        <w:spacing w:line="360" w:lineRule="auto"/>
        <w:ind w:firstLine="420"/>
        <w:rPr>
          <w:rFonts w:ascii="宋体" w:hAnsi="宋体" w:cs="宋体"/>
          <w:color w:val="auto"/>
          <w:sz w:val="24"/>
          <w:highlight w:val="none"/>
          <w:u w:val="single"/>
        </w:rPr>
      </w:pPr>
      <w:r>
        <w:rPr>
          <w:rFonts w:hint="eastAsia" w:ascii="宋体" w:hAnsi="宋体" w:cs="宋体"/>
          <w:color w:val="auto"/>
          <w:sz w:val="24"/>
          <w:highlight w:val="none"/>
        </w:rPr>
        <w:t>年龄：职务：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身份证号码：</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的法定代表人，为</w:t>
      </w:r>
      <w:r>
        <w:rPr>
          <w:rFonts w:hint="eastAsia" w:ascii="宋体" w:hAnsi="宋体" w:cs="宋体"/>
          <w:color w:val="auto"/>
          <w:sz w:val="24"/>
          <w:highlight w:val="none"/>
          <w:u w:val="single"/>
        </w:rPr>
        <w:t>（项目编号、项目名称）</w:t>
      </w:r>
      <w:r>
        <w:rPr>
          <w:rFonts w:hint="eastAsia" w:ascii="宋体" w:hAnsi="宋体" w:cs="宋体"/>
          <w:color w:val="auto"/>
          <w:sz w:val="24"/>
          <w:highlight w:val="none"/>
        </w:rPr>
        <w:t>项目，签署上述项目的响应文件，进行合同谈判、签署合同和处理与之有关的一切事宜。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420"/>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后附法定代表人身份证正反面复印件，加盖供应商公章。</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法定代表人授权委托书</w:t>
      </w:r>
    </w:p>
    <w:p>
      <w:pPr>
        <w:pStyle w:val="61"/>
        <w:rPr>
          <w:i/>
          <w:iCs/>
          <w:color w:val="auto"/>
          <w:sz w:val="21"/>
          <w:szCs w:val="21"/>
          <w:highlight w:val="none"/>
          <w:lang w:val="zh-CN"/>
        </w:rPr>
      </w:pPr>
      <w:r>
        <w:rPr>
          <w:rFonts w:hint="eastAsia" w:ascii="宋体" w:hAnsi="宋体" w:cs="宋体"/>
          <w:i/>
          <w:iCs/>
          <w:color w:val="auto"/>
          <w:sz w:val="21"/>
          <w:szCs w:val="21"/>
          <w:highlight w:val="none"/>
          <w:lang w:val="zh-CN"/>
        </w:rPr>
        <w:t>（如法人参加投标，可不提供委托书）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政府采购磋商的一切事项，其法律后果由我方承担。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签发日期：年月日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widowControl/>
        <w:adjustRightInd/>
        <w:jc w:val="left"/>
        <w:rPr>
          <w:rFonts w:cs="仿宋_GB2312" w:asciiTheme="minorEastAsia" w:hAnsiTheme="minorEastAsia" w:eastAsiaTheme="minorEastAsia"/>
          <w:b/>
          <w:color w:val="auto"/>
          <w:sz w:val="30"/>
          <w:szCs w:val="30"/>
          <w:highlight w:val="none"/>
        </w:rPr>
      </w:pPr>
    </w:p>
    <w:p>
      <w:pPr>
        <w:snapToGrid w:val="0"/>
        <w:spacing w:line="360" w:lineRule="auto"/>
        <w:ind w:firstLine="576"/>
        <w:rPr>
          <w:rFonts w:cs="仿宋_GB2312" w:asciiTheme="minorEastAsia" w:hAnsiTheme="minorEastAsia" w:eastAsiaTheme="minorEastAsia"/>
          <w:b/>
          <w:bCs/>
          <w:color w:val="auto"/>
          <w:sz w:val="28"/>
          <w:szCs w:val="28"/>
          <w:highlight w:val="none"/>
        </w:rPr>
      </w:pPr>
      <w:r>
        <w:rPr>
          <w:rFonts w:hint="eastAsia" w:ascii="宋体" w:hAnsi="宋体" w:cs="宋体"/>
          <w:b/>
          <w:bCs/>
          <w:color w:val="auto"/>
          <w:sz w:val="24"/>
          <w:highlight w:val="none"/>
        </w:rPr>
        <w:t>附授权代表近六个月任一月缴纳社保证明</w:t>
      </w:r>
    </w:p>
    <w:p>
      <w:pPr>
        <w:spacing w:line="360" w:lineRule="auto"/>
        <w:jc w:val="center"/>
        <w:rPr>
          <w:rFonts w:ascii="宋体" w:hAnsi="宋体" w:cs="宋体"/>
          <w:color w:val="auto"/>
          <w:kern w:val="0"/>
          <w:sz w:val="24"/>
          <w:highlight w:val="none"/>
          <w:lang w:val="zh-CN"/>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966"/>
        <w:ind w:left="0"/>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p>
    <w:p>
      <w:pPr>
        <w:pStyle w:val="966"/>
        <w:ind w:left="0"/>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t>四、投标人股权信息表</w:t>
      </w:r>
    </w:p>
    <w:p>
      <w:pPr>
        <w:rPr>
          <w:rFonts w:ascii="宋体" w:hAnsi="宋体" w:cs="宋体"/>
          <w:color w:val="auto"/>
          <w:highlight w:val="none"/>
        </w:rPr>
      </w:pPr>
    </w:p>
    <w:tbl>
      <w:tblPr>
        <w:tblStyle w:val="73"/>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投标人全称（盖章）：</w:t>
            </w:r>
          </w:p>
        </w:tc>
      </w:tr>
    </w:tbl>
    <w:p>
      <w:pPr>
        <w:rPr>
          <w:rFonts w:ascii="宋体" w:hAnsi="宋体" w:cs="宋体"/>
          <w:b/>
          <w:bCs/>
          <w:color w:val="auto"/>
          <w:highlight w:val="none"/>
        </w:rPr>
      </w:pPr>
    </w:p>
    <w:p>
      <w:pPr>
        <w:snapToGrid w:val="0"/>
        <w:spacing w:line="360" w:lineRule="auto"/>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en-US" w:eastAsia="zh-CN"/>
        </w:rPr>
        <w:t>采购需求</w:t>
      </w:r>
      <w:r>
        <w:rPr>
          <w:rFonts w:hint="eastAsia" w:ascii="宋体" w:hAnsi="宋体" w:cs="宋体"/>
          <w:b/>
          <w:color w:val="auto"/>
          <w:kern w:val="0"/>
          <w:sz w:val="32"/>
          <w:szCs w:val="32"/>
          <w:highlight w:val="none"/>
        </w:rPr>
        <w:t>偏离表</w:t>
      </w:r>
    </w:p>
    <w:p>
      <w:pPr>
        <w:spacing w:line="400" w:lineRule="exact"/>
        <w:ind w:firstLine="480"/>
        <w:rPr>
          <w:rFonts w:ascii="宋体" w:hAnsi="宋体" w:cs="宋体"/>
          <w:color w:val="auto"/>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项目名称：项目编号：</w:t>
      </w:r>
    </w:p>
    <w:tbl>
      <w:tblPr>
        <w:tblStyle w:val="73"/>
        <w:tblW w:w="8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975"/>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297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技术要求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spacing w:line="500" w:lineRule="exact"/>
              <w:ind w:firstLine="480"/>
              <w:rPr>
                <w:rFonts w:ascii="宋体" w:hAnsi="宋体" w:cs="宋体"/>
                <w:color w:val="auto"/>
                <w:highlight w:val="none"/>
              </w:rPr>
            </w:pPr>
          </w:p>
        </w:tc>
        <w:tc>
          <w:tcPr>
            <w:tcW w:w="2975"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16"/>
        <w:rPr>
          <w:rFonts w:hAnsi="宋体" w:cs="宋体"/>
          <w:color w:val="auto"/>
          <w:highlight w:val="none"/>
        </w:rPr>
      </w:pPr>
    </w:p>
    <w:p>
      <w:pPr>
        <w:pStyle w:val="83"/>
        <w:rPr>
          <w:rFonts w:ascii="宋体" w:hAnsi="宋体" w:cs="宋体"/>
          <w:color w:val="auto"/>
          <w:highlight w:val="none"/>
        </w:rPr>
      </w:pPr>
    </w:p>
    <w:p>
      <w:pPr>
        <w:pStyle w:val="83"/>
        <w:rPr>
          <w:rFonts w:ascii="宋体" w:hAnsi="宋体" w:cs="宋体"/>
          <w:color w:val="auto"/>
          <w:highlight w:val="none"/>
        </w:rPr>
      </w:pPr>
    </w:p>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六、商务条款偏离表</w:t>
      </w:r>
    </w:p>
    <w:p>
      <w:pPr>
        <w:ind w:firstLine="560"/>
        <w:jc w:val="center"/>
        <w:rPr>
          <w:rFonts w:ascii="宋体" w:hAnsi="宋体" w:cs="宋体"/>
          <w:color w:val="auto"/>
          <w:sz w:val="28"/>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项目名称：项目编号：</w:t>
      </w:r>
    </w:p>
    <w:tbl>
      <w:tblPr>
        <w:tblStyle w:val="73"/>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270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招标要求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16"/>
        <w:rPr>
          <w:rFonts w:hAnsi="宋体" w:cs="宋体"/>
          <w:color w:val="auto"/>
          <w:highlight w:val="none"/>
        </w:rPr>
      </w:pPr>
    </w:p>
    <w:p>
      <w:pPr>
        <w:spacing w:line="500" w:lineRule="exact"/>
        <w:ind w:firstLine="480"/>
        <w:rPr>
          <w:rFonts w:ascii="宋体" w:hAnsi="宋体" w:cs="宋体"/>
          <w:color w:val="auto"/>
          <w:highlight w:val="none"/>
        </w:rPr>
      </w:pPr>
    </w:p>
    <w:p>
      <w:pPr>
        <w:ind w:firstLine="482"/>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七、完成的类似项目一览表</w:t>
      </w:r>
    </w:p>
    <w:p>
      <w:pPr>
        <w:spacing w:line="200" w:lineRule="atLeast"/>
        <w:ind w:left="-720" w:right="-965" w:firstLine="763"/>
        <w:jc w:val="center"/>
        <w:rPr>
          <w:rFonts w:ascii="宋体" w:hAnsi="宋体" w:cs="宋体"/>
          <w:b/>
          <w:bCs/>
          <w:color w:val="auto"/>
          <w:spacing w:val="30"/>
          <w:sz w:val="32"/>
          <w:highlight w:val="none"/>
        </w:rPr>
      </w:pPr>
    </w:p>
    <w:p>
      <w:pPr>
        <w:ind w:firstLine="840" w:firstLineChars="400"/>
        <w:rPr>
          <w:rFonts w:ascii="宋体" w:hAnsi="宋体" w:cs="宋体"/>
          <w:b/>
          <w:bCs/>
          <w:color w:val="auto"/>
          <w:highlight w:val="none"/>
          <w:lang w:val="zh-CN"/>
        </w:rPr>
      </w:pPr>
      <w:r>
        <w:rPr>
          <w:rFonts w:hint="eastAsia" w:ascii="宋体" w:hAnsi="宋体" w:cs="宋体"/>
          <w:color w:val="auto"/>
          <w:highlight w:val="none"/>
        </w:rPr>
        <w:t>项目名称：项目编号：</w:t>
      </w:r>
    </w:p>
    <w:tbl>
      <w:tblPr>
        <w:tblStyle w:val="73"/>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项目时间</w:t>
            </w:r>
          </w:p>
          <w:p>
            <w:pPr>
              <w:jc w:val="center"/>
              <w:rPr>
                <w:rFonts w:ascii="宋体" w:hAnsi="宋体" w:cs="宋体"/>
                <w:color w:val="auto"/>
                <w:highlight w:val="none"/>
                <w:lang w:val="zh-CN"/>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16"/>
        <w:rPr>
          <w:rFonts w:hAnsi="宋体" w:cs="宋体"/>
          <w:i/>
          <w:iCs/>
          <w:color w:val="auto"/>
          <w:szCs w:val="24"/>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年月日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pPr>
        <w:ind w:firstLine="1911" w:firstLineChars="595"/>
        <w:rPr>
          <w:rFonts w:ascii="宋体" w:hAnsi="宋体" w:cs="宋体"/>
          <w:b/>
          <w:color w:val="auto"/>
          <w:kern w:val="0"/>
          <w:sz w:val="32"/>
          <w:szCs w:val="32"/>
          <w:highlight w:val="none"/>
          <w:lang w:val="zh-CN"/>
        </w:rPr>
      </w:pPr>
      <w:bookmarkStart w:id="407" w:name="_Toc19200"/>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缴纳采购代理服务费承诺书</w:t>
      </w:r>
    </w:p>
    <w:p>
      <w:pPr>
        <w:pStyle w:val="322"/>
        <w:spacing w:line="360" w:lineRule="auto"/>
        <w:ind w:firstLine="482"/>
        <w:jc w:val="center"/>
        <w:rPr>
          <w:rFonts w:hAnsi="宋体" w:cs="宋体"/>
          <w:b/>
          <w:bCs/>
          <w:color w:val="auto"/>
          <w:sz w:val="24"/>
          <w:szCs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我方在你公司组织的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的采购活动中若获成交，我方保证于中标后[具体时间]，按采购文件</w:t>
      </w:r>
      <w:r>
        <w:rPr>
          <w:rFonts w:hint="eastAsia" w:ascii="宋体" w:hAnsi="宋体" w:cs="宋体"/>
          <w:b/>
          <w:color w:val="auto"/>
          <w:sz w:val="24"/>
          <w:highlight w:val="none"/>
        </w:rPr>
        <w:t>“投标人须知前附表”</w:t>
      </w:r>
      <w:r>
        <w:rPr>
          <w:rFonts w:hint="eastAsia" w:ascii="宋体" w:hAnsi="宋体" w:cs="宋体"/>
          <w:color w:val="auto"/>
          <w:sz w:val="24"/>
          <w:highlight w:val="none"/>
        </w:rPr>
        <w:t>规定的采购代理服务费缴纳标准及方式，向你公司支付采购代理服务费。</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我方理解并承诺，若未能按时缴纳采购代理服务费，由此产生的法律责任我方自行承担。我方承诺，本承诺书一旦盖章，即具有法律效力。</w:t>
      </w:r>
    </w:p>
    <w:p>
      <w:pPr>
        <w:pStyle w:val="322"/>
        <w:spacing w:line="360" w:lineRule="auto"/>
        <w:ind w:firstLine="480"/>
        <w:rPr>
          <w:rFonts w:hAnsi="宋体" w:cs="宋体"/>
          <w:color w:val="auto"/>
          <w:sz w:val="24"/>
          <w:szCs w:val="24"/>
          <w:highlight w:val="none"/>
        </w:rPr>
      </w:pPr>
      <w:r>
        <w:rPr>
          <w:rFonts w:hint="eastAsia" w:hAnsi="宋体" w:cs="宋体"/>
          <w:color w:val="auto"/>
          <w:sz w:val="24"/>
          <w:szCs w:val="24"/>
          <w:highlight w:val="none"/>
        </w:rPr>
        <w:t>特此承诺。</w:t>
      </w:r>
    </w:p>
    <w:p>
      <w:pPr>
        <w:pStyle w:val="322"/>
        <w:spacing w:line="360" w:lineRule="auto"/>
        <w:ind w:firstLine="480"/>
        <w:rPr>
          <w:rFonts w:hAnsi="宋体" w:cs="宋体"/>
          <w:color w:val="auto"/>
          <w:sz w:val="24"/>
          <w:szCs w:val="24"/>
          <w:highlight w:val="none"/>
        </w:rPr>
      </w:pPr>
      <w:r>
        <w:rPr>
          <w:rFonts w:hint="eastAsia" w:hAnsi="宋体" w:cs="宋体"/>
          <w:color w:val="auto"/>
          <w:sz w:val="24"/>
          <w:szCs w:val="24"/>
          <w:highlight w:val="none"/>
        </w:rPr>
        <w:t>投标人全称（盖单位公章）：</w:t>
      </w:r>
    </w:p>
    <w:p>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pPr>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bookmarkEnd w:id="407"/>
    </w:p>
    <w:p>
      <w:pPr>
        <w:spacing w:line="360" w:lineRule="auto"/>
        <w:jc w:val="center"/>
        <w:outlineLvl w:val="0"/>
        <w:rPr>
          <w:rFonts w:ascii="宋体" w:hAnsi="宋体" w:cs="宋体"/>
          <w:b/>
          <w:color w:val="auto"/>
          <w:kern w:val="0"/>
          <w:sz w:val="36"/>
          <w:szCs w:val="36"/>
          <w:highlight w:val="none"/>
        </w:rPr>
      </w:pPr>
      <w:bookmarkStart w:id="408" w:name="_Toc32000"/>
      <w:r>
        <w:rPr>
          <w:rFonts w:hint="eastAsia" w:ascii="宋体" w:hAnsi="宋体" w:cs="宋体"/>
          <w:b/>
          <w:color w:val="auto"/>
          <w:kern w:val="0"/>
          <w:sz w:val="36"/>
          <w:szCs w:val="36"/>
          <w:highlight w:val="none"/>
        </w:rPr>
        <w:t>目录</w:t>
      </w:r>
      <w:bookmarkEnd w:id="408"/>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（2）投标分项报价表…………………………………………………………………（页码）</w:t>
      </w:r>
    </w:p>
    <w:p>
      <w:pPr>
        <w:pStyle w:val="725"/>
        <w:spacing w:line="360" w:lineRule="auto"/>
        <w:ind w:firstLine="0"/>
        <w:rPr>
          <w:rFonts w:cs="宋体"/>
          <w:color w:val="auto"/>
          <w:highlight w:val="none"/>
        </w:rPr>
      </w:pPr>
      <w:r>
        <w:rPr>
          <w:rFonts w:hint="eastAsia" w:cs="宋体"/>
          <w:color w:val="auto"/>
          <w:highlight w:val="none"/>
        </w:rPr>
        <w:t>（3）投标人针对报价需要说明的其他文件和说明…………………………………（页码）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47" w:right="1304" w:bottom="1020" w:left="1304" w:header="720" w:footer="720" w:gutter="0"/>
          <w:cols w:space="0" w:num="1"/>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09" w:name="_Toc29590"/>
      <w:r>
        <w:rPr>
          <w:rFonts w:hint="eastAsia" w:ascii="宋体" w:hAnsi="宋体" w:eastAsia="宋体" w:cs="宋体"/>
          <w:color w:val="auto"/>
          <w:kern w:val="2"/>
          <w:sz w:val="32"/>
          <w:szCs w:val="32"/>
          <w:highlight w:val="none"/>
        </w:rPr>
        <w:t>一、开标一览表（报价表）</w:t>
      </w:r>
      <w:bookmarkEnd w:id="409"/>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3"/>
        <w:tblW w:w="7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139"/>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012" w:type="dxa"/>
            <w:vAlign w:val="center"/>
          </w:tcPr>
          <w:p>
            <w:pPr>
              <w:spacing w:line="400" w:lineRule="exact"/>
              <w:ind w:right="25" w:rightChars="12"/>
              <w:jc w:val="center"/>
              <w:rPr>
                <w:rFonts w:ascii="宋体" w:cs="仿宋_GB2312"/>
                <w:b/>
                <w:color w:val="auto"/>
                <w:szCs w:val="21"/>
                <w:highlight w:val="none"/>
              </w:rPr>
            </w:pPr>
            <w:r>
              <w:rPr>
                <w:rFonts w:hint="eastAsia" w:ascii="宋体" w:cs="仿宋_GB2312"/>
                <w:b/>
                <w:color w:val="auto"/>
                <w:szCs w:val="21"/>
                <w:highlight w:val="none"/>
              </w:rPr>
              <w:t>序号</w:t>
            </w:r>
          </w:p>
        </w:tc>
        <w:tc>
          <w:tcPr>
            <w:tcW w:w="3139" w:type="dxa"/>
            <w:vAlign w:val="center"/>
          </w:tcPr>
          <w:p>
            <w:pPr>
              <w:spacing w:line="400" w:lineRule="exact"/>
              <w:jc w:val="center"/>
              <w:rPr>
                <w:rFonts w:ascii="宋体"/>
                <w:b/>
                <w:color w:val="auto"/>
                <w:szCs w:val="21"/>
                <w:highlight w:val="none"/>
              </w:rPr>
            </w:pPr>
            <w:r>
              <w:rPr>
                <w:rFonts w:hint="eastAsia" w:ascii="宋体"/>
                <w:b/>
                <w:color w:val="auto"/>
                <w:szCs w:val="21"/>
                <w:highlight w:val="none"/>
              </w:rPr>
              <w:t>服务名称</w:t>
            </w:r>
          </w:p>
        </w:tc>
        <w:tc>
          <w:tcPr>
            <w:tcW w:w="3031" w:type="dxa"/>
            <w:vAlign w:val="center"/>
          </w:tcPr>
          <w:p>
            <w:pPr>
              <w:spacing w:line="400" w:lineRule="exact"/>
              <w:ind w:right="25" w:rightChars="12"/>
              <w:jc w:val="center"/>
              <w:rPr>
                <w:rFonts w:ascii="宋体" w:cs="仿宋_GB2312"/>
                <w:b/>
                <w:color w:val="auto"/>
                <w:szCs w:val="21"/>
                <w:highlight w:val="none"/>
              </w:rPr>
            </w:pPr>
            <w:r>
              <w:rPr>
                <w:rFonts w:hint="eastAsia" w:ascii="宋体" w:cs="仿宋_GB2312"/>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012" w:type="dxa"/>
            <w:vAlign w:val="center"/>
          </w:tcPr>
          <w:p>
            <w:pPr>
              <w:spacing w:line="400" w:lineRule="exact"/>
              <w:ind w:right="25" w:rightChars="12"/>
              <w:jc w:val="center"/>
              <w:rPr>
                <w:rFonts w:ascii="宋体" w:cs="仿宋_GB2312"/>
                <w:color w:val="auto"/>
                <w:szCs w:val="21"/>
                <w:highlight w:val="none"/>
              </w:rPr>
            </w:pPr>
          </w:p>
        </w:tc>
        <w:tc>
          <w:tcPr>
            <w:tcW w:w="3139" w:type="dxa"/>
            <w:vAlign w:val="center"/>
          </w:tcPr>
          <w:p>
            <w:pPr>
              <w:spacing w:line="400" w:lineRule="exact"/>
              <w:ind w:right="25" w:rightChars="12"/>
              <w:jc w:val="center"/>
              <w:rPr>
                <w:rFonts w:ascii="宋体"/>
                <w:color w:val="auto"/>
                <w:szCs w:val="21"/>
                <w:highlight w:val="none"/>
              </w:rPr>
            </w:pPr>
          </w:p>
        </w:tc>
        <w:tc>
          <w:tcPr>
            <w:tcW w:w="3031" w:type="dxa"/>
            <w:vAlign w:val="center"/>
          </w:tcPr>
          <w:p>
            <w:pPr>
              <w:spacing w:line="400" w:lineRule="exact"/>
              <w:ind w:right="25" w:rightChars="12"/>
              <w:jc w:val="center"/>
              <w:rPr>
                <w:rFonts w:ascii="宋体" w:cs="仿宋_GB2312"/>
                <w:color w:val="auto"/>
                <w:szCs w:val="21"/>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3、特别提示：采购代理机构将对项目名称和项目编号，中标供应商名称、地址和中标金额，主要中标标的名称、品牌（如果有）、数量、单价等予以公示。</w:t>
      </w:r>
    </w:p>
    <w:p>
      <w:pPr>
        <w:snapToGrid w:val="0"/>
        <w:spacing w:line="360" w:lineRule="auto"/>
        <w:ind w:firstLine="480" w:firstLineChars="200"/>
        <w:jc w:val="left"/>
        <w:rPr>
          <w:rFonts w:ascii="宋体" w:hAnsi="宋体" w:cs="宋体"/>
          <w:b/>
          <w:color w:val="auto"/>
          <w:highlight w:val="none"/>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304" w:bottom="1020" w:left="1304" w:header="720" w:footer="720" w:gutter="0"/>
          <w:cols w:space="0" w:num="1"/>
          <w:docGrid w:linePitch="312" w:charSpace="0"/>
        </w:sectPr>
      </w:pPr>
      <w:bookmarkStart w:id="410" w:name="_Toc32262"/>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二、投标分项报价表</w:t>
      </w:r>
      <w:bookmarkEnd w:id="410"/>
    </w:p>
    <w:p>
      <w:pPr>
        <w:spacing w:line="360" w:lineRule="auto"/>
        <w:jc w:val="center"/>
        <w:rPr>
          <w:rFonts w:ascii="宋体" w:hAnsi="宋体" w:cs="仿宋_GB2312"/>
          <w:b/>
          <w:bCs/>
          <w:color w:val="auto"/>
          <w:sz w:val="32"/>
          <w:szCs w:val="32"/>
          <w:highlight w:val="none"/>
        </w:rPr>
      </w:pPr>
    </w:p>
    <w:p>
      <w:pPr>
        <w:tabs>
          <w:tab w:val="left" w:pos="3780"/>
        </w:tabs>
        <w:spacing w:after="60" w:afterLines="25" w:line="360" w:lineRule="auto"/>
        <w:rPr>
          <w:rFonts w:ascii="宋体" w:hAnsi="宋体"/>
          <w:b/>
          <w:color w:val="auto"/>
          <w:sz w:val="24"/>
          <w:highlight w:val="none"/>
        </w:rPr>
      </w:pPr>
      <w:r>
        <w:rPr>
          <w:rFonts w:hint="eastAsia" w:ascii="宋体" w:hAnsi="宋体"/>
          <w:b/>
          <w:color w:val="auto"/>
          <w:sz w:val="24"/>
          <w:highlight w:val="none"/>
        </w:rPr>
        <w:t xml:space="preserve">项目名称： </w:t>
      </w:r>
    </w:p>
    <w:p>
      <w:pPr>
        <w:tabs>
          <w:tab w:val="left" w:pos="3780"/>
        </w:tabs>
        <w:spacing w:after="60" w:afterLines="25" w:line="360" w:lineRule="auto"/>
        <w:rPr>
          <w:rFonts w:ascii="宋体" w:hAnsi="宋体"/>
          <w:b/>
          <w:color w:val="auto"/>
          <w:sz w:val="24"/>
          <w:highlight w:val="none"/>
        </w:rPr>
      </w:pPr>
      <w:r>
        <w:rPr>
          <w:rFonts w:hint="eastAsia" w:ascii="宋体" w:hAnsi="宋体"/>
          <w:b/>
          <w:color w:val="auto"/>
          <w:sz w:val="24"/>
          <w:highlight w:val="none"/>
        </w:rPr>
        <w:t>项目编号：</w:t>
      </w:r>
    </w:p>
    <w:tbl>
      <w:tblPr>
        <w:tblStyle w:val="73"/>
        <w:tblW w:w="89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294"/>
        <w:gridCol w:w="1071"/>
        <w:gridCol w:w="2147"/>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294" w:type="dxa"/>
            <w:vAlign w:val="center"/>
          </w:tcPr>
          <w:p>
            <w:pPr>
              <w:spacing w:line="600" w:lineRule="exact"/>
              <w:jc w:val="center"/>
              <w:rPr>
                <w:rFonts w:ascii="宋体" w:hAnsi="宋体"/>
                <w:b/>
                <w:bCs/>
                <w:color w:val="auto"/>
                <w:szCs w:val="21"/>
                <w:highlight w:val="none"/>
              </w:rPr>
            </w:pPr>
            <w:r>
              <w:rPr>
                <w:rFonts w:hint="eastAsia" w:ascii="宋体" w:hAnsi="宋体"/>
                <w:b/>
                <w:bCs/>
                <w:color w:val="auto"/>
                <w:szCs w:val="21"/>
                <w:highlight w:val="none"/>
              </w:rPr>
              <w:t>内容</w:t>
            </w:r>
          </w:p>
        </w:tc>
        <w:tc>
          <w:tcPr>
            <w:tcW w:w="1071" w:type="dxa"/>
            <w:vAlign w:val="center"/>
          </w:tcPr>
          <w:p>
            <w:pPr>
              <w:spacing w:line="600" w:lineRule="exact"/>
              <w:jc w:val="center"/>
              <w:rPr>
                <w:rFonts w:ascii="宋体" w:hAnsi="宋体"/>
                <w:b/>
                <w:bCs/>
                <w:i/>
                <w:color w:val="auto"/>
                <w:szCs w:val="21"/>
                <w:highlight w:val="none"/>
              </w:rPr>
            </w:pPr>
            <w:r>
              <w:rPr>
                <w:rFonts w:hint="eastAsia" w:ascii="宋体" w:hAnsi="宋体"/>
                <w:b/>
                <w:bCs/>
                <w:iCs/>
                <w:color w:val="auto"/>
                <w:szCs w:val="21"/>
                <w:highlight w:val="none"/>
              </w:rPr>
              <w:t>数量</w:t>
            </w:r>
          </w:p>
        </w:tc>
        <w:tc>
          <w:tcPr>
            <w:tcW w:w="2147" w:type="dxa"/>
          </w:tcPr>
          <w:p>
            <w:pPr>
              <w:spacing w:line="600" w:lineRule="exact"/>
              <w:jc w:val="center"/>
              <w:rPr>
                <w:rFonts w:ascii="宋体" w:hAnsi="宋体"/>
                <w:b/>
                <w:bCs/>
                <w:color w:val="auto"/>
                <w:szCs w:val="21"/>
                <w:highlight w:val="none"/>
              </w:rPr>
            </w:pPr>
            <w:r>
              <w:rPr>
                <w:rFonts w:hint="eastAsia" w:ascii="宋体" w:hAnsi="宋体"/>
                <w:b/>
                <w:bCs/>
                <w:color w:val="auto"/>
                <w:szCs w:val="21"/>
                <w:highlight w:val="none"/>
              </w:rPr>
              <w:t>单价（人民币元）</w:t>
            </w:r>
          </w:p>
        </w:tc>
        <w:tc>
          <w:tcPr>
            <w:tcW w:w="2286" w:type="dxa"/>
            <w:vAlign w:val="center"/>
          </w:tcPr>
          <w:p>
            <w:pPr>
              <w:spacing w:line="600" w:lineRule="exact"/>
              <w:jc w:val="center"/>
              <w:rPr>
                <w:rFonts w:ascii="宋体" w:hAnsi="宋体"/>
                <w:b/>
                <w:bCs/>
                <w:color w:val="auto"/>
                <w:szCs w:val="21"/>
                <w:highlight w:val="none"/>
              </w:rPr>
            </w:pPr>
            <w:r>
              <w:rPr>
                <w:rFonts w:hint="eastAsia" w:ascii="宋体" w:hAnsi="宋体"/>
                <w:b/>
                <w:bCs/>
                <w:color w:val="auto"/>
                <w:szCs w:val="21"/>
                <w:highlight w:val="none"/>
              </w:rPr>
              <w:t>合价（人民币元）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aps/>
                <w:color w:val="auto"/>
                <w:szCs w:val="21"/>
                <w:highlight w:val="none"/>
              </w:rPr>
            </w:pPr>
            <w:r>
              <w:rPr>
                <w:rFonts w:hint="eastAsia" w:ascii="宋体" w:hAnsi="宋体"/>
                <w:caps/>
                <w:color w:val="auto"/>
                <w:szCs w:val="21"/>
                <w:highlight w:val="none"/>
              </w:rPr>
              <w:t>1</w:t>
            </w: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r>
              <w:rPr>
                <w:rFonts w:hint="eastAsia" w:ascii="宋体" w:hAnsi="宋体"/>
                <w:color w:val="auto"/>
                <w:szCs w:val="21"/>
                <w:highlight w:val="none"/>
              </w:rPr>
              <w:t>2</w:t>
            </w: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r>
              <w:rPr>
                <w:rFonts w:hint="eastAsia" w:ascii="宋体" w:hAnsi="宋体"/>
                <w:color w:val="auto"/>
                <w:szCs w:val="21"/>
                <w:highlight w:val="none"/>
              </w:rPr>
              <w:t>3</w:t>
            </w: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r>
              <w:rPr>
                <w:rFonts w:hint="eastAsia" w:ascii="宋体" w:hAnsi="宋体"/>
                <w:color w:val="auto"/>
                <w:szCs w:val="21"/>
                <w:highlight w:val="none"/>
              </w:rPr>
              <w:t>4</w:t>
            </w: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r>
              <w:rPr>
                <w:rFonts w:hint="eastAsia" w:ascii="宋体" w:hAnsi="宋体"/>
                <w:color w:val="auto"/>
                <w:szCs w:val="21"/>
                <w:highlight w:val="none"/>
              </w:rPr>
              <w:t>5</w:t>
            </w: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44" w:type="dxa"/>
            <w:vAlign w:val="center"/>
          </w:tcPr>
          <w:p>
            <w:pPr>
              <w:spacing w:line="600" w:lineRule="exact"/>
              <w:jc w:val="center"/>
              <w:rPr>
                <w:rFonts w:ascii="宋体" w:hAnsi="宋体"/>
                <w:color w:val="auto"/>
                <w:szCs w:val="21"/>
                <w:highlight w:val="none"/>
              </w:rPr>
            </w:pPr>
            <w:r>
              <w:rPr>
                <w:rFonts w:hint="eastAsia" w:ascii="宋体" w:hAnsi="宋体"/>
                <w:color w:val="auto"/>
                <w:szCs w:val="21"/>
                <w:highlight w:val="none"/>
              </w:rPr>
              <w:t>6</w:t>
            </w: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r>
              <w:rPr>
                <w:rFonts w:hint="eastAsia" w:ascii="宋体" w:hAnsi="宋体"/>
                <w:color w:val="auto"/>
                <w:szCs w:val="21"/>
                <w:highlight w:val="none"/>
              </w:rPr>
              <w:t>7</w:t>
            </w: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spacing w:line="600" w:lineRule="exact"/>
              <w:jc w:val="center"/>
              <w:rPr>
                <w:rFonts w:ascii="宋体" w:hAnsi="宋体"/>
                <w:color w:val="auto"/>
                <w:szCs w:val="21"/>
                <w:highlight w:val="none"/>
              </w:rPr>
            </w:pPr>
          </w:p>
        </w:tc>
        <w:tc>
          <w:tcPr>
            <w:tcW w:w="2294" w:type="dxa"/>
            <w:vAlign w:val="center"/>
          </w:tcPr>
          <w:p>
            <w:pPr>
              <w:spacing w:line="600" w:lineRule="exact"/>
              <w:jc w:val="center"/>
              <w:rPr>
                <w:rFonts w:ascii="宋体" w:hAnsi="宋体"/>
                <w:color w:val="auto"/>
                <w:szCs w:val="21"/>
                <w:highlight w:val="none"/>
              </w:rPr>
            </w:pPr>
          </w:p>
        </w:tc>
        <w:tc>
          <w:tcPr>
            <w:tcW w:w="1071" w:type="dxa"/>
            <w:vAlign w:val="center"/>
          </w:tcPr>
          <w:p>
            <w:pPr>
              <w:spacing w:line="600" w:lineRule="exact"/>
              <w:jc w:val="center"/>
              <w:rPr>
                <w:rFonts w:ascii="宋体" w:hAnsi="宋体"/>
                <w:color w:val="auto"/>
                <w:szCs w:val="21"/>
                <w:highlight w:val="none"/>
              </w:rPr>
            </w:pPr>
          </w:p>
        </w:tc>
        <w:tc>
          <w:tcPr>
            <w:tcW w:w="2147" w:type="dxa"/>
          </w:tcPr>
          <w:p>
            <w:pPr>
              <w:spacing w:line="600" w:lineRule="exact"/>
              <w:jc w:val="center"/>
              <w:rPr>
                <w:rFonts w:ascii="宋体" w:hAnsi="宋体"/>
                <w:color w:val="auto"/>
                <w:szCs w:val="21"/>
                <w:highlight w:val="none"/>
              </w:rPr>
            </w:pPr>
          </w:p>
        </w:tc>
        <w:tc>
          <w:tcPr>
            <w:tcW w:w="2286" w:type="dxa"/>
            <w:vAlign w:val="center"/>
          </w:tcPr>
          <w:p>
            <w:pPr>
              <w:spacing w:line="6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6" w:type="dxa"/>
            <w:gridSpan w:val="4"/>
            <w:vAlign w:val="center"/>
          </w:tcPr>
          <w:p>
            <w:pPr>
              <w:spacing w:line="600" w:lineRule="exact"/>
              <w:jc w:val="center"/>
              <w:rPr>
                <w:rFonts w:ascii="宋体" w:hAnsi="宋体"/>
                <w:color w:val="auto"/>
                <w:szCs w:val="21"/>
                <w:highlight w:val="none"/>
              </w:rPr>
            </w:pPr>
            <w:r>
              <w:rPr>
                <w:rFonts w:hint="eastAsia" w:ascii="宋体" w:hAnsi="宋体"/>
                <w:b/>
                <w:color w:val="auto"/>
                <w:szCs w:val="21"/>
                <w:highlight w:val="none"/>
              </w:rPr>
              <w:t>总 合 计 价</w:t>
            </w:r>
            <w:r>
              <w:rPr>
                <w:rFonts w:hint="eastAsia" w:ascii="宋体" w:hAnsi="宋体"/>
                <w:b/>
                <w:bCs/>
                <w:color w:val="auto"/>
                <w:szCs w:val="21"/>
                <w:highlight w:val="none"/>
              </w:rPr>
              <w:t>（人民币元）</w:t>
            </w:r>
          </w:p>
        </w:tc>
        <w:tc>
          <w:tcPr>
            <w:tcW w:w="2286" w:type="dxa"/>
          </w:tcPr>
          <w:p>
            <w:pPr>
              <w:spacing w:line="600" w:lineRule="exact"/>
              <w:jc w:val="center"/>
              <w:rPr>
                <w:rFonts w:ascii="宋体" w:hAnsi="宋体"/>
                <w:color w:val="auto"/>
                <w:szCs w:val="21"/>
                <w:highlight w:val="none"/>
              </w:rPr>
            </w:pPr>
          </w:p>
        </w:tc>
      </w:tr>
    </w:tbl>
    <w:p>
      <w:pPr>
        <w:autoSpaceDE w:val="0"/>
        <w:autoSpaceDN w:val="0"/>
        <w:spacing w:line="360" w:lineRule="auto"/>
        <w:ind w:right="1120"/>
        <w:jc w:val="left"/>
        <w:rPr>
          <w:rFonts w:ascii="宋体" w:hAnsi="宋体" w:cs="仿宋_GB2312"/>
          <w:color w:val="auto"/>
          <w:kern w:val="0"/>
          <w:sz w:val="24"/>
          <w:highlight w:val="none"/>
        </w:rPr>
      </w:pPr>
      <w:r>
        <w:rPr>
          <w:rFonts w:hint="eastAsia" w:ascii="宋体" w:hAnsi="宋体" w:cs="宋体"/>
          <w:color w:val="auto"/>
          <w:szCs w:val="21"/>
          <w:highlight w:val="none"/>
        </w:rPr>
        <w:t>注：供应商可以自行添加分项内容。</w:t>
      </w:r>
    </w:p>
    <w:p>
      <w:pPr>
        <w:autoSpaceDE w:val="0"/>
        <w:autoSpaceDN w:val="0"/>
        <w:spacing w:line="360" w:lineRule="auto"/>
        <w:ind w:right="11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pStyle w:val="42"/>
        <w:tabs>
          <w:tab w:val="left" w:pos="0"/>
          <w:tab w:val="left" w:pos="1260"/>
          <w:tab w:val="left" w:pos="1365"/>
        </w:tabs>
        <w:ind w:left="0" w:leftChars="0" w:firstLine="0" w:firstLineChars="0"/>
        <w:rPr>
          <w:rFonts w:cs="宋体"/>
          <w:i/>
          <w:iCs/>
          <w:color w:val="auto"/>
          <w:sz w:val="30"/>
          <w:highlight w:val="none"/>
        </w:rPr>
        <w:sectPr>
          <w:pgSz w:w="11906" w:h="16838"/>
          <w:pgMar w:top="1247" w:right="1304" w:bottom="1020" w:left="1304" w:header="720" w:footer="720" w:gutter="0"/>
          <w:cols w:space="0" w:num="1"/>
          <w:docGrid w:linePitch="312" w:charSpace="0"/>
        </w:sectPr>
      </w:pPr>
      <w:r>
        <w:rPr>
          <w:rFonts w:hint="eastAsia" w:cs="宋体"/>
          <w:color w:val="auto"/>
          <w:kern w:val="0"/>
          <w:sz w:val="24"/>
          <w:highlight w:val="none"/>
          <w:lang w:val="zh-CN"/>
        </w:rPr>
        <w:t>日期</w:t>
      </w:r>
      <w:r>
        <w:rPr>
          <w:rFonts w:hint="eastAsia" w:cs="宋体"/>
          <w:color w:val="auto"/>
          <w:kern w:val="0"/>
          <w:sz w:val="24"/>
          <w:highlight w:val="none"/>
        </w:rPr>
        <w:t>：</w:t>
      </w:r>
      <w:r>
        <w:rPr>
          <w:rFonts w:hint="eastAsia" w:cs="宋体"/>
          <w:color w:val="auto"/>
          <w:kern w:val="0"/>
          <w:sz w:val="24"/>
          <w:highlight w:val="none"/>
          <w:lang w:val="zh-CN"/>
        </w:rPr>
        <w:t>年月日</w:t>
      </w:r>
    </w:p>
    <w:p>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11" w:name="_Toc6221"/>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411"/>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jc w:val="center"/>
        <w:rPr>
          <w:rFonts w:ascii="宋体" w:hAnsi="宋体" w:cs="宋体"/>
          <w:b/>
          <w:color w:val="auto"/>
          <w:sz w:val="32"/>
          <w:szCs w:val="32"/>
          <w:highlight w:val="none"/>
        </w:rPr>
      </w:pPr>
      <w:r>
        <w:rPr>
          <w:rFonts w:hint="eastAsia" w:ascii="宋体" w:hAnsi="宋体" w:cs="宋体"/>
          <w:b/>
          <w:color w:val="auto"/>
          <w:sz w:val="32"/>
          <w:szCs w:val="32"/>
          <w:highlight w:val="none"/>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2" w:name="_Toc20518"/>
      <w:bookmarkStart w:id="413" w:name="_Toc465665161"/>
      <w:r>
        <w:rPr>
          <w:rFonts w:hint="eastAsia" w:ascii="宋体" w:hAnsi="宋体" w:cs="宋体"/>
          <w:color w:val="auto"/>
          <w:highlight w:val="none"/>
        </w:rPr>
        <w:t>附件</w:t>
      </w:r>
      <w:bookmarkEnd w:id="412"/>
      <w:bookmarkEnd w:id="413"/>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4" w:name="OLE_LINK13"/>
      <w:bookmarkStart w:id="415" w:name="OLE_LINK14"/>
      <w:r>
        <w:rPr>
          <w:rFonts w:hint="eastAsia" w:ascii="宋体" w:hAnsi="宋体" w:cs="宋体"/>
          <w:b/>
          <w:color w:val="auto"/>
          <w:spacing w:val="6"/>
          <w:sz w:val="32"/>
          <w:szCs w:val="32"/>
          <w:highlight w:val="none"/>
        </w:rPr>
        <w:t>残疾人福利性单位声明函</w:t>
      </w:r>
    </w:p>
    <w:bookmarkEnd w:id="414"/>
    <w:bookmarkEnd w:id="415"/>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投标人名称(盖章)</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44"/>
          <w:szCs w:val="44"/>
          <w:highlight w:val="none"/>
        </w:rPr>
      </w:pPr>
      <w:bookmarkStart w:id="416" w:name="_Toc14912"/>
      <w:r>
        <w:rPr>
          <w:rFonts w:hint="eastAsia" w:ascii="宋体" w:hAnsi="宋体" w:cs="宋体"/>
          <w:b/>
          <w:color w:val="auto"/>
          <w:kern w:val="0"/>
          <w:sz w:val="44"/>
          <w:szCs w:val="44"/>
          <w:highlight w:val="none"/>
        </w:rPr>
        <w:br w:type="page"/>
      </w:r>
    </w:p>
    <w:p>
      <w:pPr>
        <w:snapToGrid w:val="0"/>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附件4：中小企业声明函</w:t>
      </w:r>
      <w:bookmarkEnd w:id="416"/>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i/>
          <w:iCs/>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iCs/>
          <w:color w:val="auto"/>
          <w:kern w:val="0"/>
          <w:sz w:val="24"/>
          <w:highlight w:val="none"/>
          <w:u w:val="single"/>
        </w:rPr>
        <w:t>（项目名称）</w:t>
      </w:r>
      <w:r>
        <w:rPr>
          <w:rFonts w:hint="eastAsia" w:ascii="宋体" w:hAnsi="宋体" w:cs="宋体"/>
          <w:color w:val="auto"/>
          <w:kern w:val="0"/>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（风雨场馆项目勘察设计服务）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（建筑业）</w:t>
      </w:r>
      <w:r>
        <w:rPr>
          <w:rFonts w:hint="eastAsia" w:ascii="宋体" w:hAnsi="宋体" w:cs="宋体"/>
          <w:color w:val="auto"/>
          <w:kern w:val="0"/>
          <w:sz w:val="24"/>
          <w:highlight w:val="none"/>
        </w:rPr>
        <w:t>；承建（承接）企业为</w:t>
      </w:r>
      <w:r>
        <w:rPr>
          <w:rFonts w:hint="eastAsia" w:ascii="宋体" w:hAnsi="宋体" w:cs="宋体"/>
          <w:i/>
          <w:iCs/>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kern w:val="0"/>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i/>
          <w:iCs/>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i/>
          <w:iCs/>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i/>
          <w:iCs/>
          <w:color w:val="auto"/>
          <w:kern w:val="0"/>
          <w:sz w:val="24"/>
          <w:highlight w:val="none"/>
          <w:u w:val="single"/>
        </w:rPr>
        <w:t>（建筑业）</w:t>
      </w:r>
      <w:r>
        <w:rPr>
          <w:rFonts w:hint="eastAsia" w:ascii="宋体" w:hAnsi="宋体" w:cs="宋体"/>
          <w:color w:val="auto"/>
          <w:kern w:val="0"/>
          <w:sz w:val="24"/>
          <w:highlight w:val="none"/>
        </w:rPr>
        <w:t>；承建（承接）企业为</w:t>
      </w:r>
      <w:r>
        <w:rPr>
          <w:rFonts w:hint="eastAsia" w:ascii="宋体" w:hAnsi="宋体" w:cs="宋体"/>
          <w:i/>
          <w:iCs/>
          <w:color w:val="auto"/>
          <w:kern w:val="0"/>
          <w:sz w:val="24"/>
          <w:highlight w:val="none"/>
          <w:u w:val="single"/>
        </w:rPr>
        <w:t>（企业名称）</w:t>
      </w:r>
      <w:r>
        <w:rPr>
          <w:rFonts w:hint="eastAsia" w:ascii="宋体" w:hAnsi="宋体" w:cs="宋体"/>
          <w:color w:val="auto"/>
          <w:kern w:val="0"/>
          <w:sz w:val="24"/>
          <w:highlight w:val="none"/>
        </w:rPr>
        <w:t>，从业人员人，营业收入为万元，资产总额为 万元，属于</w:t>
      </w:r>
      <w:r>
        <w:rPr>
          <w:rFonts w:hint="eastAsia" w:ascii="宋体" w:hAnsi="宋体" w:cs="宋体"/>
          <w:i/>
          <w:iCs/>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spacing w:line="360" w:lineRule="auto"/>
        <w:ind w:firstLine="3840" w:firstLineChars="1600"/>
        <w:jc w:val="left"/>
        <w:rPr>
          <w:rFonts w:ascii="宋体" w:hAnsi="宋体" w:cs="宋体"/>
          <w:color w:val="auto"/>
          <w:kern w:val="0"/>
          <w:sz w:val="24"/>
          <w:highlight w:val="none"/>
        </w:rPr>
      </w:pP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2" w:firstLineChars="200"/>
        <w:rPr>
          <w:rFonts w:ascii="宋体" w:hAnsi="宋体" w:cs="宋体"/>
          <w:b/>
          <w:bCs/>
          <w:color w:val="auto"/>
          <w:sz w:val="24"/>
          <w:highlight w:val="none"/>
        </w:rPr>
      </w:pPr>
      <w:r>
        <w:rPr>
          <w:rFonts w:hint="eastAsia" w:ascii="宋体" w:hAnsi="宋体" w:cs="宋体"/>
          <w:b/>
          <w:bCs/>
          <w:color w:val="auto"/>
          <w:sz w:val="24"/>
          <w:highlight w:val="none"/>
        </w:rPr>
        <w:t>3、本项目属性为服务，采购标的对应的中小企业划分标准所属行业为建筑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right="420" w:firstLine="480" w:firstLineChars="200"/>
        <w:rPr>
          <w:rFonts w:ascii="宋体" w:hAnsi="宋体" w:cs="宋体"/>
          <w:color w:val="auto"/>
          <w:sz w:val="24"/>
          <w:highlight w:val="none"/>
        </w:rPr>
      </w:pP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jc w:val="center"/>
        <w:rPr>
          <w:b/>
          <w:bCs/>
          <w:color w:val="auto"/>
          <w:sz w:val="36"/>
          <w:szCs w:val="36"/>
          <w:highlight w:val="none"/>
        </w:rPr>
      </w:pPr>
      <w:r>
        <w:rPr>
          <w:rFonts w:hint="eastAsia"/>
          <w:b/>
          <w:bCs/>
          <w:color w:val="auto"/>
          <w:sz w:val="36"/>
          <w:szCs w:val="36"/>
          <w:highlight w:val="none"/>
        </w:rPr>
        <w:t>政府采购活动现场确认声明书</w:t>
      </w:r>
    </w:p>
    <w:p>
      <w:pPr>
        <w:spacing w:line="312" w:lineRule="auto"/>
        <w:rPr>
          <w:rFonts w:cs="宋体"/>
          <w:b/>
          <w:color w:val="auto"/>
          <w:sz w:val="24"/>
          <w:highlight w:val="none"/>
        </w:rPr>
      </w:pPr>
      <w:r>
        <w:rPr>
          <w:rFonts w:hint="eastAsia" w:cs="宋体"/>
          <w:color w:val="auto"/>
          <w:sz w:val="24"/>
          <w:highlight w:val="none"/>
        </w:rPr>
        <w:t>浙江五石中正工程咨询有限公司：</w:t>
      </w:r>
    </w:p>
    <w:p>
      <w:pPr>
        <w:spacing w:line="312" w:lineRule="auto"/>
        <w:ind w:firstLine="504"/>
        <w:rPr>
          <w:rFonts w:cs="宋体"/>
          <w:color w:val="auto"/>
          <w:spacing w:val="6"/>
          <w:sz w:val="24"/>
          <w:highlight w:val="none"/>
        </w:rPr>
      </w:pPr>
      <w:r>
        <w:rPr>
          <w:rFonts w:hint="eastAsia" w:cs="宋体"/>
          <w:color w:val="auto"/>
          <w:spacing w:val="6"/>
          <w:sz w:val="24"/>
          <w:highlight w:val="none"/>
        </w:rPr>
        <w:t>本人经由</w:t>
      </w:r>
      <w:r>
        <w:rPr>
          <w:rFonts w:hint="eastAsia" w:cs="宋体"/>
          <w:color w:val="auto"/>
          <w:spacing w:val="6"/>
          <w:sz w:val="24"/>
          <w:highlight w:val="none"/>
          <w:u w:val="single"/>
        </w:rPr>
        <w:t>（单位）</w:t>
      </w:r>
      <w:r>
        <w:rPr>
          <w:rFonts w:hint="eastAsia" w:cs="宋体"/>
          <w:color w:val="auto"/>
          <w:spacing w:val="6"/>
          <w:sz w:val="24"/>
          <w:highlight w:val="none"/>
        </w:rPr>
        <w:t>负责人</w:t>
      </w:r>
      <w:r>
        <w:rPr>
          <w:rFonts w:hint="eastAsia" w:cs="宋体"/>
          <w:color w:val="auto"/>
          <w:spacing w:val="6"/>
          <w:sz w:val="24"/>
          <w:highlight w:val="none"/>
          <w:u w:val="single"/>
        </w:rPr>
        <w:t>（法定代表人）</w:t>
      </w:r>
      <w:r>
        <w:rPr>
          <w:rFonts w:hint="eastAsia" w:cs="宋体"/>
          <w:color w:val="auto"/>
          <w:spacing w:val="6"/>
          <w:sz w:val="24"/>
          <w:highlight w:val="none"/>
        </w:rPr>
        <w:t>合法授权参加</w:t>
      </w:r>
      <w:r>
        <w:rPr>
          <w:rFonts w:hint="eastAsia" w:cs="宋体"/>
          <w:color w:val="auto"/>
          <w:spacing w:val="6"/>
          <w:sz w:val="24"/>
          <w:highlight w:val="none"/>
          <w:u w:val="single"/>
        </w:rPr>
        <w:t>浙江工商职业技术学院风雨场馆项目勘察设计服务项目</w:t>
      </w:r>
      <w:r>
        <w:rPr>
          <w:rFonts w:hint="eastAsia" w:cs="宋体"/>
          <w:color w:val="auto"/>
          <w:spacing w:val="6"/>
          <w:sz w:val="24"/>
          <w:highlight w:val="none"/>
        </w:rPr>
        <w:t>（编号：</w:t>
      </w:r>
      <w:r>
        <w:rPr>
          <w:rFonts w:hint="eastAsia" w:ascii="宋体" w:hAnsi="宋体" w:cs="宋体"/>
          <w:color w:val="auto"/>
          <w:spacing w:val="6"/>
          <w:sz w:val="24"/>
          <w:highlight w:val="none"/>
          <w:u w:val="single"/>
        </w:rPr>
        <w:t>ZJWS-GS202413G</w:t>
      </w:r>
      <w:r>
        <w:rPr>
          <w:rFonts w:hint="eastAsia" w:cs="宋体"/>
          <w:color w:val="auto"/>
          <w:spacing w:val="6"/>
          <w:sz w:val="24"/>
          <w:highlight w:val="none"/>
        </w:rPr>
        <w:t>）采购活动，经与本单位法人代表（负责人）联系确认，现就有关公平竞争事项郑重声明如下：</w:t>
      </w:r>
    </w:p>
    <w:p>
      <w:pPr>
        <w:spacing w:line="312" w:lineRule="auto"/>
        <w:ind w:firstLine="480"/>
        <w:rPr>
          <w:rFonts w:cs="宋体"/>
          <w:color w:val="auto"/>
          <w:sz w:val="24"/>
          <w:highlight w:val="none"/>
        </w:rPr>
      </w:pPr>
      <w:r>
        <w:rPr>
          <w:rFonts w:hint="eastAsia" w:cs="宋体"/>
          <w:color w:val="auto"/>
          <w:sz w:val="24"/>
          <w:highlight w:val="none"/>
        </w:rPr>
        <w:t>一、本单位与采购人之间</w:t>
      </w:r>
    </w:p>
    <w:p>
      <w:pPr>
        <w:spacing w:line="312" w:lineRule="auto"/>
        <w:ind w:firstLine="480"/>
        <w:rPr>
          <w:rFonts w:cs="宋体"/>
          <w:color w:val="auto"/>
          <w:sz w:val="24"/>
          <w:highlight w:val="none"/>
        </w:rPr>
      </w:pPr>
      <w:r>
        <w:rPr>
          <w:rFonts w:hint="eastAsia" w:cs="宋体"/>
          <w:color w:val="auto"/>
          <w:sz w:val="24"/>
          <w:highlight w:val="none"/>
        </w:rPr>
        <w:t>□不存在利害关系</w:t>
      </w:r>
    </w:p>
    <w:p>
      <w:pPr>
        <w:spacing w:line="312" w:lineRule="auto"/>
        <w:ind w:firstLine="480"/>
        <w:rPr>
          <w:rFonts w:cs="宋体"/>
          <w:color w:val="auto"/>
          <w:sz w:val="24"/>
          <w:highlight w:val="none"/>
        </w:rPr>
      </w:pPr>
      <w:r>
        <w:rPr>
          <w:rFonts w:hint="eastAsia" w:cs="宋体"/>
          <w:color w:val="auto"/>
          <w:sz w:val="24"/>
          <w:highlight w:val="none"/>
        </w:rPr>
        <w:t>□存在下列利害关系：</w:t>
      </w:r>
    </w:p>
    <w:p>
      <w:pPr>
        <w:spacing w:line="312" w:lineRule="auto"/>
        <w:ind w:firstLine="480"/>
        <w:rPr>
          <w:rFonts w:cs="宋体"/>
          <w:color w:val="auto"/>
          <w:sz w:val="24"/>
          <w:highlight w:val="none"/>
        </w:rPr>
      </w:pPr>
      <w:r>
        <w:rPr>
          <w:rFonts w:hint="eastAsia" w:cs="宋体"/>
          <w:color w:val="auto"/>
          <w:sz w:val="24"/>
          <w:highlight w:val="none"/>
        </w:rPr>
        <w:t>A.投资关系  B.行政隶属关系  C.业务指导关系 D.其他可能影响采购公正的利害关系</w:t>
      </w:r>
      <w:r>
        <w:rPr>
          <w:rFonts w:hint="eastAsia" w:cs="宋体"/>
          <w:color w:val="auto"/>
          <w:sz w:val="24"/>
          <w:highlight w:val="none"/>
          <w:u w:val="single"/>
        </w:rPr>
        <w:t>（如有，请如实说明）</w:t>
      </w:r>
      <w:r>
        <w:rPr>
          <w:rFonts w:hint="eastAsia" w:cs="宋体"/>
          <w:color w:val="auto"/>
          <w:sz w:val="24"/>
          <w:highlight w:val="none"/>
        </w:rPr>
        <w:t>。</w:t>
      </w:r>
    </w:p>
    <w:p>
      <w:pPr>
        <w:spacing w:line="312" w:lineRule="auto"/>
        <w:ind w:firstLine="504"/>
        <w:rPr>
          <w:rFonts w:cs="宋体"/>
          <w:color w:val="auto"/>
          <w:sz w:val="24"/>
          <w:highlight w:val="none"/>
        </w:rPr>
      </w:pPr>
      <w:r>
        <w:rPr>
          <w:rFonts w:hint="eastAsia" w:cs="宋体"/>
          <w:color w:val="auto"/>
          <w:spacing w:val="6"/>
          <w:sz w:val="24"/>
          <w:highlight w:val="none"/>
        </w:rPr>
        <w:t>二、</w:t>
      </w:r>
      <w:r>
        <w:rPr>
          <w:rFonts w:hint="eastAsia" w:cs="宋体"/>
          <w:color w:val="auto"/>
          <w:sz w:val="24"/>
          <w:highlight w:val="none"/>
        </w:rPr>
        <w:t>现已清楚知道参加本项目采购活动的其他所有供应商名称，本单位</w:t>
      </w:r>
    </w:p>
    <w:p>
      <w:pPr>
        <w:spacing w:line="312" w:lineRule="auto"/>
        <w:ind w:firstLine="480"/>
        <w:rPr>
          <w:rFonts w:cs="宋体"/>
          <w:color w:val="auto"/>
          <w:sz w:val="24"/>
          <w:highlight w:val="none"/>
        </w:rPr>
      </w:pPr>
      <w:r>
        <w:rPr>
          <w:rFonts w:hint="eastAsia" w:cs="宋体"/>
          <w:color w:val="auto"/>
          <w:sz w:val="24"/>
          <w:highlight w:val="none"/>
        </w:rPr>
        <w:t>□与其他所有供应商之间均不存在利害关系</w:t>
      </w:r>
    </w:p>
    <w:p>
      <w:pPr>
        <w:spacing w:line="312" w:lineRule="auto"/>
        <w:ind w:firstLine="480"/>
        <w:rPr>
          <w:rFonts w:cs="宋体"/>
          <w:color w:val="auto"/>
          <w:sz w:val="24"/>
          <w:highlight w:val="none"/>
        </w:rPr>
      </w:pPr>
      <w:r>
        <w:rPr>
          <w:rFonts w:hint="eastAsia" w:cs="宋体"/>
          <w:color w:val="auto"/>
          <w:sz w:val="24"/>
          <w:highlight w:val="none"/>
        </w:rPr>
        <w:t>□与</w:t>
      </w:r>
      <w:r>
        <w:rPr>
          <w:rFonts w:hint="eastAsia" w:cs="宋体"/>
          <w:color w:val="auto"/>
          <w:sz w:val="24"/>
          <w:highlight w:val="none"/>
          <w:u w:val="single"/>
        </w:rPr>
        <w:t>（供应商名称）</w:t>
      </w:r>
      <w:r>
        <w:rPr>
          <w:rFonts w:hint="eastAsia" w:cs="宋体"/>
          <w:color w:val="auto"/>
          <w:sz w:val="24"/>
          <w:highlight w:val="none"/>
        </w:rPr>
        <w:t>之间存在下列利害关系：</w:t>
      </w:r>
    </w:p>
    <w:p>
      <w:pPr>
        <w:spacing w:line="312" w:lineRule="auto"/>
        <w:ind w:firstLine="480"/>
        <w:rPr>
          <w:rFonts w:cs="宋体"/>
          <w:color w:val="auto"/>
          <w:sz w:val="24"/>
          <w:highlight w:val="none"/>
        </w:rPr>
      </w:pPr>
      <w:r>
        <w:rPr>
          <w:rFonts w:hint="eastAsia" w:cs="宋体"/>
          <w:color w:val="auto"/>
          <w:sz w:val="24"/>
          <w:highlight w:val="none"/>
        </w:rPr>
        <w:t>A.法定代表人或负责人或实际控制人是同一人</w:t>
      </w:r>
    </w:p>
    <w:p>
      <w:pPr>
        <w:spacing w:line="312" w:lineRule="auto"/>
        <w:ind w:firstLine="480"/>
        <w:rPr>
          <w:rFonts w:cs="宋体"/>
          <w:color w:val="auto"/>
          <w:spacing w:val="6"/>
          <w:sz w:val="24"/>
          <w:highlight w:val="none"/>
        </w:rPr>
      </w:pPr>
      <w:r>
        <w:rPr>
          <w:rFonts w:hint="eastAsia" w:cs="宋体"/>
          <w:color w:val="auto"/>
          <w:sz w:val="24"/>
          <w:highlight w:val="none"/>
        </w:rPr>
        <w:t>B.法定代表人或负责人或实际控制人是夫妻关系</w:t>
      </w:r>
    </w:p>
    <w:p>
      <w:pPr>
        <w:spacing w:line="312" w:lineRule="auto"/>
        <w:ind w:firstLine="480"/>
        <w:rPr>
          <w:rFonts w:cs="宋体"/>
          <w:color w:val="auto"/>
          <w:spacing w:val="6"/>
          <w:sz w:val="24"/>
          <w:highlight w:val="none"/>
        </w:rPr>
      </w:pPr>
      <w:r>
        <w:rPr>
          <w:rFonts w:hint="eastAsia" w:cs="宋体"/>
          <w:color w:val="auto"/>
          <w:sz w:val="24"/>
          <w:highlight w:val="none"/>
        </w:rPr>
        <w:t>C.法定代表人或负责人或实际控制人是直系血亲关系</w:t>
      </w:r>
    </w:p>
    <w:p>
      <w:pPr>
        <w:spacing w:line="312" w:lineRule="auto"/>
        <w:ind w:firstLine="480"/>
        <w:rPr>
          <w:rFonts w:cs="宋体"/>
          <w:color w:val="auto"/>
          <w:spacing w:val="6"/>
          <w:sz w:val="24"/>
          <w:highlight w:val="none"/>
        </w:rPr>
      </w:pPr>
      <w:r>
        <w:rPr>
          <w:rFonts w:hint="eastAsia" w:cs="宋体"/>
          <w:color w:val="auto"/>
          <w:sz w:val="24"/>
          <w:highlight w:val="none"/>
        </w:rPr>
        <w:t>D.法定代表人或负责人或实际控制人存在三代以内旁系血亲关系</w:t>
      </w:r>
    </w:p>
    <w:p>
      <w:pPr>
        <w:spacing w:line="312" w:lineRule="auto"/>
        <w:ind w:firstLine="480"/>
        <w:rPr>
          <w:rFonts w:cs="宋体"/>
          <w:color w:val="auto"/>
          <w:sz w:val="24"/>
          <w:highlight w:val="none"/>
        </w:rPr>
      </w:pPr>
      <w:r>
        <w:rPr>
          <w:rFonts w:hint="eastAsia" w:cs="宋体"/>
          <w:color w:val="auto"/>
          <w:sz w:val="24"/>
          <w:highlight w:val="none"/>
        </w:rPr>
        <w:t>E.法定代表人或负责人或实际控制人存在近姻亲关系</w:t>
      </w:r>
    </w:p>
    <w:p>
      <w:pPr>
        <w:spacing w:line="312" w:lineRule="auto"/>
        <w:ind w:firstLine="480"/>
        <w:rPr>
          <w:rFonts w:cs="宋体"/>
          <w:color w:val="auto"/>
          <w:sz w:val="24"/>
          <w:highlight w:val="none"/>
        </w:rPr>
      </w:pPr>
      <w:r>
        <w:rPr>
          <w:rFonts w:hint="eastAsia" w:cs="宋体"/>
          <w:color w:val="auto"/>
          <w:sz w:val="24"/>
          <w:highlight w:val="none"/>
        </w:rPr>
        <w:t>F.法定代表人或负责人或实际控制人存在股份控制或实际控制关系</w:t>
      </w:r>
    </w:p>
    <w:p>
      <w:pPr>
        <w:spacing w:line="312" w:lineRule="auto"/>
        <w:ind w:firstLine="480"/>
        <w:rPr>
          <w:rFonts w:cs="宋体"/>
          <w:color w:val="auto"/>
          <w:sz w:val="24"/>
          <w:highlight w:val="none"/>
        </w:rPr>
      </w:pPr>
      <w:r>
        <w:rPr>
          <w:rFonts w:hint="eastAsia" w:cs="宋体"/>
          <w:color w:val="auto"/>
          <w:sz w:val="24"/>
          <w:highlight w:val="none"/>
        </w:rPr>
        <w:t>G.存在共同直接或间接投资设立子公司、联营企业和合营企业情况</w:t>
      </w:r>
    </w:p>
    <w:p>
      <w:pPr>
        <w:spacing w:line="312" w:lineRule="auto"/>
        <w:ind w:firstLine="480"/>
        <w:rPr>
          <w:rFonts w:cs="宋体"/>
          <w:color w:val="auto"/>
          <w:sz w:val="24"/>
          <w:highlight w:val="none"/>
        </w:rPr>
      </w:pPr>
      <w:r>
        <w:rPr>
          <w:rFonts w:hint="eastAsia"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color w:val="auto"/>
          <w:spacing w:val="6"/>
          <w:sz w:val="24"/>
          <w:highlight w:val="none"/>
        </w:rPr>
      </w:pPr>
      <w:r>
        <w:rPr>
          <w:rFonts w:hint="eastAsia" w:cs="宋体"/>
          <w:color w:val="auto"/>
          <w:sz w:val="24"/>
          <w:highlight w:val="none"/>
        </w:rPr>
        <w:t>I.其他利害关系情况。</w:t>
      </w:r>
    </w:p>
    <w:p>
      <w:pPr>
        <w:spacing w:line="312" w:lineRule="auto"/>
        <w:ind w:firstLine="480"/>
        <w:rPr>
          <w:rFonts w:cs="宋体"/>
          <w:color w:val="auto"/>
          <w:sz w:val="24"/>
          <w:highlight w:val="none"/>
        </w:rPr>
      </w:pPr>
      <w:r>
        <w:rPr>
          <w:rFonts w:hint="eastAsia" w:cs="宋体"/>
          <w:color w:val="auto"/>
          <w:sz w:val="24"/>
          <w:highlight w:val="none"/>
        </w:rPr>
        <w:t>现已清楚知道并严格遵守政府采购法律法规和现场纪律。</w:t>
      </w:r>
    </w:p>
    <w:p>
      <w:pPr>
        <w:spacing w:line="312" w:lineRule="auto"/>
        <w:ind w:firstLine="480"/>
        <w:rPr>
          <w:rFonts w:cs="宋体"/>
          <w:color w:val="auto"/>
          <w:sz w:val="24"/>
          <w:highlight w:val="none"/>
        </w:rPr>
      </w:pPr>
      <w:r>
        <w:rPr>
          <w:rFonts w:hint="eastAsia" w:cs="宋体"/>
          <w:color w:val="auto"/>
          <w:sz w:val="24"/>
          <w:highlight w:val="none"/>
        </w:rPr>
        <w:t>我发现供应商之间存在或可能存在上述第二条第项利害关系。</w:t>
      </w:r>
    </w:p>
    <w:p>
      <w:pPr>
        <w:spacing w:line="312" w:lineRule="auto"/>
        <w:ind w:firstLine="480"/>
        <w:rPr>
          <w:rFonts w:cs="宋体"/>
          <w:color w:val="auto"/>
          <w:sz w:val="24"/>
          <w:highlight w:val="none"/>
        </w:rPr>
      </w:pPr>
      <w:r>
        <w:rPr>
          <w:rFonts w:hint="eastAsia" w:cs="宋体"/>
          <w:color w:val="auto"/>
          <w:sz w:val="24"/>
          <w:highlight w:val="none"/>
        </w:rPr>
        <w:t>供应商代表签名：</w:t>
      </w:r>
    </w:p>
    <w:p>
      <w:pPr>
        <w:spacing w:line="312" w:lineRule="auto"/>
        <w:ind w:firstLine="480"/>
        <w:rPr>
          <w:rFonts w:cs="宋体"/>
          <w:color w:val="auto"/>
          <w:sz w:val="24"/>
          <w:highlight w:val="none"/>
        </w:rPr>
      </w:pPr>
      <w:r>
        <w:rPr>
          <w:rFonts w:hint="eastAsia" w:cs="宋体"/>
          <w:color w:val="auto"/>
          <w:sz w:val="24"/>
          <w:highlight w:val="none"/>
        </w:rPr>
        <w:t>2024年月日</w:t>
      </w:r>
    </w:p>
    <w:p>
      <w:pPr>
        <w:spacing w:line="312" w:lineRule="auto"/>
        <w:ind w:firstLine="480"/>
        <w:rPr>
          <w:rFonts w:ascii="宋体" w:hAnsi="宋体" w:cs="宋体"/>
          <w:bCs/>
          <w:color w:val="auto"/>
          <w:sz w:val="24"/>
          <w:highlight w:val="none"/>
        </w:rPr>
      </w:pPr>
      <w:r>
        <w:rPr>
          <w:rFonts w:hint="eastAsia" w:cs="宋体"/>
          <w:i/>
          <w:iCs/>
          <w:color w:val="auto"/>
          <w:sz w:val="24"/>
          <w:highlight w:val="none"/>
        </w:rPr>
        <w:t>注：投标文件解密结束，各供应商签署《政府采购活动现场确认声明书》，签署完成后，扫描发送至邮箱：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宋体"/>
          <w:i/>
          <w:iCs/>
          <w:color w:val="auto"/>
          <w:sz w:val="24"/>
          <w:highlight w:val="none"/>
        </w:rPr>
        <w:t>253656196@qq.com；</w:t>
      </w:r>
      <w:r>
        <w:rPr>
          <w:rFonts w:hint="eastAsia" w:cs="宋体"/>
          <w:i/>
          <w:iCs/>
          <w:color w:val="auto"/>
          <w:sz w:val="24"/>
          <w:highlight w:val="none"/>
        </w:rPr>
        <w:fldChar w:fldCharType="end"/>
      </w:r>
    </w:p>
    <w:sectPr>
      <w:headerReference r:id="rId16" w:type="default"/>
      <w:footerReference r:id="rId17" w:type="default"/>
      <w:pgSz w:w="11906" w:h="16838"/>
      <w:pgMar w:top="1247" w:right="1304" w:bottom="1020" w:left="130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17" w:usb3="00000000" w:csb0="00040001"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altName w:val="Segoe UI"/>
    <w:panose1 w:val="020B0402040204020203"/>
    <w:charset w:val="00"/>
    <w:family w:val="auto"/>
    <w:pitch w:val="default"/>
    <w:sig w:usb0="00000000" w:usb1="00000000" w:usb2="00000009" w:usb3="00000000" w:csb0="200001F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1975536">
    <w:nsid w:val="66A342F0"/>
    <w:multiLevelType w:val="singleLevel"/>
    <w:tmpl w:val="66A342F0"/>
    <w:lvl w:ilvl="0" w:tentative="1">
      <w:start w:val="1"/>
      <w:numFmt w:val="chineseCounting"/>
      <w:suff w:val="nothing"/>
      <w:lvlText w:val="%1、"/>
      <w:lvlJc w:val="left"/>
      <w:pPr>
        <w:tabs>
          <w:tab w:val="left" w:pos="0"/>
        </w:tabs>
      </w:pPr>
      <w:rPr>
        <w:rFonts w:hint="eastAsia"/>
      </w:r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num w:numId="1">
    <w:abstractNumId w:val="1721975536"/>
  </w:num>
  <w:num w:numId="2">
    <w:abstractNumId w:val="1682561663"/>
  </w:num>
  <w:num w:numId="3">
    <w:abstractNumId w:val="331047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2A2"/>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3C"/>
    <w:rsid w:val="00026EAC"/>
    <w:rsid w:val="000270F2"/>
    <w:rsid w:val="00027540"/>
    <w:rsid w:val="00030572"/>
    <w:rsid w:val="00030A97"/>
    <w:rsid w:val="00030CB3"/>
    <w:rsid w:val="0003206A"/>
    <w:rsid w:val="000326A7"/>
    <w:rsid w:val="00032EA0"/>
    <w:rsid w:val="000331B0"/>
    <w:rsid w:val="0003353E"/>
    <w:rsid w:val="000336D4"/>
    <w:rsid w:val="000337F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C6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7DD"/>
    <w:rsid w:val="00064278"/>
    <w:rsid w:val="000646CA"/>
    <w:rsid w:val="000665C4"/>
    <w:rsid w:val="00067821"/>
    <w:rsid w:val="0006785E"/>
    <w:rsid w:val="00067F92"/>
    <w:rsid w:val="00067FA7"/>
    <w:rsid w:val="0007038E"/>
    <w:rsid w:val="0007077C"/>
    <w:rsid w:val="00070825"/>
    <w:rsid w:val="00071CD8"/>
    <w:rsid w:val="00071DB2"/>
    <w:rsid w:val="00072057"/>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9A"/>
    <w:rsid w:val="000808C1"/>
    <w:rsid w:val="00080970"/>
    <w:rsid w:val="00081671"/>
    <w:rsid w:val="00082AD4"/>
    <w:rsid w:val="00083E07"/>
    <w:rsid w:val="00084D27"/>
    <w:rsid w:val="00084ED6"/>
    <w:rsid w:val="0008580E"/>
    <w:rsid w:val="00085A0E"/>
    <w:rsid w:val="00085C4F"/>
    <w:rsid w:val="00086014"/>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06"/>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296"/>
    <w:rsid w:val="000C5374"/>
    <w:rsid w:val="000C5EC0"/>
    <w:rsid w:val="000C6162"/>
    <w:rsid w:val="000C64CC"/>
    <w:rsid w:val="000C6688"/>
    <w:rsid w:val="000C692E"/>
    <w:rsid w:val="000C6B28"/>
    <w:rsid w:val="000C725C"/>
    <w:rsid w:val="000C7BEB"/>
    <w:rsid w:val="000D0124"/>
    <w:rsid w:val="000D11E5"/>
    <w:rsid w:val="000D19E8"/>
    <w:rsid w:val="000D1F22"/>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04"/>
    <w:rsid w:val="00121EC9"/>
    <w:rsid w:val="0012208F"/>
    <w:rsid w:val="001224FE"/>
    <w:rsid w:val="001231D3"/>
    <w:rsid w:val="001232A7"/>
    <w:rsid w:val="00123E2D"/>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62F"/>
    <w:rsid w:val="00153859"/>
    <w:rsid w:val="00153915"/>
    <w:rsid w:val="001539F0"/>
    <w:rsid w:val="0015440B"/>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4EE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792"/>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CF8"/>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303"/>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CB4"/>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DE3"/>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03C"/>
    <w:rsid w:val="002F27E5"/>
    <w:rsid w:val="002F2D81"/>
    <w:rsid w:val="002F2F66"/>
    <w:rsid w:val="002F39D4"/>
    <w:rsid w:val="002F4BA9"/>
    <w:rsid w:val="002F541B"/>
    <w:rsid w:val="002F5BFE"/>
    <w:rsid w:val="002F5DA5"/>
    <w:rsid w:val="002F5E17"/>
    <w:rsid w:val="002F647C"/>
    <w:rsid w:val="002F6C6B"/>
    <w:rsid w:val="002F6CB0"/>
    <w:rsid w:val="002F6EFF"/>
    <w:rsid w:val="002F704A"/>
    <w:rsid w:val="002F7DF0"/>
    <w:rsid w:val="002F7FAF"/>
    <w:rsid w:val="00300573"/>
    <w:rsid w:val="003018A6"/>
    <w:rsid w:val="00301984"/>
    <w:rsid w:val="003025FE"/>
    <w:rsid w:val="00302A27"/>
    <w:rsid w:val="0030306D"/>
    <w:rsid w:val="00303AB6"/>
    <w:rsid w:val="00304640"/>
    <w:rsid w:val="00304AC1"/>
    <w:rsid w:val="00305090"/>
    <w:rsid w:val="00305454"/>
    <w:rsid w:val="00305B9F"/>
    <w:rsid w:val="00305E21"/>
    <w:rsid w:val="003066C6"/>
    <w:rsid w:val="003066FA"/>
    <w:rsid w:val="00306AD6"/>
    <w:rsid w:val="003077F4"/>
    <w:rsid w:val="00307DC7"/>
    <w:rsid w:val="00307FF2"/>
    <w:rsid w:val="00310409"/>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BA7"/>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6F81"/>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A03"/>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53"/>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3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B67"/>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B87"/>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E16"/>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0B5"/>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8C0"/>
    <w:rsid w:val="00494934"/>
    <w:rsid w:val="00494E90"/>
    <w:rsid w:val="0049570D"/>
    <w:rsid w:val="00495C48"/>
    <w:rsid w:val="00495DC6"/>
    <w:rsid w:val="00496CCE"/>
    <w:rsid w:val="00496FEB"/>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122"/>
    <w:rsid w:val="004C3592"/>
    <w:rsid w:val="004C45C8"/>
    <w:rsid w:val="004C46FE"/>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8B2"/>
    <w:rsid w:val="004F7922"/>
    <w:rsid w:val="004F7A1F"/>
    <w:rsid w:val="004F7B47"/>
    <w:rsid w:val="0050079C"/>
    <w:rsid w:val="0050106A"/>
    <w:rsid w:val="005010BC"/>
    <w:rsid w:val="00501848"/>
    <w:rsid w:val="00502AC8"/>
    <w:rsid w:val="00502B31"/>
    <w:rsid w:val="0050434C"/>
    <w:rsid w:val="005048A3"/>
    <w:rsid w:val="0050537D"/>
    <w:rsid w:val="00505861"/>
    <w:rsid w:val="0050591C"/>
    <w:rsid w:val="005059BD"/>
    <w:rsid w:val="005060AE"/>
    <w:rsid w:val="0050790B"/>
    <w:rsid w:val="00507FDF"/>
    <w:rsid w:val="0051037C"/>
    <w:rsid w:val="0051050F"/>
    <w:rsid w:val="0051058B"/>
    <w:rsid w:val="0051071F"/>
    <w:rsid w:val="00510DDC"/>
    <w:rsid w:val="00511166"/>
    <w:rsid w:val="00511A7A"/>
    <w:rsid w:val="00512217"/>
    <w:rsid w:val="00512459"/>
    <w:rsid w:val="005131A2"/>
    <w:rsid w:val="005137E4"/>
    <w:rsid w:val="00513BB9"/>
    <w:rsid w:val="0051440E"/>
    <w:rsid w:val="00514480"/>
    <w:rsid w:val="0051448B"/>
    <w:rsid w:val="005148CD"/>
    <w:rsid w:val="00515180"/>
    <w:rsid w:val="00515753"/>
    <w:rsid w:val="00515973"/>
    <w:rsid w:val="00516069"/>
    <w:rsid w:val="00517AC8"/>
    <w:rsid w:val="00517C3E"/>
    <w:rsid w:val="005207D8"/>
    <w:rsid w:val="0052091D"/>
    <w:rsid w:val="00520EE1"/>
    <w:rsid w:val="005212F4"/>
    <w:rsid w:val="0052189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C0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976CD"/>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4F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8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197"/>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07B"/>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01"/>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985"/>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EE2"/>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E41"/>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B7A"/>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6C3"/>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9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7AB"/>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B1A"/>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48B8"/>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218"/>
    <w:rsid w:val="00817416"/>
    <w:rsid w:val="00817658"/>
    <w:rsid w:val="008206AE"/>
    <w:rsid w:val="00821271"/>
    <w:rsid w:val="00821306"/>
    <w:rsid w:val="008213D9"/>
    <w:rsid w:val="008216CE"/>
    <w:rsid w:val="008218AE"/>
    <w:rsid w:val="00821A53"/>
    <w:rsid w:val="00821D85"/>
    <w:rsid w:val="00821E47"/>
    <w:rsid w:val="008220F6"/>
    <w:rsid w:val="00822456"/>
    <w:rsid w:val="00823819"/>
    <w:rsid w:val="00823C4B"/>
    <w:rsid w:val="0082427D"/>
    <w:rsid w:val="00825441"/>
    <w:rsid w:val="008262D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7AE"/>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965"/>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22"/>
    <w:rsid w:val="00875542"/>
    <w:rsid w:val="00875E14"/>
    <w:rsid w:val="0087677E"/>
    <w:rsid w:val="0087712C"/>
    <w:rsid w:val="008774B1"/>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D48"/>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EC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CAF"/>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57D"/>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39"/>
    <w:rsid w:val="008F7292"/>
    <w:rsid w:val="008F76C0"/>
    <w:rsid w:val="009000F2"/>
    <w:rsid w:val="0090079D"/>
    <w:rsid w:val="0090086A"/>
    <w:rsid w:val="009008B0"/>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E71"/>
    <w:rsid w:val="0094215C"/>
    <w:rsid w:val="00942F8E"/>
    <w:rsid w:val="00943543"/>
    <w:rsid w:val="009441DB"/>
    <w:rsid w:val="00944834"/>
    <w:rsid w:val="00946128"/>
    <w:rsid w:val="0094633F"/>
    <w:rsid w:val="00947BA5"/>
    <w:rsid w:val="00950805"/>
    <w:rsid w:val="009509A0"/>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B5A"/>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E4"/>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1A51"/>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3E6"/>
    <w:rsid w:val="00A55410"/>
    <w:rsid w:val="00A55A04"/>
    <w:rsid w:val="00A564DE"/>
    <w:rsid w:val="00A56C46"/>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A0"/>
    <w:rsid w:val="00A732FB"/>
    <w:rsid w:val="00A7463E"/>
    <w:rsid w:val="00A75185"/>
    <w:rsid w:val="00A758E2"/>
    <w:rsid w:val="00A765B1"/>
    <w:rsid w:val="00A772F2"/>
    <w:rsid w:val="00A777E8"/>
    <w:rsid w:val="00A77828"/>
    <w:rsid w:val="00A77BAA"/>
    <w:rsid w:val="00A800F9"/>
    <w:rsid w:val="00A803A6"/>
    <w:rsid w:val="00A8073D"/>
    <w:rsid w:val="00A80D02"/>
    <w:rsid w:val="00A815FB"/>
    <w:rsid w:val="00A81AEB"/>
    <w:rsid w:val="00A82D32"/>
    <w:rsid w:val="00A82EAE"/>
    <w:rsid w:val="00A82FC7"/>
    <w:rsid w:val="00A847F9"/>
    <w:rsid w:val="00A84F27"/>
    <w:rsid w:val="00A84F72"/>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4DB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15F"/>
    <w:rsid w:val="00AC0432"/>
    <w:rsid w:val="00AC0770"/>
    <w:rsid w:val="00AC1683"/>
    <w:rsid w:val="00AC1D82"/>
    <w:rsid w:val="00AC2D5F"/>
    <w:rsid w:val="00AC4094"/>
    <w:rsid w:val="00AC40C2"/>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C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A78"/>
    <w:rsid w:val="00B241D5"/>
    <w:rsid w:val="00B24BE9"/>
    <w:rsid w:val="00B2547E"/>
    <w:rsid w:val="00B2551D"/>
    <w:rsid w:val="00B25F8C"/>
    <w:rsid w:val="00B260BE"/>
    <w:rsid w:val="00B26677"/>
    <w:rsid w:val="00B26A96"/>
    <w:rsid w:val="00B26B8B"/>
    <w:rsid w:val="00B26F5E"/>
    <w:rsid w:val="00B274E3"/>
    <w:rsid w:val="00B2765C"/>
    <w:rsid w:val="00B27C4B"/>
    <w:rsid w:val="00B30563"/>
    <w:rsid w:val="00B3069E"/>
    <w:rsid w:val="00B30A76"/>
    <w:rsid w:val="00B31246"/>
    <w:rsid w:val="00B32295"/>
    <w:rsid w:val="00B33AB5"/>
    <w:rsid w:val="00B340EB"/>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2AF"/>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592"/>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1E"/>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90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1A1"/>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18A7"/>
    <w:rsid w:val="00C12414"/>
    <w:rsid w:val="00C12ECB"/>
    <w:rsid w:val="00C148B2"/>
    <w:rsid w:val="00C14ABD"/>
    <w:rsid w:val="00C14F82"/>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8F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16"/>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FF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7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563"/>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4F0"/>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72C"/>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FF9"/>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4D0"/>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D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6F2F"/>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1BA"/>
    <w:rsid w:val="00DF4FF1"/>
    <w:rsid w:val="00DF56A3"/>
    <w:rsid w:val="00DF5B33"/>
    <w:rsid w:val="00DF5BE0"/>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B1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54"/>
    <w:rsid w:val="00E42077"/>
    <w:rsid w:val="00E4208F"/>
    <w:rsid w:val="00E42E94"/>
    <w:rsid w:val="00E43006"/>
    <w:rsid w:val="00E4312A"/>
    <w:rsid w:val="00E4331B"/>
    <w:rsid w:val="00E43551"/>
    <w:rsid w:val="00E437FA"/>
    <w:rsid w:val="00E44AEB"/>
    <w:rsid w:val="00E457D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1F40"/>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42"/>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18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76B"/>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BC9"/>
    <w:rsid w:val="00F56F7E"/>
    <w:rsid w:val="00F56FEF"/>
    <w:rsid w:val="00F57521"/>
    <w:rsid w:val="00F57E2D"/>
    <w:rsid w:val="00F60938"/>
    <w:rsid w:val="00F60C7E"/>
    <w:rsid w:val="00F60E0A"/>
    <w:rsid w:val="00F61606"/>
    <w:rsid w:val="00F61918"/>
    <w:rsid w:val="00F62151"/>
    <w:rsid w:val="00F62B58"/>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45"/>
    <w:rsid w:val="00F85329"/>
    <w:rsid w:val="00F85683"/>
    <w:rsid w:val="00F85841"/>
    <w:rsid w:val="00F86079"/>
    <w:rsid w:val="00F8610A"/>
    <w:rsid w:val="00F8703C"/>
    <w:rsid w:val="00F87282"/>
    <w:rsid w:val="00F878CD"/>
    <w:rsid w:val="00F87905"/>
    <w:rsid w:val="00F87A66"/>
    <w:rsid w:val="00F90C1F"/>
    <w:rsid w:val="00F912D9"/>
    <w:rsid w:val="00F91A44"/>
    <w:rsid w:val="00F91BFA"/>
    <w:rsid w:val="00F91F8F"/>
    <w:rsid w:val="00F9217B"/>
    <w:rsid w:val="00F94016"/>
    <w:rsid w:val="00F953D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84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BBD"/>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3B7"/>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72DDA"/>
    <w:rsid w:val="01D55165"/>
    <w:rsid w:val="01DF6BF8"/>
    <w:rsid w:val="01EC2C57"/>
    <w:rsid w:val="02555ED9"/>
    <w:rsid w:val="025F0711"/>
    <w:rsid w:val="026B2E25"/>
    <w:rsid w:val="027C3B46"/>
    <w:rsid w:val="02824D4D"/>
    <w:rsid w:val="02C7244E"/>
    <w:rsid w:val="02DC4B10"/>
    <w:rsid w:val="02DD76CE"/>
    <w:rsid w:val="02F36323"/>
    <w:rsid w:val="02F5619C"/>
    <w:rsid w:val="0326446A"/>
    <w:rsid w:val="032D5555"/>
    <w:rsid w:val="036634D2"/>
    <w:rsid w:val="03BD0EA4"/>
    <w:rsid w:val="03DD35E4"/>
    <w:rsid w:val="04076900"/>
    <w:rsid w:val="041A5A3B"/>
    <w:rsid w:val="042311BA"/>
    <w:rsid w:val="042B157A"/>
    <w:rsid w:val="048F763B"/>
    <w:rsid w:val="049F330E"/>
    <w:rsid w:val="04AA775C"/>
    <w:rsid w:val="04AF1889"/>
    <w:rsid w:val="04F66F48"/>
    <w:rsid w:val="05251E14"/>
    <w:rsid w:val="052E3B44"/>
    <w:rsid w:val="05A16594"/>
    <w:rsid w:val="05A7762D"/>
    <w:rsid w:val="05CC333A"/>
    <w:rsid w:val="060E5941"/>
    <w:rsid w:val="06110FAF"/>
    <w:rsid w:val="06493CA7"/>
    <w:rsid w:val="065A6178"/>
    <w:rsid w:val="066F1CF3"/>
    <w:rsid w:val="06930BB8"/>
    <w:rsid w:val="07245D42"/>
    <w:rsid w:val="07264C62"/>
    <w:rsid w:val="07471A22"/>
    <w:rsid w:val="0779354C"/>
    <w:rsid w:val="07BC2174"/>
    <w:rsid w:val="07EE58FC"/>
    <w:rsid w:val="08061376"/>
    <w:rsid w:val="08452D77"/>
    <w:rsid w:val="086401F8"/>
    <w:rsid w:val="086D19FF"/>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A7990"/>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32C56"/>
    <w:rsid w:val="10646583"/>
    <w:rsid w:val="107D4B15"/>
    <w:rsid w:val="108A3C80"/>
    <w:rsid w:val="10C26171"/>
    <w:rsid w:val="10F33360"/>
    <w:rsid w:val="10F3647A"/>
    <w:rsid w:val="10FC16EA"/>
    <w:rsid w:val="110F1D40"/>
    <w:rsid w:val="11122C3D"/>
    <w:rsid w:val="11266F33"/>
    <w:rsid w:val="117A71EE"/>
    <w:rsid w:val="118963A1"/>
    <w:rsid w:val="11C6522A"/>
    <w:rsid w:val="11E104CC"/>
    <w:rsid w:val="11E20309"/>
    <w:rsid w:val="11ED5DE2"/>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CC589B"/>
    <w:rsid w:val="150536C3"/>
    <w:rsid w:val="150C1963"/>
    <w:rsid w:val="151447A0"/>
    <w:rsid w:val="15263942"/>
    <w:rsid w:val="152D72EF"/>
    <w:rsid w:val="154A6454"/>
    <w:rsid w:val="15762120"/>
    <w:rsid w:val="16A8729C"/>
    <w:rsid w:val="16B33777"/>
    <w:rsid w:val="16BC70A7"/>
    <w:rsid w:val="16C6339E"/>
    <w:rsid w:val="172F2D79"/>
    <w:rsid w:val="17557BEF"/>
    <w:rsid w:val="176A3AA0"/>
    <w:rsid w:val="17D349C1"/>
    <w:rsid w:val="18244F26"/>
    <w:rsid w:val="1830729E"/>
    <w:rsid w:val="1870062C"/>
    <w:rsid w:val="18817102"/>
    <w:rsid w:val="18830A15"/>
    <w:rsid w:val="18852B28"/>
    <w:rsid w:val="188B5321"/>
    <w:rsid w:val="192E316D"/>
    <w:rsid w:val="195844CB"/>
    <w:rsid w:val="19932372"/>
    <w:rsid w:val="19A20DD5"/>
    <w:rsid w:val="19AE03F1"/>
    <w:rsid w:val="1A045BDD"/>
    <w:rsid w:val="1A071A03"/>
    <w:rsid w:val="1A1F16AE"/>
    <w:rsid w:val="1A3B5C77"/>
    <w:rsid w:val="1A450A5F"/>
    <w:rsid w:val="1A984BAD"/>
    <w:rsid w:val="1AB8220E"/>
    <w:rsid w:val="1AE4166C"/>
    <w:rsid w:val="1AF06CFB"/>
    <w:rsid w:val="1AF11B8D"/>
    <w:rsid w:val="1B11359C"/>
    <w:rsid w:val="1B2A271F"/>
    <w:rsid w:val="1B530544"/>
    <w:rsid w:val="1B713184"/>
    <w:rsid w:val="1BA209CF"/>
    <w:rsid w:val="1BB4777D"/>
    <w:rsid w:val="1BD75AB8"/>
    <w:rsid w:val="1C0459C2"/>
    <w:rsid w:val="1C1B0AAC"/>
    <w:rsid w:val="1C1B3B4A"/>
    <w:rsid w:val="1C1F3F30"/>
    <w:rsid w:val="1C88086E"/>
    <w:rsid w:val="1D266CE1"/>
    <w:rsid w:val="1D3963AF"/>
    <w:rsid w:val="1D6A673C"/>
    <w:rsid w:val="1D6D7195"/>
    <w:rsid w:val="1D884A60"/>
    <w:rsid w:val="1D9247AE"/>
    <w:rsid w:val="1DB567EC"/>
    <w:rsid w:val="1DF51A98"/>
    <w:rsid w:val="1E051CD9"/>
    <w:rsid w:val="1E3D060F"/>
    <w:rsid w:val="1E3F7D2E"/>
    <w:rsid w:val="1E4134E4"/>
    <w:rsid w:val="1E5062B3"/>
    <w:rsid w:val="1E523514"/>
    <w:rsid w:val="1E714A66"/>
    <w:rsid w:val="1E802593"/>
    <w:rsid w:val="1E8B6156"/>
    <w:rsid w:val="1EA703CC"/>
    <w:rsid w:val="1EB7330C"/>
    <w:rsid w:val="1EE74252"/>
    <w:rsid w:val="1F0A0FF3"/>
    <w:rsid w:val="1F4D494F"/>
    <w:rsid w:val="1F5771FF"/>
    <w:rsid w:val="1FD52574"/>
    <w:rsid w:val="1FE868A9"/>
    <w:rsid w:val="20034907"/>
    <w:rsid w:val="20173E4B"/>
    <w:rsid w:val="204E48BC"/>
    <w:rsid w:val="205D057B"/>
    <w:rsid w:val="208921B3"/>
    <w:rsid w:val="20973DEB"/>
    <w:rsid w:val="20B26522"/>
    <w:rsid w:val="20B44310"/>
    <w:rsid w:val="211116EB"/>
    <w:rsid w:val="216133FC"/>
    <w:rsid w:val="21A97EB7"/>
    <w:rsid w:val="21D56769"/>
    <w:rsid w:val="21D95C8D"/>
    <w:rsid w:val="21E52EF3"/>
    <w:rsid w:val="21FB5D7B"/>
    <w:rsid w:val="22015E94"/>
    <w:rsid w:val="220B1C3D"/>
    <w:rsid w:val="220F0FA5"/>
    <w:rsid w:val="221D1D20"/>
    <w:rsid w:val="22334A87"/>
    <w:rsid w:val="22BE6801"/>
    <w:rsid w:val="22EF350F"/>
    <w:rsid w:val="231575D5"/>
    <w:rsid w:val="233500BF"/>
    <w:rsid w:val="23377FF7"/>
    <w:rsid w:val="233F5D6C"/>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15FE9"/>
    <w:rsid w:val="258B00E2"/>
    <w:rsid w:val="25A917A6"/>
    <w:rsid w:val="25BE27CC"/>
    <w:rsid w:val="25F74A5C"/>
    <w:rsid w:val="2628662C"/>
    <w:rsid w:val="262D45DE"/>
    <w:rsid w:val="26871DC8"/>
    <w:rsid w:val="268B680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57442"/>
    <w:rsid w:val="29345E77"/>
    <w:rsid w:val="294C65AD"/>
    <w:rsid w:val="29806583"/>
    <w:rsid w:val="298B3C4C"/>
    <w:rsid w:val="29F26D24"/>
    <w:rsid w:val="2A15033F"/>
    <w:rsid w:val="2A1662C1"/>
    <w:rsid w:val="2A1C7367"/>
    <w:rsid w:val="2A2815FA"/>
    <w:rsid w:val="2A6D6092"/>
    <w:rsid w:val="2A7D76B4"/>
    <w:rsid w:val="2B437463"/>
    <w:rsid w:val="2B7807EE"/>
    <w:rsid w:val="2B806C96"/>
    <w:rsid w:val="2BA50BF7"/>
    <w:rsid w:val="2BAE1BDF"/>
    <w:rsid w:val="2BBF00EC"/>
    <w:rsid w:val="2BC37CFD"/>
    <w:rsid w:val="2BD5237F"/>
    <w:rsid w:val="2BE536CE"/>
    <w:rsid w:val="2BE758D9"/>
    <w:rsid w:val="2BF346BB"/>
    <w:rsid w:val="2C09049E"/>
    <w:rsid w:val="2C0A653C"/>
    <w:rsid w:val="2C191F85"/>
    <w:rsid w:val="2CE82D6F"/>
    <w:rsid w:val="2D343236"/>
    <w:rsid w:val="2D575011"/>
    <w:rsid w:val="2DBD23C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05A88"/>
    <w:rsid w:val="34950E68"/>
    <w:rsid w:val="34986E94"/>
    <w:rsid w:val="34AF62C9"/>
    <w:rsid w:val="34CB4388"/>
    <w:rsid w:val="34FA6E12"/>
    <w:rsid w:val="354D7158"/>
    <w:rsid w:val="358D5588"/>
    <w:rsid w:val="35F21E98"/>
    <w:rsid w:val="363A3B40"/>
    <w:rsid w:val="363F5358"/>
    <w:rsid w:val="365302AE"/>
    <w:rsid w:val="36607A0A"/>
    <w:rsid w:val="366E227C"/>
    <w:rsid w:val="366F2E0D"/>
    <w:rsid w:val="367B6A5C"/>
    <w:rsid w:val="36A74ADA"/>
    <w:rsid w:val="36AB0BC2"/>
    <w:rsid w:val="36AD60D5"/>
    <w:rsid w:val="36B224F9"/>
    <w:rsid w:val="36BC5AFD"/>
    <w:rsid w:val="36C436CF"/>
    <w:rsid w:val="36EC0CC9"/>
    <w:rsid w:val="373F410B"/>
    <w:rsid w:val="37532079"/>
    <w:rsid w:val="37EE7094"/>
    <w:rsid w:val="38296C89"/>
    <w:rsid w:val="383002EB"/>
    <w:rsid w:val="38586797"/>
    <w:rsid w:val="385D15DF"/>
    <w:rsid w:val="38BC0149"/>
    <w:rsid w:val="38D87D1C"/>
    <w:rsid w:val="39636459"/>
    <w:rsid w:val="396B7F6C"/>
    <w:rsid w:val="39B378A5"/>
    <w:rsid w:val="39B417A9"/>
    <w:rsid w:val="39FC5695"/>
    <w:rsid w:val="3A006D8E"/>
    <w:rsid w:val="3A3651E5"/>
    <w:rsid w:val="3A744481"/>
    <w:rsid w:val="3A8C7BEF"/>
    <w:rsid w:val="3A906246"/>
    <w:rsid w:val="3AD14935"/>
    <w:rsid w:val="3AFC4733"/>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031AE"/>
    <w:rsid w:val="3D9A11D4"/>
    <w:rsid w:val="3DA16D89"/>
    <w:rsid w:val="3DA364BE"/>
    <w:rsid w:val="3DE041CB"/>
    <w:rsid w:val="3E0262B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27B88"/>
    <w:rsid w:val="4019356B"/>
    <w:rsid w:val="40592157"/>
    <w:rsid w:val="406E1CAE"/>
    <w:rsid w:val="40A0133A"/>
    <w:rsid w:val="40C31A53"/>
    <w:rsid w:val="40F36FAD"/>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D7A55"/>
    <w:rsid w:val="45C63B94"/>
    <w:rsid w:val="460E7DA5"/>
    <w:rsid w:val="463D394F"/>
    <w:rsid w:val="46422483"/>
    <w:rsid w:val="4659254A"/>
    <w:rsid w:val="465B0637"/>
    <w:rsid w:val="465E3F0D"/>
    <w:rsid w:val="466A16E6"/>
    <w:rsid w:val="46893F2B"/>
    <w:rsid w:val="46A95C3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F4E23"/>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E5971"/>
    <w:rsid w:val="4C184C9E"/>
    <w:rsid w:val="4C245A30"/>
    <w:rsid w:val="4CB6685F"/>
    <w:rsid w:val="4CC367FE"/>
    <w:rsid w:val="4D077F3C"/>
    <w:rsid w:val="4D0D1B3D"/>
    <w:rsid w:val="4D123355"/>
    <w:rsid w:val="4D2A3B31"/>
    <w:rsid w:val="4D312C52"/>
    <w:rsid w:val="4D905305"/>
    <w:rsid w:val="4D964A72"/>
    <w:rsid w:val="4D9C1254"/>
    <w:rsid w:val="4DFD564B"/>
    <w:rsid w:val="4E4310D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E6A22"/>
    <w:rsid w:val="518832C8"/>
    <w:rsid w:val="519D3C50"/>
    <w:rsid w:val="51A0432A"/>
    <w:rsid w:val="51A86090"/>
    <w:rsid w:val="51B65747"/>
    <w:rsid w:val="51B7396D"/>
    <w:rsid w:val="51C6732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4F3F4C"/>
    <w:rsid w:val="54605E1E"/>
    <w:rsid w:val="5476059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2316F"/>
    <w:rsid w:val="57CD20C2"/>
    <w:rsid w:val="57D675AB"/>
    <w:rsid w:val="57D73717"/>
    <w:rsid w:val="57D95FDD"/>
    <w:rsid w:val="57FF7119"/>
    <w:rsid w:val="582E0B80"/>
    <w:rsid w:val="5881513B"/>
    <w:rsid w:val="58917D2F"/>
    <w:rsid w:val="5894085C"/>
    <w:rsid w:val="58AE4F0C"/>
    <w:rsid w:val="58B85899"/>
    <w:rsid w:val="58E363A9"/>
    <w:rsid w:val="59166304"/>
    <w:rsid w:val="595E1678"/>
    <w:rsid w:val="59632941"/>
    <w:rsid w:val="596D5BD4"/>
    <w:rsid w:val="597E3DD8"/>
    <w:rsid w:val="59F80043"/>
    <w:rsid w:val="5A09252F"/>
    <w:rsid w:val="5A0B0616"/>
    <w:rsid w:val="5A0B2778"/>
    <w:rsid w:val="5A2A7C7B"/>
    <w:rsid w:val="5A3E2560"/>
    <w:rsid w:val="5A5D3B6E"/>
    <w:rsid w:val="5A637A76"/>
    <w:rsid w:val="5A6D33BA"/>
    <w:rsid w:val="5A792B1F"/>
    <w:rsid w:val="5A874767"/>
    <w:rsid w:val="5AA85BE2"/>
    <w:rsid w:val="5AAD6F28"/>
    <w:rsid w:val="5AD63A24"/>
    <w:rsid w:val="5B2E1A1D"/>
    <w:rsid w:val="5B4820FA"/>
    <w:rsid w:val="5B843A1C"/>
    <w:rsid w:val="5B873E3F"/>
    <w:rsid w:val="5BD32336"/>
    <w:rsid w:val="5C02690E"/>
    <w:rsid w:val="5C196DA7"/>
    <w:rsid w:val="5C2A048C"/>
    <w:rsid w:val="5C2C2DE3"/>
    <w:rsid w:val="5C731F2B"/>
    <w:rsid w:val="5C80234E"/>
    <w:rsid w:val="5C8A680C"/>
    <w:rsid w:val="5CA6797B"/>
    <w:rsid w:val="5D0C4701"/>
    <w:rsid w:val="5D0F0395"/>
    <w:rsid w:val="5D221076"/>
    <w:rsid w:val="5D397964"/>
    <w:rsid w:val="5D5A391C"/>
    <w:rsid w:val="5D5F10C0"/>
    <w:rsid w:val="5D891B7B"/>
    <w:rsid w:val="5D9863C2"/>
    <w:rsid w:val="5DAD38EE"/>
    <w:rsid w:val="5DF463DB"/>
    <w:rsid w:val="5E006862"/>
    <w:rsid w:val="5E0207B9"/>
    <w:rsid w:val="5E1834A1"/>
    <w:rsid w:val="5E261785"/>
    <w:rsid w:val="5E4A7017"/>
    <w:rsid w:val="5E552BBA"/>
    <w:rsid w:val="5E611C10"/>
    <w:rsid w:val="5E7A0F3F"/>
    <w:rsid w:val="5EA54320"/>
    <w:rsid w:val="5EFC7377"/>
    <w:rsid w:val="5F06174D"/>
    <w:rsid w:val="5F3A3602"/>
    <w:rsid w:val="5F45733B"/>
    <w:rsid w:val="5F6277C6"/>
    <w:rsid w:val="5F6D0B1D"/>
    <w:rsid w:val="5F8D0B82"/>
    <w:rsid w:val="5F9E149B"/>
    <w:rsid w:val="5F9F0B00"/>
    <w:rsid w:val="5FCC5339"/>
    <w:rsid w:val="5FE34A5B"/>
    <w:rsid w:val="5FFE1E36"/>
    <w:rsid w:val="60232584"/>
    <w:rsid w:val="607330CE"/>
    <w:rsid w:val="60825176"/>
    <w:rsid w:val="609F2AC4"/>
    <w:rsid w:val="60AF4A5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80B0C"/>
    <w:rsid w:val="63AC6CC0"/>
    <w:rsid w:val="64055776"/>
    <w:rsid w:val="64240056"/>
    <w:rsid w:val="64352465"/>
    <w:rsid w:val="643E143A"/>
    <w:rsid w:val="64491666"/>
    <w:rsid w:val="646B0F70"/>
    <w:rsid w:val="648B6EEF"/>
    <w:rsid w:val="64C158BF"/>
    <w:rsid w:val="64CE2EAA"/>
    <w:rsid w:val="653C3090"/>
    <w:rsid w:val="654859D2"/>
    <w:rsid w:val="65854376"/>
    <w:rsid w:val="658767BE"/>
    <w:rsid w:val="65892531"/>
    <w:rsid w:val="66195831"/>
    <w:rsid w:val="662E75B1"/>
    <w:rsid w:val="66342C2E"/>
    <w:rsid w:val="663E784C"/>
    <w:rsid w:val="668041C1"/>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7872"/>
    <w:rsid w:val="68B96DBB"/>
    <w:rsid w:val="68C76260"/>
    <w:rsid w:val="68CA2805"/>
    <w:rsid w:val="68E937A3"/>
    <w:rsid w:val="68EB1181"/>
    <w:rsid w:val="693E15D3"/>
    <w:rsid w:val="69627681"/>
    <w:rsid w:val="6977531D"/>
    <w:rsid w:val="69CB415A"/>
    <w:rsid w:val="69CC2BFF"/>
    <w:rsid w:val="69FD55B8"/>
    <w:rsid w:val="6A0B1C62"/>
    <w:rsid w:val="6A2406C8"/>
    <w:rsid w:val="6A2B29C4"/>
    <w:rsid w:val="6ADE0BD1"/>
    <w:rsid w:val="6AE96859"/>
    <w:rsid w:val="6B0D56DA"/>
    <w:rsid w:val="6B147746"/>
    <w:rsid w:val="6B24787C"/>
    <w:rsid w:val="6B573233"/>
    <w:rsid w:val="6B5B6274"/>
    <w:rsid w:val="6B935D53"/>
    <w:rsid w:val="6C196F71"/>
    <w:rsid w:val="6C226FCB"/>
    <w:rsid w:val="6C28706F"/>
    <w:rsid w:val="6C2B23F7"/>
    <w:rsid w:val="6C31226F"/>
    <w:rsid w:val="6C552F0B"/>
    <w:rsid w:val="6C781E36"/>
    <w:rsid w:val="6C8C67B7"/>
    <w:rsid w:val="6C9D744C"/>
    <w:rsid w:val="6D167928"/>
    <w:rsid w:val="6D26299B"/>
    <w:rsid w:val="6D4772EC"/>
    <w:rsid w:val="6D9078AF"/>
    <w:rsid w:val="6DAA3FEF"/>
    <w:rsid w:val="6DC0172B"/>
    <w:rsid w:val="6DCB690C"/>
    <w:rsid w:val="6DD41A5B"/>
    <w:rsid w:val="6DF43C2E"/>
    <w:rsid w:val="6DF51CA3"/>
    <w:rsid w:val="6E0F74C6"/>
    <w:rsid w:val="6E617633"/>
    <w:rsid w:val="6E8335BD"/>
    <w:rsid w:val="6E8E12EF"/>
    <w:rsid w:val="6E972936"/>
    <w:rsid w:val="6ED446C5"/>
    <w:rsid w:val="6F2A7D94"/>
    <w:rsid w:val="6F8331F1"/>
    <w:rsid w:val="6F9F72AA"/>
    <w:rsid w:val="6FAE1A09"/>
    <w:rsid w:val="6FD75BF8"/>
    <w:rsid w:val="707723D0"/>
    <w:rsid w:val="70F5661B"/>
    <w:rsid w:val="71360107"/>
    <w:rsid w:val="713B688E"/>
    <w:rsid w:val="71686E0A"/>
    <w:rsid w:val="71D43752"/>
    <w:rsid w:val="71F1796A"/>
    <w:rsid w:val="71F669E4"/>
    <w:rsid w:val="71F93EAD"/>
    <w:rsid w:val="72154626"/>
    <w:rsid w:val="72262B5D"/>
    <w:rsid w:val="72283FF7"/>
    <w:rsid w:val="722E7212"/>
    <w:rsid w:val="723A0474"/>
    <w:rsid w:val="725923E4"/>
    <w:rsid w:val="72864BF7"/>
    <w:rsid w:val="729023FC"/>
    <w:rsid w:val="72F03F2B"/>
    <w:rsid w:val="73820F74"/>
    <w:rsid w:val="73C0646E"/>
    <w:rsid w:val="73EB5E7C"/>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15F7E"/>
    <w:rsid w:val="76C87133"/>
    <w:rsid w:val="76CD08D5"/>
    <w:rsid w:val="76DB4B92"/>
    <w:rsid w:val="76E148E1"/>
    <w:rsid w:val="77052AA4"/>
    <w:rsid w:val="77136511"/>
    <w:rsid w:val="77340A39"/>
    <w:rsid w:val="77351FD0"/>
    <w:rsid w:val="77472422"/>
    <w:rsid w:val="777F31F2"/>
    <w:rsid w:val="77D1700D"/>
    <w:rsid w:val="77D70F94"/>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64F5A"/>
    <w:rsid w:val="7B257FFD"/>
    <w:rsid w:val="7B343476"/>
    <w:rsid w:val="7B5A2978"/>
    <w:rsid w:val="7B5A7E4C"/>
    <w:rsid w:val="7B667AF9"/>
    <w:rsid w:val="7B7468F8"/>
    <w:rsid w:val="7BEE0103"/>
    <w:rsid w:val="7C0A0FE4"/>
    <w:rsid w:val="7C254906"/>
    <w:rsid w:val="7C3819A4"/>
    <w:rsid w:val="7C590818"/>
    <w:rsid w:val="7C7C10F6"/>
    <w:rsid w:val="7C853BEA"/>
    <w:rsid w:val="7C881368"/>
    <w:rsid w:val="7CE27788"/>
    <w:rsid w:val="7CE654E1"/>
    <w:rsid w:val="7D0C32F1"/>
    <w:rsid w:val="7D0F408D"/>
    <w:rsid w:val="7D491C6C"/>
    <w:rsid w:val="7D5429C0"/>
    <w:rsid w:val="7D6E6D43"/>
    <w:rsid w:val="7DB57A34"/>
    <w:rsid w:val="7DC23D89"/>
    <w:rsid w:val="7DE60973"/>
    <w:rsid w:val="7DEF0916"/>
    <w:rsid w:val="7E1E5218"/>
    <w:rsid w:val="7E2F7D4C"/>
    <w:rsid w:val="7E9A4E1F"/>
    <w:rsid w:val="7EA7723A"/>
    <w:rsid w:val="7EB45631"/>
    <w:rsid w:val="7EE57E25"/>
    <w:rsid w:val="7EF56FBB"/>
    <w:rsid w:val="7F0768EB"/>
    <w:rsid w:val="7F143BEC"/>
    <w:rsid w:val="7F382671"/>
    <w:rsid w:val="7F715AF2"/>
    <w:rsid w:val="7F886E69"/>
    <w:rsid w:val="BB7FA927"/>
    <w:rsid w:val="F5FFD31F"/>
    <w:rsid w:val="FFCF17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3">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98"/>
    <w:qFormat/>
    <w:uiPriority w:val="0"/>
    <w:rPr>
      <w:b/>
      <w:bCs/>
    </w:rPr>
  </w:style>
  <w:style w:type="paragraph" w:styleId="13">
    <w:name w:val="annotation text"/>
    <w:basedOn w:val="1"/>
    <w:link w:val="346"/>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3"/>
    <w:qFormat/>
    <w:uiPriority w:val="0"/>
    <w:pPr>
      <w:ind w:firstLine="420"/>
    </w:pPr>
    <w:rPr>
      <w:rFonts w:hAnsi="Calibri" w:cs="Times New Roman"/>
      <w:snapToGrid/>
      <w:szCs w:val="20"/>
    </w:rPr>
  </w:style>
  <w:style w:type="paragraph" w:styleId="16">
    <w:name w:val="Body Text"/>
    <w:basedOn w:val="1"/>
    <w:next w:val="15"/>
    <w:link w:val="432"/>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Body Text First Indent 2"/>
    <w:basedOn w:val="26"/>
    <w:next w:val="1"/>
    <w:link w:val="123"/>
    <w:qFormat/>
    <w:uiPriority w:val="0"/>
    <w:pPr>
      <w:adjustRightInd/>
      <w:spacing w:after="120" w:line="240" w:lineRule="auto"/>
      <w:ind w:left="420" w:leftChars="200" w:firstLine="210"/>
    </w:pPr>
    <w:rPr>
      <w:sz w:val="21"/>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2"/>
    <w:qFormat/>
    <w:uiPriority w:val="0"/>
    <w:rPr>
      <w:rFonts w:ascii="Courier New" w:hAnsi="Courier New"/>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表格文字"/>
    <w:basedOn w:val="34"/>
    <w:next w:val="16"/>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1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42"/>
    <w:qFormat/>
    <w:uiPriority w:val="0"/>
    <w:rPr>
      <w:rFonts w:ascii="宋体" w:hAnsi="宋体"/>
      <w:kern w:val="2"/>
      <w:sz w:val="21"/>
      <w:szCs w:val="24"/>
    </w:rPr>
  </w:style>
  <w:style w:type="character" w:customStyle="1" w:styleId="124">
    <w:name w:val="font11"/>
    <w:basedOn w:val="62"/>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2"/>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1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3"/>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3">
    <w:name w:val="gray6"/>
    <w:basedOn w:val="62"/>
    <w:qFormat/>
    <w:uiPriority w:val="0"/>
    <w:rPr>
      <w:rFonts w:ascii="Arial" w:hAnsi="Arial" w:eastAsia="黑体" w:cs="Arial"/>
      <w:snapToGrid w:val="0"/>
      <w:kern w:val="0"/>
      <w:szCs w:val="21"/>
    </w:rPr>
  </w:style>
  <w:style w:type="character" w:customStyle="1" w:styleId="434">
    <w:name w:val="hui"/>
    <w:basedOn w:val="6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2"/>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971">
    <w:name w:val="[Normal]"/>
    <w:qFormat/>
    <w:uiPriority w:val="99"/>
    <w:rPr>
      <w:rFonts w:ascii="宋体" w:hAnsi="宋体" w:eastAsia="宋体" w:cs="宋体"/>
      <w:sz w:val="24"/>
      <w:szCs w:val="24"/>
      <w:lang w:val="zh-CN" w:eastAsia="zh-CN" w:bidi="ar-SA"/>
    </w:rPr>
  </w:style>
  <w:style w:type="paragraph" w:customStyle="1" w:styleId="972">
    <w:name w:val="列出段落6"/>
    <w:basedOn w:val="1"/>
    <w:qFormat/>
    <w:uiPriority w:val="99"/>
    <w:pPr>
      <w:ind w:firstLine="420" w:firstLineChars="200"/>
    </w:pPr>
  </w:style>
  <w:style w:type="character" w:customStyle="1" w:styleId="973">
    <w:name w:val="font101"/>
    <w:basedOn w:val="62"/>
    <w:qFormat/>
    <w:uiPriority w:val="0"/>
    <w:rPr>
      <w:rFonts w:hint="eastAsia" w:ascii="宋体" w:hAnsi="宋体" w:eastAsia="宋体" w:cs="宋体"/>
      <w:b/>
      <w:color w:val="000000"/>
      <w:sz w:val="18"/>
      <w:szCs w:val="18"/>
      <w:u w:val="none"/>
    </w:rPr>
  </w:style>
  <w:style w:type="character" w:customStyle="1" w:styleId="974">
    <w:name w:val="font122"/>
    <w:basedOn w:val="62"/>
    <w:qFormat/>
    <w:uiPriority w:val="0"/>
    <w:rPr>
      <w:rFonts w:hint="eastAsia" w:ascii="宋体" w:hAnsi="宋体" w:eastAsia="宋体" w:cs="宋体"/>
      <w:color w:val="000000"/>
      <w:sz w:val="18"/>
      <w:szCs w:val="18"/>
      <w:u w:val="none"/>
    </w:rPr>
  </w:style>
  <w:style w:type="character" w:customStyle="1" w:styleId="975">
    <w:name w:val="font131"/>
    <w:basedOn w:val="62"/>
    <w:qFormat/>
    <w:uiPriority w:val="0"/>
    <w:rPr>
      <w:rFonts w:hint="default" w:ascii="Wingdings" w:hAnsi="Wingdings" w:cs="Wingdings"/>
      <w:color w:val="000000"/>
      <w:sz w:val="18"/>
      <w:szCs w:val="18"/>
      <w:u w:val="none"/>
    </w:rPr>
  </w:style>
  <w:style w:type="character" w:customStyle="1" w:styleId="976">
    <w:name w:val="font141"/>
    <w:basedOn w:val="62"/>
    <w:qFormat/>
    <w:uiPriority w:val="0"/>
    <w:rPr>
      <w:rFonts w:hint="default" w:ascii="Times New Roman" w:hAnsi="Times New Roman" w:cs="Times New Roman"/>
      <w:color w:val="000000"/>
      <w:sz w:val="14"/>
      <w:szCs w:val="14"/>
      <w:u w:val="none"/>
    </w:rPr>
  </w:style>
  <w:style w:type="character" w:customStyle="1" w:styleId="977">
    <w:name w:val="font151"/>
    <w:basedOn w:val="62"/>
    <w:qFormat/>
    <w:uiPriority w:val="0"/>
    <w:rPr>
      <w:rFonts w:hint="default" w:ascii="Calibri" w:hAnsi="Calibri" w:cs="Calibri"/>
      <w:color w:val="000000"/>
      <w:sz w:val="18"/>
      <w:szCs w:val="18"/>
      <w:u w:val="none"/>
    </w:rPr>
  </w:style>
  <w:style w:type="paragraph" w:customStyle="1" w:styleId="978">
    <w:name w:val="列出段落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5326</Words>
  <Characters>30359</Characters>
  <Lines>252</Lines>
  <Paragraphs>71</Paragraphs>
  <ScaleCrop>false</ScaleCrop>
  <LinksUpToDate>false</LinksUpToDate>
  <CharactersWithSpaces>35614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2024-05-14T08:02:00Z</dcterms:created>
  <dc:creator>玥</dc:creator>
  <cp:lastModifiedBy>Administrator</cp:lastModifiedBy>
  <cp:lastPrinted>2021-12-27T11:06:00Z</cp:lastPrinted>
  <dcterms:modified xsi:type="dcterms:W3CDTF">2024-08-05T09:18:01Z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2FF7BC6E3BDD4D639A753B40456E2018_13</vt:lpwstr>
  </property>
</Properties>
</file>