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6450F">
      <w:pPr>
        <w:spacing w:line="360" w:lineRule="auto"/>
        <w:ind w:firstLine="964"/>
        <w:jc w:val="center"/>
        <w:rPr>
          <w:rFonts w:hint="eastAsia" w:ascii="宋体" w:hAnsi="宋体" w:eastAsia="宋体" w:cs="宋体"/>
          <w:b/>
          <w:bCs/>
          <w:color w:val="auto"/>
          <w:sz w:val="48"/>
          <w:szCs w:val="48"/>
          <w:highlight w:val="none"/>
        </w:rPr>
      </w:pPr>
    </w:p>
    <w:p w14:paraId="2F8F5D6F">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杭州市市场监督管理局</w:t>
      </w:r>
    </w:p>
    <w:p w14:paraId="1BA56EA5">
      <w:pPr>
        <w:pStyle w:val="34"/>
        <w:widowControl w:val="0"/>
        <w:snapToGrid w:val="0"/>
        <w:spacing w:line="600" w:lineRule="auto"/>
        <w:ind w:firstLine="0"/>
        <w:jc w:val="center"/>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36"/>
          <w:szCs w:val="36"/>
          <w:highlight w:val="none"/>
          <w:lang w:eastAsia="zh-CN"/>
        </w:rPr>
        <w:t>投诉举报接收处置服务外包项目</w:t>
      </w:r>
    </w:p>
    <w:p w14:paraId="47CA9912">
      <w:pPr>
        <w:spacing w:line="360" w:lineRule="auto"/>
        <w:ind w:firstLine="960"/>
        <w:jc w:val="center"/>
        <w:rPr>
          <w:rFonts w:hint="eastAsia" w:ascii="宋体" w:hAnsi="宋体" w:eastAsia="宋体" w:cs="宋体"/>
          <w:color w:val="auto"/>
          <w:sz w:val="48"/>
          <w:szCs w:val="48"/>
          <w:highlight w:val="none"/>
        </w:rPr>
      </w:pPr>
    </w:p>
    <w:p w14:paraId="236D863C">
      <w:pPr>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72"/>
          <w:szCs w:val="72"/>
          <w:highlight w:val="none"/>
        </w:rPr>
        <w:t>招标文件</w:t>
      </w:r>
    </w:p>
    <w:p w14:paraId="4E4C0EC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15BC9CA3">
      <w:pPr>
        <w:snapToGrid w:val="0"/>
        <w:spacing w:line="360" w:lineRule="auto"/>
        <w:ind w:firstLine="600"/>
        <w:jc w:val="center"/>
        <w:rPr>
          <w:rFonts w:hint="eastAsia" w:ascii="宋体" w:hAnsi="宋体" w:eastAsia="宋体" w:cs="宋体"/>
          <w:color w:val="auto"/>
          <w:sz w:val="30"/>
          <w:szCs w:val="30"/>
          <w:highlight w:val="none"/>
        </w:rPr>
      </w:pPr>
    </w:p>
    <w:p w14:paraId="7226A9A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ZJZBC-25-GK-9003</w:t>
      </w:r>
    </w:p>
    <w:p w14:paraId="3DF78E90">
      <w:pPr>
        <w:spacing w:line="360" w:lineRule="auto"/>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EF16437">
      <w:pPr>
        <w:spacing w:line="360" w:lineRule="auto"/>
        <w:ind w:firstLine="883"/>
        <w:jc w:val="center"/>
        <w:rPr>
          <w:rFonts w:hint="eastAsia" w:ascii="宋体" w:hAnsi="宋体" w:eastAsia="宋体" w:cs="宋体"/>
          <w:b/>
          <w:color w:val="auto"/>
          <w:sz w:val="44"/>
          <w:szCs w:val="44"/>
          <w:highlight w:val="none"/>
        </w:rPr>
      </w:pPr>
    </w:p>
    <w:p w14:paraId="6A5F7F88">
      <w:pPr>
        <w:spacing w:line="360" w:lineRule="auto"/>
        <w:jc w:val="center"/>
        <w:rPr>
          <w:rFonts w:hint="eastAsia" w:ascii="宋体" w:hAnsi="宋体" w:eastAsia="宋体" w:cs="宋体"/>
          <w:color w:val="auto"/>
          <w:sz w:val="24"/>
          <w:highlight w:val="none"/>
        </w:rPr>
      </w:pPr>
    </w:p>
    <w:p w14:paraId="5387D476">
      <w:pPr>
        <w:spacing w:line="360" w:lineRule="auto"/>
        <w:jc w:val="center"/>
        <w:rPr>
          <w:rFonts w:hint="eastAsia" w:ascii="宋体" w:hAnsi="宋体" w:eastAsia="宋体" w:cs="宋体"/>
          <w:color w:val="auto"/>
          <w:sz w:val="24"/>
          <w:highlight w:val="none"/>
        </w:rPr>
      </w:pPr>
    </w:p>
    <w:p w14:paraId="7D95A9BE">
      <w:pPr>
        <w:spacing w:line="360" w:lineRule="auto"/>
        <w:ind w:firstLine="640"/>
        <w:rPr>
          <w:rFonts w:hint="eastAsia" w:ascii="宋体" w:hAnsi="宋体" w:eastAsia="宋体" w:cs="宋体"/>
          <w:color w:val="auto"/>
          <w:sz w:val="32"/>
          <w:szCs w:val="32"/>
          <w:highlight w:val="none"/>
        </w:rPr>
      </w:pPr>
    </w:p>
    <w:p w14:paraId="489276D0">
      <w:pPr>
        <w:snapToGrid w:val="0"/>
        <w:spacing w:line="360" w:lineRule="auto"/>
        <w:ind w:firstLine="64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杭州市市场监督管理局</w:t>
      </w:r>
    </w:p>
    <w:p w14:paraId="5495C83C">
      <w:pPr>
        <w:spacing w:line="360" w:lineRule="auto"/>
        <w:ind w:firstLine="6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浙江省建设工程设备招标有限公司</w:t>
      </w:r>
    </w:p>
    <w:p w14:paraId="03DF5B03">
      <w:pPr>
        <w:snapToGrid w:val="0"/>
        <w:spacing w:line="360" w:lineRule="auto"/>
        <w:ind w:firstLine="6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p>
    <w:p w14:paraId="74FCCBD7">
      <w:pPr>
        <w:pStyle w:val="35"/>
        <w:rPr>
          <w:rFonts w:hint="eastAsia" w:ascii="宋体" w:hAnsi="宋体" w:eastAsia="宋体" w:cs="宋体"/>
          <w:color w:val="auto"/>
          <w:highlight w:val="none"/>
        </w:rPr>
        <w:sectPr>
          <w:headerReference r:id="rId4" w:type="first"/>
          <w:headerReference r:id="rId3" w:type="default"/>
          <w:footerReference r:id="rId5" w:type="even"/>
          <w:pgSz w:w="11906" w:h="16838"/>
          <w:pgMar w:top="1417" w:right="1418" w:bottom="1417" w:left="1418" w:header="851" w:footer="992" w:gutter="0"/>
          <w:pgNumType w:fmt="decimal" w:start="1"/>
          <w:cols w:space="720" w:num="1"/>
          <w:titlePg/>
          <w:docGrid w:linePitch="312" w:charSpace="0"/>
        </w:sectPr>
      </w:pPr>
    </w:p>
    <w:p w14:paraId="1F88EB72">
      <w:pPr>
        <w:pStyle w:val="35"/>
        <w:rPr>
          <w:rFonts w:hint="eastAsia" w:ascii="宋体" w:hAnsi="宋体" w:eastAsia="宋体" w:cs="宋体"/>
          <w:color w:val="auto"/>
          <w:highlight w:val="none"/>
        </w:rPr>
      </w:pPr>
    </w:p>
    <w:p w14:paraId="46B7F0AA">
      <w:pPr>
        <w:spacing w:line="360" w:lineRule="auto"/>
        <w:ind w:firstLine="964"/>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E48980E">
      <w:pPr>
        <w:spacing w:line="360" w:lineRule="auto"/>
        <w:ind w:firstLine="640"/>
        <w:rPr>
          <w:rFonts w:hint="eastAsia" w:ascii="宋体" w:hAnsi="宋体" w:eastAsia="宋体" w:cs="宋体"/>
          <w:color w:val="auto"/>
          <w:sz w:val="32"/>
          <w:szCs w:val="32"/>
          <w:highlight w:val="none"/>
        </w:rPr>
      </w:pPr>
    </w:p>
    <w:p w14:paraId="13AE9CD5">
      <w:pPr>
        <w:spacing w:line="360" w:lineRule="auto"/>
        <w:ind w:firstLine="640"/>
        <w:rPr>
          <w:rFonts w:hint="eastAsia" w:ascii="宋体" w:hAnsi="宋体" w:eastAsia="宋体" w:cs="宋体"/>
          <w:color w:val="auto"/>
          <w:sz w:val="32"/>
          <w:szCs w:val="32"/>
          <w:highlight w:val="none"/>
        </w:rPr>
      </w:pPr>
    </w:p>
    <w:p w14:paraId="1E24AEAF">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6F69783">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3EB87EB">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0D19088">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53A5EB3">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CBB045B">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358D7E02">
      <w:pPr>
        <w:spacing w:line="360" w:lineRule="auto"/>
        <w:ind w:firstLine="1888" w:firstLineChars="787"/>
        <w:rPr>
          <w:rFonts w:hint="eastAsia" w:ascii="宋体" w:hAnsi="宋体" w:eastAsia="宋体" w:cs="宋体"/>
          <w:color w:val="auto"/>
          <w:sz w:val="24"/>
          <w:highlight w:val="none"/>
        </w:rPr>
      </w:pPr>
      <w:bookmarkStart w:id="0" w:name="_Hlt91233176"/>
      <w:bookmarkEnd w:id="0"/>
      <w:bookmarkStart w:id="1" w:name="_Toc91899869"/>
    </w:p>
    <w:p w14:paraId="05802EAE">
      <w:pPr>
        <w:spacing w:line="360" w:lineRule="auto"/>
        <w:ind w:firstLine="549" w:firstLineChars="229"/>
        <w:rPr>
          <w:rFonts w:hint="eastAsia" w:ascii="宋体" w:hAnsi="宋体" w:eastAsia="宋体" w:cs="宋体"/>
          <w:color w:val="auto"/>
          <w:sz w:val="24"/>
          <w:highlight w:val="none"/>
        </w:rPr>
      </w:pPr>
    </w:p>
    <w:p w14:paraId="0EBCECCE">
      <w:pPr>
        <w:spacing w:line="360" w:lineRule="auto"/>
        <w:ind w:firstLine="549" w:firstLineChars="229"/>
        <w:rPr>
          <w:rFonts w:hint="eastAsia" w:ascii="宋体" w:hAnsi="宋体" w:eastAsia="宋体" w:cs="宋体"/>
          <w:color w:val="auto"/>
          <w:sz w:val="24"/>
          <w:highlight w:val="none"/>
        </w:rPr>
      </w:pPr>
    </w:p>
    <w:p w14:paraId="48A7959C">
      <w:pPr>
        <w:spacing w:line="360" w:lineRule="auto"/>
        <w:ind w:firstLine="549" w:firstLineChars="229"/>
        <w:rPr>
          <w:rFonts w:hint="eastAsia" w:ascii="宋体" w:hAnsi="宋体" w:eastAsia="宋体" w:cs="宋体"/>
          <w:color w:val="auto"/>
          <w:sz w:val="24"/>
          <w:highlight w:val="none"/>
        </w:rPr>
      </w:pPr>
    </w:p>
    <w:p w14:paraId="0E549542">
      <w:pPr>
        <w:spacing w:line="360" w:lineRule="auto"/>
        <w:ind w:firstLine="549" w:firstLineChars="229"/>
        <w:rPr>
          <w:rFonts w:hint="eastAsia" w:ascii="宋体" w:hAnsi="宋体" w:eastAsia="宋体" w:cs="宋体"/>
          <w:color w:val="auto"/>
          <w:sz w:val="24"/>
          <w:highlight w:val="none"/>
        </w:rPr>
      </w:pPr>
    </w:p>
    <w:p w14:paraId="34EA692A">
      <w:pPr>
        <w:spacing w:line="360" w:lineRule="auto"/>
        <w:ind w:firstLine="549" w:firstLineChars="229"/>
        <w:rPr>
          <w:rFonts w:hint="eastAsia" w:ascii="宋体" w:hAnsi="宋体" w:eastAsia="宋体" w:cs="宋体"/>
          <w:color w:val="auto"/>
          <w:sz w:val="24"/>
          <w:highlight w:val="none"/>
        </w:rPr>
      </w:pPr>
    </w:p>
    <w:p w14:paraId="5A04A854">
      <w:pPr>
        <w:spacing w:line="360" w:lineRule="auto"/>
        <w:ind w:firstLine="549" w:firstLineChars="229"/>
        <w:rPr>
          <w:rFonts w:hint="eastAsia" w:ascii="宋体" w:hAnsi="宋体" w:eastAsia="宋体" w:cs="宋体"/>
          <w:color w:val="auto"/>
          <w:sz w:val="24"/>
          <w:highlight w:val="none"/>
        </w:rPr>
      </w:pPr>
    </w:p>
    <w:p w14:paraId="0B6778BD">
      <w:pPr>
        <w:spacing w:line="360" w:lineRule="auto"/>
        <w:ind w:firstLine="549" w:firstLineChars="229"/>
        <w:rPr>
          <w:rFonts w:hint="eastAsia" w:ascii="宋体" w:hAnsi="宋体" w:eastAsia="宋体" w:cs="宋体"/>
          <w:color w:val="auto"/>
          <w:sz w:val="24"/>
          <w:highlight w:val="none"/>
        </w:rPr>
      </w:pPr>
    </w:p>
    <w:p w14:paraId="1461671F">
      <w:pPr>
        <w:spacing w:line="360" w:lineRule="auto"/>
        <w:ind w:firstLine="549" w:firstLineChars="229"/>
        <w:rPr>
          <w:rFonts w:hint="eastAsia" w:ascii="宋体" w:hAnsi="宋体" w:eastAsia="宋体" w:cs="宋体"/>
          <w:color w:val="auto"/>
          <w:sz w:val="24"/>
          <w:highlight w:val="none"/>
        </w:rPr>
      </w:pPr>
    </w:p>
    <w:p w14:paraId="6E1B5495">
      <w:pPr>
        <w:spacing w:line="240" w:lineRule="auto"/>
        <w:ind w:firstLine="0" w:firstLineChars="0"/>
        <w:rPr>
          <w:rFonts w:hint="eastAsia" w:ascii="宋体" w:hAnsi="宋体" w:eastAsia="宋体" w:cs="宋体"/>
          <w:color w:val="auto"/>
          <w:sz w:val="24"/>
          <w:highlight w:val="none"/>
        </w:rPr>
      </w:pPr>
    </w:p>
    <w:p w14:paraId="490786CB">
      <w:pPr>
        <w:spacing w:line="360" w:lineRule="auto"/>
        <w:ind w:firstLine="549" w:firstLineChars="229"/>
        <w:rPr>
          <w:rFonts w:hint="eastAsia" w:ascii="宋体" w:hAnsi="宋体" w:eastAsia="宋体" w:cs="宋体"/>
          <w:color w:val="auto"/>
          <w:sz w:val="24"/>
          <w:highlight w:val="none"/>
        </w:rPr>
      </w:pPr>
    </w:p>
    <w:p w14:paraId="185B92CA">
      <w:pPr>
        <w:spacing w:line="360" w:lineRule="auto"/>
        <w:ind w:firstLine="549" w:firstLineChars="229"/>
        <w:rPr>
          <w:rFonts w:hint="eastAsia" w:ascii="宋体" w:hAnsi="宋体" w:eastAsia="宋体" w:cs="宋体"/>
          <w:color w:val="auto"/>
          <w:sz w:val="24"/>
          <w:highlight w:val="none"/>
        </w:rPr>
      </w:pPr>
    </w:p>
    <w:p w14:paraId="48D42EB1">
      <w:pPr>
        <w:spacing w:line="360" w:lineRule="auto"/>
        <w:ind w:firstLine="549" w:firstLineChars="229"/>
        <w:rPr>
          <w:rFonts w:hint="eastAsia" w:ascii="宋体" w:hAnsi="宋体" w:eastAsia="宋体" w:cs="宋体"/>
          <w:color w:val="auto"/>
          <w:sz w:val="24"/>
          <w:highlight w:val="none"/>
        </w:rPr>
      </w:pPr>
    </w:p>
    <w:p w14:paraId="1CF7B700">
      <w:pPr>
        <w:spacing w:line="360" w:lineRule="auto"/>
        <w:rPr>
          <w:rFonts w:hint="eastAsia" w:ascii="宋体" w:hAnsi="宋体" w:eastAsia="宋体" w:cs="宋体"/>
          <w:color w:val="auto"/>
          <w:sz w:val="24"/>
          <w:highlight w:val="none"/>
        </w:rPr>
      </w:pPr>
    </w:p>
    <w:bookmarkEnd w:id="1"/>
    <w:p w14:paraId="6A71AC93">
      <w:pPr>
        <w:spacing w:line="360" w:lineRule="auto"/>
        <w:ind w:firstLine="723"/>
        <w:jc w:val="center"/>
        <w:outlineLvl w:val="0"/>
        <w:rPr>
          <w:rFonts w:hint="eastAsia" w:ascii="宋体" w:hAnsi="宋体" w:eastAsia="宋体" w:cs="宋体"/>
          <w:b/>
          <w:color w:val="auto"/>
          <w:sz w:val="36"/>
          <w:szCs w:val="36"/>
          <w:highlight w:val="none"/>
        </w:rPr>
        <w:sectPr>
          <w:footerReference r:id="rId7" w:type="first"/>
          <w:footerReference r:id="rId6" w:type="default"/>
          <w:pgSz w:w="11906" w:h="16838"/>
          <w:pgMar w:top="1417" w:right="1418" w:bottom="1417" w:left="1418" w:header="851" w:footer="992" w:gutter="0"/>
          <w:pgNumType w:fmt="decimal" w:start="1"/>
          <w:cols w:space="720" w:num="1"/>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14:paraId="21C7FDC2">
      <w:pPr>
        <w:spacing w:line="360" w:lineRule="auto"/>
        <w:ind w:firstLine="723"/>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4FFBB6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E9957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2"/>
          <w:rFonts w:hint="eastAsia" w:ascii="宋体" w:hAnsi="宋体" w:eastAsia="宋体" w:cs="宋体"/>
          <w:snapToGrid/>
          <w:color w:val="auto"/>
          <w:kern w:val="2"/>
          <w:sz w:val="24"/>
          <w:szCs w:val="24"/>
          <w:highlight w:val="none"/>
        </w:rPr>
        <w:t>https://www.zcygov.cn/）获取（下载）招标文件，并于</w:t>
      </w:r>
      <w:r>
        <w:rPr>
          <w:rStyle w:val="22"/>
          <w:rFonts w:hint="eastAsia" w:ascii="宋体" w:hAnsi="宋体" w:cs="宋体"/>
          <w:snapToGrid/>
          <w:color w:val="auto"/>
          <w:kern w:val="2"/>
          <w:sz w:val="24"/>
          <w:szCs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03</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en-US" w:eastAsia="zh-CN"/>
        </w:rPr>
        <w:t>14日</w:t>
      </w:r>
      <w:r>
        <w:rPr>
          <w:rStyle w:val="22"/>
          <w:rFonts w:hint="eastAsia" w:ascii="宋体" w:hAnsi="宋体" w:eastAsia="宋体" w:cs="宋体"/>
          <w:snapToGrid/>
          <w:color w:val="auto"/>
          <w:kern w:val="2"/>
          <w:sz w:val="24"/>
          <w:szCs w:val="24"/>
          <w:highlight w:val="none"/>
        </w:rPr>
        <w:fldChar w:fldCharType="end"/>
      </w:r>
      <w:r>
        <w:rPr>
          <w:rStyle w:val="22"/>
          <w:rFonts w:hint="eastAsia" w:ascii="宋体" w:hAnsi="宋体" w:cs="宋体"/>
          <w:bCs/>
          <w:snapToGrid/>
          <w:color w:val="auto"/>
          <w:kern w:val="2"/>
          <w:sz w:val="24"/>
          <w:szCs w:val="24"/>
          <w:highlight w:val="none"/>
          <w:lang w:val="en-US" w:eastAsia="zh-CN"/>
        </w:rPr>
        <w:t>14</w:t>
      </w:r>
      <w:r>
        <w:rPr>
          <w:rStyle w:val="22"/>
          <w:rFonts w:hint="eastAsia" w:ascii="宋体" w:hAnsi="宋体" w:eastAsia="宋体" w:cs="宋体"/>
          <w:bCs/>
          <w:snapToGrid/>
          <w:color w:val="auto"/>
          <w:kern w:val="2"/>
          <w:sz w:val="24"/>
          <w:szCs w:val="24"/>
          <w:highlight w:val="none"/>
          <w:lang w:val="en-US" w:eastAsia="zh-CN"/>
        </w:rPr>
        <w:t>:</w:t>
      </w:r>
      <w:r>
        <w:rPr>
          <w:rStyle w:val="22"/>
          <w:rFonts w:hint="eastAsia" w:ascii="宋体" w:hAnsi="宋体" w:cs="宋体"/>
          <w:bCs/>
          <w:snapToGrid/>
          <w:color w:val="auto"/>
          <w:kern w:val="2"/>
          <w:sz w:val="24"/>
          <w:szCs w:val="24"/>
          <w:highlight w:val="none"/>
          <w:lang w:val="en-US" w:eastAsia="zh-CN"/>
        </w:rPr>
        <w:t>0</w:t>
      </w:r>
      <w:r>
        <w:rPr>
          <w:rStyle w:val="22"/>
          <w:rFonts w:hint="eastAsia" w:ascii="宋体" w:hAnsi="宋体" w:eastAsia="宋体" w:cs="宋体"/>
          <w:bCs/>
          <w:snapToGrid/>
          <w:color w:val="auto"/>
          <w:kern w:val="2"/>
          <w:sz w:val="24"/>
          <w:szCs w:val="24"/>
          <w:highlight w:val="none"/>
          <w:lang w:val="en-US" w:eastAsia="zh-CN"/>
        </w:rPr>
        <w:t>0</w:t>
      </w:r>
      <w:r>
        <w:rPr>
          <w:rStyle w:val="22"/>
          <w:rFonts w:hint="eastAsia" w:ascii="宋体" w:hAnsi="宋体" w:eastAsia="宋体" w:cs="宋体"/>
          <w:bCs/>
          <w:snapToGrid/>
          <w:color w:val="auto"/>
          <w:kern w:val="2"/>
          <w:sz w:val="24"/>
          <w:szCs w:val="24"/>
          <w:highlight w:val="none"/>
        </w:rPr>
        <w:t>:00</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59027DC">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C17D0B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lang w:eastAsia="zh-CN"/>
        </w:rPr>
        <w:t>ZJZBC-25-GK-9003</w:t>
      </w:r>
    </w:p>
    <w:p w14:paraId="025AD3C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项目名称：</w:t>
      </w:r>
      <w:r>
        <w:rPr>
          <w:rFonts w:hint="eastAsia" w:ascii="宋体" w:hAnsi="宋体" w:eastAsia="宋体" w:cs="宋体"/>
          <w:color w:val="auto"/>
          <w:sz w:val="24"/>
          <w:highlight w:val="none"/>
          <w:lang w:eastAsia="zh-CN"/>
        </w:rPr>
        <w:t>杭州市市场监督管理局投诉举报接收处置服务外包项目</w:t>
      </w:r>
    </w:p>
    <w:p w14:paraId="2623213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预算金额（元）：</w:t>
      </w:r>
      <w:r>
        <w:rPr>
          <w:rFonts w:hint="eastAsia" w:ascii="宋体" w:hAnsi="宋体" w:eastAsia="宋体" w:cs="宋体"/>
          <w:color w:val="auto"/>
          <w:sz w:val="24"/>
          <w:highlight w:val="none"/>
          <w:lang w:eastAsia="zh-CN"/>
        </w:rPr>
        <w:t>4910000</w:t>
      </w:r>
    </w:p>
    <w:p w14:paraId="7F90E1D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eastAsia="zh-CN"/>
        </w:rPr>
        <w:t>4910000</w:t>
      </w:r>
    </w:p>
    <w:p w14:paraId="505844FF">
      <w:pPr>
        <w:spacing w:line="33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14:paraId="3DA0A34A">
      <w:pPr>
        <w:pStyle w:val="16"/>
        <w:spacing w:before="0" w:beforeAutospacing="0" w:after="0" w:afterAutospacing="0" w:line="360" w:lineRule="auto"/>
        <w:ind w:firstLine="480"/>
        <w:jc w:val="both"/>
        <w:rPr>
          <w:rFonts w:hint="eastAsia" w:ascii="宋体" w:hAnsi="宋体" w:eastAsia="宋体" w:cs="宋体"/>
          <w:color w:val="auto"/>
          <w:szCs w:val="24"/>
          <w:highlight w:val="none"/>
        </w:rPr>
      </w:pPr>
    </w:p>
    <w:p w14:paraId="350006B0">
      <w:pPr>
        <w:pStyle w:val="16"/>
        <w:spacing w:before="0" w:beforeAutospacing="0" w:after="0" w:afterAutospacing="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标项名称：</w:t>
      </w:r>
      <w:r>
        <w:rPr>
          <w:rFonts w:hint="eastAsia" w:ascii="宋体" w:hAnsi="宋体" w:eastAsia="宋体" w:cs="宋体"/>
          <w:color w:val="auto"/>
          <w:highlight w:val="none"/>
          <w:lang w:eastAsia="zh-CN"/>
        </w:rPr>
        <w:t>杭州市市场监督管理局投诉举报接收处置服务外包项目</w:t>
      </w:r>
      <w:r>
        <w:rPr>
          <w:rFonts w:hint="eastAsia" w:ascii="宋体" w:hAnsi="宋体" w:eastAsia="宋体" w:cs="宋体"/>
          <w:color w:val="auto"/>
          <w:szCs w:val="24"/>
          <w:highlight w:val="none"/>
        </w:rPr>
        <w:t>  </w:t>
      </w:r>
    </w:p>
    <w:p w14:paraId="28E9514D">
      <w:pPr>
        <w:pStyle w:val="16"/>
        <w:spacing w:before="0" w:beforeAutospacing="0" w:after="0" w:afterAutospacing="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数量：1  </w:t>
      </w:r>
    </w:p>
    <w:p w14:paraId="5182234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预算金额（元）：</w:t>
      </w:r>
      <w:r>
        <w:rPr>
          <w:rFonts w:hint="eastAsia" w:ascii="宋体" w:hAnsi="宋体" w:eastAsia="宋体" w:cs="宋体"/>
          <w:color w:val="auto"/>
          <w:sz w:val="24"/>
          <w:highlight w:val="none"/>
          <w:lang w:eastAsia="zh-CN"/>
        </w:rPr>
        <w:t>4910000</w:t>
      </w:r>
    </w:p>
    <w:p w14:paraId="697B0CF9">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简要规格描述或项目基本概况介绍、用途：</w:t>
      </w:r>
      <w:r>
        <w:rPr>
          <w:rFonts w:hint="eastAsia" w:ascii="宋体" w:hAnsi="宋体" w:eastAsia="宋体" w:cs="宋体"/>
          <w:bCs/>
          <w:color w:val="auto"/>
          <w:sz w:val="24"/>
          <w:highlight w:val="none"/>
          <w:lang w:val="en-US" w:eastAsia="zh-CN"/>
        </w:rPr>
        <w:t xml:space="preserve"> 杭州市市场监督管理局投诉举报接收处置服务外包项目(2025年度)，包括以下内容：</w:t>
      </w:r>
    </w:p>
    <w:p w14:paraId="715292B4">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人员劳务服务。提供话务坐席人员、网络(书信)坐席人员、管理人员等岗位的劳务服务；工作人员负责各渠道来源的投诉举报的接收采集、来人来访接待、登记录入、分流传递、核实反馈、办结归档、联络沟通等工作，包括与上级部门的联通及同级部门的联动工作，对有关业务资料进行梳理整理，对相关知识库进行维护，对重大紧急突发信息进行接收、传递、报送和跟踪；完成采购人要求的其他业务工作需求。</w:t>
      </w:r>
    </w:p>
    <w:p w14:paraId="182AE457">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培训及文化。对相关岗位人员进行招募、培训，通过绩效考核、表彰奖励等手段提供工作人员劳动效率；通过组织相关文体、竞赛、交流、培训、研讨等活动提高团队凝聚力，减少人员流失；营造良好办公环境，对员工进行心理辅导和文化建设。</w:t>
      </w:r>
    </w:p>
    <w:p w14:paraId="5A80619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技术及安全服务。配置全媒体坐席软件和数据录入软件,支持与市场监管总局全国12315平台保持数据互通和软件适配；配置国产电脑（8G内存、256G硬盘、23.8寸显示器）、IP电话机与坐席用配套耳麦；配置备用居家呼叫坐席，确保灾备状态下可实现部分远程办公；开设智能机器人导航与短信提醒功能等实现链接；开发智能AI语音系统；多次拨打12315热线未接通的，发送短信提醒；具备与12345话务互联互通功能，实现语音导航和一键呼转；对相关数据进行统计分析并形成报表和报告，并按照上级工作标准或根据采购人要求上报</w:t>
      </w:r>
      <w:r>
        <w:rPr>
          <w:rFonts w:hint="eastAsia" w:ascii="宋体" w:hAnsi="宋体" w:eastAsia="宋体" w:cs="宋体"/>
          <w:bCs/>
          <w:color w:val="auto"/>
          <w:sz w:val="24"/>
          <w:highlight w:val="none"/>
        </w:rPr>
        <w:t>。</w:t>
      </w:r>
    </w:p>
    <w:p w14:paraId="157E61F1">
      <w:pPr>
        <w:spacing w:line="338"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备注：非专门面向中小企业</w:t>
      </w:r>
    </w:p>
    <w:p w14:paraId="00F39ED1">
      <w:pPr>
        <w:spacing w:line="338"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项目履约期限：</w:t>
      </w:r>
      <w:r>
        <w:rPr>
          <w:rFonts w:hint="eastAsia" w:ascii="宋体" w:hAnsi="宋体" w:eastAsia="宋体" w:cs="宋体"/>
          <w:bCs/>
          <w:color w:val="auto"/>
          <w:sz w:val="24"/>
          <w:highlight w:val="none"/>
          <w:lang w:val="en-US" w:eastAsia="zh-CN"/>
        </w:rPr>
        <w:t>1年</w:t>
      </w:r>
      <w:r>
        <w:rPr>
          <w:rFonts w:hint="eastAsia" w:ascii="宋体" w:hAnsi="宋体" w:eastAsia="宋体" w:cs="宋体"/>
          <w:bCs/>
          <w:color w:val="auto"/>
          <w:sz w:val="24"/>
          <w:highlight w:val="none"/>
        </w:rPr>
        <w:t>。</w:t>
      </w:r>
    </w:p>
    <w:p w14:paraId="3390ECC0">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5D01D6A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本项目接受联合体投标：</w:t>
      </w:r>
      <w:sdt>
        <w:sdtPr>
          <w:rPr>
            <w:rFonts w:hint="eastAsia" w:ascii="宋体" w:hAnsi="宋体" w:eastAsia="宋体" w:cs="宋体"/>
            <w:b/>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b/>
            <w:color w:val="auto"/>
            <w:kern w:val="0"/>
            <w:sz w:val="24"/>
            <w:highlight w:val="none"/>
          </w:rPr>
        </w:sdtEndPr>
        <w:sdtContent>
          <w:r>
            <w:rPr>
              <w:rFonts w:hint="eastAsia" w:ascii="宋体" w:hAnsi="宋体" w:eastAsia="宋体" w:cs="宋体"/>
              <w:b/>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bCs/>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bCs/>
            <w:color w:val="auto"/>
            <w:kern w:val="0"/>
            <w:sz w:val="24"/>
            <w:highlight w:val="none"/>
          </w:rPr>
        </w:sdtEndPr>
        <w:sdtContent>
          <w:r>
            <w:rPr>
              <w:rFonts w:hint="eastAsia" w:ascii="宋体" w:hAnsi="宋体" w:eastAsia="宋体" w:cs="宋体"/>
              <w:bCs/>
              <w:color w:val="auto"/>
              <w:kern w:val="0"/>
              <w:sz w:val="24"/>
              <w:highlight w:val="none"/>
            </w:rPr>
            <w:t>☐</w:t>
          </w:r>
        </w:sdtContent>
      </w:sdt>
      <w:r>
        <w:rPr>
          <w:rFonts w:hint="eastAsia" w:ascii="宋体" w:hAnsi="宋体" w:eastAsia="宋体" w:cs="宋体"/>
          <w:bCs/>
          <w:color w:val="auto"/>
          <w:sz w:val="24"/>
          <w:highlight w:val="none"/>
        </w:rPr>
        <w:t>否</w:t>
      </w:r>
      <w:r>
        <w:rPr>
          <w:rFonts w:hint="eastAsia" w:ascii="宋体" w:hAnsi="宋体" w:eastAsia="宋体" w:cs="宋体"/>
          <w:bCs/>
          <w:color w:val="auto"/>
          <w:kern w:val="0"/>
          <w:sz w:val="24"/>
          <w:highlight w:val="none"/>
        </w:rPr>
        <w:t>。</w:t>
      </w:r>
    </w:p>
    <w:p w14:paraId="237F0E72">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6D37AECE">
      <w:pPr>
        <w:spacing w:line="360" w:lineRule="auto"/>
        <w:ind w:firstLine="480"/>
        <w:jc w:val="lef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AE7E686">
      <w:pPr>
        <w:spacing w:line="360" w:lineRule="auto"/>
        <w:rPr>
          <w:rFonts w:hint="eastAsia" w:ascii="宋体" w:hAnsi="宋体" w:eastAsia="宋体" w:cs="宋体"/>
          <w:bCs/>
          <w:color w:val="auto"/>
          <w:sz w:val="24"/>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r>
        <w:rPr>
          <w:rFonts w:hint="eastAsia" w:ascii="宋体" w:hAnsi="宋体" w:eastAsia="宋体" w:cs="宋体"/>
          <w:bCs/>
          <w:color w:val="auto"/>
          <w:kern w:val="0"/>
          <w:sz w:val="24"/>
          <w:highlight w:val="none"/>
        </w:rPr>
        <w:t>；</w:t>
      </w:r>
    </w:p>
    <w:p w14:paraId="4E0E43C4">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96A5711">
      <w:pPr>
        <w:spacing w:line="360" w:lineRule="auto"/>
        <w:ind w:firstLine="482" w:firstLineChars="20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sym w:font="Wingdings" w:char="00FE"/>
      </w:r>
      <w:r>
        <w:rPr>
          <w:rFonts w:hint="eastAsia" w:ascii="宋体" w:hAnsi="宋体" w:eastAsia="宋体" w:cs="宋体"/>
          <w:b/>
          <w:bCs/>
          <w:snapToGrid w:val="0"/>
          <w:color w:val="auto"/>
          <w:kern w:val="28"/>
          <w:sz w:val="24"/>
          <w:szCs w:val="20"/>
          <w:highlight w:val="none"/>
        </w:rPr>
        <w:t>无（注：不得限制大中型企业与小微企业组成联合体参与投标）；</w:t>
      </w:r>
    </w:p>
    <w:p w14:paraId="30187640">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highlight w:val="none"/>
        </w:rPr>
        <w:t>专</w:t>
      </w:r>
      <w:r>
        <w:rPr>
          <w:rFonts w:hint="eastAsia" w:ascii="宋体" w:hAnsi="宋体" w:eastAsia="宋体" w:cs="宋体"/>
          <w:b w:val="0"/>
          <w:bCs w:val="0"/>
          <w:color w:val="auto"/>
          <w:sz w:val="24"/>
          <w:highlight w:val="none"/>
        </w:rPr>
        <w:t>门面向中小企业</w:t>
      </w:r>
    </w:p>
    <w:p w14:paraId="2F633D2F">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服务全部由符合政策要求的中小企业承接，提供中小企业声明函；</w:t>
      </w:r>
    </w:p>
    <w:p w14:paraId="4D37CD57">
      <w:pPr>
        <w:spacing w:line="360" w:lineRule="auto"/>
        <w:ind w:firstLine="897" w:firstLineChars="374"/>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7B11BB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1B3544BB">
      <w:pPr>
        <w:spacing w:line="360" w:lineRule="auto"/>
        <w:ind w:firstLine="482"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snapToGrid w:val="0"/>
          <w:color w:val="auto"/>
          <w:kern w:val="28"/>
          <w:sz w:val="24"/>
          <w:szCs w:val="20"/>
          <w:highlight w:val="none"/>
        </w:rPr>
        <w:sym w:font="Wingdings" w:char="00FE"/>
      </w:r>
      <w:r>
        <w:rPr>
          <w:rFonts w:hint="eastAsia" w:ascii="宋体" w:hAnsi="宋体" w:eastAsia="宋体" w:cs="宋体"/>
          <w:b w:val="0"/>
          <w:bCs w:val="0"/>
          <w:color w:val="auto"/>
          <w:sz w:val="24"/>
          <w:highlight w:val="none"/>
          <w:lang w:val="en-US" w:eastAsia="zh-CN"/>
        </w:rPr>
        <w:t>无。</w:t>
      </w:r>
    </w:p>
    <w:p w14:paraId="2A71F55D">
      <w:pPr>
        <w:spacing w:line="360" w:lineRule="auto"/>
        <w:ind w:firstLine="480" w:firstLineChars="200"/>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p>
    <w:p w14:paraId="1BF9FF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620016">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54D56F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时间：/至</w:t>
      </w:r>
      <w:r>
        <w:rPr>
          <w:rFonts w:hint="eastAsia" w:ascii="宋体" w:hAnsi="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03</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14日</w:t>
      </w:r>
      <w:r>
        <w:rPr>
          <w:rFonts w:hint="eastAsia" w:ascii="宋体" w:hAnsi="宋体" w:eastAsia="宋体" w:cs="宋体"/>
          <w:bCs/>
          <w:color w:val="auto"/>
          <w:sz w:val="24"/>
          <w:highlight w:val="none"/>
        </w:rPr>
        <w:t>，每天上午00:00至12:00 ，下午12:00至23:59（北京时间，线上获取法定节假日均可，线下获取文件法定节假日除外）</w:t>
      </w:r>
    </w:p>
    <w:p w14:paraId="31B9A05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地点（网址）：政采云平台（https://www.zcygov.cn/） </w:t>
      </w:r>
    </w:p>
    <w:p w14:paraId="1222F7D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方式：供应商登录政采云平台https://www.zcygov.cn/在线申请获取招标文件（进入“项目采购”应用，在获取招标文件菜单中选择项目，申请获取招标文件） </w:t>
      </w:r>
    </w:p>
    <w:p w14:paraId="44E4C96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售价（元）：0 </w:t>
      </w:r>
      <w:r>
        <w:rPr>
          <w:rFonts w:hint="eastAsia" w:ascii="宋体" w:hAnsi="宋体" w:eastAsia="宋体" w:cs="宋体"/>
          <w:bCs/>
          <w:color w:val="auto"/>
          <w:sz w:val="24"/>
          <w:highlight w:val="none"/>
        </w:rPr>
        <w:tab/>
      </w:r>
    </w:p>
    <w:p w14:paraId="6E904D77">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367EF6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提交投标文件截止时间：</w:t>
      </w:r>
      <w:r>
        <w:rPr>
          <w:rFonts w:hint="eastAsia" w:ascii="宋体" w:hAnsi="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03</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14日</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（北京时间）</w:t>
      </w:r>
    </w:p>
    <w:p w14:paraId="03FF187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投标地点（网址）：政采云平台（https://www.zcygov.cn/） 在线递交</w:t>
      </w:r>
    </w:p>
    <w:p w14:paraId="511DC1B1">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开标时间：</w:t>
      </w:r>
      <w:r>
        <w:rPr>
          <w:rFonts w:hint="eastAsia" w:ascii="宋体" w:hAnsi="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03</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14日</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14</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（北京时间）</w:t>
      </w:r>
    </w:p>
    <w:p w14:paraId="353FDA4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开标地点（网址）：政采云平台（https://www.zcygov.cn/）（线下：杭州市上城区环站东路97号云峰大厦1幢</w:t>
      </w:r>
      <w:r>
        <w:rPr>
          <w:rFonts w:hint="eastAsia" w:ascii="宋体" w:hAnsi="宋体" w:eastAsia="宋体" w:cs="宋体"/>
          <w:bCs/>
          <w:color w:val="auto"/>
          <w:sz w:val="24"/>
          <w:highlight w:val="none"/>
          <w:lang w:eastAsia="zh-CN"/>
        </w:rPr>
        <w:t>13楼</w:t>
      </w:r>
      <w:r>
        <w:rPr>
          <w:rFonts w:hint="eastAsia" w:ascii="宋体" w:hAnsi="宋体" w:eastAsia="宋体" w:cs="宋体"/>
          <w:bCs/>
          <w:color w:val="auto"/>
          <w:sz w:val="24"/>
          <w:highlight w:val="none"/>
        </w:rPr>
        <w:t>开标室）</w:t>
      </w:r>
    </w:p>
    <w:p w14:paraId="0189AC41">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14:paraId="5B6BA4E3">
      <w:pPr>
        <w:spacing w:line="360" w:lineRule="auto"/>
        <w:ind w:firstLine="482"/>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https://zfcg.czt.zj.gov.cn/site/detail?categoryCode=ZcyAnnouncement&amp;parentId=600007&amp;articleId=hKXSczUJSiCCMJR44TmsPw==</w:t>
      </w:r>
    </w:p>
    <w:p w14:paraId="442CEA20">
      <w:pPr>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4288BB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A58E551">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000A11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C942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3020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7C8C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81ACE9">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44B1F73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0E6405E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称：杭州市市场监督管理局 </w:t>
      </w:r>
    </w:p>
    <w:p w14:paraId="4958CDD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址：杭州市拱墅区体育场路31号</w:t>
      </w:r>
    </w:p>
    <w:p w14:paraId="1301E07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2559E4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盛</w:t>
      </w:r>
      <w:r>
        <w:rPr>
          <w:rFonts w:hint="eastAsia" w:ascii="宋体" w:hAnsi="宋体" w:eastAsia="宋体" w:cs="宋体"/>
          <w:color w:val="auto"/>
          <w:sz w:val="24"/>
          <w:highlight w:val="none"/>
        </w:rPr>
        <w:t xml:space="preserve">老师 </w:t>
      </w:r>
    </w:p>
    <w:p w14:paraId="12706CB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项目联系方式（询问）：0571-8698</w:t>
      </w:r>
      <w:r>
        <w:rPr>
          <w:rFonts w:hint="eastAsia" w:ascii="宋体" w:hAnsi="宋体" w:eastAsia="宋体" w:cs="宋体"/>
          <w:color w:val="auto"/>
          <w:sz w:val="24"/>
          <w:highlight w:val="none"/>
          <w:lang w:val="en-US" w:eastAsia="zh-CN"/>
        </w:rPr>
        <w:t>7595</w:t>
      </w:r>
      <w:r>
        <w:rPr>
          <w:rFonts w:hint="eastAsia" w:ascii="宋体" w:hAnsi="宋体" w:eastAsia="宋体" w:cs="宋体"/>
          <w:color w:val="auto"/>
          <w:sz w:val="24"/>
          <w:highlight w:val="none"/>
        </w:rPr>
        <w:t xml:space="preserve"> </w:t>
      </w:r>
    </w:p>
    <w:p w14:paraId="52F665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质疑联系人：王老师</w:t>
      </w:r>
    </w:p>
    <w:p w14:paraId="7D238F86">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质疑联系方式：0571-8698</w:t>
      </w:r>
      <w:r>
        <w:rPr>
          <w:rFonts w:hint="eastAsia" w:ascii="宋体" w:hAnsi="宋体" w:eastAsia="宋体" w:cs="宋体"/>
          <w:color w:val="auto"/>
          <w:sz w:val="24"/>
          <w:highlight w:val="none"/>
          <w:lang w:val="en-US" w:eastAsia="zh-CN"/>
        </w:rPr>
        <w:t>3787</w:t>
      </w:r>
    </w:p>
    <w:p w14:paraId="54D3963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41D1D7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称：浙江省建设工程设备招标有限公司</w:t>
      </w:r>
    </w:p>
    <w:p w14:paraId="6C699CC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址：杭州市环站东路97号云峰大厦1幢</w:t>
      </w:r>
      <w:r>
        <w:rPr>
          <w:rFonts w:hint="eastAsia" w:ascii="宋体" w:hAnsi="宋体" w:eastAsia="宋体" w:cs="宋体"/>
          <w:color w:val="auto"/>
          <w:sz w:val="24"/>
          <w:highlight w:val="none"/>
          <w:lang w:eastAsia="zh-CN"/>
        </w:rPr>
        <w:t>13楼</w:t>
      </w:r>
    </w:p>
    <w:p w14:paraId="1FD61C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真：0571-87631300</w:t>
      </w:r>
    </w:p>
    <w:p w14:paraId="327A1DBF">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项目联系人（询问）：王红红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胡馨月</w:t>
      </w:r>
    </w:p>
    <w:p w14:paraId="784B93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项目联系方式（询问）：0571-87630283</w:t>
      </w:r>
    </w:p>
    <w:p w14:paraId="40F38C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质疑联系人：胡经理</w:t>
      </w:r>
    </w:p>
    <w:p w14:paraId="67DC8D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质疑联系方式：0571-87630283</w:t>
      </w:r>
    </w:p>
    <w:p w14:paraId="034013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E6AC7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464017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 549 号城建综合大楼 11楼（快递仅限ems或顺丰） </w:t>
      </w:r>
    </w:p>
    <w:p w14:paraId="36738F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497076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w:t>
      </w:r>
    </w:p>
    <w:p w14:paraId="37D8E68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0B24FB2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政策咨询：陈先生、0571-89580460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政府采购监管部门工作人员）</w:t>
      </w:r>
    </w:p>
    <w:p w14:paraId="482CF873">
      <w:pPr>
        <w:spacing w:line="360" w:lineRule="auto"/>
        <w:ind w:firstLine="480"/>
        <w:jc w:val="left"/>
        <w:rPr>
          <w:rFonts w:hint="eastAsia" w:ascii="宋体" w:hAnsi="宋体" w:eastAsia="宋体" w:cs="宋体"/>
          <w:color w:val="auto"/>
          <w:sz w:val="24"/>
          <w:highlight w:val="none"/>
        </w:rPr>
      </w:pPr>
    </w:p>
    <w:p w14:paraId="5E9EED7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97220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7C13102">
      <w:pPr>
        <w:widowControl/>
        <w:ind w:firstLine="723"/>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FCCB36B">
      <w:pPr>
        <w:spacing w:line="360" w:lineRule="auto"/>
        <w:ind w:firstLine="723"/>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6486A71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前附表</w:t>
      </w:r>
    </w:p>
    <w:tbl>
      <w:tblPr>
        <w:tblStyle w:val="17"/>
        <w:tblW w:w="9721" w:type="dxa"/>
        <w:tblInd w:w="-3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513"/>
        <w:gridCol w:w="7553"/>
      </w:tblGrid>
      <w:tr w14:paraId="1F6E9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55" w:type="dxa"/>
            <w:tcBorders>
              <w:top w:val="single" w:color="auto" w:sz="4" w:space="0"/>
              <w:left w:val="single" w:color="auto" w:sz="4" w:space="0"/>
              <w:bottom w:val="single" w:color="auto" w:sz="4" w:space="0"/>
              <w:right w:val="single" w:color="auto" w:sz="4" w:space="0"/>
            </w:tcBorders>
          </w:tcPr>
          <w:p w14:paraId="08D6F07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13" w:type="dxa"/>
            <w:tcBorders>
              <w:top w:val="single" w:color="000000" w:sz="8" w:space="0"/>
              <w:left w:val="single" w:color="auto" w:sz="4" w:space="0"/>
              <w:bottom w:val="single" w:color="000000" w:sz="8" w:space="0"/>
              <w:right w:val="single" w:color="000000" w:sz="8" w:space="0"/>
            </w:tcBorders>
            <w:vAlign w:val="center"/>
          </w:tcPr>
          <w:p w14:paraId="48D421F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553" w:type="dxa"/>
            <w:tcBorders>
              <w:top w:val="single" w:color="000000" w:sz="8" w:space="0"/>
              <w:left w:val="single" w:color="000000" w:sz="2" w:space="0"/>
              <w:bottom w:val="single" w:color="000000" w:sz="8" w:space="0"/>
              <w:right w:val="single" w:color="000000" w:sz="8" w:space="0"/>
            </w:tcBorders>
            <w:vAlign w:val="center"/>
          </w:tcPr>
          <w:p w14:paraId="04D0283D">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6E29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246813F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13" w:type="dxa"/>
            <w:tcBorders>
              <w:top w:val="single" w:color="000000" w:sz="8" w:space="0"/>
              <w:left w:val="single" w:color="auto" w:sz="4" w:space="0"/>
              <w:bottom w:val="single" w:color="000000" w:sz="8" w:space="0"/>
              <w:right w:val="single" w:color="000000" w:sz="8" w:space="0"/>
            </w:tcBorders>
            <w:vAlign w:val="center"/>
          </w:tcPr>
          <w:p w14:paraId="6990C51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采购计划文号及采购预算</w:t>
            </w:r>
          </w:p>
        </w:tc>
        <w:tc>
          <w:tcPr>
            <w:tcW w:w="7553" w:type="dxa"/>
            <w:tcBorders>
              <w:top w:val="single" w:color="000000" w:sz="8" w:space="0"/>
              <w:left w:val="single" w:color="000000" w:sz="2" w:space="0"/>
              <w:bottom w:val="single" w:color="000000" w:sz="8" w:space="0"/>
              <w:right w:val="single" w:color="000000" w:sz="8" w:space="0"/>
            </w:tcBorders>
            <w:vAlign w:val="center"/>
          </w:tcPr>
          <w:p w14:paraId="325D426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val="zh-TW" w:eastAsia="zh-CN"/>
              </w:rPr>
            </w:pPr>
            <w:r>
              <w:rPr>
                <w:rFonts w:hint="eastAsia" w:ascii="宋体" w:hAnsi="宋体" w:eastAsia="宋体" w:cs="宋体"/>
                <w:color w:val="auto"/>
                <w:sz w:val="24"/>
                <w:szCs w:val="24"/>
                <w:highlight w:val="none"/>
                <w:lang w:val="zh-TW"/>
              </w:rPr>
              <w:t>采购计划文号：</w:t>
            </w:r>
            <w:r>
              <w:rPr>
                <w:rFonts w:hint="eastAsia" w:ascii="宋体" w:hAnsi="宋体" w:eastAsia="宋体" w:cs="宋体"/>
                <w:color w:val="auto"/>
                <w:sz w:val="24"/>
                <w:szCs w:val="24"/>
                <w:highlight w:val="none"/>
                <w:lang w:val="zh-TW"/>
              </w:rPr>
              <w:fldChar w:fldCharType="begin"/>
            </w:r>
            <w:r>
              <w:rPr>
                <w:rFonts w:hint="eastAsia" w:ascii="宋体" w:hAnsi="宋体" w:eastAsia="宋体" w:cs="宋体"/>
                <w:color w:val="auto"/>
                <w:sz w:val="24"/>
                <w:szCs w:val="24"/>
                <w:highlight w:val="none"/>
                <w:lang w:val="zh-TW"/>
              </w:rPr>
              <w:instrText xml:space="preserve"> HYPERLINK "https://pay.zcygov.cn/purchaseplan_front/" \l "/plan/list/view?id=1000000000015354730" \t "https://www.zcygov.cn/delegation-order/_procurement_/order/orderInfo/check/_blank" </w:instrText>
            </w:r>
            <w:r>
              <w:rPr>
                <w:rFonts w:hint="eastAsia" w:ascii="宋体" w:hAnsi="宋体" w:eastAsia="宋体" w:cs="宋体"/>
                <w:color w:val="auto"/>
                <w:sz w:val="24"/>
                <w:szCs w:val="24"/>
                <w:highlight w:val="none"/>
                <w:lang w:val="zh-TW"/>
              </w:rPr>
              <w:fldChar w:fldCharType="separate"/>
            </w:r>
            <w:r>
              <w:rPr>
                <w:rFonts w:hint="eastAsia" w:ascii="宋体" w:hAnsi="宋体" w:eastAsia="宋体" w:cs="宋体"/>
                <w:color w:val="auto"/>
                <w:sz w:val="24"/>
                <w:szCs w:val="24"/>
                <w:highlight w:val="none"/>
                <w:lang w:val="zh-TW"/>
              </w:rPr>
              <w:t>临[2025]170号</w:t>
            </w:r>
            <w:r>
              <w:rPr>
                <w:rFonts w:hint="eastAsia" w:ascii="宋体" w:hAnsi="宋体" w:eastAsia="宋体" w:cs="宋体"/>
                <w:color w:val="auto"/>
                <w:sz w:val="24"/>
                <w:szCs w:val="24"/>
                <w:highlight w:val="none"/>
                <w:lang w:val="zh-TW"/>
              </w:rPr>
              <w:fldChar w:fldCharType="end"/>
            </w:r>
          </w:p>
          <w:p w14:paraId="5F81E39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▲总报价超过或单项报价超过采购预算的投标无效。</w:t>
            </w:r>
          </w:p>
        </w:tc>
      </w:tr>
      <w:tr w14:paraId="30728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5ED2629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13" w:type="dxa"/>
            <w:tcBorders>
              <w:top w:val="single" w:color="000000" w:sz="8" w:space="0"/>
              <w:left w:val="single" w:color="auto" w:sz="4" w:space="0"/>
              <w:bottom w:val="single" w:color="000000" w:sz="8" w:space="0"/>
              <w:right w:val="single" w:color="000000" w:sz="8" w:space="0"/>
            </w:tcBorders>
            <w:vAlign w:val="center"/>
          </w:tcPr>
          <w:p w14:paraId="596D5A0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553" w:type="dxa"/>
            <w:tcBorders>
              <w:top w:val="single" w:color="000000" w:sz="8" w:space="0"/>
              <w:left w:val="single" w:color="000000" w:sz="2" w:space="0"/>
              <w:bottom w:val="single" w:color="000000" w:sz="8" w:space="0"/>
              <w:right w:val="single" w:color="000000" w:sz="8" w:space="0"/>
            </w:tcBorders>
            <w:vAlign w:val="center"/>
          </w:tcPr>
          <w:p w14:paraId="652BA42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服务类。</w:t>
            </w:r>
          </w:p>
        </w:tc>
      </w:tr>
      <w:tr w14:paraId="1607C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6768020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13" w:type="dxa"/>
            <w:tcBorders>
              <w:top w:val="single" w:color="000000" w:sz="8" w:space="0"/>
              <w:left w:val="single" w:color="auto" w:sz="4" w:space="0"/>
              <w:bottom w:val="single" w:color="000000" w:sz="8" w:space="0"/>
              <w:right w:val="single" w:color="000000" w:sz="8" w:space="0"/>
            </w:tcBorders>
            <w:vAlign w:val="center"/>
          </w:tcPr>
          <w:p w14:paraId="705B8C9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553" w:type="dxa"/>
            <w:tcBorders>
              <w:top w:val="single" w:color="000000" w:sz="8" w:space="0"/>
              <w:left w:val="single" w:color="000000" w:sz="2" w:space="0"/>
              <w:bottom w:val="single" w:color="000000" w:sz="8" w:space="0"/>
              <w:right w:val="single" w:color="000000" w:sz="8" w:space="0"/>
            </w:tcBorders>
            <w:vAlign w:val="center"/>
          </w:tcPr>
          <w:p w14:paraId="7D778B32">
            <w:pPr>
              <w:pStyle w:val="16"/>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right="143" w:rightChars="68"/>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标的：</w:t>
            </w:r>
            <w:r>
              <w:rPr>
                <w:rFonts w:hint="eastAsia" w:ascii="宋体" w:hAnsi="宋体" w:eastAsia="宋体" w:cs="宋体"/>
                <w:color w:val="auto"/>
                <w:highlight w:val="none"/>
                <w:u w:val="single"/>
                <w:lang w:eastAsia="zh-CN"/>
              </w:rPr>
              <w:t>杭州市市场监督管理局投诉举报接收处置服务外包项目</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软件和信息技术服务业</w:t>
            </w:r>
            <w:r>
              <w:rPr>
                <w:rFonts w:hint="eastAsia" w:ascii="宋体" w:hAnsi="宋体" w:eastAsia="宋体" w:cs="宋体"/>
                <w:color w:val="auto"/>
                <w:szCs w:val="24"/>
                <w:highlight w:val="none"/>
                <w:u w:val="single"/>
              </w:rPr>
              <w:t>；</w:t>
            </w:r>
          </w:p>
          <w:p w14:paraId="3777C668">
            <w:pPr>
              <w:pStyle w:val="16"/>
              <w:keepNext w:val="0"/>
              <w:keepLines w:val="0"/>
              <w:pageBreakBefore w:val="0"/>
              <w:kinsoku/>
              <w:wordWrap/>
              <w:overflowPunct/>
              <w:topLinePunct w:val="0"/>
              <w:bidi w:val="0"/>
              <w:adjustRightInd w:val="0"/>
              <w:snapToGrid w:val="0"/>
              <w:spacing w:before="0" w:beforeAutospacing="0" w:after="0" w:afterAutospacing="0" w:line="360" w:lineRule="auto"/>
              <w:ind w:right="143" w:rightChars="68"/>
              <w:jc w:val="both"/>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lang w:eastAsia="zh-CN"/>
              </w:rPr>
              <w:t>《关于印发中小企业划型标准规定的通知》（工信部联企业〔2011〕300）第</w:t>
            </w:r>
            <w:r>
              <w:rPr>
                <w:rFonts w:hint="eastAsia" w:ascii="宋体" w:hAnsi="宋体" w:eastAsia="宋体" w:cs="宋体"/>
                <w:color w:val="auto"/>
                <w:highlight w:val="none"/>
                <w:lang w:val="en-US" w:eastAsia="zh-CN"/>
              </w:rPr>
              <w:t>四条规定对应</w:t>
            </w:r>
            <w:r>
              <w:rPr>
                <w:rFonts w:hint="eastAsia" w:ascii="宋体" w:hAnsi="宋体" w:eastAsia="宋体" w:cs="宋体"/>
                <w:color w:val="auto"/>
                <w:highlight w:val="none"/>
              </w:rPr>
              <w:t>行业划分标准：</w:t>
            </w:r>
            <w:r>
              <w:rPr>
                <w:rFonts w:hint="eastAsia" w:ascii="宋体" w:hAnsi="宋体" w:eastAsia="宋体" w:cs="宋体"/>
                <w:color w:val="auto"/>
                <w:highlight w:val="none"/>
                <w:u w:val="singl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7EA9F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（2）本项目扶持力度：</w:t>
            </w:r>
          </w:p>
          <w:p w14:paraId="1253565D">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A专门预留中小企业份额项目；</w:t>
            </w:r>
          </w:p>
          <w:p w14:paraId="4A329FB7">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B适宜面向中小企业，本项目预留要求达到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%（允许联合或分包）；</w:t>
            </w:r>
          </w:p>
          <w:p w14:paraId="1B39A78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bCs w:val="0"/>
                <w:color w:val="auto"/>
                <w:sz w:val="24"/>
                <w:highlight w:val="none"/>
              </w:rPr>
              <w:sym w:font="Wingdings 2" w:char="0052"/>
            </w:r>
            <w:r>
              <w:rPr>
                <w:rFonts w:hint="eastAsia" w:ascii="宋体" w:hAnsi="宋体" w:eastAsia="宋体" w:cs="宋体"/>
                <w:b/>
                <w:bCs w:val="0"/>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val="0"/>
                <w:color w:val="auto"/>
                <w:sz w:val="24"/>
                <w:highlight w:val="none"/>
                <w:u w:val="single"/>
              </w:rPr>
              <w:t xml:space="preserve">  </w:t>
            </w:r>
            <w:r>
              <w:rPr>
                <w:rFonts w:hint="eastAsia" w:ascii="宋体" w:hAnsi="宋体" w:eastAsia="宋体" w:cs="宋体"/>
                <w:b/>
                <w:bCs w:val="0"/>
                <w:color w:val="auto"/>
                <w:sz w:val="24"/>
                <w:highlight w:val="none"/>
                <w:u w:val="single"/>
                <w:lang w:val="en-US" w:eastAsia="zh-CN"/>
              </w:rPr>
              <w:t>10</w:t>
            </w:r>
            <w:r>
              <w:rPr>
                <w:rFonts w:hint="eastAsia" w:ascii="宋体" w:hAnsi="宋体" w:eastAsia="宋体" w:cs="宋体"/>
                <w:b/>
                <w:bCs w:val="0"/>
                <w:color w:val="auto"/>
                <w:sz w:val="24"/>
                <w:highlight w:val="none"/>
                <w:u w:val="single"/>
              </w:rPr>
              <w:t xml:space="preserve"> % </w:t>
            </w:r>
            <w:r>
              <w:rPr>
                <w:rFonts w:hint="eastAsia" w:ascii="宋体" w:hAnsi="宋体" w:eastAsia="宋体" w:cs="宋体"/>
                <w:b/>
                <w:bCs w:val="0"/>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val="0"/>
                <w:color w:val="auto"/>
                <w:sz w:val="24"/>
                <w:highlight w:val="none"/>
                <w:u w:val="single"/>
              </w:rPr>
              <w:t xml:space="preserve"> </w:t>
            </w:r>
            <w:r>
              <w:rPr>
                <w:rFonts w:hint="eastAsia" w:ascii="宋体" w:hAnsi="宋体" w:eastAsia="宋体" w:cs="宋体"/>
                <w:b/>
                <w:bCs w:val="0"/>
                <w:color w:val="auto"/>
                <w:sz w:val="24"/>
                <w:highlight w:val="none"/>
                <w:u w:val="single"/>
                <w:lang w:val="en-US" w:eastAsia="zh-CN"/>
              </w:rPr>
              <w:t>4</w:t>
            </w:r>
            <w:r>
              <w:rPr>
                <w:rFonts w:hint="eastAsia" w:ascii="宋体" w:hAnsi="宋体" w:eastAsia="宋体" w:cs="宋体"/>
                <w:b/>
                <w:bCs w:val="0"/>
                <w:color w:val="auto"/>
                <w:sz w:val="24"/>
                <w:highlight w:val="none"/>
                <w:u w:val="single"/>
              </w:rPr>
              <w:t xml:space="preserve"> % </w:t>
            </w:r>
            <w:r>
              <w:rPr>
                <w:rFonts w:hint="eastAsia" w:ascii="宋体" w:hAnsi="宋体" w:eastAsia="宋体" w:cs="宋体"/>
                <w:b/>
                <w:bCs w:val="0"/>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67953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2B3E5C5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13" w:type="dxa"/>
            <w:tcBorders>
              <w:top w:val="single" w:color="000000" w:sz="8" w:space="0"/>
              <w:left w:val="single" w:color="auto" w:sz="4" w:space="0"/>
              <w:bottom w:val="single" w:color="000000" w:sz="8" w:space="0"/>
              <w:right w:val="single" w:color="000000" w:sz="8" w:space="0"/>
            </w:tcBorders>
            <w:vAlign w:val="center"/>
          </w:tcPr>
          <w:p w14:paraId="42D3E58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553" w:type="dxa"/>
            <w:tcBorders>
              <w:top w:val="single" w:color="000000" w:sz="8" w:space="0"/>
              <w:left w:val="single" w:color="000000" w:sz="2" w:space="0"/>
              <w:bottom w:val="single" w:color="000000" w:sz="8" w:space="0"/>
              <w:right w:val="single" w:color="000000" w:sz="8" w:space="0"/>
            </w:tcBorders>
            <w:vAlign w:val="center"/>
          </w:tcPr>
          <w:p w14:paraId="69EA50C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w:char="F0FE"/>
            </w:r>
            <w:r>
              <w:rPr>
                <w:rFonts w:hint="eastAsia" w:ascii="宋体" w:hAnsi="宋体" w:eastAsia="宋体" w:cs="宋体"/>
                <w:b/>
                <w:bCs/>
                <w:color w:val="auto"/>
                <w:kern w:val="0"/>
                <w:sz w:val="24"/>
                <w:highlight w:val="none"/>
              </w:rPr>
              <w:t>A本项目不允许采购进口产品；</w:t>
            </w:r>
          </w:p>
          <w:p w14:paraId="2309C88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☐B可以就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6B32B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67636C3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13" w:type="dxa"/>
            <w:tcBorders>
              <w:top w:val="single" w:color="000000" w:sz="8" w:space="0"/>
              <w:left w:val="single" w:color="auto" w:sz="4" w:space="0"/>
              <w:bottom w:val="single" w:color="000000" w:sz="8" w:space="0"/>
              <w:right w:val="single" w:color="000000" w:sz="8" w:space="0"/>
            </w:tcBorders>
            <w:vAlign w:val="center"/>
          </w:tcPr>
          <w:p w14:paraId="6D254BE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553" w:type="dxa"/>
            <w:tcBorders>
              <w:top w:val="single" w:color="000000" w:sz="8" w:space="0"/>
              <w:left w:val="single" w:color="000000" w:sz="2" w:space="0"/>
              <w:bottom w:val="single" w:color="000000" w:sz="8" w:space="0"/>
              <w:right w:val="single" w:color="000000" w:sz="8" w:space="0"/>
            </w:tcBorders>
            <w:vAlign w:val="center"/>
          </w:tcPr>
          <w:p w14:paraId="23AC1AC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同意将非主体、非关键性的</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color w:val="auto"/>
                <w:kern w:val="0"/>
                <w:sz w:val="24"/>
                <w:highlight w:val="none"/>
                <w:u w:val="single"/>
              </w:rPr>
              <w:t>工作人员劳务服务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b/>
                <w:bCs/>
                <w:color w:val="auto"/>
                <w:sz w:val="24"/>
                <w:highlight w:val="none"/>
              </w:rPr>
              <w:t>工作分包；</w:t>
            </w:r>
          </w:p>
          <w:p w14:paraId="14EAD113">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6DD5838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32D58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6B06FE8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13" w:type="dxa"/>
            <w:tcBorders>
              <w:top w:val="single" w:color="000000" w:sz="8" w:space="0"/>
              <w:left w:val="single" w:color="auto" w:sz="4" w:space="0"/>
              <w:bottom w:val="single" w:color="000000" w:sz="8" w:space="0"/>
              <w:right w:val="single" w:color="000000" w:sz="8" w:space="0"/>
            </w:tcBorders>
            <w:vAlign w:val="center"/>
          </w:tcPr>
          <w:p w14:paraId="32DD9EB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553" w:type="dxa"/>
            <w:tcBorders>
              <w:top w:val="single" w:color="000000" w:sz="8" w:space="0"/>
              <w:left w:val="single" w:color="000000" w:sz="2" w:space="0"/>
              <w:bottom w:val="single" w:color="000000" w:sz="8" w:space="0"/>
              <w:right w:val="single" w:color="000000" w:sz="8" w:space="0"/>
            </w:tcBorders>
            <w:vAlign w:val="center"/>
          </w:tcPr>
          <w:p w14:paraId="4199C48F">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r>
              <w:rPr>
                <w:rFonts w:hint="eastAsia" w:ascii="宋体" w:hAnsi="宋体" w:eastAsia="宋体" w:cs="宋体"/>
                <w:b w:val="0"/>
                <w:bCs w:val="0"/>
                <w:color w:val="auto"/>
                <w:sz w:val="24"/>
                <w:highlight w:val="none"/>
                <w:lang w:eastAsia="zh-CN"/>
              </w:rPr>
              <w:t>。</w:t>
            </w:r>
          </w:p>
          <w:p w14:paraId="112C691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7733942A">
            <w:pPr>
              <w:pStyle w:val="26"/>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val="0"/>
                <w:bCs w:val="0"/>
                <w:color w:val="auto"/>
                <w:kern w:val="0"/>
                <w:sz w:val="24"/>
                <w:szCs w:val="22"/>
                <w:highlight w:val="none"/>
                <w:lang w:val="en-US" w:eastAsia="zh-CN" w:bidi="ar-SA"/>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szCs w:val="22"/>
                <w:highlight w:val="none"/>
                <w:lang w:val="en-US" w:eastAsia="zh-CN" w:bidi="ar-SA"/>
              </w:rPr>
              <w:t>C不统一组织，供应商在获取采购文件后，自行至项目现场考察。</w:t>
            </w:r>
          </w:p>
          <w:p w14:paraId="1E666EE6">
            <w:pPr>
              <w:pStyle w:val="26"/>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val="0"/>
                <w:bCs w:val="0"/>
                <w:color w:val="auto"/>
                <w:kern w:val="0"/>
                <w:sz w:val="24"/>
                <w:szCs w:val="22"/>
                <w:highlight w:val="none"/>
                <w:lang w:val="en-US" w:eastAsia="zh-CN" w:bidi="ar-SA"/>
              </w:rPr>
              <w:t>地点：</w:t>
            </w:r>
            <w:r>
              <w:rPr>
                <w:rFonts w:hint="eastAsia" w:ascii="宋体" w:hAnsi="宋体" w:eastAsia="宋体" w:cs="宋体"/>
                <w:b w:val="0"/>
                <w:bCs w:val="0"/>
                <w:color w:val="auto"/>
                <w:kern w:val="0"/>
                <w:sz w:val="24"/>
                <w:szCs w:val="22"/>
                <w:highlight w:val="none"/>
                <w:u w:val="single"/>
                <w:lang w:val="en-US" w:eastAsia="zh-CN" w:bidi="ar-SA"/>
              </w:rPr>
              <w:t xml:space="preserve">     </w:t>
            </w:r>
            <w:r>
              <w:rPr>
                <w:rFonts w:hint="eastAsia" w:ascii="宋体" w:hAnsi="宋体" w:eastAsia="宋体" w:cs="宋体"/>
                <w:b w:val="0"/>
                <w:bCs w:val="0"/>
                <w:color w:val="auto"/>
                <w:kern w:val="0"/>
                <w:sz w:val="24"/>
                <w:szCs w:val="22"/>
                <w:highlight w:val="none"/>
                <w:lang w:val="en-US" w:eastAsia="zh-CN" w:bidi="ar-SA"/>
              </w:rPr>
              <w:t>，联系人：</w:t>
            </w:r>
            <w:r>
              <w:rPr>
                <w:rFonts w:hint="eastAsia" w:ascii="宋体" w:hAnsi="宋体" w:eastAsia="宋体" w:cs="宋体"/>
                <w:b w:val="0"/>
                <w:bCs w:val="0"/>
                <w:color w:val="auto"/>
                <w:kern w:val="0"/>
                <w:sz w:val="24"/>
                <w:szCs w:val="22"/>
                <w:highlight w:val="none"/>
                <w:u w:val="single"/>
                <w:lang w:val="en-US" w:eastAsia="zh-CN" w:bidi="ar-SA"/>
              </w:rPr>
              <w:t xml:space="preserve">   </w:t>
            </w:r>
            <w:r>
              <w:rPr>
                <w:rFonts w:hint="eastAsia" w:ascii="宋体" w:hAnsi="宋体" w:eastAsia="宋体" w:cs="宋体"/>
                <w:b w:val="0"/>
                <w:bCs w:val="0"/>
                <w:color w:val="auto"/>
                <w:kern w:val="0"/>
                <w:sz w:val="24"/>
                <w:szCs w:val="22"/>
                <w:highlight w:val="none"/>
                <w:lang w:val="en-US" w:eastAsia="zh-CN" w:bidi="ar-SA"/>
              </w:rPr>
              <w:t>，联系方式：</w:t>
            </w:r>
            <w:r>
              <w:rPr>
                <w:rFonts w:hint="eastAsia" w:ascii="宋体" w:hAnsi="宋体" w:eastAsia="宋体" w:cs="宋体"/>
                <w:b w:val="0"/>
                <w:bCs w:val="0"/>
                <w:color w:val="auto"/>
                <w:kern w:val="0"/>
                <w:sz w:val="24"/>
                <w:szCs w:val="22"/>
                <w:highlight w:val="none"/>
                <w:u w:val="single"/>
                <w:lang w:val="en-US" w:eastAsia="zh-CN" w:bidi="ar-SA"/>
              </w:rPr>
              <w:t xml:space="preserve">     </w:t>
            </w:r>
            <w:r>
              <w:rPr>
                <w:rFonts w:hint="eastAsia" w:ascii="宋体" w:hAnsi="宋体" w:eastAsia="宋体" w:cs="宋体"/>
                <w:b w:val="0"/>
                <w:bCs w:val="0"/>
                <w:color w:val="auto"/>
                <w:kern w:val="0"/>
                <w:sz w:val="24"/>
                <w:szCs w:val="22"/>
                <w:highlight w:val="none"/>
                <w:lang w:val="en-US" w:eastAsia="zh-CN" w:bidi="ar-SA"/>
              </w:rPr>
              <w:t>。</w:t>
            </w:r>
          </w:p>
        </w:tc>
      </w:tr>
      <w:tr w14:paraId="66ACD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70CD2B9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13" w:type="dxa"/>
            <w:tcBorders>
              <w:top w:val="single" w:color="000000" w:sz="8" w:space="0"/>
              <w:left w:val="single" w:color="auto" w:sz="4" w:space="0"/>
              <w:bottom w:val="single" w:color="000000" w:sz="8" w:space="0"/>
              <w:right w:val="single" w:color="000000" w:sz="8" w:space="0"/>
            </w:tcBorders>
            <w:vAlign w:val="center"/>
          </w:tcPr>
          <w:p w14:paraId="7FE7EBC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履</w:t>
            </w:r>
            <w:r>
              <w:rPr>
                <w:rFonts w:hint="eastAsia" w:ascii="宋体" w:hAnsi="宋体" w:eastAsia="宋体" w:cs="宋体"/>
                <w:b/>
                <w:color w:val="auto"/>
                <w:sz w:val="24"/>
                <w:highlight w:val="none"/>
              </w:rPr>
              <w:t>约保证金</w:t>
            </w:r>
          </w:p>
        </w:tc>
        <w:tc>
          <w:tcPr>
            <w:tcW w:w="7553" w:type="dxa"/>
            <w:tcBorders>
              <w:top w:val="single" w:color="000000" w:sz="8" w:space="0"/>
              <w:left w:val="single" w:color="000000" w:sz="2" w:space="0"/>
              <w:bottom w:val="single" w:color="000000" w:sz="8" w:space="0"/>
              <w:right w:val="single" w:color="000000" w:sz="8" w:space="0"/>
            </w:tcBorders>
            <w:vAlign w:val="center"/>
          </w:tcPr>
          <w:p w14:paraId="2A048857">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highlight w:val="none"/>
              </w:rPr>
              <w:t>A本项目不设履约保证金；</w:t>
            </w:r>
          </w:p>
          <w:p w14:paraId="65D1BEF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highlight w:val="none"/>
              </w:rPr>
              <w:sym w:font="Wingdings" w:char="00FE"/>
            </w:r>
            <w:r>
              <w:rPr>
                <w:rFonts w:hint="eastAsia" w:ascii="宋体" w:hAnsi="宋体" w:eastAsia="宋体" w:cs="宋体"/>
                <w:b/>
                <w:bCs/>
                <w:snapToGrid w:val="0"/>
                <w:color w:val="auto"/>
                <w:kern w:val="0"/>
                <w:sz w:val="24"/>
                <w:highlight w:val="none"/>
              </w:rPr>
              <w:t>B</w:t>
            </w:r>
            <w:r>
              <w:rPr>
                <w:rFonts w:hint="eastAsia" w:ascii="宋体" w:hAnsi="宋体" w:eastAsia="宋体" w:cs="宋体"/>
                <w:b/>
                <w:bCs/>
                <w:color w:val="auto"/>
                <w:kern w:val="0"/>
                <w:sz w:val="24"/>
                <w:highlight w:val="none"/>
              </w:rPr>
              <w:t>中标供应商在合同签订后，须向采购人提交合同金额</w:t>
            </w:r>
            <w:r>
              <w:rPr>
                <w:rFonts w:hint="eastAsia" w:ascii="宋体" w:hAnsi="宋体" w:eastAsia="宋体" w:cs="宋体"/>
                <w:b/>
                <w:bCs/>
                <w:color w:val="auto"/>
                <w:kern w:val="0"/>
                <w:sz w:val="24"/>
                <w:highlight w:val="none"/>
                <w:u w:val="single"/>
              </w:rPr>
              <w:t>1%</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的履约保证金。履约保证金以</w:t>
            </w:r>
            <w:r>
              <w:rPr>
                <w:rFonts w:hint="eastAsia" w:ascii="宋体" w:hAnsi="宋体" w:eastAsia="宋体" w:cs="宋体"/>
                <w:b/>
                <w:bCs/>
                <w:color w:val="auto"/>
                <w:kern w:val="0"/>
                <w:sz w:val="24"/>
                <w:highlight w:val="none"/>
                <w:lang w:val="en-US" w:eastAsia="zh-CN"/>
              </w:rPr>
              <w:t>转账、</w:t>
            </w:r>
            <w:r>
              <w:rPr>
                <w:rFonts w:hint="eastAsia" w:ascii="宋体" w:hAnsi="宋体" w:eastAsia="宋体" w:cs="宋体"/>
                <w:b/>
                <w:bCs/>
                <w:color w:val="auto"/>
                <w:kern w:val="0"/>
                <w:sz w:val="24"/>
                <w:highlight w:val="none"/>
              </w:rPr>
              <w:t>金融机构、担保机构出具的保函等非现金形式缴纳。</w:t>
            </w:r>
          </w:p>
        </w:tc>
      </w:tr>
      <w:tr w14:paraId="0F242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79B7033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13" w:type="dxa"/>
            <w:tcBorders>
              <w:top w:val="single" w:color="000000" w:sz="8" w:space="0"/>
              <w:left w:val="single" w:color="auto" w:sz="4" w:space="0"/>
              <w:bottom w:val="single" w:color="000000" w:sz="8" w:space="0"/>
              <w:right w:val="single" w:color="000000" w:sz="8" w:space="0"/>
            </w:tcBorders>
            <w:vAlign w:val="center"/>
          </w:tcPr>
          <w:p w14:paraId="7891D75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553" w:type="dxa"/>
            <w:tcBorders>
              <w:top w:val="single" w:color="000000" w:sz="8" w:space="0"/>
              <w:left w:val="single" w:color="000000" w:sz="2" w:space="0"/>
              <w:bottom w:val="single" w:color="000000" w:sz="8" w:space="0"/>
              <w:right w:val="single" w:color="000000" w:sz="8" w:space="0"/>
            </w:tcBorders>
            <w:vAlign w:val="center"/>
          </w:tcPr>
          <w:p w14:paraId="1FA8D8BE">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不要求提供；</w:t>
            </w:r>
          </w:p>
          <w:p w14:paraId="2A873CC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☐B要求提供（未提供样品或提供样品不满足采购需求实质性条件的供应商，投标无效）：</w:t>
            </w:r>
          </w:p>
          <w:p w14:paraId="3390192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5EB990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265E846">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p>
          <w:p w14:paraId="2FD4432F">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样品分未超过价格分的50%；</w:t>
            </w:r>
          </w:p>
          <w:p w14:paraId="4B7F79CB">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4236809">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评标办分法</w:t>
            </w:r>
            <w:r>
              <w:rPr>
                <w:rFonts w:hint="eastAsia" w:ascii="宋体" w:hAnsi="宋体" w:eastAsia="宋体" w:cs="宋体"/>
                <w:color w:val="auto"/>
                <w:kern w:val="0"/>
                <w:sz w:val="24"/>
                <w:highlight w:val="none"/>
              </w:rPr>
              <w:t xml:space="preserve">。 </w:t>
            </w:r>
          </w:p>
          <w:p w14:paraId="5EBFE27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B02F8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59C68F5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E731F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378D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7DD63EB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13" w:type="dxa"/>
            <w:tcBorders>
              <w:top w:val="single" w:color="000000" w:sz="8" w:space="0"/>
              <w:left w:val="single" w:color="auto" w:sz="4" w:space="0"/>
              <w:bottom w:val="single" w:color="000000" w:sz="8" w:space="0"/>
              <w:right w:val="single" w:color="000000" w:sz="8" w:space="0"/>
            </w:tcBorders>
            <w:vAlign w:val="center"/>
          </w:tcPr>
          <w:p w14:paraId="06F2B10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553" w:type="dxa"/>
            <w:tcBorders>
              <w:top w:val="single" w:color="000000" w:sz="8" w:space="0"/>
              <w:left w:val="single" w:color="000000" w:sz="2" w:space="0"/>
              <w:bottom w:val="single" w:color="000000" w:sz="8" w:space="0"/>
              <w:right w:val="single" w:color="000000" w:sz="8" w:space="0"/>
            </w:tcBorders>
            <w:vAlign w:val="center"/>
          </w:tcPr>
          <w:p w14:paraId="2CE9492E">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highlight w:val="none"/>
              </w:rPr>
              <w:t>A</w:t>
            </w:r>
            <w:r>
              <w:rPr>
                <w:rFonts w:hint="eastAsia" w:ascii="宋体" w:hAnsi="宋体" w:eastAsia="宋体" w:cs="宋体"/>
                <w:b w:val="0"/>
                <w:bCs w:val="0"/>
                <w:color w:val="auto"/>
                <w:sz w:val="24"/>
                <w:highlight w:val="none"/>
              </w:rPr>
              <w:t>不组织。</w:t>
            </w:r>
          </w:p>
          <w:p w14:paraId="500FD90B">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B组织。</w:t>
            </w:r>
          </w:p>
          <w:p w14:paraId="3DCA614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10</w:t>
            </w:r>
            <w:r>
              <w:rPr>
                <w:rFonts w:hint="eastAsia" w:ascii="宋体" w:hAnsi="宋体" w:eastAsia="宋体" w:cs="宋体"/>
                <w:color w:val="auto"/>
                <w:kern w:val="0"/>
                <w:sz w:val="24"/>
                <w:highlight w:val="none"/>
                <w:u w:val="single"/>
              </w:rPr>
              <w:t>（编制时可根据项目情况进行调整）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6FB103E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68752D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48B03D4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szCs w:val="24"/>
                <w:highlight w:val="none"/>
                <w:u w:val="single"/>
              </w:rPr>
              <w:t>杭州市上城区环站东路97号云峰大厦1幢</w:t>
            </w:r>
            <w:r>
              <w:rPr>
                <w:rFonts w:hint="eastAsia" w:ascii="宋体" w:hAnsi="宋体" w:eastAsia="宋体" w:cs="宋体"/>
                <w:color w:val="auto"/>
                <w:sz w:val="24"/>
                <w:szCs w:val="24"/>
                <w:highlight w:val="none"/>
                <w:u w:val="single"/>
                <w:lang w:eastAsia="zh-CN"/>
              </w:rPr>
              <w:t>13楼</w:t>
            </w:r>
            <w:r>
              <w:rPr>
                <w:rFonts w:hint="eastAsia" w:ascii="宋体" w:hAnsi="宋体" w:eastAsia="宋体" w:cs="宋体"/>
                <w:color w:val="auto"/>
                <w:sz w:val="24"/>
                <w:szCs w:val="24"/>
                <w:highlight w:val="none"/>
                <w:u w:val="single"/>
                <w:lang w:val="en-US" w:eastAsia="zh-CN"/>
              </w:rPr>
              <w:t>评标室</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7C0D69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方式三：录屏讲解演示。若投标人不到现场，提供演示录屏（视频格式为非常规格式提供视频安装软件，以免无法播放），可与备份文件一起邮寄，需明确备注有演示内容。</w:t>
            </w:r>
          </w:p>
          <w:p w14:paraId="428FA7B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1201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right w:val="single" w:color="auto" w:sz="4" w:space="0"/>
            </w:tcBorders>
            <w:vAlign w:val="center"/>
          </w:tcPr>
          <w:p w14:paraId="1826620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13" w:type="dxa"/>
            <w:tcBorders>
              <w:top w:val="single" w:color="000000" w:sz="8" w:space="0"/>
              <w:left w:val="single" w:color="auto" w:sz="4" w:space="0"/>
              <w:right w:val="single" w:color="000000" w:sz="8" w:space="0"/>
            </w:tcBorders>
            <w:vAlign w:val="center"/>
          </w:tcPr>
          <w:p w14:paraId="0164A8E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553" w:type="dxa"/>
            <w:tcBorders>
              <w:top w:val="single" w:color="000000" w:sz="8" w:space="0"/>
              <w:left w:val="single" w:color="000000" w:sz="2" w:space="0"/>
              <w:bottom w:val="single" w:color="000000" w:sz="8" w:space="0"/>
              <w:right w:val="single" w:color="000000" w:sz="8" w:space="0"/>
            </w:tcBorders>
            <w:vAlign w:val="center"/>
          </w:tcPr>
          <w:p w14:paraId="3E642E2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2B2BB0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p w14:paraId="43CC66E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（2）资信证明文件：根据招标文件第四部分评标标准提供。</w:t>
            </w:r>
          </w:p>
        </w:tc>
      </w:tr>
      <w:tr w14:paraId="01AB1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5AE5AAA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13" w:type="dxa"/>
            <w:tcBorders>
              <w:top w:val="single" w:color="000000" w:sz="8" w:space="0"/>
              <w:left w:val="single" w:color="000000" w:sz="2" w:space="0"/>
              <w:bottom w:val="single" w:color="000000" w:sz="8" w:space="0"/>
              <w:right w:val="single" w:color="000000" w:sz="8" w:space="0"/>
            </w:tcBorders>
            <w:vAlign w:val="center"/>
          </w:tcPr>
          <w:p w14:paraId="2A8317D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节能产品、环境标志产品政府优先采购或强制采购</w:t>
            </w:r>
          </w:p>
        </w:tc>
        <w:tc>
          <w:tcPr>
            <w:tcW w:w="7553" w:type="dxa"/>
            <w:tcBorders>
              <w:top w:val="single" w:color="000000" w:sz="8" w:space="0"/>
              <w:left w:val="single" w:color="000000" w:sz="2" w:space="0"/>
              <w:bottom w:val="single" w:color="000000" w:sz="8" w:space="0"/>
              <w:right w:val="single" w:color="000000" w:sz="8" w:space="0"/>
            </w:tcBorders>
            <w:vAlign w:val="center"/>
          </w:tcPr>
          <w:p w14:paraId="09DE83D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CE4F5D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口▲强制采购。产品:</w:t>
            </w:r>
            <w:r>
              <w:rPr>
                <w:rFonts w:hint="eastAsia" w:ascii="宋体" w:hAnsi="宋体" w:eastAsia="宋体" w:cs="宋体"/>
                <w:color w:val="auto"/>
                <w:kern w:val="0"/>
                <w:sz w:val="24"/>
                <w:highlight w:val="none"/>
                <w:u w:val="single"/>
                <w:lang w:val="en-US" w:eastAsia="zh-CN"/>
              </w:rPr>
              <w:t xml:space="preserve">                 </w:t>
            </w:r>
          </w:p>
          <w:p w14:paraId="4D20149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口优先采购节能产品。产品:</w:t>
            </w:r>
            <w:r>
              <w:rPr>
                <w:rFonts w:hint="eastAsia" w:ascii="宋体" w:hAnsi="宋体" w:eastAsia="宋体" w:cs="宋体"/>
                <w:color w:val="auto"/>
                <w:kern w:val="0"/>
                <w:sz w:val="24"/>
                <w:highlight w:val="none"/>
                <w:u w:val="single"/>
                <w:lang w:val="en-US" w:eastAsia="zh-CN"/>
              </w:rPr>
              <w:t xml:space="preserve">                 </w:t>
            </w:r>
          </w:p>
          <w:p w14:paraId="7960166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口优先采购环保产品，产品:</w:t>
            </w:r>
            <w:r>
              <w:rPr>
                <w:rFonts w:hint="eastAsia" w:ascii="宋体" w:hAnsi="宋体" w:eastAsia="宋体" w:cs="宋体"/>
                <w:color w:val="auto"/>
                <w:kern w:val="0"/>
                <w:sz w:val="24"/>
                <w:highlight w:val="none"/>
                <w:u w:val="single"/>
                <w:lang w:val="en-US" w:eastAsia="zh-CN"/>
              </w:rPr>
              <w:t xml:space="preserve">                 </w:t>
            </w:r>
          </w:p>
          <w:p w14:paraId="41EA62E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color w:val="auto"/>
                <w:kern w:val="0"/>
                <w:sz w:val="24"/>
                <w:highlight w:val="none"/>
                <w:lang w:val="zh-CN"/>
              </w:rPr>
              <w:t>无</w:t>
            </w:r>
          </w:p>
        </w:tc>
      </w:tr>
      <w:tr w14:paraId="4377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121A03A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13" w:type="dxa"/>
            <w:tcBorders>
              <w:top w:val="single" w:color="000000" w:sz="8" w:space="0"/>
              <w:left w:val="single" w:color="000000" w:sz="2" w:space="0"/>
              <w:bottom w:val="single" w:color="000000" w:sz="8" w:space="0"/>
              <w:right w:val="single" w:color="000000" w:sz="8" w:space="0"/>
            </w:tcBorders>
            <w:vAlign w:val="center"/>
          </w:tcPr>
          <w:p w14:paraId="7E7632F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553" w:type="dxa"/>
            <w:tcBorders>
              <w:top w:val="single" w:color="000000" w:sz="8" w:space="0"/>
              <w:left w:val="single" w:color="000000" w:sz="2" w:space="0"/>
              <w:bottom w:val="single" w:color="000000" w:sz="8" w:space="0"/>
              <w:right w:val="single" w:color="000000" w:sz="8" w:space="0"/>
            </w:tcBorders>
            <w:vAlign w:val="center"/>
          </w:tcPr>
          <w:p w14:paraId="1576FFA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A594AE7">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8D6F5BB">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1.</w:t>
            </w:r>
            <w:r>
              <w:rPr>
                <w:rFonts w:hint="eastAsia" w:ascii="宋体" w:hAnsi="宋体" w:eastAsia="宋体" w:cs="宋体"/>
                <w:b/>
                <w:color w:val="auto"/>
                <w:kern w:val="0"/>
                <w:sz w:val="24"/>
                <w:highlight w:val="none"/>
                <w:lang w:val="zh-CN"/>
              </w:rPr>
              <w:t>投标文件出现不是唯一的、有选择性投标报价的；</w:t>
            </w:r>
          </w:p>
          <w:p w14:paraId="0553743C">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投标报价超过招标文件中规定的预算金额或者最高限价的；</w:t>
            </w:r>
          </w:p>
          <w:p w14:paraId="3D965365">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FB88EB4">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4.投标人对根据修正原则修正后的报价不确认的</w:t>
            </w:r>
            <w:r>
              <w:rPr>
                <w:rFonts w:hint="eastAsia" w:ascii="宋体" w:hAnsi="宋体" w:eastAsia="宋体" w:cs="宋体"/>
                <w:b/>
                <w:color w:val="auto"/>
                <w:sz w:val="24"/>
                <w:highlight w:val="none"/>
              </w:rPr>
              <w:t>。</w:t>
            </w:r>
          </w:p>
        </w:tc>
      </w:tr>
      <w:tr w14:paraId="09C12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right w:val="single" w:color="000000" w:sz="2" w:space="0"/>
            </w:tcBorders>
            <w:vAlign w:val="center"/>
          </w:tcPr>
          <w:p w14:paraId="0299A90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13" w:type="dxa"/>
            <w:tcBorders>
              <w:top w:val="single" w:color="000000" w:sz="8" w:space="0"/>
              <w:left w:val="single" w:color="000000" w:sz="2" w:space="0"/>
              <w:right w:val="single" w:color="000000" w:sz="8" w:space="0"/>
            </w:tcBorders>
            <w:vAlign w:val="center"/>
          </w:tcPr>
          <w:p w14:paraId="27AA82B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553" w:type="dxa"/>
            <w:tcBorders>
              <w:top w:val="single" w:color="000000" w:sz="8" w:space="0"/>
              <w:left w:val="single" w:color="000000" w:sz="2" w:space="0"/>
              <w:right w:val="single" w:color="000000" w:sz="8" w:space="0"/>
            </w:tcBorders>
            <w:vAlign w:val="center"/>
          </w:tcPr>
          <w:p w14:paraId="70DF76C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719B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766177E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13" w:type="dxa"/>
            <w:tcBorders>
              <w:top w:val="single" w:color="000000" w:sz="8" w:space="0"/>
              <w:left w:val="single" w:color="000000" w:sz="2" w:space="0"/>
              <w:bottom w:val="single" w:color="000000" w:sz="8" w:space="0"/>
              <w:right w:val="single" w:color="000000" w:sz="8" w:space="0"/>
            </w:tcBorders>
            <w:vAlign w:val="center"/>
          </w:tcPr>
          <w:p w14:paraId="1BDC451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7553" w:type="dxa"/>
            <w:tcBorders>
              <w:top w:val="single" w:color="000000" w:sz="8" w:space="0"/>
              <w:left w:val="single" w:color="000000" w:sz="2" w:space="0"/>
              <w:bottom w:val="single" w:color="000000" w:sz="8" w:space="0"/>
              <w:right w:val="single" w:color="000000" w:sz="8" w:space="0"/>
            </w:tcBorders>
            <w:vAlign w:val="center"/>
          </w:tcPr>
          <w:p w14:paraId="5779C544">
            <w:pPr>
              <w:pStyle w:val="11"/>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杭州市上城区环站东路97号云峰大厦1幢</w:t>
            </w:r>
            <w:r>
              <w:rPr>
                <w:rFonts w:hint="eastAsia" w:ascii="宋体" w:hAnsi="宋体" w:eastAsia="宋体" w:cs="宋体"/>
                <w:color w:val="auto"/>
                <w:sz w:val="24"/>
                <w:szCs w:val="24"/>
                <w:highlight w:val="none"/>
                <w:u w:val="single"/>
                <w:lang w:eastAsia="zh-CN"/>
              </w:rPr>
              <w:t>13楼</w:t>
            </w:r>
            <w:r>
              <w:rPr>
                <w:rFonts w:hint="eastAsia" w:ascii="宋体" w:hAnsi="宋体" w:eastAsia="宋体" w:cs="宋体"/>
                <w:color w:val="auto"/>
                <w:sz w:val="24"/>
                <w:szCs w:val="24"/>
                <w:highlight w:val="none"/>
                <w:u w:val="single"/>
              </w:rPr>
              <w:t>（接受邮寄，需在投标截止前寄达签收）</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胡馨月 17816022721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62726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restart"/>
            <w:tcBorders>
              <w:top w:val="single" w:color="auto" w:sz="4" w:space="0"/>
              <w:left w:val="single" w:color="000000" w:sz="8" w:space="0"/>
              <w:right w:val="single" w:color="000000" w:sz="2" w:space="0"/>
            </w:tcBorders>
            <w:vAlign w:val="center"/>
          </w:tcPr>
          <w:p w14:paraId="083BD58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13" w:type="dxa"/>
            <w:vMerge w:val="restart"/>
            <w:tcBorders>
              <w:top w:val="single" w:color="000000" w:sz="8" w:space="0"/>
              <w:left w:val="single" w:color="000000" w:sz="2" w:space="0"/>
              <w:right w:val="single" w:color="000000" w:sz="8" w:space="0"/>
            </w:tcBorders>
            <w:vAlign w:val="center"/>
          </w:tcPr>
          <w:p w14:paraId="4D81FA1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553" w:type="dxa"/>
            <w:tcBorders>
              <w:top w:val="single" w:color="000000" w:sz="8" w:space="0"/>
              <w:left w:val="single" w:color="000000" w:sz="2" w:space="0"/>
              <w:bottom w:val="single" w:color="000000" w:sz="8" w:space="0"/>
              <w:right w:val="single" w:color="000000" w:sz="8" w:space="0"/>
            </w:tcBorders>
            <w:vAlign w:val="center"/>
          </w:tcPr>
          <w:p w14:paraId="65ADD47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8DD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6ACF8EB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1F0D11B0">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5F2BF20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129E813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7195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470A526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6585FFA7">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4468B5AD">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784EA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5CB8BBE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0F1D1B73">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0B65A1DD">
            <w:pPr>
              <w:keepNext w:val="0"/>
              <w:keepLines w:val="0"/>
              <w:pageBreakBefore w:val="0"/>
              <w:kinsoku/>
              <w:wordWrap/>
              <w:overflowPunct/>
              <w:topLinePunct w:val="0"/>
              <w:bidi w:val="0"/>
              <w:snapToGrid w:val="0"/>
              <w:spacing w:line="360" w:lineRule="auto"/>
              <w:ind w:firstLine="482"/>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
              </w:rPr>
              <w:t>本项目</w:t>
            </w:r>
            <w:r>
              <w:rPr>
                <w:rFonts w:hint="eastAsia" w:ascii="宋体" w:hAnsi="宋体" w:eastAsia="宋体" w:cs="宋体"/>
                <w:b/>
                <w:bCs/>
                <w:color w:val="auto"/>
                <w:kern w:val="0"/>
                <w:sz w:val="24"/>
                <w:szCs w:val="24"/>
                <w:highlight w:val="none"/>
                <w:lang w:val="en"/>
              </w:rPr>
              <w:t>推荐的中标候选人数量：</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sz w:val="24"/>
                <w:szCs w:val="24"/>
                <w:highlight w:val="none"/>
                <w:u w:val="single"/>
              </w:rPr>
              <w:t>3家</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lang w:val="en"/>
              </w:rPr>
              <w:t>。</w:t>
            </w:r>
          </w:p>
        </w:tc>
      </w:tr>
      <w:tr w14:paraId="074AA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bottom w:val="single" w:color="auto" w:sz="4" w:space="0"/>
              <w:right w:val="single" w:color="000000" w:sz="2" w:space="0"/>
            </w:tcBorders>
          </w:tcPr>
          <w:p w14:paraId="58DDAFE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bottom w:val="single" w:color="000000" w:sz="8" w:space="0"/>
              <w:right w:val="single" w:color="000000" w:sz="8" w:space="0"/>
            </w:tcBorders>
            <w:vAlign w:val="center"/>
          </w:tcPr>
          <w:p w14:paraId="79C30C51">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3EA7A653">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sz w:val="24"/>
                <w:highlight w:val="none"/>
              </w:rPr>
              <w:t>（1）中标通知书发出之日起30日（鼓励有条件的缩短至10个工作日）内，中标供应商持中标通知书与采购人签订合同；合同签订后需在2个工作日内进行备案公示。</w:t>
            </w:r>
          </w:p>
          <w:p w14:paraId="5B1B3C18">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（2）</w:t>
            </w:r>
            <w:r>
              <w:rPr>
                <w:rFonts w:hint="eastAsia" w:ascii="宋体" w:hAnsi="宋体" w:eastAsia="宋体" w:cs="宋体"/>
                <w:color w:val="auto"/>
                <w:sz w:val="24"/>
                <w:highlight w:val="none"/>
              </w:rPr>
              <w:t>中标供应商在收到中标通知后7个工作日内提交纸质版胶装投标文件（内容同电子投标文件）一正两副或系统解密版三份，用于项目资料存档。（邮寄地址：杭州市上城区环站东路97号云峰大厦1幢</w:t>
            </w:r>
            <w:r>
              <w:rPr>
                <w:rFonts w:hint="eastAsia" w:ascii="宋体" w:hAnsi="宋体" w:eastAsia="宋体" w:cs="宋体"/>
                <w:color w:val="auto"/>
                <w:sz w:val="24"/>
                <w:highlight w:val="none"/>
                <w:lang w:eastAsia="zh-CN"/>
              </w:rPr>
              <w:t>13楼</w:t>
            </w:r>
            <w:r>
              <w:rPr>
                <w:rFonts w:hint="eastAsia" w:ascii="宋体" w:hAnsi="宋体" w:eastAsia="宋体" w:cs="宋体"/>
                <w:color w:val="auto"/>
                <w:sz w:val="24"/>
                <w:highlight w:val="none"/>
              </w:rPr>
              <w:t xml:space="preserve"> 胡馨月 17816022721收）</w:t>
            </w:r>
          </w:p>
          <w:p w14:paraId="735AB7D0">
            <w:pPr>
              <w:keepNext w:val="0"/>
              <w:keepLines w:val="0"/>
              <w:pageBreakBefore w:val="0"/>
              <w:kinsoku/>
              <w:wordWrap/>
              <w:overflowPunct/>
              <w:topLinePunct w:val="0"/>
              <w:bidi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28"/>
                <w:sz w:val="24"/>
                <w:highlight w:val="none"/>
              </w:rPr>
              <w:t>（3）</w:t>
            </w:r>
            <w:r>
              <w:rPr>
                <w:rFonts w:hint="eastAsia" w:ascii="宋体" w:hAnsi="宋体" w:eastAsia="宋体" w:cs="宋体"/>
                <w:color w:val="auto"/>
                <w:sz w:val="24"/>
                <w:highlight w:val="none"/>
              </w:rPr>
              <w:t>本项目招标代理服务费收费标准为：</w:t>
            </w:r>
            <w:r>
              <w:rPr>
                <w:rFonts w:hint="eastAsia" w:ascii="宋体" w:hAnsi="宋体" w:eastAsia="宋体" w:cs="宋体"/>
                <w:color w:val="auto"/>
                <w:sz w:val="24"/>
                <w:highlight w:val="none"/>
                <w:lang w:val="zh-CN"/>
              </w:rPr>
              <w:t>以中标金额为计费基准，浙价服（2003）77号文件</w:t>
            </w:r>
            <w:r>
              <w:rPr>
                <w:rFonts w:hint="eastAsia" w:ascii="宋体" w:hAnsi="宋体" w:eastAsia="宋体" w:cs="宋体"/>
                <w:color w:val="auto"/>
                <w:sz w:val="24"/>
                <w:highlight w:val="none"/>
                <w:u w:val="single"/>
                <w:lang w:val="en-US" w:eastAsia="zh-CN"/>
              </w:rPr>
              <w:t xml:space="preserve">  服务类  </w:t>
            </w:r>
            <w:r>
              <w:rPr>
                <w:rFonts w:hint="eastAsia" w:ascii="宋体" w:hAnsi="宋体" w:eastAsia="宋体" w:cs="宋体"/>
                <w:color w:val="auto"/>
                <w:sz w:val="24"/>
                <w:highlight w:val="none"/>
                <w:lang w:val="zh-CN"/>
              </w:rPr>
              <w:t>收费标准收取，不足</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lang w:val="zh-CN"/>
              </w:rPr>
              <w:t>仟元按</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lang w:val="zh-CN"/>
              </w:rPr>
              <w:t>仟元计取。</w:t>
            </w:r>
          </w:p>
          <w:p w14:paraId="17D386C0">
            <w:pPr>
              <w:keepNext w:val="0"/>
              <w:keepLines w:val="0"/>
              <w:pageBreakBefore w:val="0"/>
              <w:kinsoku/>
              <w:wordWrap/>
              <w:overflowPunct/>
              <w:topLinePunct w:val="0"/>
              <w:bidi w:val="0"/>
              <w:snapToGrid w:val="0"/>
              <w:spacing w:line="360" w:lineRule="auto"/>
              <w:ind w:right="143" w:rightChars="68" w:firstLine="561" w:firstLineChars="2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由中标供应商在领取中标通知书后7个工作日内向采购代理机构一次性缴纳。</w:t>
            </w:r>
          </w:p>
          <w:p w14:paraId="719A3E8F">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收款单位：浙江省建设工程设备招标有限公司</w:t>
            </w:r>
          </w:p>
          <w:p w14:paraId="6884145B">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开户银行：中国建设银行股份有限公司杭州大关支行</w:t>
            </w:r>
          </w:p>
          <w:p w14:paraId="31C80F62">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帐    号：33001616383053002342</w:t>
            </w:r>
          </w:p>
        </w:tc>
      </w:tr>
    </w:tbl>
    <w:p w14:paraId="6D8699C4">
      <w:pPr>
        <w:snapToGrid w:val="0"/>
        <w:spacing w:line="360" w:lineRule="auto"/>
        <w:ind w:firstLine="643"/>
        <w:jc w:val="center"/>
        <w:rPr>
          <w:rFonts w:hint="eastAsia" w:ascii="宋体" w:hAnsi="宋体" w:eastAsia="宋体" w:cs="宋体"/>
          <w:b/>
          <w:color w:val="auto"/>
          <w:sz w:val="32"/>
          <w:szCs w:val="20"/>
          <w:highlight w:val="none"/>
        </w:rPr>
      </w:pPr>
    </w:p>
    <w:bookmarkEnd w:id="8"/>
    <w:p w14:paraId="4C49E887">
      <w:pPr>
        <w:ind w:firstLine="643"/>
        <w:rPr>
          <w:rFonts w:hint="eastAsia" w:ascii="宋体" w:hAnsi="宋体" w:eastAsia="宋体" w:cs="宋体"/>
          <w:b/>
          <w:color w:val="auto"/>
          <w:sz w:val="32"/>
          <w:szCs w:val="20"/>
          <w:highlight w:val="none"/>
        </w:rPr>
      </w:pPr>
      <w:bookmarkStart w:id="9" w:name="_Toc164416483"/>
      <w:bookmarkStart w:id="10" w:name="第三部分"/>
      <w:r>
        <w:rPr>
          <w:rFonts w:hint="eastAsia" w:ascii="宋体" w:hAnsi="宋体" w:eastAsia="宋体" w:cs="宋体"/>
          <w:b/>
          <w:color w:val="auto"/>
          <w:sz w:val="32"/>
          <w:szCs w:val="20"/>
          <w:highlight w:val="none"/>
        </w:rPr>
        <w:br w:type="page"/>
      </w:r>
    </w:p>
    <w:p w14:paraId="2D23FF7B">
      <w:pPr>
        <w:pStyle w:val="2"/>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一、总则</w:t>
      </w:r>
    </w:p>
    <w:p w14:paraId="22ECF5AA">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7EECE540">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63FC081">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E68CF8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0FDA76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062555C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“投标人”、“投标供应商”系指是指响应招标、参加投标竞争的法人、其他组织或者自然人。</w:t>
      </w:r>
    </w:p>
    <w:p w14:paraId="0432F4B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6316C1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AAB5F9">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575DD63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118138BC">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01E995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910204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455B4F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4D2D90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3A8EBD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25EA0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9B9291F">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2B56B9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FF601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B37A8D6">
      <w:pPr>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2A53DD">
      <w:pPr>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08A61F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40C466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8F6242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CF7B1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08B12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B5E1B8F">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42FD2D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8F3F2D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8CFBC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1C087C1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D386AE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4. 询问、质疑、投诉、补偿救济</w:t>
      </w:r>
    </w:p>
    <w:p w14:paraId="0B99A141">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5B786C">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92824A4">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F554F60">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0760CB6">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C219C2E">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EB9C3F0">
      <w:pPr>
        <w:pStyle w:val="6"/>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290D806">
      <w:pPr>
        <w:pStyle w:val="11"/>
        <w:pageBreakBefore w:val="0"/>
        <w:kinsoku/>
        <w:wordWrap/>
        <w:overflowPunct/>
        <w:topLinePunct w:val="0"/>
        <w:bidi w:val="0"/>
        <w:snapToGrid w:val="0"/>
        <w:spacing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111BF88">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0901CF0">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86E523A">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02883FA0">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0B4306B">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A782A64">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5BF2C27">
      <w:pPr>
        <w:pStyle w:val="11"/>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46326E7">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0C68A36">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11430E7">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E866609">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863CBFF">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B974861">
      <w:pPr>
        <w:pStyle w:val="36"/>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589E461">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72F6C3F">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2BC05E58">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09523CC">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0A7A998B">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政府采购项目投诉材料可寄送至浙江省政府采购行政裁决服务中心（杭州），地址：杭州市上城区清泰街 549 号城建综合大楼 11楼，收件人：朱女士、王女士，电话：0571-87227671,0571-87800218 。</w:t>
      </w:r>
    </w:p>
    <w:p w14:paraId="437DB866">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F733499">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5BCDC524">
      <w:pPr>
        <w:pStyle w:val="36"/>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0A5E47D0">
      <w:pPr>
        <w:pStyle w:val="2"/>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二、招标文件的构成、澄清、修改</w:t>
      </w:r>
    </w:p>
    <w:p w14:paraId="15E02533">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344DDE8">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07D26A5">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B177621">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F57EA8A">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596DECB">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3597366">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E3075F6">
      <w:pPr>
        <w:pStyle w:val="11"/>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CD00B4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B133331">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1342AFB">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295AD113">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29D3C1">
      <w:pPr>
        <w:pStyle w:val="2"/>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三、投标</w:t>
      </w:r>
    </w:p>
    <w:p w14:paraId="5B7BCBA3">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255E9E7">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6D4F8D6">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6A46306">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284EBD">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5813E0A">
      <w:pPr>
        <w:pStyle w:val="6"/>
        <w:pageBreakBefore w:val="0"/>
        <w:kinsoku/>
        <w:wordWrap/>
        <w:overflowPunct/>
        <w:topLinePunct w:val="0"/>
        <w:bidi w:val="0"/>
        <w:snapToGrid w:val="0"/>
        <w:spacing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4CD8F84">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1DCB27">
      <w:pPr>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A637205">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851910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F031D05">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714BBFE">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1B306EC0">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93CD041">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8FC09E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D2D658C">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D338C48">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6262A3D">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D255DB6">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077B592">
      <w:pPr>
        <w:pageBreakBefore w:val="0"/>
        <w:kinsoku/>
        <w:wordWrap/>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22784FF">
      <w:pPr>
        <w:pageBreakBefore w:val="0"/>
        <w:kinsoku/>
        <w:wordWrap/>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A6FC94">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71BC188">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55E5D2E">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06C1958">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5224E47">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报价情况说明（</w:t>
      </w:r>
      <w:r>
        <w:rPr>
          <w:rFonts w:hint="eastAsia" w:ascii="宋体" w:hAnsi="宋体" w:eastAsia="宋体" w:cs="宋体"/>
          <w:color w:val="auto"/>
          <w:sz w:val="24"/>
          <w:highlight w:val="none"/>
        </w:rPr>
        <w:t>如果有</w:t>
      </w:r>
      <w:r>
        <w:rPr>
          <w:rFonts w:hint="eastAsia" w:ascii="宋体" w:hAnsi="宋体" w:eastAsia="宋体" w:cs="宋体"/>
          <w:color w:val="auto"/>
          <w:sz w:val="24"/>
          <w:szCs w:val="24"/>
          <w:highlight w:val="none"/>
        </w:rPr>
        <w:t>）；</w:t>
      </w:r>
    </w:p>
    <w:p w14:paraId="535AAB47">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11.3.3中小企业声明函（如果有）。</w:t>
      </w:r>
    </w:p>
    <w:p w14:paraId="03C28343">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75AFC185">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5FEC6F7">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A08C9AE">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投标人应对投标文件中材料的真实性、合法性负责。</w:t>
      </w:r>
    </w:p>
    <w:p w14:paraId="6D4BE1B4">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75A2DB7">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032EFE">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68728E">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A5E44D0">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841EAE0">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8027F53">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284CE3">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B8B621E">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E51BF32">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7C83DD">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530B9A">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0C1072">
      <w:pPr>
        <w:pStyle w:val="11"/>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4396D02">
      <w:pPr>
        <w:pStyle w:val="11"/>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31BCACE">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37A0AFE">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006BCA7">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A392FFC">
      <w:pPr>
        <w:pStyle w:val="11"/>
        <w:pageBreakBefore w:val="0"/>
        <w:kinsoku/>
        <w:wordWrap/>
        <w:overflowPunct/>
        <w:topLinePunct w:val="0"/>
        <w:bidi w:val="0"/>
        <w:snapToGrid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FE8144F">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653B566">
      <w:pPr>
        <w:pStyle w:val="1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29408D1">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A18303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4FAFDAF">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AF980A4">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6A33F3">
      <w:pPr>
        <w:pStyle w:val="37"/>
        <w:pageBreakBefore w:val="0"/>
        <w:kinsoku/>
        <w:wordWrap/>
        <w:overflowPunct/>
        <w:topLinePunct w:val="0"/>
        <w:bidi w:val="0"/>
        <w:snapToGrid w:val="0"/>
        <w:spacing w:before="0" w:line="360" w:lineRule="auto"/>
        <w:ind w:firstLine="0" w:firstLineChars="0"/>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39B294B7">
      <w:pPr>
        <w:pStyle w:val="38"/>
        <w:pageBreakBefore w:val="0"/>
        <w:kinsoku/>
        <w:wordWrap/>
        <w:overflowPunct/>
        <w:topLinePunct w:val="0"/>
        <w:bidi w:val="0"/>
        <w:snapToGrid w:val="0"/>
        <w:spacing w:before="0" w:line="360" w:lineRule="auto"/>
        <w:ind w:left="0"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FCEA929">
      <w:pPr>
        <w:pStyle w:val="38"/>
        <w:pageBreakBefore w:val="0"/>
        <w:kinsoku/>
        <w:wordWrap/>
        <w:overflowPunct/>
        <w:topLinePunct w:val="0"/>
        <w:bidi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4E3BDBA8">
      <w:pPr>
        <w:pStyle w:val="38"/>
        <w:pageBreakBefore w:val="0"/>
        <w:kinsoku/>
        <w:wordWrap/>
        <w:overflowPunct/>
        <w:topLinePunct w:val="0"/>
        <w:bidi w:val="0"/>
        <w:snapToGrid w:val="0"/>
        <w:spacing w:before="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F8F26A3">
      <w:pPr>
        <w:pStyle w:val="38"/>
        <w:pageBreakBefore w:val="0"/>
        <w:kinsoku/>
        <w:wordWrap/>
        <w:overflowPunct/>
        <w:topLinePunct w:val="0"/>
        <w:bidi w:val="0"/>
        <w:snapToGrid w:val="0"/>
        <w:spacing w:before="0" w:line="360" w:lineRule="auto"/>
        <w:ind w:left="0" w:firstLine="241"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　18.3投标</w:t>
      </w:r>
      <w:r>
        <w:rPr>
          <w:rFonts w:hint="eastAsia" w:ascii="宋体" w:hAnsi="宋体" w:eastAsia="宋体" w:cs="宋体"/>
          <w:b/>
          <w:color w:val="auto"/>
          <w:sz w:val="24"/>
          <w:highlight w:val="none"/>
        </w:rPr>
        <w:t>文件未按时解密，投标人提供了备份投标文件的，以备份投标文件作为依据，否则视为投标文件撤回。投标文件已按时解密的，备份投标文件自动失效。</w:t>
      </w:r>
    </w:p>
    <w:p w14:paraId="0209492E">
      <w:pPr>
        <w:pageBreakBefore w:val="0"/>
        <w:widowControl/>
        <w:kinsoku/>
        <w:wordWrap/>
        <w:overflowPunct/>
        <w:topLinePunct w:val="0"/>
        <w:bidi w:val="0"/>
        <w:snapToGrid w:val="0"/>
        <w:spacing w:line="360" w:lineRule="auto"/>
        <w:ind w:firstLine="482"/>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highlight w:val="none"/>
        </w:rPr>
        <w:t>.</w:t>
      </w:r>
      <w:r>
        <w:rPr>
          <w:rFonts w:hint="eastAsia" w:ascii="宋体" w:hAnsi="宋体" w:eastAsia="宋体" w:cs="宋体"/>
          <w:b/>
          <w:color w:val="auto"/>
          <w:sz w:val="24"/>
          <w:szCs w:val="20"/>
          <w:highlight w:val="none"/>
        </w:rPr>
        <w:t>资格审查</w:t>
      </w:r>
    </w:p>
    <w:p w14:paraId="5C0E63C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1A629F0F">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223D166">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23BE2FD9">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3C8335B">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1AB6107A">
      <w:pPr>
        <w:pStyle w:val="37"/>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72A57E65">
      <w:pPr>
        <w:pStyle w:val="37"/>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20.2信用信息查询记录和证据留存的具体方式：现场查询的投标人的信用记录、查询结果经确认后将与招标文件一起存档。</w:t>
      </w:r>
    </w:p>
    <w:p w14:paraId="62E31D26">
      <w:pPr>
        <w:pStyle w:val="37"/>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3B39AF71">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BC67F6A">
      <w:pPr>
        <w:pStyle w:val="2"/>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五、评标</w:t>
      </w:r>
    </w:p>
    <w:p w14:paraId="6FA8563B">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8E020A1">
      <w:pPr>
        <w:pStyle w:val="2"/>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六、定标</w:t>
      </w:r>
    </w:p>
    <w:p w14:paraId="746FD80B">
      <w:pPr>
        <w:pStyle w:val="10"/>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14:paraId="4CB0AC06">
      <w:pPr>
        <w:pStyle w:val="37"/>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5BB2911F">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14:paraId="2F5ECEE1">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0946E7D">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宋体" w:hAnsi="宋体" w:eastAsia="宋体" w:cs="宋体"/>
          <w:color w:val="auto"/>
          <w:sz w:val="24"/>
          <w:highlight w:val="none"/>
        </w:rPr>
        <w:t>资格审查情况、评审专家抽取规则、符合性审查情况、</w:t>
      </w:r>
      <w:bookmarkEnd w:id="12"/>
      <w:r>
        <w:rPr>
          <w:rFonts w:hint="eastAsia" w:ascii="宋体" w:hAnsi="宋体" w:eastAsia="宋体" w:cs="宋体"/>
          <w:color w:val="auto"/>
          <w:sz w:val="24"/>
          <w:highlight w:val="none"/>
        </w:rPr>
        <w:t>未中标情况说明、中标公告期限以及评审专家名单、评分汇总及明细。</w:t>
      </w:r>
    </w:p>
    <w:p w14:paraId="3E70704C">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4CA5984">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24.由于中标、成交供应商原因导致重新采购的，应当承担支付代理费和专家评审费等费用在内的赔偿责任。</w:t>
      </w:r>
    </w:p>
    <w:p w14:paraId="7A7F077E">
      <w:pPr>
        <w:pStyle w:val="2"/>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七、合同授予</w:t>
      </w:r>
    </w:p>
    <w:p w14:paraId="4103F7BB">
      <w:pPr>
        <w:pStyle w:val="10"/>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25.合同主要条款详见第五部分拟签订的合同文本。</w:t>
      </w:r>
    </w:p>
    <w:p w14:paraId="02E117FE">
      <w:pPr>
        <w:pStyle w:val="10"/>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14:paraId="0E3CB255">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4CBD1213">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3AB01739">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26.3如签订合同并生效后，供应商无故拒绝或延期，除按照合同条款处理外，列入不良行为记录一次，并给予通报。</w:t>
      </w:r>
    </w:p>
    <w:p w14:paraId="033E4F3D">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5DCA52A7">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26.5采购合同由采购人与中标供应商根据招标文件、投标文件等内容通过政府采购电子交易平台在线签订，自动备案。</w:t>
      </w:r>
    </w:p>
    <w:p w14:paraId="34F0D681">
      <w:pPr>
        <w:pStyle w:val="10"/>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 履约保证金</w:t>
      </w:r>
    </w:p>
    <w:p w14:paraId="2A3AFB17">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66AC71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bCs/>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eastAsia="zh-CN"/>
        </w:rPr>
        <w:t>95763</w:t>
      </w:r>
      <w:r>
        <w:rPr>
          <w:rFonts w:hint="eastAsia" w:ascii="宋体" w:hAnsi="宋体" w:eastAsia="宋体" w:cs="宋体"/>
          <w:snapToGrid w:val="0"/>
          <w:color w:val="auto"/>
          <w:kern w:val="28"/>
          <w:sz w:val="24"/>
          <w:highlight w:val="none"/>
        </w:rPr>
        <w:t>。</w:t>
      </w:r>
    </w:p>
    <w:p w14:paraId="7A4C9698">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本项目中标供应商在合同签订后，须向采购人提交合同金额1%的履约保证金。履约保证金以金融机构、担保机构出具的保函等非现金形式缴纳。</w:t>
      </w:r>
    </w:p>
    <w:p w14:paraId="72B12920">
      <w:pPr>
        <w:pStyle w:val="10"/>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28.预付款</w:t>
      </w:r>
    </w:p>
    <w:p w14:paraId="4FCFEA97">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eastAsia="zh-CN"/>
        </w:rPr>
        <w:t>95763</w:t>
      </w:r>
      <w:r>
        <w:rPr>
          <w:rFonts w:hint="eastAsia" w:ascii="宋体" w:hAnsi="宋体" w:eastAsia="宋体" w:cs="宋体"/>
          <w:color w:val="auto"/>
          <w:sz w:val="24"/>
          <w:highlight w:val="none"/>
        </w:rPr>
        <w:t>。</w:t>
      </w:r>
    </w:p>
    <w:p w14:paraId="20B87DB6">
      <w:pPr>
        <w:pageBreakBefore w:val="0"/>
        <w:tabs>
          <w:tab w:val="left" w:pos="0"/>
        </w:tabs>
        <w:kinsoku/>
        <w:wordWrap/>
        <w:overflowPunct/>
        <w:topLinePunct w:val="0"/>
        <w:bidi w:val="0"/>
        <w:snapToGrid w:val="0"/>
        <w:spacing w:line="360" w:lineRule="auto"/>
        <w:ind w:firstLine="482"/>
        <w:textAlignment w:val="auto"/>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本项目预付款比例详见第三部分采购需求，商务要求合同支付条款和第五部分合同文本。</w:t>
      </w:r>
    </w:p>
    <w:p w14:paraId="004E554B">
      <w:pPr>
        <w:pStyle w:val="2"/>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八、电子交易活动的中止</w:t>
      </w:r>
    </w:p>
    <w:p w14:paraId="4477D1B1">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9</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26814B9">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29.1电子交易平台发生故障而无法登录访问的； </w:t>
      </w:r>
    </w:p>
    <w:p w14:paraId="0298CF90">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29.2电子交易平台应用或数据库出现错误，不能进行正常操作的；</w:t>
      </w:r>
    </w:p>
    <w:p w14:paraId="20CE0C4A">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29.3电子交易平台发现严重安全漏洞，有潜在泄密危险的；</w:t>
      </w:r>
    </w:p>
    <w:p w14:paraId="2DEE38F6">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29.4病毒发作导致不能进行正常操作的； </w:t>
      </w:r>
    </w:p>
    <w:p w14:paraId="4B164C8C">
      <w:pPr>
        <w:pStyle w:val="37"/>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29.5其他无法保证电子交易的公平、公正和安全的情况。</w:t>
      </w:r>
    </w:p>
    <w:p w14:paraId="6EB98760">
      <w:pPr>
        <w:pStyle w:val="37"/>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7B8482F3">
      <w:pPr>
        <w:pStyle w:val="2"/>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九、验收</w:t>
      </w:r>
    </w:p>
    <w:p w14:paraId="6E865016">
      <w:pPr>
        <w:pStyle w:val="1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31.验收</w:t>
      </w:r>
    </w:p>
    <w:p w14:paraId="680EEED4">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A8A3F7">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1BAE4195">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4C22B2">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Start w:id="13" w:name="_Hlt75236290"/>
      <w:bookmarkEnd w:id="13"/>
      <w:bookmarkStart w:id="14" w:name="_Hlt75236011"/>
      <w:bookmarkEnd w:id="14"/>
      <w:bookmarkStart w:id="15" w:name="_Hlt74714665"/>
      <w:bookmarkEnd w:id="15"/>
      <w:bookmarkStart w:id="16" w:name="_Hlt68403820"/>
      <w:bookmarkEnd w:id="16"/>
      <w:bookmarkStart w:id="17" w:name="_Hlt68073093"/>
      <w:bookmarkEnd w:id="17"/>
      <w:bookmarkStart w:id="18" w:name="_Hlt68072990"/>
      <w:bookmarkEnd w:id="18"/>
      <w:bookmarkStart w:id="19" w:name="_Hlt74729768"/>
      <w:bookmarkEnd w:id="19"/>
      <w:bookmarkStart w:id="20" w:name="_Hlt68072998"/>
      <w:bookmarkEnd w:id="20"/>
      <w:bookmarkStart w:id="21" w:name="_Hlt74707468"/>
      <w:bookmarkEnd w:id="21"/>
      <w:bookmarkStart w:id="22" w:name="_Hlt68057669"/>
      <w:bookmarkEnd w:id="22"/>
      <w:bookmarkStart w:id="23" w:name="_Hlt75236101"/>
      <w:bookmarkEnd w:id="23"/>
      <w:bookmarkStart w:id="24" w:name="_Hlt74730295"/>
      <w:bookmarkEnd w:id="24"/>
    </w:p>
    <w:p w14:paraId="31B31A8D">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F23720A">
      <w:pPr>
        <w:pStyle w:val="9"/>
        <w:rPr>
          <w:rFonts w:hint="eastAsia" w:ascii="宋体" w:hAnsi="宋体" w:eastAsia="宋体" w:cs="宋体"/>
          <w:b/>
          <w:bCs/>
          <w:snapToGrid w:val="0"/>
          <w:color w:val="auto"/>
          <w:sz w:val="24"/>
          <w:highlight w:val="none"/>
        </w:rPr>
      </w:pPr>
    </w:p>
    <w:p w14:paraId="11803B65">
      <w:pPr>
        <w:rPr>
          <w:rFonts w:hint="eastAsia" w:ascii="宋体" w:hAnsi="宋体" w:eastAsia="宋体" w:cs="宋体"/>
          <w:b/>
          <w:bCs/>
          <w:snapToGrid w:val="0"/>
          <w:color w:val="auto"/>
          <w:sz w:val="24"/>
          <w:highlight w:val="none"/>
        </w:rPr>
      </w:pPr>
    </w:p>
    <w:p w14:paraId="2D0F6305">
      <w:pPr>
        <w:pStyle w:val="8"/>
        <w:rPr>
          <w:rFonts w:hint="eastAsia" w:ascii="宋体" w:hAnsi="宋体" w:eastAsia="宋体" w:cs="宋体"/>
          <w:b/>
          <w:bCs/>
          <w:snapToGrid w:val="0"/>
          <w:color w:val="auto"/>
          <w:sz w:val="24"/>
          <w:highlight w:val="none"/>
        </w:rPr>
      </w:pPr>
    </w:p>
    <w:p w14:paraId="0CABAE45">
      <w:pPr>
        <w:pStyle w:val="9"/>
        <w:rPr>
          <w:rFonts w:hint="eastAsia" w:ascii="宋体" w:hAnsi="宋体" w:eastAsia="宋体" w:cs="宋体"/>
          <w:b/>
          <w:bCs/>
          <w:snapToGrid w:val="0"/>
          <w:color w:val="auto"/>
          <w:sz w:val="24"/>
          <w:highlight w:val="none"/>
        </w:rPr>
      </w:pPr>
    </w:p>
    <w:p w14:paraId="361E58BF">
      <w:pPr>
        <w:rPr>
          <w:rFonts w:hint="eastAsia" w:ascii="宋体" w:hAnsi="宋体" w:eastAsia="宋体" w:cs="宋体"/>
          <w:b/>
          <w:bCs/>
          <w:snapToGrid w:val="0"/>
          <w:color w:val="auto"/>
          <w:sz w:val="24"/>
          <w:highlight w:val="none"/>
        </w:rPr>
      </w:pPr>
    </w:p>
    <w:bookmarkEnd w:id="9"/>
    <w:bookmarkEnd w:id="10"/>
    <w:p w14:paraId="73190FD3">
      <w:pPr>
        <w:spacing w:line="360" w:lineRule="auto"/>
        <w:ind w:firstLine="723"/>
        <w:jc w:val="center"/>
        <w:outlineLvl w:val="0"/>
        <w:rPr>
          <w:rFonts w:hint="eastAsia" w:ascii="宋体" w:hAnsi="宋体" w:eastAsia="宋体" w:cs="宋体"/>
          <w:b/>
          <w:color w:val="auto"/>
          <w:sz w:val="36"/>
          <w:szCs w:val="36"/>
          <w:highlight w:val="none"/>
        </w:rPr>
      </w:pPr>
      <w:bookmarkStart w:id="25" w:name="第四部分"/>
    </w:p>
    <w:p w14:paraId="049BBDFE">
      <w:pPr>
        <w:spacing w:line="360" w:lineRule="auto"/>
        <w:ind w:firstLine="723"/>
        <w:jc w:val="center"/>
        <w:outlineLvl w:val="0"/>
        <w:rPr>
          <w:rFonts w:hint="eastAsia" w:ascii="宋体" w:hAnsi="宋体" w:eastAsia="宋体" w:cs="宋体"/>
          <w:b/>
          <w:color w:val="auto"/>
          <w:sz w:val="36"/>
          <w:szCs w:val="36"/>
          <w:highlight w:val="none"/>
        </w:rPr>
      </w:pPr>
    </w:p>
    <w:p w14:paraId="1636B96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AFC8D63">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6340BD28">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一、项目概况</w:t>
      </w:r>
    </w:p>
    <w:p w14:paraId="765709A7">
      <w:pPr>
        <w:snapToGrid w:val="0"/>
        <w:spacing w:line="36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杭州市市场监督管理局对投诉举报接收处置实施服务外包，通过市场监管投诉举报系统基本搭建了总局、省局、市局、区县局、基层科所五级联通的信息传递体系，并可以实现对各类来源渠道投诉举报的接收及与自行处理企业之间的连接。项目日常工作时间为每日8:30至17:30（人工服务时间按实际情况做调整），智能辅助工作时间为7*24小时,全年无休。</w:t>
      </w:r>
      <w:r>
        <w:rPr>
          <w:rFonts w:hint="eastAsia" w:ascii="宋体" w:hAnsi="宋体" w:eastAsia="宋体" w:cs="宋体"/>
          <w:color w:val="auto"/>
          <w:sz w:val="24"/>
          <w:highlight w:val="none"/>
          <w:u w:val="none"/>
          <w:lang w:eastAsia="zh-CN"/>
        </w:rPr>
        <w:t>2025</w:t>
      </w:r>
      <w:r>
        <w:rPr>
          <w:rFonts w:hint="eastAsia" w:ascii="宋体" w:hAnsi="宋体" w:eastAsia="宋体" w:cs="宋体"/>
          <w:color w:val="auto"/>
          <w:sz w:val="24"/>
          <w:highlight w:val="none"/>
          <w:u w:val="none"/>
        </w:rPr>
        <w:t>年，杭州市市场监督管理局将继续对该项目进行服务外包，要求项目提供工作人员劳务、培训及文化、技术服务等服务，保障话务、网络、书信、来人来访等各来源渠道投诉举报接收处理的正常运行。</w:t>
      </w:r>
    </w:p>
    <w:p w14:paraId="424482A3">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技术要求</w:t>
      </w:r>
    </w:p>
    <w:p w14:paraId="49DDD8D0">
      <w:pPr>
        <w:widowControl/>
        <w:snapToGrid w:val="0"/>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（一）</w:t>
      </w:r>
      <w:r>
        <w:rPr>
          <w:rFonts w:hint="eastAsia" w:ascii="宋体" w:hAnsi="宋体" w:eastAsia="宋体" w:cs="宋体"/>
          <w:b/>
          <w:bCs/>
          <w:color w:val="auto"/>
          <w:kern w:val="0"/>
          <w:sz w:val="24"/>
          <w:highlight w:val="none"/>
        </w:rPr>
        <w:t>服务外包内容</w:t>
      </w:r>
    </w:p>
    <w:p w14:paraId="7D589508">
      <w:pPr>
        <w:numPr>
          <w:ilvl w:val="0"/>
          <w:numId w:val="2"/>
        </w:numPr>
        <w:spacing w:line="360" w:lineRule="auto"/>
        <w:ind w:left="5" w:firstLine="415"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人员劳务服务。提供话务坐席人员、网络(书信)坐席人员、管理人员等岗位的劳务服务；工作人员负责各渠道来源的投诉举报的接收采集、来人来访接待、登记录入、分流传递、核实反馈、办结归档、联络沟通等工作，包括与上级部门的联通及同级部门的联动工作，对有关业务资料进行梳理整理，对相关知识库进行维护，对重大紧急突发信息进行接收、传递、报送和跟踪；完成采购人要求的其他业务工作需求。</w:t>
      </w:r>
    </w:p>
    <w:p w14:paraId="171E1789">
      <w:pPr>
        <w:numPr>
          <w:ilvl w:val="0"/>
          <w:numId w:val="2"/>
        </w:numPr>
        <w:spacing w:line="360" w:lineRule="auto"/>
        <w:ind w:left="5" w:firstLine="415"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培训及文化。对相关岗位人员进行招募、培训，通过绩效考核、表彰奖励等手段提供工作人员劳动效率；通过组织相关文体、竞赛、交流、培训、研讨等活动提高团队凝聚力，减少人员流失；营造良好办公环境，对员工进行心理辅导和文化建设。</w:t>
      </w:r>
    </w:p>
    <w:p w14:paraId="718313BA">
      <w:pPr>
        <w:numPr>
          <w:ilvl w:val="0"/>
          <w:numId w:val="2"/>
        </w:numPr>
        <w:spacing w:line="360" w:lineRule="auto"/>
        <w:ind w:left="5" w:firstLine="415"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技术及安全服务。配置全媒体坐席软件和数据录入软件,支持与市场监管总局全国12315平台保持数据互通和软件适配；配置国产电脑（8G内存、256G硬盘、23.8寸显示器）、IP电话机与坐席用配套耳麦；配置备用居家呼叫坐席，确保灾备状态下可实现部分远程办公；开设智能机器人导航与短信提醒功能等实现链接；开发智能AI语音系统；多次拨打12315热线未接通的，发送短信提醒；具备与12345话务互联互通功能，实现语音导航和一键呼转；对相关数据进行统计分析并形成报表和报告，并按照上级工作标准或根据采购人要求上报</w:t>
      </w:r>
      <w:r>
        <w:rPr>
          <w:rFonts w:hint="eastAsia" w:ascii="宋体" w:hAnsi="宋体" w:eastAsia="宋体" w:cs="宋体"/>
          <w:bCs/>
          <w:color w:val="auto"/>
          <w:sz w:val="24"/>
          <w:highlight w:val="none"/>
        </w:rPr>
        <w:t>。</w:t>
      </w:r>
    </w:p>
    <w:p w14:paraId="30B20908">
      <w:pPr>
        <w:pStyle w:val="6"/>
        <w:spacing w:line="360" w:lineRule="auto"/>
        <w:ind w:left="0" w:leftChars="0" w:firstLine="0" w:firstLineChars="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（二）</w:t>
      </w:r>
      <w:r>
        <w:rPr>
          <w:rFonts w:hint="eastAsia" w:ascii="宋体" w:hAnsi="宋体" w:eastAsia="宋体" w:cs="宋体"/>
          <w:b/>
          <w:bCs/>
          <w:color w:val="auto"/>
          <w:kern w:val="0"/>
          <w:sz w:val="24"/>
          <w:highlight w:val="none"/>
        </w:rPr>
        <w:t>服务外包具体要求</w:t>
      </w:r>
    </w:p>
    <w:p w14:paraId="2171077F">
      <w:pPr>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1、项目经理：具有高级职称，为供应商在职员工，负责统筹协调解决采购人、供应商、项目团队，确保项目正常运行。</w:t>
      </w:r>
    </w:p>
    <w:p w14:paraId="413107B1">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2、团队</w:t>
      </w:r>
      <w:r>
        <w:rPr>
          <w:rFonts w:hint="eastAsia" w:ascii="宋体" w:hAnsi="宋体" w:eastAsia="宋体" w:cs="宋体"/>
          <w:b/>
          <w:color w:val="auto"/>
          <w:sz w:val="24"/>
          <w:highlight w:val="none"/>
        </w:rPr>
        <w:t>人员需求</w:t>
      </w:r>
    </w:p>
    <w:p w14:paraId="03C08CCC">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val="en-US" w:eastAsia="zh-CN"/>
        </w:rPr>
        <w:t>本项目需</w:t>
      </w:r>
      <w:r>
        <w:rPr>
          <w:rFonts w:hint="eastAsia" w:ascii="宋体" w:hAnsi="宋体" w:eastAsia="宋体" w:cs="宋体"/>
          <w:color w:val="auto"/>
          <w:sz w:val="24"/>
          <w:highlight w:val="none"/>
        </w:rPr>
        <w:t>配置约3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名话务坐席人员及网络(书信)坐席人员或在总劳务服务工作量范围内调整，另配3名管理员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1名数据统计员</w:t>
      </w:r>
      <w:r>
        <w:rPr>
          <w:rFonts w:hint="eastAsia" w:ascii="宋体" w:hAnsi="宋体" w:eastAsia="宋体" w:cs="宋体"/>
          <w:color w:val="auto"/>
          <w:sz w:val="24"/>
          <w:highlight w:val="none"/>
        </w:rPr>
        <w:t>。</w:t>
      </w:r>
    </w:p>
    <w:p w14:paraId="569F6D8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现有工作人员须先行接收，如有替换变动需经招标方同意。所有人员上岗前需经过采购单位确认，采购单位有权对人员提出调整要求，中标单位需积极配合。</w:t>
      </w:r>
    </w:p>
    <w:p w14:paraId="4B6BEBFA">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上述内容需正面响应，</w:t>
      </w:r>
      <w:r>
        <w:rPr>
          <w:rFonts w:hint="eastAsia" w:ascii="宋体" w:hAnsi="宋体" w:eastAsia="宋体" w:cs="宋体"/>
          <w:b/>
          <w:bCs/>
          <w:color w:val="auto"/>
          <w:sz w:val="24"/>
          <w:highlight w:val="none"/>
          <w:lang w:eastAsia="zh-CN"/>
        </w:rPr>
        <w:t>投标人提供相应承诺书（格式自拟），未提供或不满足要求作无效投标处理。</w:t>
      </w:r>
    </w:p>
    <w:p w14:paraId="10FD9776">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投标人对现有话务工作人员的接收，可以通过劳务派遣或直接建立劳动合同关系等方式实施，由此产生的额外费用（税金、企业管理费、原单位离职补偿金等不可预料的费用）均包含在投标报价内。</w:t>
      </w:r>
    </w:p>
    <w:p w14:paraId="11C1EE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薪酬要求：</w:t>
      </w:r>
    </w:p>
    <w:p w14:paraId="0660539B">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为保证工作人员的稳定性和工作积极性，投标单位必须按照杭州市社保缴纳基数相关规定进行社保缴纳，做到合法用工。人员费用中另请列明工资、伙食费、节假日加班费（春节、端午、国庆、中秋慰问费）等。为保持人员队伍的稳定，并考虑到物价上涨等因素，各投标单位应对人员的薪资水准给予良好待遇，</w:t>
      </w:r>
      <w:r>
        <w:rPr>
          <w:rFonts w:hint="eastAsia" w:ascii="宋体" w:hAnsi="宋体" w:eastAsia="宋体" w:cs="宋体"/>
          <w:b/>
          <w:color w:val="auto"/>
          <w:sz w:val="24"/>
          <w:highlight w:val="none"/>
        </w:rPr>
        <w:t>保障所有人员的应发平均薪酬达到需求清单列明的标准。</w:t>
      </w:r>
    </w:p>
    <w:p w14:paraId="7765EB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工作人员招聘要求：</w:t>
      </w:r>
    </w:p>
    <w:p w14:paraId="00FDBC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思想作风正派，廉洁奉公，工作责任心强，有良好的团队意识和吃苦耐劳的精神；有较强的语言表达和沟通能力、文字归纳和输入能力；年龄一般在45周岁以下，具有适应岗位要求的身体条件；大专及以上学历，专业不限，</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工作经验</w:t>
      </w:r>
      <w:r>
        <w:rPr>
          <w:rFonts w:hint="eastAsia" w:ascii="宋体" w:hAnsi="宋体" w:eastAsia="宋体" w:cs="宋体"/>
          <w:color w:val="auto"/>
          <w:sz w:val="24"/>
          <w:highlight w:val="none"/>
          <w:lang w:val="en-US" w:eastAsia="zh-CN"/>
        </w:rPr>
        <w:t>的优先</w:t>
      </w:r>
      <w:r>
        <w:rPr>
          <w:rFonts w:hint="eastAsia" w:ascii="宋体" w:hAnsi="宋体" w:eastAsia="宋体" w:cs="宋体"/>
          <w:color w:val="auto"/>
          <w:sz w:val="24"/>
          <w:highlight w:val="none"/>
        </w:rPr>
        <w:t>；</w:t>
      </w:r>
    </w:p>
    <w:p w14:paraId="6F1F18F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话务坐席人员特别要求：在服务过程中应保持良好的精神状态；表情自然、亲切；举止大方、有礼；用语文明、规范；着装整齐清洁，仪表仪容整洁端庄;具备电脑软件使用能力适应网络渠道投诉举报接收工作。</w:t>
      </w:r>
    </w:p>
    <w:p w14:paraId="1137D5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网络(书信)坐席特别要求：熟悉办公软件和设备操作，掌握数据分析、报表制作、文字编辑等能力。</w:t>
      </w:r>
    </w:p>
    <w:p w14:paraId="0B102D60">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管理人员（管理员、主管）</w:t>
      </w:r>
      <w:r>
        <w:rPr>
          <w:rFonts w:hint="eastAsia" w:ascii="宋体" w:hAnsi="宋体" w:eastAsia="宋体" w:cs="宋体"/>
          <w:color w:val="auto"/>
          <w:sz w:val="24"/>
          <w:highlight w:val="none"/>
        </w:rPr>
        <w:t>特别要求：具备团队管理能力、人际交往及协调能力，有法律相关从业经验为佳,可以招募兼职顾问辅助管理团队提高业务水平和管理水平。要求在投标文件中提供社保缴纳证明、学历证明及工作履历并加盖公章。</w:t>
      </w:r>
    </w:p>
    <w:p w14:paraId="20889C1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坐席及班次需求</w:t>
      </w:r>
    </w:p>
    <w:p w14:paraId="1C6F7B46">
      <w:pPr>
        <w:numPr>
          <w:ilvl w:val="0"/>
          <w:numId w:val="3"/>
        </w:numPr>
        <w:snapToGrid w:val="0"/>
        <w:spacing w:line="360" w:lineRule="auto"/>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建议按照接通率和工作任务要求科学合理安排不同类型坐席人员数量，并根据工作日、节假日、重要时间节点等情况及时作出调整，不同类型坐席人员数量可以根据工作需要或</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要求进行调整。</w:t>
      </w:r>
    </w:p>
    <w:p w14:paraId="01779EF1">
      <w:pPr>
        <w:numPr>
          <w:ilvl w:val="0"/>
          <w:numId w:val="3"/>
        </w:numPr>
        <w:snapToGrid w:val="0"/>
        <w:spacing w:line="360" w:lineRule="auto"/>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重大节日和活动保障期间以及紧急情况下，</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需根据</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要求保障坐席人数，延长工作时间等。</w:t>
      </w:r>
    </w:p>
    <w:p w14:paraId="7D96AE7A">
      <w:pPr>
        <w:numPr>
          <w:ilvl w:val="0"/>
          <w:numId w:val="3"/>
        </w:numPr>
        <w:snapToGrid w:val="0"/>
        <w:spacing w:line="360" w:lineRule="auto"/>
        <w:ind w:left="0" w:lef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班次编排调整需由双方协商确定。</w:t>
      </w:r>
    </w:p>
    <w:p w14:paraId="5104A6C9">
      <w:pPr>
        <w:snapToGrid w:val="0"/>
        <w:spacing w:line="360" w:lineRule="auto"/>
        <w:ind w:firstLine="482" w:firstLineChars="200"/>
        <w:rPr>
          <w:rFonts w:hint="eastAsia" w:ascii="宋体" w:hAnsi="宋体" w:eastAsia="宋体" w:cs="宋体"/>
          <w:b/>
          <w:color w:val="auto"/>
          <w:sz w:val="24"/>
          <w:highlight w:val="none"/>
        </w:rPr>
      </w:pPr>
    </w:p>
    <w:p w14:paraId="12F967B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业务及工作流程要求</w:t>
      </w:r>
    </w:p>
    <w:p w14:paraId="389AD3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话务坐席人员做好来电、语音等渠道来件的登记、分流、跟踪、催办、归档、回访等工作，在投诉举报系统中准确记录内容，根据业务规范做好咨询答复，按照业务规范分流操作，并做好后续跟踪，积极完善话术和问答知识库。</w:t>
      </w:r>
    </w:p>
    <w:p w14:paraId="32918F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网络(书信)坐席人员做好网络、来信、来人来访等渠道来件的登记、分流、跟踪、催办、归档、回访等工作，在投诉举报系统中准确记录内容，根据业务规范做好咨询答复，按照业务规范分流操作，并做好后续跟踪，积极完善话术和问答知识库，完成横向纵向相关方的联络，对相关数据的统计分析并形成相关报表和报告。</w:t>
      </w:r>
    </w:p>
    <w:p w14:paraId="26D633F5">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管理员</w:t>
      </w:r>
      <w:r>
        <w:rPr>
          <w:rFonts w:hint="eastAsia" w:ascii="宋体" w:hAnsi="宋体" w:eastAsia="宋体" w:cs="宋体"/>
          <w:color w:val="auto"/>
          <w:sz w:val="24"/>
          <w:highlight w:val="none"/>
        </w:rPr>
        <w:t>做好人员管理和班次编排等团队管理工作，编制话术和问答知识库，监控系统日常运行，实施工作人员绩效考核，负责相关方联络沟通和团队文化建设，协助解决疑难业务问题，并完成其他招标单位要求的相关工作。</w:t>
      </w:r>
    </w:p>
    <w:p w14:paraId="6EDBCBB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要求在投标文件中提供具体业务及工作流程方案。</w:t>
      </w:r>
    </w:p>
    <w:p w14:paraId="691EC750">
      <w:pPr>
        <w:snapToGrid w:val="0"/>
        <w:spacing w:line="360" w:lineRule="auto"/>
        <w:rPr>
          <w:rFonts w:hint="eastAsia" w:ascii="宋体" w:hAnsi="宋体" w:eastAsia="宋体" w:cs="宋体"/>
          <w:b/>
          <w:color w:val="auto"/>
          <w:sz w:val="24"/>
          <w:highlight w:val="none"/>
        </w:rPr>
      </w:pPr>
    </w:p>
    <w:p w14:paraId="71EF7F5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业务指标需求</w:t>
      </w:r>
    </w:p>
    <w:p w14:paraId="1C81A28D">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（1）综合接通率：要求日平均≥90%。(人工接通率：人工接起量/进人工队列量，要求月度人工接通率≥20%。)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（2）用工时长：在线工作时间/上岗时间，要求月平均≥60%。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（3）责任投诉：因工作人员业务差错等原因引起的有责投诉，要求月平均≤受理总量1‰。</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（4）受理单质量差错率：存在明显质量问题的登记单/总登记单，要求月平均≤2%。</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（5）人员流失率：员工流失率</w:t>
      </w:r>
      <w:r>
        <w:rPr>
          <w:rFonts w:hint="eastAsia" w:ascii="宋体" w:hAnsi="宋体" w:eastAsia="宋体" w:cs="宋体"/>
          <w:color w:val="auto"/>
          <w:sz w:val="24"/>
          <w:highlight w:val="none"/>
          <w:lang w:val="en-US" w:eastAsia="zh-CN"/>
        </w:rPr>
        <w:t>平均</w:t>
      </w:r>
      <w:r>
        <w:rPr>
          <w:rFonts w:hint="eastAsia" w:ascii="宋体" w:hAnsi="宋体" w:eastAsia="宋体" w:cs="宋体"/>
          <w:color w:val="auto"/>
          <w:sz w:val="24"/>
          <w:highlight w:val="none"/>
        </w:rPr>
        <w:t>每月不得超过</w:t>
      </w:r>
      <w:r>
        <w:rPr>
          <w:rFonts w:hint="eastAsia" w:ascii="宋体" w:hAnsi="宋体" w:eastAsia="宋体" w:cs="宋体"/>
          <w:color w:val="auto"/>
          <w:sz w:val="24"/>
          <w:highlight w:val="none"/>
          <w:lang w:val="en-US" w:eastAsia="zh-CN"/>
        </w:rPr>
        <w:t>2人</w:t>
      </w:r>
      <w:r>
        <w:rPr>
          <w:rFonts w:hint="eastAsia" w:ascii="宋体" w:hAnsi="宋体" w:eastAsia="宋体" w:cs="宋体"/>
          <w:color w:val="auto"/>
          <w:sz w:val="24"/>
          <w:highlight w:val="none"/>
        </w:rPr>
        <w:t>（考上行政事业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社区</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等不计入本考核指标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备岗人员（储备工作人员）需满足岗位招聘要求，并经考核通过后上岗。</w:t>
      </w:r>
    </w:p>
    <w:p w14:paraId="24C5A3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具体考核指标可以在签订服务外包协议中进一步明确。</w:t>
      </w:r>
    </w:p>
    <w:p w14:paraId="077EE7D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需求清单</w:t>
      </w:r>
    </w:p>
    <w:tbl>
      <w:tblPr>
        <w:tblStyle w:val="17"/>
        <w:tblW w:w="5000" w:type="pct"/>
        <w:tblInd w:w="0" w:type="dxa"/>
        <w:tblLayout w:type="fixed"/>
        <w:tblCellMar>
          <w:top w:w="0" w:type="dxa"/>
          <w:left w:w="108" w:type="dxa"/>
          <w:bottom w:w="0" w:type="dxa"/>
          <w:right w:w="108" w:type="dxa"/>
        </w:tblCellMar>
      </w:tblPr>
      <w:tblGrid>
        <w:gridCol w:w="762"/>
        <w:gridCol w:w="661"/>
        <w:gridCol w:w="1321"/>
        <w:gridCol w:w="661"/>
        <w:gridCol w:w="661"/>
        <w:gridCol w:w="5222"/>
      </w:tblGrid>
      <w:tr w14:paraId="32BB37D5">
        <w:tblPrEx>
          <w:tblCellMar>
            <w:top w:w="0" w:type="dxa"/>
            <w:left w:w="108" w:type="dxa"/>
            <w:bottom w:w="0" w:type="dxa"/>
            <w:right w:w="108" w:type="dxa"/>
          </w:tblCellMar>
        </w:tblPrEx>
        <w:trPr>
          <w:trHeight w:val="4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B483">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7383">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类别</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FD87">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9F69">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C7A5">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单位</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132D">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参数预估</w:t>
            </w:r>
          </w:p>
        </w:tc>
      </w:tr>
      <w:tr w14:paraId="2B741F2F">
        <w:tblPrEx>
          <w:tblCellMar>
            <w:top w:w="0" w:type="dxa"/>
            <w:left w:w="108" w:type="dxa"/>
            <w:bottom w:w="0" w:type="dxa"/>
            <w:right w:w="108" w:type="dxa"/>
          </w:tblCellMar>
        </w:tblPrEx>
        <w:trPr>
          <w:trHeight w:val="136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2E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142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人员劳务服务</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F856">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话务坐席人员（普通）</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5A4E">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30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C8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0658">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保证平均应发薪酬不低于7.2万/年/人（包括社保等，不得包含管理费、税费），需另配置一定数额团队绩效奖励</w:t>
            </w:r>
          </w:p>
        </w:tc>
      </w:tr>
      <w:tr w14:paraId="0AD1D545">
        <w:tblPrEx>
          <w:tblCellMar>
            <w:top w:w="0" w:type="dxa"/>
            <w:left w:w="108" w:type="dxa"/>
            <w:bottom w:w="0" w:type="dxa"/>
            <w:right w:w="108" w:type="dxa"/>
          </w:tblCellMar>
        </w:tblPrEx>
        <w:trPr>
          <w:trHeight w:val="76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D44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F1FAC">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1CC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网络(书信)坐席人员</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E6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56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F9BA">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保证平均应发薪酬不低于8万/年/人（包括社保等，不得包含管理费、税费）</w:t>
            </w:r>
          </w:p>
        </w:tc>
      </w:tr>
      <w:tr w14:paraId="54067979">
        <w:tblPrEx>
          <w:tblCellMar>
            <w:top w:w="0" w:type="dxa"/>
            <w:left w:w="108" w:type="dxa"/>
            <w:bottom w:w="0" w:type="dxa"/>
            <w:right w:w="108" w:type="dxa"/>
          </w:tblCellMar>
        </w:tblPrEx>
        <w:trPr>
          <w:trHeight w:val="76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D5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46C3">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D251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话务坐席人员（班组长）</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0F0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F1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E42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保证平均应发薪酬不低于8万/年/人（包括社保等，不得包含管理费、税费）</w:t>
            </w:r>
          </w:p>
        </w:tc>
      </w:tr>
      <w:tr w14:paraId="25B863FB">
        <w:tblPrEx>
          <w:tblCellMar>
            <w:top w:w="0" w:type="dxa"/>
            <w:left w:w="108" w:type="dxa"/>
            <w:bottom w:w="0" w:type="dxa"/>
            <w:right w:w="108" w:type="dxa"/>
          </w:tblCellMar>
        </w:tblPrEx>
        <w:trPr>
          <w:trHeight w:val="76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0196">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4</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9AD1">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8618">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数据统计员</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F0DE">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F0A3">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0845">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保证平均应发薪酬不低于</w:t>
            </w:r>
            <w:r>
              <w:rPr>
                <w:rFonts w:hint="eastAsia" w:ascii="宋体" w:hAnsi="宋体" w:eastAsia="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bidi="ar"/>
              </w:rPr>
              <w:t>万/年/人（包括社保等，不得包含管理费、税费）</w:t>
            </w:r>
          </w:p>
        </w:tc>
      </w:tr>
      <w:tr w14:paraId="11C4A4E2">
        <w:tblPrEx>
          <w:tblCellMar>
            <w:top w:w="0" w:type="dxa"/>
            <w:left w:w="108" w:type="dxa"/>
            <w:bottom w:w="0" w:type="dxa"/>
            <w:right w:w="108" w:type="dxa"/>
          </w:tblCellMar>
        </w:tblPrEx>
        <w:trPr>
          <w:trHeight w:val="76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6552">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5</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42B65">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E9BF">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管理员</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2ACE">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6A2D">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ADB2">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主管级管理员2人，保证平均应发薪酬为11万/年/人（包括社保等，不得包含管理费、税费）；普通管理员1人，保证平均应发薪酬为9.4万/年/人（包括社保等，不得包含管理费、税费）</w:t>
            </w:r>
          </w:p>
        </w:tc>
      </w:tr>
      <w:tr w14:paraId="766D1C71">
        <w:tblPrEx>
          <w:tblCellMar>
            <w:top w:w="0" w:type="dxa"/>
            <w:left w:w="108" w:type="dxa"/>
            <w:bottom w:w="0" w:type="dxa"/>
            <w:right w:w="108" w:type="dxa"/>
          </w:tblCellMar>
        </w:tblPrEx>
        <w:trPr>
          <w:trHeight w:val="5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D09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w:t>
            </w:r>
          </w:p>
        </w:tc>
        <w:tc>
          <w:tcPr>
            <w:tcW w:w="355" w:type="pct"/>
            <w:vMerge w:val="restart"/>
            <w:tcBorders>
              <w:top w:val="single" w:color="000000" w:sz="4" w:space="0"/>
              <w:left w:val="single" w:color="000000" w:sz="4" w:space="0"/>
              <w:right w:val="single" w:color="000000" w:sz="4" w:space="0"/>
            </w:tcBorders>
            <w:shd w:val="clear" w:color="auto" w:fill="auto"/>
            <w:vAlign w:val="center"/>
          </w:tcPr>
          <w:p w14:paraId="445C9936">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培训、文化、用餐</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33A8">
            <w:pPr>
              <w:widowControl/>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团队文化建设</w:t>
            </w:r>
            <w:r>
              <w:rPr>
                <w:rFonts w:hint="eastAsia" w:ascii="宋体" w:hAnsi="宋体" w:eastAsia="宋体" w:cs="宋体"/>
                <w:color w:val="auto"/>
                <w:kern w:val="0"/>
                <w:sz w:val="22"/>
                <w:szCs w:val="22"/>
                <w:highlight w:val="none"/>
                <w:lang w:eastAsia="zh-CN" w:bidi="ar"/>
              </w:rPr>
              <w:t>与业务培训</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3C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E4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9BD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参照同业标准</w:t>
            </w:r>
          </w:p>
        </w:tc>
      </w:tr>
      <w:tr w14:paraId="2D3770F0">
        <w:tblPrEx>
          <w:tblCellMar>
            <w:top w:w="0" w:type="dxa"/>
            <w:left w:w="108" w:type="dxa"/>
            <w:bottom w:w="0" w:type="dxa"/>
            <w:right w:w="108" w:type="dxa"/>
          </w:tblCellMar>
        </w:tblPrEx>
        <w:trPr>
          <w:trHeight w:val="42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0C6E">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7</w:t>
            </w:r>
          </w:p>
        </w:tc>
        <w:tc>
          <w:tcPr>
            <w:tcW w:w="355" w:type="pct"/>
            <w:vMerge w:val="continue"/>
            <w:tcBorders>
              <w:left w:val="single" w:color="000000" w:sz="4" w:space="0"/>
              <w:right w:val="single" w:color="000000" w:sz="4" w:space="0"/>
            </w:tcBorders>
            <w:shd w:val="clear" w:color="auto" w:fill="auto"/>
            <w:vAlign w:val="center"/>
          </w:tcPr>
          <w:p w14:paraId="103DF9A2">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B4E9">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用餐费用（含搭伙费）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24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23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BDC7">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4800元/年/人（含搭伙费2400元/年/人）</w:t>
            </w:r>
          </w:p>
        </w:tc>
      </w:tr>
      <w:tr w14:paraId="31061A86">
        <w:tblPrEx>
          <w:tblCellMar>
            <w:top w:w="0" w:type="dxa"/>
            <w:left w:w="108" w:type="dxa"/>
            <w:bottom w:w="0" w:type="dxa"/>
            <w:right w:w="108" w:type="dxa"/>
          </w:tblCellMar>
        </w:tblPrEx>
        <w:trPr>
          <w:trHeight w:val="42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E1BD">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8</w:t>
            </w:r>
          </w:p>
        </w:tc>
        <w:tc>
          <w:tcPr>
            <w:tcW w:w="355" w:type="pct"/>
            <w:vMerge w:val="continue"/>
            <w:tcBorders>
              <w:left w:val="single" w:color="000000" w:sz="4" w:space="0"/>
              <w:bottom w:val="single" w:color="000000" w:sz="4" w:space="0"/>
              <w:right w:val="single" w:color="000000" w:sz="4" w:space="0"/>
            </w:tcBorders>
            <w:shd w:val="clear" w:color="auto" w:fill="auto"/>
            <w:vAlign w:val="center"/>
          </w:tcPr>
          <w:p w14:paraId="79E058DB">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5F7C">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服装</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2B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C5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EDF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统一工装：西服一套衬衫两长两短</w:t>
            </w:r>
          </w:p>
        </w:tc>
      </w:tr>
      <w:tr w14:paraId="29E8FD74">
        <w:tblPrEx>
          <w:tblCellMar>
            <w:top w:w="0" w:type="dxa"/>
            <w:left w:w="108" w:type="dxa"/>
            <w:bottom w:w="0" w:type="dxa"/>
            <w:right w:w="108" w:type="dxa"/>
          </w:tblCellMar>
        </w:tblPrEx>
        <w:trPr>
          <w:trHeight w:val="70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0612">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9</w:t>
            </w:r>
          </w:p>
        </w:tc>
        <w:tc>
          <w:tcPr>
            <w:tcW w:w="355" w:type="pct"/>
            <w:vMerge w:val="restart"/>
            <w:tcBorders>
              <w:top w:val="single" w:color="000000" w:sz="4" w:space="0"/>
              <w:left w:val="single" w:color="000000" w:sz="4" w:space="0"/>
              <w:right w:val="single" w:color="000000" w:sz="4" w:space="0"/>
            </w:tcBorders>
            <w:shd w:val="clear" w:color="auto" w:fill="auto"/>
            <w:noWrap/>
            <w:vAlign w:val="center"/>
          </w:tcPr>
          <w:p w14:paraId="32AB1C2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技术</w:t>
            </w:r>
          </w:p>
          <w:p w14:paraId="67B884D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服务</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DF5A">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话务坐席租赁（含软硬件）</w:t>
            </w:r>
            <w:r>
              <w:rPr>
                <w:rFonts w:hint="eastAsia" w:ascii="宋体" w:hAnsi="宋体" w:eastAsia="宋体" w:cs="宋体"/>
                <w:color w:val="auto"/>
                <w:kern w:val="0"/>
                <w:sz w:val="22"/>
                <w:szCs w:val="22"/>
                <w:highlight w:val="none"/>
                <w:lang w:eastAsia="zh-CN" w:bidi="ar"/>
              </w:rPr>
              <w:t>及系统对接维护</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7E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591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EA7B">
            <w:pPr>
              <w:widowControl/>
              <w:numPr>
                <w:ilvl w:val="0"/>
                <w:numId w:val="4"/>
              </w:numPr>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配置全媒体坐席软件和数据录入软件,</w:t>
            </w:r>
            <w:r>
              <w:rPr>
                <w:rFonts w:hint="eastAsia" w:ascii="宋体" w:hAnsi="宋体" w:eastAsia="宋体" w:cs="宋体"/>
                <w:color w:val="auto"/>
                <w:kern w:val="0"/>
                <w:sz w:val="22"/>
                <w:szCs w:val="22"/>
                <w:highlight w:val="none"/>
                <w:lang w:eastAsia="zh-CN" w:bidi="ar"/>
              </w:rPr>
              <w:t>支持</w:t>
            </w:r>
            <w:r>
              <w:rPr>
                <w:rFonts w:hint="eastAsia" w:ascii="宋体" w:hAnsi="宋体" w:eastAsia="宋体" w:cs="宋体"/>
                <w:color w:val="auto"/>
                <w:kern w:val="0"/>
                <w:sz w:val="22"/>
                <w:szCs w:val="22"/>
                <w:highlight w:val="none"/>
                <w:lang w:bidi="ar"/>
              </w:rPr>
              <w:t>与市场监管总局全国12315平台</w:t>
            </w:r>
            <w:r>
              <w:rPr>
                <w:rFonts w:hint="eastAsia" w:ascii="宋体" w:hAnsi="宋体" w:eastAsia="宋体" w:cs="宋体"/>
                <w:color w:val="auto"/>
                <w:kern w:val="0"/>
                <w:sz w:val="22"/>
                <w:szCs w:val="22"/>
                <w:highlight w:val="none"/>
                <w:lang w:eastAsia="zh-CN" w:bidi="ar"/>
              </w:rPr>
              <w:t>保持</w:t>
            </w:r>
            <w:r>
              <w:rPr>
                <w:rFonts w:hint="eastAsia" w:ascii="宋体" w:hAnsi="宋体" w:eastAsia="宋体" w:cs="宋体"/>
                <w:color w:val="auto"/>
                <w:kern w:val="0"/>
                <w:sz w:val="22"/>
                <w:szCs w:val="22"/>
                <w:highlight w:val="none"/>
                <w:lang w:bidi="ar"/>
              </w:rPr>
              <w:t>数据</w:t>
            </w:r>
            <w:r>
              <w:rPr>
                <w:rFonts w:hint="eastAsia" w:ascii="宋体" w:hAnsi="宋体" w:eastAsia="宋体" w:cs="宋体"/>
                <w:color w:val="auto"/>
                <w:kern w:val="0"/>
                <w:sz w:val="22"/>
                <w:szCs w:val="22"/>
                <w:highlight w:val="none"/>
                <w:lang w:eastAsia="zh-CN" w:bidi="ar"/>
              </w:rPr>
              <w:t>互通和软件适配</w:t>
            </w:r>
            <w:r>
              <w:rPr>
                <w:rFonts w:hint="eastAsia" w:ascii="宋体" w:hAnsi="宋体" w:eastAsia="宋体" w:cs="宋体"/>
                <w:color w:val="auto"/>
                <w:kern w:val="0"/>
                <w:sz w:val="22"/>
                <w:szCs w:val="22"/>
                <w:highlight w:val="none"/>
                <w:lang w:bidi="ar"/>
              </w:rPr>
              <w:t>；与12345话务互联互通</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实现语音导航和一键呼转。</w:t>
            </w:r>
          </w:p>
          <w:p w14:paraId="28D11465">
            <w:pPr>
              <w:widowControl/>
              <w:numPr>
                <w:ilvl w:val="0"/>
                <w:numId w:val="4"/>
              </w:numPr>
              <w:jc w:val="left"/>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bidi="ar"/>
              </w:rPr>
              <w:t>国产电脑（8G内存、256G硬盘、23.8寸显示器）；IP电话机与坐席用配套耳麦</w:t>
            </w:r>
            <w:r>
              <w:rPr>
                <w:rFonts w:hint="eastAsia" w:ascii="宋体" w:hAnsi="宋体" w:eastAsia="宋体" w:cs="宋体"/>
                <w:color w:val="auto"/>
                <w:kern w:val="0"/>
                <w:sz w:val="22"/>
                <w:szCs w:val="22"/>
                <w:highlight w:val="none"/>
                <w:lang w:eastAsia="zh-CN" w:bidi="ar"/>
              </w:rPr>
              <w:t>。</w:t>
            </w:r>
          </w:p>
          <w:p w14:paraId="38EDDBE7">
            <w:pPr>
              <w:widowControl/>
              <w:numPr>
                <w:ilvl w:val="0"/>
                <w:numId w:val="4"/>
              </w:numPr>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做好</w:t>
            </w:r>
            <w:r>
              <w:rPr>
                <w:rFonts w:hint="eastAsia" w:ascii="宋体" w:hAnsi="宋体" w:eastAsia="宋体" w:cs="宋体"/>
                <w:color w:val="auto"/>
                <w:kern w:val="0"/>
                <w:sz w:val="22"/>
                <w:szCs w:val="22"/>
                <w:highlight w:val="none"/>
                <w:lang w:eastAsia="zh-CN" w:bidi="ar"/>
              </w:rPr>
              <w:t>系统对接维护</w:t>
            </w:r>
            <w:r>
              <w:rPr>
                <w:rFonts w:hint="eastAsia" w:ascii="宋体" w:hAnsi="宋体" w:eastAsia="宋体" w:cs="宋体"/>
                <w:color w:val="auto"/>
                <w:kern w:val="0"/>
                <w:sz w:val="22"/>
                <w:szCs w:val="22"/>
                <w:highlight w:val="none"/>
                <w:lang w:val="en-US" w:eastAsia="zh-CN" w:bidi="ar"/>
              </w:rPr>
              <w:t>工作；</w:t>
            </w:r>
          </w:p>
          <w:p w14:paraId="0E2E9615">
            <w:pPr>
              <w:widowControl/>
              <w:numPr>
                <w:ilvl w:val="0"/>
                <w:numId w:val="4"/>
              </w:numPr>
              <w:jc w:val="left"/>
              <w:textAlignment w:val="center"/>
              <w:rPr>
                <w:rFonts w:hint="eastAsia" w:ascii="宋体" w:hAnsi="宋体" w:eastAsia="宋体" w:cs="宋体"/>
                <w:color w:val="auto"/>
                <w:kern w:val="0"/>
                <w:sz w:val="22"/>
                <w:highlight w:val="none"/>
                <w:lang w:val="en-US" w:eastAsia="zh-CN" w:bidi="ar"/>
              </w:rPr>
            </w:pPr>
            <w:r>
              <w:rPr>
                <w:rFonts w:hint="eastAsia" w:ascii="宋体" w:hAnsi="宋体" w:eastAsia="宋体" w:cs="宋体"/>
                <w:color w:val="auto"/>
                <w:kern w:val="0"/>
                <w:sz w:val="22"/>
                <w:highlight w:val="none"/>
                <w:lang w:eastAsia="zh-CN" w:bidi="ar"/>
              </w:rPr>
              <w:t>办公设备与耗材按实际需要添置，并及时维修维护；</w:t>
            </w:r>
          </w:p>
          <w:p w14:paraId="1F5DAE59">
            <w:pPr>
              <w:widowControl/>
              <w:numPr>
                <w:ilvl w:val="0"/>
                <w:numId w:val="4"/>
              </w:numPr>
              <w:jc w:val="left"/>
              <w:textAlignment w:val="center"/>
              <w:rPr>
                <w:rFonts w:hint="eastAsia" w:ascii="宋体" w:hAnsi="宋体" w:eastAsia="宋体" w:cs="宋体"/>
                <w:color w:val="auto"/>
                <w:kern w:val="0"/>
                <w:sz w:val="22"/>
                <w:highlight w:val="none"/>
                <w:lang w:eastAsia="zh-CN" w:bidi="ar"/>
              </w:rPr>
            </w:pPr>
            <w:r>
              <w:rPr>
                <w:rFonts w:hint="eastAsia" w:ascii="宋体" w:hAnsi="宋体" w:eastAsia="宋体" w:cs="宋体"/>
                <w:color w:val="auto"/>
                <w:kern w:val="0"/>
                <w:sz w:val="22"/>
                <w:highlight w:val="none"/>
                <w:lang w:val="en-US" w:eastAsia="zh-CN" w:bidi="ar"/>
              </w:rPr>
              <w:t>确保网络、电话通讯顺畅；</w:t>
            </w:r>
          </w:p>
          <w:p w14:paraId="2A14A56A">
            <w:pPr>
              <w:widowControl/>
              <w:numPr>
                <w:ilvl w:val="0"/>
                <w:numId w:val="4"/>
              </w:numPr>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 w:val="22"/>
                <w:highlight w:val="none"/>
                <w:lang w:bidi="ar"/>
              </w:rPr>
              <w:t>负责办公场地的环境文化建设</w:t>
            </w:r>
            <w:r>
              <w:rPr>
                <w:rFonts w:hint="eastAsia" w:ascii="宋体" w:hAnsi="宋体" w:eastAsia="宋体" w:cs="宋体"/>
                <w:color w:val="auto"/>
                <w:kern w:val="0"/>
                <w:sz w:val="22"/>
                <w:highlight w:val="none"/>
                <w:lang w:eastAsia="zh-CN" w:bidi="ar"/>
              </w:rPr>
              <w:t>。</w:t>
            </w:r>
          </w:p>
        </w:tc>
      </w:tr>
      <w:tr w14:paraId="6DA870C2">
        <w:tblPrEx>
          <w:tblCellMar>
            <w:top w:w="0" w:type="dxa"/>
            <w:left w:w="108" w:type="dxa"/>
            <w:bottom w:w="0" w:type="dxa"/>
            <w:right w:w="108" w:type="dxa"/>
          </w:tblCellMar>
        </w:tblPrEx>
        <w:trPr>
          <w:trHeight w:val="65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48DB">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10</w:t>
            </w:r>
          </w:p>
        </w:tc>
        <w:tc>
          <w:tcPr>
            <w:tcW w:w="355" w:type="pct"/>
            <w:vMerge w:val="continue"/>
            <w:tcBorders>
              <w:left w:val="single" w:color="000000" w:sz="4" w:space="0"/>
              <w:right w:val="single" w:color="000000" w:sz="4" w:space="0"/>
            </w:tcBorders>
            <w:shd w:val="clear" w:color="auto" w:fill="auto"/>
            <w:noWrap/>
            <w:vAlign w:val="center"/>
          </w:tcPr>
          <w:p w14:paraId="2CB28510">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78A3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话务坐席居家灾备</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8D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353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席</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9088">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按照全年开启10席共1个月估算</w:t>
            </w:r>
          </w:p>
        </w:tc>
      </w:tr>
      <w:tr w14:paraId="5892C7F4">
        <w:tblPrEx>
          <w:tblCellMar>
            <w:top w:w="0" w:type="dxa"/>
            <w:left w:w="108" w:type="dxa"/>
            <w:bottom w:w="0" w:type="dxa"/>
            <w:right w:w="108" w:type="dxa"/>
          </w:tblCellMar>
        </w:tblPrEx>
        <w:trPr>
          <w:trHeight w:val="635"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D9FE">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11</w:t>
            </w:r>
          </w:p>
        </w:tc>
        <w:tc>
          <w:tcPr>
            <w:tcW w:w="355" w:type="pct"/>
            <w:vMerge w:val="continue"/>
            <w:tcBorders>
              <w:left w:val="single" w:color="000000" w:sz="4" w:space="0"/>
              <w:right w:val="single" w:color="000000" w:sz="4" w:space="0"/>
            </w:tcBorders>
            <w:shd w:val="clear" w:color="auto" w:fill="auto"/>
            <w:noWrap/>
            <w:vAlign w:val="center"/>
          </w:tcPr>
          <w:p w14:paraId="7908EFB3">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06B7">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智能导航及短信提醒</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68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12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C933">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开设1路智能导航；多次拨打12315热线未接通的，发送短信提醒</w:t>
            </w:r>
          </w:p>
        </w:tc>
      </w:tr>
      <w:tr w14:paraId="2A93E0F8">
        <w:tblPrEx>
          <w:tblCellMar>
            <w:top w:w="0" w:type="dxa"/>
            <w:left w:w="108" w:type="dxa"/>
            <w:bottom w:w="0" w:type="dxa"/>
            <w:right w:w="108" w:type="dxa"/>
          </w:tblCellMar>
        </w:tblPrEx>
        <w:trPr>
          <w:trHeight w:val="364"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7313">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2</w:t>
            </w:r>
          </w:p>
        </w:tc>
        <w:tc>
          <w:tcPr>
            <w:tcW w:w="355" w:type="pct"/>
            <w:vMerge w:val="continue"/>
            <w:tcBorders>
              <w:left w:val="single" w:color="000000" w:sz="4" w:space="0"/>
              <w:right w:val="single" w:color="000000" w:sz="4" w:space="0"/>
            </w:tcBorders>
            <w:shd w:val="clear" w:color="auto" w:fill="auto"/>
            <w:noWrap/>
            <w:vAlign w:val="center"/>
          </w:tcPr>
          <w:p w14:paraId="322E0E30">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5440">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智能AI语音系统</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028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DF5D">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项</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2895">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开发智能AI语音系统，提供AI训练、上机训练等辅助功能，实现辅助话务接听服务；</w:t>
            </w:r>
          </w:p>
          <w:p w14:paraId="4BC77B46">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成果知识产权归属采购人。</w:t>
            </w:r>
          </w:p>
        </w:tc>
      </w:tr>
      <w:tr w14:paraId="5134295F">
        <w:tblPrEx>
          <w:tblCellMar>
            <w:top w:w="0" w:type="dxa"/>
            <w:left w:w="108" w:type="dxa"/>
            <w:bottom w:w="0" w:type="dxa"/>
            <w:right w:w="108" w:type="dxa"/>
          </w:tblCellMar>
        </w:tblPrEx>
        <w:trPr>
          <w:trHeight w:val="84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F4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13</w:t>
            </w:r>
          </w:p>
        </w:tc>
        <w:tc>
          <w:tcPr>
            <w:tcW w:w="355" w:type="pct"/>
            <w:vMerge w:val="continue"/>
            <w:tcBorders>
              <w:left w:val="single" w:color="000000" w:sz="4" w:space="0"/>
              <w:right w:val="single" w:color="000000" w:sz="4" w:space="0"/>
            </w:tcBorders>
            <w:shd w:val="clear" w:color="auto" w:fill="auto"/>
            <w:noWrap/>
            <w:vAlign w:val="center"/>
          </w:tcPr>
          <w:p w14:paraId="521A7CFA">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14:paraId="6F29D20B">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网络环境配置</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31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89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套</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CCD6">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配置交换机、防火墙；CN2专线两条（主备各一条），20M带宽</w:t>
            </w:r>
          </w:p>
        </w:tc>
      </w:tr>
      <w:tr w14:paraId="3C9E9C71">
        <w:tblPrEx>
          <w:tblCellMar>
            <w:top w:w="0" w:type="dxa"/>
            <w:left w:w="108" w:type="dxa"/>
            <w:bottom w:w="0" w:type="dxa"/>
            <w:right w:w="108" w:type="dxa"/>
          </w:tblCellMar>
        </w:tblPrEx>
        <w:trPr>
          <w:trHeight w:val="62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9D00">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14</w:t>
            </w:r>
          </w:p>
        </w:tc>
        <w:tc>
          <w:tcPr>
            <w:tcW w:w="355" w:type="pct"/>
            <w:vMerge w:val="continue"/>
            <w:tcBorders>
              <w:left w:val="single" w:color="000000" w:sz="4" w:space="0"/>
              <w:bottom w:val="single" w:color="auto" w:sz="4" w:space="0"/>
              <w:right w:val="single" w:color="000000" w:sz="4" w:space="0"/>
            </w:tcBorders>
            <w:shd w:val="clear" w:color="auto" w:fill="auto"/>
            <w:noWrap/>
            <w:vAlign w:val="center"/>
          </w:tcPr>
          <w:p w14:paraId="3DA6E9EC">
            <w:pPr>
              <w:jc w:val="center"/>
              <w:rPr>
                <w:rFonts w:hint="eastAsia" w:ascii="宋体" w:hAnsi="宋体" w:eastAsia="宋体" w:cs="宋体"/>
                <w:color w:val="auto"/>
                <w:sz w:val="22"/>
                <w:szCs w:val="22"/>
                <w:highlight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8F1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数据分析报表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852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65E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c>
          <w:tcPr>
            <w:tcW w:w="2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9C24">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上级有关部门要求的月报、季报、半年分析、年度分析等</w:t>
            </w:r>
          </w:p>
        </w:tc>
      </w:tr>
    </w:tbl>
    <w:p w14:paraId="364FDCD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注：话务坐席人员、网络(书信)坐席人员数量及两类人员总量可根据实际情况作调整，调整范围在总劳务服务工作量范围内。</w:t>
      </w:r>
    </w:p>
    <w:p w14:paraId="7E451C17">
      <w:pPr>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p>
    <w:p w14:paraId="3E07442C">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三、商务要求</w:t>
      </w:r>
    </w:p>
    <w:p w14:paraId="2480A68D">
      <w:pPr>
        <w:spacing w:line="360" w:lineRule="auto"/>
        <w:ind w:left="210" w:left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1.交付（实施）的时间（期限）</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1年，2025年1月1日至2025年12月31日。（2025年1月1日至新合同签订完成期由原服务单位提供服务，按新年度合同价格进行结算）</w:t>
      </w:r>
    </w:p>
    <w:p w14:paraId="4D5DFAD2">
      <w:pPr>
        <w:spacing w:line="360" w:lineRule="auto"/>
        <w:ind w:left="210" w:leftChars="100" w:firstLine="480" w:firstLineChars="2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供应商在收到采购人支付的本项目款项后3个工作日内支付给原服务供应商。（款项产生的税费由原服务供应商承担）</w:t>
      </w:r>
    </w:p>
    <w:p w14:paraId="64B0AB08">
      <w:pPr>
        <w:spacing w:line="360" w:lineRule="auto"/>
        <w:ind w:left="210" w:leftChars="10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本项目实施完成后，若因采购人原因未完成下一轮项目采购和/或合同签订的，由中标供应商继续实施服务，产生费用由项目下一轮中标人/供应商按下一轮中标合同金额的相应比例支付给乙方。</w:t>
      </w:r>
    </w:p>
    <w:p w14:paraId="26743271">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w:t>
      </w:r>
      <w:r>
        <w:rPr>
          <w:rFonts w:hint="eastAsia" w:ascii="宋体" w:hAnsi="宋体" w:eastAsia="宋体" w:cs="宋体"/>
          <w:color w:val="auto"/>
          <w:sz w:val="24"/>
          <w:highlight w:val="none"/>
          <w:u w:val="single"/>
        </w:rPr>
        <w:t xml:space="preserve"> 采购人指定地点 </w:t>
      </w:r>
    </w:p>
    <w:p w14:paraId="661707A0">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17"/>
        <w:tblW w:w="4748" w:type="pct"/>
        <w:tblInd w:w="32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93"/>
        <w:gridCol w:w="1811"/>
        <w:gridCol w:w="6216"/>
      </w:tblGrid>
      <w:tr w14:paraId="0FC3A52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450" w:type="pct"/>
            <w:vAlign w:val="center"/>
          </w:tcPr>
          <w:p w14:paraId="420FBE3D">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26" w:type="pct"/>
            <w:vAlign w:val="center"/>
          </w:tcPr>
          <w:p w14:paraId="371A8F5F">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付款比例（%）</w:t>
            </w:r>
          </w:p>
        </w:tc>
        <w:tc>
          <w:tcPr>
            <w:tcW w:w="3522" w:type="pct"/>
            <w:vAlign w:val="center"/>
          </w:tcPr>
          <w:p w14:paraId="6A0415DD">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付款方式</w:t>
            </w:r>
          </w:p>
        </w:tc>
      </w:tr>
      <w:tr w14:paraId="1E9561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50" w:type="pct"/>
            <w:vAlign w:val="center"/>
          </w:tcPr>
          <w:p w14:paraId="426481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26" w:type="pct"/>
            <w:vAlign w:val="center"/>
          </w:tcPr>
          <w:p w14:paraId="06BE98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3522" w:type="pct"/>
          </w:tcPr>
          <w:p w14:paraId="0B50858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付款</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szCs w:val="24"/>
                <w:highlight w:val="none"/>
              </w:rPr>
              <w:t>条件后，甲方收到乙方发票7个工作日内支付合同价值50%的服务款（预付款）</w:t>
            </w:r>
          </w:p>
        </w:tc>
      </w:tr>
      <w:tr w14:paraId="2F5357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50" w:type="pct"/>
            <w:vAlign w:val="center"/>
          </w:tcPr>
          <w:p w14:paraId="391F9D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26" w:type="pct"/>
            <w:vAlign w:val="center"/>
          </w:tcPr>
          <w:p w14:paraId="62195B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6216" w:type="dxa"/>
            <w:vAlign w:val="top"/>
          </w:tcPr>
          <w:p w14:paraId="3968263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中期</w:t>
            </w:r>
            <w:r>
              <w:rPr>
                <w:rFonts w:hint="eastAsia" w:ascii="宋体" w:hAnsi="宋体" w:eastAsia="宋体" w:cs="宋体"/>
                <w:color w:val="auto"/>
                <w:sz w:val="24"/>
                <w:szCs w:val="24"/>
                <w:highlight w:val="none"/>
                <w:lang w:val="en-US" w:eastAsia="zh-CN"/>
              </w:rPr>
              <w:t>考核通过</w:t>
            </w:r>
            <w:r>
              <w:rPr>
                <w:rFonts w:hint="eastAsia" w:ascii="宋体" w:hAnsi="宋体" w:eastAsia="宋体" w:cs="宋体"/>
                <w:color w:val="auto"/>
                <w:sz w:val="24"/>
                <w:szCs w:val="24"/>
                <w:highlight w:val="none"/>
              </w:rPr>
              <w:t>，甲方收到乙方发票7个工作日内支付合同价值40%的服务款</w:t>
            </w:r>
          </w:p>
        </w:tc>
      </w:tr>
      <w:tr w14:paraId="22ACBA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450" w:type="pct"/>
            <w:vAlign w:val="center"/>
          </w:tcPr>
          <w:p w14:paraId="08A17A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26" w:type="pct"/>
            <w:vAlign w:val="center"/>
          </w:tcPr>
          <w:p w14:paraId="77521B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522" w:type="pct"/>
          </w:tcPr>
          <w:p w14:paraId="25EC0EF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验收通过后，甲方收到乙方发票7个工作日内支付合同余款</w:t>
            </w:r>
          </w:p>
        </w:tc>
      </w:tr>
    </w:tbl>
    <w:p w14:paraId="7B265F98">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14:paraId="5FF463A6">
      <w:pPr>
        <w:adjustRightInd/>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对通信网络故障，乙方在接到甲方通知后</w:t>
      </w:r>
      <w:r>
        <w:rPr>
          <w:rFonts w:hint="eastAsia" w:ascii="宋体" w:hAnsi="宋体" w:eastAsia="宋体" w:cs="宋体"/>
          <w:color w:val="auto"/>
          <w:sz w:val="24"/>
          <w:highlight w:val="none"/>
          <w:u w:val="single"/>
          <w:lang w:val="en-US" w:eastAsia="zh-CN"/>
        </w:rPr>
        <w:t>30分钟</w:t>
      </w:r>
      <w:r>
        <w:rPr>
          <w:rFonts w:hint="eastAsia" w:ascii="宋体" w:hAnsi="宋体" w:eastAsia="宋体" w:cs="宋体"/>
          <w:color w:val="auto"/>
          <w:sz w:val="24"/>
          <w:highlight w:val="none"/>
          <w:u w:val="single"/>
        </w:rPr>
        <w:t>内响应并启动应急灾备方案，乙方原因的系统故障</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小时以内解决。</w:t>
      </w:r>
    </w:p>
    <w:p w14:paraId="7BDA1B6D">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43C10A08">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rPr>
        <w:t>无。</w:t>
      </w:r>
    </w:p>
    <w:p w14:paraId="14E2B3B7">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四、拟采购标的的商务要求</w:t>
      </w:r>
    </w:p>
    <w:p w14:paraId="00B46AB6">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培训及团队文化建设</w:t>
      </w:r>
    </w:p>
    <w:p w14:paraId="2825117C">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由中标单位组负责组织工作人员的岗前、岗中培训，采购单位有权进行业务指导。具体基本话务技能培训、业务技能培训方案计划由投标单位在投标文件中提供，如中标，经采购单位确认后实施。中标单位通过组织相关文体、竞赛、交流、培训、研讨等活动提高团队凝聚力，提升工作效率。工作开展过程中发现不能胜任相关工作的，采购人有权对人员提出调整要求，投标人需积极配合。</w:t>
      </w:r>
    </w:p>
    <w:p w14:paraId="44E3F7B8">
      <w:pPr>
        <w:snapToGrid w:val="0"/>
        <w:spacing w:line="360" w:lineRule="auto"/>
        <w:ind w:firstLine="480" w:firstLineChars="2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投标人应当有效保障话务工作人员队伍稳定，关心关爱工作人员，定期组织工作人员进行体检，高温季节、岁末年终等慰问活动，并适当组织文娱活动。</w:t>
      </w:r>
    </w:p>
    <w:p w14:paraId="54E71292">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要求在投标文件中提供培训及团队文化建设方案。</w:t>
      </w:r>
    </w:p>
    <w:p w14:paraId="0937D6BC">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质保方案要求</w:t>
      </w:r>
    </w:p>
    <w:p w14:paraId="7D6F3355">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要求投标单位通过监控、抽样、评估、反馈等方式进行质保，在投标文件中提供具体长期服务和应急维护方案供评审。</w:t>
      </w:r>
    </w:p>
    <w:p w14:paraId="4CE9E6C6">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考核和管理方案要求</w:t>
      </w:r>
    </w:p>
    <w:p w14:paraId="087372D4">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要求投标单位通过服务能力、服务质量、服务效率、客户满意等方面进行考核和管理，在投标文件中提供具体运营管理制度和绩效考核方案供评审。</w:t>
      </w:r>
    </w:p>
    <w:p w14:paraId="3A0A776A">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的责任和义务</w:t>
      </w:r>
    </w:p>
    <w:p w14:paraId="737AAF31">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（1）按照服务外包具体要求，做好工作人员劳务服务、培训及文化、智能辅助等方面的工作。</w:t>
      </w:r>
    </w:p>
    <w:p w14:paraId="3BDFB373">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（2）成立专门的项目小组，负责与</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的合作事务，确保该项目按照合同要求执行。</w:t>
      </w:r>
    </w:p>
    <w:p w14:paraId="1A776250">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（3）完成</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要求的与项目相关的其他未尽事宜。</w:t>
      </w:r>
    </w:p>
    <w:p w14:paraId="442F7FDD">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项目实施进度要求：</w:t>
      </w:r>
    </w:p>
    <w:p w14:paraId="4C6DA818">
      <w:pPr>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要求：合同签订之日起15个工作日内确保热线接入畅通。</w:t>
      </w:r>
    </w:p>
    <w:p w14:paraId="534043CF">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中标通知书发出之日（即采购结果公告发布之日）起7天内内确保采购要求及投标文件响应情况全部到位。其中准备期5天，交接期2天。</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与</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签订合同期间的服务空档期由原供应商继续服务，产生的相关费用在本项目签订合同后由</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通过</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支付给原供应商。</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在收到</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支付的本项目款项后</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个工作日内支付给原服务供应商。（款项产生的税费由原服务供应商承担）</w:t>
      </w:r>
    </w:p>
    <w:p w14:paraId="5517BC81">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本项目实施完成后，若因</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原因未完成下一轮项目采购和/或合同签订的，由</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继续实施服务，产生费用由项目下一轮中标人/供应商按下一轮中标合同金额的相应比例支付给</w:t>
      </w:r>
      <w:r>
        <w:rPr>
          <w:rFonts w:hint="eastAsia" w:ascii="宋体" w:hAnsi="宋体" w:eastAsia="宋体" w:cs="宋体"/>
          <w:color w:val="auto"/>
          <w:sz w:val="24"/>
          <w:highlight w:val="none"/>
          <w:u w:val="single"/>
          <w:lang w:eastAsia="zh-CN"/>
        </w:rPr>
        <w:t>中标供应商</w:t>
      </w:r>
      <w:r>
        <w:rPr>
          <w:rFonts w:hint="eastAsia" w:ascii="宋体" w:hAnsi="宋体" w:eastAsia="宋体" w:cs="宋体"/>
          <w:color w:val="auto"/>
          <w:sz w:val="24"/>
          <w:highlight w:val="none"/>
          <w:u w:val="single"/>
        </w:rPr>
        <w:t>。</w:t>
      </w:r>
    </w:p>
    <w:p w14:paraId="4CDF2921">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若中标单位未按采购要求及投标文件响应情况全部到位的（人员按投标文件清单），则视为主动放弃中标，采购单位可以确定排名第二的中标候选人为中标人，依次类推，也可以重新开展采购活动。</w:t>
      </w:r>
    </w:p>
    <w:p w14:paraId="2C62CC87">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如过渡涉及技术实现方案，请在投标文件中详细说明实施措施及其可行性。过渡工作需由中标单位独立实施完成，</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不提供技术服务承诺，也不得增加本项目额外费用。</w:t>
      </w:r>
    </w:p>
    <w:p w14:paraId="08D92831">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保密要求</w:t>
      </w:r>
    </w:p>
    <w:p w14:paraId="54D37637">
      <w:pPr>
        <w:snapToGrid w:val="0"/>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采购单位、中标单位必须与其员工均对本协议及本协议的补充协议、附件等所有内容均承担无限期保密义务，直至上述内容被双方共同宣布解密或者秘密信息实际上已经公开。</w:t>
      </w:r>
    </w:p>
    <w:p w14:paraId="0C68A08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highlight w:val="none"/>
          <w:u w:val="single"/>
        </w:rPr>
        <w:t>中标单位须</w:t>
      </w:r>
      <w:r>
        <w:rPr>
          <w:rFonts w:hint="eastAsia" w:ascii="宋体" w:hAnsi="宋体" w:eastAsia="宋体" w:cs="宋体"/>
          <w:color w:val="auto"/>
          <w:sz w:val="24"/>
          <w:highlight w:val="none"/>
          <w:u w:val="single"/>
          <w:lang w:val="en-US" w:eastAsia="zh-CN"/>
        </w:rPr>
        <w:t>采取有效措施</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确保接触到的投诉举报数据、分析报告、文件资料等不泄露</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中标单位应与员工、合作单位等签署保密协议</w:t>
      </w:r>
      <w:r>
        <w:rPr>
          <w:rFonts w:hint="eastAsia" w:ascii="宋体" w:hAnsi="宋体" w:eastAsia="宋体" w:cs="宋体"/>
          <w:color w:val="auto"/>
          <w:sz w:val="24"/>
          <w:highlight w:val="none"/>
          <w:u w:val="single"/>
        </w:rPr>
        <w:t>。</w:t>
      </w:r>
    </w:p>
    <w:p w14:paraId="703C84DF">
      <w:pPr>
        <w:snapToGrid w:val="0"/>
        <w:spacing w:line="360" w:lineRule="auto"/>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w:t>
      </w:r>
      <w:r>
        <w:rPr>
          <w:rFonts w:hint="eastAsia" w:ascii="宋体" w:hAnsi="宋体" w:eastAsia="宋体" w:cs="宋体"/>
          <w:iCs/>
          <w:color w:val="auto"/>
          <w:sz w:val="24"/>
          <w:highlight w:val="none"/>
        </w:rPr>
        <w:t>知识产权归属、处理方式：</w:t>
      </w:r>
      <w:r>
        <w:rPr>
          <w:rFonts w:hint="eastAsia" w:ascii="宋体" w:hAnsi="宋体" w:eastAsia="宋体" w:cs="宋体"/>
          <w:iCs/>
          <w:color w:val="auto"/>
          <w:sz w:val="24"/>
          <w:highlight w:val="none"/>
          <w:u w:val="single"/>
          <w:lang w:val="en-US" w:eastAsia="zh-CN"/>
        </w:rPr>
        <w:t>项目成果及采集数据知识产权归属采购人。</w:t>
      </w:r>
    </w:p>
    <w:p w14:paraId="45CB219B">
      <w:pPr>
        <w:snapToGrid w:val="0"/>
        <w:spacing w:line="360" w:lineRule="auto"/>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8、履约验收</w:t>
      </w:r>
    </w:p>
    <w:p w14:paraId="6B675B00">
      <w:pPr>
        <w:numPr>
          <w:ilvl w:val="0"/>
          <w:numId w:val="5"/>
        </w:numPr>
        <w:spacing w:line="360" w:lineRule="auto"/>
        <w:ind w:left="5"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按照《杭州市政府采购履约验收暂行办法》（杭财采监[2019]10号）规定组织对投标人履约的验收。严格按照采购合同开展履约验收。如果发现与合同中要求不符，中标人须承担由此发生的一切损失和费用，并接受相应的处理。</w:t>
      </w:r>
    </w:p>
    <w:p w14:paraId="582BDF56">
      <w:pPr>
        <w:numPr>
          <w:ilvl w:val="0"/>
          <w:numId w:val="5"/>
        </w:numPr>
        <w:spacing w:line="360" w:lineRule="auto"/>
        <w:ind w:left="5"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时，按照采购合同的约定对每一项技术、服务、安全标准的履约情况进行确认，采购人形成验收意见并经甲乙双方签字盖章。验收结果与采购合同约定的资金支付及履约保证金返还条件挂钩。履约验收的各项资料应当存档备查。</w:t>
      </w:r>
    </w:p>
    <w:p w14:paraId="1E361822">
      <w:pPr>
        <w:numPr>
          <w:ilvl w:val="0"/>
          <w:numId w:val="5"/>
        </w:numPr>
        <w:spacing w:line="360" w:lineRule="auto"/>
        <w:ind w:left="5"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6F1C075C">
      <w:pPr>
        <w:numPr>
          <w:ilvl w:val="0"/>
          <w:numId w:val="5"/>
        </w:numPr>
        <w:spacing w:line="360" w:lineRule="auto"/>
        <w:ind w:left="5"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验收产生的费用首次验收费用由采购人承担，如首次验收不合格，后续验收费用由中标人支付。</w:t>
      </w:r>
    </w:p>
    <w:p w14:paraId="48FC9F69">
      <w:pPr>
        <w:numPr>
          <w:ilvl w:val="0"/>
          <w:numId w:val="5"/>
        </w:numPr>
        <w:spacing w:line="360" w:lineRule="auto"/>
        <w:ind w:left="5"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验收内容及资料要求：</w:t>
      </w:r>
    </w:p>
    <w:p w14:paraId="26439AC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本项目采用一般流程分期验收；</w:t>
      </w:r>
    </w:p>
    <w:p w14:paraId="708055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3B6E1D0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u w:val="single"/>
        </w:rPr>
        <w:t>监督考核指标</w:t>
      </w:r>
      <w:r>
        <w:rPr>
          <w:rFonts w:hint="eastAsia" w:ascii="宋体" w:hAnsi="宋体" w:eastAsia="宋体" w:cs="宋体"/>
          <w:color w:val="auto"/>
          <w:sz w:val="24"/>
          <w:highlight w:val="none"/>
          <w:lang w:val="en-US" w:eastAsia="zh-CN"/>
        </w:rPr>
        <w:t>包含但不限于：</w:t>
      </w:r>
    </w:p>
    <w:p w14:paraId="0A720E18">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甲方有权对乙方工作进行全面监督，对乙方5项业务指标进行督查考核。</w:t>
      </w:r>
      <w:r>
        <w:rPr>
          <w:rFonts w:hint="eastAsia" w:ascii="宋体" w:hAnsi="宋体" w:eastAsia="宋体" w:cs="宋体"/>
          <w:color w:val="auto"/>
          <w:sz w:val="24"/>
          <w:highlight w:val="none"/>
          <w:u w:val="single"/>
          <w:lang w:val="en-US" w:eastAsia="zh-CN"/>
        </w:rPr>
        <w:t>考核视情况采取定期与不定期相结合方式。</w:t>
      </w:r>
    </w:p>
    <w:p w14:paraId="009AE282">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项业务指标】</w:t>
      </w:r>
    </w:p>
    <w:p w14:paraId="0FF582D3">
      <w:pPr>
        <w:numPr>
          <w:ilvl w:val="0"/>
          <w:numId w:val="6"/>
        </w:numPr>
        <w:shd w:val="clear"/>
        <w:spacing w:line="360" w:lineRule="auto"/>
        <w:ind w:left="425" w:hanging="5" w:firstLineChars="0"/>
        <w:jc w:val="left"/>
        <w:rPr>
          <w:rFonts w:hint="eastAsia" w:ascii="宋体" w:hAnsi="宋体" w:eastAsia="宋体" w:cs="宋体"/>
          <w:color w:val="auto"/>
          <w:kern w:val="0"/>
          <w:sz w:val="24"/>
          <w:highlight w:val="none"/>
          <w:u w:val="single"/>
        </w:rPr>
      </w:pPr>
      <w:r>
        <w:rPr>
          <w:rFonts w:hint="eastAsia" w:ascii="宋体" w:hAnsi="宋体" w:eastAsia="宋体" w:cs="宋体"/>
          <w:bCs/>
          <w:color w:val="auto"/>
          <w:sz w:val="24"/>
          <w:highlight w:val="none"/>
          <w:u w:val="single"/>
        </w:rPr>
        <w:t>综合接通率：</w:t>
      </w:r>
      <w:r>
        <w:rPr>
          <w:rFonts w:hint="eastAsia" w:ascii="宋体" w:hAnsi="宋体" w:eastAsia="宋体" w:cs="宋体"/>
          <w:color w:val="auto"/>
          <w:sz w:val="24"/>
          <w:highlight w:val="none"/>
          <w:u w:val="single"/>
        </w:rPr>
        <w:t>日平均≥</w:t>
      </w:r>
      <w:r>
        <w:rPr>
          <w:rFonts w:hint="eastAsia" w:ascii="宋体" w:hAnsi="宋体" w:eastAsia="宋体" w:cs="宋体"/>
          <w:color w:val="auto"/>
          <w:sz w:val="24"/>
          <w:highlight w:val="none"/>
          <w:u w:val="single"/>
          <w:lang w:val="en-US" w:eastAsia="zh-CN"/>
        </w:rPr>
        <w:t>85</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w:t>
      </w:r>
    </w:p>
    <w:p w14:paraId="5BFD5CAE">
      <w:pPr>
        <w:numPr>
          <w:ilvl w:val="0"/>
          <w:numId w:val="6"/>
        </w:numPr>
        <w:shd w:val="clear"/>
        <w:spacing w:line="360" w:lineRule="auto"/>
        <w:ind w:left="425" w:hanging="5" w:firstLineChars="0"/>
        <w:jc w:val="left"/>
        <w:rPr>
          <w:rFonts w:hint="eastAsia" w:ascii="宋体" w:hAnsi="宋体" w:eastAsia="宋体" w:cs="宋体"/>
          <w:color w:val="auto"/>
          <w:kern w:val="0"/>
          <w:sz w:val="24"/>
          <w:highlight w:val="none"/>
          <w:u w:val="single"/>
        </w:rPr>
      </w:pPr>
      <w:r>
        <w:rPr>
          <w:rFonts w:hint="eastAsia" w:ascii="宋体" w:hAnsi="宋体" w:eastAsia="宋体" w:cs="宋体"/>
          <w:bCs/>
          <w:color w:val="auto"/>
          <w:sz w:val="24"/>
          <w:highlight w:val="none"/>
          <w:u w:val="single"/>
        </w:rPr>
        <w:t>用工时长：在线工作时间/上岗时间，要求月平均≥60%</w:t>
      </w:r>
      <w:r>
        <w:rPr>
          <w:rFonts w:hint="eastAsia" w:ascii="宋体" w:hAnsi="宋体" w:eastAsia="宋体" w:cs="宋体"/>
          <w:color w:val="auto"/>
          <w:kern w:val="0"/>
          <w:sz w:val="24"/>
          <w:highlight w:val="none"/>
          <w:u w:val="single"/>
        </w:rPr>
        <w:t>。</w:t>
      </w:r>
    </w:p>
    <w:p w14:paraId="63EF2503">
      <w:pPr>
        <w:numPr>
          <w:ilvl w:val="0"/>
          <w:numId w:val="6"/>
        </w:numPr>
        <w:shd w:val="clear"/>
        <w:spacing w:line="360" w:lineRule="auto"/>
        <w:ind w:left="425" w:hanging="5" w:firstLineChars="0"/>
        <w:jc w:val="left"/>
        <w:rPr>
          <w:rFonts w:hint="eastAsia" w:ascii="宋体" w:hAnsi="宋体" w:eastAsia="宋体" w:cs="宋体"/>
          <w:color w:val="auto"/>
          <w:kern w:val="0"/>
          <w:sz w:val="24"/>
          <w:highlight w:val="none"/>
          <w:u w:val="single"/>
        </w:rPr>
      </w:pPr>
      <w:r>
        <w:rPr>
          <w:rFonts w:hint="eastAsia" w:ascii="宋体" w:hAnsi="宋体" w:eastAsia="宋体" w:cs="宋体"/>
          <w:bCs/>
          <w:color w:val="auto"/>
          <w:sz w:val="24"/>
          <w:highlight w:val="none"/>
          <w:u w:val="single"/>
        </w:rPr>
        <w:t>责任投诉：因工作人员业务差错等原因引起的有责投诉，要求月平均≤受理总量1‰</w:t>
      </w:r>
      <w:r>
        <w:rPr>
          <w:rFonts w:hint="eastAsia" w:ascii="宋体" w:hAnsi="宋体" w:eastAsia="宋体" w:cs="宋体"/>
          <w:color w:val="auto"/>
          <w:kern w:val="0"/>
          <w:sz w:val="24"/>
          <w:highlight w:val="none"/>
          <w:u w:val="single"/>
        </w:rPr>
        <w:t>。</w:t>
      </w:r>
    </w:p>
    <w:p w14:paraId="07E37FEB">
      <w:pPr>
        <w:numPr>
          <w:ilvl w:val="0"/>
          <w:numId w:val="6"/>
        </w:numPr>
        <w:shd w:val="clear"/>
        <w:spacing w:line="360" w:lineRule="auto"/>
        <w:ind w:left="425" w:hanging="5" w:firstLineChars="0"/>
        <w:jc w:val="left"/>
        <w:rPr>
          <w:rFonts w:hint="eastAsia" w:ascii="宋体" w:hAnsi="宋体" w:eastAsia="宋体" w:cs="宋体"/>
          <w:color w:val="auto"/>
          <w:kern w:val="0"/>
          <w:sz w:val="24"/>
          <w:highlight w:val="none"/>
          <w:u w:val="single"/>
        </w:rPr>
      </w:pPr>
      <w:r>
        <w:rPr>
          <w:rFonts w:hint="eastAsia" w:ascii="宋体" w:hAnsi="宋体" w:eastAsia="宋体" w:cs="宋体"/>
          <w:bCs/>
          <w:color w:val="auto"/>
          <w:sz w:val="24"/>
          <w:highlight w:val="none"/>
          <w:u w:val="single"/>
        </w:rPr>
        <w:t>受理单质量差错率：存在明显质量问题的登记单/总登记单，要求月平均≤2%</w:t>
      </w:r>
      <w:r>
        <w:rPr>
          <w:rFonts w:hint="eastAsia" w:ascii="宋体" w:hAnsi="宋体" w:eastAsia="宋体" w:cs="宋体"/>
          <w:color w:val="auto"/>
          <w:kern w:val="0"/>
          <w:sz w:val="24"/>
          <w:highlight w:val="none"/>
          <w:u w:val="single"/>
        </w:rPr>
        <w:t>。</w:t>
      </w:r>
    </w:p>
    <w:p w14:paraId="6C3C34F5">
      <w:pPr>
        <w:numPr>
          <w:ilvl w:val="0"/>
          <w:numId w:val="6"/>
        </w:numPr>
        <w:shd w:val="clear"/>
        <w:spacing w:line="360" w:lineRule="auto"/>
        <w:ind w:left="425" w:hanging="5" w:firstLineChars="0"/>
        <w:jc w:val="left"/>
        <w:rPr>
          <w:rFonts w:hint="eastAsia" w:ascii="宋体" w:hAnsi="宋体" w:eastAsia="宋体" w:cs="宋体"/>
          <w:color w:val="auto"/>
          <w:kern w:val="0"/>
          <w:sz w:val="24"/>
          <w:highlight w:val="none"/>
          <w:u w:val="single"/>
        </w:rPr>
      </w:pPr>
      <w:r>
        <w:rPr>
          <w:rFonts w:hint="eastAsia" w:ascii="宋体" w:hAnsi="宋体" w:eastAsia="宋体" w:cs="宋体"/>
          <w:bCs/>
          <w:color w:val="auto"/>
          <w:sz w:val="24"/>
          <w:highlight w:val="none"/>
          <w:u w:val="single"/>
        </w:rPr>
        <w:t>人员流失率：</w:t>
      </w:r>
      <w:r>
        <w:rPr>
          <w:rFonts w:hint="eastAsia" w:ascii="宋体" w:hAnsi="宋体" w:eastAsia="宋体" w:cs="宋体"/>
          <w:color w:val="auto"/>
          <w:sz w:val="24"/>
          <w:highlight w:val="none"/>
        </w:rPr>
        <w:t>员工流失率</w:t>
      </w:r>
      <w:r>
        <w:rPr>
          <w:rFonts w:hint="eastAsia" w:ascii="宋体" w:hAnsi="宋体" w:eastAsia="宋体" w:cs="宋体"/>
          <w:color w:val="auto"/>
          <w:sz w:val="24"/>
          <w:highlight w:val="none"/>
          <w:lang w:val="en-US" w:eastAsia="zh-CN"/>
        </w:rPr>
        <w:t>平均</w:t>
      </w:r>
      <w:r>
        <w:rPr>
          <w:rFonts w:hint="eastAsia" w:ascii="宋体" w:hAnsi="宋体" w:eastAsia="宋体" w:cs="宋体"/>
          <w:color w:val="auto"/>
          <w:sz w:val="24"/>
          <w:highlight w:val="none"/>
        </w:rPr>
        <w:t>每月不得超过</w:t>
      </w:r>
      <w:r>
        <w:rPr>
          <w:rFonts w:hint="eastAsia" w:ascii="宋体" w:hAnsi="宋体" w:eastAsia="宋体" w:cs="宋体"/>
          <w:color w:val="auto"/>
          <w:sz w:val="24"/>
          <w:highlight w:val="none"/>
          <w:lang w:val="en-US" w:eastAsia="zh-CN"/>
        </w:rPr>
        <w:t>2人</w:t>
      </w:r>
      <w:r>
        <w:rPr>
          <w:rFonts w:hint="eastAsia" w:ascii="宋体" w:hAnsi="宋体" w:eastAsia="宋体" w:cs="宋体"/>
          <w:color w:val="auto"/>
          <w:sz w:val="24"/>
          <w:highlight w:val="none"/>
        </w:rPr>
        <w:t>（考上行政事业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社区</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等不计入本考核指标</w:t>
      </w:r>
      <w:r>
        <w:rPr>
          <w:rFonts w:hint="eastAsia" w:ascii="宋体" w:hAnsi="宋体" w:eastAsia="宋体" w:cs="宋体"/>
          <w:color w:val="auto"/>
          <w:sz w:val="24"/>
          <w:highlight w:val="none"/>
        </w:rPr>
        <w:t>）</w:t>
      </w:r>
    </w:p>
    <w:p w14:paraId="207F0892">
      <w:pPr>
        <w:numPr>
          <w:ilvl w:val="0"/>
          <w:numId w:val="6"/>
        </w:numPr>
        <w:spacing w:line="360" w:lineRule="auto"/>
        <w:ind w:left="425" w:hanging="5" w:firstLineChars="0"/>
        <w:jc w:val="left"/>
        <w:rPr>
          <w:rFonts w:hint="eastAsia" w:ascii="宋体" w:hAnsi="宋体" w:eastAsia="宋体" w:cs="宋体"/>
          <w:b w:val="0"/>
          <w:bCs/>
          <w:color w:val="auto"/>
          <w:sz w:val="24"/>
          <w:highlight w:val="none"/>
          <w:u w:val="single"/>
        </w:rPr>
      </w:pPr>
      <w:r>
        <w:rPr>
          <w:rFonts w:hint="eastAsia" w:ascii="宋体" w:hAnsi="宋体" w:eastAsia="宋体" w:cs="宋体"/>
          <w:color w:val="auto"/>
          <w:sz w:val="24"/>
          <w:highlight w:val="none"/>
          <w:lang w:val="en-US" w:eastAsia="zh-CN"/>
        </w:rPr>
        <w:t>备岗人员（储备工作人员）需满足岗位招聘要求，并经考核通过后上岗。</w:t>
      </w:r>
    </w:p>
    <w:p w14:paraId="353485ED">
      <w:pPr>
        <w:numPr>
          <w:ilvl w:val="-1"/>
          <w:numId w:val="0"/>
        </w:numPr>
        <w:spacing w:line="360" w:lineRule="auto"/>
        <w:ind w:left="420" w:firstLine="0" w:firstLineChars="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负责制定和实施对工作人员的考核工作，并将考核结果报</w:t>
      </w:r>
      <w:r>
        <w:rPr>
          <w:rFonts w:hint="eastAsia" w:ascii="宋体" w:hAnsi="宋体" w:eastAsia="宋体" w:cs="宋体"/>
          <w:color w:val="auto"/>
          <w:sz w:val="24"/>
          <w:highlight w:val="none"/>
          <w:u w:val="single"/>
          <w:lang w:val="en-US" w:eastAsia="zh-CN"/>
        </w:rPr>
        <w:t>采购人</w:t>
      </w:r>
      <w:r>
        <w:rPr>
          <w:rFonts w:hint="eastAsia" w:ascii="宋体" w:hAnsi="宋体" w:eastAsia="宋体" w:cs="宋体"/>
          <w:color w:val="auto"/>
          <w:sz w:val="24"/>
          <w:highlight w:val="none"/>
          <w:u w:val="single"/>
        </w:rPr>
        <w:t xml:space="preserve">。 </w:t>
      </w:r>
    </w:p>
    <w:p w14:paraId="701AD481">
      <w:pPr>
        <w:numPr>
          <w:ilvl w:val="0"/>
          <w:numId w:val="7"/>
        </w:numPr>
        <w:spacing w:line="360" w:lineRule="auto"/>
        <w:ind w:left="420" w:firstLine="0" w:firstLineChars="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其他：</w:t>
      </w:r>
    </w:p>
    <w:p w14:paraId="275A9E95">
      <w:pPr>
        <w:pStyle w:val="2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投标人若采用自有管线组网的需持有固定网通信运营商资格或有线电视网络运营商证明文件，投标文件中提供相关证明复印件并加盖投标人公章；</w:t>
      </w:r>
    </w:p>
    <w:p w14:paraId="685A9EA0">
      <w:pPr>
        <w:pStyle w:val="2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没有自有管线的，要与管线提供商签订该项目线路意向协议，且管线提供商承诺管线施工根据本项目建设进度同步完成施工，投标文件中提供意向协议及承诺书复印件并加盖投标人公章，同时还需提供该固定网通信运营商或有线电视网络运营商资格证明文件复印件并加盖协议双方公章</w:t>
      </w:r>
      <w:r>
        <w:rPr>
          <w:rFonts w:hint="eastAsia" w:ascii="宋体" w:hAnsi="宋体" w:eastAsia="宋体" w:cs="宋体"/>
          <w:color w:val="auto"/>
          <w:sz w:val="24"/>
          <w:szCs w:val="24"/>
          <w:highlight w:val="none"/>
          <w:lang w:eastAsia="zh-CN"/>
        </w:rPr>
        <w:t>。</w:t>
      </w:r>
    </w:p>
    <w:p w14:paraId="264AA841">
      <w:pPr>
        <w:numPr>
          <w:ilvl w:val="0"/>
          <w:numId w:val="7"/>
        </w:numPr>
        <w:spacing w:line="360" w:lineRule="auto"/>
        <w:ind w:left="420" w:firstLine="0" w:firstLineChars="0"/>
        <w:jc w:val="left"/>
        <w:rPr>
          <w:rFonts w:hint="eastAsia" w:ascii="宋体" w:hAnsi="宋体" w:eastAsia="宋体" w:cs="宋体"/>
          <w:b w:val="0"/>
          <w:bCs/>
          <w:color w:val="auto"/>
          <w:sz w:val="24"/>
          <w:highlight w:val="none"/>
          <w:u w:val="single"/>
        </w:rPr>
      </w:pPr>
      <w:r>
        <w:rPr>
          <w:rFonts w:hint="eastAsia" w:ascii="宋体" w:hAnsi="宋体" w:eastAsia="宋体" w:cs="宋体"/>
          <w:b w:val="0"/>
          <w:bCs/>
          <w:color w:val="auto"/>
          <w:sz w:val="24"/>
          <w:highlight w:val="none"/>
          <w:u w:val="single"/>
        </w:rPr>
        <w:br w:type="page"/>
      </w:r>
    </w:p>
    <w:p w14:paraId="4D345C3F">
      <w:pPr>
        <w:pStyle w:val="3"/>
        <w:keepNext/>
        <w:keepLines/>
        <w:pageBreakBefore w:val="0"/>
        <w:widowControl w:val="0"/>
        <w:kinsoku/>
        <w:wordWrap/>
        <w:overflowPunct/>
        <w:topLinePunct w:val="0"/>
        <w:autoSpaceDE/>
        <w:autoSpaceDN/>
        <w:bidi w:val="0"/>
        <w:adjustRightInd/>
        <w:snapToGrid/>
        <w:spacing w:before="120" w:after="120" w:line="360" w:lineRule="auto"/>
        <w:ind w:left="0" w:firstLine="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第四部分   </w:t>
      </w:r>
      <w:bookmarkStart w:id="26" w:name="_Toc184308062"/>
      <w:bookmarkEnd w:id="26"/>
      <w:bookmarkStart w:id="27" w:name="_Toc184314425"/>
      <w:bookmarkEnd w:id="27"/>
      <w:bookmarkStart w:id="28" w:name="_Toc184312125"/>
      <w:bookmarkEnd w:id="28"/>
      <w:bookmarkStart w:id="29" w:name="_Toc184310342"/>
      <w:bookmarkEnd w:id="29"/>
      <w:bookmarkStart w:id="30" w:name="_Toc184312121"/>
      <w:bookmarkEnd w:id="30"/>
      <w:bookmarkStart w:id="31" w:name="_Toc184313277"/>
      <w:bookmarkEnd w:id="31"/>
      <w:bookmarkStart w:id="32" w:name="_Toc184308096"/>
      <w:bookmarkEnd w:id="32"/>
      <w:bookmarkStart w:id="33" w:name="_Toc184313241"/>
      <w:bookmarkEnd w:id="33"/>
      <w:bookmarkStart w:id="34" w:name="_Toc184310319"/>
      <w:bookmarkEnd w:id="34"/>
      <w:bookmarkStart w:id="35" w:name="_Toc184312100"/>
      <w:bookmarkEnd w:id="35"/>
      <w:bookmarkStart w:id="36" w:name="_Toc184313302"/>
      <w:bookmarkEnd w:id="36"/>
      <w:bookmarkStart w:id="37" w:name="_Toc184310281"/>
      <w:bookmarkEnd w:id="37"/>
      <w:bookmarkStart w:id="38" w:name="_Toc184310291"/>
      <w:bookmarkEnd w:id="38"/>
      <w:bookmarkStart w:id="39" w:name="_Toc184312081"/>
      <w:bookmarkEnd w:id="39"/>
      <w:bookmarkStart w:id="40" w:name="_Toc184310301"/>
      <w:bookmarkEnd w:id="40"/>
      <w:bookmarkStart w:id="41" w:name="_Toc184312083"/>
      <w:bookmarkEnd w:id="41"/>
      <w:bookmarkStart w:id="42" w:name="_Toc184312119"/>
      <w:bookmarkEnd w:id="42"/>
      <w:bookmarkStart w:id="43" w:name="_Toc184312133"/>
      <w:bookmarkEnd w:id="43"/>
      <w:bookmarkStart w:id="44" w:name="_Toc184310337"/>
      <w:bookmarkEnd w:id="44"/>
      <w:bookmarkStart w:id="45" w:name="_Toc184312096"/>
      <w:bookmarkEnd w:id="45"/>
      <w:bookmarkStart w:id="46" w:name="_Toc184310330"/>
      <w:bookmarkEnd w:id="46"/>
      <w:bookmarkStart w:id="47" w:name="_Toc184312082"/>
      <w:bookmarkEnd w:id="47"/>
      <w:bookmarkStart w:id="48" w:name="_Toc184308097"/>
      <w:bookmarkEnd w:id="48"/>
      <w:bookmarkStart w:id="49" w:name="_Toc184310294"/>
      <w:bookmarkEnd w:id="49"/>
      <w:bookmarkStart w:id="50" w:name="_Toc184312128"/>
      <w:bookmarkEnd w:id="50"/>
      <w:bookmarkStart w:id="51" w:name="_Toc184314440"/>
      <w:bookmarkEnd w:id="51"/>
      <w:bookmarkStart w:id="52" w:name="_Toc184310300"/>
      <w:bookmarkEnd w:id="52"/>
      <w:bookmarkStart w:id="53" w:name="_Toc184313300"/>
      <w:bookmarkEnd w:id="53"/>
      <w:bookmarkStart w:id="54" w:name="_Toc184312079"/>
      <w:bookmarkEnd w:id="54"/>
      <w:bookmarkStart w:id="55" w:name="_Toc184308064"/>
      <w:bookmarkEnd w:id="55"/>
      <w:bookmarkStart w:id="56" w:name="_Toc184313309"/>
      <w:bookmarkEnd w:id="56"/>
      <w:bookmarkStart w:id="57" w:name="_Toc184314476"/>
      <w:bookmarkEnd w:id="57"/>
      <w:bookmarkStart w:id="58" w:name="_Toc184313283"/>
      <w:bookmarkEnd w:id="58"/>
      <w:bookmarkStart w:id="59" w:name="_Toc184314481"/>
      <w:bookmarkEnd w:id="59"/>
      <w:bookmarkStart w:id="60" w:name="_Toc184310320"/>
      <w:bookmarkEnd w:id="60"/>
      <w:bookmarkStart w:id="61" w:name="_Toc184310340"/>
      <w:bookmarkEnd w:id="61"/>
      <w:bookmarkStart w:id="62" w:name="_Toc184308053"/>
      <w:bookmarkEnd w:id="62"/>
      <w:bookmarkStart w:id="63" w:name="_Toc184313240"/>
      <w:bookmarkEnd w:id="63"/>
      <w:bookmarkStart w:id="64" w:name="_Toc184310286"/>
      <w:bookmarkEnd w:id="64"/>
      <w:bookmarkStart w:id="65" w:name="_Toc184310318"/>
      <w:bookmarkEnd w:id="65"/>
      <w:bookmarkStart w:id="66" w:name="_Toc184308071"/>
      <w:bookmarkEnd w:id="66"/>
      <w:bookmarkStart w:id="67" w:name="_Toc184313310"/>
      <w:bookmarkEnd w:id="67"/>
      <w:bookmarkStart w:id="68" w:name="_Toc184312089"/>
      <w:bookmarkEnd w:id="68"/>
      <w:bookmarkStart w:id="69" w:name="_Toc184308063"/>
      <w:bookmarkEnd w:id="69"/>
      <w:bookmarkStart w:id="70" w:name="_Toc184308101"/>
      <w:bookmarkEnd w:id="70"/>
      <w:bookmarkStart w:id="71" w:name="_Toc184314414"/>
      <w:bookmarkEnd w:id="71"/>
      <w:bookmarkStart w:id="72" w:name="_Toc184310280"/>
      <w:bookmarkEnd w:id="72"/>
      <w:bookmarkStart w:id="73" w:name="_Toc184314441"/>
      <w:bookmarkEnd w:id="73"/>
      <w:bookmarkStart w:id="74" w:name="_Toc184313297"/>
      <w:bookmarkEnd w:id="74"/>
      <w:bookmarkStart w:id="75" w:name="_Toc184310328"/>
      <w:bookmarkEnd w:id="75"/>
      <w:bookmarkStart w:id="76" w:name="_Toc184310324"/>
      <w:bookmarkEnd w:id="76"/>
      <w:bookmarkStart w:id="77" w:name="_Toc184310283"/>
      <w:bookmarkEnd w:id="77"/>
      <w:bookmarkStart w:id="78" w:name="_Toc184314457"/>
      <w:bookmarkEnd w:id="78"/>
      <w:bookmarkStart w:id="79" w:name="_Toc184314471"/>
      <w:bookmarkEnd w:id="79"/>
      <w:bookmarkStart w:id="80" w:name="_Toc184308089"/>
      <w:bookmarkEnd w:id="80"/>
      <w:bookmarkStart w:id="81" w:name="_Toc184310311"/>
      <w:bookmarkEnd w:id="81"/>
      <w:bookmarkStart w:id="82" w:name="_Toc184313305"/>
      <w:bookmarkEnd w:id="82"/>
      <w:bookmarkStart w:id="83" w:name="_Toc184310277"/>
      <w:bookmarkEnd w:id="83"/>
      <w:bookmarkStart w:id="84" w:name="_Toc184310341"/>
      <w:bookmarkEnd w:id="84"/>
      <w:bookmarkStart w:id="85" w:name="_Toc184313275"/>
      <w:bookmarkEnd w:id="85"/>
      <w:bookmarkStart w:id="86" w:name="_Toc184308104"/>
      <w:bookmarkEnd w:id="86"/>
      <w:bookmarkStart w:id="87" w:name="_Toc184314431"/>
      <w:bookmarkEnd w:id="87"/>
      <w:bookmarkStart w:id="88" w:name="_Toc184308060"/>
      <w:bookmarkEnd w:id="88"/>
      <w:bookmarkStart w:id="89" w:name="_Toc184312105"/>
      <w:bookmarkEnd w:id="89"/>
      <w:bookmarkStart w:id="90" w:name="_Toc184313273"/>
      <w:bookmarkEnd w:id="90"/>
      <w:bookmarkStart w:id="91" w:name="_Toc184310308"/>
      <w:bookmarkEnd w:id="91"/>
      <w:bookmarkStart w:id="92" w:name="_Toc184313288"/>
      <w:bookmarkEnd w:id="92"/>
      <w:bookmarkStart w:id="93" w:name="_Toc184314472"/>
      <w:bookmarkEnd w:id="93"/>
      <w:bookmarkStart w:id="94" w:name="_Toc184314437"/>
      <w:bookmarkEnd w:id="94"/>
      <w:bookmarkStart w:id="95" w:name="_Toc184312137"/>
      <w:bookmarkEnd w:id="95"/>
      <w:bookmarkStart w:id="96" w:name="_Toc184314433"/>
      <w:bookmarkEnd w:id="96"/>
      <w:bookmarkStart w:id="97" w:name="_Toc184308041"/>
      <w:bookmarkEnd w:id="97"/>
      <w:bookmarkStart w:id="98" w:name="_Toc184314411"/>
      <w:bookmarkEnd w:id="98"/>
      <w:bookmarkStart w:id="99" w:name="_Toc184313295"/>
      <w:bookmarkEnd w:id="99"/>
      <w:bookmarkStart w:id="100" w:name="_Toc184312134"/>
      <w:bookmarkEnd w:id="100"/>
      <w:bookmarkStart w:id="101" w:name="_Toc184312114"/>
      <w:bookmarkEnd w:id="101"/>
      <w:bookmarkStart w:id="102" w:name="_Toc184312077"/>
      <w:bookmarkEnd w:id="102"/>
      <w:bookmarkStart w:id="103" w:name="_Toc184314474"/>
      <w:bookmarkEnd w:id="103"/>
      <w:bookmarkStart w:id="104" w:name="_Toc184313253"/>
      <w:bookmarkEnd w:id="104"/>
      <w:bookmarkStart w:id="105" w:name="_Toc184312126"/>
      <w:bookmarkEnd w:id="105"/>
      <w:bookmarkStart w:id="106" w:name="_Toc184308086"/>
      <w:bookmarkEnd w:id="106"/>
      <w:bookmarkStart w:id="107" w:name="_Toc184310332"/>
      <w:bookmarkEnd w:id="107"/>
      <w:bookmarkStart w:id="108" w:name="_Toc184308074"/>
      <w:bookmarkEnd w:id="108"/>
      <w:bookmarkStart w:id="109" w:name="_Toc184308106"/>
      <w:bookmarkEnd w:id="109"/>
      <w:bookmarkStart w:id="110" w:name="_Toc184313248"/>
      <w:bookmarkEnd w:id="110"/>
      <w:bookmarkStart w:id="111" w:name="_Toc184314468"/>
      <w:bookmarkEnd w:id="111"/>
      <w:bookmarkStart w:id="112" w:name="_Toc184313271"/>
      <w:bookmarkEnd w:id="112"/>
      <w:bookmarkStart w:id="113" w:name="_Toc184308066"/>
      <w:bookmarkEnd w:id="113"/>
      <w:bookmarkStart w:id="114" w:name="_Toc184308099"/>
      <w:bookmarkEnd w:id="114"/>
      <w:bookmarkStart w:id="115" w:name="_Toc184313255"/>
      <w:bookmarkEnd w:id="115"/>
      <w:bookmarkStart w:id="116" w:name="_Toc184313270"/>
      <w:bookmarkEnd w:id="116"/>
      <w:bookmarkStart w:id="117" w:name="_Toc184314427"/>
      <w:bookmarkEnd w:id="117"/>
      <w:bookmarkStart w:id="118" w:name="_Toc184312130"/>
      <w:bookmarkEnd w:id="118"/>
      <w:bookmarkStart w:id="119" w:name="_Toc184310304"/>
      <w:bookmarkEnd w:id="119"/>
      <w:bookmarkStart w:id="120" w:name="_Toc184310313"/>
      <w:bookmarkEnd w:id="120"/>
      <w:bookmarkStart w:id="121" w:name="_Toc184314432"/>
      <w:bookmarkEnd w:id="121"/>
      <w:bookmarkStart w:id="122" w:name="_Toc184312073"/>
      <w:bookmarkEnd w:id="122"/>
      <w:bookmarkStart w:id="123" w:name="_Toc184313242"/>
      <w:bookmarkEnd w:id="123"/>
      <w:bookmarkStart w:id="124" w:name="_Toc184312118"/>
      <w:bookmarkEnd w:id="124"/>
      <w:bookmarkStart w:id="125" w:name="_Toc184310334"/>
      <w:bookmarkEnd w:id="125"/>
      <w:bookmarkStart w:id="126" w:name="_Toc184312115"/>
      <w:bookmarkEnd w:id="126"/>
      <w:bookmarkStart w:id="127" w:name="_Toc184314436"/>
      <w:bookmarkEnd w:id="127"/>
      <w:bookmarkStart w:id="128" w:name="_Toc184312088"/>
      <w:bookmarkEnd w:id="128"/>
      <w:bookmarkStart w:id="129" w:name="_Toc184308095"/>
      <w:bookmarkEnd w:id="129"/>
      <w:bookmarkStart w:id="130" w:name="_Toc184308105"/>
      <w:bookmarkEnd w:id="130"/>
      <w:bookmarkStart w:id="131" w:name="_Toc184314415"/>
      <w:bookmarkEnd w:id="131"/>
      <w:bookmarkStart w:id="132" w:name="_Toc184310316"/>
      <w:bookmarkEnd w:id="132"/>
      <w:bookmarkStart w:id="133" w:name="_Toc184314470"/>
      <w:bookmarkEnd w:id="133"/>
      <w:bookmarkStart w:id="134" w:name="_Toc184314445"/>
      <w:bookmarkEnd w:id="134"/>
      <w:bookmarkStart w:id="135" w:name="_Toc184310293"/>
      <w:bookmarkEnd w:id="135"/>
      <w:bookmarkStart w:id="136" w:name="_Toc184310292"/>
      <w:bookmarkEnd w:id="136"/>
      <w:bookmarkStart w:id="137" w:name="_Toc184313243"/>
      <w:bookmarkEnd w:id="137"/>
      <w:bookmarkStart w:id="138" w:name="_Toc184308093"/>
      <w:bookmarkEnd w:id="138"/>
      <w:bookmarkStart w:id="139" w:name="_Toc184313256"/>
      <w:bookmarkEnd w:id="139"/>
      <w:bookmarkStart w:id="140" w:name="_Toc184308098"/>
      <w:bookmarkEnd w:id="140"/>
      <w:bookmarkStart w:id="141" w:name="_Toc184313282"/>
      <w:bookmarkEnd w:id="141"/>
      <w:bookmarkStart w:id="142" w:name="_Toc184308077"/>
      <w:bookmarkEnd w:id="142"/>
      <w:bookmarkStart w:id="143" w:name="_Toc184310290"/>
      <w:bookmarkEnd w:id="143"/>
      <w:bookmarkStart w:id="144" w:name="_Toc184308088"/>
      <w:bookmarkEnd w:id="144"/>
      <w:bookmarkStart w:id="145" w:name="_Toc184313272"/>
      <w:bookmarkEnd w:id="145"/>
      <w:bookmarkStart w:id="146" w:name="_Toc184312129"/>
      <w:bookmarkEnd w:id="146"/>
      <w:bookmarkStart w:id="147" w:name="_Toc184314473"/>
      <w:bookmarkEnd w:id="147"/>
      <w:bookmarkStart w:id="148" w:name="_Toc184308081"/>
      <w:bookmarkEnd w:id="148"/>
      <w:bookmarkStart w:id="149" w:name="_Toc184312071"/>
      <w:bookmarkEnd w:id="149"/>
      <w:bookmarkStart w:id="150" w:name="_Toc184313296"/>
      <w:bookmarkEnd w:id="150"/>
      <w:bookmarkStart w:id="151" w:name="_Toc184314413"/>
      <w:bookmarkEnd w:id="151"/>
      <w:bookmarkStart w:id="152" w:name="_Toc184314464"/>
      <w:bookmarkEnd w:id="152"/>
      <w:bookmarkStart w:id="153" w:name="_Toc184312110"/>
      <w:bookmarkEnd w:id="153"/>
      <w:bookmarkStart w:id="154" w:name="_Toc184308107"/>
      <w:bookmarkEnd w:id="154"/>
      <w:bookmarkStart w:id="155" w:name="_Toc184313308"/>
      <w:bookmarkEnd w:id="155"/>
      <w:bookmarkStart w:id="156" w:name="_Toc184313247"/>
      <w:bookmarkEnd w:id="156"/>
      <w:bookmarkStart w:id="157" w:name="_Toc184312132"/>
      <w:bookmarkEnd w:id="157"/>
      <w:bookmarkStart w:id="158" w:name="_Toc184310299"/>
      <w:bookmarkEnd w:id="158"/>
      <w:bookmarkStart w:id="159" w:name="_Toc184313239"/>
      <w:bookmarkEnd w:id="159"/>
      <w:bookmarkStart w:id="160" w:name="_Toc184314465"/>
      <w:bookmarkEnd w:id="160"/>
      <w:bookmarkStart w:id="161" w:name="_Toc184314475"/>
      <w:bookmarkEnd w:id="161"/>
      <w:bookmarkStart w:id="162" w:name="_Toc184310296"/>
      <w:bookmarkEnd w:id="162"/>
      <w:bookmarkStart w:id="163" w:name="_Toc184310276"/>
      <w:bookmarkEnd w:id="163"/>
      <w:bookmarkStart w:id="164" w:name="_Toc184310295"/>
      <w:bookmarkEnd w:id="164"/>
      <w:bookmarkStart w:id="165" w:name="_Toc184314412"/>
      <w:bookmarkEnd w:id="165"/>
      <w:bookmarkStart w:id="166" w:name="_Toc184313299"/>
      <w:bookmarkEnd w:id="166"/>
      <w:bookmarkStart w:id="167" w:name="_Toc184308100"/>
      <w:bookmarkEnd w:id="167"/>
      <w:bookmarkStart w:id="168" w:name="_Toc184308065"/>
      <w:bookmarkEnd w:id="168"/>
      <w:bookmarkStart w:id="169" w:name="_Toc184312099"/>
      <w:bookmarkEnd w:id="169"/>
      <w:bookmarkStart w:id="170" w:name="_Toc184313252"/>
      <w:bookmarkEnd w:id="170"/>
      <w:bookmarkStart w:id="171" w:name="_Toc184312098"/>
      <w:bookmarkEnd w:id="171"/>
      <w:bookmarkStart w:id="172" w:name="_Toc184313289"/>
      <w:bookmarkEnd w:id="172"/>
      <w:bookmarkStart w:id="173" w:name="_Toc184313254"/>
      <w:bookmarkEnd w:id="173"/>
      <w:bookmarkStart w:id="174" w:name="_Toc184313307"/>
      <w:bookmarkEnd w:id="174"/>
      <w:bookmarkStart w:id="175" w:name="_Toc184310317"/>
      <w:bookmarkEnd w:id="175"/>
      <w:bookmarkStart w:id="176" w:name="_Toc184314456"/>
      <w:bookmarkEnd w:id="176"/>
      <w:bookmarkStart w:id="177" w:name="_Toc184314428"/>
      <w:bookmarkEnd w:id="177"/>
      <w:bookmarkStart w:id="178" w:name="_Toc184313303"/>
      <w:bookmarkEnd w:id="178"/>
      <w:bookmarkStart w:id="179" w:name="_Toc184312104"/>
      <w:bookmarkEnd w:id="179"/>
      <w:bookmarkStart w:id="180" w:name="_Toc184308090"/>
      <w:bookmarkEnd w:id="180"/>
      <w:bookmarkStart w:id="181" w:name="_Toc184312084"/>
      <w:bookmarkEnd w:id="181"/>
      <w:bookmarkStart w:id="182" w:name="_Toc184310297"/>
      <w:bookmarkEnd w:id="182"/>
      <w:bookmarkStart w:id="183" w:name="_Toc184312094"/>
      <w:bookmarkEnd w:id="183"/>
      <w:bookmarkStart w:id="184" w:name="_Toc184313260"/>
      <w:bookmarkEnd w:id="184"/>
      <w:bookmarkStart w:id="185" w:name="_Toc184308083"/>
      <w:bookmarkEnd w:id="185"/>
      <w:bookmarkStart w:id="186" w:name="_Toc184308037"/>
      <w:bookmarkEnd w:id="186"/>
      <w:bookmarkStart w:id="187" w:name="_Toc184314416"/>
      <w:bookmarkEnd w:id="187"/>
      <w:bookmarkStart w:id="188" w:name="_Toc184314477"/>
      <w:bookmarkEnd w:id="188"/>
      <w:bookmarkStart w:id="189" w:name="_Toc184310336"/>
      <w:bookmarkEnd w:id="189"/>
      <w:bookmarkStart w:id="190" w:name="_Toc184312113"/>
      <w:bookmarkEnd w:id="190"/>
      <w:bookmarkStart w:id="191" w:name="_Toc184308050"/>
      <w:bookmarkEnd w:id="191"/>
      <w:bookmarkStart w:id="192" w:name="_Toc184312122"/>
      <w:bookmarkEnd w:id="192"/>
      <w:bookmarkStart w:id="193" w:name="_Toc184308058"/>
      <w:bookmarkEnd w:id="193"/>
      <w:bookmarkStart w:id="194" w:name="_Toc184310272"/>
      <w:bookmarkEnd w:id="194"/>
      <w:bookmarkStart w:id="195" w:name="_Toc184308048"/>
      <w:bookmarkEnd w:id="195"/>
      <w:bookmarkStart w:id="196" w:name="_Toc184313280"/>
      <w:bookmarkEnd w:id="196"/>
      <w:bookmarkStart w:id="197" w:name="_Toc184313249"/>
      <w:bookmarkEnd w:id="197"/>
      <w:bookmarkStart w:id="198" w:name="_Toc184310309"/>
      <w:bookmarkEnd w:id="198"/>
      <w:bookmarkStart w:id="199" w:name="_Toc184313291"/>
      <w:bookmarkEnd w:id="199"/>
      <w:bookmarkStart w:id="200" w:name="_Toc184310279"/>
      <w:bookmarkEnd w:id="200"/>
      <w:bookmarkStart w:id="201" w:name="_Toc184314466"/>
      <w:bookmarkEnd w:id="201"/>
      <w:bookmarkStart w:id="202" w:name="_Toc184313257"/>
      <w:bookmarkEnd w:id="202"/>
      <w:bookmarkStart w:id="203" w:name="_Toc184308068"/>
      <w:bookmarkEnd w:id="203"/>
      <w:bookmarkStart w:id="204" w:name="_Toc184312101"/>
      <w:bookmarkEnd w:id="204"/>
      <w:bookmarkStart w:id="205" w:name="_Toc184310327"/>
      <w:bookmarkEnd w:id="205"/>
      <w:bookmarkStart w:id="206" w:name="_Toc184313258"/>
      <w:bookmarkEnd w:id="206"/>
      <w:bookmarkStart w:id="207" w:name="_Toc184308052"/>
      <w:bookmarkEnd w:id="207"/>
      <w:bookmarkStart w:id="208" w:name="_Toc184312093"/>
      <w:bookmarkEnd w:id="208"/>
      <w:bookmarkStart w:id="209" w:name="_Toc184310322"/>
      <w:bookmarkEnd w:id="209"/>
      <w:bookmarkStart w:id="210" w:name="_Toc184313276"/>
      <w:bookmarkEnd w:id="210"/>
      <w:bookmarkStart w:id="211" w:name="_Toc184314478"/>
      <w:bookmarkEnd w:id="211"/>
      <w:bookmarkStart w:id="212" w:name="_Toc184312090"/>
      <w:bookmarkEnd w:id="212"/>
      <w:bookmarkStart w:id="213" w:name="_Toc184308047"/>
      <w:bookmarkEnd w:id="213"/>
      <w:bookmarkStart w:id="214" w:name="_Toc184313264"/>
      <w:bookmarkEnd w:id="214"/>
      <w:bookmarkStart w:id="215" w:name="_Toc184314438"/>
      <w:bookmarkEnd w:id="215"/>
      <w:bookmarkStart w:id="216" w:name="_Toc184308108"/>
      <w:bookmarkEnd w:id="216"/>
      <w:bookmarkStart w:id="217" w:name="_Toc184314423"/>
      <w:bookmarkEnd w:id="217"/>
      <w:bookmarkStart w:id="218" w:name="_Toc184308046"/>
      <w:bookmarkEnd w:id="218"/>
      <w:bookmarkStart w:id="219" w:name="_Toc184314419"/>
      <w:bookmarkEnd w:id="219"/>
      <w:bookmarkStart w:id="220" w:name="_Toc184313287"/>
      <w:bookmarkEnd w:id="220"/>
      <w:bookmarkStart w:id="221" w:name="_Toc184313244"/>
      <w:bookmarkEnd w:id="221"/>
      <w:bookmarkStart w:id="222" w:name="_Toc184314458"/>
      <w:bookmarkEnd w:id="222"/>
      <w:bookmarkStart w:id="223" w:name="_Toc184310338"/>
      <w:bookmarkEnd w:id="223"/>
      <w:bookmarkStart w:id="224" w:name="_Toc184313267"/>
      <w:bookmarkEnd w:id="224"/>
      <w:bookmarkStart w:id="225" w:name="_Toc184310343"/>
      <w:bookmarkEnd w:id="225"/>
      <w:bookmarkStart w:id="226" w:name="_Toc184313261"/>
      <w:bookmarkEnd w:id="226"/>
      <w:bookmarkStart w:id="227" w:name="_Toc184312078"/>
      <w:bookmarkEnd w:id="227"/>
      <w:bookmarkStart w:id="228" w:name="_Toc184310329"/>
      <w:bookmarkEnd w:id="228"/>
      <w:bookmarkStart w:id="229" w:name="_Toc184314443"/>
      <w:bookmarkEnd w:id="229"/>
      <w:bookmarkStart w:id="230" w:name="_Toc184314430"/>
      <w:bookmarkEnd w:id="230"/>
      <w:bookmarkStart w:id="231" w:name="_Toc184312072"/>
      <w:bookmarkEnd w:id="231"/>
      <w:bookmarkStart w:id="232" w:name="_Toc184308087"/>
      <w:bookmarkEnd w:id="232"/>
      <w:bookmarkStart w:id="233" w:name="_Toc184310287"/>
      <w:bookmarkEnd w:id="233"/>
      <w:bookmarkStart w:id="234" w:name="_Toc184314429"/>
      <w:bookmarkEnd w:id="234"/>
      <w:bookmarkStart w:id="235" w:name="_Toc184312111"/>
      <w:bookmarkEnd w:id="235"/>
      <w:bookmarkStart w:id="236" w:name="_Toc184308039"/>
      <w:bookmarkEnd w:id="236"/>
      <w:bookmarkStart w:id="237" w:name="_Toc184314455"/>
      <w:bookmarkEnd w:id="237"/>
      <w:bookmarkStart w:id="238" w:name="_Toc184308057"/>
      <w:bookmarkEnd w:id="238"/>
      <w:bookmarkStart w:id="239" w:name="_Toc184310339"/>
      <w:bookmarkEnd w:id="239"/>
      <w:bookmarkStart w:id="240" w:name="_Toc184313294"/>
      <w:bookmarkEnd w:id="240"/>
      <w:bookmarkStart w:id="241" w:name="_Toc184308042"/>
      <w:bookmarkEnd w:id="241"/>
      <w:bookmarkStart w:id="242" w:name="_Toc184310298"/>
      <w:bookmarkEnd w:id="242"/>
      <w:bookmarkStart w:id="243" w:name="_Toc184313269"/>
      <w:bookmarkEnd w:id="243"/>
      <w:bookmarkStart w:id="244" w:name="_Toc184313251"/>
      <w:bookmarkEnd w:id="244"/>
      <w:bookmarkStart w:id="245" w:name="_Toc184313290"/>
      <w:bookmarkEnd w:id="245"/>
      <w:bookmarkStart w:id="246" w:name="_Toc184313298"/>
      <w:bookmarkEnd w:id="246"/>
      <w:bookmarkStart w:id="247" w:name="_Toc184314421"/>
      <w:bookmarkEnd w:id="247"/>
      <w:bookmarkStart w:id="248" w:name="_Toc184310331"/>
      <w:bookmarkEnd w:id="248"/>
      <w:bookmarkStart w:id="249" w:name="_Toc184310326"/>
      <w:bookmarkEnd w:id="249"/>
      <w:bookmarkStart w:id="250" w:name="_Toc184308078"/>
      <w:bookmarkEnd w:id="250"/>
      <w:bookmarkStart w:id="251" w:name="_Toc184313285"/>
      <w:bookmarkEnd w:id="251"/>
      <w:bookmarkStart w:id="252" w:name="_Toc184314463"/>
      <w:bookmarkEnd w:id="252"/>
      <w:bookmarkStart w:id="253" w:name="_Toc184312103"/>
      <w:bookmarkEnd w:id="253"/>
      <w:bookmarkStart w:id="254" w:name="_Toc184312127"/>
      <w:bookmarkEnd w:id="254"/>
      <w:bookmarkStart w:id="255" w:name="_Toc184312091"/>
      <w:bookmarkEnd w:id="255"/>
      <w:bookmarkStart w:id="256" w:name="_Toc184313293"/>
      <w:bookmarkEnd w:id="256"/>
      <w:bookmarkStart w:id="257" w:name="_Toc184313284"/>
      <w:bookmarkEnd w:id="257"/>
      <w:bookmarkStart w:id="258" w:name="_Toc184308045"/>
      <w:bookmarkEnd w:id="258"/>
      <w:bookmarkStart w:id="259" w:name="_Toc184313268"/>
      <w:bookmarkEnd w:id="259"/>
      <w:bookmarkStart w:id="260" w:name="_Toc184308056"/>
      <w:bookmarkEnd w:id="260"/>
      <w:bookmarkStart w:id="261" w:name="_Toc184313279"/>
      <w:bookmarkEnd w:id="261"/>
      <w:bookmarkStart w:id="262" w:name="_Toc184308059"/>
      <w:bookmarkEnd w:id="262"/>
      <w:bookmarkStart w:id="263" w:name="_Toc184308092"/>
      <w:bookmarkEnd w:id="263"/>
      <w:bookmarkStart w:id="264" w:name="_Toc184310288"/>
      <w:bookmarkEnd w:id="264"/>
      <w:bookmarkStart w:id="265" w:name="_Toc184312117"/>
      <w:bookmarkEnd w:id="265"/>
      <w:bookmarkStart w:id="266" w:name="_Toc184314442"/>
      <w:bookmarkEnd w:id="266"/>
      <w:bookmarkStart w:id="267" w:name="_Toc184313278"/>
      <w:bookmarkEnd w:id="267"/>
      <w:bookmarkStart w:id="268" w:name="_Toc184312135"/>
      <w:bookmarkEnd w:id="268"/>
      <w:bookmarkStart w:id="269" w:name="_Toc184312138"/>
      <w:bookmarkEnd w:id="269"/>
      <w:bookmarkStart w:id="270" w:name="_Toc184314480"/>
      <w:bookmarkEnd w:id="270"/>
      <w:bookmarkStart w:id="271" w:name="_Toc184312067"/>
      <w:bookmarkEnd w:id="271"/>
      <w:bookmarkStart w:id="272" w:name="_Toc184314446"/>
      <w:bookmarkEnd w:id="272"/>
      <w:bookmarkStart w:id="273" w:name="_Toc184308072"/>
      <w:bookmarkEnd w:id="273"/>
      <w:bookmarkStart w:id="274" w:name="_Toc184314469"/>
      <w:bookmarkEnd w:id="274"/>
      <w:bookmarkStart w:id="275" w:name="_Toc184314467"/>
      <w:bookmarkEnd w:id="275"/>
      <w:bookmarkStart w:id="276" w:name="_Toc184312075"/>
      <w:bookmarkEnd w:id="276"/>
      <w:bookmarkStart w:id="277" w:name="_Toc184308103"/>
      <w:bookmarkEnd w:id="277"/>
      <w:bookmarkStart w:id="278" w:name="_Toc184312097"/>
      <w:bookmarkEnd w:id="278"/>
      <w:bookmarkStart w:id="279" w:name="_Toc184314424"/>
      <w:bookmarkEnd w:id="279"/>
      <w:bookmarkStart w:id="280" w:name="_Toc184310282"/>
      <w:bookmarkEnd w:id="280"/>
      <w:bookmarkStart w:id="281" w:name="_Toc184310273"/>
      <w:bookmarkEnd w:id="281"/>
      <w:bookmarkStart w:id="282" w:name="_Toc184313274"/>
      <w:bookmarkEnd w:id="282"/>
      <w:bookmarkStart w:id="283" w:name="_Toc184308091"/>
      <w:bookmarkEnd w:id="283"/>
      <w:bookmarkStart w:id="284" w:name="_Toc184312120"/>
      <w:bookmarkEnd w:id="284"/>
      <w:bookmarkStart w:id="285" w:name="_Toc184312074"/>
      <w:bookmarkEnd w:id="285"/>
      <w:bookmarkStart w:id="286" w:name="_Toc184313250"/>
      <w:bookmarkEnd w:id="286"/>
      <w:bookmarkStart w:id="287" w:name="_Toc184312124"/>
      <w:bookmarkEnd w:id="287"/>
      <w:bookmarkStart w:id="288" w:name="_Toc184312070"/>
      <w:bookmarkEnd w:id="288"/>
      <w:bookmarkStart w:id="289" w:name="_Toc184312106"/>
      <w:bookmarkEnd w:id="289"/>
      <w:bookmarkStart w:id="290" w:name="_Toc184314426"/>
      <w:bookmarkEnd w:id="290"/>
      <w:bookmarkStart w:id="291" w:name="_Toc184314422"/>
      <w:bookmarkEnd w:id="291"/>
      <w:bookmarkStart w:id="292" w:name="_Toc184314453"/>
      <w:bookmarkEnd w:id="292"/>
      <w:bookmarkStart w:id="293" w:name="_Toc184310335"/>
      <w:bookmarkEnd w:id="293"/>
      <w:bookmarkStart w:id="294" w:name="_Toc184308049"/>
      <w:bookmarkEnd w:id="294"/>
      <w:bookmarkStart w:id="295" w:name="_Toc184313259"/>
      <w:bookmarkEnd w:id="295"/>
      <w:bookmarkStart w:id="296" w:name="_Toc184313304"/>
      <w:bookmarkEnd w:id="296"/>
      <w:bookmarkStart w:id="297" w:name="_Toc184313301"/>
      <w:bookmarkEnd w:id="297"/>
      <w:bookmarkStart w:id="298" w:name="_Toc184314482"/>
      <w:bookmarkEnd w:id="298"/>
      <w:bookmarkStart w:id="299" w:name="_Toc184308069"/>
      <w:bookmarkEnd w:id="299"/>
      <w:bookmarkStart w:id="300" w:name="_Toc184313292"/>
      <w:bookmarkEnd w:id="300"/>
      <w:bookmarkStart w:id="301" w:name="_Toc184310285"/>
      <w:bookmarkEnd w:id="301"/>
      <w:bookmarkStart w:id="302" w:name="_Toc184310314"/>
      <w:bookmarkEnd w:id="302"/>
      <w:bookmarkStart w:id="303" w:name="_Toc184310303"/>
      <w:bookmarkEnd w:id="303"/>
      <w:bookmarkStart w:id="304" w:name="_Toc184312139"/>
      <w:bookmarkEnd w:id="304"/>
      <w:bookmarkStart w:id="305" w:name="_Toc184313286"/>
      <w:bookmarkEnd w:id="305"/>
      <w:bookmarkStart w:id="306" w:name="_Toc184314418"/>
      <w:bookmarkEnd w:id="306"/>
      <w:bookmarkStart w:id="307" w:name="_Toc184313266"/>
      <w:bookmarkEnd w:id="307"/>
      <w:bookmarkStart w:id="308" w:name="_Toc184312116"/>
      <w:bookmarkEnd w:id="308"/>
      <w:bookmarkStart w:id="309" w:name="_Toc184310289"/>
      <w:bookmarkEnd w:id="309"/>
      <w:bookmarkStart w:id="310" w:name="_Toc184310306"/>
      <w:bookmarkEnd w:id="310"/>
      <w:bookmarkStart w:id="311" w:name="_Toc184310284"/>
      <w:bookmarkEnd w:id="311"/>
      <w:bookmarkStart w:id="312" w:name="_Toc184310275"/>
      <w:bookmarkEnd w:id="312"/>
      <w:bookmarkStart w:id="313" w:name="_Toc184310315"/>
      <w:bookmarkEnd w:id="313"/>
      <w:bookmarkStart w:id="314" w:name="_Toc184313263"/>
      <w:bookmarkEnd w:id="314"/>
      <w:bookmarkStart w:id="315" w:name="_Toc184308080"/>
      <w:bookmarkEnd w:id="315"/>
      <w:bookmarkStart w:id="316" w:name="_Toc184308085"/>
      <w:bookmarkEnd w:id="316"/>
      <w:bookmarkStart w:id="317" w:name="_Toc184314479"/>
      <w:bookmarkEnd w:id="317"/>
      <w:bookmarkStart w:id="318" w:name="_Toc184308061"/>
      <w:bookmarkEnd w:id="318"/>
      <w:bookmarkStart w:id="319" w:name="_Toc184314447"/>
      <w:bookmarkEnd w:id="319"/>
      <w:bookmarkStart w:id="320" w:name="_Toc184312085"/>
      <w:bookmarkEnd w:id="320"/>
      <w:bookmarkStart w:id="321" w:name="_Toc184308044"/>
      <w:bookmarkEnd w:id="321"/>
      <w:bookmarkStart w:id="322" w:name="_Toc184308073"/>
      <w:bookmarkEnd w:id="322"/>
      <w:bookmarkStart w:id="323" w:name="_Toc184308038"/>
      <w:bookmarkEnd w:id="323"/>
      <w:bookmarkStart w:id="324" w:name="_Toc184308075"/>
      <w:bookmarkEnd w:id="324"/>
      <w:bookmarkStart w:id="325" w:name="_Toc184312069"/>
      <w:bookmarkEnd w:id="325"/>
      <w:bookmarkStart w:id="326" w:name="_Toc184310325"/>
      <w:bookmarkEnd w:id="326"/>
      <w:bookmarkStart w:id="327" w:name="_Toc184312092"/>
      <w:bookmarkEnd w:id="327"/>
      <w:bookmarkStart w:id="328" w:name="_Toc184314452"/>
      <w:bookmarkEnd w:id="328"/>
      <w:bookmarkStart w:id="329" w:name="_Toc184314449"/>
      <w:bookmarkEnd w:id="329"/>
      <w:bookmarkStart w:id="330" w:name="_Toc184308054"/>
      <w:bookmarkEnd w:id="330"/>
      <w:bookmarkStart w:id="331" w:name="_Toc184314454"/>
      <w:bookmarkEnd w:id="331"/>
      <w:bookmarkStart w:id="332" w:name="_Toc184314460"/>
      <w:bookmarkEnd w:id="332"/>
      <w:bookmarkStart w:id="333" w:name="_Toc184308082"/>
      <w:bookmarkEnd w:id="333"/>
      <w:bookmarkStart w:id="334" w:name="_Toc184310278"/>
      <w:bookmarkEnd w:id="334"/>
      <w:bookmarkStart w:id="335" w:name="_Toc184308079"/>
      <w:bookmarkEnd w:id="335"/>
      <w:bookmarkStart w:id="336" w:name="_Toc184310307"/>
      <w:bookmarkEnd w:id="336"/>
      <w:bookmarkStart w:id="337" w:name="_Toc184310321"/>
      <w:bookmarkEnd w:id="337"/>
      <w:bookmarkStart w:id="338" w:name="_Toc184312068"/>
      <w:bookmarkEnd w:id="338"/>
      <w:bookmarkStart w:id="339" w:name="_Toc184314410"/>
      <w:bookmarkEnd w:id="339"/>
      <w:bookmarkStart w:id="340" w:name="_Toc184314420"/>
      <w:bookmarkEnd w:id="340"/>
      <w:bookmarkStart w:id="341" w:name="_Toc184310310"/>
      <w:bookmarkEnd w:id="341"/>
      <w:bookmarkStart w:id="342" w:name="_Toc184308094"/>
      <w:bookmarkEnd w:id="342"/>
      <w:bookmarkStart w:id="343" w:name="_Toc184313265"/>
      <w:bookmarkEnd w:id="343"/>
      <w:bookmarkStart w:id="344" w:name="_Toc184308084"/>
      <w:bookmarkEnd w:id="344"/>
      <w:bookmarkStart w:id="345" w:name="_Toc184308051"/>
      <w:bookmarkEnd w:id="345"/>
      <w:bookmarkStart w:id="346" w:name="_Toc184314461"/>
      <w:bookmarkEnd w:id="346"/>
      <w:bookmarkStart w:id="347" w:name="_Toc184312095"/>
      <w:bookmarkEnd w:id="347"/>
      <w:bookmarkStart w:id="348" w:name="_Toc184308043"/>
      <w:bookmarkEnd w:id="348"/>
      <w:bookmarkStart w:id="349" w:name="_Toc184314434"/>
      <w:bookmarkEnd w:id="349"/>
      <w:bookmarkStart w:id="350" w:name="_Toc184314417"/>
      <w:bookmarkEnd w:id="350"/>
      <w:bookmarkStart w:id="351" w:name="_Toc184313238"/>
      <w:bookmarkEnd w:id="351"/>
      <w:bookmarkStart w:id="352" w:name="_Toc184308036"/>
      <w:bookmarkEnd w:id="352"/>
      <w:bookmarkStart w:id="353" w:name="_Toc184313306"/>
      <w:bookmarkEnd w:id="353"/>
      <w:bookmarkStart w:id="354" w:name="_Toc184312080"/>
      <w:bookmarkEnd w:id="354"/>
      <w:bookmarkStart w:id="355" w:name="_Toc184310305"/>
      <w:bookmarkEnd w:id="355"/>
      <w:bookmarkStart w:id="356" w:name="_Toc184310323"/>
      <w:bookmarkEnd w:id="356"/>
      <w:bookmarkStart w:id="357" w:name="_Toc184312131"/>
      <w:bookmarkEnd w:id="357"/>
      <w:bookmarkStart w:id="358" w:name="_Toc184308102"/>
      <w:bookmarkEnd w:id="358"/>
      <w:bookmarkStart w:id="359" w:name="_Toc184308067"/>
      <w:bookmarkEnd w:id="359"/>
      <w:bookmarkStart w:id="360" w:name="_Toc184313281"/>
      <w:bookmarkEnd w:id="360"/>
      <w:bookmarkStart w:id="361" w:name="_Toc184314462"/>
      <w:bookmarkEnd w:id="361"/>
      <w:bookmarkStart w:id="362" w:name="_Toc184314439"/>
      <w:bookmarkEnd w:id="362"/>
      <w:bookmarkStart w:id="363" w:name="_Toc184310312"/>
      <w:bookmarkEnd w:id="363"/>
      <w:bookmarkStart w:id="364" w:name="_Toc184310302"/>
      <w:bookmarkEnd w:id="364"/>
      <w:bookmarkStart w:id="365" w:name="_Toc184308055"/>
      <w:bookmarkEnd w:id="365"/>
      <w:bookmarkStart w:id="366" w:name="_Toc184313246"/>
      <w:bookmarkEnd w:id="366"/>
      <w:bookmarkStart w:id="367" w:name="_Toc184312109"/>
      <w:bookmarkEnd w:id="367"/>
      <w:bookmarkStart w:id="368" w:name="_Toc184314459"/>
      <w:bookmarkEnd w:id="368"/>
      <w:bookmarkStart w:id="369" w:name="_Toc184314450"/>
      <w:bookmarkEnd w:id="369"/>
      <w:bookmarkStart w:id="370" w:name="_Toc184312123"/>
      <w:bookmarkEnd w:id="370"/>
      <w:bookmarkStart w:id="371" w:name="_Toc184312102"/>
      <w:bookmarkEnd w:id="371"/>
      <w:bookmarkStart w:id="372" w:name="_Toc184313245"/>
      <w:bookmarkEnd w:id="372"/>
      <w:bookmarkStart w:id="373" w:name="_Toc184312087"/>
      <w:bookmarkEnd w:id="373"/>
      <w:bookmarkStart w:id="374" w:name="_Toc184313262"/>
      <w:bookmarkEnd w:id="374"/>
      <w:bookmarkStart w:id="375" w:name="_Toc184312136"/>
      <w:bookmarkEnd w:id="375"/>
      <w:bookmarkStart w:id="376" w:name="_Toc184312086"/>
      <w:bookmarkEnd w:id="376"/>
      <w:bookmarkStart w:id="377" w:name="_Toc184310333"/>
      <w:bookmarkEnd w:id="377"/>
      <w:bookmarkStart w:id="378" w:name="_Toc184308040"/>
      <w:bookmarkEnd w:id="378"/>
      <w:bookmarkStart w:id="379" w:name="_Toc184314451"/>
      <w:bookmarkEnd w:id="379"/>
      <w:bookmarkStart w:id="380" w:name="_Toc184310344"/>
      <w:bookmarkEnd w:id="380"/>
      <w:bookmarkStart w:id="381" w:name="_Toc184310274"/>
      <w:bookmarkEnd w:id="381"/>
      <w:bookmarkStart w:id="382" w:name="_Toc184314444"/>
      <w:bookmarkEnd w:id="382"/>
      <w:bookmarkStart w:id="383" w:name="_Toc184312107"/>
      <w:bookmarkEnd w:id="383"/>
      <w:bookmarkStart w:id="384" w:name="_Toc184308076"/>
      <w:bookmarkEnd w:id="384"/>
      <w:bookmarkStart w:id="385" w:name="_Toc184314435"/>
      <w:bookmarkEnd w:id="385"/>
      <w:bookmarkStart w:id="386" w:name="_Toc184312112"/>
      <w:bookmarkEnd w:id="386"/>
      <w:bookmarkStart w:id="387" w:name="_Toc184308070"/>
      <w:bookmarkEnd w:id="387"/>
      <w:bookmarkStart w:id="388" w:name="_Toc184312076"/>
      <w:bookmarkEnd w:id="388"/>
      <w:bookmarkStart w:id="389" w:name="_Toc184314448"/>
      <w:bookmarkEnd w:id="389"/>
      <w:bookmarkStart w:id="390" w:name="_Toc184312108"/>
      <w:bookmarkEnd w:id="390"/>
      <w:r>
        <w:rPr>
          <w:rFonts w:hint="eastAsia" w:ascii="宋体" w:hAnsi="宋体" w:eastAsia="宋体" w:cs="宋体"/>
          <w:color w:val="auto"/>
          <w:sz w:val="32"/>
          <w:szCs w:val="32"/>
          <w:highlight w:val="none"/>
        </w:rPr>
        <w:t>评标办法</w:t>
      </w:r>
    </w:p>
    <w:p w14:paraId="0ACA3636">
      <w:pPr>
        <w:pStyle w:val="2"/>
        <w:spacing w:line="360" w:lineRule="auto"/>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tbl>
      <w:tblPr>
        <w:tblStyle w:val="17"/>
        <w:tblpPr w:leftFromText="180" w:rightFromText="180" w:vertAnchor="text" w:horzAnchor="page" w:tblpX="1181" w:tblpY="274"/>
        <w:tblOverlap w:val="never"/>
        <w:tblW w:w="9687" w:type="dxa"/>
        <w:tblInd w:w="0" w:type="dxa"/>
        <w:tblLayout w:type="fixed"/>
        <w:tblCellMar>
          <w:top w:w="15" w:type="dxa"/>
          <w:left w:w="15" w:type="dxa"/>
          <w:bottom w:w="15" w:type="dxa"/>
          <w:right w:w="15" w:type="dxa"/>
        </w:tblCellMar>
      </w:tblPr>
      <w:tblGrid>
        <w:gridCol w:w="926"/>
        <w:gridCol w:w="8062"/>
        <w:gridCol w:w="699"/>
      </w:tblGrid>
      <w:tr w14:paraId="57F27459">
        <w:tblPrEx>
          <w:tblCellMar>
            <w:top w:w="15" w:type="dxa"/>
            <w:left w:w="15" w:type="dxa"/>
            <w:bottom w:w="15" w:type="dxa"/>
            <w:right w:w="15" w:type="dxa"/>
          </w:tblCellMar>
        </w:tblPrEx>
        <w:trPr>
          <w:trHeight w:val="23" w:hRule="atLeast"/>
          <w:tblHead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BBB12BE">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9086047">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6FF7816">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r>
      <w:tr w14:paraId="5B0C15DE">
        <w:tblPrEx>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116E39B">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0BE0780">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］的计算公式计算。</w:t>
            </w:r>
          </w:p>
          <w:p w14:paraId="774BA090">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5C079EC1">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539ABA6B">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12</w:t>
            </w:r>
          </w:p>
        </w:tc>
      </w:tr>
      <w:tr w14:paraId="350A0856">
        <w:tblPrEx>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8FF3D0">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A233FD">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商务资信</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086B5ED2">
            <w:pPr>
              <w:pStyle w:val="16"/>
              <w:adjustRightInd w:val="0"/>
              <w:spacing w:before="0" w:beforeAutospacing="0" w:after="0" w:afterAutospacing="0" w:line="276"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48D310BE">
        <w:tblPrEx>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249D5C7">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CBA5656">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【客观】截止投标时间近3年以来，承担过</w:t>
            </w:r>
            <w:r>
              <w:rPr>
                <w:rFonts w:hint="eastAsia" w:ascii="宋体" w:hAnsi="宋体" w:eastAsia="宋体" w:cs="宋体"/>
                <w:color w:val="auto"/>
                <w:sz w:val="21"/>
                <w:szCs w:val="21"/>
                <w:highlight w:val="none"/>
                <w:lang w:val="en-US" w:eastAsia="zh-CN"/>
              </w:rPr>
              <w:t>地市级以上</w:t>
            </w:r>
            <w:r>
              <w:rPr>
                <w:rFonts w:hint="eastAsia" w:ascii="宋体" w:hAnsi="宋体" w:eastAsia="宋体" w:cs="宋体"/>
                <w:color w:val="auto"/>
                <w:sz w:val="21"/>
                <w:szCs w:val="21"/>
                <w:highlight w:val="none"/>
              </w:rPr>
              <w:t>类似</w:t>
            </w:r>
            <w:r>
              <w:rPr>
                <w:rFonts w:hint="eastAsia" w:ascii="宋体" w:hAnsi="宋体" w:eastAsia="宋体" w:cs="宋体"/>
                <w:color w:val="auto"/>
                <w:sz w:val="21"/>
                <w:szCs w:val="21"/>
                <w:highlight w:val="none"/>
                <w:lang w:val="en-US" w:eastAsia="zh-CN"/>
              </w:rPr>
              <w:t>政务</w:t>
            </w:r>
            <w:r>
              <w:rPr>
                <w:rFonts w:hint="eastAsia" w:ascii="宋体" w:hAnsi="宋体" w:eastAsia="宋体" w:cs="宋体"/>
                <w:color w:val="auto"/>
                <w:sz w:val="21"/>
                <w:szCs w:val="21"/>
                <w:highlight w:val="none"/>
              </w:rPr>
              <w:t>热线外包项目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每个项目得0.5分，最高得1分（合同复印件证明材料）。</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7BE54A39">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r>
      <w:tr w14:paraId="064E71F8">
        <w:tblPrEx>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529B551">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859E457">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【客观】截止投标时间近3年以来，</w:t>
            </w:r>
            <w:r>
              <w:rPr>
                <w:rFonts w:hint="eastAsia" w:ascii="宋体" w:hAnsi="宋体" w:eastAsia="宋体" w:cs="宋体"/>
                <w:color w:val="auto"/>
                <w:sz w:val="21"/>
                <w:szCs w:val="21"/>
                <w:highlight w:val="none"/>
                <w:lang w:val="en-US" w:eastAsia="zh-CN"/>
              </w:rPr>
              <w:t>取得与呼叫中心服务外包相关荣誉。</w:t>
            </w:r>
            <w:r>
              <w:rPr>
                <w:rFonts w:hint="eastAsia" w:ascii="宋体" w:hAnsi="宋体" w:eastAsia="宋体" w:cs="宋体"/>
                <w:color w:val="auto"/>
                <w:sz w:val="21"/>
                <w:szCs w:val="21"/>
                <w:highlight w:val="none"/>
              </w:rPr>
              <w:t>每个</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分（合同复印件证明材料）。</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27CB6F48">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6D7E2843">
        <w:tblPrEx>
          <w:tblCellMar>
            <w:top w:w="15" w:type="dxa"/>
            <w:left w:w="15" w:type="dxa"/>
            <w:bottom w:w="15" w:type="dxa"/>
            <w:right w:w="15" w:type="dxa"/>
          </w:tblCellMar>
        </w:tblPrEx>
        <w:trPr>
          <w:trHeight w:val="1976"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3DB19BA">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80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465E8B">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w:t>
            </w:r>
            <w:r>
              <w:rPr>
                <w:rFonts w:hint="eastAsia" w:ascii="宋体" w:hAnsi="宋体" w:eastAsia="宋体" w:cs="宋体"/>
                <w:color w:val="auto"/>
                <w:sz w:val="21"/>
                <w:szCs w:val="21"/>
                <w:highlight w:val="none"/>
                <w:lang w:val="en-US" w:eastAsia="zh-CN"/>
              </w:rPr>
              <w:t>投标人若采用自有管线组网的得4分，但需持有固定网通信运营商资格或有线电视网络运营商证明文件，投标文件中提供相关证明复印件并加盖投标人公章，未提供证明不得分；</w:t>
            </w:r>
          </w:p>
          <w:p w14:paraId="3B11CFFD">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没有自有管线的，要与管线提供商签订该项目线路意向协议，且管线提供商承诺管线施工根据本项目建设进度同步完成施工，投标文件中提供意向协议及承诺书复印件并加盖投标人公章，同时还需提供该固定网通信运营商或有线电视网络运营商资格证明文件复印件并加盖协议双方公章，满足得4分，未提供不得分。</w:t>
            </w:r>
          </w:p>
        </w:tc>
        <w:tc>
          <w:tcPr>
            <w:tcW w:w="699"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14:paraId="36DA2AD9">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E8D0774">
        <w:tblPrEx>
          <w:tblCellMar>
            <w:top w:w="15" w:type="dxa"/>
            <w:left w:w="15" w:type="dxa"/>
            <w:bottom w:w="15" w:type="dxa"/>
            <w:right w:w="15" w:type="dxa"/>
          </w:tblCellMar>
        </w:tblPrEx>
        <w:trPr>
          <w:trHeight w:val="90"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266296">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12A5CDA">
            <w:pPr>
              <w:pStyle w:val="16"/>
              <w:adjustRightInd w:val="0"/>
              <w:spacing w:before="0" w:beforeAutospacing="0" w:after="0" w:afterAutospacing="0" w:line="276"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投标人针对本项目的理解及完整技术解决方案</w:t>
            </w:r>
          </w:p>
          <w:p w14:paraId="3F27270E">
            <w:pPr>
              <w:pStyle w:val="16"/>
              <w:adjustRightInd w:val="0"/>
              <w:spacing w:before="0" w:beforeAutospacing="0" w:after="0" w:afterAutospacing="0" w:line="276"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根据项目</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内容，结合自身经验，就项目需求进行</w:t>
            </w:r>
            <w:r>
              <w:rPr>
                <w:rFonts w:hint="eastAsia" w:ascii="宋体" w:hAnsi="宋体" w:eastAsia="宋体" w:cs="宋体"/>
                <w:color w:val="auto"/>
                <w:sz w:val="21"/>
                <w:szCs w:val="21"/>
                <w:highlight w:val="none"/>
                <w:lang w:val="en-US" w:eastAsia="zh-CN"/>
              </w:rPr>
              <w:t>初步分析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并梳理项目</w:t>
            </w:r>
            <w:r>
              <w:rPr>
                <w:rFonts w:hint="eastAsia" w:ascii="宋体" w:hAnsi="宋体" w:eastAsia="宋体" w:cs="宋体"/>
                <w:bCs/>
                <w:color w:val="auto"/>
                <w:sz w:val="21"/>
                <w:szCs w:val="21"/>
                <w:highlight w:val="none"/>
              </w:rPr>
              <w:t>对重点、难点技术环节进行描述和分析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做出合理化建议或解决措施，根据相关内容的完善程度、与项目目标定位的匹配程度等进行综合评分，最高得6分。（评分：6,5,4,3,2,1,0）</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33B35257">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6</w:t>
            </w:r>
          </w:p>
        </w:tc>
      </w:tr>
      <w:tr w14:paraId="23543132">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539E6A9">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764FA38">
            <w:pPr>
              <w:pStyle w:val="16"/>
              <w:adjustRightInd w:val="0"/>
              <w:spacing w:before="0" w:beforeAutospacing="0" w:after="0" w:afterAutospacing="0" w:line="276"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工作人员劳务服务及培训文化建设方案</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B55BC56">
            <w:pPr>
              <w:pStyle w:val="16"/>
              <w:adjustRightInd w:val="0"/>
              <w:spacing w:before="0" w:beforeAutospacing="0" w:after="0" w:afterAutospacing="0" w:line="276" w:lineRule="auto"/>
              <w:jc w:val="center"/>
              <w:rPr>
                <w:rFonts w:hint="eastAsia" w:ascii="宋体" w:hAnsi="宋体" w:eastAsia="宋体" w:cs="宋体"/>
                <w:b/>
                <w:bCs/>
                <w:color w:val="auto"/>
                <w:sz w:val="21"/>
                <w:szCs w:val="21"/>
                <w:highlight w:val="none"/>
                <w:lang w:val="en-US" w:eastAsia="zh-CN"/>
              </w:rPr>
            </w:pPr>
            <w:r>
              <w:rPr>
                <w:rFonts w:hint="eastAsia" w:cs="宋体"/>
                <w:b w:val="0"/>
                <w:bCs w:val="0"/>
                <w:color w:val="auto"/>
                <w:sz w:val="21"/>
                <w:szCs w:val="21"/>
                <w:highlight w:val="none"/>
                <w:lang w:val="en-US" w:eastAsia="zh-CN"/>
              </w:rPr>
              <w:t>/</w:t>
            </w:r>
          </w:p>
        </w:tc>
      </w:tr>
      <w:tr w14:paraId="287BDC79">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2B0312">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062" w:type="dxa"/>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638363">
            <w:pPr>
              <w:adjustRightInd w:val="0"/>
              <w:snapToGrid w:val="0"/>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人员需求实施方案</w:t>
            </w:r>
            <w:r>
              <w:rPr>
                <w:rFonts w:hint="eastAsia" w:ascii="宋体" w:hAnsi="宋体" w:eastAsia="宋体" w:cs="宋体"/>
                <w:bCs/>
                <w:color w:val="auto"/>
                <w:sz w:val="21"/>
                <w:szCs w:val="21"/>
                <w:highlight w:val="none"/>
                <w:lang w:eastAsia="zh-CN"/>
              </w:rPr>
              <w:t>：</w:t>
            </w:r>
          </w:p>
          <w:p w14:paraId="5E21AC8A">
            <w:pPr>
              <w:adjustRightInd w:val="0"/>
              <w:snapToGrid w:val="0"/>
              <w:spacing w:line="276"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1）人员薪酬</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情况，是否有利于保持队伍稳定；</w:t>
            </w:r>
            <w:r>
              <w:rPr>
                <w:rFonts w:hint="eastAsia" w:ascii="宋体" w:hAnsi="宋体" w:eastAsia="宋体" w:cs="宋体"/>
                <w:bCs/>
                <w:color w:val="auto"/>
                <w:sz w:val="21"/>
                <w:szCs w:val="21"/>
                <w:highlight w:val="none"/>
                <w:lang w:val="en-US" w:eastAsia="zh-CN"/>
              </w:rPr>
              <w:t>根据内容的针对性、完善程度评分（1,0.5,0）；</w:t>
            </w:r>
          </w:p>
          <w:p w14:paraId="2B6B7611">
            <w:pPr>
              <w:adjustRightInd w:val="0"/>
              <w:snapToGrid w:val="0"/>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2）工作人员的配备计划，</w:t>
            </w:r>
            <w:r>
              <w:rPr>
                <w:rFonts w:hint="eastAsia" w:ascii="宋体" w:hAnsi="宋体" w:eastAsia="宋体" w:cs="宋体"/>
                <w:bCs/>
                <w:color w:val="auto"/>
                <w:sz w:val="21"/>
                <w:szCs w:val="21"/>
                <w:highlight w:val="none"/>
                <w:lang w:val="en-US" w:eastAsia="zh-CN"/>
              </w:rPr>
              <w:t>是否有利于项目开展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根据内容的针对性、完善程度评分（1,0.5,0）；</w:t>
            </w:r>
          </w:p>
          <w:p w14:paraId="3C8A6178">
            <w:pPr>
              <w:adjustRightInd w:val="0"/>
              <w:snapToGrid w:val="0"/>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 外包服务实施团队</w:t>
            </w:r>
            <w:r>
              <w:rPr>
                <w:rFonts w:hint="eastAsia" w:ascii="宋体" w:hAnsi="宋体" w:eastAsia="宋体" w:cs="宋体"/>
                <w:bCs/>
                <w:color w:val="auto"/>
                <w:sz w:val="21"/>
                <w:szCs w:val="21"/>
                <w:highlight w:val="none"/>
                <w:lang w:val="en-US" w:eastAsia="zh-CN"/>
              </w:rPr>
              <w:t>落实</w:t>
            </w:r>
            <w:r>
              <w:rPr>
                <w:rFonts w:hint="eastAsia" w:ascii="宋体" w:hAnsi="宋体" w:eastAsia="宋体" w:cs="宋体"/>
                <w:bCs/>
                <w:color w:val="auto"/>
                <w:sz w:val="21"/>
                <w:szCs w:val="21"/>
                <w:highlight w:val="none"/>
                <w:lang w:eastAsia="zh-CN"/>
              </w:rPr>
              <w:t>情况；</w:t>
            </w:r>
            <w:r>
              <w:rPr>
                <w:rFonts w:hint="eastAsia" w:ascii="宋体" w:hAnsi="宋体" w:eastAsia="宋体" w:cs="宋体"/>
                <w:bCs/>
                <w:color w:val="auto"/>
                <w:sz w:val="21"/>
                <w:szCs w:val="21"/>
                <w:highlight w:val="none"/>
                <w:lang w:val="en-US" w:eastAsia="zh-CN"/>
              </w:rPr>
              <w:t>根据团队接收/聘用服务内容的针对性、适用性、完善程度评分（1,0.5,0）。</w:t>
            </w:r>
          </w:p>
          <w:p w14:paraId="518CDF04">
            <w:pPr>
              <w:adjustRightInd w:val="0"/>
              <w:snapToGrid w:val="0"/>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（无法达到薪酬要求中平均薪酬的，以上三项均得0分）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EC10527">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2FB6C6FA">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A75792E">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A59912">
            <w:pPr>
              <w:tabs>
                <w:tab w:val="left" w:pos="0"/>
              </w:tabs>
              <w:snapToGrid w:val="0"/>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客观</w:t>
            </w:r>
            <w:r>
              <w:rPr>
                <w:rFonts w:hint="eastAsia" w:ascii="宋体" w:hAnsi="宋体" w:eastAsia="宋体" w:cs="宋体"/>
                <w:bCs/>
                <w:color w:val="auto"/>
                <w:sz w:val="21"/>
                <w:szCs w:val="21"/>
                <w:highlight w:val="none"/>
                <w:lang w:val="zh-CN" w:eastAsia="zh-CN"/>
              </w:rPr>
              <w:t>】人员配置方案：</w:t>
            </w:r>
          </w:p>
          <w:p w14:paraId="3FD45E54">
            <w:pPr>
              <w:numPr>
                <w:ilvl w:val="0"/>
                <w:numId w:val="0"/>
              </w:numPr>
              <w:tabs>
                <w:tab w:val="left" w:pos="0"/>
              </w:tabs>
              <w:snapToGrid w:val="0"/>
              <w:spacing w:line="276" w:lineRule="auto"/>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lang w:val="en-US" w:eastAsia="zh-CN" w:bidi="ar-SA"/>
              </w:rPr>
              <w:t>1）</w:t>
            </w:r>
            <w:r>
              <w:rPr>
                <w:rFonts w:hint="eastAsia" w:ascii="宋体" w:hAnsi="宋体" w:eastAsia="宋体" w:cs="宋体"/>
                <w:bCs/>
                <w:color w:val="auto"/>
                <w:szCs w:val="21"/>
                <w:highlight w:val="none"/>
              </w:rPr>
              <w:t>项目经理具备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一项或多项</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高级工程师、信息系统管理师</w:t>
            </w:r>
            <w:r>
              <w:rPr>
                <w:rFonts w:hint="eastAsia" w:ascii="宋体" w:hAnsi="宋体" w:eastAsia="宋体" w:cs="宋体"/>
                <w:bCs/>
                <w:color w:val="auto"/>
                <w:szCs w:val="21"/>
                <w:highlight w:val="none"/>
                <w:lang w:eastAsia="zh-CN"/>
              </w:rPr>
              <w:t>、系统分析师、</w:t>
            </w:r>
            <w:r>
              <w:rPr>
                <w:rFonts w:hint="eastAsia" w:ascii="宋体" w:hAnsi="宋体" w:eastAsia="宋体" w:cs="宋体"/>
                <w:bCs/>
                <w:color w:val="auto"/>
                <w:szCs w:val="21"/>
                <w:highlight w:val="none"/>
                <w:lang w:val="en-US" w:eastAsia="zh-CN"/>
              </w:rPr>
              <w:t>系统规划与管理师、</w:t>
            </w:r>
            <w:r>
              <w:rPr>
                <w:rFonts w:hint="eastAsia" w:ascii="宋体" w:hAnsi="宋体" w:eastAsia="宋体" w:cs="宋体"/>
                <w:bCs/>
                <w:color w:val="auto"/>
                <w:kern w:val="2"/>
                <w:sz w:val="21"/>
                <w:szCs w:val="21"/>
                <w:highlight w:val="none"/>
                <w:lang w:val="en-US" w:eastAsia="zh-CN" w:bidi="ar"/>
              </w:rPr>
              <w:t>网络规划设计师</w:t>
            </w:r>
            <w:r>
              <w:rPr>
                <w:rFonts w:hint="eastAsia" w:ascii="宋体" w:hAnsi="宋体" w:eastAsia="宋体" w:cs="宋体"/>
                <w:bCs/>
                <w:color w:val="auto"/>
                <w:szCs w:val="21"/>
                <w:highlight w:val="none"/>
                <w:lang w:val="en-US" w:eastAsia="zh-CN"/>
              </w:rPr>
              <w:t>或</w:t>
            </w:r>
            <w:r>
              <w:rPr>
                <w:rFonts w:hint="eastAsia" w:ascii="宋体" w:hAnsi="宋体" w:eastAsia="宋体" w:cs="宋体"/>
                <w:bCs/>
                <w:color w:val="auto"/>
                <w:szCs w:val="21"/>
                <w:highlight w:val="none"/>
              </w:rPr>
              <w:t>IPMA证书</w:t>
            </w:r>
            <w:r>
              <w:rPr>
                <w:rFonts w:hint="eastAsia" w:ascii="宋体" w:hAnsi="宋体" w:eastAsia="宋体" w:cs="宋体"/>
                <w:bCs/>
                <w:color w:val="auto"/>
                <w:szCs w:val="21"/>
                <w:highlight w:val="none"/>
                <w:lang w:val="en-US" w:eastAsia="zh-CN"/>
              </w:rPr>
              <w:t>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每证1分，最高</w:t>
            </w:r>
            <w:r>
              <w:rPr>
                <w:rFonts w:hint="eastAsia" w:ascii="宋体" w:hAnsi="宋体" w:eastAsia="宋体" w:cs="宋体"/>
                <w:bCs/>
                <w:color w:val="auto"/>
                <w:szCs w:val="21"/>
                <w:highlight w:val="none"/>
              </w:rPr>
              <w:t>得3分。项目经理须为响应人本公司</w:t>
            </w:r>
            <w:r>
              <w:rPr>
                <w:rFonts w:hint="eastAsia" w:ascii="宋体" w:hAnsi="宋体" w:eastAsia="宋体" w:cs="宋体"/>
                <w:bCs/>
                <w:color w:val="auto"/>
                <w:szCs w:val="21"/>
                <w:highlight w:val="none"/>
                <w:lang w:val="en-US" w:eastAsia="zh-CN"/>
              </w:rPr>
              <w:t>在职</w:t>
            </w:r>
            <w:r>
              <w:rPr>
                <w:rFonts w:hint="eastAsia" w:ascii="宋体" w:hAnsi="宋体" w:eastAsia="宋体" w:cs="宋体"/>
                <w:bCs/>
                <w:color w:val="auto"/>
                <w:szCs w:val="21"/>
                <w:highlight w:val="none"/>
              </w:rPr>
              <w:t>员工（提供证书复印件、近三个月以来单位社保缴纳证明材料）</w:t>
            </w:r>
          </w:p>
          <w:p w14:paraId="6C61C5A0">
            <w:pPr>
              <w:pStyle w:val="16"/>
              <w:adjustRightInd w:val="0"/>
              <w:spacing w:before="0" w:beforeAutospacing="0" w:after="0" w:afterAutospacing="0" w:line="276" w:lineRule="auto"/>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kern w:val="2"/>
                <w:sz w:val="21"/>
                <w:szCs w:val="21"/>
                <w:highlight w:val="none"/>
                <w:lang w:val="en-US" w:eastAsia="zh-CN" w:bidi="ar-SA"/>
              </w:rPr>
              <w:t xml:space="preserve">拟派工作人员具有政务热线话务服务工作经历（2年及以上），每5人得1分，最高得5分(需提用户证明材料，不提供不得分) </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F26DB21">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14:paraId="5AE2BA24">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F8810CD">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7888F21">
            <w:pPr>
              <w:tabs>
                <w:tab w:val="left" w:pos="0"/>
              </w:tabs>
              <w:snapToGrid w:val="0"/>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坐席及班次组织方案：</w:t>
            </w:r>
          </w:p>
          <w:p w14:paraId="03B91B52">
            <w:pPr>
              <w:pStyle w:val="16"/>
              <w:adjustRightInd w:val="0"/>
              <w:spacing w:before="0" w:beforeAutospacing="0" w:after="0" w:afterAutospacing="0" w:line="276"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1）坐席和班次组织方案，根据内容的针对性、完善程度评分（3,2,1,0）；</w:t>
            </w:r>
          </w:p>
          <w:p w14:paraId="3C12987D">
            <w:pPr>
              <w:pStyle w:val="16"/>
              <w:adjustRightInd w:val="0"/>
              <w:spacing w:before="0" w:beforeAutospacing="0" w:after="0" w:afterAutospacing="0" w:line="276" w:lineRule="auto"/>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kern w:val="2"/>
                <w:sz w:val="21"/>
                <w:szCs w:val="21"/>
                <w:highlight w:val="none"/>
                <w:lang w:val="en-US" w:eastAsia="zh-CN" w:bidi="ar-SA"/>
              </w:rPr>
              <w:t>2）重大保障及紧急情况应急组织方案，根据内容的针对性、完善程度评分（3,2,1,0）；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A348FE2">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0DE639F">
        <w:tblPrEx>
          <w:tblCellMar>
            <w:top w:w="15" w:type="dxa"/>
            <w:left w:w="15" w:type="dxa"/>
            <w:bottom w:w="15" w:type="dxa"/>
            <w:right w:w="15" w:type="dxa"/>
          </w:tblCellMar>
        </w:tblPrEx>
        <w:trPr>
          <w:trHeight w:val="1540"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6A2C27">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903AA0A">
            <w:pPr>
              <w:tabs>
                <w:tab w:val="left" w:pos="0"/>
              </w:tabs>
              <w:snapToGrid w:val="0"/>
              <w:spacing w:line="276"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业务及工作流程方案</w:t>
            </w:r>
            <w:r>
              <w:rPr>
                <w:rFonts w:hint="eastAsia" w:ascii="宋体" w:hAnsi="宋体" w:eastAsia="宋体" w:cs="宋体"/>
                <w:bCs/>
                <w:color w:val="auto"/>
                <w:sz w:val="21"/>
                <w:szCs w:val="21"/>
                <w:highlight w:val="none"/>
                <w:lang w:val="en-US" w:eastAsia="zh-CN"/>
              </w:rPr>
              <w:t>:</w:t>
            </w:r>
          </w:p>
          <w:p w14:paraId="32486F4F">
            <w:pPr>
              <w:tabs>
                <w:tab w:val="left" w:pos="0"/>
              </w:tabs>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1）业务内容的理解程度</w:t>
            </w:r>
            <w:r>
              <w:rPr>
                <w:rFonts w:hint="eastAsia" w:ascii="宋体" w:hAnsi="宋体" w:eastAsia="宋体" w:cs="宋体"/>
                <w:color w:val="auto"/>
                <w:szCs w:val="21"/>
                <w:highlight w:val="none"/>
                <w:lang w:val="en-US" w:eastAsia="zh-CN"/>
              </w:rPr>
              <w:t>,根据内容的针对性、完善程度评分（3,2,1,0）；</w:t>
            </w:r>
          </w:p>
          <w:p w14:paraId="58ADBEF9">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2）工作流程的理解程度</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kern w:val="2"/>
                <w:sz w:val="21"/>
                <w:szCs w:val="21"/>
                <w:highlight w:val="none"/>
                <w:lang w:val="en-US" w:eastAsia="zh-CN" w:bidi="ar-SA"/>
              </w:rPr>
              <w:t>根据内容的针对性、完善程度评分（3,2,1,0）；</w:t>
            </w:r>
          </w:p>
          <w:p w14:paraId="30783E77">
            <w:pPr>
              <w:pStyle w:val="16"/>
              <w:adjustRightInd w:val="0"/>
              <w:spacing w:before="0" w:beforeAutospacing="0" w:after="0" w:afterAutospacing="0" w:line="276"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3）业务指标要求</w:t>
            </w:r>
            <w:r>
              <w:rPr>
                <w:rFonts w:hint="eastAsia" w:ascii="宋体" w:hAnsi="宋体" w:eastAsia="宋体" w:cs="宋体"/>
                <w:color w:val="auto"/>
                <w:sz w:val="21"/>
                <w:szCs w:val="21"/>
                <w:highlight w:val="none"/>
                <w:lang w:val="en-US" w:eastAsia="zh-CN"/>
              </w:rPr>
              <w:t>保障措施：</w:t>
            </w:r>
            <w:r>
              <w:rPr>
                <w:rFonts w:hint="eastAsia" w:ascii="宋体" w:hAnsi="宋体" w:eastAsia="宋体" w:cs="宋体"/>
                <w:bCs/>
                <w:color w:val="auto"/>
                <w:kern w:val="2"/>
                <w:sz w:val="21"/>
                <w:szCs w:val="21"/>
                <w:highlight w:val="none"/>
                <w:lang w:val="en-US" w:eastAsia="zh-CN" w:bidi="ar-SA"/>
              </w:rPr>
              <w:t>根据内容的针对性、完善程度评分（3,2,1,0）；</w:t>
            </w:r>
          </w:p>
          <w:p w14:paraId="00BCECD5">
            <w:pPr>
              <w:pStyle w:val="16"/>
              <w:adjustRightInd w:val="0"/>
              <w:spacing w:before="0" w:beforeAutospacing="0" w:after="0" w:afterAutospacing="0" w:line="276" w:lineRule="auto"/>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4）指标项的实施措施和考核标准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2"/>
                <w:sz w:val="21"/>
                <w:szCs w:val="21"/>
                <w:highlight w:val="none"/>
                <w:lang w:val="en-US" w:eastAsia="zh-CN" w:bidi="ar-SA"/>
              </w:rPr>
              <w:t>根据内容的针对性、完善程度评分（3,2,1,0）。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F97CC6F">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0C32963E">
        <w:tblPrEx>
          <w:tblCellMar>
            <w:top w:w="15" w:type="dxa"/>
            <w:left w:w="15" w:type="dxa"/>
            <w:bottom w:w="15" w:type="dxa"/>
            <w:right w:w="15" w:type="dxa"/>
          </w:tblCellMar>
        </w:tblPrEx>
        <w:trPr>
          <w:trHeight w:val="326"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CEA53A">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3A03248">
            <w:pPr>
              <w:tabs>
                <w:tab w:val="left" w:pos="0"/>
              </w:tabs>
              <w:snapToGrid w:val="0"/>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工作人员培训方案：</w:t>
            </w:r>
          </w:p>
          <w:p w14:paraId="2038D56D">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1）培训计划设计和经费保障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根据内容的针对性、完善程度评分（3,2,1,0）；</w:t>
            </w:r>
          </w:p>
          <w:p w14:paraId="0E5BF25A">
            <w:pPr>
              <w:tabs>
                <w:tab w:val="left" w:pos="0"/>
              </w:tabs>
              <w:snapToGrid w:val="0"/>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szCs w:val="21"/>
                <w:highlight w:val="none"/>
              </w:rPr>
              <w:t>2）话务技能和业务技能培训方案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根据内容的针对性、完善程度评分（3,2,1,0）。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DBE7E0A">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7D4A3603">
        <w:tblPrEx>
          <w:tblCellMar>
            <w:top w:w="15" w:type="dxa"/>
            <w:left w:w="15" w:type="dxa"/>
            <w:bottom w:w="15" w:type="dxa"/>
            <w:right w:w="15" w:type="dxa"/>
          </w:tblCellMar>
        </w:tblPrEx>
        <w:trPr>
          <w:trHeight w:val="326"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8B73C0B">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52505A2">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项目管理方案</w:t>
            </w:r>
            <w:r>
              <w:rPr>
                <w:rFonts w:hint="eastAsia" w:ascii="宋体" w:hAnsi="宋体" w:eastAsia="宋体" w:cs="宋体"/>
                <w:color w:val="auto"/>
                <w:szCs w:val="21"/>
                <w:highlight w:val="none"/>
                <w:lang w:eastAsia="zh-CN"/>
              </w:rPr>
              <w:t>：</w:t>
            </w:r>
          </w:p>
          <w:p w14:paraId="091342EE">
            <w:pPr>
              <w:tabs>
                <w:tab w:val="left" w:pos="0"/>
              </w:tabs>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1）日常管理制度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根据内容</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val="en-US" w:eastAsia="zh-CN"/>
              </w:rPr>
              <w:t>程度，适用性评分（2,1,0）；</w:t>
            </w:r>
          </w:p>
          <w:p w14:paraId="381C1232">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 绩效考核办法</w:t>
            </w:r>
            <w:r>
              <w:rPr>
                <w:rFonts w:hint="eastAsia" w:ascii="宋体" w:hAnsi="宋体" w:eastAsia="宋体" w:cs="宋体"/>
                <w:color w:val="auto"/>
                <w:szCs w:val="21"/>
                <w:highlight w:val="none"/>
                <w:lang w:val="en-US" w:eastAsia="zh-CN"/>
              </w:rPr>
              <w:t>，根据内容的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性、适用性评分（2,1,0）。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B3160F5">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5454A437">
        <w:tblPrEx>
          <w:tblCellMar>
            <w:top w:w="15" w:type="dxa"/>
            <w:left w:w="15" w:type="dxa"/>
            <w:bottom w:w="15" w:type="dxa"/>
            <w:right w:w="15" w:type="dxa"/>
          </w:tblCellMar>
        </w:tblPrEx>
        <w:trPr>
          <w:trHeight w:val="326"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84C35C1">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3CD0244">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团队文化建设方案</w:t>
            </w:r>
            <w:r>
              <w:rPr>
                <w:rFonts w:hint="eastAsia" w:ascii="宋体" w:hAnsi="宋体" w:eastAsia="宋体" w:cs="宋体"/>
                <w:color w:val="auto"/>
                <w:szCs w:val="21"/>
                <w:highlight w:val="none"/>
                <w:lang w:eastAsia="zh-CN"/>
              </w:rPr>
              <w:t>：</w:t>
            </w:r>
          </w:p>
          <w:p w14:paraId="466D7E88">
            <w:pPr>
              <w:tabs>
                <w:tab w:val="left" w:pos="0"/>
              </w:tabs>
              <w:snapToGrid w:val="0"/>
              <w:spacing w:line="276"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党团组织建设情况和计划</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根据内容的合理性、适用性评分（</w:t>
            </w:r>
            <w:r>
              <w:rPr>
                <w:rFonts w:hint="eastAsia" w:ascii="宋体" w:hAnsi="宋体" w:eastAsia="宋体" w:cs="宋体"/>
                <w:color w:val="auto"/>
                <w:szCs w:val="21"/>
                <w:highlight w:val="none"/>
                <w:lang w:val="en-US" w:eastAsia="zh-CN"/>
              </w:rPr>
              <w:t>1,0.5,0)；</w:t>
            </w:r>
          </w:p>
          <w:p w14:paraId="134768F0">
            <w:pPr>
              <w:tabs>
                <w:tab w:val="left" w:pos="0"/>
              </w:tabs>
              <w:snapToGrid w:val="0"/>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2）心理健康辅导方案</w:t>
            </w:r>
            <w:r>
              <w:rPr>
                <w:rFonts w:hint="eastAsia" w:ascii="宋体" w:hAnsi="宋体" w:eastAsia="宋体" w:cs="宋体"/>
                <w:color w:val="auto"/>
                <w:kern w:val="0"/>
                <w:szCs w:val="21"/>
                <w:highlight w:val="none"/>
                <w:lang w:val="en-US" w:eastAsia="zh-CN"/>
              </w:rPr>
              <w:t>:根据内容的合理性、适用性评分（</w:t>
            </w:r>
            <w:r>
              <w:rPr>
                <w:rFonts w:hint="eastAsia" w:ascii="宋体" w:hAnsi="宋体" w:eastAsia="宋体" w:cs="宋体"/>
                <w:color w:val="auto"/>
                <w:szCs w:val="21"/>
                <w:highlight w:val="none"/>
                <w:lang w:val="en-US" w:eastAsia="zh-CN"/>
              </w:rPr>
              <w:t>1,0.5,0)；</w:t>
            </w:r>
          </w:p>
          <w:p w14:paraId="1F397784">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3）其他团队文化建设</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lang w:val="en-US" w:eastAsia="zh-CN"/>
              </w:rPr>
              <w:t>根据内容的合理性、适用性评分（</w:t>
            </w:r>
            <w:r>
              <w:rPr>
                <w:rFonts w:hint="eastAsia" w:ascii="宋体" w:hAnsi="宋体" w:eastAsia="宋体" w:cs="宋体"/>
                <w:color w:val="auto"/>
                <w:szCs w:val="21"/>
                <w:highlight w:val="none"/>
                <w:lang w:val="en-US" w:eastAsia="zh-CN"/>
              </w:rPr>
              <w:t>1,0.5,0)。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37E2273">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5855C36A">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56F484">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49837E">
            <w:pPr>
              <w:tabs>
                <w:tab w:val="left" w:pos="0"/>
              </w:tabs>
              <w:snapToGrid w:val="0"/>
              <w:spacing w:line="276"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交接</w:t>
            </w:r>
            <w:r>
              <w:rPr>
                <w:rFonts w:hint="eastAsia" w:ascii="宋体" w:hAnsi="宋体" w:eastAsia="宋体" w:cs="宋体"/>
                <w:bCs/>
                <w:color w:val="auto"/>
                <w:sz w:val="21"/>
                <w:szCs w:val="21"/>
                <w:highlight w:val="none"/>
                <w:lang w:val="en-US" w:eastAsia="zh-CN"/>
              </w:rPr>
              <w:t>/过渡</w:t>
            </w:r>
            <w:r>
              <w:rPr>
                <w:rFonts w:hint="eastAsia" w:ascii="宋体" w:hAnsi="宋体" w:eastAsia="宋体" w:cs="宋体"/>
                <w:bCs/>
                <w:color w:val="auto"/>
                <w:sz w:val="21"/>
                <w:szCs w:val="21"/>
                <w:highlight w:val="none"/>
                <w:lang w:val="zh-CN" w:eastAsia="zh-CN"/>
              </w:rPr>
              <w:t>方案：</w:t>
            </w:r>
            <w:r>
              <w:rPr>
                <w:rFonts w:hint="eastAsia" w:ascii="宋体" w:hAnsi="宋体" w:eastAsia="宋体" w:cs="宋体"/>
                <w:color w:val="auto"/>
                <w:kern w:val="0"/>
                <w:szCs w:val="21"/>
                <w:highlight w:val="none"/>
                <w:lang w:val="en-US" w:eastAsia="zh-CN"/>
              </w:rPr>
              <w:t>根据交接期/过渡期方案内容的合理性、适用性评分</w:t>
            </w:r>
            <w:r>
              <w:rPr>
                <w:rFonts w:hint="eastAsia" w:ascii="宋体" w:hAnsi="宋体" w:eastAsia="宋体" w:cs="宋体"/>
                <w:color w:val="auto"/>
                <w:szCs w:val="21"/>
                <w:highlight w:val="none"/>
                <w:lang w:val="en-US" w:eastAsia="zh-CN"/>
              </w:rPr>
              <w:t>（3,2,1,0）。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5AAA08">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0E338567">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3105A6D">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EA5AF06">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运行维护服务方案</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A14B2C8">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w:t>
            </w:r>
          </w:p>
        </w:tc>
      </w:tr>
      <w:tr w14:paraId="3418C679">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D7C77BB">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D8DA24A">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热线接入及运行保障</w:t>
            </w:r>
            <w:r>
              <w:rPr>
                <w:rFonts w:hint="eastAsia" w:ascii="宋体" w:hAnsi="宋体" w:eastAsia="宋体" w:cs="宋体"/>
                <w:color w:val="auto"/>
                <w:sz w:val="21"/>
                <w:szCs w:val="21"/>
                <w:highlight w:val="none"/>
                <w:lang w:val="en-US" w:eastAsia="zh-CN"/>
              </w:rPr>
              <w:t>方案：</w:t>
            </w:r>
          </w:p>
          <w:p w14:paraId="6310EA5A">
            <w:pPr>
              <w:tabs>
                <w:tab w:val="left" w:pos="0"/>
              </w:tabs>
              <w:snapToGrid w:val="0"/>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1）热线呼叫系统对外通信网络建设方案</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根据内容的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性、适用性评分（3,2,1,0）；</w:t>
            </w:r>
          </w:p>
          <w:p w14:paraId="45CC81BB">
            <w:pPr>
              <w:pStyle w:val="2"/>
              <w:snapToGrid w:val="0"/>
              <w:spacing w:line="276" w:lineRule="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rPr>
              <w:t>2）与12345话务互联互通方案</w:t>
            </w:r>
            <w:r>
              <w:rPr>
                <w:rFonts w:hint="eastAsia" w:ascii="宋体" w:hAnsi="宋体" w:eastAsia="宋体" w:cs="宋体"/>
                <w:b w:val="0"/>
                <w:bCs w:val="0"/>
                <w:color w:val="auto"/>
                <w:sz w:val="21"/>
                <w:szCs w:val="21"/>
                <w:highlight w:val="none"/>
                <w:lang w:val="en-US" w:eastAsia="zh-CN"/>
              </w:rPr>
              <w:t>，根据内容的合理性、适用性评分（3,2,1,0）；</w:t>
            </w:r>
          </w:p>
          <w:p w14:paraId="74205247">
            <w:pPr>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3）机器人导航方案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根据内容的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性、适用性评分（2,1,0）。</w:t>
            </w:r>
          </w:p>
          <w:p w14:paraId="309D7804">
            <w:pPr>
              <w:pStyle w:val="16"/>
              <w:adjustRightInd w:val="0"/>
              <w:spacing w:before="0" w:beforeAutospacing="0" w:after="0" w:afterAutospacing="0"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rPr>
              <w:t>4）短信</w:t>
            </w:r>
            <w:r>
              <w:rPr>
                <w:rFonts w:hint="eastAsia" w:ascii="宋体" w:hAnsi="宋体" w:eastAsia="宋体" w:cs="宋体"/>
                <w:b w:val="0"/>
                <w:bCs w:val="0"/>
                <w:color w:val="auto"/>
                <w:kern w:val="0"/>
                <w:sz w:val="21"/>
                <w:szCs w:val="21"/>
                <w:highlight w:val="none"/>
              </w:rPr>
              <w:t>提醒方案</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根据内容的</w:t>
            </w:r>
            <w:r>
              <w:rPr>
                <w:rFonts w:hint="eastAsia" w:ascii="宋体" w:hAnsi="宋体" w:eastAsia="宋体" w:cs="宋体"/>
                <w:b w:val="0"/>
                <w:bCs w:val="0"/>
                <w:color w:val="auto"/>
                <w:kern w:val="0"/>
                <w:sz w:val="21"/>
                <w:szCs w:val="21"/>
                <w:highlight w:val="none"/>
              </w:rPr>
              <w:t>合理</w:t>
            </w:r>
            <w:r>
              <w:rPr>
                <w:rFonts w:hint="eastAsia" w:ascii="宋体" w:hAnsi="宋体" w:eastAsia="宋体" w:cs="宋体"/>
                <w:b w:val="0"/>
                <w:bCs w:val="0"/>
                <w:color w:val="auto"/>
                <w:kern w:val="0"/>
                <w:sz w:val="21"/>
                <w:szCs w:val="21"/>
                <w:highlight w:val="none"/>
                <w:lang w:val="en-US" w:eastAsia="zh-CN"/>
              </w:rPr>
              <w:t>性、适用性评分（2,1,0）。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BB6FEDA">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22FDA174">
        <w:tblPrEx>
          <w:tblCellMar>
            <w:top w:w="15" w:type="dxa"/>
            <w:left w:w="15" w:type="dxa"/>
            <w:bottom w:w="15" w:type="dxa"/>
            <w:right w:w="15" w:type="dxa"/>
          </w:tblCellMar>
        </w:tblPrEx>
        <w:trPr>
          <w:trHeight w:val="350"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61A5B8">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p>
        </w:tc>
        <w:tc>
          <w:tcPr>
            <w:tcW w:w="8062" w:type="dxa"/>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0EA7A4">
            <w:pPr>
              <w:tabs>
                <w:tab w:val="left" w:pos="0"/>
              </w:tabs>
              <w:snapToGrid w:val="0"/>
              <w:spacing w:line="276"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通信备灾方案：</w:t>
            </w:r>
          </w:p>
          <w:p w14:paraId="5A1953E7">
            <w:pPr>
              <w:tabs>
                <w:tab w:val="left" w:pos="0"/>
              </w:tabs>
              <w:snapToGrid w:val="0"/>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）通信灾备和平台应急维护方案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根据内容的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性、适用性评分（3,2,1,0）；</w:t>
            </w:r>
          </w:p>
          <w:p w14:paraId="1BBC00BE">
            <w:pPr>
              <w:tabs>
                <w:tab w:val="left" w:pos="0"/>
              </w:tabs>
              <w:snapToGrid w:val="0"/>
              <w:spacing w:line="276" w:lineRule="auto"/>
              <w:rPr>
                <w:rFonts w:hint="eastAsia" w:ascii="宋体" w:hAnsi="宋体" w:eastAsia="宋体" w:cs="宋体"/>
                <w:color w:val="auto"/>
                <w:szCs w:val="21"/>
                <w:highlight w:val="none"/>
                <w:lang w:val="zh-CN" w:eastAsia="zh-CN"/>
              </w:rPr>
            </w:pPr>
            <w:r>
              <w:rPr>
                <w:rFonts w:hint="eastAsia" w:ascii="宋体" w:hAnsi="宋体" w:eastAsia="宋体" w:cs="宋体"/>
                <w:b w:val="0"/>
                <w:bCs w:val="0"/>
                <w:color w:val="auto"/>
                <w:sz w:val="21"/>
                <w:szCs w:val="21"/>
                <w:highlight w:val="none"/>
                <w:lang w:val="en-US"/>
              </w:rPr>
              <w:t>2）居家呼叫坐席配置方案</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Cs w:val="21"/>
                <w:highlight w:val="none"/>
                <w:lang w:val="en-US" w:eastAsia="zh-CN"/>
              </w:rPr>
              <w:t>根据内容的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val="en-US" w:eastAsia="zh-CN"/>
              </w:rPr>
              <w:t>性、适用性评分（3,2,1,0）。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F63E66">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7605518D">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EE1F8B">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4150FC4">
            <w:pPr>
              <w:tabs>
                <w:tab w:val="left" w:pos="0"/>
              </w:tabs>
              <w:snapToGrid w:val="0"/>
              <w:spacing w:line="276"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受理中心技术平台功能介绍：包括呼叫中心基础功能等，呼叫软件能在国产化电脑部署使用以及行政单位成功案例</w:t>
            </w:r>
            <w:r>
              <w:rPr>
                <w:rFonts w:hint="eastAsia" w:ascii="宋体" w:hAnsi="宋体" w:eastAsia="宋体" w:cs="宋体"/>
                <w:color w:val="auto"/>
                <w:kern w:val="0"/>
                <w:szCs w:val="21"/>
                <w:highlight w:val="none"/>
                <w:lang w:val="en-US" w:eastAsia="zh-CN"/>
              </w:rPr>
              <w:t>等；满足项目需求得4分，部分满足得2分，不满足不得分。</w:t>
            </w:r>
          </w:p>
          <w:p w14:paraId="68F194FB">
            <w:pPr>
              <w:tabs>
                <w:tab w:val="left" w:pos="0"/>
              </w:tabs>
              <w:snapToGri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投标文件中需提供呼叫中心、国产化电脑部署软件功能界面截图和案例合同及政府部门验收证明</w:t>
            </w:r>
            <w:r>
              <w:rPr>
                <w:rFonts w:hint="eastAsia" w:ascii="宋体" w:hAnsi="宋体" w:eastAsia="宋体" w:cs="宋体"/>
                <w:color w:val="auto"/>
                <w:kern w:val="0"/>
                <w:szCs w:val="21"/>
                <w:highlight w:val="none"/>
                <w:lang w:eastAsia="zh-CN"/>
              </w:rPr>
              <w:t>。</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3EDD32">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5D440F66">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B9FA49C">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20992C9">
            <w:pPr>
              <w:tabs>
                <w:tab w:val="left" w:pos="0"/>
              </w:tabs>
              <w:snapToGrid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系统运行保障方案</w:t>
            </w:r>
            <w:r>
              <w:rPr>
                <w:rFonts w:hint="eastAsia" w:ascii="宋体" w:hAnsi="宋体" w:eastAsia="宋体" w:cs="宋体"/>
                <w:color w:val="auto"/>
                <w:szCs w:val="21"/>
                <w:highlight w:val="none"/>
                <w:lang w:eastAsia="zh-CN"/>
              </w:rPr>
              <w:t>：</w:t>
            </w:r>
          </w:p>
          <w:p w14:paraId="3121D8D9">
            <w:pPr>
              <w:tabs>
                <w:tab w:val="left" w:pos="0"/>
              </w:tabs>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1）软硬件日常运行维护及安全维护方案</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kern w:val="0"/>
                <w:sz w:val="21"/>
                <w:szCs w:val="21"/>
                <w:highlight w:val="none"/>
                <w:lang w:val="en-US" w:eastAsia="zh-CN"/>
              </w:rPr>
              <w:t>根据内容的</w:t>
            </w:r>
            <w:r>
              <w:rPr>
                <w:rFonts w:hint="eastAsia" w:ascii="宋体" w:hAnsi="宋体" w:eastAsia="宋体" w:cs="宋体"/>
                <w:b w:val="0"/>
                <w:bCs w:val="0"/>
                <w:color w:val="auto"/>
                <w:kern w:val="0"/>
                <w:sz w:val="21"/>
                <w:szCs w:val="21"/>
                <w:highlight w:val="none"/>
              </w:rPr>
              <w:t>合理</w:t>
            </w:r>
            <w:r>
              <w:rPr>
                <w:rFonts w:hint="eastAsia" w:ascii="宋体" w:hAnsi="宋体" w:eastAsia="宋体" w:cs="宋体"/>
                <w:b w:val="0"/>
                <w:bCs w:val="0"/>
                <w:color w:val="auto"/>
                <w:kern w:val="0"/>
                <w:sz w:val="21"/>
                <w:szCs w:val="21"/>
                <w:highlight w:val="none"/>
                <w:lang w:val="en-US" w:eastAsia="zh-CN"/>
              </w:rPr>
              <w:t>性、适用性评分（2,1,0）</w:t>
            </w:r>
          </w:p>
          <w:p w14:paraId="71463C1E">
            <w:pPr>
              <w:tabs>
                <w:tab w:val="left" w:pos="0"/>
              </w:tabs>
              <w:snapToGrid w:val="0"/>
              <w:spacing w:line="276"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2）系统应急修复保障方案</w:t>
            </w:r>
            <w:r>
              <w:rPr>
                <w:rFonts w:hint="eastAsia" w:ascii="宋体" w:hAnsi="宋体" w:eastAsia="宋体" w:cs="宋体"/>
                <w:b w:val="0"/>
                <w:bCs w:val="0"/>
                <w:color w:val="auto"/>
                <w:kern w:val="0"/>
                <w:sz w:val="21"/>
                <w:szCs w:val="21"/>
                <w:highlight w:val="none"/>
                <w:lang w:val="en-US" w:eastAsia="zh-CN"/>
              </w:rPr>
              <w:t>，内容的</w:t>
            </w:r>
            <w:r>
              <w:rPr>
                <w:rFonts w:hint="eastAsia" w:ascii="宋体" w:hAnsi="宋体" w:eastAsia="宋体" w:cs="宋体"/>
                <w:b w:val="0"/>
                <w:bCs w:val="0"/>
                <w:color w:val="auto"/>
                <w:kern w:val="0"/>
                <w:sz w:val="21"/>
                <w:szCs w:val="21"/>
                <w:highlight w:val="none"/>
              </w:rPr>
              <w:t>合理</w:t>
            </w:r>
            <w:r>
              <w:rPr>
                <w:rFonts w:hint="eastAsia" w:ascii="宋体" w:hAnsi="宋体" w:eastAsia="宋体" w:cs="宋体"/>
                <w:b w:val="0"/>
                <w:bCs w:val="0"/>
                <w:color w:val="auto"/>
                <w:kern w:val="0"/>
                <w:sz w:val="21"/>
                <w:szCs w:val="21"/>
                <w:highlight w:val="none"/>
                <w:lang w:val="en-US" w:eastAsia="zh-CN"/>
              </w:rPr>
              <w:t>性、适用性评分（2,1,0）</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D4FDF8B">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59295DF7">
        <w:tblPrEx>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E07361D">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73A0F46">
            <w:pPr>
              <w:tabs>
                <w:tab w:val="left" w:pos="0"/>
              </w:tabs>
              <w:snapToGrid w:val="0"/>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现场讲解或录屏讲解演示：根据讲解内容是否符合项目实际情况，内容合理性及详细程度进行评分，具体评分分值如下：</w:t>
            </w:r>
          </w:p>
          <w:p w14:paraId="3D50A053">
            <w:pPr>
              <w:tabs>
                <w:tab w:val="left" w:pos="0"/>
              </w:tabs>
              <w:snapToGrid w:val="0"/>
              <w:spacing w:line="276" w:lineRule="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内容1：对</w:t>
            </w:r>
            <w:r>
              <w:rPr>
                <w:rFonts w:hint="eastAsia" w:ascii="宋体" w:hAnsi="宋体" w:eastAsia="宋体" w:cs="宋体"/>
                <w:color w:val="auto"/>
                <w:kern w:val="0"/>
                <w:sz w:val="21"/>
                <w:szCs w:val="21"/>
                <w:highlight w:val="none"/>
                <w:lang w:bidi="ar"/>
              </w:rPr>
              <w:t>12315热线</w:t>
            </w:r>
            <w:r>
              <w:rPr>
                <w:rFonts w:hint="eastAsia" w:ascii="宋体" w:hAnsi="宋体" w:eastAsia="宋体" w:cs="宋体"/>
                <w:color w:val="auto"/>
                <w:kern w:val="0"/>
                <w:sz w:val="21"/>
                <w:szCs w:val="21"/>
                <w:highlight w:val="none"/>
                <w:lang w:val="en-US" w:eastAsia="zh-CN" w:bidi="ar"/>
              </w:rPr>
              <w:t>平台的认知，以及相关业务的了解情况：</w:t>
            </w:r>
            <w:r>
              <w:rPr>
                <w:rFonts w:hint="eastAsia" w:ascii="宋体" w:hAnsi="宋体" w:eastAsia="宋体" w:cs="宋体"/>
                <w:b w:val="0"/>
                <w:bCs w:val="0"/>
                <w:color w:val="auto"/>
                <w:kern w:val="0"/>
                <w:sz w:val="21"/>
                <w:szCs w:val="21"/>
                <w:highlight w:val="none"/>
                <w:lang w:val="en-US" w:eastAsia="zh-CN" w:bidi="ar"/>
              </w:rPr>
              <w:t>评分</w:t>
            </w:r>
            <w:r>
              <w:rPr>
                <w:rFonts w:hint="eastAsia" w:ascii="宋体" w:hAnsi="宋体" w:eastAsia="宋体" w:cs="宋体"/>
                <w:b w:val="0"/>
                <w:bCs w:val="0"/>
                <w:color w:val="auto"/>
                <w:sz w:val="21"/>
                <w:szCs w:val="21"/>
                <w:highlight w:val="none"/>
                <w:lang w:val="en-US" w:eastAsia="zh-CN"/>
              </w:rPr>
              <w:t>（3,2,1,0），</w:t>
            </w:r>
            <w:r>
              <w:rPr>
                <w:rFonts w:hint="eastAsia" w:ascii="宋体" w:hAnsi="宋体" w:eastAsia="宋体" w:cs="宋体"/>
                <w:b w:val="0"/>
                <w:bCs w:val="0"/>
                <w:color w:val="auto"/>
                <w:kern w:val="0"/>
                <w:sz w:val="21"/>
                <w:szCs w:val="21"/>
                <w:highlight w:val="none"/>
                <w:lang w:val="en-US" w:eastAsia="zh-CN" w:bidi="ar"/>
              </w:rPr>
              <w:t>最高得3分。</w:t>
            </w:r>
          </w:p>
          <w:p w14:paraId="35E98A45">
            <w:pPr>
              <w:pStyle w:val="2"/>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内容2：特殊情况如何启用通信备灾方案：评分</w:t>
            </w:r>
            <w:r>
              <w:rPr>
                <w:rFonts w:hint="eastAsia" w:ascii="宋体" w:hAnsi="宋体" w:eastAsia="宋体" w:cs="宋体"/>
                <w:b w:val="0"/>
                <w:bCs w:val="0"/>
                <w:color w:val="auto"/>
                <w:sz w:val="21"/>
                <w:szCs w:val="21"/>
                <w:highlight w:val="none"/>
                <w:lang w:val="en-US" w:eastAsia="zh-CN"/>
              </w:rPr>
              <w:t>（3,2,1,0），</w:t>
            </w:r>
            <w:r>
              <w:rPr>
                <w:rFonts w:hint="eastAsia" w:ascii="宋体" w:hAnsi="宋体" w:eastAsia="宋体" w:cs="宋体"/>
                <w:b w:val="0"/>
                <w:bCs w:val="0"/>
                <w:color w:val="auto"/>
                <w:kern w:val="0"/>
                <w:sz w:val="21"/>
                <w:szCs w:val="21"/>
                <w:highlight w:val="none"/>
                <w:lang w:val="en-US" w:eastAsia="zh-CN" w:bidi="ar"/>
              </w:rPr>
              <w:t>最高得3分。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3412E1C">
            <w:pPr>
              <w:pStyle w:val="16"/>
              <w:adjustRightInd w:val="0"/>
              <w:spacing w:before="0" w:beforeAutospacing="0" w:after="0" w:afterAutospacing="0"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bl>
    <w:p w14:paraId="6C17571F">
      <w:pPr>
        <w:rPr>
          <w:rFonts w:hint="eastAsia" w:ascii="宋体" w:hAnsi="宋体" w:eastAsia="宋体" w:cs="宋体"/>
          <w:b/>
          <w:bCs/>
          <w:color w:val="auto"/>
          <w:sz w:val="22"/>
          <w:szCs w:val="24"/>
          <w:highlight w:val="none"/>
          <w:lang w:val="en-US" w:eastAsia="zh-CN"/>
        </w:rPr>
      </w:pPr>
    </w:p>
    <w:p w14:paraId="3ECF1194">
      <w:pPr>
        <w:pStyle w:val="16"/>
        <w:pageBreakBefore w:val="0"/>
        <w:kinsoku/>
        <w:wordWrap/>
        <w:overflowPunct/>
        <w:topLinePunct w:val="0"/>
        <w:autoSpaceDE/>
        <w:autoSpaceDN/>
        <w:bidi w:val="0"/>
        <w:adjustRightInd/>
        <w:snapToGrid w:val="0"/>
        <w:spacing w:before="0" w:beforeAutospacing="0" w:after="0" w:afterAutospacing="0" w:line="360" w:lineRule="auto"/>
        <w:ind w:firstLine="4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bookmarkStart w:id="401" w:name="_GoBack"/>
      <w:bookmarkEnd w:id="401"/>
    </w:p>
    <w:p w14:paraId="17EA6CBA">
      <w:pPr>
        <w:pStyle w:val="2"/>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0C807170">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F784D36">
      <w:pPr>
        <w:pStyle w:val="2"/>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二、评标标准</w:t>
      </w:r>
    </w:p>
    <w:p w14:paraId="254A6B4A">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60E4C96A">
      <w:pPr>
        <w:pStyle w:val="2"/>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三、评标程序</w:t>
      </w:r>
    </w:p>
    <w:p w14:paraId="37AA7B89">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7C99320E">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637BE8A5">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11F30636">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2A8CE5F9">
      <w:pPr>
        <w:pStyle w:val="37"/>
        <w:pageBreakBefore w:val="0"/>
        <w:kinsoku/>
        <w:wordWrap/>
        <w:overflowPunct/>
        <w:topLinePunct w:val="0"/>
        <w:autoSpaceDE/>
        <w:autoSpaceDN/>
        <w:bidi w:val="0"/>
        <w:adjustRightInd/>
        <w:snapToGrid w:val="0"/>
        <w:spacing w:before="0" w:line="360" w:lineRule="auto"/>
        <w:ind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115A8F3C">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7995FF37">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7C1BBA5C">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151E3433">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CA3D82A">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B9BB8F5">
      <w:pPr>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DA8B4AB">
      <w:pPr>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7D842419">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D02357">
      <w:pPr>
        <w:pStyle w:val="37"/>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4707C81">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333EF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532BE3">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BAC2F9">
      <w:pPr>
        <w:pStyle w:val="2"/>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四、评标中的其他事项</w:t>
      </w:r>
    </w:p>
    <w:p w14:paraId="22A2B552">
      <w:pPr>
        <w:pStyle w:val="37"/>
        <w:pageBreakBefore w:val="0"/>
        <w:kinsoku/>
        <w:wordWrap/>
        <w:overflowPunct/>
        <w:topLinePunct w:val="0"/>
        <w:autoSpaceDE/>
        <w:autoSpaceDN/>
        <w:bidi w:val="0"/>
        <w:adjustRightInd/>
        <w:snapToGrid w:val="0"/>
        <w:spacing w:before="0"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5269BC">
      <w:pPr>
        <w:pStyle w:val="10"/>
        <w:pageBreakBefore w:val="0"/>
        <w:kinsoku/>
        <w:wordWrap/>
        <w:overflowPunct/>
        <w:topLinePunct w:val="0"/>
        <w:autoSpaceDE/>
        <w:autoSpaceDN/>
        <w:bidi w:val="0"/>
        <w:adjustRightInd/>
        <w:snapToGrid w:val="0"/>
        <w:spacing w:line="360" w:lineRule="auto"/>
        <w:ind w:left="954" w:leftChars="226" w:hanging="479"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3990B65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4DA981B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A9D04F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245CD16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12178F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45876814">
      <w:pPr>
        <w:pageBreakBefore w:val="0"/>
        <w:kinsoku/>
        <w:wordWrap/>
        <w:overflowPunct/>
        <w:topLinePunct w:val="0"/>
        <w:autoSpaceDE/>
        <w:autoSpaceDN/>
        <w:bidi w:val="0"/>
        <w:adjustRightInd/>
        <w:snapToGrid w:val="0"/>
        <w:spacing w:line="360" w:lineRule="auto"/>
        <w:ind w:firstLine="105" w:firstLine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5C8A67D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26295B7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792919B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0FEBB41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6B26C394">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4.2.11投标人有恶意串通、妨碍其他投标人的竞争行为、损害采购人或者其他投标人的合法权益情形的；</w:t>
      </w:r>
    </w:p>
    <w:p w14:paraId="5CD4E7F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4.2.12投标人仅提交备份投标文件，未在电子交易平台传输递交投标文件的，投标无效；</w:t>
      </w:r>
    </w:p>
    <w:p w14:paraId="558AEE2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 投标文件不满足招标文件的其它实质性要求的；</w:t>
      </w:r>
    </w:p>
    <w:p w14:paraId="22581CA5">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4.2.14《中小企业声明函》填写企业类型错误或者未填写企业类型的，投标无效。</w:t>
      </w:r>
    </w:p>
    <w:p w14:paraId="231BB9EA">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4.2.15</w:t>
      </w:r>
      <w:r>
        <w:rPr>
          <w:rFonts w:hint="eastAsia" w:ascii="宋体" w:hAnsi="宋体" w:eastAsia="宋体" w:cs="宋体"/>
          <w:b/>
          <w:bCs/>
          <w:color w:val="auto"/>
          <w:kern w:val="0"/>
          <w:sz w:val="21"/>
          <w:szCs w:val="21"/>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23AF51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4.2.16</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405E9D7">
      <w:pPr>
        <w:pStyle w:val="10"/>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4E135184">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014653D9">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72F9352F">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3155A945">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3090A933">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30332F25">
      <w:pPr>
        <w:pStyle w:val="10"/>
        <w:pageBreakBefore w:val="0"/>
        <w:kinsoku/>
        <w:wordWrap/>
        <w:overflowPunct/>
        <w:topLinePunct w:val="0"/>
        <w:autoSpaceDE/>
        <w:autoSpaceDN/>
        <w:bidi w:val="0"/>
        <w:adjustRightInd/>
        <w:snapToGrid w:val="0"/>
        <w:spacing w:line="360" w:lineRule="auto"/>
        <w:ind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172E62">
      <w:pPr>
        <w:pStyle w:val="10"/>
        <w:pageBreakBefore w:val="0"/>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3177B166">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428E01DC">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CB13AE1">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5A88376B">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7DD51AA4">
      <w:pPr>
        <w:pStyle w:val="1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14:paraId="4814DA90">
      <w:pPr>
        <w:pageBreakBefore w:val="0"/>
        <w:widowControl/>
        <w:kinsoku/>
        <w:wordWrap/>
        <w:overflowPunct/>
        <w:topLinePunct w:val="0"/>
        <w:autoSpaceDE/>
        <w:autoSpaceDN/>
        <w:bidi w:val="0"/>
        <w:adjustRightInd/>
        <w:snapToGrid w:val="0"/>
        <w:spacing w:line="360" w:lineRule="auto"/>
        <w:ind w:firstLine="723"/>
        <w:jc w:val="left"/>
        <w:textAlignment w:val="auto"/>
        <w:rPr>
          <w:rFonts w:hint="eastAsia" w:ascii="宋体" w:hAnsi="宋体" w:eastAsia="宋体" w:cs="宋体"/>
          <w:b/>
          <w:color w:val="auto"/>
          <w:sz w:val="21"/>
          <w:szCs w:val="21"/>
          <w:highlight w:val="none"/>
        </w:rPr>
      </w:pPr>
      <w:bookmarkStart w:id="391" w:name="第五部分"/>
      <w:bookmarkStart w:id="392" w:name="_Toc86217003"/>
      <w:r>
        <w:rPr>
          <w:rFonts w:hint="eastAsia" w:ascii="宋体" w:hAnsi="宋体" w:eastAsia="宋体" w:cs="宋体"/>
          <w:b/>
          <w:color w:val="auto"/>
          <w:sz w:val="21"/>
          <w:szCs w:val="21"/>
          <w:highlight w:val="none"/>
        </w:rPr>
        <w:br w:type="page"/>
      </w:r>
    </w:p>
    <w:p w14:paraId="37CDFD04">
      <w:pPr>
        <w:pStyle w:val="3"/>
        <w:numPr>
          <w:ilvl w:val="0"/>
          <w:numId w:val="8"/>
        </w:numPr>
        <w:spacing w:line="240" w:lineRule="auto"/>
        <w:ind w:left="12" w:hanging="12"/>
        <w:rPr>
          <w:rFonts w:hint="eastAsia" w:ascii="宋体" w:hAnsi="宋体" w:eastAsia="宋体" w:cs="宋体"/>
          <w:color w:val="auto"/>
          <w:highlight w:val="none"/>
        </w:rPr>
      </w:pPr>
      <w:bookmarkStart w:id="393" w:name="_Hlk165188695"/>
      <w:r>
        <w:rPr>
          <w:rFonts w:hint="eastAsia" w:ascii="宋体" w:hAnsi="宋体" w:eastAsia="宋体" w:cs="宋体"/>
          <w:color w:val="auto"/>
          <w:highlight w:val="none"/>
        </w:rPr>
        <w:t>拟签订的合同文本</w:t>
      </w:r>
    </w:p>
    <w:bookmarkEnd w:id="393"/>
    <w:p w14:paraId="7FF291E6">
      <w:pPr>
        <w:snapToGrid w:val="0"/>
        <w:spacing w:line="360" w:lineRule="auto"/>
        <w:rPr>
          <w:rFonts w:hint="eastAsia" w:ascii="宋体" w:hAnsi="宋体" w:eastAsia="宋体" w:cs="宋体"/>
          <w:color w:val="auto"/>
          <w:szCs w:val="21"/>
          <w:highlight w:val="none"/>
        </w:rPr>
      </w:pPr>
      <w:bookmarkStart w:id="394" w:name="zihao"/>
      <w:bookmarkEnd w:id="394"/>
    </w:p>
    <w:p w14:paraId="0315F8B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甲方（需方）：杭州市市场监督管理局</w:t>
      </w:r>
    </w:p>
    <w:p w14:paraId="0D2C58F7">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地址：杭州市上城区凤起东路109号</w:t>
      </w:r>
    </w:p>
    <w:p w14:paraId="714F8F4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w:t>
      </w:r>
    </w:p>
    <w:p w14:paraId="0A72D909">
      <w:pPr>
        <w:spacing w:line="360" w:lineRule="auto"/>
        <w:rPr>
          <w:rFonts w:hint="eastAsia" w:ascii="宋体" w:hAnsi="宋体" w:eastAsia="宋体" w:cs="宋体"/>
          <w:bCs/>
          <w:color w:val="auto"/>
          <w:sz w:val="24"/>
          <w:highlight w:val="none"/>
        </w:rPr>
      </w:pPr>
    </w:p>
    <w:p w14:paraId="1D30BF0F">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乙方（服务方）：</w:t>
      </w:r>
    </w:p>
    <w:p w14:paraId="6206D938">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地址：</w:t>
      </w:r>
    </w:p>
    <w:p w14:paraId="54B34B1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w:t>
      </w:r>
    </w:p>
    <w:p w14:paraId="4A8C900F">
      <w:pPr>
        <w:spacing w:line="360" w:lineRule="auto"/>
        <w:rPr>
          <w:rFonts w:hint="eastAsia" w:ascii="宋体" w:hAnsi="宋体" w:eastAsia="宋体" w:cs="宋体"/>
          <w:bCs/>
          <w:color w:val="auto"/>
          <w:sz w:val="24"/>
          <w:highlight w:val="none"/>
        </w:rPr>
      </w:pPr>
    </w:p>
    <w:p w14:paraId="2FB484CF">
      <w:pPr>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鉴证方（招标代理机构）：浙江省建设工程设备招标有限公司</w:t>
      </w:r>
    </w:p>
    <w:p w14:paraId="2CC8C199">
      <w:pPr>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地址：</w:t>
      </w:r>
      <w:r>
        <w:rPr>
          <w:rFonts w:hint="eastAsia" w:ascii="宋体" w:hAnsi="宋体" w:eastAsia="宋体" w:cs="宋体"/>
          <w:color w:val="auto"/>
          <w:sz w:val="24"/>
          <w:highlight w:val="none"/>
          <w:lang w:val="zh-CN"/>
        </w:rPr>
        <w:t>杭州市</w:t>
      </w:r>
      <w:r>
        <w:rPr>
          <w:rFonts w:hint="eastAsia" w:ascii="宋体" w:hAnsi="宋体" w:eastAsia="宋体" w:cs="宋体"/>
          <w:color w:val="auto"/>
          <w:sz w:val="24"/>
          <w:highlight w:val="none"/>
          <w:lang w:val="en-US" w:eastAsia="zh-CN"/>
        </w:rPr>
        <w:t>上城区环站东路97号云峰大厦1座13楼</w:t>
      </w:r>
    </w:p>
    <w:p w14:paraId="6C2DC39A">
      <w:pPr>
        <w:spacing w:line="360" w:lineRule="auto"/>
        <w:rPr>
          <w:rFonts w:hint="eastAsia" w:ascii="宋体" w:hAnsi="宋体" w:eastAsia="宋体" w:cs="宋体"/>
          <w:bCs/>
          <w:color w:val="auto"/>
          <w:sz w:val="24"/>
          <w:highlight w:val="none"/>
        </w:rPr>
      </w:pPr>
    </w:p>
    <w:p w14:paraId="39F20DA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根据《中华人民共和国政府采购法》、《中华人民共和国民法典》等有关法律法规的规定，杭州市市场监督管理局(甲方)经过公开招标 ，确定</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为服务方(乙方)。双方经协商达成以下条款：</w:t>
      </w:r>
    </w:p>
    <w:p w14:paraId="3178500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第一章　服务内容</w:t>
      </w:r>
    </w:p>
    <w:p w14:paraId="5CB6CE6C">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第一条　服务外包内容和期限</w:t>
      </w:r>
    </w:p>
    <w:p w14:paraId="0EBBFA3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服务外包内容：</w:t>
      </w:r>
    </w:p>
    <w:p w14:paraId="7037E13E">
      <w:pPr>
        <w:numPr>
          <w:ilvl w:val="0"/>
          <w:numId w:val="9"/>
        </w:numPr>
        <w:spacing w:line="360" w:lineRule="auto"/>
        <w:ind w:left="5" w:firstLine="415"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人员劳务服务。提供话务坐席人员、网络(书信)坐席人员、管理人员等岗位的劳务服务；工作人员负责各渠道来源的投诉举报的接收采集、来人来访接待、登记录入、分流传递、核实反馈、办结归档、联络沟通等工作，包括与上级部门的联通及同级部门的联动工作，对有关业务资料进行梳理整理，对相关知识库进行维护，对重大紧急突发信息进行接收、传递、报送和跟踪；完成采购人要求的其他业务工作需求。</w:t>
      </w:r>
    </w:p>
    <w:p w14:paraId="2B14D352">
      <w:pPr>
        <w:numPr>
          <w:ilvl w:val="0"/>
          <w:numId w:val="9"/>
        </w:numPr>
        <w:spacing w:line="360" w:lineRule="auto"/>
        <w:ind w:left="5" w:firstLine="415" w:firstLineChars="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培训及文化。对相关岗位人员进行招募、培训，通过绩效考核、表彰奖励等手段提供工作人员劳动效率；通过组织相关文体、竞赛、交流、培训、研讨等活动提高团队凝聚力，减少人员流失；营造良好办公环境，对员工进行心理辅导和文化建设。</w:t>
      </w:r>
    </w:p>
    <w:p w14:paraId="59102989">
      <w:pPr>
        <w:numPr>
          <w:ilvl w:val="0"/>
          <w:numId w:val="9"/>
        </w:numPr>
        <w:spacing w:line="360" w:lineRule="auto"/>
        <w:ind w:left="5" w:firstLine="415"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技术及安全服务。配置全媒体坐席软件和数据录入软件,支持与市场监管总局全国12315平台保持数据互通和软件适配；配置国产电脑（8G内存、256G硬盘、23.8寸显示器）、IP电话机与坐席用配套耳麦；配置备用居家呼叫坐席，确保灾备状态下可实现部分远程办公；开设智能机器人导航与短信提醒功能等实现链接；开发智能AI语音系统；多次拨打12315热线未接通的，发送短信提醒；具备与12345话务互联互通功能，实现语音导航和一键呼转；对相关数据进行统计分析并形成报表和报告，并按照上级工作标准或根据采购人要求上报</w:t>
      </w:r>
      <w:r>
        <w:rPr>
          <w:rFonts w:hint="eastAsia" w:ascii="宋体" w:hAnsi="宋体" w:eastAsia="宋体" w:cs="宋体"/>
          <w:bCs/>
          <w:color w:val="auto"/>
          <w:sz w:val="24"/>
          <w:highlight w:val="none"/>
        </w:rPr>
        <w:t>。</w:t>
      </w:r>
    </w:p>
    <w:p w14:paraId="77821F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项目服务期限：</w:t>
      </w:r>
      <w:r>
        <w:rPr>
          <w:rFonts w:hint="eastAsia" w:ascii="宋体" w:hAnsi="宋体" w:cs="宋体"/>
          <w:color w:val="auto"/>
          <w:kern w:val="0"/>
          <w:sz w:val="24"/>
          <w:highlight w:val="none"/>
          <w:lang w:val="en-US" w:eastAsia="zh-CN"/>
        </w:rPr>
        <w:t>一年</w:t>
      </w:r>
      <w:r>
        <w:rPr>
          <w:rFonts w:hint="eastAsia" w:ascii="宋体" w:hAnsi="宋体" w:eastAsia="宋体" w:cs="宋体"/>
          <w:color w:val="auto"/>
          <w:kern w:val="0"/>
          <w:sz w:val="24"/>
          <w:highlight w:val="none"/>
        </w:rPr>
        <w:t>。</w:t>
      </w:r>
    </w:p>
    <w:p w14:paraId="2464E7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第二条   服务外包具体要求</w:t>
      </w:r>
    </w:p>
    <w:p w14:paraId="0DB35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（一）人员需求</w:t>
      </w:r>
    </w:p>
    <w:p w14:paraId="571116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配置约3</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名话务坐席人员及网络(书信)坐席人员或在总劳务服务工作量范围内调整，另配3名管理员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1名数据统计员</w:t>
      </w:r>
      <w:r>
        <w:rPr>
          <w:rFonts w:hint="eastAsia" w:ascii="宋体" w:hAnsi="宋体" w:eastAsia="宋体" w:cs="宋体"/>
          <w:color w:val="auto"/>
          <w:kern w:val="0"/>
          <w:sz w:val="24"/>
          <w:highlight w:val="none"/>
        </w:rPr>
        <w:t>。所有人员上岗前需经过甲方确认，甲方有权对人员提出调整要求，乙方需积极配合。</w:t>
      </w:r>
    </w:p>
    <w:p w14:paraId="1ED783F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1、薪酬要求：</w:t>
      </w:r>
    </w:p>
    <w:p w14:paraId="7077B1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保证工作人员的稳定性和工作积极性，乙方必须按照杭州市社保缴纳基数相关规定进行社保缴纳，做到合法用工。人员费用中另请列明工资、伙食费、节假日加班费（春节、端午、国庆、中秋慰问费）等。为保持人员队伍的稳定，并考虑到物价上涨等因素，应对人员的薪资水准给予良好待遇，保障所有人员的应发平均薪酬达到需求清单列明的标准。</w:t>
      </w:r>
    </w:p>
    <w:p w14:paraId="010D52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2、工作人员招聘要求：</w:t>
      </w:r>
    </w:p>
    <w:p w14:paraId="0DA643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思想作风正派，廉洁奉公，工作责任心强，有良好的团队意识和吃苦耐劳的精神；有较强的语言表达和沟通能力、文字归纳和输入能力；年龄一般在45周岁以下，具有适应岗位要求的身体条件；</w:t>
      </w:r>
      <w:r>
        <w:rPr>
          <w:rFonts w:hint="eastAsia" w:ascii="宋体" w:hAnsi="宋体" w:eastAsia="宋体" w:cs="宋体"/>
          <w:color w:val="auto"/>
          <w:sz w:val="24"/>
          <w:highlight w:val="none"/>
        </w:rPr>
        <w:t>大专及以上学历，专业不限，</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工作经验</w:t>
      </w:r>
      <w:r>
        <w:rPr>
          <w:rFonts w:hint="eastAsia" w:ascii="宋体" w:hAnsi="宋体" w:eastAsia="宋体" w:cs="宋体"/>
          <w:color w:val="auto"/>
          <w:sz w:val="24"/>
          <w:highlight w:val="none"/>
          <w:lang w:val="en-US" w:eastAsia="zh-CN"/>
        </w:rPr>
        <w:t>优先</w:t>
      </w:r>
      <w:r>
        <w:rPr>
          <w:rFonts w:hint="eastAsia" w:ascii="宋体" w:hAnsi="宋体" w:eastAsia="宋体" w:cs="宋体"/>
          <w:color w:val="auto"/>
          <w:sz w:val="24"/>
          <w:highlight w:val="none"/>
        </w:rPr>
        <w:t>；</w:t>
      </w:r>
    </w:p>
    <w:p w14:paraId="0CDFB37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话务坐席人员特别要求：在服务过程中应保持良好的精神状态；表情自然、亲切；举止大方、有礼；用语文明、规范；着装整齐清洁，仪表仪容整洁端庄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具备电脑软件使用能力适应网络渠道投诉举报接收工作。</w:t>
      </w:r>
    </w:p>
    <w:p w14:paraId="74B83F2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网络(书信)坐席特别要求：熟悉办公软件和设备操作，掌握数据分析、报表制作、文字编辑等能力。</w:t>
      </w:r>
    </w:p>
    <w:p w14:paraId="68A7DAF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管理人员（管理员、主管）特别要求：具备团队管理能力、人际交往及协调能力，有法律相关从业经验为佳,可以招募兼职顾问辅助管理团队提高业务水平和管理水平。</w:t>
      </w:r>
    </w:p>
    <w:p w14:paraId="4A7439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（二）坐席及班次需求</w:t>
      </w:r>
    </w:p>
    <w:p w14:paraId="49BE3C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1、按照接通率和工作任务要求科学合理安排不同类型坐席人员数量，并根据工作日、节假日、重要时间节点等情况及时作出调整，不同类型坐席人员数量可以根据工作需要或甲方要求进行调整。</w:t>
      </w:r>
    </w:p>
    <w:p w14:paraId="662312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2、重大节日和活动保障期间以及紧急情况下，乙方需根据甲方要求保障坐席人数，延长工作时间等。</w:t>
      </w:r>
    </w:p>
    <w:p w14:paraId="6A1DA83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3、班次编排调整需由双方协商确定。</w:t>
      </w:r>
    </w:p>
    <w:p w14:paraId="3265EEF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（三）业务及工作流程要求</w:t>
      </w:r>
    </w:p>
    <w:p w14:paraId="564744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话务坐席人员做好来电、语音等渠道来件的登记、分流、跟踪、催办、归档、回访等工作，在投诉举报系统中准确记录内容，根据业务规范做好咨询答复，按照业务规范分流操作，并做好后续跟踪，积极完善话术和问答知识库。</w:t>
      </w:r>
    </w:p>
    <w:p w14:paraId="420682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网络(书信)坐席人员做好网络、来信、来人来访等渠道来件的登记、分流、跟踪、催办、归档、回访等工作，在投诉举报系统中准确记录内容，根据业务规范做好咨询答复，按照业务规范分流操作，并做好后续跟踪，积极完善话术和问答知识库，完成横向纵向相关方的联络，对相关数据的统计分析并形成相关报表和报告。</w:t>
      </w:r>
    </w:p>
    <w:p w14:paraId="6432824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（3）管理员做好人员管理和班次编排等团队管理工作，编制话术和问答知识库，监控系统日常运行，实施工作人员绩效考核，负责相关方联络沟通和团队文化建设，协助解决</w:t>
      </w:r>
      <w:r>
        <w:rPr>
          <w:rFonts w:hint="eastAsia" w:ascii="宋体" w:hAnsi="宋体" w:eastAsia="宋体" w:cs="宋体"/>
          <w:color w:val="auto"/>
          <w:sz w:val="24"/>
          <w:highlight w:val="none"/>
        </w:rPr>
        <w:t>疑难业务问题，并完成其他招标单位要求的相关工作。</w:t>
      </w:r>
    </w:p>
    <w:p w14:paraId="2B5A58C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第二章　费用结算及相关内容</w:t>
      </w:r>
    </w:p>
    <w:p w14:paraId="1BF0717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第三条 服务外包费用</w:t>
      </w:r>
    </w:p>
    <w:p w14:paraId="0D589BC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甲方承担</w:t>
      </w:r>
      <w:r>
        <w:rPr>
          <w:rFonts w:hint="eastAsia" w:ascii="宋体" w:hAnsi="宋体" w:eastAsia="宋体" w:cs="宋体"/>
          <w:color w:val="auto"/>
          <w:kern w:val="0"/>
          <w:sz w:val="24"/>
          <w:highlight w:val="none"/>
        </w:rPr>
        <w:t>本项目</w:t>
      </w:r>
      <w:r>
        <w:rPr>
          <w:rFonts w:hint="eastAsia" w:ascii="宋体" w:hAnsi="宋体" w:eastAsia="宋体" w:cs="宋体"/>
          <w:bCs/>
          <w:color w:val="auto"/>
          <w:sz w:val="24"/>
          <w:highlight w:val="none"/>
        </w:rPr>
        <w:t>服务外包所产生的费用。</w:t>
      </w:r>
    </w:p>
    <w:p w14:paraId="3E33FF1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服务外包费用合计：￥   </w:t>
      </w:r>
      <w:r>
        <w:rPr>
          <w:rFonts w:hint="eastAsia" w:ascii="宋体" w:hAnsi="宋体" w:eastAsia="宋体" w:cs="宋体"/>
          <w:b/>
          <w:bCs/>
          <w:color w:val="auto"/>
          <w:sz w:val="24"/>
          <w:highlight w:val="none"/>
        </w:rPr>
        <w:t>万元（      元整，含税）</w:t>
      </w:r>
      <w:r>
        <w:rPr>
          <w:rFonts w:hint="eastAsia" w:ascii="宋体" w:hAnsi="宋体" w:eastAsia="宋体" w:cs="宋体"/>
          <w:bCs/>
          <w:color w:val="auto"/>
          <w:sz w:val="24"/>
          <w:highlight w:val="none"/>
        </w:rPr>
        <w:t>。</w:t>
      </w:r>
    </w:p>
    <w:p w14:paraId="057C4D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（五）需求清单</w:t>
      </w:r>
    </w:p>
    <w:tbl>
      <w:tblPr>
        <w:tblStyle w:val="17"/>
        <w:tblW w:w="9508" w:type="dxa"/>
        <w:tblInd w:w="0" w:type="dxa"/>
        <w:tblLayout w:type="fixed"/>
        <w:tblCellMar>
          <w:top w:w="0" w:type="dxa"/>
          <w:left w:w="108" w:type="dxa"/>
          <w:bottom w:w="0" w:type="dxa"/>
          <w:right w:w="108" w:type="dxa"/>
        </w:tblCellMar>
      </w:tblPr>
      <w:tblGrid>
        <w:gridCol w:w="672"/>
        <w:gridCol w:w="583"/>
        <w:gridCol w:w="1165"/>
        <w:gridCol w:w="583"/>
        <w:gridCol w:w="583"/>
        <w:gridCol w:w="5922"/>
      </w:tblGrid>
      <w:tr w14:paraId="2ACAD915">
        <w:tblPrEx>
          <w:tblCellMar>
            <w:top w:w="0" w:type="dxa"/>
            <w:left w:w="108" w:type="dxa"/>
            <w:bottom w:w="0" w:type="dxa"/>
            <w:right w:w="108" w:type="dxa"/>
          </w:tblCellMar>
        </w:tblPrEx>
        <w:trPr>
          <w:trHeight w:val="4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6461">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25BB">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类别</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5F6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FC09">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8C84">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9E21">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参数预估</w:t>
            </w:r>
          </w:p>
        </w:tc>
      </w:tr>
      <w:tr w14:paraId="5A922374">
        <w:tblPrEx>
          <w:tblCellMar>
            <w:top w:w="0" w:type="dxa"/>
            <w:left w:w="108" w:type="dxa"/>
            <w:bottom w:w="0" w:type="dxa"/>
            <w:right w:w="108" w:type="dxa"/>
          </w:tblCellMar>
        </w:tblPrEx>
        <w:trPr>
          <w:trHeight w:val="843"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09C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8F05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人员劳务服务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FD8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话务坐席人员（普通）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8ADB">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792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886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保证平均应发薪酬不低于7.2万/年/人（包括社保等，不得包含管理费、税费），需另配置一定数额团队绩效奖励</w:t>
            </w:r>
          </w:p>
        </w:tc>
      </w:tr>
      <w:tr w14:paraId="08794804">
        <w:tblPrEx>
          <w:tblCellMar>
            <w:top w:w="0" w:type="dxa"/>
            <w:left w:w="108" w:type="dxa"/>
            <w:bottom w:w="0" w:type="dxa"/>
            <w:right w:w="108" w:type="dxa"/>
          </w:tblCellMar>
        </w:tblPrEx>
        <w:trPr>
          <w:trHeight w:val="7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745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331CA">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017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网络(书信)坐席人员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AEB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6E2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1A7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保证平均应发薪酬不低于8万/年/人（包括社保等，不得包含管理费、税费）</w:t>
            </w:r>
          </w:p>
        </w:tc>
      </w:tr>
      <w:tr w14:paraId="705EED76">
        <w:tblPrEx>
          <w:tblCellMar>
            <w:top w:w="0" w:type="dxa"/>
            <w:left w:w="108" w:type="dxa"/>
            <w:bottom w:w="0" w:type="dxa"/>
            <w:right w:w="108" w:type="dxa"/>
          </w:tblCellMar>
        </w:tblPrEx>
        <w:trPr>
          <w:trHeight w:val="7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796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D587">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02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话务坐席人员（班组长）</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E00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638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794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保证平均应发薪酬不低于8万/年/人（包括社保等，不得包含管理费、税费）</w:t>
            </w:r>
          </w:p>
        </w:tc>
      </w:tr>
      <w:tr w14:paraId="5AA56FFE">
        <w:tblPrEx>
          <w:tblCellMar>
            <w:top w:w="0" w:type="dxa"/>
            <w:left w:w="108" w:type="dxa"/>
            <w:bottom w:w="0" w:type="dxa"/>
            <w:right w:w="108" w:type="dxa"/>
          </w:tblCellMar>
        </w:tblPrEx>
        <w:trPr>
          <w:trHeight w:val="76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B9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8510">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88C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数据统计员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626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E56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AA24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保证平均应发薪酬不低于</w:t>
            </w: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万/年/人（包括社保等，不得包含管理费、税费）</w:t>
            </w:r>
          </w:p>
        </w:tc>
      </w:tr>
      <w:tr w14:paraId="5161F8EA">
        <w:tblPrEx>
          <w:tblCellMar>
            <w:top w:w="0" w:type="dxa"/>
            <w:left w:w="108" w:type="dxa"/>
            <w:bottom w:w="0" w:type="dxa"/>
            <w:right w:w="108" w:type="dxa"/>
          </w:tblCellMar>
        </w:tblPrEx>
        <w:trPr>
          <w:trHeight w:val="37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57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5</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AF5A">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32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管理员</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69D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89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A4B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主管级管理员2人，保证平均应发薪酬为11万/年/人（包括社保等，不得包含管理费、税费）；普通管理员1人，保证平均应发薪酬为9.4万/年/人（包括社保等，不得包含管理费、税费）</w:t>
            </w:r>
          </w:p>
        </w:tc>
      </w:tr>
      <w:tr w14:paraId="7E627A83">
        <w:tblPrEx>
          <w:tblCellMar>
            <w:top w:w="0" w:type="dxa"/>
            <w:left w:w="108" w:type="dxa"/>
            <w:bottom w:w="0" w:type="dxa"/>
            <w:right w:w="108" w:type="dxa"/>
          </w:tblCellMar>
        </w:tblPrEx>
        <w:trPr>
          <w:trHeight w:val="5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990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306" w:type="pct"/>
            <w:vMerge w:val="restart"/>
            <w:tcBorders>
              <w:top w:val="single" w:color="000000" w:sz="4" w:space="0"/>
              <w:left w:val="single" w:color="000000" w:sz="4" w:space="0"/>
              <w:right w:val="single" w:color="000000" w:sz="4" w:space="0"/>
            </w:tcBorders>
            <w:shd w:val="clear" w:color="auto" w:fill="auto"/>
            <w:vAlign w:val="center"/>
          </w:tcPr>
          <w:p w14:paraId="086554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培训、文化、用餐</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1A88">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团队文化建设</w:t>
            </w:r>
            <w:r>
              <w:rPr>
                <w:rFonts w:hint="eastAsia" w:ascii="宋体" w:hAnsi="宋体" w:eastAsia="宋体" w:cs="宋体"/>
                <w:color w:val="auto"/>
                <w:kern w:val="0"/>
                <w:sz w:val="21"/>
                <w:szCs w:val="21"/>
                <w:highlight w:val="none"/>
                <w:lang w:eastAsia="zh-CN" w:bidi="ar"/>
              </w:rPr>
              <w:t>与业务培训</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4F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F2B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CA6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参照同业标准</w:t>
            </w:r>
          </w:p>
        </w:tc>
      </w:tr>
      <w:tr w14:paraId="45D6685C">
        <w:tblPrEx>
          <w:tblCellMar>
            <w:top w:w="0" w:type="dxa"/>
            <w:left w:w="108" w:type="dxa"/>
            <w:bottom w:w="0" w:type="dxa"/>
            <w:right w:w="108" w:type="dxa"/>
          </w:tblCellMar>
        </w:tblPrEx>
        <w:trPr>
          <w:trHeight w:val="42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DA6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w:t>
            </w:r>
          </w:p>
        </w:tc>
        <w:tc>
          <w:tcPr>
            <w:tcW w:w="306" w:type="pct"/>
            <w:vMerge w:val="continue"/>
            <w:tcBorders>
              <w:left w:val="single" w:color="000000" w:sz="4" w:space="0"/>
              <w:right w:val="single" w:color="000000" w:sz="4" w:space="0"/>
            </w:tcBorders>
            <w:shd w:val="clear" w:color="auto" w:fill="auto"/>
            <w:vAlign w:val="center"/>
          </w:tcPr>
          <w:p w14:paraId="21F3E38A">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41E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用餐费用（含搭伙费）</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8F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624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7C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4800元/年/人（含搭伙费2400元/年/人）</w:t>
            </w:r>
          </w:p>
        </w:tc>
      </w:tr>
      <w:tr w14:paraId="7779DE24">
        <w:tblPrEx>
          <w:tblCellMar>
            <w:top w:w="0" w:type="dxa"/>
            <w:left w:w="108" w:type="dxa"/>
            <w:bottom w:w="0" w:type="dxa"/>
            <w:right w:w="108" w:type="dxa"/>
          </w:tblCellMar>
        </w:tblPrEx>
        <w:trPr>
          <w:trHeight w:val="42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B8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w:t>
            </w:r>
          </w:p>
        </w:tc>
        <w:tc>
          <w:tcPr>
            <w:tcW w:w="306" w:type="pct"/>
            <w:vMerge w:val="continue"/>
            <w:tcBorders>
              <w:left w:val="single" w:color="000000" w:sz="4" w:space="0"/>
              <w:bottom w:val="single" w:color="000000" w:sz="4" w:space="0"/>
              <w:right w:val="single" w:color="000000" w:sz="4" w:space="0"/>
            </w:tcBorders>
            <w:shd w:val="clear" w:color="auto" w:fill="auto"/>
            <w:vAlign w:val="center"/>
          </w:tcPr>
          <w:p w14:paraId="0B6D4B71">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74F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服装</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AF4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9F4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57E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统一工装：西服一套衬衫两长两短</w:t>
            </w:r>
          </w:p>
        </w:tc>
      </w:tr>
      <w:tr w14:paraId="41E7BBCB">
        <w:tblPrEx>
          <w:tblCellMar>
            <w:top w:w="0" w:type="dxa"/>
            <w:left w:w="108" w:type="dxa"/>
            <w:bottom w:w="0" w:type="dxa"/>
            <w:right w:w="108" w:type="dxa"/>
          </w:tblCellMar>
        </w:tblPrEx>
        <w:trPr>
          <w:trHeight w:val="70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909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w:t>
            </w:r>
          </w:p>
        </w:tc>
        <w:tc>
          <w:tcPr>
            <w:tcW w:w="306" w:type="pct"/>
            <w:vMerge w:val="restart"/>
            <w:tcBorders>
              <w:top w:val="single" w:color="000000" w:sz="4" w:space="0"/>
              <w:left w:val="single" w:color="000000" w:sz="4" w:space="0"/>
              <w:right w:val="single" w:color="000000" w:sz="4" w:space="0"/>
            </w:tcBorders>
            <w:shd w:val="clear" w:color="auto" w:fill="auto"/>
            <w:noWrap/>
            <w:vAlign w:val="center"/>
          </w:tcPr>
          <w:p w14:paraId="5DC3D75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w:t>
            </w:r>
          </w:p>
          <w:p w14:paraId="647EAA2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D4DE">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话务坐席租赁（含软硬件）</w:t>
            </w:r>
            <w:r>
              <w:rPr>
                <w:rFonts w:hint="eastAsia" w:ascii="宋体" w:hAnsi="宋体" w:eastAsia="宋体" w:cs="宋体"/>
                <w:color w:val="auto"/>
                <w:kern w:val="0"/>
                <w:sz w:val="21"/>
                <w:szCs w:val="21"/>
                <w:highlight w:val="none"/>
                <w:lang w:eastAsia="zh-CN" w:bidi="ar"/>
              </w:rPr>
              <w:t>及系统对接维护</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A9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102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BEDC">
            <w:pPr>
              <w:widowControl/>
              <w:numPr>
                <w:ilvl w:val="0"/>
                <w:numId w:val="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配置全媒体坐席软件和数据录入软件,</w:t>
            </w:r>
            <w:r>
              <w:rPr>
                <w:rFonts w:hint="eastAsia" w:ascii="宋体" w:hAnsi="宋体" w:eastAsia="宋体" w:cs="宋体"/>
                <w:color w:val="auto"/>
                <w:kern w:val="0"/>
                <w:sz w:val="21"/>
                <w:szCs w:val="21"/>
                <w:highlight w:val="none"/>
                <w:lang w:eastAsia="zh-CN" w:bidi="ar"/>
              </w:rPr>
              <w:t>支持</w:t>
            </w:r>
            <w:r>
              <w:rPr>
                <w:rFonts w:hint="eastAsia" w:ascii="宋体" w:hAnsi="宋体" w:eastAsia="宋体" w:cs="宋体"/>
                <w:color w:val="auto"/>
                <w:kern w:val="0"/>
                <w:sz w:val="21"/>
                <w:szCs w:val="21"/>
                <w:highlight w:val="none"/>
                <w:lang w:bidi="ar"/>
              </w:rPr>
              <w:t>与市场监管总局全国12315平台</w:t>
            </w:r>
            <w:r>
              <w:rPr>
                <w:rFonts w:hint="eastAsia" w:ascii="宋体" w:hAnsi="宋体" w:eastAsia="宋体" w:cs="宋体"/>
                <w:color w:val="auto"/>
                <w:kern w:val="0"/>
                <w:sz w:val="21"/>
                <w:szCs w:val="21"/>
                <w:highlight w:val="none"/>
                <w:lang w:eastAsia="zh-CN" w:bidi="ar"/>
              </w:rPr>
              <w:t>保持</w:t>
            </w:r>
            <w:r>
              <w:rPr>
                <w:rFonts w:hint="eastAsia" w:ascii="宋体" w:hAnsi="宋体" w:eastAsia="宋体" w:cs="宋体"/>
                <w:color w:val="auto"/>
                <w:kern w:val="0"/>
                <w:sz w:val="21"/>
                <w:szCs w:val="21"/>
                <w:highlight w:val="none"/>
                <w:lang w:bidi="ar"/>
              </w:rPr>
              <w:t>数据</w:t>
            </w:r>
            <w:r>
              <w:rPr>
                <w:rFonts w:hint="eastAsia" w:ascii="宋体" w:hAnsi="宋体" w:eastAsia="宋体" w:cs="宋体"/>
                <w:color w:val="auto"/>
                <w:kern w:val="0"/>
                <w:sz w:val="21"/>
                <w:szCs w:val="21"/>
                <w:highlight w:val="none"/>
                <w:lang w:eastAsia="zh-CN" w:bidi="ar"/>
              </w:rPr>
              <w:t>互通和软件适配</w:t>
            </w:r>
            <w:r>
              <w:rPr>
                <w:rFonts w:hint="eastAsia" w:ascii="宋体" w:hAnsi="宋体" w:eastAsia="宋体" w:cs="宋体"/>
                <w:color w:val="auto"/>
                <w:kern w:val="0"/>
                <w:sz w:val="21"/>
                <w:szCs w:val="21"/>
                <w:highlight w:val="none"/>
                <w:lang w:bidi="ar"/>
              </w:rPr>
              <w:t>；与12345话务互联互通</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实现语音导航和一键呼转。</w:t>
            </w:r>
          </w:p>
          <w:p w14:paraId="27FB9415">
            <w:pPr>
              <w:widowControl/>
              <w:numPr>
                <w:ilvl w:val="0"/>
                <w:numId w:val="4"/>
              </w:numPr>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国产电脑（8G内存、256G硬盘、23.8寸显示器）；IP电话机与坐席用配套耳麦</w:t>
            </w:r>
            <w:r>
              <w:rPr>
                <w:rFonts w:hint="eastAsia" w:ascii="宋体" w:hAnsi="宋体" w:eastAsia="宋体" w:cs="宋体"/>
                <w:color w:val="auto"/>
                <w:kern w:val="0"/>
                <w:sz w:val="21"/>
                <w:szCs w:val="21"/>
                <w:highlight w:val="none"/>
                <w:lang w:eastAsia="zh-CN" w:bidi="ar"/>
              </w:rPr>
              <w:t>。</w:t>
            </w:r>
          </w:p>
          <w:p w14:paraId="1B29E860">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做好</w:t>
            </w:r>
            <w:r>
              <w:rPr>
                <w:rFonts w:hint="eastAsia" w:ascii="宋体" w:hAnsi="宋体" w:eastAsia="宋体" w:cs="宋体"/>
                <w:color w:val="auto"/>
                <w:kern w:val="0"/>
                <w:sz w:val="21"/>
                <w:szCs w:val="21"/>
                <w:highlight w:val="none"/>
                <w:lang w:eastAsia="zh-CN" w:bidi="ar"/>
              </w:rPr>
              <w:t>系统对接维护</w:t>
            </w:r>
            <w:r>
              <w:rPr>
                <w:rFonts w:hint="eastAsia" w:ascii="宋体" w:hAnsi="宋体" w:eastAsia="宋体" w:cs="宋体"/>
                <w:color w:val="auto"/>
                <w:kern w:val="0"/>
                <w:sz w:val="21"/>
                <w:szCs w:val="21"/>
                <w:highlight w:val="none"/>
                <w:lang w:val="en-US" w:eastAsia="zh-CN" w:bidi="ar"/>
              </w:rPr>
              <w:t>工作；</w:t>
            </w:r>
          </w:p>
          <w:p w14:paraId="104E5A19">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办公设备与耗材按实际需要添置，并及时维修维护；</w:t>
            </w:r>
          </w:p>
          <w:p w14:paraId="746DCD6C">
            <w:pPr>
              <w:widowControl/>
              <w:numPr>
                <w:ilvl w:val="0"/>
                <w:numId w:val="4"/>
              </w:numPr>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确保网络、电话通讯顺畅；</w:t>
            </w:r>
          </w:p>
          <w:p w14:paraId="74760BC7">
            <w:pPr>
              <w:widowControl/>
              <w:numPr>
                <w:ilvl w:val="0"/>
                <w:numId w:val="4"/>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负责办公场地的环境文化建设</w:t>
            </w:r>
            <w:r>
              <w:rPr>
                <w:rFonts w:hint="eastAsia" w:ascii="宋体" w:hAnsi="宋体" w:eastAsia="宋体" w:cs="宋体"/>
                <w:color w:val="auto"/>
                <w:kern w:val="0"/>
                <w:sz w:val="21"/>
                <w:szCs w:val="21"/>
                <w:highlight w:val="none"/>
                <w:lang w:eastAsia="zh-CN" w:bidi="ar"/>
              </w:rPr>
              <w:t>。</w:t>
            </w:r>
          </w:p>
        </w:tc>
      </w:tr>
      <w:tr w14:paraId="54911CA9">
        <w:tblPrEx>
          <w:tblCellMar>
            <w:top w:w="0" w:type="dxa"/>
            <w:left w:w="108" w:type="dxa"/>
            <w:bottom w:w="0" w:type="dxa"/>
            <w:right w:w="108" w:type="dxa"/>
          </w:tblCellMar>
        </w:tblPrEx>
        <w:trPr>
          <w:trHeight w:val="65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CB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306" w:type="pct"/>
            <w:vMerge w:val="continue"/>
            <w:tcBorders>
              <w:left w:val="single" w:color="000000" w:sz="4" w:space="0"/>
              <w:right w:val="single" w:color="000000" w:sz="4" w:space="0"/>
            </w:tcBorders>
            <w:shd w:val="clear" w:color="auto" w:fill="auto"/>
            <w:noWrap/>
            <w:vAlign w:val="center"/>
          </w:tcPr>
          <w:p w14:paraId="1F0DE9AE">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8EE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话务坐席居家灾备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5E1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4FA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席</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C17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按照全年开启10席共1个月估算</w:t>
            </w:r>
          </w:p>
        </w:tc>
      </w:tr>
      <w:tr w14:paraId="786C32F3">
        <w:tblPrEx>
          <w:tblCellMar>
            <w:top w:w="0" w:type="dxa"/>
            <w:left w:w="108" w:type="dxa"/>
            <w:bottom w:w="0" w:type="dxa"/>
            <w:right w:w="108" w:type="dxa"/>
          </w:tblCellMar>
        </w:tblPrEx>
        <w:trPr>
          <w:trHeight w:val="63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5A8D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w:t>
            </w:r>
          </w:p>
        </w:tc>
        <w:tc>
          <w:tcPr>
            <w:tcW w:w="306" w:type="pct"/>
            <w:vMerge w:val="continue"/>
            <w:tcBorders>
              <w:left w:val="single" w:color="000000" w:sz="4" w:space="0"/>
              <w:right w:val="single" w:color="000000" w:sz="4" w:space="0"/>
            </w:tcBorders>
            <w:shd w:val="clear" w:color="auto" w:fill="auto"/>
            <w:noWrap/>
            <w:vAlign w:val="center"/>
          </w:tcPr>
          <w:p w14:paraId="6EB49C88">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397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智能导航及短信提醒</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8C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525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88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开设1路智能导航；多次拨打12315热线未接通的，发送短信提醒</w:t>
            </w:r>
          </w:p>
        </w:tc>
      </w:tr>
      <w:tr w14:paraId="49B3D685">
        <w:tblPrEx>
          <w:tblCellMar>
            <w:top w:w="0" w:type="dxa"/>
            <w:left w:w="108" w:type="dxa"/>
            <w:bottom w:w="0" w:type="dxa"/>
            <w:right w:w="108" w:type="dxa"/>
          </w:tblCellMar>
        </w:tblPrEx>
        <w:trPr>
          <w:trHeight w:val="635"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70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2</w:t>
            </w:r>
          </w:p>
        </w:tc>
        <w:tc>
          <w:tcPr>
            <w:tcW w:w="306" w:type="pct"/>
            <w:vMerge w:val="continue"/>
            <w:tcBorders>
              <w:left w:val="single" w:color="000000" w:sz="4" w:space="0"/>
              <w:right w:val="single" w:color="000000" w:sz="4" w:space="0"/>
            </w:tcBorders>
            <w:shd w:val="clear" w:color="auto" w:fill="auto"/>
            <w:noWrap/>
            <w:vAlign w:val="center"/>
          </w:tcPr>
          <w:p w14:paraId="68ED70CF">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30C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智能AI语音系统</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A08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7CB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AF3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开发智能AI语音系统，提供AI训练、上机训练等辅助功能，实现辅助话务接听服务；</w:t>
            </w:r>
          </w:p>
          <w:p w14:paraId="6CD2509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成果知识产权归属采购人。</w:t>
            </w:r>
          </w:p>
        </w:tc>
      </w:tr>
      <w:tr w14:paraId="5E01B6A9">
        <w:tblPrEx>
          <w:tblCellMar>
            <w:top w:w="0" w:type="dxa"/>
            <w:left w:w="108" w:type="dxa"/>
            <w:bottom w:w="0" w:type="dxa"/>
            <w:right w:w="108" w:type="dxa"/>
          </w:tblCellMar>
        </w:tblPrEx>
        <w:trPr>
          <w:trHeight w:val="84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DA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13</w:t>
            </w:r>
          </w:p>
        </w:tc>
        <w:tc>
          <w:tcPr>
            <w:tcW w:w="306" w:type="pct"/>
            <w:vMerge w:val="continue"/>
            <w:tcBorders>
              <w:left w:val="single" w:color="000000" w:sz="4" w:space="0"/>
              <w:right w:val="single" w:color="000000" w:sz="4" w:space="0"/>
            </w:tcBorders>
            <w:shd w:val="clear" w:color="auto" w:fill="auto"/>
            <w:noWrap/>
            <w:vAlign w:val="center"/>
          </w:tcPr>
          <w:p w14:paraId="585C44EE">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auto" w:sz="4" w:space="0"/>
              <w:right w:val="single" w:color="000000" w:sz="4" w:space="0"/>
            </w:tcBorders>
            <w:shd w:val="clear" w:color="auto" w:fill="auto"/>
            <w:vAlign w:val="center"/>
          </w:tcPr>
          <w:p w14:paraId="0C557B3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网络环境配置</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B8C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468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9D48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配置交换机、防火墙；CN2专线两条（主备各一条），20M带宽</w:t>
            </w:r>
          </w:p>
        </w:tc>
      </w:tr>
      <w:tr w14:paraId="27D5EF00">
        <w:tblPrEx>
          <w:tblCellMar>
            <w:top w:w="0" w:type="dxa"/>
            <w:left w:w="108" w:type="dxa"/>
            <w:bottom w:w="0" w:type="dxa"/>
            <w:right w:w="108" w:type="dxa"/>
          </w:tblCellMar>
        </w:tblPrEx>
        <w:trPr>
          <w:trHeight w:val="62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F3D9">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14</w:t>
            </w:r>
          </w:p>
        </w:tc>
        <w:tc>
          <w:tcPr>
            <w:tcW w:w="306" w:type="pct"/>
            <w:vMerge w:val="continue"/>
            <w:tcBorders>
              <w:left w:val="single" w:color="000000" w:sz="4" w:space="0"/>
              <w:bottom w:val="single" w:color="auto" w:sz="4" w:space="0"/>
              <w:right w:val="single" w:color="000000" w:sz="4" w:space="0"/>
            </w:tcBorders>
            <w:shd w:val="clear" w:color="auto" w:fill="auto"/>
            <w:noWrap/>
            <w:vAlign w:val="center"/>
          </w:tcPr>
          <w:p w14:paraId="6AB07475">
            <w:pPr>
              <w:jc w:val="center"/>
              <w:rPr>
                <w:rFonts w:hint="eastAsia" w:ascii="宋体" w:hAnsi="宋体" w:eastAsia="宋体" w:cs="宋体"/>
                <w:color w:val="auto"/>
                <w:sz w:val="21"/>
                <w:szCs w:val="21"/>
                <w:highlight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252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数据分析报表</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291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8D1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31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66BA">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上级有关部门要求的月报、季报、半年分析、年度分析等</w:t>
            </w:r>
          </w:p>
        </w:tc>
      </w:tr>
    </w:tbl>
    <w:p w14:paraId="1B5F3DBE">
      <w:pPr>
        <w:spacing w:line="360" w:lineRule="auto"/>
        <w:jc w:val="center"/>
        <w:rPr>
          <w:rFonts w:hint="eastAsia" w:ascii="宋体" w:hAnsi="宋体" w:eastAsia="宋体" w:cs="宋体"/>
          <w:b/>
          <w:color w:val="auto"/>
          <w:sz w:val="24"/>
          <w:highlight w:val="none"/>
        </w:rPr>
      </w:pPr>
    </w:p>
    <w:p w14:paraId="163F8E2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注：话务坐席人员、网络(书信)坐席人员数量及两类人员总量可根据实际情况作调整，调整范围在总劳务服务工作量范围内。</w:t>
      </w:r>
    </w:p>
    <w:p w14:paraId="20547736">
      <w:pPr>
        <w:spacing w:line="360" w:lineRule="auto"/>
        <w:rPr>
          <w:rFonts w:hint="eastAsia" w:ascii="宋体" w:hAnsi="宋体" w:eastAsia="宋体" w:cs="宋体"/>
          <w:bCs/>
          <w:color w:val="auto"/>
          <w:sz w:val="24"/>
          <w:highlight w:val="none"/>
        </w:rPr>
      </w:pPr>
    </w:p>
    <w:p w14:paraId="2740373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第四条  款项支付</w:t>
      </w:r>
    </w:p>
    <w:p w14:paraId="283A1345">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第一期：</w:t>
      </w:r>
      <w:r>
        <w:rPr>
          <w:rFonts w:hint="eastAsia" w:ascii="宋体" w:hAnsi="宋体" w:eastAsia="宋体" w:cs="宋体"/>
          <w:bCs/>
          <w:color w:val="auto"/>
          <w:sz w:val="24"/>
          <w:highlight w:val="none"/>
        </w:rPr>
        <w:t>合同生效以及具备实施</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付款</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条件后，甲方收到乙方发票7个工作日内支付合同价值50%的服务款（预付款），</w:t>
      </w:r>
    </w:p>
    <w:p w14:paraId="47F456D2">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第二期：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经</w:t>
      </w:r>
      <w:r>
        <w:rPr>
          <w:rFonts w:hint="eastAsia" w:ascii="宋体" w:hAnsi="宋体" w:cs="宋体"/>
          <w:bCs/>
          <w:color w:val="auto"/>
          <w:sz w:val="24"/>
          <w:highlight w:val="none"/>
          <w:lang w:val="en-US" w:eastAsia="zh-CN"/>
        </w:rPr>
        <w:t>中期</w:t>
      </w:r>
      <w:r>
        <w:rPr>
          <w:rFonts w:hint="eastAsia" w:ascii="宋体" w:hAnsi="宋体" w:eastAsia="宋体" w:cs="宋体"/>
          <w:bCs/>
          <w:color w:val="auto"/>
          <w:sz w:val="24"/>
          <w:highlight w:val="none"/>
          <w:lang w:val="en-US" w:eastAsia="zh-CN"/>
        </w:rPr>
        <w:t>考核通过</w:t>
      </w:r>
      <w:r>
        <w:rPr>
          <w:rFonts w:hint="eastAsia" w:ascii="宋体" w:hAnsi="宋体" w:eastAsia="宋体" w:cs="宋体"/>
          <w:bCs/>
          <w:color w:val="auto"/>
          <w:sz w:val="24"/>
          <w:highlight w:val="none"/>
        </w:rPr>
        <w:t>，项目运行正常，甲方收到乙方发票7个工作日内支付合同价值40%的服务款；</w:t>
      </w:r>
    </w:p>
    <w:p w14:paraId="7D70B6CB">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第三期：</w:t>
      </w:r>
      <w:r>
        <w:rPr>
          <w:rFonts w:hint="eastAsia" w:ascii="宋体" w:hAnsi="宋体" w:eastAsia="宋体" w:cs="宋体"/>
          <w:bCs/>
          <w:color w:val="auto"/>
          <w:sz w:val="24"/>
          <w:highlight w:val="none"/>
        </w:rPr>
        <w:t>验收通过后，甲方收到乙方发票7个工作日内支付合同余款。</w:t>
      </w:r>
    </w:p>
    <w:p w14:paraId="262C9C42">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乙方账户信息：</w:t>
      </w:r>
    </w:p>
    <w:p w14:paraId="0306B4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开户行：</w:t>
      </w:r>
    </w:p>
    <w:p w14:paraId="32D5858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银行地址：</w:t>
      </w:r>
    </w:p>
    <w:p w14:paraId="26F190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户名：</w:t>
      </w:r>
    </w:p>
    <w:p w14:paraId="5FB040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14:paraId="698170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纳税人识别号：</w:t>
      </w:r>
    </w:p>
    <w:p w14:paraId="748ABB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p>
    <w:p w14:paraId="1347DE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p>
    <w:p w14:paraId="42D731AB">
      <w:pPr>
        <w:spacing w:line="360" w:lineRule="auto"/>
        <w:rPr>
          <w:rFonts w:hint="eastAsia" w:ascii="宋体" w:hAnsi="宋体" w:eastAsia="宋体" w:cs="宋体"/>
          <w:bCs/>
          <w:color w:val="auto"/>
          <w:sz w:val="24"/>
          <w:highlight w:val="none"/>
        </w:rPr>
      </w:pPr>
    </w:p>
    <w:p w14:paraId="318B1201">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第三章　双方权利和义务</w:t>
      </w:r>
    </w:p>
    <w:p w14:paraId="4782E5D1">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第五条  甲方的责任和义务</w:t>
      </w:r>
    </w:p>
    <w:p w14:paraId="7C9DD4F9">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（一）甲方负责协调与有关部门的工作衔接，确保项目的顺利开展。</w:t>
      </w:r>
    </w:p>
    <w:p w14:paraId="1A61A006">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（二）甲方安排专人作为与乙方项目组的联系人。</w:t>
      </w:r>
    </w:p>
    <w:p w14:paraId="2BA87EC9">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（三）甲方承担本次外包服务所发生的费用，并根据双方约定条款进行费用支付。</w:t>
      </w:r>
    </w:p>
    <w:p w14:paraId="7150467E">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（四）甲方为乙方提供相关业务流程和规范的指导，协助乙方对工作人员开展培训和团队文化建设。</w:t>
      </w:r>
    </w:p>
    <w:p w14:paraId="2F0BF92B">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（五）甲方负责提供业务内容的真实性、安全性、准确性，纯因甲方信息内容错误所引发的法律纠纷，由甲方负责解决。</w:t>
      </w:r>
    </w:p>
    <w:p w14:paraId="1DA841D7">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第六条 乙方的责任和义务</w:t>
      </w:r>
    </w:p>
    <w:p w14:paraId="3F9D82AE">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（一）乙方负责按服务外包项目要求提供工作人员，并根据工作需要和实际情况及时调整人员和班次，现有工作人员，如愿意继续从事本工作的，乙方需无条件接收。</w:t>
      </w:r>
    </w:p>
    <w:p w14:paraId="6C28BFDF">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（二）乙方成立专门的项目小组及联系人，与甲方沟通协调处理服务外包相关的一切事务，确保该项目按照合同要求执行。</w:t>
      </w:r>
    </w:p>
    <w:p w14:paraId="2B466A93">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（三）乙方负责督促工作人员按照服务外包内容和要求做好相关工作，并负责工作人员的业务培训和团队文化建设。</w:t>
      </w:r>
    </w:p>
    <w:p w14:paraId="33EDADB0">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（四）乙方负责服务外包项目经费的合法规范使用。乙方为项目运行需要购买的设备，其所有权归乙方，达到使用年限后由乙方做报废处置。</w:t>
      </w:r>
    </w:p>
    <w:p w14:paraId="2F0CCD42">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（五）乙方在完成服务外包项目内容过程中，对于数据统计分析、软硬件环境维护等工作认为需要专业支持的，可以寻求第三方协助，相关费用由乙方自行解决。</w:t>
      </w:r>
    </w:p>
    <w:p w14:paraId="6371D777">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（六）乙方工作人员因工作疏忽或操作不当等造成投诉甚至法律纠纷的，由乙方负责解决。</w:t>
      </w:r>
    </w:p>
    <w:p w14:paraId="2FB5EF70">
      <w:pPr>
        <w:spacing w:line="360" w:lineRule="auto"/>
        <w:jc w:val="left"/>
        <w:rPr>
          <w:rFonts w:hint="eastAsia" w:ascii="宋体" w:hAnsi="宋体" w:eastAsia="宋体" w:cs="宋体"/>
          <w:bCs/>
          <w:color w:val="auto"/>
          <w:sz w:val="24"/>
          <w:highlight w:val="none"/>
        </w:rPr>
      </w:pPr>
    </w:p>
    <w:p w14:paraId="4C83F49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第四章 监督考核指标</w:t>
      </w:r>
    </w:p>
    <w:p w14:paraId="4303551D">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第七条甲方有权对乙方工作进行全面监督，对乙方5项业务指标进行督查考核。</w:t>
      </w:r>
    </w:p>
    <w:p w14:paraId="16DE76B8">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项业务指标】</w:t>
      </w:r>
    </w:p>
    <w:p w14:paraId="0C03F5CB">
      <w:pPr>
        <w:numPr>
          <w:ilvl w:val="0"/>
          <w:numId w:val="0"/>
        </w:num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kern w:val="2"/>
          <w:sz w:val="24"/>
          <w:szCs w:val="22"/>
          <w:highlight w:val="none"/>
          <w:lang w:val="en-US" w:eastAsia="zh-CN" w:bidi="ar-SA"/>
        </w:rPr>
        <w:t>（1）</w:t>
      </w:r>
      <w:r>
        <w:rPr>
          <w:rFonts w:hint="eastAsia" w:ascii="宋体" w:hAnsi="宋体" w:eastAsia="宋体" w:cs="宋体"/>
          <w:bCs/>
          <w:color w:val="auto"/>
          <w:sz w:val="24"/>
          <w:highlight w:val="none"/>
        </w:rPr>
        <w:t>综合接通率：要求日平均≥90%。(人工接通率：人工接起量/进人工队列量，要求月度人工接通率≥20%。)</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（2）用工时长：在线工作时间/上岗时间，要求月平均≥60%。</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（3）责任投诉：因工作人员业务差错等原因引起的有责投诉，要求月平均≤受理总量1‰。</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（4）受理单质量差错率：存在明显质量问题的登记单/总登记单，要求月平均≤2%。</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（5）人员流失率：</w:t>
      </w:r>
      <w:r>
        <w:rPr>
          <w:rFonts w:hint="eastAsia" w:ascii="宋体" w:hAnsi="宋体" w:eastAsia="宋体" w:cs="宋体"/>
          <w:color w:val="auto"/>
          <w:sz w:val="24"/>
          <w:highlight w:val="none"/>
        </w:rPr>
        <w:t>员工流失率</w:t>
      </w:r>
      <w:r>
        <w:rPr>
          <w:rFonts w:hint="eastAsia" w:ascii="宋体" w:hAnsi="宋体" w:eastAsia="宋体" w:cs="宋体"/>
          <w:color w:val="auto"/>
          <w:sz w:val="24"/>
          <w:highlight w:val="none"/>
          <w:lang w:val="en-US" w:eastAsia="zh-CN"/>
        </w:rPr>
        <w:t>平均</w:t>
      </w:r>
      <w:r>
        <w:rPr>
          <w:rFonts w:hint="eastAsia" w:ascii="宋体" w:hAnsi="宋体" w:eastAsia="宋体" w:cs="宋体"/>
          <w:color w:val="auto"/>
          <w:sz w:val="24"/>
          <w:highlight w:val="none"/>
        </w:rPr>
        <w:t>每月不得超过</w:t>
      </w:r>
      <w:r>
        <w:rPr>
          <w:rFonts w:hint="eastAsia" w:ascii="宋体" w:hAnsi="宋体" w:eastAsia="宋体" w:cs="宋体"/>
          <w:color w:val="auto"/>
          <w:sz w:val="24"/>
          <w:highlight w:val="none"/>
          <w:lang w:val="en-US" w:eastAsia="zh-CN"/>
        </w:rPr>
        <w:t>2人</w:t>
      </w:r>
      <w:r>
        <w:rPr>
          <w:rFonts w:hint="eastAsia" w:ascii="宋体" w:hAnsi="宋体" w:eastAsia="宋体" w:cs="宋体"/>
          <w:color w:val="auto"/>
          <w:sz w:val="24"/>
          <w:highlight w:val="none"/>
        </w:rPr>
        <w:t>（考上行政事业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社区</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等不计入本考核指标</w:t>
      </w:r>
      <w:r>
        <w:rPr>
          <w:rFonts w:hint="eastAsia" w:ascii="宋体" w:hAnsi="宋体" w:eastAsia="宋体" w:cs="宋体"/>
          <w:color w:val="auto"/>
          <w:sz w:val="24"/>
          <w:highlight w:val="none"/>
        </w:rPr>
        <w:t>）</w:t>
      </w:r>
    </w:p>
    <w:p w14:paraId="4235F8B7">
      <w:pPr>
        <w:numPr>
          <w:ilvl w:val="0"/>
          <w:numId w:val="0"/>
        </w:numPr>
        <w:spacing w:line="360" w:lineRule="auto"/>
        <w:ind w:lef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(6)备岗人员（储备工作人员）需满足岗位招聘要求，并经考核通过后上岗。</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第八条 乙方负责制定和实施对工作人员的考核工作，并将考核结果报甲方。</w:t>
      </w:r>
    </w:p>
    <w:p w14:paraId="623E8F81">
      <w:pPr>
        <w:spacing w:line="360" w:lineRule="auto"/>
        <w:jc w:val="left"/>
        <w:rPr>
          <w:rFonts w:hint="eastAsia" w:ascii="宋体" w:hAnsi="宋体" w:eastAsia="宋体" w:cs="宋体"/>
          <w:bCs/>
          <w:color w:val="auto"/>
          <w:sz w:val="24"/>
          <w:highlight w:val="none"/>
        </w:rPr>
      </w:pPr>
    </w:p>
    <w:p w14:paraId="333E724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第五章  保密条款</w:t>
      </w:r>
    </w:p>
    <w:p w14:paraId="40CE0815">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第九条 甲、乙双方及双方员工均对本协议及本协议的补充协议、附件等所有内容均承担无限期保密义务，直至上述内容被双方共同宣布解密或者秘密信息实际上已经公开。</w:t>
      </w:r>
      <w:r>
        <w:rPr>
          <w:rFonts w:hint="eastAsia" w:ascii="宋体" w:hAnsi="宋体" w:eastAsia="宋体" w:cs="宋体"/>
          <w:b/>
          <w:bCs/>
          <w:color w:val="auto"/>
          <w:sz w:val="24"/>
          <w:highlight w:val="none"/>
        </w:rPr>
        <w:t>乙方</w:t>
      </w:r>
      <w:r>
        <w:rPr>
          <w:rFonts w:hint="eastAsia" w:ascii="宋体" w:hAnsi="宋体" w:eastAsia="宋体" w:cs="宋体"/>
          <w:b/>
          <w:color w:val="auto"/>
          <w:sz w:val="24"/>
          <w:highlight w:val="none"/>
        </w:rPr>
        <w:t>必须与其员工签署保密协议，确保提供劳务服务过程中接触到的投诉举报数据、分析报告、文件资料等不泄露。</w:t>
      </w:r>
      <w:r>
        <w:rPr>
          <w:rFonts w:hint="eastAsia" w:ascii="宋体" w:hAnsi="宋体" w:eastAsia="宋体" w:cs="宋体"/>
          <w:bCs/>
          <w:color w:val="auto"/>
          <w:sz w:val="24"/>
          <w:highlight w:val="none"/>
        </w:rPr>
        <w:t>乙方及乙方的员工应当对服务过程中接触到的甲方的所有资料（包括举报投诉系统内的资料）进行保密，不得泄露，否则将承担相应法律后果。</w:t>
      </w:r>
      <w:r>
        <w:rPr>
          <w:rFonts w:hint="eastAsia" w:ascii="宋体" w:hAnsi="宋体" w:eastAsia="宋体" w:cs="宋体"/>
          <w:b/>
          <w:bCs/>
          <w:color w:val="auto"/>
          <w:sz w:val="24"/>
          <w:highlight w:val="none"/>
        </w:rPr>
        <w:t>乙方应当将员工违反保密协议行为将予以开除处理的条款写入劳务合同。</w:t>
      </w:r>
    </w:p>
    <w:p w14:paraId="6BABEA92">
      <w:pPr>
        <w:spacing w:line="360" w:lineRule="auto"/>
        <w:jc w:val="left"/>
        <w:rPr>
          <w:rFonts w:hint="eastAsia" w:ascii="宋体" w:hAnsi="宋体" w:eastAsia="宋体" w:cs="宋体"/>
          <w:bCs/>
          <w:color w:val="auto"/>
          <w:sz w:val="24"/>
          <w:highlight w:val="none"/>
        </w:rPr>
      </w:pPr>
    </w:p>
    <w:p w14:paraId="4E683A9D">
      <w:pPr>
        <w:spacing w:line="360" w:lineRule="auto"/>
        <w:ind w:firstLine="472" w:firstLineChars="196"/>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第六章  服务时间、地点</w:t>
      </w:r>
    </w:p>
    <w:p w14:paraId="48B6FF02">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第十条 服务地点：</w:t>
      </w:r>
      <w:r>
        <w:rPr>
          <w:rFonts w:hint="eastAsia" w:ascii="宋体" w:hAnsi="宋体" w:eastAsia="宋体" w:cs="宋体"/>
          <w:bCs/>
          <w:color w:val="auto"/>
          <w:sz w:val="24"/>
          <w:highlight w:val="none"/>
          <w:u w:val="single"/>
        </w:rPr>
        <w:t>杭州市市场监督管理局</w:t>
      </w:r>
      <w:r>
        <w:rPr>
          <w:rFonts w:hint="eastAsia" w:ascii="宋体" w:hAnsi="宋体" w:eastAsia="宋体" w:cs="宋体"/>
          <w:bCs/>
          <w:color w:val="auto"/>
          <w:sz w:val="24"/>
          <w:highlight w:val="none"/>
        </w:rPr>
        <w:t>。</w:t>
      </w:r>
    </w:p>
    <w:p w14:paraId="127A91BE">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第十一条 实施进度：</w:t>
      </w:r>
      <w:r>
        <w:rPr>
          <w:rFonts w:hint="eastAsia" w:ascii="宋体" w:hAnsi="宋体" w:cs="宋体"/>
          <w:color w:val="auto"/>
          <w:sz w:val="24"/>
          <w:highlight w:val="none"/>
          <w:u w:val="single"/>
          <w:lang w:val="en-US" w:eastAsia="zh-CN"/>
        </w:rPr>
        <w:t xml:space="preserve">                      </w:t>
      </w:r>
      <w:r>
        <w:rPr>
          <w:rFonts w:hint="eastAsia" w:ascii="宋体" w:hAnsi="宋体" w:eastAsia="宋体" w:cs="宋体"/>
          <w:bCs/>
          <w:color w:val="auto"/>
          <w:sz w:val="24"/>
          <w:highlight w:val="none"/>
        </w:rPr>
        <w:t>。</w:t>
      </w:r>
    </w:p>
    <w:p w14:paraId="2DD5822D">
      <w:pPr>
        <w:spacing w:line="360" w:lineRule="auto"/>
        <w:jc w:val="left"/>
        <w:rPr>
          <w:rFonts w:hint="eastAsia" w:ascii="宋体" w:hAnsi="宋体" w:eastAsia="宋体" w:cs="宋体"/>
          <w:bCs/>
          <w:color w:val="auto"/>
          <w:sz w:val="24"/>
          <w:highlight w:val="none"/>
        </w:rPr>
      </w:pPr>
    </w:p>
    <w:p w14:paraId="082ED751">
      <w:pPr>
        <w:spacing w:line="360" w:lineRule="auto"/>
        <w:ind w:firstLine="472" w:firstLineChars="196"/>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第七章  售后服务</w:t>
      </w:r>
    </w:p>
    <w:p w14:paraId="3414E589">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第十二条 乙方必须在规定期间内完成招标文件要求和投标文件承诺的服务内容，并通过甲方的验收，否则甲方有权终止合同，由乙方承担赔偿延误的所有损失。</w:t>
      </w:r>
    </w:p>
    <w:p w14:paraId="5A838E9A">
      <w:pPr>
        <w:spacing w:line="360" w:lineRule="auto"/>
        <w:ind w:firstLine="624" w:firstLineChars="260"/>
        <w:rPr>
          <w:rFonts w:hint="eastAsia" w:ascii="宋体" w:hAnsi="宋体" w:eastAsia="宋体" w:cs="宋体"/>
          <w:color w:val="auto"/>
          <w:highlight w:val="none"/>
        </w:rPr>
      </w:pPr>
      <w:r>
        <w:rPr>
          <w:rFonts w:hint="eastAsia" w:ascii="宋体" w:hAnsi="宋体" w:eastAsia="宋体" w:cs="宋体"/>
          <w:color w:val="auto"/>
          <w:kern w:val="0"/>
          <w:sz w:val="24"/>
          <w:highlight w:val="none"/>
        </w:rPr>
        <w:t>第十三条对通信网络故障，乙方在接到甲方通知后</w:t>
      </w:r>
      <w:r>
        <w:rPr>
          <w:rFonts w:hint="eastAsia" w:ascii="宋体" w:hAnsi="宋体" w:eastAsia="宋体" w:cs="宋体"/>
          <w:color w:val="auto"/>
          <w:kern w:val="0"/>
          <w:sz w:val="24"/>
          <w:highlight w:val="none"/>
          <w:lang w:val="en-US" w:eastAsia="zh-CN"/>
        </w:rPr>
        <w:t>30分钟</w:t>
      </w:r>
      <w:r>
        <w:rPr>
          <w:rFonts w:hint="eastAsia" w:ascii="宋体" w:hAnsi="宋体" w:eastAsia="宋体" w:cs="宋体"/>
          <w:color w:val="auto"/>
          <w:kern w:val="0"/>
          <w:sz w:val="24"/>
          <w:highlight w:val="none"/>
        </w:rPr>
        <w:t>内响应并启动应急灾备方案，乙方原因的系统故障</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小时以内解决。</w:t>
      </w:r>
    </w:p>
    <w:p w14:paraId="4F6A7CF1">
      <w:pPr>
        <w:spacing w:line="360" w:lineRule="auto"/>
        <w:jc w:val="left"/>
        <w:rPr>
          <w:rFonts w:hint="eastAsia" w:ascii="宋体" w:hAnsi="宋体" w:eastAsia="宋体" w:cs="宋体"/>
          <w:bCs/>
          <w:color w:val="auto"/>
          <w:sz w:val="24"/>
          <w:highlight w:val="none"/>
        </w:rPr>
      </w:pPr>
    </w:p>
    <w:p w14:paraId="4B24AB03">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第八章  违约责任</w:t>
      </w:r>
    </w:p>
    <w:p w14:paraId="359EA880">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第十四条 乙方逾期履行合同的，自逾期之日起，向甲方每日偿付合同总价款0.05 %（计￥    元）的违约金。</w:t>
      </w:r>
    </w:p>
    <w:p w14:paraId="37655801">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第十五条 如乙方在合同生效后30 天内未履行合同规定内容，甲方可以解除合同，并可以要求乙方承担合同总金额百分之二十的违约金。</w:t>
      </w:r>
    </w:p>
    <w:p w14:paraId="6EBF3D83">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第十六条 乙方因其技术能力、过错或疏忽所造成的甲方设备故障或数据丢失无法恢复，由乙方承担赔偿责任，赔偿额不受本合同总价的约束；对因其过错或疏忽所造成的人身伤害或财产损失，由乙方承担全部责任和一切费用。</w:t>
      </w:r>
    </w:p>
    <w:p w14:paraId="5019C107">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第十七条乙方在服务期内违反本合同有关质量保证及售后服务的，甲方可以要求乙方按甲方损失进行赔偿。</w:t>
      </w:r>
    </w:p>
    <w:p w14:paraId="39C2C497">
      <w:pPr>
        <w:spacing w:line="360" w:lineRule="auto"/>
        <w:jc w:val="left"/>
        <w:rPr>
          <w:rFonts w:hint="eastAsia" w:ascii="宋体" w:hAnsi="宋体" w:eastAsia="宋体" w:cs="宋体"/>
          <w:color w:val="auto"/>
          <w:sz w:val="24"/>
          <w:highlight w:val="none"/>
        </w:rPr>
      </w:pPr>
    </w:p>
    <w:p w14:paraId="419E1F54">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第十章  不可抗力事件处理</w:t>
      </w:r>
    </w:p>
    <w:p w14:paraId="66101C7B">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第十八条 不可抗力是指双方不能预见、不能避免，并不能克服的客观情况，包括但不限于政府行为、自然灾害、战争、世界性零部件缺货等事件，且该情况妨碍、影响或延误一方根据本合同履行相关义务。</w:t>
      </w:r>
    </w:p>
    <w:p w14:paraId="36BA3A63">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第十九条 在合同有效期内，任何一方因不可抗力事件导致不能履行合同，则合同履行期可延长，其延长期与不可抗力影响期相同。</w:t>
      </w:r>
    </w:p>
    <w:p w14:paraId="00764C9F">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第二十条 不可抗力事件发生后，应立即通知对方，并寄送有关权威机构出具的证明。</w:t>
      </w:r>
    </w:p>
    <w:p w14:paraId="01ACB029">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第二十一条 不可抗力事件延续120天以上，双方应通过友好协商，确定是否继续履行合同。</w:t>
      </w:r>
    </w:p>
    <w:p w14:paraId="06D38ED1">
      <w:pPr>
        <w:spacing w:line="360" w:lineRule="auto"/>
        <w:jc w:val="left"/>
        <w:rPr>
          <w:rFonts w:hint="eastAsia" w:ascii="宋体" w:hAnsi="宋体" w:eastAsia="宋体" w:cs="宋体"/>
          <w:bCs/>
          <w:color w:val="auto"/>
          <w:sz w:val="24"/>
          <w:highlight w:val="none"/>
        </w:rPr>
      </w:pPr>
    </w:p>
    <w:p w14:paraId="562E80D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第十一章  争议解决</w:t>
      </w:r>
    </w:p>
    <w:p w14:paraId="7B91DFD6">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第二十二条。履行合同中发生争议的，双方协商解决。如协商不成，可向杭州仲裁委员会申请仲裁。</w:t>
      </w:r>
    </w:p>
    <w:p w14:paraId="13BB0559">
      <w:pPr>
        <w:spacing w:line="360" w:lineRule="auto"/>
        <w:jc w:val="left"/>
        <w:rPr>
          <w:rFonts w:hint="eastAsia" w:ascii="宋体" w:hAnsi="宋体" w:eastAsia="宋体" w:cs="宋体"/>
          <w:bCs/>
          <w:color w:val="auto"/>
          <w:sz w:val="24"/>
          <w:highlight w:val="none"/>
        </w:rPr>
      </w:pPr>
    </w:p>
    <w:p w14:paraId="589416D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第十二章  合同生效及其它</w:t>
      </w:r>
    </w:p>
    <w:p w14:paraId="44773C33">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第二十三条 本合同经三方法定代表人或其委托人签字并加盖三方公章后生效。</w:t>
      </w:r>
    </w:p>
    <w:p w14:paraId="1582ADDE">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第二十四条 与本合同有关的招标书、投标书作为本合同附件。</w:t>
      </w:r>
    </w:p>
    <w:p w14:paraId="501074C2">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第二十五条 本合同一式拾份，甲方执伍份，乙方执肆份，鉴证方执壹份。</w:t>
      </w:r>
    </w:p>
    <w:p w14:paraId="254351DA">
      <w:pPr>
        <w:spacing w:line="360" w:lineRule="auto"/>
        <w:rPr>
          <w:rFonts w:hint="eastAsia" w:ascii="宋体" w:hAnsi="宋体" w:eastAsia="宋体" w:cs="宋体"/>
          <w:bCs/>
          <w:color w:val="auto"/>
          <w:sz w:val="24"/>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14:paraId="669C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1D9C7984">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甲方：杭州市市场监督管理局 </w:t>
            </w:r>
          </w:p>
          <w:p w14:paraId="74B41DA1">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（盖章） </w:t>
            </w:r>
          </w:p>
          <w:p w14:paraId="1BD276FB">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法定代表人或</w:t>
            </w:r>
            <w:r>
              <w:rPr>
                <w:rFonts w:hint="eastAsia" w:ascii="宋体" w:hAnsi="宋体" w:eastAsia="宋体" w:cs="宋体"/>
                <w:b w:val="0"/>
                <w:bCs/>
                <w:color w:val="auto"/>
                <w:sz w:val="24"/>
                <w:highlight w:val="none"/>
                <w:lang w:eastAsia="zh-CN"/>
              </w:rPr>
              <w:t>委托代理人</w:t>
            </w:r>
            <w:r>
              <w:rPr>
                <w:rFonts w:hint="eastAsia" w:ascii="宋体" w:hAnsi="宋体" w:eastAsia="宋体" w:cs="宋体"/>
                <w:b w:val="0"/>
                <w:bCs/>
                <w:color w:val="auto"/>
                <w:sz w:val="24"/>
                <w:highlight w:val="none"/>
              </w:rPr>
              <w:t xml:space="preserve">（签字）： </w:t>
            </w:r>
          </w:p>
          <w:p w14:paraId="02FD9D53">
            <w:pPr>
              <w:pStyle w:val="2"/>
              <w:spacing w:line="360" w:lineRule="auto"/>
              <w:rPr>
                <w:rFonts w:hint="eastAsia"/>
                <w:b w:val="0"/>
                <w:bCs/>
                <w:color w:val="auto"/>
                <w:highlight w:val="none"/>
              </w:rPr>
            </w:pPr>
            <w:r>
              <w:rPr>
                <w:rFonts w:hint="eastAsia" w:ascii="宋体" w:hAnsi="宋体" w:eastAsia="宋体" w:cs="宋体"/>
                <w:b w:val="0"/>
                <w:bCs/>
                <w:color w:val="auto"/>
                <w:sz w:val="24"/>
                <w:highlight w:val="none"/>
              </w:rPr>
              <w:t>签署日期：   年   月   日</w:t>
            </w:r>
          </w:p>
        </w:tc>
        <w:tc>
          <w:tcPr>
            <w:tcW w:w="4644" w:type="dxa"/>
          </w:tcPr>
          <w:p w14:paraId="03E7348F">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乙方： </w:t>
            </w:r>
          </w:p>
          <w:p w14:paraId="46D406E4">
            <w:pPr>
              <w:pStyle w:val="2"/>
              <w:spacing w:line="360" w:lineRule="auto"/>
              <w:rPr>
                <w:rFonts w:hint="eastAsia"/>
                <w:b w:val="0"/>
                <w:bCs/>
                <w:color w:val="auto"/>
                <w:highlight w:val="none"/>
              </w:rPr>
            </w:pPr>
            <w:r>
              <w:rPr>
                <w:rFonts w:hint="eastAsia"/>
                <w:b w:val="0"/>
                <w:bCs/>
                <w:color w:val="auto"/>
                <w:highlight w:val="none"/>
              </w:rPr>
              <w:t xml:space="preserve">（盖章） </w:t>
            </w:r>
          </w:p>
          <w:p w14:paraId="12B66A61">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法定代表人或</w:t>
            </w:r>
            <w:r>
              <w:rPr>
                <w:rFonts w:hint="eastAsia" w:ascii="宋体" w:hAnsi="宋体" w:eastAsia="宋体" w:cs="宋体"/>
                <w:b w:val="0"/>
                <w:bCs/>
                <w:color w:val="auto"/>
                <w:sz w:val="24"/>
                <w:highlight w:val="none"/>
                <w:lang w:eastAsia="zh-CN"/>
              </w:rPr>
              <w:t>委托代理人</w:t>
            </w:r>
            <w:r>
              <w:rPr>
                <w:rFonts w:hint="eastAsia" w:ascii="宋体" w:hAnsi="宋体" w:eastAsia="宋体" w:cs="宋体"/>
                <w:b w:val="0"/>
                <w:bCs/>
                <w:color w:val="auto"/>
                <w:sz w:val="24"/>
                <w:highlight w:val="none"/>
              </w:rPr>
              <w:t>（签字）：</w:t>
            </w:r>
          </w:p>
          <w:p w14:paraId="6E2E2D67">
            <w:pPr>
              <w:pStyle w:val="2"/>
              <w:spacing w:line="360" w:lineRule="auto"/>
              <w:rPr>
                <w:rFonts w:hint="eastAsia"/>
                <w:b w:val="0"/>
                <w:bCs/>
                <w:color w:val="auto"/>
                <w:highlight w:val="none"/>
              </w:rPr>
            </w:pPr>
            <w:r>
              <w:rPr>
                <w:rFonts w:hint="eastAsia" w:ascii="宋体" w:hAnsi="宋体" w:eastAsia="宋体" w:cs="宋体"/>
                <w:b w:val="0"/>
                <w:bCs/>
                <w:color w:val="auto"/>
                <w:sz w:val="24"/>
                <w:highlight w:val="none"/>
              </w:rPr>
              <w:t>签署日期：   年   月   日</w:t>
            </w:r>
          </w:p>
        </w:tc>
      </w:tr>
    </w:tbl>
    <w:p w14:paraId="071E8940">
      <w:pPr>
        <w:spacing w:line="360" w:lineRule="auto"/>
        <w:rPr>
          <w:rFonts w:hint="eastAsia" w:ascii="宋体" w:hAnsi="宋体" w:eastAsia="宋体" w:cs="宋体"/>
          <w:bCs/>
          <w:color w:val="auto"/>
          <w:sz w:val="24"/>
          <w:highlight w:val="none"/>
        </w:rPr>
      </w:pPr>
    </w:p>
    <w:p w14:paraId="6121EADA">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鉴证方（盖章）：</w:t>
      </w:r>
      <w:r>
        <w:rPr>
          <w:rFonts w:hint="eastAsia" w:ascii="宋体" w:hAnsi="宋体" w:eastAsia="宋体" w:cs="宋体"/>
          <w:bCs/>
          <w:color w:val="auto"/>
          <w:sz w:val="24"/>
          <w:highlight w:val="none"/>
          <w:lang w:val="en-US" w:eastAsia="zh-CN"/>
        </w:rPr>
        <w:t>浙江省建设工程设备招标有限公司</w:t>
      </w:r>
    </w:p>
    <w:p w14:paraId="039F6D14">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w:t>
      </w:r>
      <w:r>
        <w:rPr>
          <w:rFonts w:hint="eastAsia" w:ascii="宋体" w:hAnsi="宋体" w:eastAsia="宋体" w:cs="宋体"/>
          <w:bCs/>
          <w:color w:val="auto"/>
          <w:sz w:val="24"/>
          <w:highlight w:val="none"/>
          <w:lang w:eastAsia="zh-CN"/>
        </w:rPr>
        <w:t>委托代理人</w:t>
      </w:r>
      <w:r>
        <w:rPr>
          <w:rFonts w:hint="eastAsia" w:ascii="宋体" w:hAnsi="宋体" w:eastAsia="宋体" w:cs="宋体"/>
          <w:bCs/>
          <w:color w:val="auto"/>
          <w:sz w:val="24"/>
          <w:highlight w:val="none"/>
        </w:rPr>
        <w:t>（签字）：</w:t>
      </w:r>
    </w:p>
    <w:p w14:paraId="104EF274">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w:t>
      </w:r>
    </w:p>
    <w:p w14:paraId="71551A06">
      <w:pPr>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rPr>
        <w:t xml:space="preserve">签署日期：    年    月   日  </w:t>
      </w:r>
    </w:p>
    <w:p w14:paraId="5C85DACA">
      <w:pPr>
        <w:ind w:firstLine="723"/>
        <w:jc w:val="center"/>
        <w:rPr>
          <w:rFonts w:hint="eastAsia" w:ascii="宋体" w:hAnsi="宋体" w:eastAsia="宋体" w:cs="宋体"/>
          <w:b/>
          <w:color w:val="auto"/>
          <w:sz w:val="36"/>
          <w:szCs w:val="20"/>
          <w:highlight w:val="none"/>
        </w:rPr>
      </w:pPr>
    </w:p>
    <w:p w14:paraId="1CA5453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43B21F">
      <w:pPr>
        <w:pStyle w:val="3"/>
        <w:rPr>
          <w:rFonts w:hint="eastAsia" w:ascii="宋体" w:hAnsi="宋体" w:eastAsia="宋体" w:cs="宋体"/>
          <w:color w:val="auto"/>
          <w:highlight w:val="none"/>
        </w:rPr>
      </w:pPr>
      <w:r>
        <w:rPr>
          <w:rFonts w:hint="eastAsia" w:ascii="宋体" w:hAnsi="宋体" w:eastAsia="宋体" w:cs="宋体"/>
          <w:color w:val="auto"/>
          <w:highlight w:val="none"/>
        </w:rPr>
        <w:t>第六部分</w:t>
      </w:r>
      <w:bookmarkEnd w:id="391"/>
      <w:r>
        <w:rPr>
          <w:rFonts w:hint="eastAsia" w:ascii="宋体" w:hAnsi="宋体" w:eastAsia="宋体" w:cs="宋体"/>
          <w:color w:val="auto"/>
          <w:highlight w:val="none"/>
        </w:rPr>
        <w:t xml:space="preserve"> </w:t>
      </w:r>
      <w:bookmarkEnd w:id="392"/>
      <w:r>
        <w:rPr>
          <w:rFonts w:hint="eastAsia" w:ascii="宋体" w:hAnsi="宋体" w:eastAsia="宋体" w:cs="宋体"/>
          <w:color w:val="auto"/>
          <w:highlight w:val="none"/>
        </w:rPr>
        <w:t>应提交的有关格式范例</w:t>
      </w:r>
    </w:p>
    <w:p w14:paraId="4A8D754B">
      <w:pPr>
        <w:ind w:firstLine="723"/>
        <w:rPr>
          <w:rFonts w:hint="eastAsia" w:ascii="宋体" w:hAnsi="宋体" w:eastAsia="宋体" w:cs="宋体"/>
          <w:b/>
          <w:color w:val="auto"/>
          <w:kern w:val="0"/>
          <w:sz w:val="36"/>
          <w:szCs w:val="36"/>
          <w:highlight w:val="none"/>
        </w:rPr>
      </w:pPr>
    </w:p>
    <w:p w14:paraId="230D0FF1">
      <w:pPr>
        <w:spacing w:line="360" w:lineRule="auto"/>
        <w:ind w:firstLine="643"/>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560336EF">
      <w:pPr>
        <w:ind w:firstLine="643"/>
        <w:rPr>
          <w:rFonts w:hint="eastAsia" w:ascii="宋体" w:hAnsi="宋体" w:eastAsia="宋体" w:cs="宋体"/>
          <w:b/>
          <w:color w:val="auto"/>
          <w:kern w:val="0"/>
          <w:sz w:val="32"/>
          <w:szCs w:val="32"/>
          <w:highlight w:val="none"/>
        </w:rPr>
      </w:pPr>
    </w:p>
    <w:p w14:paraId="3DBA076F">
      <w:pPr>
        <w:ind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131904A1">
      <w:pPr>
        <w:ind w:firstLine="723"/>
        <w:rPr>
          <w:rFonts w:hint="eastAsia" w:ascii="宋体" w:hAnsi="宋体" w:eastAsia="宋体" w:cs="宋体"/>
          <w:b/>
          <w:color w:val="auto"/>
          <w:kern w:val="0"/>
          <w:sz w:val="36"/>
          <w:szCs w:val="36"/>
          <w:highlight w:val="none"/>
        </w:rPr>
      </w:pPr>
    </w:p>
    <w:p w14:paraId="5C5C7083">
      <w:pPr>
        <w:numPr>
          <w:ilvl w:val="0"/>
          <w:numId w:val="10"/>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符合参加政府采购活动应当具备的一般条件的承诺函……………（页码）</w:t>
      </w:r>
    </w:p>
    <w:p w14:paraId="4A6D008B">
      <w:pPr>
        <w:numPr>
          <w:ilvl w:val="0"/>
          <w:numId w:val="10"/>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联合协议（若有）</w:t>
      </w:r>
      <w:r>
        <w:rPr>
          <w:rFonts w:hint="eastAsia" w:ascii="宋体" w:hAnsi="宋体" w:eastAsia="宋体" w:cs="宋体"/>
          <w:color w:val="auto"/>
          <w:sz w:val="24"/>
          <w:highlight w:val="none"/>
        </w:rPr>
        <w:t>……………………………………………………（页码）</w:t>
      </w:r>
    </w:p>
    <w:p w14:paraId="7CACABB9">
      <w:pPr>
        <w:numPr>
          <w:ilvl w:val="0"/>
          <w:numId w:val="10"/>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落实政府采购政策需满足的资格要求………………………………（页码）</w:t>
      </w:r>
    </w:p>
    <w:p w14:paraId="29625516">
      <w:pPr>
        <w:numPr>
          <w:ilvl w:val="0"/>
          <w:numId w:val="10"/>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本项目的特定资格要求………………………………………………（页码）</w:t>
      </w:r>
    </w:p>
    <w:p w14:paraId="424FAAC2">
      <w:pPr>
        <w:snapToGrid w:val="0"/>
        <w:spacing w:line="360" w:lineRule="auto"/>
        <w:ind w:firstLine="480" w:firstLineChars="200"/>
        <w:rPr>
          <w:rFonts w:hint="eastAsia" w:ascii="宋体" w:hAnsi="宋体" w:eastAsia="宋体" w:cs="宋体"/>
          <w:color w:val="auto"/>
          <w:sz w:val="24"/>
          <w:highlight w:val="none"/>
        </w:rPr>
      </w:pPr>
    </w:p>
    <w:p w14:paraId="07DE9090">
      <w:pPr>
        <w:spacing w:line="360" w:lineRule="auto"/>
        <w:ind w:firstLine="480" w:firstLineChars="200"/>
        <w:rPr>
          <w:rFonts w:hint="eastAsia" w:ascii="宋体" w:hAnsi="宋体" w:eastAsia="宋体" w:cs="宋体"/>
          <w:color w:val="auto"/>
          <w:sz w:val="24"/>
          <w:highlight w:val="none"/>
        </w:rPr>
      </w:pPr>
    </w:p>
    <w:p w14:paraId="7ACEF7F6">
      <w:pPr>
        <w:pStyle w:val="2"/>
        <w:jc w:val="cente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kern w:val="2"/>
          <w:sz w:val="32"/>
          <w:szCs w:val="32"/>
          <w:highlight w:val="none"/>
          <w:lang w:val="en-US" w:eastAsia="zh-CN" w:bidi="ar-SA"/>
        </w:rPr>
        <w:t>一、符合参加政府采购活动应当具备的一般条件的承诺函</w:t>
      </w:r>
    </w:p>
    <w:p w14:paraId="5B2250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p>
    <w:p w14:paraId="76167A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我方参与贵单位</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】政府采购活动，郑重承诺：</w:t>
      </w:r>
    </w:p>
    <w:p w14:paraId="74F986F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C618C0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A1E6B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47D074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75968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0FACE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7BA210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F67579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79AD79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63544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FD3A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D481DCC">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02D0D8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212C97">
      <w:pPr>
        <w:snapToGrid w:val="0"/>
        <w:spacing w:line="360" w:lineRule="auto"/>
        <w:ind w:right="480"/>
        <w:jc w:val="left"/>
        <w:rPr>
          <w:rFonts w:hint="eastAsia" w:ascii="宋体" w:hAnsi="宋体" w:eastAsia="宋体" w:cs="宋体"/>
          <w:color w:val="auto"/>
          <w:sz w:val="22"/>
          <w:szCs w:val="21"/>
          <w:highlight w:val="none"/>
        </w:rPr>
      </w:pPr>
    </w:p>
    <w:p w14:paraId="210BB3EB">
      <w:pPr>
        <w:pStyle w:val="2"/>
        <w:jc w:val="center"/>
        <w:rPr>
          <w:rFonts w:hint="eastAsia" w:ascii="宋体" w:hAnsi="宋体" w:eastAsia="宋体" w:cs="宋体"/>
          <w:color w:val="auto"/>
          <w:highlight w:val="none"/>
        </w:rPr>
      </w:pPr>
    </w:p>
    <w:p w14:paraId="263F3638">
      <w:pPr>
        <w:pStyle w:val="2"/>
        <w:jc w:val="center"/>
        <w:rPr>
          <w:rFonts w:hint="eastAsia" w:ascii="宋体" w:hAnsi="宋体" w:eastAsia="宋体" w:cs="宋体"/>
          <w:color w:val="auto"/>
          <w:highlight w:val="none"/>
        </w:rPr>
      </w:pPr>
    </w:p>
    <w:p w14:paraId="74004F66">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二、联合协议（如果有）</w:t>
      </w:r>
    </w:p>
    <w:p w14:paraId="5400CE2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F7C49B4">
      <w:pPr>
        <w:snapToGrid w:val="0"/>
        <w:spacing w:line="360" w:lineRule="auto"/>
        <w:ind w:right="480" w:firstLine="643"/>
        <w:jc w:val="center"/>
        <w:rPr>
          <w:rFonts w:hint="eastAsia" w:ascii="宋体" w:hAnsi="宋体" w:eastAsia="宋体" w:cs="宋体"/>
          <w:b/>
          <w:color w:val="auto"/>
          <w:kern w:val="0"/>
          <w:sz w:val="32"/>
          <w:szCs w:val="32"/>
          <w:highlight w:val="none"/>
        </w:rPr>
      </w:pPr>
    </w:p>
    <w:p w14:paraId="1719A301">
      <w:pPr>
        <w:snapToGrid w:val="0"/>
        <w:spacing w:line="360" w:lineRule="auto"/>
        <w:ind w:right="480" w:firstLine="643"/>
        <w:jc w:val="center"/>
        <w:rPr>
          <w:rFonts w:hint="eastAsia" w:ascii="宋体" w:hAnsi="宋体" w:eastAsia="宋体" w:cs="宋体"/>
          <w:b/>
          <w:color w:val="auto"/>
          <w:kern w:val="0"/>
          <w:sz w:val="32"/>
          <w:szCs w:val="32"/>
          <w:highlight w:val="none"/>
        </w:rPr>
      </w:pPr>
    </w:p>
    <w:p w14:paraId="3FDD48AA">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三、落实政府采购政策需满足的资格要求</w:t>
      </w:r>
    </w:p>
    <w:p w14:paraId="724C63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F4F936B">
      <w:pPr>
        <w:snapToGrid w:val="0"/>
        <w:spacing w:before="50" w:after="50" w:line="360" w:lineRule="auto"/>
        <w:ind w:firstLine="48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无</w:t>
      </w:r>
    </w:p>
    <w:p w14:paraId="343736C5">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514E86C5">
      <w:pPr>
        <w:widowControl/>
        <w:spacing w:line="360" w:lineRule="auto"/>
        <w:ind w:firstLine="480"/>
        <w:jc w:val="left"/>
        <w:rPr>
          <w:rFonts w:hint="eastAsia" w:ascii="宋体" w:hAnsi="宋体" w:eastAsia="宋体" w:cs="宋体"/>
          <w:color w:val="auto"/>
          <w:sz w:val="24"/>
          <w:highlight w:val="none"/>
        </w:rPr>
      </w:pPr>
    </w:p>
    <w:p w14:paraId="263E001E">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0E6B83F">
      <w:pPr>
        <w:snapToGrid w:val="0"/>
        <w:spacing w:before="50" w:after="50" w:line="360" w:lineRule="auto"/>
        <w:ind w:firstLine="482"/>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2EA9AC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B4D8D26">
      <w:pPr>
        <w:widowControl/>
        <w:spacing w:line="360" w:lineRule="auto"/>
        <w:ind w:left="150" w:firstLine="643"/>
        <w:jc w:val="center"/>
        <w:rPr>
          <w:rFonts w:hint="eastAsia" w:ascii="宋体" w:hAnsi="宋体" w:eastAsia="宋体" w:cs="宋体"/>
          <w:b/>
          <w:color w:val="auto"/>
          <w:kern w:val="0"/>
          <w:sz w:val="32"/>
          <w:szCs w:val="32"/>
          <w:highlight w:val="none"/>
        </w:rPr>
      </w:pPr>
    </w:p>
    <w:p w14:paraId="17C10A6D">
      <w:pPr>
        <w:pStyle w:val="46"/>
        <w:keepNext w:val="0"/>
        <w:pageBreakBefore w:val="0"/>
        <w:tabs>
          <w:tab w:val="clear" w:pos="720"/>
        </w:tabs>
        <w:snapToGrid w:val="0"/>
        <w:spacing w:before="120" w:after="120"/>
        <w:ind w:firstLine="643"/>
        <w:outlineLvl w:val="1"/>
        <w:rPr>
          <w:rFonts w:hint="eastAsia" w:ascii="宋体" w:hAnsi="宋体" w:eastAsia="宋体" w:cs="宋体"/>
          <w:color w:val="auto"/>
          <w:highlight w:val="none"/>
        </w:rPr>
      </w:pPr>
      <w:r>
        <w:rPr>
          <w:rFonts w:hint="eastAsia" w:ascii="宋体" w:hAnsi="宋体" w:eastAsia="宋体" w:cs="宋体"/>
          <w:color w:val="auto"/>
          <w:highlight w:val="none"/>
        </w:rPr>
        <w:t>四、本项目的特定资格要求（如果有）</w:t>
      </w:r>
    </w:p>
    <w:p w14:paraId="6853963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0CCB9F7">
      <w:pPr>
        <w:rPr>
          <w:rFonts w:hint="eastAsia" w:ascii="宋体" w:hAnsi="宋体" w:eastAsia="宋体" w:cs="宋体"/>
          <w:color w:val="auto"/>
          <w:highlight w:val="none"/>
        </w:rPr>
      </w:pPr>
    </w:p>
    <w:p w14:paraId="2FD87967">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0A5BF00">
      <w:pPr>
        <w:widowControl/>
        <w:ind w:firstLine="723"/>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F14C3A8">
      <w:pPr>
        <w:pStyle w:val="3"/>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201204B4">
      <w:pPr>
        <w:ind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77616500">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4CF71D86">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14:paraId="29E5ECBC">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14:paraId="63D12512">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14:paraId="555743DF">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110A1FC9">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投标标的清单………………………………………………………………（页码）</w:t>
      </w:r>
    </w:p>
    <w:p w14:paraId="1CE1C1BB">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14:paraId="22A570FA">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0C7032DF">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5742A5EE">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5918DF5F">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63A374DC">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3BED7870">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66E0481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B6841C">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一、投标函</w:t>
      </w:r>
    </w:p>
    <w:p w14:paraId="2395E4E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p>
    <w:p w14:paraId="238C79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】招标的有关活动，并对此项目进行投标。为此：</w:t>
      </w:r>
    </w:p>
    <w:p w14:paraId="18FA08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5E2FA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DCC499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0743A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1E44190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5" w:name="_Hlk101257010"/>
      <w:r>
        <w:rPr>
          <w:rFonts w:hint="eastAsia" w:ascii="宋体" w:hAnsi="宋体" w:eastAsia="宋体" w:cs="宋体"/>
          <w:color w:val="auto"/>
          <w:sz w:val="24"/>
          <w:highlight w:val="none"/>
        </w:rPr>
        <w:t>（如果有)</w:t>
      </w:r>
      <w:bookmarkEnd w:id="395"/>
      <w:r>
        <w:rPr>
          <w:rFonts w:hint="eastAsia" w:ascii="宋体" w:hAnsi="宋体" w:eastAsia="宋体" w:cs="宋体"/>
          <w:snapToGrid w:val="0"/>
          <w:color w:val="auto"/>
          <w:kern w:val="28"/>
          <w:sz w:val="24"/>
          <w:szCs w:val="20"/>
          <w:highlight w:val="none"/>
        </w:rPr>
        <w:t>；</w:t>
      </w:r>
    </w:p>
    <w:p w14:paraId="4AFE50D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2C5AF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283381EC">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6BE9F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74914E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918FCC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651DC7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AA1B7E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81140A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B5D1E6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11EA673">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0912DD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ADC64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809A8A1">
      <w:pPr>
        <w:snapToGrid w:val="0"/>
        <w:spacing w:line="360" w:lineRule="auto"/>
        <w:ind w:left="420" w:leftChars="2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2.3.2</w:t>
      </w:r>
      <w:r>
        <w:rPr>
          <w:rFonts w:hint="eastAsia" w:ascii="宋体" w:hAnsi="宋体" w:eastAsia="宋体" w:cs="宋体"/>
          <w:color w:val="auto"/>
          <w:sz w:val="24"/>
          <w:szCs w:val="24"/>
          <w:highlight w:val="none"/>
        </w:rPr>
        <w:t>报价情况说明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如果有</w:t>
      </w:r>
      <w:r>
        <w:rPr>
          <w:rFonts w:hint="eastAsia" w:ascii="宋体" w:hAnsi="宋体" w:eastAsia="宋体" w:cs="宋体"/>
          <w:color w:val="auto"/>
          <w:sz w:val="24"/>
          <w:szCs w:val="24"/>
          <w:highlight w:val="none"/>
          <w:lang w:eastAsia="zh-CN"/>
        </w:rPr>
        <w:t>）</w:t>
      </w:r>
    </w:p>
    <w:p w14:paraId="6740708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highlight w:val="none"/>
        </w:rPr>
        <w:t>中小企业声明函（如果有）。</w:t>
      </w:r>
    </w:p>
    <w:p w14:paraId="14A236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5CB919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4CBDA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22329C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427E94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CE9244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DAE29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3DD437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A47E9E">
      <w:pPr>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8EA072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310B18D">
      <w:pPr>
        <w:rPr>
          <w:rFonts w:hint="eastAsia" w:ascii="宋体" w:hAnsi="宋体" w:eastAsia="宋体" w:cs="宋体"/>
          <w:b/>
          <w:bCs/>
          <w:color w:val="auto"/>
          <w:highlight w:val="none"/>
        </w:rPr>
      </w:pPr>
      <w:r>
        <w:rPr>
          <w:rFonts w:hint="eastAsia" w:ascii="宋体" w:hAnsi="宋体" w:eastAsia="宋体" w:cs="宋体"/>
          <w:color w:val="auto"/>
          <w:sz w:val="24"/>
          <w:highlight w:val="none"/>
        </w:rPr>
        <w:t xml:space="preserve">注：按本格式和要求提供。             </w:t>
      </w:r>
    </w:p>
    <w:p w14:paraId="16C2E4E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56695A5">
      <w:pPr>
        <w:pStyle w:val="46"/>
        <w:keepNext w:val="0"/>
        <w:pageBreakBefore w:val="0"/>
        <w:tabs>
          <w:tab w:val="clear" w:pos="720"/>
        </w:tabs>
        <w:snapToGrid w:val="0"/>
        <w:spacing w:before="120" w:after="120"/>
        <w:jc w:val="center"/>
        <w:outlineLvl w:val="1"/>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二、授权委托书或法定代表人（单位负责人、自然人本人）身份证明</w:t>
      </w:r>
    </w:p>
    <w:p w14:paraId="0160618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FF625A3">
      <w:pPr>
        <w:adjustRightInd w:val="0"/>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F4C1A1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033A9356">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7BDDAE1">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B843091">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C2B398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C1EDEE1">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CD93DBE">
      <w:pPr>
        <w:adjustRightInd w:val="0"/>
        <w:snapToGrid w:val="0"/>
        <w:spacing w:line="360" w:lineRule="auto"/>
        <w:rPr>
          <w:rFonts w:hint="eastAsia" w:ascii="宋体" w:hAnsi="宋体" w:eastAsia="宋体" w:cs="宋体"/>
          <w:color w:val="auto"/>
          <w:sz w:val="24"/>
          <w:highlight w:val="none"/>
        </w:rPr>
      </w:pPr>
    </w:p>
    <w:p w14:paraId="40494B41">
      <w:pPr>
        <w:adjustRightInd w:val="0"/>
        <w:spacing w:line="360" w:lineRule="auto"/>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0A46719">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130357EB">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9A6BE7F">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2BEA2BE">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1CF40AF">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5C4D5E5">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C25AFC">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178FD8A">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14F77F72">
      <w:pPr>
        <w:snapToGrid w:val="0"/>
        <w:spacing w:line="360" w:lineRule="auto"/>
        <w:ind w:firstLine="480" w:firstLineChars="200"/>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49BFEE2">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06611BC">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F937D64">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700162C">
      <w:pPr>
        <w:pStyle w:val="4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33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B0C53EF">
            <w:pPr>
              <w:pStyle w:val="4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A1960EE">
            <w:pPr>
              <w:pStyle w:val="43"/>
              <w:adjustRightInd w:val="0"/>
              <w:spacing w:line="360" w:lineRule="auto"/>
              <w:rPr>
                <w:rFonts w:hint="eastAsia" w:ascii="宋体" w:hAnsi="宋体" w:eastAsia="宋体" w:cs="宋体"/>
                <w:bCs/>
                <w:color w:val="auto"/>
                <w:sz w:val="24"/>
                <w:highlight w:val="none"/>
              </w:rPr>
            </w:pPr>
          </w:p>
        </w:tc>
      </w:tr>
    </w:tbl>
    <w:p w14:paraId="4849862A">
      <w:pPr>
        <w:snapToGrid w:val="0"/>
        <w:spacing w:line="360" w:lineRule="auto"/>
        <w:ind w:firstLine="48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33E5402">
      <w:pPr>
        <w:snapToGrid w:val="0"/>
        <w:spacing w:line="360" w:lineRule="auto"/>
        <w:ind w:firstLine="48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AC258B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1A501C9E">
      <w:pPr>
        <w:ind w:firstLine="643"/>
        <w:jc w:val="center"/>
        <w:rPr>
          <w:rFonts w:hint="eastAsia" w:ascii="宋体" w:hAnsi="宋体" w:eastAsia="宋体" w:cs="宋体"/>
          <w:b/>
          <w:color w:val="auto"/>
          <w:kern w:val="0"/>
          <w:sz w:val="32"/>
          <w:szCs w:val="32"/>
          <w:highlight w:val="none"/>
        </w:rPr>
      </w:pPr>
    </w:p>
    <w:p w14:paraId="57E51A5A">
      <w:pPr>
        <w:ind w:firstLine="643"/>
        <w:jc w:val="center"/>
        <w:rPr>
          <w:rFonts w:hint="eastAsia" w:ascii="宋体" w:hAnsi="宋体" w:eastAsia="宋体" w:cs="宋体"/>
          <w:b/>
          <w:color w:val="auto"/>
          <w:kern w:val="0"/>
          <w:sz w:val="32"/>
          <w:szCs w:val="32"/>
          <w:highlight w:val="none"/>
        </w:rPr>
      </w:pPr>
    </w:p>
    <w:p w14:paraId="1CC26BE7">
      <w:pPr>
        <w:ind w:firstLine="643"/>
        <w:jc w:val="center"/>
        <w:rPr>
          <w:rFonts w:hint="eastAsia" w:ascii="宋体" w:hAnsi="宋体" w:eastAsia="宋体" w:cs="宋体"/>
          <w:b/>
          <w:color w:val="auto"/>
          <w:kern w:val="0"/>
          <w:sz w:val="32"/>
          <w:szCs w:val="32"/>
          <w:highlight w:val="none"/>
        </w:rPr>
      </w:pPr>
    </w:p>
    <w:p w14:paraId="1C737B0E">
      <w:pPr>
        <w:ind w:firstLine="643"/>
        <w:jc w:val="center"/>
        <w:rPr>
          <w:rFonts w:hint="eastAsia" w:ascii="宋体" w:hAnsi="宋体" w:eastAsia="宋体" w:cs="宋体"/>
          <w:b/>
          <w:color w:val="auto"/>
          <w:kern w:val="0"/>
          <w:sz w:val="32"/>
          <w:szCs w:val="32"/>
          <w:highlight w:val="none"/>
        </w:rPr>
      </w:pPr>
    </w:p>
    <w:p w14:paraId="5516856C">
      <w:pPr>
        <w:ind w:firstLine="643"/>
        <w:jc w:val="center"/>
        <w:rPr>
          <w:rFonts w:hint="eastAsia" w:ascii="宋体" w:hAnsi="宋体" w:eastAsia="宋体" w:cs="宋体"/>
          <w:b/>
          <w:color w:val="auto"/>
          <w:kern w:val="0"/>
          <w:sz w:val="32"/>
          <w:szCs w:val="32"/>
          <w:highlight w:val="none"/>
        </w:rPr>
      </w:pPr>
    </w:p>
    <w:p w14:paraId="72BA1079">
      <w:pPr>
        <w:ind w:firstLine="643"/>
        <w:jc w:val="center"/>
        <w:rPr>
          <w:rFonts w:hint="eastAsia" w:ascii="宋体" w:hAnsi="宋体" w:eastAsia="宋体" w:cs="宋体"/>
          <w:b/>
          <w:color w:val="auto"/>
          <w:kern w:val="0"/>
          <w:sz w:val="32"/>
          <w:szCs w:val="32"/>
          <w:highlight w:val="none"/>
        </w:rPr>
      </w:pPr>
    </w:p>
    <w:p w14:paraId="177451F7">
      <w:pPr>
        <w:ind w:firstLine="643"/>
        <w:jc w:val="center"/>
        <w:rPr>
          <w:rFonts w:hint="eastAsia" w:ascii="宋体" w:hAnsi="宋体" w:eastAsia="宋体" w:cs="宋体"/>
          <w:b/>
          <w:color w:val="auto"/>
          <w:kern w:val="0"/>
          <w:sz w:val="32"/>
          <w:szCs w:val="32"/>
          <w:highlight w:val="none"/>
        </w:rPr>
      </w:pPr>
    </w:p>
    <w:p w14:paraId="765E9FEA">
      <w:pPr>
        <w:ind w:firstLine="643"/>
        <w:jc w:val="center"/>
        <w:rPr>
          <w:rFonts w:hint="eastAsia" w:ascii="宋体" w:hAnsi="宋体" w:eastAsia="宋体" w:cs="宋体"/>
          <w:b/>
          <w:color w:val="auto"/>
          <w:kern w:val="0"/>
          <w:sz w:val="32"/>
          <w:szCs w:val="32"/>
          <w:highlight w:val="none"/>
        </w:rPr>
      </w:pPr>
    </w:p>
    <w:p w14:paraId="3ECCC2B8">
      <w:pPr>
        <w:ind w:firstLine="643"/>
        <w:jc w:val="center"/>
        <w:rPr>
          <w:rFonts w:hint="eastAsia" w:ascii="宋体" w:hAnsi="宋体" w:eastAsia="宋体" w:cs="宋体"/>
          <w:b/>
          <w:color w:val="auto"/>
          <w:kern w:val="0"/>
          <w:sz w:val="32"/>
          <w:szCs w:val="32"/>
          <w:highlight w:val="none"/>
        </w:rPr>
      </w:pPr>
    </w:p>
    <w:p w14:paraId="5BCE0ED6">
      <w:pPr>
        <w:ind w:firstLine="643"/>
        <w:jc w:val="center"/>
        <w:rPr>
          <w:rFonts w:hint="eastAsia" w:ascii="宋体" w:hAnsi="宋体" w:eastAsia="宋体" w:cs="宋体"/>
          <w:b/>
          <w:color w:val="auto"/>
          <w:kern w:val="0"/>
          <w:sz w:val="32"/>
          <w:szCs w:val="32"/>
          <w:highlight w:val="none"/>
        </w:rPr>
      </w:pPr>
    </w:p>
    <w:p w14:paraId="009B7F26">
      <w:pPr>
        <w:snapToGrid w:val="0"/>
        <w:spacing w:line="360" w:lineRule="auto"/>
        <w:ind w:right="480" w:firstLine="643"/>
        <w:rPr>
          <w:rFonts w:hint="eastAsia" w:ascii="宋体" w:hAnsi="宋体" w:eastAsia="宋体" w:cs="宋体"/>
          <w:b/>
          <w:color w:val="auto"/>
          <w:kern w:val="0"/>
          <w:sz w:val="32"/>
          <w:szCs w:val="32"/>
          <w:highlight w:val="none"/>
        </w:rPr>
        <w:sectPr>
          <w:headerReference r:id="rId8" w:type="default"/>
          <w:footerReference r:id="rId9" w:type="default"/>
          <w:pgSz w:w="11906" w:h="16838"/>
          <w:pgMar w:top="1446" w:right="1417" w:bottom="1417" w:left="1417" w:header="851" w:footer="850" w:gutter="0"/>
          <w:pgNumType w:fmt="decimal"/>
          <w:cols w:space="0" w:num="1"/>
          <w:titlePg/>
          <w:rtlGutter w:val="0"/>
          <w:docGrid w:linePitch="312" w:charSpace="0"/>
        </w:sectPr>
      </w:pPr>
    </w:p>
    <w:p w14:paraId="6CC72B26">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三、分包意向协议（如果有）</w:t>
      </w:r>
    </w:p>
    <w:p w14:paraId="473A0AC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7FAE9360">
      <w:pPr>
        <w:snapToGrid w:val="0"/>
        <w:spacing w:line="360" w:lineRule="auto"/>
        <w:rPr>
          <w:rFonts w:hint="eastAsia" w:ascii="宋体" w:hAnsi="宋体" w:eastAsia="宋体" w:cs="宋体"/>
          <w:color w:val="auto"/>
          <w:kern w:val="0"/>
          <w:sz w:val="24"/>
          <w:highlight w:val="none"/>
        </w:rPr>
      </w:pPr>
    </w:p>
    <w:p w14:paraId="16E06590">
      <w:pPr>
        <w:ind w:firstLine="643"/>
        <w:jc w:val="center"/>
        <w:rPr>
          <w:rFonts w:hint="eastAsia" w:ascii="宋体" w:hAnsi="宋体" w:eastAsia="宋体" w:cs="宋体"/>
          <w:b/>
          <w:color w:val="auto"/>
          <w:kern w:val="0"/>
          <w:sz w:val="32"/>
          <w:szCs w:val="32"/>
          <w:highlight w:val="none"/>
        </w:rPr>
      </w:pPr>
    </w:p>
    <w:p w14:paraId="5219C86E">
      <w:pPr>
        <w:ind w:firstLine="643"/>
        <w:jc w:val="center"/>
        <w:rPr>
          <w:rFonts w:hint="eastAsia" w:ascii="宋体" w:hAnsi="宋体" w:eastAsia="宋体" w:cs="宋体"/>
          <w:b/>
          <w:color w:val="auto"/>
          <w:kern w:val="0"/>
          <w:sz w:val="32"/>
          <w:szCs w:val="32"/>
          <w:highlight w:val="none"/>
        </w:rPr>
      </w:pPr>
    </w:p>
    <w:p w14:paraId="7A5B8B7D">
      <w:pPr>
        <w:ind w:firstLine="643"/>
        <w:jc w:val="center"/>
        <w:rPr>
          <w:rFonts w:hint="eastAsia" w:ascii="宋体" w:hAnsi="宋体" w:eastAsia="宋体" w:cs="宋体"/>
          <w:b/>
          <w:color w:val="auto"/>
          <w:kern w:val="0"/>
          <w:sz w:val="32"/>
          <w:szCs w:val="32"/>
          <w:highlight w:val="none"/>
        </w:rPr>
      </w:pPr>
    </w:p>
    <w:p w14:paraId="53B4BB5F">
      <w:pPr>
        <w:ind w:firstLine="643"/>
        <w:jc w:val="center"/>
        <w:rPr>
          <w:rFonts w:hint="eastAsia" w:ascii="宋体" w:hAnsi="宋体" w:eastAsia="宋体" w:cs="宋体"/>
          <w:b/>
          <w:color w:val="auto"/>
          <w:kern w:val="0"/>
          <w:sz w:val="32"/>
          <w:szCs w:val="32"/>
          <w:highlight w:val="none"/>
        </w:rPr>
      </w:pPr>
    </w:p>
    <w:p w14:paraId="38637EFA">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四、符合性审查资料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04"/>
        <w:gridCol w:w="2407"/>
      </w:tblGrid>
      <w:tr w14:paraId="22C1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27B076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序号</w:t>
            </w:r>
          </w:p>
        </w:tc>
        <w:tc>
          <w:tcPr>
            <w:tcW w:w="6104" w:type="dxa"/>
            <w:tcBorders>
              <w:top w:val="single" w:color="auto" w:sz="4" w:space="0"/>
              <w:left w:val="nil"/>
              <w:bottom w:val="single" w:color="auto" w:sz="4" w:space="0"/>
              <w:right w:val="single" w:color="auto" w:sz="4" w:space="0"/>
            </w:tcBorders>
            <w:noWrap w:val="0"/>
            <w:vAlign w:val="top"/>
          </w:tcPr>
          <w:p w14:paraId="21D388E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407" w:type="dxa"/>
            <w:tcBorders>
              <w:top w:val="single" w:color="auto" w:sz="4" w:space="0"/>
              <w:left w:val="nil"/>
              <w:bottom w:val="single" w:color="auto" w:sz="4" w:space="0"/>
              <w:right w:val="single" w:color="auto" w:sz="4" w:space="0"/>
            </w:tcBorders>
            <w:noWrap w:val="0"/>
            <w:vAlign w:val="top"/>
          </w:tcPr>
          <w:p w14:paraId="46B7C98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09C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64480DD2">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6104" w:type="dxa"/>
            <w:tcBorders>
              <w:top w:val="single" w:color="auto" w:sz="4" w:space="0"/>
              <w:left w:val="nil"/>
              <w:bottom w:val="single" w:color="auto" w:sz="4" w:space="0"/>
              <w:right w:val="single" w:color="auto" w:sz="4" w:space="0"/>
            </w:tcBorders>
            <w:noWrap w:val="0"/>
            <w:vAlign w:val="center"/>
          </w:tcPr>
          <w:p w14:paraId="598F58AF">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color w:val="auto"/>
                <w:kern w:val="0"/>
                <w:sz w:val="24"/>
                <w:highlight w:val="none"/>
              </w:rPr>
              <w:t>投标文件按照招标文件要求签署、盖章</w:t>
            </w:r>
            <w:r>
              <w:rPr>
                <w:rFonts w:hint="eastAsia" w:ascii="宋体" w:hAnsi="宋体" w:eastAsia="宋体" w:cs="宋体"/>
                <w:color w:val="auto"/>
                <w:kern w:val="0"/>
                <w:sz w:val="24"/>
                <w:highlight w:val="non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050CF742">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6C10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7620C96">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104" w:type="dxa"/>
            <w:tcBorders>
              <w:top w:val="single" w:color="auto" w:sz="4" w:space="0"/>
              <w:left w:val="nil"/>
              <w:bottom w:val="single" w:color="auto" w:sz="4" w:space="0"/>
              <w:right w:val="single" w:color="auto" w:sz="4" w:space="0"/>
            </w:tcBorders>
            <w:noWrap w:val="0"/>
            <w:vAlign w:val="center"/>
          </w:tcPr>
          <w:p w14:paraId="3B677F94">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color w:val="auto"/>
                <w:sz w:val="24"/>
                <w:highlight w:val="none"/>
              </w:rPr>
              <w:t>投标文件中承诺的投标有效期不少于招标文件中载明的投标有效期。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投标函</w:t>
            </w:r>
            <w:r>
              <w:rPr>
                <w:rFonts w:hint="eastAsia" w:ascii="宋体" w:hAnsi="宋体" w:eastAsia="宋体" w:cs="宋体"/>
                <w:color w:val="auto"/>
                <w:sz w:val="24"/>
                <w:highlight w:val="non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2AD60E2D">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3500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DA52861">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104" w:type="dxa"/>
            <w:tcBorders>
              <w:top w:val="single" w:color="auto" w:sz="4" w:space="0"/>
              <w:left w:val="nil"/>
              <w:bottom w:val="single" w:color="auto" w:sz="4" w:space="0"/>
              <w:right w:val="single" w:color="auto" w:sz="4" w:space="0"/>
            </w:tcBorders>
            <w:noWrap w:val="0"/>
            <w:vAlign w:val="center"/>
          </w:tcPr>
          <w:p w14:paraId="3BC1C42A">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407" w:type="dxa"/>
            <w:tcBorders>
              <w:top w:val="single" w:color="auto" w:sz="4" w:space="0"/>
              <w:left w:val="nil"/>
              <w:bottom w:val="single" w:color="auto" w:sz="4" w:space="0"/>
              <w:right w:val="single" w:color="auto" w:sz="4" w:space="0"/>
            </w:tcBorders>
            <w:noWrap w:val="0"/>
            <w:vAlign w:val="center"/>
          </w:tcPr>
          <w:p w14:paraId="15D5C93E">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21F4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0BC7247">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c>
          <w:tcPr>
            <w:tcW w:w="6104" w:type="dxa"/>
            <w:tcBorders>
              <w:top w:val="single" w:color="auto" w:sz="4" w:space="0"/>
              <w:left w:val="nil"/>
              <w:bottom w:val="single" w:color="auto" w:sz="4" w:space="0"/>
              <w:right w:val="single" w:color="auto" w:sz="4" w:space="0"/>
            </w:tcBorders>
            <w:noWrap w:val="0"/>
            <w:vAlign w:val="center"/>
          </w:tcPr>
          <w:p w14:paraId="78C8DDEB">
            <w:pPr>
              <w:snapToGrid w:val="0"/>
              <w:spacing w:line="360" w:lineRule="auto"/>
              <w:ind w:firstLine="0" w:firstLineChars="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lang w:val="en-US" w:eastAsia="zh-CN"/>
              </w:rPr>
              <w:t>本项目需</w:t>
            </w:r>
            <w:r>
              <w:rPr>
                <w:rFonts w:hint="eastAsia" w:ascii="宋体" w:hAnsi="宋体" w:eastAsia="宋体" w:cs="宋体"/>
                <w:color w:val="auto"/>
                <w:sz w:val="24"/>
                <w:highlight w:val="none"/>
              </w:rPr>
              <w:t>配置约3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名话务坐席人员及网络(书信)坐席人员或在总劳务服务工作量范围内调整，另配3名管理员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1名数据统计员</w:t>
            </w:r>
            <w:r>
              <w:rPr>
                <w:rFonts w:hint="eastAsia" w:ascii="宋体" w:hAnsi="宋体" w:eastAsia="宋体" w:cs="宋体"/>
                <w:color w:val="auto"/>
                <w:sz w:val="24"/>
                <w:highlight w:val="none"/>
              </w:rPr>
              <w:t>。</w:t>
            </w:r>
          </w:p>
          <w:p w14:paraId="1E0F528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现有工作人员须先行接收，如有替换变动需经招标方同意。所有人员上岗前需经过采购单位确认，采购单位有权对人员提出调整要求，中标单位需积极配合。</w:t>
            </w:r>
          </w:p>
          <w:p w14:paraId="1FF84D11">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提供承诺函，格式自拟</w:t>
            </w:r>
            <w:r>
              <w:rPr>
                <w:rFonts w:hint="eastAsia" w:ascii="宋体" w:hAnsi="宋体" w:eastAsia="宋体" w:cs="宋体"/>
                <w:b/>
                <w:bCs/>
                <w:color w:val="auto"/>
                <w:sz w:val="24"/>
                <w:highlight w:val="none"/>
                <w:u w:val="singl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44B766A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66B5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2FFD546">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c>
          <w:tcPr>
            <w:tcW w:w="6104" w:type="dxa"/>
            <w:tcBorders>
              <w:top w:val="single" w:color="auto" w:sz="4" w:space="0"/>
              <w:left w:val="nil"/>
              <w:bottom w:val="single" w:color="auto" w:sz="4" w:space="0"/>
              <w:right w:val="single" w:color="auto" w:sz="4" w:space="0"/>
            </w:tcBorders>
            <w:noWrap w:val="0"/>
            <w:vAlign w:val="center"/>
          </w:tcPr>
          <w:p w14:paraId="798F978D">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u w:val="single"/>
                <w:lang w:val="en-US" w:eastAsia="zh-CN"/>
              </w:rPr>
              <w:t>项目进度保障</w:t>
            </w:r>
          </w:p>
          <w:p w14:paraId="7A27248C">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合同签订之日起15个工作日内确保热线接入畅通。</w:t>
            </w:r>
          </w:p>
          <w:p w14:paraId="66F012BF">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中标通知书发出之日（即采购结果公告发布之日）起7天内内确保采购要求及投标文件响应情况全部到位。其中准备期5天，交接期2天。</w:t>
            </w:r>
          </w:p>
          <w:p w14:paraId="67FEAC6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提供承诺函，格式自拟</w:t>
            </w:r>
            <w:r>
              <w:rPr>
                <w:rFonts w:hint="eastAsia" w:ascii="宋体" w:hAnsi="宋体" w:eastAsia="宋体" w:cs="宋体"/>
                <w:b/>
                <w:bCs/>
                <w:color w:val="auto"/>
                <w:sz w:val="24"/>
                <w:highlight w:val="none"/>
                <w:u w:val="singl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25EF2B22">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23C0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AC897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104" w:type="dxa"/>
            <w:tcBorders>
              <w:top w:val="single" w:color="auto" w:sz="4" w:space="0"/>
              <w:left w:val="nil"/>
              <w:bottom w:val="single" w:color="auto" w:sz="4" w:space="0"/>
              <w:right w:val="single" w:color="auto" w:sz="4" w:space="0"/>
            </w:tcBorders>
            <w:noWrap w:val="0"/>
            <w:vAlign w:val="center"/>
          </w:tcPr>
          <w:p w14:paraId="374458A8">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lang w:val="en-US" w:eastAsia="zh-CN"/>
              </w:rPr>
              <w:t>前附表列明的</w:t>
            </w:r>
            <w:r>
              <w:rPr>
                <w:rFonts w:hint="eastAsia" w:ascii="宋体" w:hAnsi="宋体" w:eastAsia="宋体" w:cs="宋体"/>
                <w:color w:val="auto"/>
                <w:kern w:val="0"/>
                <w:sz w:val="24"/>
                <w:highlight w:val="none"/>
              </w:rPr>
              <w:t>政府</w:t>
            </w:r>
            <w:r>
              <w:rPr>
                <w:rFonts w:hint="eastAsia" w:ascii="宋体" w:hAnsi="宋体" w:eastAsia="宋体" w:cs="宋体"/>
                <w:b/>
                <w:bCs/>
                <w:color w:val="auto"/>
                <w:kern w:val="0"/>
                <w:sz w:val="24"/>
                <w:highlight w:val="none"/>
              </w:rPr>
              <w:t>强制</w:t>
            </w:r>
            <w:r>
              <w:rPr>
                <w:rFonts w:hint="eastAsia" w:ascii="宋体" w:hAnsi="宋体" w:eastAsia="宋体" w:cs="宋体"/>
                <w:color w:val="auto"/>
                <w:kern w:val="0"/>
                <w:sz w:val="24"/>
                <w:highlight w:val="none"/>
              </w:rPr>
              <w:t>采购的节能产品品目清单范围的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提供中国节能产品认证证书或环境标志产品认证证书。（若有，详见前附表）</w:t>
            </w:r>
          </w:p>
          <w:p w14:paraId="3DC19997">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具体要求详见《市场监管总局关于发布参与实施政府采购节能产品、环境标志产品认证机构名录的公告》（http://www.ccgp.gov.cn/zcfg/bwfile/201904/t20190403_11853998.htm）</w:t>
            </w:r>
          </w:p>
        </w:tc>
        <w:tc>
          <w:tcPr>
            <w:tcW w:w="2407" w:type="dxa"/>
            <w:tcBorders>
              <w:top w:val="single" w:color="auto" w:sz="4" w:space="0"/>
              <w:left w:val="nil"/>
              <w:bottom w:val="single" w:color="auto" w:sz="4" w:space="0"/>
              <w:right w:val="single" w:color="auto" w:sz="4" w:space="0"/>
            </w:tcBorders>
            <w:noWrap w:val="0"/>
            <w:vAlign w:val="center"/>
          </w:tcPr>
          <w:p w14:paraId="78EC746E">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1942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C8E64E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c>
          <w:tcPr>
            <w:tcW w:w="6104" w:type="dxa"/>
            <w:tcBorders>
              <w:top w:val="single" w:color="auto" w:sz="4" w:space="0"/>
              <w:left w:val="nil"/>
              <w:bottom w:val="single" w:color="auto" w:sz="4" w:space="0"/>
              <w:right w:val="single" w:color="auto" w:sz="4" w:space="0"/>
            </w:tcBorders>
            <w:noWrap w:val="0"/>
            <w:vAlign w:val="top"/>
          </w:tcPr>
          <w:p w14:paraId="56AC1EB5">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407" w:type="dxa"/>
            <w:tcBorders>
              <w:top w:val="single" w:color="auto" w:sz="4" w:space="0"/>
              <w:left w:val="nil"/>
              <w:bottom w:val="single" w:color="auto" w:sz="4" w:space="0"/>
              <w:right w:val="single" w:color="auto" w:sz="4" w:space="0"/>
            </w:tcBorders>
            <w:noWrap w:val="0"/>
            <w:vAlign w:val="top"/>
          </w:tcPr>
          <w:p w14:paraId="1EBD68FD">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4977BD8F">
      <w:pPr>
        <w:ind w:firstLine="643"/>
        <w:jc w:val="center"/>
        <w:rPr>
          <w:rFonts w:hint="eastAsia" w:ascii="宋体" w:hAnsi="宋体" w:eastAsia="宋体" w:cs="宋体"/>
          <w:b/>
          <w:color w:val="auto"/>
          <w:kern w:val="0"/>
          <w:sz w:val="32"/>
          <w:szCs w:val="32"/>
          <w:highlight w:val="none"/>
        </w:rPr>
      </w:pPr>
    </w:p>
    <w:p w14:paraId="3EC8B1A4">
      <w:pPr>
        <w:pStyle w:val="26"/>
        <w:rPr>
          <w:rFonts w:hint="eastAsia" w:ascii="宋体" w:hAnsi="宋体" w:eastAsia="宋体" w:cs="宋体"/>
          <w:color w:val="auto"/>
          <w:highlight w:val="none"/>
        </w:rPr>
      </w:pPr>
    </w:p>
    <w:p w14:paraId="06C027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C048E9">
      <w:pPr>
        <w:ind w:firstLine="643"/>
        <w:jc w:val="center"/>
        <w:rPr>
          <w:rFonts w:hint="eastAsia" w:ascii="宋体" w:hAnsi="宋体" w:eastAsia="宋体" w:cs="宋体"/>
          <w:b/>
          <w:color w:val="auto"/>
          <w:kern w:val="0"/>
          <w:sz w:val="32"/>
          <w:szCs w:val="32"/>
          <w:highlight w:val="none"/>
        </w:rPr>
      </w:pPr>
    </w:p>
    <w:p w14:paraId="62D20591">
      <w:pPr>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9F1D5F">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五、评标标准相应的商务技术资料</w:t>
      </w:r>
    </w:p>
    <w:p w14:paraId="31E14DC4">
      <w:pPr>
        <w:snapToGrid w:val="0"/>
        <w:spacing w:line="360" w:lineRule="auto"/>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04"/>
        <w:gridCol w:w="2407"/>
      </w:tblGrid>
      <w:tr w14:paraId="3DFA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BB72AAD">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6104" w:type="dxa"/>
            <w:tcBorders>
              <w:top w:val="single" w:color="auto" w:sz="4" w:space="0"/>
              <w:left w:val="nil"/>
              <w:bottom w:val="single" w:color="auto" w:sz="4" w:space="0"/>
              <w:right w:val="single" w:color="auto" w:sz="4" w:space="0"/>
            </w:tcBorders>
            <w:noWrap w:val="0"/>
            <w:vAlign w:val="top"/>
          </w:tcPr>
          <w:p w14:paraId="0619936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407" w:type="dxa"/>
            <w:tcBorders>
              <w:top w:val="single" w:color="auto" w:sz="4" w:space="0"/>
              <w:left w:val="nil"/>
              <w:bottom w:val="single" w:color="auto" w:sz="4" w:space="0"/>
              <w:right w:val="single" w:color="auto" w:sz="4" w:space="0"/>
            </w:tcBorders>
            <w:noWrap w:val="0"/>
            <w:vAlign w:val="top"/>
          </w:tcPr>
          <w:p w14:paraId="2859051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0618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09146F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6104" w:type="dxa"/>
            <w:tcBorders>
              <w:top w:val="single" w:color="auto" w:sz="4" w:space="0"/>
              <w:left w:val="nil"/>
              <w:bottom w:val="single" w:color="auto" w:sz="4" w:space="0"/>
              <w:right w:val="single" w:color="auto" w:sz="4" w:space="0"/>
            </w:tcBorders>
            <w:noWrap w:val="0"/>
            <w:vAlign w:val="top"/>
          </w:tcPr>
          <w:p w14:paraId="73B53B13">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407" w:type="dxa"/>
            <w:tcBorders>
              <w:top w:val="single" w:color="auto" w:sz="4" w:space="0"/>
              <w:left w:val="nil"/>
              <w:bottom w:val="single" w:color="auto" w:sz="4" w:space="0"/>
              <w:right w:val="single" w:color="auto" w:sz="4" w:space="0"/>
            </w:tcBorders>
            <w:noWrap w:val="0"/>
            <w:vAlign w:val="top"/>
          </w:tcPr>
          <w:p w14:paraId="6FA5118D">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0112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8A5A48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6104" w:type="dxa"/>
            <w:tcBorders>
              <w:top w:val="single" w:color="auto" w:sz="4" w:space="0"/>
              <w:left w:val="nil"/>
              <w:bottom w:val="single" w:color="auto" w:sz="4" w:space="0"/>
              <w:right w:val="single" w:color="auto" w:sz="4" w:space="0"/>
            </w:tcBorders>
            <w:noWrap w:val="0"/>
            <w:vAlign w:val="top"/>
          </w:tcPr>
          <w:p w14:paraId="320E4D07">
            <w:pPr>
              <w:pStyle w:val="26"/>
              <w:ind w:left="0" w:leftChars="0" w:firstLine="0" w:firstLineChars="0"/>
              <w:rPr>
                <w:rFonts w:hint="eastAsia" w:ascii="宋体" w:hAnsi="宋体" w:eastAsia="宋体" w:cs="宋体"/>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10364999">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3322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5FBBDD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104" w:type="dxa"/>
            <w:tcBorders>
              <w:top w:val="single" w:color="auto" w:sz="4" w:space="0"/>
              <w:left w:val="nil"/>
              <w:bottom w:val="single" w:color="auto" w:sz="4" w:space="0"/>
              <w:right w:val="single" w:color="auto" w:sz="4" w:space="0"/>
            </w:tcBorders>
            <w:noWrap w:val="0"/>
            <w:vAlign w:val="top"/>
          </w:tcPr>
          <w:p w14:paraId="77F7C0F4">
            <w:pPr>
              <w:pStyle w:val="26"/>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3F99A738">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1344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DF934B">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104" w:type="dxa"/>
            <w:tcBorders>
              <w:top w:val="single" w:color="auto" w:sz="4" w:space="0"/>
              <w:left w:val="nil"/>
              <w:bottom w:val="single" w:color="auto" w:sz="4" w:space="0"/>
              <w:right w:val="single" w:color="auto" w:sz="4" w:space="0"/>
            </w:tcBorders>
            <w:noWrap w:val="0"/>
            <w:vAlign w:val="top"/>
          </w:tcPr>
          <w:p w14:paraId="08EFD799">
            <w:pPr>
              <w:pStyle w:val="26"/>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172E0CBA">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1ECB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104B0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104" w:type="dxa"/>
            <w:tcBorders>
              <w:top w:val="single" w:color="auto" w:sz="4" w:space="0"/>
              <w:left w:val="nil"/>
              <w:bottom w:val="single" w:color="auto" w:sz="4" w:space="0"/>
              <w:right w:val="single" w:color="auto" w:sz="4" w:space="0"/>
            </w:tcBorders>
            <w:shd w:val="clear" w:color="auto" w:fill="FFFFFF"/>
            <w:noWrap w:val="0"/>
            <w:vAlign w:val="center"/>
          </w:tcPr>
          <w:p w14:paraId="61B9C96A">
            <w:pPr>
              <w:jc w:val="left"/>
              <w:rPr>
                <w:rFonts w:hint="eastAsia" w:ascii="宋体" w:hAnsi="宋体" w:eastAsia="宋体" w:cs="宋体"/>
                <w:b/>
                <w:bCs/>
                <w:color w:val="auto"/>
                <w:kern w:val="2"/>
                <w:sz w:val="21"/>
                <w:szCs w:val="21"/>
                <w:highlight w:val="none"/>
                <w:lang w:val="en-US" w:eastAsia="zh-CN" w:bidi="ar-SA"/>
              </w:rPr>
            </w:pPr>
          </w:p>
        </w:tc>
        <w:tc>
          <w:tcPr>
            <w:tcW w:w="2407" w:type="dxa"/>
            <w:tcBorders>
              <w:top w:val="single" w:color="auto" w:sz="4" w:space="0"/>
              <w:left w:val="nil"/>
              <w:bottom w:val="single" w:color="auto" w:sz="4" w:space="0"/>
              <w:right w:val="single" w:color="auto" w:sz="4" w:space="0"/>
            </w:tcBorders>
            <w:noWrap w:val="0"/>
            <w:vAlign w:val="top"/>
          </w:tcPr>
          <w:p w14:paraId="3E61EF8E">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7E33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E8168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104" w:type="dxa"/>
            <w:tcBorders>
              <w:top w:val="single" w:color="auto" w:sz="4" w:space="0"/>
              <w:left w:val="nil"/>
              <w:bottom w:val="single" w:color="auto" w:sz="4" w:space="0"/>
              <w:right w:val="single" w:color="auto" w:sz="4" w:space="0"/>
            </w:tcBorders>
            <w:shd w:val="clear" w:color="auto" w:fill="FFFFFF"/>
            <w:noWrap w:val="0"/>
            <w:vAlign w:val="center"/>
          </w:tcPr>
          <w:p w14:paraId="203B4606">
            <w:pPr>
              <w:spacing w:line="240" w:lineRule="auto"/>
              <w:rPr>
                <w:rFonts w:hint="eastAsia" w:ascii="宋体" w:hAnsi="宋体" w:eastAsia="宋体" w:cs="宋体"/>
                <w:b/>
                <w:bCs/>
                <w:color w:val="auto"/>
                <w:kern w:val="2"/>
                <w:sz w:val="21"/>
                <w:szCs w:val="21"/>
                <w:highlight w:val="none"/>
                <w:lang w:val="en-US" w:eastAsia="zh-CN" w:bidi="ar-SA"/>
              </w:rPr>
            </w:pPr>
          </w:p>
        </w:tc>
        <w:tc>
          <w:tcPr>
            <w:tcW w:w="2407" w:type="dxa"/>
            <w:tcBorders>
              <w:top w:val="single" w:color="auto" w:sz="4" w:space="0"/>
              <w:left w:val="nil"/>
              <w:bottom w:val="single" w:color="auto" w:sz="4" w:space="0"/>
              <w:right w:val="single" w:color="auto" w:sz="4" w:space="0"/>
            </w:tcBorders>
            <w:noWrap w:val="0"/>
            <w:vAlign w:val="top"/>
          </w:tcPr>
          <w:p w14:paraId="1575B325">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2097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779509F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104" w:type="dxa"/>
            <w:tcBorders>
              <w:top w:val="single" w:color="auto" w:sz="4" w:space="0"/>
              <w:left w:val="nil"/>
              <w:bottom w:val="single" w:color="auto" w:sz="4" w:space="0"/>
              <w:right w:val="single" w:color="auto" w:sz="4" w:space="0"/>
            </w:tcBorders>
            <w:noWrap w:val="0"/>
            <w:vAlign w:val="top"/>
          </w:tcPr>
          <w:p w14:paraId="4007848C">
            <w:pPr>
              <w:pStyle w:val="26"/>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4ECA1836">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5BDF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F5A77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6104" w:type="dxa"/>
            <w:tcBorders>
              <w:top w:val="single" w:color="auto" w:sz="4" w:space="0"/>
              <w:left w:val="nil"/>
              <w:bottom w:val="single" w:color="auto" w:sz="4" w:space="0"/>
              <w:right w:val="single" w:color="auto" w:sz="4" w:space="0"/>
            </w:tcBorders>
            <w:noWrap w:val="0"/>
            <w:vAlign w:val="top"/>
          </w:tcPr>
          <w:p w14:paraId="7F8156D8">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407" w:type="dxa"/>
            <w:tcBorders>
              <w:top w:val="single" w:color="auto" w:sz="4" w:space="0"/>
              <w:left w:val="nil"/>
              <w:bottom w:val="single" w:color="auto" w:sz="4" w:space="0"/>
              <w:right w:val="single" w:color="auto" w:sz="4" w:space="0"/>
            </w:tcBorders>
            <w:noWrap w:val="0"/>
            <w:vAlign w:val="top"/>
          </w:tcPr>
          <w:p w14:paraId="2D542561">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 xml:space="preserve">     </w:t>
            </w:r>
          </w:p>
        </w:tc>
      </w:tr>
    </w:tbl>
    <w:p w14:paraId="1C96A2A7">
      <w:pPr>
        <w:rPr>
          <w:rFonts w:hint="eastAsia" w:ascii="宋体" w:hAnsi="宋体" w:eastAsia="宋体" w:cs="宋体"/>
          <w:b/>
          <w:color w:val="auto"/>
          <w:sz w:val="28"/>
          <w:szCs w:val="28"/>
          <w:highlight w:val="none"/>
        </w:rPr>
      </w:pPr>
    </w:p>
    <w:p w14:paraId="338A0BA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F36EB76">
      <w:pPr>
        <w:spacing w:line="360" w:lineRule="auto"/>
        <w:ind w:firstLine="562"/>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参考格式1</w:t>
      </w:r>
    </w:p>
    <w:p w14:paraId="631561B7">
      <w:pPr>
        <w:spacing w:line="360" w:lineRule="auto"/>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投标供应商简况表</w:t>
      </w:r>
    </w:p>
    <w:tbl>
      <w:tblPr>
        <w:tblStyle w:val="1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53B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7572D9AA">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单位名称</w:t>
            </w:r>
          </w:p>
        </w:tc>
        <w:tc>
          <w:tcPr>
            <w:tcW w:w="5143" w:type="dxa"/>
            <w:gridSpan w:val="4"/>
            <w:vAlign w:val="center"/>
          </w:tcPr>
          <w:p w14:paraId="2EE404AE">
            <w:pPr>
              <w:autoSpaceDE w:val="0"/>
              <w:snapToGrid w:val="0"/>
              <w:spacing w:line="360" w:lineRule="auto"/>
              <w:jc w:val="center"/>
              <w:rPr>
                <w:rFonts w:hint="eastAsia" w:ascii="宋体" w:hAnsi="宋体" w:eastAsia="宋体" w:cs="宋体"/>
                <w:color w:val="auto"/>
                <w:sz w:val="24"/>
                <w:highlight w:val="none"/>
                <w:lang w:val="zh-CN"/>
              </w:rPr>
            </w:pPr>
          </w:p>
        </w:tc>
        <w:tc>
          <w:tcPr>
            <w:tcW w:w="1418" w:type="dxa"/>
            <w:vAlign w:val="center"/>
          </w:tcPr>
          <w:p w14:paraId="482073B0">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成立时间</w:t>
            </w:r>
          </w:p>
        </w:tc>
        <w:tc>
          <w:tcPr>
            <w:tcW w:w="1515" w:type="dxa"/>
            <w:vAlign w:val="center"/>
          </w:tcPr>
          <w:p w14:paraId="6F0738C7">
            <w:pPr>
              <w:autoSpaceDE w:val="0"/>
              <w:snapToGrid w:val="0"/>
              <w:spacing w:line="360" w:lineRule="auto"/>
              <w:jc w:val="center"/>
              <w:rPr>
                <w:rFonts w:hint="eastAsia" w:ascii="宋体" w:hAnsi="宋体" w:eastAsia="宋体" w:cs="宋体"/>
                <w:color w:val="auto"/>
                <w:sz w:val="24"/>
                <w:highlight w:val="none"/>
                <w:lang w:val="zh-CN"/>
              </w:rPr>
            </w:pPr>
          </w:p>
        </w:tc>
      </w:tr>
      <w:tr w14:paraId="232A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59199DCE">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资质等级</w:t>
            </w:r>
          </w:p>
        </w:tc>
        <w:tc>
          <w:tcPr>
            <w:tcW w:w="1600" w:type="dxa"/>
            <w:vAlign w:val="center"/>
          </w:tcPr>
          <w:p w14:paraId="26FBA3AF">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7C2AEF77">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经营方式</w:t>
            </w:r>
          </w:p>
        </w:tc>
        <w:tc>
          <w:tcPr>
            <w:tcW w:w="2409" w:type="dxa"/>
            <w:gridSpan w:val="2"/>
            <w:vAlign w:val="center"/>
          </w:tcPr>
          <w:p w14:paraId="35D23BC6">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□有限责任公司</w:t>
            </w:r>
          </w:p>
          <w:p w14:paraId="620051BB">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□个人独立经营方式</w:t>
            </w:r>
          </w:p>
          <w:p w14:paraId="44B1853D">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□合伙经营方式</w:t>
            </w:r>
          </w:p>
          <w:p w14:paraId="561ABFD0">
            <w:pPr>
              <w:autoSpaceDE w:val="0"/>
              <w:snapToGrid w:val="0"/>
              <w:jc w:val="lef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□其他</w:t>
            </w:r>
          </w:p>
        </w:tc>
        <w:tc>
          <w:tcPr>
            <w:tcW w:w="1418" w:type="dxa"/>
            <w:vAlign w:val="center"/>
          </w:tcPr>
          <w:p w14:paraId="2516C2BE">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企业性质</w:t>
            </w:r>
          </w:p>
        </w:tc>
        <w:tc>
          <w:tcPr>
            <w:tcW w:w="1515" w:type="dxa"/>
            <w:vAlign w:val="center"/>
          </w:tcPr>
          <w:p w14:paraId="3B1CD2A0">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□事业单位</w:t>
            </w:r>
          </w:p>
          <w:p w14:paraId="6D0A356A">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□国企</w:t>
            </w:r>
          </w:p>
          <w:p w14:paraId="7D34F791">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□民营</w:t>
            </w:r>
          </w:p>
          <w:p w14:paraId="54B0D285">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□个体经营者</w:t>
            </w:r>
          </w:p>
          <w:p w14:paraId="28470E3F">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□自然人</w:t>
            </w:r>
          </w:p>
          <w:p w14:paraId="29574885">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□其他组织</w:t>
            </w:r>
          </w:p>
        </w:tc>
      </w:tr>
      <w:tr w14:paraId="6DA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03D8F986">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注册资金</w:t>
            </w:r>
          </w:p>
        </w:tc>
        <w:tc>
          <w:tcPr>
            <w:tcW w:w="1600" w:type="dxa"/>
            <w:vAlign w:val="center"/>
          </w:tcPr>
          <w:p w14:paraId="62187675">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5E8CA71C">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地    址</w:t>
            </w:r>
          </w:p>
        </w:tc>
        <w:tc>
          <w:tcPr>
            <w:tcW w:w="5342" w:type="dxa"/>
            <w:gridSpan w:val="4"/>
            <w:vAlign w:val="center"/>
          </w:tcPr>
          <w:p w14:paraId="0553F001">
            <w:pPr>
              <w:autoSpaceDE w:val="0"/>
              <w:snapToGrid w:val="0"/>
              <w:spacing w:line="360" w:lineRule="auto"/>
              <w:jc w:val="center"/>
              <w:rPr>
                <w:rFonts w:hint="eastAsia" w:ascii="宋体" w:hAnsi="宋体" w:eastAsia="宋体" w:cs="宋体"/>
                <w:color w:val="auto"/>
                <w:sz w:val="24"/>
                <w:highlight w:val="none"/>
                <w:lang w:val="zh-CN"/>
              </w:rPr>
            </w:pPr>
          </w:p>
        </w:tc>
      </w:tr>
      <w:tr w14:paraId="22F7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79FA2AC2">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经营范围</w:t>
            </w:r>
          </w:p>
        </w:tc>
        <w:tc>
          <w:tcPr>
            <w:tcW w:w="8076" w:type="dxa"/>
            <w:gridSpan w:val="6"/>
            <w:vAlign w:val="center"/>
          </w:tcPr>
          <w:p w14:paraId="5FB0C719">
            <w:pPr>
              <w:autoSpaceDE w:val="0"/>
              <w:snapToGrid w:val="0"/>
              <w:spacing w:line="360" w:lineRule="auto"/>
              <w:rPr>
                <w:rFonts w:hint="eastAsia" w:ascii="宋体" w:hAnsi="宋体" w:eastAsia="宋体" w:cs="宋体"/>
                <w:color w:val="auto"/>
                <w:sz w:val="24"/>
                <w:highlight w:val="none"/>
                <w:lang w:val="zh-CN"/>
              </w:rPr>
            </w:pPr>
          </w:p>
          <w:p w14:paraId="7136FA9F">
            <w:pPr>
              <w:autoSpaceDE w:val="0"/>
              <w:snapToGrid w:val="0"/>
              <w:spacing w:line="360" w:lineRule="auto"/>
              <w:rPr>
                <w:rFonts w:hint="eastAsia" w:ascii="宋体" w:hAnsi="宋体" w:eastAsia="宋体" w:cs="宋体"/>
                <w:color w:val="auto"/>
                <w:sz w:val="24"/>
                <w:highlight w:val="none"/>
                <w:lang w:val="zh-CN"/>
              </w:rPr>
            </w:pPr>
          </w:p>
          <w:p w14:paraId="60E5087D">
            <w:pPr>
              <w:autoSpaceDE w:val="0"/>
              <w:snapToGrid w:val="0"/>
              <w:spacing w:line="360" w:lineRule="auto"/>
              <w:rPr>
                <w:rFonts w:hint="eastAsia" w:ascii="宋体" w:hAnsi="宋体" w:eastAsia="宋体" w:cs="宋体"/>
                <w:color w:val="auto"/>
                <w:sz w:val="24"/>
                <w:highlight w:val="none"/>
                <w:lang w:val="zh-CN"/>
              </w:rPr>
            </w:pPr>
          </w:p>
          <w:p w14:paraId="6B570738">
            <w:pPr>
              <w:autoSpaceDE w:val="0"/>
              <w:snapToGrid w:val="0"/>
              <w:spacing w:line="360" w:lineRule="auto"/>
              <w:rPr>
                <w:rFonts w:hint="eastAsia" w:ascii="宋体" w:hAnsi="宋体" w:eastAsia="宋体" w:cs="宋体"/>
                <w:color w:val="auto"/>
                <w:sz w:val="24"/>
                <w:highlight w:val="none"/>
                <w:lang w:val="zh-CN"/>
              </w:rPr>
            </w:pPr>
          </w:p>
        </w:tc>
      </w:tr>
      <w:tr w14:paraId="1356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2D638E0B">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w:t>
            </w:r>
          </w:p>
          <w:p w14:paraId="4D325FFC">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职工</w:t>
            </w:r>
          </w:p>
        </w:tc>
        <w:tc>
          <w:tcPr>
            <w:tcW w:w="4348" w:type="dxa"/>
            <w:gridSpan w:val="3"/>
            <w:vAlign w:val="center"/>
          </w:tcPr>
          <w:p w14:paraId="770A4D62">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人数</w:t>
            </w:r>
          </w:p>
        </w:tc>
        <w:tc>
          <w:tcPr>
            <w:tcW w:w="3728" w:type="dxa"/>
            <w:gridSpan w:val="3"/>
            <w:vAlign w:val="center"/>
          </w:tcPr>
          <w:p w14:paraId="795DDDCE">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具有执业资格的管理人员人数</w:t>
            </w:r>
          </w:p>
        </w:tc>
      </w:tr>
      <w:tr w14:paraId="2835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5644361A">
            <w:pPr>
              <w:autoSpaceDE w:val="0"/>
              <w:snapToGrid w:val="0"/>
              <w:spacing w:line="360" w:lineRule="auto"/>
              <w:jc w:val="center"/>
              <w:rPr>
                <w:rFonts w:hint="eastAsia" w:ascii="宋体" w:hAnsi="宋体" w:eastAsia="宋体" w:cs="宋体"/>
                <w:color w:val="auto"/>
                <w:sz w:val="24"/>
                <w:highlight w:val="none"/>
                <w:lang w:val="zh-CN"/>
              </w:rPr>
            </w:pPr>
          </w:p>
        </w:tc>
        <w:tc>
          <w:tcPr>
            <w:tcW w:w="4348" w:type="dxa"/>
            <w:gridSpan w:val="3"/>
            <w:vAlign w:val="center"/>
          </w:tcPr>
          <w:p w14:paraId="48D3FA11">
            <w:pPr>
              <w:autoSpaceDE w:val="0"/>
              <w:snapToGrid w:val="0"/>
              <w:spacing w:line="360" w:lineRule="auto"/>
              <w:jc w:val="center"/>
              <w:rPr>
                <w:rFonts w:hint="eastAsia" w:ascii="宋体" w:hAnsi="宋体" w:eastAsia="宋体" w:cs="宋体"/>
                <w:color w:val="auto"/>
                <w:sz w:val="24"/>
                <w:highlight w:val="none"/>
                <w:lang w:val="zh-CN"/>
              </w:rPr>
            </w:pPr>
          </w:p>
        </w:tc>
        <w:tc>
          <w:tcPr>
            <w:tcW w:w="3728" w:type="dxa"/>
            <w:gridSpan w:val="3"/>
            <w:vAlign w:val="center"/>
          </w:tcPr>
          <w:p w14:paraId="52A977C4">
            <w:pPr>
              <w:autoSpaceDE w:val="0"/>
              <w:snapToGrid w:val="0"/>
              <w:spacing w:line="360" w:lineRule="auto"/>
              <w:jc w:val="center"/>
              <w:rPr>
                <w:rFonts w:hint="eastAsia" w:ascii="宋体" w:hAnsi="宋体" w:eastAsia="宋体" w:cs="宋体"/>
                <w:color w:val="auto"/>
                <w:sz w:val="24"/>
                <w:highlight w:val="none"/>
                <w:lang w:val="zh-CN"/>
              </w:rPr>
            </w:pPr>
          </w:p>
        </w:tc>
      </w:tr>
      <w:tr w14:paraId="7F8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62DA0DD9">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获奖情况</w:t>
            </w:r>
          </w:p>
          <w:p w14:paraId="2584DE07">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(荣誉)</w:t>
            </w:r>
          </w:p>
        </w:tc>
        <w:tc>
          <w:tcPr>
            <w:tcW w:w="8076" w:type="dxa"/>
            <w:gridSpan w:val="6"/>
            <w:vAlign w:val="center"/>
          </w:tcPr>
          <w:p w14:paraId="0F9C93E7">
            <w:pPr>
              <w:autoSpaceDE w:val="0"/>
              <w:snapToGrid w:val="0"/>
              <w:spacing w:line="360" w:lineRule="auto"/>
              <w:jc w:val="center"/>
              <w:rPr>
                <w:rFonts w:hint="eastAsia" w:ascii="宋体" w:hAnsi="宋体" w:eastAsia="宋体" w:cs="宋体"/>
                <w:color w:val="auto"/>
                <w:sz w:val="24"/>
                <w:highlight w:val="none"/>
                <w:lang w:val="zh-CN"/>
              </w:rPr>
            </w:pPr>
          </w:p>
        </w:tc>
      </w:tr>
      <w:tr w14:paraId="285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5611A5B4">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w:t>
            </w:r>
          </w:p>
          <w:p w14:paraId="478DD671">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位</w:t>
            </w:r>
          </w:p>
          <w:p w14:paraId="549596A6">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简</w:t>
            </w:r>
          </w:p>
          <w:p w14:paraId="6BB456DC">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历</w:t>
            </w:r>
          </w:p>
        </w:tc>
        <w:tc>
          <w:tcPr>
            <w:tcW w:w="8076" w:type="dxa"/>
            <w:gridSpan w:val="6"/>
          </w:tcPr>
          <w:p w14:paraId="6A1AD71D">
            <w:pPr>
              <w:autoSpaceDE w:val="0"/>
              <w:snapToGrid w:val="0"/>
              <w:spacing w:line="360" w:lineRule="auto"/>
              <w:jc w:val="center"/>
              <w:rPr>
                <w:rFonts w:hint="eastAsia" w:ascii="宋体" w:hAnsi="宋体" w:eastAsia="宋体" w:cs="宋体"/>
                <w:color w:val="auto"/>
                <w:sz w:val="24"/>
                <w:highlight w:val="none"/>
                <w:lang w:val="zh-CN"/>
              </w:rPr>
            </w:pPr>
          </w:p>
        </w:tc>
      </w:tr>
    </w:tbl>
    <w:p w14:paraId="3E825A92">
      <w:pPr>
        <w:autoSpaceDE w:val="0"/>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lang w:val="zh-CN"/>
        </w:rPr>
        <w:t>附企业、人员的相关证书复印件。如有其它补充材料，格式自拟。（文本中已提供的资料无需重复提供）</w:t>
      </w:r>
    </w:p>
    <w:p w14:paraId="4BAA4C51">
      <w:pPr>
        <w:snapToGrid w:val="0"/>
        <w:spacing w:line="360" w:lineRule="auto"/>
        <w:ind w:firstLine="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7AD38286">
      <w:pPr>
        <w:snapToGrid w:val="0"/>
        <w:spacing w:line="360" w:lineRule="auto"/>
        <w:ind w:firstLine="480"/>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2E83DFEA">
      <w:pPr>
        <w:ind w:firstLine="562"/>
        <w:jc w:val="left"/>
        <w:rPr>
          <w:rFonts w:hint="eastAsia" w:ascii="宋体" w:hAnsi="宋体" w:eastAsia="宋体" w:cs="宋体"/>
          <w:b/>
          <w:color w:val="auto"/>
          <w:sz w:val="28"/>
          <w:szCs w:val="28"/>
          <w:highlight w:val="none"/>
        </w:rPr>
      </w:pPr>
    </w:p>
    <w:p w14:paraId="2BD0520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63E25AC">
      <w:pPr>
        <w:ind w:firstLine="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参考格式2</w:t>
      </w:r>
    </w:p>
    <w:p w14:paraId="16B2AA4A">
      <w:pPr>
        <w:autoSpaceDE w:val="0"/>
        <w:spacing w:line="360" w:lineRule="auto"/>
        <w:ind w:firstLine="602"/>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20  年  月  日以</w:t>
      </w:r>
      <w:r>
        <w:rPr>
          <w:rFonts w:hint="eastAsia" w:ascii="宋体" w:hAnsi="宋体" w:eastAsia="宋体" w:cs="宋体"/>
          <w:b/>
          <w:color w:val="auto"/>
          <w:sz w:val="30"/>
          <w:szCs w:val="30"/>
          <w:highlight w:val="none"/>
          <w:lang w:val="zh-CN"/>
        </w:rPr>
        <w:t>来主要业绩证明</w:t>
      </w:r>
    </w:p>
    <w:p w14:paraId="126FE3BD">
      <w:pPr>
        <w:autoSpaceDE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附表：相关项目业绩一览表</w:t>
      </w:r>
    </w:p>
    <w:tbl>
      <w:tblPr>
        <w:tblStyle w:val="17"/>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0D24CB3D">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10344784">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607CB540">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134A9349">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50683C8C">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23E7C9E3">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6B3CF0B2">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4072FBAF">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所在页码</w:t>
            </w:r>
          </w:p>
        </w:tc>
      </w:tr>
      <w:tr w14:paraId="7AB43C77">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6DD569E8">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38C756F9">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0DA6D199">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45912E37">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702253CF">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7DF1D374">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5E96A65E">
            <w:pPr>
              <w:autoSpaceDE w:val="0"/>
              <w:snapToGrid w:val="0"/>
              <w:spacing w:line="360" w:lineRule="auto"/>
              <w:rPr>
                <w:rFonts w:hint="eastAsia" w:ascii="宋体" w:hAnsi="宋体" w:eastAsia="宋体" w:cs="宋体"/>
                <w:color w:val="auto"/>
                <w:sz w:val="24"/>
                <w:highlight w:val="none"/>
              </w:rPr>
            </w:pPr>
          </w:p>
        </w:tc>
      </w:tr>
      <w:tr w14:paraId="2F06C349">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480801F7">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140C27F5">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2EB7A8C8">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E28488F">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268C8C06">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1A0D2D52">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6D5F5630">
            <w:pPr>
              <w:autoSpaceDE w:val="0"/>
              <w:snapToGrid w:val="0"/>
              <w:spacing w:line="360" w:lineRule="auto"/>
              <w:rPr>
                <w:rFonts w:hint="eastAsia" w:ascii="宋体" w:hAnsi="宋体" w:eastAsia="宋体" w:cs="宋体"/>
                <w:color w:val="auto"/>
                <w:sz w:val="24"/>
                <w:highlight w:val="none"/>
              </w:rPr>
            </w:pPr>
          </w:p>
        </w:tc>
      </w:tr>
      <w:tr w14:paraId="0E58E0C3">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11515D4F">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78C04503">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2CE98FA2">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62A86D85">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075DA4BD">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29E905DA">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6E67A683">
            <w:pPr>
              <w:autoSpaceDE w:val="0"/>
              <w:snapToGrid w:val="0"/>
              <w:spacing w:line="360" w:lineRule="auto"/>
              <w:rPr>
                <w:rFonts w:hint="eastAsia" w:ascii="宋体" w:hAnsi="宋体" w:eastAsia="宋体" w:cs="宋体"/>
                <w:color w:val="auto"/>
                <w:sz w:val="24"/>
                <w:highlight w:val="none"/>
              </w:rPr>
            </w:pPr>
          </w:p>
        </w:tc>
      </w:tr>
    </w:tbl>
    <w:p w14:paraId="7468A8D9">
      <w:pPr>
        <w:autoSpaceDE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注：投标供应商可按上述的格式自行编制，须随表提交相应的业绩证明材料（详见评分要求）并注明所在投标商务文件页码。</w:t>
      </w:r>
    </w:p>
    <w:p w14:paraId="2A225805">
      <w:pPr>
        <w:snapToGrid w:val="0"/>
        <w:spacing w:line="360" w:lineRule="auto"/>
        <w:ind w:firstLine="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3FEF57E6">
      <w:pPr>
        <w:snapToGrid w:val="0"/>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日期：</w:t>
      </w:r>
      <w:r>
        <w:rPr>
          <w:rFonts w:hint="eastAsia" w:ascii="宋体" w:hAnsi="宋体" w:eastAsia="宋体" w:cs="宋体"/>
          <w:color w:val="auto"/>
          <w:sz w:val="24"/>
          <w:highlight w:val="none"/>
        </w:rPr>
        <w:t xml:space="preserve">    年   月   日</w:t>
      </w:r>
    </w:p>
    <w:p w14:paraId="66E6DB2D">
      <w:pPr>
        <w:ind w:firstLine="562"/>
        <w:rPr>
          <w:rFonts w:hint="eastAsia" w:ascii="宋体" w:hAnsi="宋体" w:eastAsia="宋体" w:cs="宋体"/>
          <w:b/>
          <w:color w:val="auto"/>
          <w:kern w:val="0"/>
          <w:sz w:val="28"/>
          <w:highlight w:val="none"/>
        </w:rPr>
      </w:pPr>
    </w:p>
    <w:p w14:paraId="2089E2E1">
      <w:pPr>
        <w:ind w:firstLine="562"/>
        <w:rPr>
          <w:rFonts w:hint="eastAsia" w:ascii="宋体" w:hAnsi="宋体" w:eastAsia="宋体" w:cs="宋体"/>
          <w:b/>
          <w:color w:val="auto"/>
          <w:kern w:val="0"/>
          <w:sz w:val="28"/>
          <w:highlight w:val="none"/>
        </w:rPr>
      </w:pPr>
    </w:p>
    <w:p w14:paraId="0DE3F3D7">
      <w:pPr>
        <w:ind w:firstLine="562"/>
        <w:rPr>
          <w:rFonts w:hint="eastAsia" w:ascii="宋体" w:hAnsi="宋体" w:eastAsia="宋体" w:cs="宋体"/>
          <w:b/>
          <w:color w:val="auto"/>
          <w:kern w:val="0"/>
          <w:sz w:val="28"/>
          <w:highlight w:val="none"/>
        </w:rPr>
      </w:pPr>
    </w:p>
    <w:p w14:paraId="44F797CD">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参考格式3</w:t>
      </w:r>
    </w:p>
    <w:p w14:paraId="19DA6EDD">
      <w:pPr>
        <w:ind w:firstLine="602"/>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拟投入项目成员情况表</w:t>
      </w:r>
    </w:p>
    <w:tbl>
      <w:tblPr>
        <w:tblStyle w:val="17"/>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14:paraId="2D0C3090">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A4382D">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w:t>
            </w:r>
          </w:p>
          <w:p w14:paraId="07C524D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A280E5">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C0514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93CAC9">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AE162C">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5B7FBE">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85644">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5F313D">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849CC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84E6D7">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383F21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自行补充</w:t>
            </w:r>
          </w:p>
        </w:tc>
      </w:tr>
      <w:tr w14:paraId="2983E19B">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AAA08F">
            <w:pPr>
              <w:autoSpaceDE w:val="0"/>
              <w:snapToGrid w:val="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现场管理负责人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395F10">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C62AE0">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F73FF8">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A4330F">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4BDD7">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74C361">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259871">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8851DF">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06083F">
            <w:pPr>
              <w:autoSpaceDE w:val="0"/>
              <w:snapToGrid w:val="0"/>
              <w:rPr>
                <w:rFonts w:hint="eastAsia" w:ascii="宋体" w:hAnsi="宋体" w:eastAsia="宋体" w:cs="宋体"/>
                <w:color w:val="auto"/>
                <w:sz w:val="24"/>
                <w:highlight w:val="none"/>
              </w:rPr>
            </w:pPr>
          </w:p>
        </w:tc>
      </w:tr>
      <w:tr w14:paraId="105B2FD6">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B41A22">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D5110F">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7D841D">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7E2D5A">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7CDF87">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26FC26">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830067">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6AC9B8">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F99707">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0EDCD1">
            <w:pPr>
              <w:autoSpaceDE w:val="0"/>
              <w:snapToGrid w:val="0"/>
              <w:rPr>
                <w:rFonts w:hint="eastAsia" w:ascii="宋体" w:hAnsi="宋体" w:eastAsia="宋体" w:cs="宋体"/>
                <w:color w:val="auto"/>
                <w:sz w:val="24"/>
                <w:highlight w:val="none"/>
              </w:rPr>
            </w:pPr>
          </w:p>
        </w:tc>
      </w:tr>
      <w:tr w14:paraId="76A70619">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FE694E">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1C44DF">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DDF409">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624FB4">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EF4FCB">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645B94">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F8A5BC">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E6D24D">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127643">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6D3CD1">
            <w:pPr>
              <w:autoSpaceDE w:val="0"/>
              <w:snapToGrid w:val="0"/>
              <w:rPr>
                <w:rFonts w:hint="eastAsia" w:ascii="宋体" w:hAnsi="宋体" w:eastAsia="宋体" w:cs="宋体"/>
                <w:color w:val="auto"/>
                <w:sz w:val="24"/>
                <w:highlight w:val="none"/>
              </w:rPr>
            </w:pPr>
          </w:p>
        </w:tc>
      </w:tr>
      <w:tr w14:paraId="15E32CB6">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DB7D8">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D1D75A">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B76218">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30093B">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97C311">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D31510">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B2A8E2">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95429A">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D57B9C">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68321E">
            <w:pPr>
              <w:autoSpaceDE w:val="0"/>
              <w:snapToGrid w:val="0"/>
              <w:rPr>
                <w:rFonts w:hint="eastAsia" w:ascii="宋体" w:hAnsi="宋体" w:eastAsia="宋体" w:cs="宋体"/>
                <w:color w:val="auto"/>
                <w:sz w:val="24"/>
                <w:highlight w:val="none"/>
              </w:rPr>
            </w:pPr>
          </w:p>
        </w:tc>
      </w:tr>
      <w:tr w14:paraId="0C4E8828">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2B074C">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0E9201">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D6C9C3">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8F360A">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6AFA06">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9E2CBE">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C9E41C">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A9ECF9">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CB1D1D">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E8419F">
            <w:pPr>
              <w:autoSpaceDE w:val="0"/>
              <w:snapToGrid w:val="0"/>
              <w:rPr>
                <w:rFonts w:hint="eastAsia" w:ascii="宋体" w:hAnsi="宋体" w:eastAsia="宋体" w:cs="宋体"/>
                <w:color w:val="auto"/>
                <w:sz w:val="24"/>
                <w:highlight w:val="none"/>
              </w:rPr>
            </w:pPr>
          </w:p>
        </w:tc>
      </w:tr>
      <w:tr w14:paraId="65131525">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092705">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EC6FA5">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00532D">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390B1E">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47FB3D">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C547AE">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0D10BA">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B4BCA7">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0E1ECC">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99704F">
            <w:pPr>
              <w:autoSpaceDE w:val="0"/>
              <w:snapToGrid w:val="0"/>
              <w:rPr>
                <w:rFonts w:hint="eastAsia" w:ascii="宋体" w:hAnsi="宋体" w:eastAsia="宋体" w:cs="宋体"/>
                <w:color w:val="auto"/>
                <w:sz w:val="24"/>
                <w:highlight w:val="none"/>
              </w:rPr>
            </w:pPr>
          </w:p>
        </w:tc>
      </w:tr>
    </w:tbl>
    <w:p w14:paraId="0D6FE6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7459D30">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名称(电子签名)：</w:t>
      </w:r>
    </w:p>
    <w:p w14:paraId="716A401E">
      <w:pPr>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55F55251">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br w:type="page"/>
      </w:r>
    </w:p>
    <w:p w14:paraId="6D23B166">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参考格式4</w:t>
      </w:r>
    </w:p>
    <w:p w14:paraId="66B58FB8">
      <w:pPr>
        <w:widowControl/>
        <w:ind w:firstLine="602"/>
        <w:jc w:val="center"/>
        <w:rPr>
          <w:rFonts w:hint="eastAsia" w:ascii="宋体" w:hAnsi="宋体" w:eastAsia="宋体" w:cs="宋体"/>
          <w:b/>
          <w:color w:val="auto"/>
          <w:kern w:val="0"/>
          <w:sz w:val="30"/>
          <w:highlight w:val="none"/>
        </w:rPr>
      </w:pPr>
      <w:r>
        <w:rPr>
          <w:rFonts w:hint="eastAsia" w:ascii="宋体" w:hAnsi="宋体" w:eastAsia="宋体" w:cs="宋体"/>
          <w:b/>
          <w:color w:val="auto"/>
          <w:kern w:val="0"/>
          <w:sz w:val="30"/>
          <w:highlight w:val="none"/>
        </w:rPr>
        <w:t>拟投入本项目的</w:t>
      </w:r>
      <w:r>
        <w:rPr>
          <w:rFonts w:hint="eastAsia" w:ascii="宋体" w:hAnsi="宋体" w:eastAsia="宋体" w:cs="宋体"/>
          <w:b/>
          <w:color w:val="auto"/>
          <w:kern w:val="0"/>
          <w:sz w:val="30"/>
          <w:highlight w:val="none"/>
          <w:lang w:val="en-US" w:eastAsia="zh-CN"/>
        </w:rPr>
        <w:t>主要</w:t>
      </w:r>
      <w:r>
        <w:rPr>
          <w:rFonts w:hint="eastAsia" w:ascii="宋体" w:hAnsi="宋体" w:eastAsia="宋体" w:cs="宋体"/>
          <w:b/>
          <w:color w:val="auto"/>
          <w:kern w:val="0"/>
          <w:sz w:val="30"/>
          <w:highlight w:val="none"/>
        </w:rPr>
        <w:t>成员</w:t>
      </w:r>
      <w:r>
        <w:rPr>
          <w:rFonts w:hint="eastAsia" w:ascii="宋体" w:hAnsi="宋体" w:eastAsia="宋体" w:cs="宋体"/>
          <w:b/>
          <w:color w:val="auto"/>
          <w:kern w:val="0"/>
          <w:sz w:val="30"/>
          <w:highlight w:val="none"/>
          <w:lang w:val="en-US" w:eastAsia="zh-CN"/>
        </w:rPr>
        <w:t>履历</w:t>
      </w:r>
      <w:r>
        <w:rPr>
          <w:rFonts w:hint="eastAsia" w:ascii="宋体" w:hAnsi="宋体" w:eastAsia="宋体" w:cs="宋体"/>
          <w:b/>
          <w:color w:val="auto"/>
          <w:kern w:val="0"/>
          <w:sz w:val="30"/>
          <w:highlight w:val="none"/>
        </w:rPr>
        <w:t>表</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14:paraId="6C5D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FCA3FA">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27FBE7">
            <w:pPr>
              <w:pStyle w:val="45"/>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356E9A">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E3154">
            <w:pPr>
              <w:pStyle w:val="45"/>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0BB567">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CA8A2A">
            <w:pPr>
              <w:pStyle w:val="45"/>
              <w:tabs>
                <w:tab w:val="left" w:pos="483"/>
              </w:tabs>
              <w:spacing w:before="104"/>
              <w:jc w:val="center"/>
              <w:rPr>
                <w:rFonts w:hint="eastAsia" w:ascii="宋体" w:hAnsi="宋体" w:eastAsia="宋体" w:cs="宋体"/>
                <w:color w:val="auto"/>
                <w:sz w:val="24"/>
                <w:highlight w:val="none"/>
              </w:rPr>
            </w:pPr>
          </w:p>
        </w:tc>
      </w:tr>
      <w:tr w14:paraId="71E3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CC3D02">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2F9AB6">
            <w:pPr>
              <w:pStyle w:val="45"/>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65C731">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CF4549">
            <w:pPr>
              <w:pStyle w:val="45"/>
              <w:tabs>
                <w:tab w:val="left" w:pos="483"/>
              </w:tabs>
              <w:spacing w:before="104"/>
              <w:jc w:val="center"/>
              <w:rPr>
                <w:rFonts w:hint="eastAsia" w:ascii="宋体" w:hAnsi="宋体" w:eastAsia="宋体" w:cs="宋体"/>
                <w:color w:val="auto"/>
                <w:sz w:val="24"/>
                <w:highlight w:val="none"/>
              </w:rPr>
            </w:pPr>
          </w:p>
        </w:tc>
      </w:tr>
      <w:tr w14:paraId="3C1C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25D209">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FE6FC4">
            <w:pPr>
              <w:pStyle w:val="45"/>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1346E0">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A612B7">
            <w:pPr>
              <w:pStyle w:val="45"/>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952FD8">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B9EB14">
            <w:pPr>
              <w:pStyle w:val="45"/>
              <w:tabs>
                <w:tab w:val="left" w:pos="483"/>
              </w:tabs>
              <w:spacing w:before="104"/>
              <w:jc w:val="center"/>
              <w:rPr>
                <w:rFonts w:hint="eastAsia" w:ascii="宋体" w:hAnsi="宋体" w:eastAsia="宋体" w:cs="宋体"/>
                <w:color w:val="auto"/>
                <w:sz w:val="24"/>
                <w:highlight w:val="none"/>
              </w:rPr>
            </w:pPr>
          </w:p>
        </w:tc>
      </w:tr>
      <w:tr w14:paraId="6DB6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2FC8D6">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35BD88">
            <w:pPr>
              <w:pStyle w:val="45"/>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121B63">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3E1D66">
            <w:pPr>
              <w:pStyle w:val="45"/>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896DF6">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08CB49">
            <w:pPr>
              <w:pStyle w:val="45"/>
              <w:tabs>
                <w:tab w:val="left" w:pos="483"/>
              </w:tabs>
              <w:spacing w:before="104"/>
              <w:jc w:val="center"/>
              <w:rPr>
                <w:rFonts w:hint="eastAsia" w:ascii="宋体" w:hAnsi="宋体" w:eastAsia="宋体" w:cs="宋体"/>
                <w:color w:val="auto"/>
                <w:sz w:val="24"/>
                <w:highlight w:val="none"/>
              </w:rPr>
            </w:pPr>
          </w:p>
        </w:tc>
      </w:tr>
      <w:tr w14:paraId="21585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F381E2">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r>
      <w:tr w14:paraId="5131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58BDF4">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983DCC">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F26C2C">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E91468">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BDE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B338C3">
            <w:pPr>
              <w:pStyle w:val="45"/>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F09D08">
            <w:pPr>
              <w:pStyle w:val="45"/>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1431EE">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009064">
            <w:pPr>
              <w:pStyle w:val="45"/>
              <w:tabs>
                <w:tab w:val="left" w:pos="483"/>
              </w:tabs>
              <w:spacing w:before="104"/>
              <w:jc w:val="center"/>
              <w:rPr>
                <w:rFonts w:hint="eastAsia" w:ascii="宋体" w:hAnsi="宋体" w:eastAsia="宋体" w:cs="宋体"/>
                <w:color w:val="auto"/>
                <w:sz w:val="24"/>
                <w:highlight w:val="none"/>
              </w:rPr>
            </w:pPr>
          </w:p>
        </w:tc>
      </w:tr>
      <w:tr w14:paraId="1302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5FFDFB">
            <w:pPr>
              <w:pStyle w:val="45"/>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6605C3">
            <w:pPr>
              <w:pStyle w:val="45"/>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C471AF">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F20160">
            <w:pPr>
              <w:pStyle w:val="45"/>
              <w:tabs>
                <w:tab w:val="left" w:pos="483"/>
              </w:tabs>
              <w:spacing w:before="104"/>
              <w:jc w:val="center"/>
              <w:rPr>
                <w:rFonts w:hint="eastAsia" w:ascii="宋体" w:hAnsi="宋体" w:eastAsia="宋体" w:cs="宋体"/>
                <w:color w:val="auto"/>
                <w:sz w:val="24"/>
                <w:highlight w:val="none"/>
              </w:rPr>
            </w:pPr>
          </w:p>
        </w:tc>
      </w:tr>
      <w:tr w14:paraId="546BA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2B1125">
            <w:pPr>
              <w:pStyle w:val="45"/>
              <w:tabs>
                <w:tab w:val="left" w:pos="483"/>
              </w:tabs>
              <w:spacing w:before="104"/>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已成功实施的类似项目情况</w:t>
            </w:r>
          </w:p>
        </w:tc>
      </w:tr>
      <w:tr w14:paraId="2650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E5C056">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F411E4">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86D602">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F5B8D2">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2938D1">
            <w:pPr>
              <w:pStyle w:val="45"/>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r>
      <w:tr w14:paraId="51335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164EC6">
            <w:pPr>
              <w:pStyle w:val="45"/>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FA981A">
            <w:pPr>
              <w:pStyle w:val="45"/>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002A1D">
            <w:pPr>
              <w:pStyle w:val="45"/>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9360EE">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FB4225">
            <w:pPr>
              <w:pStyle w:val="45"/>
              <w:tabs>
                <w:tab w:val="left" w:pos="483"/>
              </w:tabs>
              <w:spacing w:before="104"/>
              <w:jc w:val="center"/>
              <w:rPr>
                <w:rFonts w:hint="eastAsia" w:ascii="宋体" w:hAnsi="宋体" w:eastAsia="宋体" w:cs="宋体"/>
                <w:color w:val="auto"/>
                <w:sz w:val="24"/>
                <w:highlight w:val="none"/>
              </w:rPr>
            </w:pPr>
          </w:p>
        </w:tc>
      </w:tr>
      <w:tr w14:paraId="41DF9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84C030">
            <w:pPr>
              <w:pStyle w:val="45"/>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32A741">
            <w:pPr>
              <w:pStyle w:val="45"/>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FFFC1C">
            <w:pPr>
              <w:pStyle w:val="45"/>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63E0E8">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F1264B">
            <w:pPr>
              <w:pStyle w:val="45"/>
              <w:tabs>
                <w:tab w:val="left" w:pos="483"/>
              </w:tabs>
              <w:spacing w:before="104"/>
              <w:jc w:val="center"/>
              <w:rPr>
                <w:rFonts w:hint="eastAsia" w:ascii="宋体" w:hAnsi="宋体" w:eastAsia="宋体" w:cs="宋体"/>
                <w:color w:val="auto"/>
                <w:sz w:val="24"/>
                <w:highlight w:val="none"/>
              </w:rPr>
            </w:pPr>
          </w:p>
        </w:tc>
      </w:tr>
      <w:tr w14:paraId="5205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D82DDE">
            <w:pPr>
              <w:pStyle w:val="45"/>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05C005">
            <w:pPr>
              <w:pStyle w:val="45"/>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10B031">
            <w:pPr>
              <w:pStyle w:val="45"/>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D9E73">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37F057">
            <w:pPr>
              <w:pStyle w:val="45"/>
              <w:tabs>
                <w:tab w:val="left" w:pos="483"/>
              </w:tabs>
              <w:spacing w:before="104"/>
              <w:jc w:val="center"/>
              <w:rPr>
                <w:rFonts w:hint="eastAsia" w:ascii="宋体" w:hAnsi="宋体" w:eastAsia="宋体" w:cs="宋体"/>
                <w:color w:val="auto"/>
                <w:sz w:val="24"/>
                <w:highlight w:val="none"/>
              </w:rPr>
            </w:pPr>
          </w:p>
        </w:tc>
      </w:tr>
      <w:tr w14:paraId="0453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CC1736">
            <w:pPr>
              <w:pStyle w:val="45"/>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FB3358">
            <w:pPr>
              <w:pStyle w:val="45"/>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C5B9BD">
            <w:pPr>
              <w:pStyle w:val="45"/>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164279">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11E5A0">
            <w:pPr>
              <w:pStyle w:val="45"/>
              <w:tabs>
                <w:tab w:val="left" w:pos="483"/>
              </w:tabs>
              <w:spacing w:before="104"/>
              <w:jc w:val="center"/>
              <w:rPr>
                <w:rFonts w:hint="eastAsia" w:ascii="宋体" w:hAnsi="宋体" w:eastAsia="宋体" w:cs="宋体"/>
                <w:color w:val="auto"/>
                <w:sz w:val="24"/>
                <w:highlight w:val="none"/>
              </w:rPr>
            </w:pPr>
          </w:p>
        </w:tc>
      </w:tr>
      <w:tr w14:paraId="1DBB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57C998">
            <w:pPr>
              <w:pStyle w:val="45"/>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5ADC36">
            <w:pPr>
              <w:pStyle w:val="45"/>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8A385E">
            <w:pPr>
              <w:pStyle w:val="45"/>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A00D83">
            <w:pPr>
              <w:pStyle w:val="45"/>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E7D39C">
            <w:pPr>
              <w:pStyle w:val="45"/>
              <w:tabs>
                <w:tab w:val="left" w:pos="483"/>
              </w:tabs>
              <w:spacing w:before="104"/>
              <w:jc w:val="center"/>
              <w:rPr>
                <w:rFonts w:hint="eastAsia" w:ascii="宋体" w:hAnsi="宋体" w:eastAsia="宋体" w:cs="宋体"/>
                <w:color w:val="auto"/>
                <w:sz w:val="24"/>
                <w:highlight w:val="none"/>
              </w:rPr>
            </w:pPr>
          </w:p>
        </w:tc>
      </w:tr>
    </w:tbl>
    <w:p w14:paraId="0E5216EF">
      <w:pPr>
        <w:ind w:firstLine="482"/>
        <w:jc w:val="left"/>
        <w:rPr>
          <w:rFonts w:hint="eastAsia" w:ascii="宋体" w:hAnsi="宋体" w:eastAsia="宋体" w:cs="宋体"/>
          <w:b/>
          <w:color w:val="auto"/>
          <w:sz w:val="24"/>
          <w:highlight w:val="none"/>
        </w:rPr>
      </w:pPr>
    </w:p>
    <w:p w14:paraId="07CA3B26">
      <w:pPr>
        <w:spacing w:line="360" w:lineRule="auto"/>
        <w:ind w:firstLine="482"/>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t>参考格式，可调整补充</w:t>
      </w:r>
    </w:p>
    <w:p w14:paraId="68FDD02B">
      <w:pPr>
        <w:snapToGrid w:val="0"/>
        <w:spacing w:line="360" w:lineRule="auto"/>
        <w:ind w:firstLine="480"/>
        <w:jc w:val="center"/>
        <w:rPr>
          <w:rFonts w:hint="eastAsia" w:ascii="宋体" w:hAnsi="宋体" w:eastAsia="宋体" w:cs="宋体"/>
          <w:color w:val="auto"/>
          <w:sz w:val="24"/>
          <w:highlight w:val="none"/>
          <w:lang w:val="zh-CN"/>
        </w:rPr>
      </w:pPr>
    </w:p>
    <w:p w14:paraId="6A58AC35">
      <w:pPr>
        <w:spacing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投标供应商名称(电子签名)：</w:t>
      </w:r>
    </w:p>
    <w:p w14:paraId="281B48C5">
      <w:pPr>
        <w:spacing w:line="360" w:lineRule="auto"/>
        <w:jc w:val="righ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1639A034">
      <w:pPr>
        <w:ind w:firstLine="643"/>
        <w:jc w:val="center"/>
        <w:rPr>
          <w:rFonts w:hint="eastAsia" w:ascii="宋体" w:hAnsi="宋体" w:eastAsia="宋体" w:cs="宋体"/>
          <w:b/>
          <w:color w:val="auto"/>
          <w:kern w:val="0"/>
          <w:sz w:val="32"/>
          <w:szCs w:val="32"/>
          <w:highlight w:val="none"/>
        </w:rPr>
      </w:pPr>
    </w:p>
    <w:p w14:paraId="63938647">
      <w:pPr>
        <w:ind w:firstLine="643"/>
        <w:jc w:val="center"/>
        <w:rPr>
          <w:rFonts w:hint="eastAsia" w:ascii="宋体" w:hAnsi="宋体" w:eastAsia="宋体" w:cs="宋体"/>
          <w:b/>
          <w:color w:val="auto"/>
          <w:kern w:val="0"/>
          <w:sz w:val="32"/>
          <w:szCs w:val="32"/>
          <w:highlight w:val="none"/>
        </w:rPr>
      </w:pPr>
    </w:p>
    <w:p w14:paraId="458A7FD1">
      <w:pPr>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AA0EFA">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六、投标标的清单</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14:paraId="255A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5EAED82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14:paraId="164B9A4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14:paraId="4407AFC0">
            <w:pPr>
              <w:jc w:val="center"/>
              <w:rPr>
                <w:rFonts w:hint="eastAsia" w:ascii="宋体" w:hAnsi="宋体" w:eastAsia="宋体" w:cs="宋体"/>
                <w:b/>
                <w:bCs/>
                <w:color w:val="auto"/>
                <w:sz w:val="24"/>
                <w:highlight w:val="none"/>
              </w:rPr>
            </w:pPr>
          </w:p>
          <w:p w14:paraId="1FC629D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14:paraId="7B67710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14:paraId="5844AB3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14:paraId="0A65244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14:paraId="018AA415">
            <w:pPr>
              <w:jc w:val="center"/>
              <w:rPr>
                <w:rFonts w:hint="eastAsia" w:ascii="宋体" w:hAnsi="宋体" w:eastAsia="宋体" w:cs="宋体"/>
                <w:b/>
                <w:bCs/>
                <w:color w:val="auto"/>
                <w:sz w:val="24"/>
                <w:highlight w:val="none"/>
              </w:rPr>
            </w:pPr>
          </w:p>
          <w:p w14:paraId="61BFCE7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备注（如果有）</w:t>
            </w:r>
          </w:p>
          <w:p w14:paraId="0764840F">
            <w:pPr>
              <w:jc w:val="center"/>
              <w:rPr>
                <w:rFonts w:hint="eastAsia" w:ascii="宋体" w:hAnsi="宋体" w:eastAsia="宋体" w:cs="宋体"/>
                <w:b/>
                <w:bCs/>
                <w:color w:val="auto"/>
                <w:sz w:val="24"/>
                <w:highlight w:val="none"/>
              </w:rPr>
            </w:pPr>
          </w:p>
        </w:tc>
      </w:tr>
      <w:tr w14:paraId="4D8B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9DDC8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14:paraId="4D8BFE23">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0E437475">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37C96C7A">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5B89BA91">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0B3CBD15">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7ECF5EF9">
            <w:pPr>
              <w:spacing w:line="360" w:lineRule="auto"/>
              <w:jc w:val="center"/>
              <w:rPr>
                <w:rFonts w:hint="eastAsia" w:ascii="宋体" w:hAnsi="宋体" w:eastAsia="宋体" w:cs="宋体"/>
                <w:color w:val="auto"/>
                <w:sz w:val="24"/>
                <w:highlight w:val="none"/>
              </w:rPr>
            </w:pPr>
          </w:p>
        </w:tc>
      </w:tr>
      <w:tr w14:paraId="6CCF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78CF9E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14:paraId="79796B47">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1ADB9593">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205BBC8D">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2052FBA2">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4D550D62">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61ADF378">
            <w:pPr>
              <w:spacing w:line="360" w:lineRule="auto"/>
              <w:jc w:val="center"/>
              <w:rPr>
                <w:rFonts w:hint="eastAsia" w:ascii="宋体" w:hAnsi="宋体" w:eastAsia="宋体" w:cs="宋体"/>
                <w:color w:val="auto"/>
                <w:sz w:val="24"/>
                <w:highlight w:val="none"/>
              </w:rPr>
            </w:pPr>
          </w:p>
        </w:tc>
      </w:tr>
      <w:tr w14:paraId="3052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3BE48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14:paraId="34957C27">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170B1AF6">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42D4295F">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17C6C353">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51F5E01A">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644FB9B2">
            <w:pPr>
              <w:spacing w:line="360" w:lineRule="auto"/>
              <w:jc w:val="center"/>
              <w:rPr>
                <w:rFonts w:hint="eastAsia" w:ascii="宋体" w:hAnsi="宋体" w:eastAsia="宋体" w:cs="宋体"/>
                <w:color w:val="auto"/>
                <w:sz w:val="24"/>
                <w:highlight w:val="none"/>
              </w:rPr>
            </w:pPr>
          </w:p>
        </w:tc>
      </w:tr>
    </w:tbl>
    <w:p w14:paraId="7C8DA4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0A183B1">
      <w:pPr>
        <w:ind w:firstLine="643"/>
        <w:jc w:val="center"/>
        <w:rPr>
          <w:rFonts w:hint="eastAsia" w:ascii="宋体" w:hAnsi="宋体" w:eastAsia="宋体" w:cs="宋体"/>
          <w:b/>
          <w:color w:val="auto"/>
          <w:kern w:val="0"/>
          <w:sz w:val="32"/>
          <w:szCs w:val="32"/>
          <w:highlight w:val="none"/>
        </w:rPr>
      </w:pPr>
    </w:p>
    <w:p w14:paraId="3DA92953">
      <w:pPr>
        <w:ind w:firstLine="643"/>
        <w:jc w:val="center"/>
        <w:rPr>
          <w:rFonts w:hint="eastAsia" w:ascii="宋体" w:hAnsi="宋体" w:eastAsia="宋体" w:cs="宋体"/>
          <w:b/>
          <w:color w:val="auto"/>
          <w:kern w:val="0"/>
          <w:sz w:val="32"/>
          <w:szCs w:val="32"/>
          <w:highlight w:val="none"/>
        </w:rPr>
      </w:pPr>
    </w:p>
    <w:p w14:paraId="3FFF81F7">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七、商务技术偏离表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14:paraId="7F9C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4800B168">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883" w:type="pct"/>
          </w:tcPr>
          <w:p w14:paraId="1E4CB8E9">
            <w:pPr>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83" w:type="pct"/>
          </w:tcPr>
          <w:p w14:paraId="22434FCD">
            <w:pPr>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773" w:type="pct"/>
          </w:tcPr>
          <w:p w14:paraId="7BD6FC8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BEA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6BAB450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83" w:type="pct"/>
          </w:tcPr>
          <w:p w14:paraId="46C679D7">
            <w:pPr>
              <w:ind w:firstLine="643"/>
              <w:jc w:val="center"/>
              <w:rPr>
                <w:rFonts w:hint="eastAsia" w:ascii="宋体" w:hAnsi="宋体" w:eastAsia="宋体" w:cs="宋体"/>
                <w:b/>
                <w:color w:val="auto"/>
                <w:kern w:val="0"/>
                <w:sz w:val="32"/>
                <w:szCs w:val="32"/>
                <w:highlight w:val="none"/>
              </w:rPr>
            </w:pPr>
          </w:p>
        </w:tc>
        <w:tc>
          <w:tcPr>
            <w:tcW w:w="1883" w:type="pct"/>
          </w:tcPr>
          <w:p w14:paraId="02E7C28E">
            <w:pPr>
              <w:ind w:firstLine="643"/>
              <w:jc w:val="center"/>
              <w:rPr>
                <w:rFonts w:hint="eastAsia" w:ascii="宋体" w:hAnsi="宋体" w:eastAsia="宋体" w:cs="宋体"/>
                <w:b/>
                <w:color w:val="auto"/>
                <w:kern w:val="0"/>
                <w:sz w:val="32"/>
                <w:szCs w:val="32"/>
                <w:highlight w:val="none"/>
              </w:rPr>
            </w:pPr>
          </w:p>
        </w:tc>
        <w:tc>
          <w:tcPr>
            <w:tcW w:w="773" w:type="pct"/>
          </w:tcPr>
          <w:p w14:paraId="6DCDC92F">
            <w:pPr>
              <w:ind w:firstLine="643"/>
              <w:jc w:val="center"/>
              <w:rPr>
                <w:rFonts w:hint="eastAsia" w:ascii="宋体" w:hAnsi="宋体" w:eastAsia="宋体" w:cs="宋体"/>
                <w:b/>
                <w:color w:val="auto"/>
                <w:kern w:val="0"/>
                <w:sz w:val="32"/>
                <w:szCs w:val="32"/>
                <w:highlight w:val="none"/>
              </w:rPr>
            </w:pPr>
          </w:p>
        </w:tc>
      </w:tr>
      <w:tr w14:paraId="3374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58FC3EE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83" w:type="pct"/>
          </w:tcPr>
          <w:p w14:paraId="19972D54">
            <w:pPr>
              <w:ind w:firstLine="643"/>
              <w:jc w:val="center"/>
              <w:rPr>
                <w:rFonts w:hint="eastAsia" w:ascii="宋体" w:hAnsi="宋体" w:eastAsia="宋体" w:cs="宋体"/>
                <w:b/>
                <w:color w:val="auto"/>
                <w:kern w:val="0"/>
                <w:sz w:val="32"/>
                <w:szCs w:val="32"/>
                <w:highlight w:val="none"/>
              </w:rPr>
            </w:pPr>
          </w:p>
        </w:tc>
        <w:tc>
          <w:tcPr>
            <w:tcW w:w="1883" w:type="pct"/>
          </w:tcPr>
          <w:p w14:paraId="103E52EE">
            <w:pPr>
              <w:ind w:firstLine="643"/>
              <w:jc w:val="center"/>
              <w:rPr>
                <w:rFonts w:hint="eastAsia" w:ascii="宋体" w:hAnsi="宋体" w:eastAsia="宋体" w:cs="宋体"/>
                <w:b/>
                <w:color w:val="auto"/>
                <w:kern w:val="0"/>
                <w:sz w:val="32"/>
                <w:szCs w:val="32"/>
                <w:highlight w:val="none"/>
              </w:rPr>
            </w:pPr>
          </w:p>
        </w:tc>
        <w:tc>
          <w:tcPr>
            <w:tcW w:w="773" w:type="pct"/>
          </w:tcPr>
          <w:p w14:paraId="12FAAF06">
            <w:pPr>
              <w:ind w:firstLine="643"/>
              <w:jc w:val="center"/>
              <w:rPr>
                <w:rFonts w:hint="eastAsia" w:ascii="宋体" w:hAnsi="宋体" w:eastAsia="宋体" w:cs="宋体"/>
                <w:b/>
                <w:color w:val="auto"/>
                <w:kern w:val="0"/>
                <w:sz w:val="32"/>
                <w:szCs w:val="32"/>
                <w:highlight w:val="none"/>
              </w:rPr>
            </w:pPr>
          </w:p>
        </w:tc>
      </w:tr>
      <w:tr w14:paraId="6847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1570451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883" w:type="pct"/>
          </w:tcPr>
          <w:p w14:paraId="54C4903F">
            <w:pPr>
              <w:ind w:firstLine="643"/>
              <w:jc w:val="center"/>
              <w:rPr>
                <w:rFonts w:hint="eastAsia" w:ascii="宋体" w:hAnsi="宋体" w:eastAsia="宋体" w:cs="宋体"/>
                <w:b/>
                <w:color w:val="auto"/>
                <w:kern w:val="0"/>
                <w:sz w:val="32"/>
                <w:szCs w:val="32"/>
                <w:highlight w:val="none"/>
              </w:rPr>
            </w:pPr>
          </w:p>
        </w:tc>
        <w:tc>
          <w:tcPr>
            <w:tcW w:w="1883" w:type="pct"/>
          </w:tcPr>
          <w:p w14:paraId="401BD11A">
            <w:pPr>
              <w:ind w:firstLine="643"/>
              <w:jc w:val="center"/>
              <w:rPr>
                <w:rFonts w:hint="eastAsia" w:ascii="宋体" w:hAnsi="宋体" w:eastAsia="宋体" w:cs="宋体"/>
                <w:b/>
                <w:color w:val="auto"/>
                <w:kern w:val="0"/>
                <w:sz w:val="32"/>
                <w:szCs w:val="32"/>
                <w:highlight w:val="none"/>
              </w:rPr>
            </w:pPr>
          </w:p>
        </w:tc>
        <w:tc>
          <w:tcPr>
            <w:tcW w:w="773" w:type="pct"/>
          </w:tcPr>
          <w:p w14:paraId="1B37FD71">
            <w:pPr>
              <w:ind w:firstLine="643"/>
              <w:jc w:val="center"/>
              <w:rPr>
                <w:rFonts w:hint="eastAsia" w:ascii="宋体" w:hAnsi="宋体" w:eastAsia="宋体" w:cs="宋体"/>
                <w:b/>
                <w:color w:val="auto"/>
                <w:kern w:val="0"/>
                <w:sz w:val="32"/>
                <w:szCs w:val="32"/>
                <w:highlight w:val="none"/>
              </w:rPr>
            </w:pPr>
          </w:p>
        </w:tc>
      </w:tr>
    </w:tbl>
    <w:p w14:paraId="7D9BE98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9C6113">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10F4C0A2">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3197C48E">
      <w:pPr>
        <w:ind w:firstLine="643"/>
        <w:jc w:val="center"/>
        <w:rPr>
          <w:rFonts w:hint="eastAsia" w:ascii="宋体" w:hAnsi="宋体" w:eastAsia="宋体" w:cs="宋体"/>
          <w:b/>
          <w:color w:val="auto"/>
          <w:kern w:val="0"/>
          <w:sz w:val="32"/>
          <w:szCs w:val="32"/>
          <w:highlight w:val="none"/>
        </w:rPr>
      </w:pPr>
    </w:p>
    <w:p w14:paraId="6C818AAC">
      <w:pPr>
        <w:ind w:firstLine="1911" w:firstLineChars="595"/>
        <w:rPr>
          <w:rFonts w:hint="eastAsia" w:ascii="宋体" w:hAnsi="宋体" w:eastAsia="宋体" w:cs="宋体"/>
          <w:b/>
          <w:bCs/>
          <w:color w:val="auto"/>
          <w:sz w:val="32"/>
          <w:szCs w:val="32"/>
          <w:highlight w:val="none"/>
        </w:rPr>
      </w:pPr>
    </w:p>
    <w:p w14:paraId="7CB34208">
      <w:pPr>
        <w:ind w:firstLine="1911" w:firstLineChars="595"/>
        <w:rPr>
          <w:rFonts w:hint="eastAsia" w:ascii="宋体" w:hAnsi="宋体" w:eastAsia="宋体" w:cs="宋体"/>
          <w:b/>
          <w:bCs/>
          <w:color w:val="auto"/>
          <w:sz w:val="32"/>
          <w:szCs w:val="32"/>
          <w:highlight w:val="none"/>
        </w:rPr>
      </w:pPr>
    </w:p>
    <w:p w14:paraId="4D05B280">
      <w:pPr>
        <w:ind w:firstLine="1911" w:firstLineChars="595"/>
        <w:rPr>
          <w:rFonts w:hint="eastAsia" w:ascii="宋体" w:hAnsi="宋体" w:eastAsia="宋体" w:cs="宋体"/>
          <w:b/>
          <w:bCs/>
          <w:color w:val="auto"/>
          <w:sz w:val="32"/>
          <w:szCs w:val="32"/>
          <w:highlight w:val="none"/>
        </w:rPr>
      </w:pPr>
    </w:p>
    <w:p w14:paraId="70488632">
      <w:pPr>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81CB514">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八、政府采购供应商廉洁自律承诺书</w:t>
      </w:r>
    </w:p>
    <w:p w14:paraId="26A21993">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3F180BD8">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6F9541F">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B40AF1F">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65018F3">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CA3FEB9">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CCEA7D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8EB869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33CA71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3A6762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8D83D8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D3A6DD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3F73B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66D9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926875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C25058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7EBD6F4">
      <w:pPr>
        <w:spacing w:line="360" w:lineRule="auto"/>
        <w:ind w:firstLine="482"/>
        <w:jc w:val="center"/>
        <w:rPr>
          <w:rFonts w:hint="eastAsia" w:ascii="宋体" w:hAnsi="宋体" w:eastAsia="宋体" w:cs="宋体"/>
          <w:b/>
          <w:bCs/>
          <w:color w:val="auto"/>
          <w:sz w:val="24"/>
          <w:highlight w:val="none"/>
        </w:rPr>
      </w:pPr>
    </w:p>
    <w:p w14:paraId="1EE96D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A1A6F29">
      <w:pPr>
        <w:spacing w:line="360" w:lineRule="auto"/>
        <w:ind w:firstLine="482"/>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2EE3FAF">
      <w:pPr>
        <w:ind w:firstLine="723"/>
        <w:rPr>
          <w:rFonts w:hint="eastAsia" w:ascii="宋体" w:hAnsi="宋体" w:eastAsia="宋体" w:cs="宋体"/>
          <w:b/>
          <w:color w:val="auto"/>
          <w:kern w:val="0"/>
          <w:sz w:val="36"/>
          <w:szCs w:val="36"/>
          <w:highlight w:val="none"/>
        </w:rPr>
      </w:pPr>
    </w:p>
    <w:p w14:paraId="5DD7E500">
      <w:pPr>
        <w:pStyle w:val="3"/>
        <w:rPr>
          <w:rFonts w:hint="eastAsia" w:ascii="宋体" w:hAnsi="宋体" w:eastAsia="宋体" w:cs="宋体"/>
          <w:color w:val="auto"/>
          <w:highlight w:val="none"/>
        </w:rPr>
      </w:pPr>
      <w:r>
        <w:rPr>
          <w:rFonts w:hint="eastAsia" w:ascii="宋体" w:hAnsi="宋体" w:eastAsia="宋体" w:cs="宋体"/>
          <w:color w:val="auto"/>
          <w:highlight w:val="none"/>
        </w:rPr>
        <w:t>报价文件部分</w:t>
      </w:r>
    </w:p>
    <w:p w14:paraId="74AD6AA1">
      <w:pPr>
        <w:ind w:firstLine="723"/>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A260CB">
      <w:pPr>
        <w:ind w:firstLine="723"/>
        <w:rPr>
          <w:rFonts w:hint="eastAsia" w:ascii="宋体" w:hAnsi="宋体" w:eastAsia="宋体" w:cs="宋体"/>
          <w:b/>
          <w:color w:val="auto"/>
          <w:kern w:val="0"/>
          <w:sz w:val="36"/>
          <w:szCs w:val="36"/>
          <w:highlight w:val="none"/>
        </w:rPr>
      </w:pPr>
    </w:p>
    <w:p w14:paraId="5CC3A3C0">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1CBAB814">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报价明细表…………………………………………………………………（页码）</w:t>
      </w:r>
    </w:p>
    <w:p w14:paraId="1F87C2AF">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报价情况说明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如果有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…………………………………………………（页码）</w:t>
      </w:r>
    </w:p>
    <w:p w14:paraId="4B106F5B">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3675A899">
      <w:pPr>
        <w:snapToGrid w:val="0"/>
        <w:spacing w:line="360" w:lineRule="auto"/>
        <w:ind w:right="480" w:firstLine="643"/>
        <w:jc w:val="center"/>
        <w:rPr>
          <w:rFonts w:hint="eastAsia" w:ascii="宋体" w:hAnsi="宋体" w:eastAsia="宋体" w:cs="宋体"/>
          <w:b/>
          <w:color w:val="auto"/>
          <w:kern w:val="0"/>
          <w:sz w:val="32"/>
          <w:szCs w:val="32"/>
          <w:highlight w:val="none"/>
        </w:rPr>
      </w:pPr>
    </w:p>
    <w:p w14:paraId="154A84DE">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428DCEB">
      <w:pPr>
        <w:snapToGrid w:val="0"/>
        <w:spacing w:line="360" w:lineRule="auto"/>
        <w:ind w:right="480" w:firstLine="643"/>
        <w:jc w:val="center"/>
        <w:rPr>
          <w:rFonts w:hint="eastAsia" w:ascii="宋体" w:hAnsi="宋体" w:eastAsia="宋体" w:cs="宋体"/>
          <w:b/>
          <w:color w:val="auto"/>
          <w:kern w:val="0"/>
          <w:sz w:val="32"/>
          <w:szCs w:val="32"/>
          <w:highlight w:val="none"/>
        </w:rPr>
      </w:pPr>
    </w:p>
    <w:p w14:paraId="2E1A5D7F">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4CB40D8">
      <w:pPr>
        <w:snapToGrid w:val="0"/>
        <w:spacing w:line="360" w:lineRule="auto"/>
        <w:ind w:right="480" w:firstLine="643"/>
        <w:jc w:val="center"/>
        <w:rPr>
          <w:rFonts w:hint="eastAsia" w:ascii="宋体" w:hAnsi="宋体" w:eastAsia="宋体" w:cs="宋体"/>
          <w:b/>
          <w:color w:val="auto"/>
          <w:kern w:val="0"/>
          <w:sz w:val="32"/>
          <w:szCs w:val="32"/>
          <w:highlight w:val="none"/>
        </w:rPr>
      </w:pPr>
    </w:p>
    <w:p w14:paraId="0F69BB82">
      <w:pPr>
        <w:snapToGrid w:val="0"/>
        <w:spacing w:line="360" w:lineRule="auto"/>
        <w:ind w:right="480" w:firstLine="643"/>
        <w:jc w:val="center"/>
        <w:rPr>
          <w:rFonts w:hint="eastAsia" w:ascii="宋体" w:hAnsi="宋体" w:eastAsia="宋体" w:cs="宋体"/>
          <w:b/>
          <w:color w:val="auto"/>
          <w:kern w:val="0"/>
          <w:sz w:val="32"/>
          <w:szCs w:val="32"/>
          <w:highlight w:val="none"/>
        </w:rPr>
      </w:pPr>
    </w:p>
    <w:p w14:paraId="781E8F1B">
      <w:pPr>
        <w:snapToGrid w:val="0"/>
        <w:spacing w:line="360" w:lineRule="auto"/>
        <w:ind w:right="480" w:firstLine="643"/>
        <w:jc w:val="center"/>
        <w:rPr>
          <w:rFonts w:hint="eastAsia" w:ascii="宋体" w:hAnsi="宋体" w:eastAsia="宋体" w:cs="宋体"/>
          <w:b/>
          <w:color w:val="auto"/>
          <w:kern w:val="0"/>
          <w:sz w:val="32"/>
          <w:szCs w:val="32"/>
          <w:highlight w:val="none"/>
        </w:rPr>
      </w:pPr>
    </w:p>
    <w:p w14:paraId="7D8A1334">
      <w:pPr>
        <w:snapToGrid w:val="0"/>
        <w:spacing w:line="360" w:lineRule="auto"/>
        <w:ind w:right="480" w:firstLine="643"/>
        <w:jc w:val="center"/>
        <w:rPr>
          <w:rFonts w:hint="eastAsia" w:ascii="宋体" w:hAnsi="宋体" w:eastAsia="宋体" w:cs="宋体"/>
          <w:b/>
          <w:color w:val="auto"/>
          <w:kern w:val="0"/>
          <w:sz w:val="32"/>
          <w:szCs w:val="32"/>
          <w:highlight w:val="none"/>
        </w:rPr>
      </w:pPr>
    </w:p>
    <w:p w14:paraId="1AC5BA2D">
      <w:pPr>
        <w:snapToGrid w:val="0"/>
        <w:spacing w:line="360" w:lineRule="auto"/>
        <w:ind w:right="480" w:firstLine="643"/>
        <w:jc w:val="center"/>
        <w:rPr>
          <w:rFonts w:hint="eastAsia" w:ascii="宋体" w:hAnsi="宋体" w:eastAsia="宋体" w:cs="宋体"/>
          <w:b/>
          <w:color w:val="auto"/>
          <w:kern w:val="0"/>
          <w:sz w:val="32"/>
          <w:szCs w:val="32"/>
          <w:highlight w:val="none"/>
        </w:rPr>
      </w:pPr>
    </w:p>
    <w:p w14:paraId="01ABB500">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E9C68A0">
      <w:pPr>
        <w:snapToGrid w:val="0"/>
        <w:spacing w:line="360" w:lineRule="auto"/>
        <w:ind w:right="480" w:firstLine="643"/>
        <w:jc w:val="center"/>
        <w:rPr>
          <w:rFonts w:hint="eastAsia" w:ascii="宋体" w:hAnsi="宋体" w:eastAsia="宋体" w:cs="宋体"/>
          <w:b/>
          <w:color w:val="auto"/>
          <w:kern w:val="0"/>
          <w:sz w:val="32"/>
          <w:szCs w:val="32"/>
          <w:highlight w:val="none"/>
        </w:rPr>
      </w:pPr>
    </w:p>
    <w:p w14:paraId="7D4A5772">
      <w:pPr>
        <w:snapToGrid w:val="0"/>
        <w:spacing w:line="360" w:lineRule="auto"/>
        <w:ind w:right="480" w:firstLine="643"/>
        <w:jc w:val="center"/>
        <w:rPr>
          <w:rFonts w:hint="eastAsia" w:ascii="宋体" w:hAnsi="宋体" w:eastAsia="宋体" w:cs="宋体"/>
          <w:b/>
          <w:color w:val="auto"/>
          <w:kern w:val="0"/>
          <w:sz w:val="32"/>
          <w:szCs w:val="32"/>
          <w:highlight w:val="none"/>
        </w:rPr>
      </w:pPr>
    </w:p>
    <w:p w14:paraId="25A3DFE3">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37A4892">
      <w:pPr>
        <w:snapToGrid w:val="0"/>
        <w:spacing w:line="360" w:lineRule="auto"/>
        <w:ind w:right="480" w:firstLine="643"/>
        <w:jc w:val="center"/>
        <w:rPr>
          <w:rFonts w:hint="eastAsia" w:ascii="宋体" w:hAnsi="宋体" w:eastAsia="宋体" w:cs="宋体"/>
          <w:b/>
          <w:color w:val="auto"/>
          <w:kern w:val="0"/>
          <w:sz w:val="32"/>
          <w:szCs w:val="32"/>
          <w:highlight w:val="none"/>
        </w:rPr>
      </w:pPr>
    </w:p>
    <w:p w14:paraId="04AC73FF">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6A7EC46">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D53B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杭州市市场监督管理局</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1474E7B1">
      <w:pPr>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w:t>
      </w:r>
      <w:r>
        <w:rPr>
          <w:rFonts w:hint="eastAsia" w:ascii="宋体" w:hAnsi="宋体" w:eastAsia="宋体" w:cs="宋体"/>
          <w:color w:val="auto"/>
          <w:kern w:val="0"/>
          <w:sz w:val="24"/>
          <w:highlight w:val="none"/>
          <w:u w:val="single"/>
          <w:lang w:val="zh-CN"/>
        </w:rPr>
        <w:t>本投标文件签字方</w:t>
      </w:r>
      <w:r>
        <w:rPr>
          <w:rFonts w:hint="eastAsia" w:ascii="宋体" w:hAnsi="宋体" w:eastAsia="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A2BB45F">
      <w:pPr>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7"/>
        <w:tblW w:w="94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922"/>
        <w:gridCol w:w="1912"/>
        <w:gridCol w:w="1912"/>
        <w:gridCol w:w="1912"/>
        <w:gridCol w:w="1087"/>
      </w:tblGrid>
      <w:tr w14:paraId="7A298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6" w:hRule="atLeast"/>
          <w:tblHeader/>
          <w:jc w:val="center"/>
        </w:trPr>
        <w:tc>
          <w:tcPr>
            <w:tcW w:w="724" w:type="dxa"/>
            <w:noWrap w:val="0"/>
            <w:vAlign w:val="center"/>
          </w:tcPr>
          <w:p w14:paraId="2494F860">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序号</w:t>
            </w:r>
          </w:p>
        </w:tc>
        <w:tc>
          <w:tcPr>
            <w:tcW w:w="1922" w:type="dxa"/>
            <w:tcBorders>
              <w:bottom w:val="single" w:color="auto" w:sz="4" w:space="0"/>
            </w:tcBorders>
            <w:noWrap w:val="0"/>
            <w:vAlign w:val="center"/>
          </w:tcPr>
          <w:p w14:paraId="34C7641D">
            <w:pPr>
              <w:snapToGrid w:val="0"/>
              <w:spacing w:line="276"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服务内容</w:t>
            </w:r>
          </w:p>
        </w:tc>
        <w:tc>
          <w:tcPr>
            <w:tcW w:w="1912" w:type="dxa"/>
            <w:noWrap w:val="0"/>
            <w:vAlign w:val="center"/>
          </w:tcPr>
          <w:p w14:paraId="0C83C95A">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数量</w:t>
            </w:r>
          </w:p>
        </w:tc>
        <w:tc>
          <w:tcPr>
            <w:tcW w:w="1912" w:type="dxa"/>
            <w:noWrap w:val="0"/>
            <w:vAlign w:val="center"/>
          </w:tcPr>
          <w:p w14:paraId="0D4A8292">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单价(元)</w:t>
            </w:r>
          </w:p>
        </w:tc>
        <w:tc>
          <w:tcPr>
            <w:tcW w:w="1912" w:type="dxa"/>
            <w:noWrap w:val="0"/>
            <w:vAlign w:val="center"/>
          </w:tcPr>
          <w:p w14:paraId="7119D612">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总价(元)</w:t>
            </w:r>
          </w:p>
        </w:tc>
        <w:tc>
          <w:tcPr>
            <w:tcW w:w="1087" w:type="dxa"/>
            <w:noWrap w:val="0"/>
            <w:vAlign w:val="center"/>
          </w:tcPr>
          <w:p w14:paraId="3637425F">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备注</w:t>
            </w:r>
          </w:p>
        </w:tc>
      </w:tr>
      <w:tr w14:paraId="057FAC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724" w:type="dxa"/>
            <w:tcBorders>
              <w:right w:val="single" w:color="auto" w:sz="4" w:space="0"/>
            </w:tcBorders>
            <w:noWrap w:val="0"/>
            <w:vAlign w:val="center"/>
          </w:tcPr>
          <w:p w14:paraId="2F3B39FC">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w:t>
            </w:r>
          </w:p>
        </w:tc>
        <w:tc>
          <w:tcPr>
            <w:tcW w:w="1922" w:type="dxa"/>
            <w:tcBorders>
              <w:top w:val="single" w:color="auto" w:sz="4" w:space="0"/>
              <w:left w:val="single" w:color="auto" w:sz="4" w:space="0"/>
              <w:right w:val="single" w:color="auto" w:sz="4" w:space="0"/>
            </w:tcBorders>
            <w:noWrap w:val="0"/>
            <w:vAlign w:val="center"/>
          </w:tcPr>
          <w:p w14:paraId="30CA2A26">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left w:val="single" w:color="auto" w:sz="4" w:space="0"/>
            </w:tcBorders>
            <w:noWrap w:val="0"/>
            <w:vAlign w:val="center"/>
          </w:tcPr>
          <w:p w14:paraId="58731407">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left w:val="single" w:color="auto" w:sz="4" w:space="0"/>
            </w:tcBorders>
            <w:noWrap w:val="0"/>
            <w:vAlign w:val="center"/>
          </w:tcPr>
          <w:p w14:paraId="4E33A898">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left w:val="single" w:color="auto" w:sz="4" w:space="0"/>
            </w:tcBorders>
            <w:noWrap w:val="0"/>
            <w:vAlign w:val="center"/>
          </w:tcPr>
          <w:p w14:paraId="7E1BE6B0">
            <w:pPr>
              <w:snapToGrid w:val="0"/>
              <w:spacing w:line="276" w:lineRule="auto"/>
              <w:jc w:val="center"/>
              <w:rPr>
                <w:rFonts w:hint="eastAsia" w:ascii="宋体" w:hAnsi="宋体" w:eastAsia="宋体" w:cs="宋体"/>
                <w:color w:val="auto"/>
                <w:szCs w:val="21"/>
                <w:highlight w:val="none"/>
                <w:lang w:val="en-GB"/>
              </w:rPr>
            </w:pPr>
          </w:p>
        </w:tc>
        <w:tc>
          <w:tcPr>
            <w:tcW w:w="1087" w:type="dxa"/>
            <w:noWrap w:val="0"/>
            <w:vAlign w:val="center"/>
          </w:tcPr>
          <w:p w14:paraId="316E8E1B">
            <w:pPr>
              <w:snapToGrid w:val="0"/>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项目经理</w:t>
            </w:r>
          </w:p>
        </w:tc>
      </w:tr>
      <w:tr w14:paraId="2AAB8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724" w:type="dxa"/>
            <w:noWrap w:val="0"/>
            <w:vAlign w:val="center"/>
          </w:tcPr>
          <w:p w14:paraId="6139ACF6">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2</w:t>
            </w:r>
          </w:p>
        </w:tc>
        <w:tc>
          <w:tcPr>
            <w:tcW w:w="1922" w:type="dxa"/>
            <w:noWrap w:val="0"/>
            <w:vAlign w:val="center"/>
          </w:tcPr>
          <w:p w14:paraId="66D0008D">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bottom w:val="single" w:color="auto" w:sz="4" w:space="0"/>
            </w:tcBorders>
            <w:noWrap w:val="0"/>
            <w:vAlign w:val="center"/>
          </w:tcPr>
          <w:p w14:paraId="72123B78">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bottom w:val="single" w:color="auto" w:sz="4" w:space="0"/>
            </w:tcBorders>
            <w:noWrap w:val="0"/>
            <w:vAlign w:val="center"/>
          </w:tcPr>
          <w:p w14:paraId="6EE249F5">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bottom w:val="single" w:color="auto" w:sz="4" w:space="0"/>
            </w:tcBorders>
            <w:noWrap w:val="0"/>
            <w:vAlign w:val="center"/>
          </w:tcPr>
          <w:p w14:paraId="3DEEEEA6">
            <w:pPr>
              <w:snapToGrid w:val="0"/>
              <w:spacing w:line="276" w:lineRule="auto"/>
              <w:jc w:val="center"/>
              <w:rPr>
                <w:rFonts w:hint="eastAsia" w:ascii="宋体" w:hAnsi="宋体" w:eastAsia="宋体" w:cs="宋体"/>
                <w:color w:val="auto"/>
                <w:szCs w:val="21"/>
                <w:highlight w:val="none"/>
                <w:lang w:val="en-GB"/>
              </w:rPr>
            </w:pPr>
          </w:p>
        </w:tc>
        <w:tc>
          <w:tcPr>
            <w:tcW w:w="1087" w:type="dxa"/>
            <w:tcBorders>
              <w:top w:val="single" w:color="auto" w:sz="4" w:space="0"/>
              <w:bottom w:val="single" w:color="auto" w:sz="4" w:space="0"/>
            </w:tcBorders>
            <w:noWrap w:val="0"/>
            <w:vAlign w:val="center"/>
          </w:tcPr>
          <w:p w14:paraId="5B9F06AA">
            <w:pPr>
              <w:snapToGrid w:val="0"/>
              <w:spacing w:line="276" w:lineRule="auto"/>
              <w:jc w:val="center"/>
              <w:rPr>
                <w:rFonts w:hint="eastAsia" w:ascii="宋体" w:hAnsi="宋体" w:eastAsia="宋体" w:cs="宋体"/>
                <w:color w:val="auto"/>
                <w:szCs w:val="21"/>
                <w:highlight w:val="none"/>
                <w:lang w:val="en-GB"/>
              </w:rPr>
            </w:pPr>
          </w:p>
        </w:tc>
      </w:tr>
      <w:tr w14:paraId="32BCD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724" w:type="dxa"/>
            <w:noWrap w:val="0"/>
            <w:vAlign w:val="center"/>
          </w:tcPr>
          <w:p w14:paraId="776D01FB">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3</w:t>
            </w:r>
          </w:p>
        </w:tc>
        <w:tc>
          <w:tcPr>
            <w:tcW w:w="1922" w:type="dxa"/>
            <w:noWrap w:val="0"/>
            <w:vAlign w:val="center"/>
          </w:tcPr>
          <w:p w14:paraId="55285C62">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tcBorders>
            <w:noWrap w:val="0"/>
            <w:vAlign w:val="center"/>
          </w:tcPr>
          <w:p w14:paraId="235FCF88">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tcBorders>
            <w:noWrap w:val="0"/>
            <w:vAlign w:val="center"/>
          </w:tcPr>
          <w:p w14:paraId="6BB35AE2">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tcBorders>
            <w:noWrap w:val="0"/>
            <w:vAlign w:val="center"/>
          </w:tcPr>
          <w:p w14:paraId="5375D086">
            <w:pPr>
              <w:snapToGrid w:val="0"/>
              <w:spacing w:line="276" w:lineRule="auto"/>
              <w:jc w:val="center"/>
              <w:rPr>
                <w:rFonts w:hint="eastAsia" w:ascii="宋体" w:hAnsi="宋体" w:eastAsia="宋体" w:cs="宋体"/>
                <w:color w:val="auto"/>
                <w:szCs w:val="21"/>
                <w:highlight w:val="none"/>
                <w:lang w:val="en-GB"/>
              </w:rPr>
            </w:pPr>
          </w:p>
        </w:tc>
        <w:tc>
          <w:tcPr>
            <w:tcW w:w="1087" w:type="dxa"/>
            <w:tcBorders>
              <w:top w:val="single" w:color="auto" w:sz="4" w:space="0"/>
            </w:tcBorders>
            <w:noWrap w:val="0"/>
            <w:vAlign w:val="center"/>
          </w:tcPr>
          <w:p w14:paraId="3957EC67">
            <w:pPr>
              <w:snapToGrid w:val="0"/>
              <w:spacing w:line="276" w:lineRule="auto"/>
              <w:jc w:val="center"/>
              <w:rPr>
                <w:rFonts w:hint="eastAsia" w:ascii="宋体" w:hAnsi="宋体" w:eastAsia="宋体" w:cs="宋体"/>
                <w:color w:val="auto"/>
                <w:szCs w:val="21"/>
                <w:highlight w:val="none"/>
                <w:lang w:val="en-GB"/>
              </w:rPr>
            </w:pPr>
          </w:p>
        </w:tc>
      </w:tr>
      <w:tr w14:paraId="77918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24" w:type="dxa"/>
            <w:vMerge w:val="restart"/>
            <w:noWrap w:val="0"/>
            <w:vAlign w:val="center"/>
          </w:tcPr>
          <w:p w14:paraId="4B6EDA33">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4</w:t>
            </w:r>
          </w:p>
        </w:tc>
        <w:tc>
          <w:tcPr>
            <w:tcW w:w="1922" w:type="dxa"/>
            <w:vMerge w:val="restart"/>
            <w:noWrap w:val="0"/>
            <w:vAlign w:val="center"/>
          </w:tcPr>
          <w:p w14:paraId="5C9B00E5">
            <w:pPr>
              <w:snapToGrid w:val="0"/>
              <w:spacing w:line="276"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GB"/>
              </w:rPr>
              <w:t>投标报价</w:t>
            </w:r>
            <w:r>
              <w:rPr>
                <w:rFonts w:hint="eastAsia" w:ascii="宋体" w:hAnsi="宋体" w:eastAsia="宋体" w:cs="宋体"/>
                <w:b/>
                <w:color w:val="auto"/>
                <w:szCs w:val="21"/>
                <w:highlight w:val="none"/>
                <w:lang w:val="en-US" w:eastAsia="zh-CN"/>
              </w:rPr>
              <w:t>(合计)</w:t>
            </w:r>
          </w:p>
        </w:tc>
        <w:tc>
          <w:tcPr>
            <w:tcW w:w="5736" w:type="dxa"/>
            <w:gridSpan w:val="3"/>
            <w:tcBorders>
              <w:top w:val="single" w:color="auto" w:sz="4" w:space="0"/>
              <w:bottom w:val="single" w:color="auto" w:sz="4" w:space="0"/>
            </w:tcBorders>
            <w:noWrap w:val="0"/>
            <w:vAlign w:val="center"/>
          </w:tcPr>
          <w:p w14:paraId="2CBFAD2B">
            <w:pPr>
              <w:snapToGrid w:val="0"/>
              <w:spacing w:line="276" w:lineRule="auto"/>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小写：</w:t>
            </w:r>
          </w:p>
        </w:tc>
        <w:tc>
          <w:tcPr>
            <w:tcW w:w="1087" w:type="dxa"/>
            <w:tcBorders>
              <w:top w:val="single" w:color="auto" w:sz="4" w:space="0"/>
              <w:bottom w:val="single" w:color="auto" w:sz="4" w:space="0"/>
            </w:tcBorders>
            <w:noWrap w:val="0"/>
            <w:vAlign w:val="center"/>
          </w:tcPr>
          <w:p w14:paraId="77D06E17">
            <w:pPr>
              <w:snapToGrid w:val="0"/>
              <w:spacing w:line="276" w:lineRule="auto"/>
              <w:jc w:val="center"/>
              <w:rPr>
                <w:rFonts w:hint="eastAsia" w:ascii="宋体" w:hAnsi="宋体" w:eastAsia="宋体" w:cs="宋体"/>
                <w:color w:val="auto"/>
                <w:szCs w:val="21"/>
                <w:highlight w:val="none"/>
                <w:lang w:val="en-GB"/>
              </w:rPr>
            </w:pPr>
          </w:p>
        </w:tc>
      </w:tr>
      <w:tr w14:paraId="683406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 w:hRule="atLeast"/>
          <w:jc w:val="center"/>
        </w:trPr>
        <w:tc>
          <w:tcPr>
            <w:tcW w:w="724" w:type="dxa"/>
            <w:vMerge w:val="continue"/>
            <w:noWrap w:val="0"/>
            <w:vAlign w:val="center"/>
          </w:tcPr>
          <w:p w14:paraId="1B47AEA5">
            <w:pPr>
              <w:snapToGrid w:val="0"/>
              <w:spacing w:line="276" w:lineRule="auto"/>
              <w:jc w:val="center"/>
              <w:rPr>
                <w:rFonts w:hint="eastAsia" w:ascii="宋体" w:hAnsi="宋体" w:eastAsia="宋体" w:cs="宋体"/>
                <w:color w:val="auto"/>
                <w:szCs w:val="21"/>
                <w:highlight w:val="none"/>
                <w:lang w:val="en-GB"/>
              </w:rPr>
            </w:pPr>
          </w:p>
        </w:tc>
        <w:tc>
          <w:tcPr>
            <w:tcW w:w="1922" w:type="dxa"/>
            <w:vMerge w:val="continue"/>
            <w:noWrap w:val="0"/>
            <w:vAlign w:val="center"/>
          </w:tcPr>
          <w:p w14:paraId="7267013B">
            <w:pPr>
              <w:snapToGrid w:val="0"/>
              <w:spacing w:line="276" w:lineRule="auto"/>
              <w:jc w:val="center"/>
              <w:rPr>
                <w:rFonts w:hint="eastAsia" w:ascii="宋体" w:hAnsi="宋体" w:eastAsia="宋体" w:cs="宋体"/>
                <w:b/>
                <w:color w:val="auto"/>
                <w:szCs w:val="21"/>
                <w:highlight w:val="none"/>
                <w:lang w:val="en-GB"/>
              </w:rPr>
            </w:pPr>
          </w:p>
        </w:tc>
        <w:tc>
          <w:tcPr>
            <w:tcW w:w="5736" w:type="dxa"/>
            <w:gridSpan w:val="3"/>
            <w:tcBorders>
              <w:top w:val="single" w:color="auto" w:sz="4" w:space="0"/>
              <w:bottom w:val="single" w:color="auto" w:sz="4" w:space="0"/>
            </w:tcBorders>
            <w:noWrap w:val="0"/>
            <w:vAlign w:val="center"/>
          </w:tcPr>
          <w:p w14:paraId="47D32B3A">
            <w:pPr>
              <w:snapToGrid w:val="0"/>
              <w:spacing w:line="276" w:lineRule="auto"/>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大写：</w:t>
            </w:r>
          </w:p>
        </w:tc>
        <w:tc>
          <w:tcPr>
            <w:tcW w:w="1087" w:type="dxa"/>
            <w:tcBorders>
              <w:top w:val="single" w:color="auto" w:sz="4" w:space="0"/>
              <w:bottom w:val="single" w:color="auto" w:sz="4" w:space="0"/>
            </w:tcBorders>
            <w:noWrap w:val="0"/>
            <w:vAlign w:val="center"/>
          </w:tcPr>
          <w:p w14:paraId="1BBFDCD6">
            <w:pPr>
              <w:snapToGrid w:val="0"/>
              <w:spacing w:line="276" w:lineRule="auto"/>
              <w:jc w:val="center"/>
              <w:rPr>
                <w:rFonts w:hint="eastAsia" w:ascii="宋体" w:hAnsi="宋体" w:eastAsia="宋体" w:cs="宋体"/>
                <w:color w:val="auto"/>
                <w:szCs w:val="21"/>
                <w:highlight w:val="none"/>
                <w:lang w:val="en-GB"/>
              </w:rPr>
            </w:pPr>
          </w:p>
        </w:tc>
      </w:tr>
    </w:tbl>
    <w:p w14:paraId="1354AFAD">
      <w:pPr>
        <w:snapToGrid w:val="0"/>
        <w:spacing w:line="360" w:lineRule="auto"/>
        <w:ind w:left="480"/>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注：</w:t>
      </w:r>
    </w:p>
    <w:p w14:paraId="5DBFF12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14:paraId="5E594D5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w:t>
      </w:r>
      <w:r>
        <w:rPr>
          <w:rFonts w:hint="eastAsia" w:ascii="宋体" w:hAnsi="宋体" w:eastAsia="宋体" w:cs="宋体"/>
          <w:b/>
          <w:bCs/>
          <w:color w:val="auto"/>
          <w:kern w:val="0"/>
          <w:sz w:val="24"/>
          <w:highlight w:val="none"/>
          <w:lang w:val="en-US" w:eastAsia="zh-CN"/>
        </w:rPr>
        <w:t>删除</w:t>
      </w:r>
      <w:r>
        <w:rPr>
          <w:rFonts w:hint="eastAsia" w:ascii="宋体" w:hAnsi="宋体" w:eastAsia="宋体" w:cs="宋体"/>
          <w:b/>
          <w:bCs/>
          <w:color w:val="auto"/>
          <w:kern w:val="0"/>
          <w:sz w:val="24"/>
          <w:highlight w:val="none"/>
          <w:lang w:val="zh-CN"/>
        </w:rPr>
        <w:t>）部分产品、服务单价为零的，视作已包含在总价中。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797E5A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C5AE15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项目经理</w:t>
      </w:r>
      <w:r>
        <w:rPr>
          <w:rFonts w:hint="eastAsia" w:ascii="宋体" w:hAnsi="宋体" w:eastAsia="宋体" w:cs="宋体"/>
          <w:color w:val="auto"/>
          <w:kern w:val="0"/>
          <w:sz w:val="24"/>
          <w:highlight w:val="none"/>
        </w:rPr>
        <w:t>应与商务技术文件中一致</w:t>
      </w:r>
      <w:r>
        <w:rPr>
          <w:rFonts w:hint="eastAsia" w:ascii="宋体" w:hAnsi="宋体" w:eastAsia="宋体" w:cs="宋体"/>
          <w:color w:val="auto"/>
          <w:kern w:val="0"/>
          <w:sz w:val="24"/>
          <w:highlight w:val="none"/>
          <w:lang w:val="zh-CN"/>
        </w:rPr>
        <w:t>。</w:t>
      </w:r>
    </w:p>
    <w:p w14:paraId="44EDD432">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1D60599D">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w:t>
      </w:r>
    </w:p>
    <w:p w14:paraId="377ED97A">
      <w:pPr>
        <w:pStyle w:val="46"/>
        <w:keepNext w:val="0"/>
        <w:pageBreakBefore w:val="0"/>
        <w:tabs>
          <w:tab w:val="clear" w:pos="720"/>
        </w:tabs>
        <w:snapToGrid w:val="0"/>
        <w:spacing w:before="120" w:after="120"/>
        <w:ind w:firstLine="562"/>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w:t>
      </w:r>
      <w:r>
        <w:rPr>
          <w:rFonts w:hint="eastAsia" w:ascii="宋体" w:hAnsi="宋体" w:eastAsia="宋体" w:cs="宋体"/>
          <w:color w:val="auto"/>
          <w:kern w:val="2"/>
          <w:sz w:val="28"/>
          <w:szCs w:val="28"/>
          <w:highlight w:val="none"/>
          <w:lang w:val="zh-CN"/>
        </w:rPr>
        <w:t>开标一览表报价组成做补充说明，</w:t>
      </w:r>
      <w:r>
        <w:rPr>
          <w:rFonts w:hint="eastAsia" w:ascii="宋体" w:hAnsi="宋体" w:eastAsia="宋体" w:cs="宋体"/>
          <w:color w:val="auto"/>
          <w:kern w:val="2"/>
          <w:sz w:val="28"/>
          <w:szCs w:val="28"/>
          <w:highlight w:val="none"/>
        </w:rPr>
        <w:t>格式可自拟）</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57"/>
        <w:gridCol w:w="942"/>
        <w:gridCol w:w="1454"/>
        <w:gridCol w:w="1337"/>
        <w:gridCol w:w="1529"/>
      </w:tblGrid>
      <w:tr w14:paraId="7876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869496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957" w:type="dxa"/>
            <w:vAlign w:val="center"/>
          </w:tcPr>
          <w:p w14:paraId="38A3EACE">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942" w:type="dxa"/>
            <w:vAlign w:val="center"/>
          </w:tcPr>
          <w:p w14:paraId="34072370">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454" w:type="dxa"/>
            <w:vAlign w:val="center"/>
          </w:tcPr>
          <w:p w14:paraId="152C9F3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337" w:type="dxa"/>
            <w:vAlign w:val="center"/>
          </w:tcPr>
          <w:p w14:paraId="28F9D3A6">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1529" w:type="dxa"/>
            <w:vAlign w:val="center"/>
          </w:tcPr>
          <w:p w14:paraId="6BA8955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C20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24147E37">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760A777A">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7609D07E">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3AEAFD35">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3387E802">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033415A0">
            <w:pPr>
              <w:snapToGrid w:val="0"/>
              <w:spacing w:line="360" w:lineRule="auto"/>
              <w:jc w:val="center"/>
              <w:rPr>
                <w:rFonts w:hint="eastAsia" w:ascii="宋体" w:hAnsi="宋体" w:eastAsia="宋体" w:cs="宋体"/>
                <w:color w:val="auto"/>
                <w:szCs w:val="21"/>
                <w:highlight w:val="none"/>
              </w:rPr>
            </w:pPr>
          </w:p>
        </w:tc>
      </w:tr>
      <w:tr w14:paraId="1FD5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63B91669">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07007FB8">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55EA54F2">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7E302ECD">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23A8433C">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44617718">
            <w:pPr>
              <w:snapToGrid w:val="0"/>
              <w:spacing w:line="360" w:lineRule="auto"/>
              <w:jc w:val="center"/>
              <w:rPr>
                <w:rFonts w:hint="eastAsia" w:ascii="宋体" w:hAnsi="宋体" w:eastAsia="宋体" w:cs="宋体"/>
                <w:color w:val="auto"/>
                <w:szCs w:val="21"/>
                <w:highlight w:val="none"/>
              </w:rPr>
            </w:pPr>
          </w:p>
        </w:tc>
      </w:tr>
      <w:tr w14:paraId="10CD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1EED8694">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57A2E532">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70FD33B7">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4B46030A">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00B61484">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56CDDA6C">
            <w:pPr>
              <w:snapToGrid w:val="0"/>
              <w:spacing w:line="360" w:lineRule="auto"/>
              <w:jc w:val="center"/>
              <w:rPr>
                <w:rFonts w:hint="eastAsia" w:ascii="宋体" w:hAnsi="宋体" w:eastAsia="宋体" w:cs="宋体"/>
                <w:color w:val="auto"/>
                <w:szCs w:val="21"/>
                <w:highlight w:val="none"/>
              </w:rPr>
            </w:pPr>
          </w:p>
        </w:tc>
      </w:tr>
      <w:tr w14:paraId="1046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6A987140">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58C570AE">
            <w:pPr>
              <w:snapToGrid w:val="0"/>
              <w:spacing w:line="360" w:lineRule="auto"/>
              <w:jc w:val="center"/>
              <w:rPr>
                <w:rFonts w:hint="eastAsia" w:ascii="宋体" w:hAnsi="宋体" w:eastAsia="宋体" w:cs="宋体"/>
                <w:color w:val="auto"/>
                <w:szCs w:val="21"/>
                <w:highlight w:val="none"/>
                <w:lang w:eastAsia="zh-CN"/>
              </w:rPr>
            </w:pPr>
          </w:p>
        </w:tc>
        <w:tc>
          <w:tcPr>
            <w:tcW w:w="942" w:type="dxa"/>
            <w:vAlign w:val="center"/>
          </w:tcPr>
          <w:p w14:paraId="799EBCAD">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26D84D48">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0E056929">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12B1EFDC">
            <w:pPr>
              <w:snapToGrid w:val="0"/>
              <w:spacing w:line="360" w:lineRule="auto"/>
              <w:jc w:val="center"/>
              <w:rPr>
                <w:rFonts w:hint="eastAsia" w:ascii="宋体" w:hAnsi="宋体" w:eastAsia="宋体" w:cs="宋体"/>
                <w:color w:val="auto"/>
                <w:szCs w:val="21"/>
                <w:highlight w:val="none"/>
              </w:rPr>
            </w:pPr>
          </w:p>
        </w:tc>
      </w:tr>
      <w:tr w14:paraId="0CB7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55641F2F">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487FA363">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0FCEBD99">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45281B51">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38D95A11">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471A41FA">
            <w:pPr>
              <w:snapToGrid w:val="0"/>
              <w:spacing w:line="360" w:lineRule="auto"/>
              <w:jc w:val="center"/>
              <w:rPr>
                <w:rFonts w:hint="eastAsia" w:ascii="宋体" w:hAnsi="宋体" w:eastAsia="宋体" w:cs="宋体"/>
                <w:color w:val="auto"/>
                <w:szCs w:val="21"/>
                <w:highlight w:val="none"/>
              </w:rPr>
            </w:pPr>
          </w:p>
        </w:tc>
      </w:tr>
      <w:tr w14:paraId="2B15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1F25D7EB">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3A0A3E9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p>
        </w:tc>
        <w:tc>
          <w:tcPr>
            <w:tcW w:w="942" w:type="dxa"/>
            <w:vAlign w:val="center"/>
          </w:tcPr>
          <w:p w14:paraId="3F6155BA">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6EE0A436">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475C7322">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0EE74878">
            <w:pPr>
              <w:snapToGrid w:val="0"/>
              <w:spacing w:line="360" w:lineRule="auto"/>
              <w:jc w:val="center"/>
              <w:rPr>
                <w:rFonts w:hint="eastAsia" w:ascii="宋体" w:hAnsi="宋体" w:eastAsia="宋体" w:cs="宋体"/>
                <w:color w:val="auto"/>
                <w:szCs w:val="21"/>
                <w:highlight w:val="none"/>
              </w:rPr>
            </w:pPr>
          </w:p>
        </w:tc>
      </w:tr>
      <w:tr w14:paraId="2FC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68" w:type="dxa"/>
            <w:gridSpan w:val="3"/>
            <w:vAlign w:val="center"/>
          </w:tcPr>
          <w:p w14:paraId="0116446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投标报价（小写）</w:t>
            </w:r>
          </w:p>
        </w:tc>
        <w:tc>
          <w:tcPr>
            <w:tcW w:w="4320" w:type="dxa"/>
            <w:gridSpan w:val="3"/>
            <w:vAlign w:val="center"/>
          </w:tcPr>
          <w:p w14:paraId="221150B9">
            <w:pPr>
              <w:snapToGrid w:val="0"/>
              <w:spacing w:line="360" w:lineRule="auto"/>
              <w:jc w:val="center"/>
              <w:rPr>
                <w:rFonts w:hint="eastAsia" w:ascii="宋体" w:hAnsi="宋体" w:eastAsia="宋体" w:cs="宋体"/>
                <w:color w:val="auto"/>
                <w:szCs w:val="21"/>
                <w:highlight w:val="none"/>
              </w:rPr>
            </w:pPr>
          </w:p>
        </w:tc>
      </w:tr>
      <w:tr w14:paraId="066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68" w:type="dxa"/>
            <w:gridSpan w:val="3"/>
            <w:vAlign w:val="center"/>
          </w:tcPr>
          <w:p w14:paraId="24A35D1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投标报价（大写）</w:t>
            </w:r>
          </w:p>
        </w:tc>
        <w:tc>
          <w:tcPr>
            <w:tcW w:w="4320" w:type="dxa"/>
            <w:gridSpan w:val="3"/>
            <w:vAlign w:val="center"/>
          </w:tcPr>
          <w:p w14:paraId="6B66EA08">
            <w:pPr>
              <w:snapToGrid w:val="0"/>
              <w:spacing w:line="360" w:lineRule="auto"/>
              <w:jc w:val="center"/>
              <w:rPr>
                <w:rFonts w:hint="eastAsia" w:ascii="宋体" w:hAnsi="宋体" w:eastAsia="宋体" w:cs="宋体"/>
                <w:color w:val="auto"/>
                <w:szCs w:val="21"/>
                <w:highlight w:val="none"/>
              </w:rPr>
            </w:pPr>
          </w:p>
        </w:tc>
      </w:tr>
    </w:tbl>
    <w:p w14:paraId="2D2932E2">
      <w:pPr>
        <w:pStyle w:val="46"/>
        <w:keepNext w:val="0"/>
        <w:pageBreakBefore w:val="0"/>
        <w:tabs>
          <w:tab w:val="clear" w:pos="720"/>
        </w:tabs>
        <w:snapToGrid w:val="0"/>
        <w:spacing w:before="120" w:after="120"/>
        <w:ind w:firstLine="643"/>
        <w:jc w:val="both"/>
        <w:outlineLvl w:val="9"/>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注：报价明细</w:t>
      </w:r>
      <w:r>
        <w:rPr>
          <w:rFonts w:hint="eastAsia" w:ascii="宋体" w:hAnsi="宋体" w:eastAsia="宋体" w:cs="宋体"/>
          <w:b/>
          <w:color w:val="auto"/>
          <w:kern w:val="0"/>
          <w:sz w:val="24"/>
          <w:highlight w:val="none"/>
          <w:lang w:val="zh-CN"/>
        </w:rPr>
        <w:t>投标报价</w:t>
      </w:r>
      <w:r>
        <w:rPr>
          <w:rFonts w:hint="eastAsia" w:ascii="宋体" w:hAnsi="宋体" w:eastAsia="宋体" w:cs="宋体"/>
          <w:b/>
          <w:color w:val="auto"/>
          <w:kern w:val="0"/>
          <w:sz w:val="24"/>
          <w:highlight w:val="none"/>
          <w:lang w:val="en-US" w:eastAsia="zh-CN"/>
        </w:rPr>
        <w:t>需与《</w:t>
      </w:r>
      <w:r>
        <w:rPr>
          <w:rFonts w:hint="eastAsia" w:ascii="宋体" w:hAnsi="宋体" w:eastAsia="宋体" w:cs="宋体"/>
          <w:b/>
          <w:color w:val="auto"/>
          <w:kern w:val="0"/>
          <w:sz w:val="24"/>
          <w:highlight w:val="none"/>
          <w:lang w:val="zh-CN"/>
        </w:rPr>
        <w:t>开标一览表（报价表）》</w:t>
      </w:r>
      <w:r>
        <w:rPr>
          <w:rFonts w:hint="eastAsia" w:ascii="宋体" w:hAnsi="宋体" w:eastAsia="宋体" w:cs="宋体"/>
          <w:b/>
          <w:color w:val="auto"/>
          <w:kern w:val="0"/>
          <w:sz w:val="24"/>
          <w:highlight w:val="none"/>
          <w:lang w:val="en-US" w:eastAsia="zh-CN"/>
        </w:rPr>
        <w:t>一致。</w:t>
      </w:r>
    </w:p>
    <w:p w14:paraId="3CD01478">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p>
    <w:p w14:paraId="506A9E4A">
      <w:pPr>
        <w:pStyle w:val="46"/>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p>
    <w:p w14:paraId="03E6732B">
      <w:pPr>
        <w:pStyle w:val="4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A1EBE28">
      <w:pPr>
        <w:pStyle w:val="4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F66BEB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4C00329">
      <w:pPr>
        <w:spacing w:line="360" w:lineRule="auto"/>
        <w:ind w:right="420" w:firstLine="3614" w:firstLineChars="1000"/>
        <w:rPr>
          <w:rFonts w:hint="eastAsia" w:ascii="宋体" w:hAnsi="宋体" w:eastAsia="宋体" w:cs="宋体"/>
          <w:b/>
          <w:color w:val="auto"/>
          <w:kern w:val="0"/>
          <w:sz w:val="36"/>
          <w:szCs w:val="36"/>
          <w:highlight w:val="none"/>
        </w:rPr>
      </w:pPr>
    </w:p>
    <w:p w14:paraId="07F9F229">
      <w:pPr>
        <w:spacing w:line="360" w:lineRule="auto"/>
        <w:ind w:right="420" w:firstLine="3614" w:firstLineChars="1000"/>
        <w:rPr>
          <w:rFonts w:hint="eastAsia" w:ascii="宋体" w:hAnsi="宋体" w:eastAsia="宋体" w:cs="宋体"/>
          <w:b/>
          <w:color w:val="auto"/>
          <w:kern w:val="0"/>
          <w:sz w:val="36"/>
          <w:szCs w:val="36"/>
          <w:highlight w:val="none"/>
        </w:rPr>
      </w:pPr>
    </w:p>
    <w:p w14:paraId="24B23C2B">
      <w:pPr>
        <w:spacing w:line="360" w:lineRule="auto"/>
        <w:ind w:right="420" w:firstLine="3614" w:firstLineChars="1000"/>
        <w:rPr>
          <w:rFonts w:hint="eastAsia" w:ascii="宋体" w:hAnsi="宋体" w:eastAsia="宋体" w:cs="宋体"/>
          <w:b/>
          <w:color w:val="auto"/>
          <w:kern w:val="0"/>
          <w:sz w:val="36"/>
          <w:szCs w:val="36"/>
          <w:highlight w:val="none"/>
        </w:rPr>
      </w:pPr>
    </w:p>
    <w:p w14:paraId="12D29A25">
      <w:pPr>
        <w:pStyle w:val="3"/>
        <w:keepNext w:val="0"/>
        <w:keepLines w:val="0"/>
        <w:pageBreakBefore/>
        <w:widowControl/>
        <w:spacing w:before="100" w:beforeAutospacing="1" w:after="100" w:afterAutospacing="1" w:line="360" w:lineRule="auto"/>
        <w:ind w:left="1290" w:firstLine="3092" w:firstLineChars="700"/>
        <w:jc w:val="left"/>
        <w:rPr>
          <w:rFonts w:hint="eastAsia" w:ascii="宋体" w:hAnsi="宋体" w:eastAsia="宋体" w:cs="宋体"/>
          <w:color w:val="auto"/>
          <w:highlight w:val="none"/>
        </w:rPr>
      </w:pPr>
      <w:r>
        <w:rPr>
          <w:rFonts w:hint="eastAsia" w:ascii="宋体" w:hAnsi="宋体" w:eastAsia="宋体" w:cs="宋体"/>
          <w:color w:val="auto"/>
          <w:highlight w:val="none"/>
        </w:rPr>
        <w:t>附件</w:t>
      </w:r>
    </w:p>
    <w:p w14:paraId="23034AFC">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F9CC8D9">
      <w:pPr>
        <w:spacing w:line="360" w:lineRule="auto"/>
        <w:jc w:val="center"/>
        <w:rPr>
          <w:rFonts w:hint="eastAsia" w:ascii="宋体" w:hAnsi="宋体" w:eastAsia="宋体" w:cs="宋体"/>
          <w:b/>
          <w:color w:val="auto"/>
          <w:spacing w:val="6"/>
          <w:sz w:val="32"/>
          <w:szCs w:val="32"/>
          <w:highlight w:val="none"/>
        </w:rPr>
      </w:pPr>
      <w:bookmarkStart w:id="396" w:name="OLE_LINK13"/>
      <w:bookmarkStart w:id="397" w:name="OLE_LINK14"/>
      <w:r>
        <w:rPr>
          <w:rFonts w:hint="eastAsia" w:ascii="宋体" w:hAnsi="宋体" w:eastAsia="宋体" w:cs="宋体"/>
          <w:b/>
          <w:color w:val="auto"/>
          <w:spacing w:val="6"/>
          <w:sz w:val="32"/>
          <w:szCs w:val="32"/>
          <w:highlight w:val="none"/>
        </w:rPr>
        <w:t>残疾人福利性单位声明函</w:t>
      </w:r>
    </w:p>
    <w:bookmarkEnd w:id="396"/>
    <w:bookmarkEnd w:id="397"/>
    <w:p w14:paraId="3B72FB15">
      <w:pPr>
        <w:spacing w:line="360" w:lineRule="auto"/>
        <w:rPr>
          <w:rFonts w:hint="eastAsia" w:ascii="宋体" w:hAnsi="宋体" w:eastAsia="宋体" w:cs="宋体"/>
          <w:b/>
          <w:color w:val="auto"/>
          <w:spacing w:val="6"/>
          <w:sz w:val="30"/>
          <w:szCs w:val="30"/>
          <w:highlight w:val="none"/>
        </w:rPr>
      </w:pPr>
    </w:p>
    <w:p w14:paraId="105F72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(杭州市市场监督管理局)</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杭州市市场监督管理局投诉举报接收处置服务外包项目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CF009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2A5CE05">
      <w:pPr>
        <w:spacing w:line="360" w:lineRule="auto"/>
        <w:ind w:firstLine="480" w:firstLineChars="200"/>
        <w:rPr>
          <w:rFonts w:hint="eastAsia" w:ascii="宋体" w:hAnsi="宋体" w:eastAsia="宋体" w:cs="宋体"/>
          <w:color w:val="auto"/>
          <w:sz w:val="24"/>
          <w:highlight w:val="none"/>
        </w:rPr>
      </w:pPr>
    </w:p>
    <w:p w14:paraId="43F0A8C5">
      <w:pPr>
        <w:spacing w:line="360" w:lineRule="auto"/>
        <w:ind w:firstLine="480" w:firstLineChars="200"/>
        <w:rPr>
          <w:rFonts w:hint="eastAsia" w:ascii="宋体" w:hAnsi="宋体" w:eastAsia="宋体" w:cs="宋体"/>
          <w:color w:val="auto"/>
          <w:sz w:val="24"/>
          <w:highlight w:val="none"/>
        </w:rPr>
      </w:pPr>
    </w:p>
    <w:p w14:paraId="62F33D6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256171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C68C3BB">
      <w:pPr>
        <w:spacing w:line="360" w:lineRule="auto"/>
        <w:ind w:firstLine="480" w:firstLineChars="200"/>
        <w:rPr>
          <w:rFonts w:hint="eastAsia" w:ascii="宋体" w:hAnsi="宋体" w:eastAsia="宋体" w:cs="宋体"/>
          <w:color w:val="auto"/>
          <w:sz w:val="24"/>
          <w:highlight w:val="none"/>
        </w:rPr>
      </w:pPr>
    </w:p>
    <w:p w14:paraId="58524C49">
      <w:pPr>
        <w:spacing w:line="360" w:lineRule="auto"/>
        <w:ind w:firstLine="420" w:firstLineChars="200"/>
        <w:rPr>
          <w:rFonts w:hint="eastAsia" w:ascii="宋体" w:hAnsi="宋体" w:eastAsia="宋体" w:cs="宋体"/>
          <w:color w:val="auto"/>
          <w:highlight w:val="none"/>
        </w:rPr>
      </w:pPr>
    </w:p>
    <w:p w14:paraId="59017728">
      <w:pPr>
        <w:spacing w:line="360" w:lineRule="auto"/>
        <w:ind w:firstLine="420" w:firstLineChars="200"/>
        <w:rPr>
          <w:rFonts w:hint="eastAsia" w:ascii="宋体" w:hAnsi="宋体" w:eastAsia="宋体" w:cs="宋体"/>
          <w:color w:val="auto"/>
          <w:highlight w:val="none"/>
        </w:rPr>
      </w:pPr>
    </w:p>
    <w:p w14:paraId="3E96FC38">
      <w:pPr>
        <w:spacing w:line="360" w:lineRule="auto"/>
        <w:ind w:firstLine="420" w:firstLineChars="200"/>
        <w:rPr>
          <w:rFonts w:hint="eastAsia" w:ascii="宋体" w:hAnsi="宋体" w:eastAsia="宋体" w:cs="宋体"/>
          <w:color w:val="auto"/>
          <w:highlight w:val="none"/>
        </w:rPr>
      </w:pPr>
    </w:p>
    <w:p w14:paraId="6287369C">
      <w:pPr>
        <w:spacing w:line="360" w:lineRule="auto"/>
        <w:ind w:firstLine="420" w:firstLineChars="200"/>
        <w:rPr>
          <w:rFonts w:hint="eastAsia" w:ascii="宋体" w:hAnsi="宋体" w:eastAsia="宋体" w:cs="宋体"/>
          <w:color w:val="auto"/>
          <w:highlight w:val="none"/>
        </w:rPr>
      </w:pPr>
    </w:p>
    <w:p w14:paraId="5C75D91A">
      <w:pPr>
        <w:spacing w:line="360" w:lineRule="auto"/>
        <w:rPr>
          <w:rFonts w:hint="eastAsia" w:ascii="宋体" w:hAnsi="宋体" w:eastAsia="宋体" w:cs="宋体"/>
          <w:b/>
          <w:color w:val="auto"/>
          <w:sz w:val="24"/>
          <w:highlight w:val="none"/>
        </w:rPr>
      </w:pPr>
    </w:p>
    <w:p w14:paraId="1CE2964C">
      <w:pPr>
        <w:spacing w:line="360" w:lineRule="auto"/>
        <w:rPr>
          <w:rFonts w:hint="eastAsia" w:ascii="宋体" w:hAnsi="宋体" w:eastAsia="宋体" w:cs="宋体"/>
          <w:b/>
          <w:color w:val="auto"/>
          <w:sz w:val="24"/>
          <w:highlight w:val="none"/>
        </w:rPr>
      </w:pPr>
    </w:p>
    <w:p w14:paraId="47728802">
      <w:pPr>
        <w:spacing w:line="360" w:lineRule="auto"/>
        <w:rPr>
          <w:rFonts w:hint="eastAsia" w:ascii="宋体" w:hAnsi="宋体" w:eastAsia="宋体" w:cs="宋体"/>
          <w:b/>
          <w:color w:val="auto"/>
          <w:sz w:val="24"/>
          <w:highlight w:val="none"/>
        </w:rPr>
      </w:pPr>
    </w:p>
    <w:p w14:paraId="2EE1FF67">
      <w:pPr>
        <w:spacing w:line="360" w:lineRule="auto"/>
        <w:rPr>
          <w:rFonts w:hint="eastAsia" w:ascii="宋体" w:hAnsi="宋体" w:eastAsia="宋体" w:cs="宋体"/>
          <w:b/>
          <w:color w:val="auto"/>
          <w:sz w:val="24"/>
          <w:highlight w:val="none"/>
        </w:rPr>
      </w:pPr>
    </w:p>
    <w:p w14:paraId="3C5D62AE">
      <w:pPr>
        <w:spacing w:line="360" w:lineRule="auto"/>
        <w:rPr>
          <w:rFonts w:hint="eastAsia" w:ascii="宋体" w:hAnsi="宋体" w:eastAsia="宋体" w:cs="宋体"/>
          <w:b/>
          <w:color w:val="auto"/>
          <w:sz w:val="24"/>
          <w:highlight w:val="none"/>
        </w:rPr>
      </w:pPr>
    </w:p>
    <w:p w14:paraId="1742A4DD">
      <w:pPr>
        <w:spacing w:line="360" w:lineRule="auto"/>
        <w:rPr>
          <w:rFonts w:hint="eastAsia" w:ascii="宋体" w:hAnsi="宋体" w:eastAsia="宋体" w:cs="宋体"/>
          <w:b/>
          <w:color w:val="auto"/>
          <w:sz w:val="24"/>
          <w:highlight w:val="none"/>
        </w:rPr>
      </w:pPr>
    </w:p>
    <w:p w14:paraId="08923B3E">
      <w:pPr>
        <w:spacing w:line="360" w:lineRule="auto"/>
        <w:rPr>
          <w:rFonts w:hint="eastAsia" w:ascii="宋体" w:hAnsi="宋体" w:eastAsia="宋体" w:cs="宋体"/>
          <w:b/>
          <w:color w:val="auto"/>
          <w:sz w:val="24"/>
          <w:highlight w:val="none"/>
        </w:rPr>
      </w:pPr>
    </w:p>
    <w:p w14:paraId="12324F7F">
      <w:pPr>
        <w:spacing w:line="360" w:lineRule="auto"/>
        <w:rPr>
          <w:rFonts w:hint="eastAsia" w:ascii="宋体" w:hAnsi="宋体" w:eastAsia="宋体" w:cs="宋体"/>
          <w:b/>
          <w:color w:val="auto"/>
          <w:sz w:val="24"/>
          <w:highlight w:val="none"/>
        </w:rPr>
      </w:pPr>
    </w:p>
    <w:p w14:paraId="45911E8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81A144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FBB26B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DEF8C6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3900A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722A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1AF8C9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792EF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D76D6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CCBB99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BBA1F6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2F1E7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068D3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331C5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33E0B6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35D91F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12E92B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ADDA7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D5473F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B331F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7672C2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67CEF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389E67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F96499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738C9A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0BE55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EA869E3">
      <w:pPr>
        <w:spacing w:line="360" w:lineRule="auto"/>
        <w:jc w:val="center"/>
        <w:rPr>
          <w:rFonts w:hint="eastAsia" w:ascii="宋体" w:hAnsi="宋体" w:eastAsia="宋体" w:cs="宋体"/>
          <w:b/>
          <w:bCs/>
          <w:color w:val="auto"/>
          <w:sz w:val="24"/>
          <w:highlight w:val="none"/>
        </w:rPr>
      </w:pPr>
    </w:p>
    <w:p w14:paraId="2F257FC9">
      <w:pPr>
        <w:spacing w:line="360" w:lineRule="auto"/>
        <w:rPr>
          <w:rFonts w:hint="eastAsia" w:ascii="宋体" w:hAnsi="宋体" w:eastAsia="宋体" w:cs="宋体"/>
          <w:b/>
          <w:color w:val="auto"/>
          <w:sz w:val="24"/>
          <w:highlight w:val="none"/>
        </w:rPr>
      </w:pPr>
    </w:p>
    <w:p w14:paraId="49277762">
      <w:pPr>
        <w:spacing w:line="360" w:lineRule="auto"/>
        <w:rPr>
          <w:rFonts w:hint="eastAsia" w:ascii="宋体" w:hAnsi="宋体" w:eastAsia="宋体" w:cs="宋体"/>
          <w:b/>
          <w:color w:val="auto"/>
          <w:sz w:val="24"/>
          <w:highlight w:val="none"/>
        </w:rPr>
      </w:pPr>
    </w:p>
    <w:p w14:paraId="5B547161">
      <w:pPr>
        <w:spacing w:line="360" w:lineRule="auto"/>
        <w:rPr>
          <w:rFonts w:hint="eastAsia" w:ascii="宋体" w:hAnsi="宋体" w:eastAsia="宋体" w:cs="宋体"/>
          <w:b/>
          <w:color w:val="auto"/>
          <w:sz w:val="24"/>
          <w:highlight w:val="none"/>
        </w:rPr>
      </w:pPr>
    </w:p>
    <w:p w14:paraId="64735A6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3B660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1A5879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6BD01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F6A0A0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84F31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21C9D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28C64C">
      <w:pPr>
        <w:widowControl/>
        <w:spacing w:line="360" w:lineRule="auto"/>
        <w:ind w:firstLine="600" w:firstLineChars="200"/>
        <w:jc w:val="left"/>
        <w:rPr>
          <w:rFonts w:hint="eastAsia" w:ascii="宋体" w:hAnsi="宋体" w:eastAsia="宋体" w:cs="宋体"/>
          <w:color w:val="auto"/>
          <w:sz w:val="30"/>
          <w:szCs w:val="30"/>
          <w:highlight w:val="none"/>
        </w:rPr>
      </w:pPr>
    </w:p>
    <w:p w14:paraId="1CFCD0B8">
      <w:pPr>
        <w:spacing w:line="360" w:lineRule="auto"/>
        <w:jc w:val="center"/>
        <w:rPr>
          <w:rFonts w:hint="eastAsia" w:ascii="宋体" w:hAnsi="宋体" w:eastAsia="宋体" w:cs="宋体"/>
          <w:b/>
          <w:color w:val="auto"/>
          <w:spacing w:val="6"/>
          <w:sz w:val="32"/>
          <w:szCs w:val="32"/>
          <w:highlight w:val="none"/>
        </w:rPr>
      </w:pPr>
    </w:p>
    <w:p w14:paraId="1D21C8BD">
      <w:pPr>
        <w:spacing w:line="360" w:lineRule="auto"/>
        <w:jc w:val="center"/>
        <w:rPr>
          <w:rFonts w:hint="eastAsia" w:ascii="宋体" w:hAnsi="宋体" w:eastAsia="宋体" w:cs="宋体"/>
          <w:b/>
          <w:color w:val="auto"/>
          <w:spacing w:val="6"/>
          <w:sz w:val="32"/>
          <w:szCs w:val="32"/>
          <w:highlight w:val="none"/>
        </w:rPr>
      </w:pPr>
    </w:p>
    <w:p w14:paraId="5FD3BAF3">
      <w:pPr>
        <w:spacing w:line="360" w:lineRule="auto"/>
        <w:jc w:val="center"/>
        <w:rPr>
          <w:rFonts w:hint="eastAsia" w:ascii="宋体" w:hAnsi="宋体" w:eastAsia="宋体" w:cs="宋体"/>
          <w:b/>
          <w:color w:val="auto"/>
          <w:spacing w:val="6"/>
          <w:sz w:val="32"/>
          <w:szCs w:val="32"/>
          <w:highlight w:val="none"/>
        </w:rPr>
      </w:pPr>
    </w:p>
    <w:p w14:paraId="21524CBF">
      <w:pPr>
        <w:spacing w:line="360" w:lineRule="auto"/>
        <w:jc w:val="center"/>
        <w:rPr>
          <w:rFonts w:hint="eastAsia" w:ascii="宋体" w:hAnsi="宋体" w:eastAsia="宋体" w:cs="宋体"/>
          <w:b/>
          <w:color w:val="auto"/>
          <w:spacing w:val="6"/>
          <w:sz w:val="32"/>
          <w:szCs w:val="32"/>
          <w:highlight w:val="none"/>
        </w:rPr>
      </w:pPr>
    </w:p>
    <w:p w14:paraId="60ED4CE9">
      <w:pPr>
        <w:spacing w:line="360" w:lineRule="auto"/>
        <w:jc w:val="center"/>
        <w:rPr>
          <w:rFonts w:hint="eastAsia" w:ascii="宋体" w:hAnsi="宋体" w:eastAsia="宋体" w:cs="宋体"/>
          <w:b/>
          <w:color w:val="auto"/>
          <w:spacing w:val="6"/>
          <w:sz w:val="32"/>
          <w:szCs w:val="32"/>
          <w:highlight w:val="none"/>
        </w:rPr>
      </w:pPr>
    </w:p>
    <w:p w14:paraId="5A4B2096">
      <w:pPr>
        <w:spacing w:line="360" w:lineRule="auto"/>
        <w:jc w:val="center"/>
        <w:rPr>
          <w:rFonts w:hint="eastAsia" w:ascii="宋体" w:hAnsi="宋体" w:eastAsia="宋体" w:cs="宋体"/>
          <w:b/>
          <w:color w:val="auto"/>
          <w:spacing w:val="6"/>
          <w:sz w:val="32"/>
          <w:szCs w:val="32"/>
          <w:highlight w:val="none"/>
        </w:rPr>
      </w:pPr>
    </w:p>
    <w:p w14:paraId="1AEF69E8">
      <w:pPr>
        <w:spacing w:line="360" w:lineRule="auto"/>
        <w:jc w:val="center"/>
        <w:rPr>
          <w:rFonts w:hint="eastAsia" w:ascii="宋体" w:hAnsi="宋体" w:eastAsia="宋体" w:cs="宋体"/>
          <w:b/>
          <w:color w:val="auto"/>
          <w:spacing w:val="6"/>
          <w:sz w:val="32"/>
          <w:szCs w:val="32"/>
          <w:highlight w:val="none"/>
        </w:rPr>
      </w:pPr>
    </w:p>
    <w:p w14:paraId="1CAFEEF1">
      <w:pPr>
        <w:spacing w:line="360" w:lineRule="auto"/>
        <w:jc w:val="center"/>
        <w:rPr>
          <w:rFonts w:hint="eastAsia" w:ascii="宋体" w:hAnsi="宋体" w:eastAsia="宋体" w:cs="宋体"/>
          <w:b/>
          <w:color w:val="auto"/>
          <w:spacing w:val="6"/>
          <w:sz w:val="32"/>
          <w:szCs w:val="32"/>
          <w:highlight w:val="none"/>
        </w:rPr>
      </w:pPr>
    </w:p>
    <w:p w14:paraId="0F55A6FA">
      <w:pPr>
        <w:spacing w:line="360" w:lineRule="auto"/>
        <w:jc w:val="center"/>
        <w:rPr>
          <w:rFonts w:hint="eastAsia" w:ascii="宋体" w:hAnsi="宋体" w:eastAsia="宋体" w:cs="宋体"/>
          <w:b/>
          <w:color w:val="auto"/>
          <w:spacing w:val="6"/>
          <w:sz w:val="32"/>
          <w:szCs w:val="32"/>
          <w:highlight w:val="none"/>
        </w:rPr>
      </w:pPr>
    </w:p>
    <w:p w14:paraId="128A8EBC">
      <w:pPr>
        <w:spacing w:line="360" w:lineRule="auto"/>
        <w:jc w:val="center"/>
        <w:rPr>
          <w:rFonts w:hint="eastAsia" w:ascii="宋体" w:hAnsi="宋体" w:eastAsia="宋体" w:cs="宋体"/>
          <w:b/>
          <w:color w:val="auto"/>
          <w:spacing w:val="6"/>
          <w:sz w:val="32"/>
          <w:szCs w:val="32"/>
          <w:highlight w:val="none"/>
        </w:rPr>
      </w:pPr>
    </w:p>
    <w:p w14:paraId="1FEDDE2A">
      <w:pPr>
        <w:spacing w:line="360" w:lineRule="auto"/>
        <w:jc w:val="center"/>
        <w:rPr>
          <w:rFonts w:hint="eastAsia" w:ascii="宋体" w:hAnsi="宋体" w:eastAsia="宋体" w:cs="宋体"/>
          <w:b/>
          <w:color w:val="auto"/>
          <w:spacing w:val="6"/>
          <w:sz w:val="32"/>
          <w:szCs w:val="32"/>
          <w:highlight w:val="none"/>
        </w:rPr>
      </w:pPr>
    </w:p>
    <w:p w14:paraId="1619A83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9C43A40">
      <w:pPr>
        <w:spacing w:line="360" w:lineRule="auto"/>
        <w:jc w:val="center"/>
        <w:rPr>
          <w:rFonts w:hint="eastAsia" w:ascii="宋体" w:hAnsi="宋体" w:eastAsia="宋体" w:cs="宋体"/>
          <w:b/>
          <w:color w:val="auto"/>
          <w:sz w:val="24"/>
          <w:highlight w:val="none"/>
        </w:rPr>
      </w:pPr>
    </w:p>
    <w:p w14:paraId="6BF3EC6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87A59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3B2D0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F4584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EE1E8C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p>
    <w:p w14:paraId="2428028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F3FC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28B02E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8625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7434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F83242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46578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5E8CF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BE40DF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3081C8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B57274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C32F8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59C63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15621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F5675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9F032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58DD3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1453BD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CA4E7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05B61C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5C933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C718A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79579F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284ED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4EA08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2660C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68059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A8C5B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356EE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ADE93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4FC92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33BB32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75057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7F9D6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52F34BC">
      <w:pPr>
        <w:spacing w:line="360" w:lineRule="auto"/>
        <w:rPr>
          <w:rFonts w:hint="eastAsia" w:ascii="宋体" w:hAnsi="宋体" w:eastAsia="宋体" w:cs="宋体"/>
          <w:b/>
          <w:color w:val="auto"/>
          <w:sz w:val="24"/>
          <w:highlight w:val="none"/>
        </w:rPr>
      </w:pPr>
    </w:p>
    <w:p w14:paraId="4D55B399">
      <w:pPr>
        <w:spacing w:line="360" w:lineRule="auto"/>
        <w:rPr>
          <w:rFonts w:hint="eastAsia" w:ascii="宋体" w:hAnsi="宋体" w:eastAsia="宋体" w:cs="宋体"/>
          <w:b/>
          <w:color w:val="auto"/>
          <w:sz w:val="24"/>
          <w:highlight w:val="none"/>
        </w:rPr>
      </w:pPr>
    </w:p>
    <w:p w14:paraId="44C1F1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E283DD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849C88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5B76A5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E1213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66E8B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063DA4A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82E7CD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A6B03A">
      <w:pPr>
        <w:spacing w:line="360" w:lineRule="auto"/>
        <w:rPr>
          <w:rFonts w:hint="eastAsia" w:ascii="宋体" w:hAnsi="宋体" w:eastAsia="宋体" w:cs="宋体"/>
          <w:b/>
          <w:color w:val="auto"/>
          <w:sz w:val="24"/>
          <w:highlight w:val="none"/>
        </w:rPr>
      </w:pPr>
    </w:p>
    <w:p w14:paraId="3CD363F2">
      <w:pPr>
        <w:autoSpaceDE w:val="0"/>
        <w:autoSpaceDN w:val="0"/>
        <w:jc w:val="center"/>
        <w:rPr>
          <w:rFonts w:hint="eastAsia" w:ascii="宋体" w:hAnsi="宋体" w:eastAsia="宋体" w:cs="宋体"/>
          <w:b/>
          <w:color w:val="auto"/>
          <w:spacing w:val="6"/>
          <w:sz w:val="32"/>
          <w:szCs w:val="32"/>
          <w:highlight w:val="none"/>
        </w:rPr>
      </w:pPr>
    </w:p>
    <w:p w14:paraId="62E7D7D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00E166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A50C052">
      <w:pPr>
        <w:spacing w:line="360" w:lineRule="auto"/>
        <w:rPr>
          <w:rFonts w:hint="eastAsia" w:ascii="宋体" w:hAnsi="宋体" w:eastAsia="宋体" w:cs="宋体"/>
          <w:color w:val="auto"/>
          <w:sz w:val="24"/>
          <w:highlight w:val="none"/>
          <w:u w:val="single"/>
        </w:rPr>
      </w:pPr>
    </w:p>
    <w:p w14:paraId="75E59C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杭州市市场监督管理局</w:t>
      </w:r>
      <w:r>
        <w:rPr>
          <w:rFonts w:hint="eastAsia" w:ascii="宋体" w:hAnsi="宋体" w:eastAsia="宋体" w:cs="宋体"/>
          <w:color w:val="auto"/>
          <w:sz w:val="24"/>
          <w:highlight w:val="none"/>
          <w:u w:val="single"/>
        </w:rPr>
        <w:t>、浙江省建设工程设备招标有限公司：</w:t>
      </w:r>
    </w:p>
    <w:p w14:paraId="63C616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CDC90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4E92C832">
      <w:pPr>
        <w:spacing w:line="360" w:lineRule="auto"/>
        <w:ind w:firstLine="494"/>
        <w:rPr>
          <w:rFonts w:hint="eastAsia" w:ascii="宋体" w:hAnsi="宋体" w:eastAsia="宋体" w:cs="宋体"/>
          <w:color w:val="auto"/>
          <w:sz w:val="24"/>
          <w:highlight w:val="none"/>
        </w:rPr>
      </w:pPr>
    </w:p>
    <w:p w14:paraId="7AA36AF6">
      <w:pPr>
        <w:spacing w:line="360" w:lineRule="auto"/>
        <w:ind w:firstLine="494"/>
        <w:rPr>
          <w:rFonts w:hint="eastAsia" w:ascii="宋体" w:hAnsi="宋体" w:eastAsia="宋体" w:cs="宋体"/>
          <w:color w:val="auto"/>
          <w:sz w:val="24"/>
          <w:highlight w:val="none"/>
        </w:rPr>
      </w:pPr>
    </w:p>
    <w:p w14:paraId="2E47191C">
      <w:pPr>
        <w:spacing w:line="360" w:lineRule="auto"/>
        <w:ind w:firstLine="494"/>
        <w:rPr>
          <w:rFonts w:hint="eastAsia" w:ascii="宋体" w:hAnsi="宋体" w:eastAsia="宋体" w:cs="宋体"/>
          <w:color w:val="auto"/>
          <w:sz w:val="24"/>
          <w:highlight w:val="none"/>
        </w:rPr>
      </w:pPr>
    </w:p>
    <w:p w14:paraId="0D31D0CD">
      <w:pPr>
        <w:spacing w:line="360" w:lineRule="auto"/>
        <w:ind w:firstLine="494"/>
        <w:rPr>
          <w:rFonts w:hint="eastAsia" w:ascii="宋体" w:hAnsi="宋体" w:eastAsia="宋体" w:cs="宋体"/>
          <w:color w:val="auto"/>
          <w:sz w:val="24"/>
          <w:highlight w:val="none"/>
        </w:rPr>
      </w:pPr>
    </w:p>
    <w:p w14:paraId="0791E09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321CDB0">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D41031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1F3A53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0E28A768">
      <w:pPr>
        <w:autoSpaceDE w:val="0"/>
        <w:autoSpaceDN w:val="0"/>
        <w:jc w:val="center"/>
        <w:rPr>
          <w:rFonts w:hint="eastAsia" w:ascii="宋体" w:hAnsi="宋体" w:eastAsia="宋体" w:cs="宋体"/>
          <w:b/>
          <w:color w:val="auto"/>
          <w:spacing w:val="6"/>
          <w:sz w:val="32"/>
          <w:szCs w:val="32"/>
          <w:highlight w:val="none"/>
        </w:rPr>
      </w:pPr>
    </w:p>
    <w:p w14:paraId="4048E11A">
      <w:pPr>
        <w:autoSpaceDE w:val="0"/>
        <w:autoSpaceDN w:val="0"/>
        <w:jc w:val="center"/>
        <w:rPr>
          <w:rFonts w:hint="eastAsia" w:ascii="宋体" w:hAnsi="宋体" w:eastAsia="宋体" w:cs="宋体"/>
          <w:b/>
          <w:color w:val="auto"/>
          <w:spacing w:val="6"/>
          <w:sz w:val="32"/>
          <w:szCs w:val="32"/>
          <w:highlight w:val="none"/>
        </w:rPr>
      </w:pPr>
    </w:p>
    <w:p w14:paraId="249AEADE">
      <w:pPr>
        <w:autoSpaceDE w:val="0"/>
        <w:autoSpaceDN w:val="0"/>
        <w:jc w:val="center"/>
        <w:rPr>
          <w:rFonts w:hint="eastAsia" w:ascii="宋体" w:hAnsi="宋体" w:eastAsia="宋体" w:cs="宋体"/>
          <w:b/>
          <w:color w:val="auto"/>
          <w:spacing w:val="6"/>
          <w:sz w:val="32"/>
          <w:szCs w:val="32"/>
          <w:highlight w:val="none"/>
        </w:rPr>
      </w:pPr>
    </w:p>
    <w:p w14:paraId="18C6DA5E">
      <w:pPr>
        <w:autoSpaceDE w:val="0"/>
        <w:autoSpaceDN w:val="0"/>
        <w:jc w:val="center"/>
        <w:rPr>
          <w:rFonts w:hint="eastAsia" w:ascii="宋体" w:hAnsi="宋体" w:eastAsia="宋体" w:cs="宋体"/>
          <w:b/>
          <w:color w:val="auto"/>
          <w:spacing w:val="6"/>
          <w:sz w:val="32"/>
          <w:szCs w:val="32"/>
          <w:highlight w:val="none"/>
        </w:rPr>
      </w:pPr>
    </w:p>
    <w:p w14:paraId="712E3015">
      <w:pPr>
        <w:autoSpaceDE w:val="0"/>
        <w:autoSpaceDN w:val="0"/>
        <w:jc w:val="center"/>
        <w:rPr>
          <w:rFonts w:hint="eastAsia" w:ascii="宋体" w:hAnsi="宋体" w:eastAsia="宋体" w:cs="宋体"/>
          <w:b/>
          <w:color w:val="auto"/>
          <w:spacing w:val="6"/>
          <w:sz w:val="32"/>
          <w:szCs w:val="32"/>
          <w:highlight w:val="none"/>
        </w:rPr>
      </w:pPr>
    </w:p>
    <w:p w14:paraId="1FA6C8F7">
      <w:pPr>
        <w:autoSpaceDE w:val="0"/>
        <w:autoSpaceDN w:val="0"/>
        <w:jc w:val="center"/>
        <w:rPr>
          <w:rFonts w:hint="eastAsia" w:ascii="宋体" w:hAnsi="宋体" w:eastAsia="宋体" w:cs="宋体"/>
          <w:b/>
          <w:color w:val="auto"/>
          <w:spacing w:val="6"/>
          <w:sz w:val="32"/>
          <w:szCs w:val="32"/>
          <w:highlight w:val="none"/>
        </w:rPr>
      </w:pPr>
    </w:p>
    <w:p w14:paraId="6591777B">
      <w:pPr>
        <w:autoSpaceDE w:val="0"/>
        <w:autoSpaceDN w:val="0"/>
        <w:jc w:val="center"/>
        <w:rPr>
          <w:rFonts w:hint="eastAsia" w:ascii="宋体" w:hAnsi="宋体" w:eastAsia="宋体" w:cs="宋体"/>
          <w:b/>
          <w:color w:val="auto"/>
          <w:spacing w:val="6"/>
          <w:sz w:val="32"/>
          <w:szCs w:val="32"/>
          <w:highlight w:val="none"/>
        </w:rPr>
      </w:pPr>
    </w:p>
    <w:p w14:paraId="589CEF36">
      <w:pPr>
        <w:autoSpaceDE w:val="0"/>
        <w:autoSpaceDN w:val="0"/>
        <w:jc w:val="center"/>
        <w:rPr>
          <w:rFonts w:hint="eastAsia" w:ascii="宋体" w:hAnsi="宋体" w:eastAsia="宋体" w:cs="宋体"/>
          <w:b/>
          <w:color w:val="auto"/>
          <w:spacing w:val="6"/>
          <w:sz w:val="32"/>
          <w:szCs w:val="32"/>
          <w:highlight w:val="none"/>
        </w:rPr>
      </w:pPr>
    </w:p>
    <w:p w14:paraId="1C1A7007">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E0DAAE5">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B926C74">
      <w:pPr>
        <w:widowControl/>
        <w:spacing w:line="312"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F274C4C">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76C8AD4">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9C9B048">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A4CAF8B">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23DD346">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D018246">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63F311A">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92266C6">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8" w:name="_Hlk101131882"/>
      <w:r>
        <w:rPr>
          <w:rFonts w:hint="eastAsia" w:ascii="宋体" w:hAnsi="宋体" w:eastAsia="宋体" w:cs="宋体"/>
          <w:color w:val="auto"/>
          <w:kern w:val="0"/>
          <w:sz w:val="24"/>
          <w:highlight w:val="none"/>
          <w:u w:val="single"/>
        </w:rPr>
        <w:t>联合体成员X,……</w:t>
      </w:r>
      <w:bookmarkEnd w:id="39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9"/>
      <w:r>
        <w:rPr>
          <w:rFonts w:hint="eastAsia" w:ascii="宋体" w:hAnsi="宋体" w:eastAsia="宋体" w:cs="宋体"/>
          <w:b/>
          <w:color w:val="auto"/>
          <w:kern w:val="0"/>
          <w:sz w:val="24"/>
          <w:highlight w:val="none"/>
          <w:lang w:val="zh-CN"/>
        </w:rPr>
        <w:t>）</w:t>
      </w:r>
    </w:p>
    <w:p w14:paraId="0001E531">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0"/>
    </w:p>
    <w:p w14:paraId="18E7FB8F">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E100EE6">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63FF4EF">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326376D">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838108C">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16777FE">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81C44E2">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 ……</w:t>
      </w:r>
    </w:p>
    <w:p w14:paraId="4D58681F">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  年  月   日</w:t>
      </w:r>
    </w:p>
    <w:p w14:paraId="336D3097">
      <w:pPr>
        <w:snapToGrid/>
        <w:spacing w:line="24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6A410AC">
      <w:pPr>
        <w:widowControl/>
        <w:spacing w:line="312"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07F76DAC">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杭州市市场监督管理局投诉举报接收处置服务外包项目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CB98659">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CF8F779">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E33B9A">
      <w:pPr>
        <w:pStyle w:val="2"/>
        <w:spacing w:line="312"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29A6CA">
      <w:pPr>
        <w:spacing w:line="312" w:lineRule="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kern w:val="0"/>
          <w:sz w:val="24"/>
          <w:highlight w:val="none"/>
          <w:lang w:val="zh-CN"/>
        </w:rPr>
        <w:t>二、分包供应商中小企业合同份额</w:t>
      </w:r>
    </w:p>
    <w:p w14:paraId="339BD137">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4B01D4B">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3AD59CD">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1E0A023">
      <w:pPr>
        <w:snapToGrid w:val="0"/>
        <w:spacing w:line="288"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1A74343">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E4FCFB9">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F02059B">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8AEE4B1">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805A88D">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5811E6F">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087C99E">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D4F97D1">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BEB4F38">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C482FB9">
      <w:pPr>
        <w:snapToGrid w:val="0"/>
        <w:spacing w:line="288" w:lineRule="auto"/>
        <w:ind w:left="5758" w:leftChars="342" w:hanging="5040" w:hanging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2C8785B">
      <w:pPr>
        <w:snapToGrid w:val="0"/>
        <w:spacing w:line="312"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3C16D8B3">
      <w:pPr>
        <w:snapToGrid w:val="0"/>
        <w:spacing w:line="312"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F30F75E">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  年  月   日</w:t>
      </w:r>
    </w:p>
    <w:p w14:paraId="3636E86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BEF98B0">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AFBF67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F768CDA">
      <w:pPr>
        <w:keepNext w:val="0"/>
        <w:keepLines w:val="0"/>
        <w:pageBreakBefore w:val="0"/>
        <w:widowControl w:val="0"/>
        <w:kinsoku/>
        <w:wordWrap/>
        <w:overflowPunct/>
        <w:topLinePunct w:val="0"/>
        <w:autoSpaceDE/>
        <w:autoSpaceDN/>
        <w:bidi w:val="0"/>
        <w:adjustRightInd/>
        <w:snapToGrid/>
        <w:spacing w:line="336" w:lineRule="auto"/>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杭州市市场监督管理局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杭州市市场监督管理局投诉举报接收处置服务外包项目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490551C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496101B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14:paraId="5357C78D">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5E7953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B915340">
      <w:pPr>
        <w:keepNext w:val="0"/>
        <w:keepLines w:val="0"/>
        <w:pageBreakBefore w:val="0"/>
        <w:widowControl w:val="0"/>
        <w:kinsoku/>
        <w:wordWrap/>
        <w:overflowPunct/>
        <w:topLinePunct w:val="0"/>
        <w:autoSpaceDE/>
        <w:autoSpaceDN/>
        <w:bidi w:val="0"/>
        <w:adjustRightInd/>
        <w:snapToGrid/>
        <w:spacing w:line="336" w:lineRule="auto"/>
        <w:ind w:right="176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3D935D6D">
      <w:pPr>
        <w:keepNext w:val="0"/>
        <w:keepLines w:val="0"/>
        <w:pageBreakBefore w:val="0"/>
        <w:widowControl w:val="0"/>
        <w:kinsoku/>
        <w:wordWrap/>
        <w:overflowPunct/>
        <w:topLinePunct w:val="0"/>
        <w:autoSpaceDE/>
        <w:autoSpaceDN/>
        <w:bidi w:val="0"/>
        <w:adjustRightInd/>
        <w:snapToGrid/>
        <w:spacing w:line="336" w:lineRule="auto"/>
        <w:ind w:right="1120" w:firstLine="4680" w:firstLineChars="19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193657F0">
      <w:pPr>
        <w:keepNext w:val="0"/>
        <w:keepLines w:val="0"/>
        <w:pageBreakBefore w:val="0"/>
        <w:widowControl w:val="0"/>
        <w:kinsoku/>
        <w:wordWrap/>
        <w:overflowPunct/>
        <w:topLinePunct w:val="0"/>
        <w:autoSpaceDE/>
        <w:autoSpaceDN/>
        <w:bidi w:val="0"/>
        <w:adjustRightInd/>
        <w:snapToGrid/>
        <w:spacing w:line="336" w:lineRule="auto"/>
        <w:ind w:firstLine="325" w:firstLineChars="147"/>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14:paraId="3ACA875A">
      <w:pPr>
        <w:keepNext w:val="0"/>
        <w:keepLines w:val="0"/>
        <w:pageBreakBefore w:val="0"/>
        <w:widowControl w:val="0"/>
        <w:kinsoku/>
        <w:wordWrap/>
        <w:overflowPunct/>
        <w:topLinePunct w:val="0"/>
        <w:autoSpaceDE/>
        <w:autoSpaceDN/>
        <w:bidi w:val="0"/>
        <w:adjustRightInd/>
        <w:snapToGrid/>
        <w:spacing w:line="336"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A4CE187">
      <w:pPr>
        <w:keepNext w:val="0"/>
        <w:keepLines w:val="0"/>
        <w:pageBreakBefore w:val="0"/>
        <w:widowControl w:val="0"/>
        <w:kinsoku/>
        <w:wordWrap/>
        <w:overflowPunct/>
        <w:topLinePunct w:val="0"/>
        <w:autoSpaceDE/>
        <w:autoSpaceDN/>
        <w:bidi w:val="0"/>
        <w:adjustRightInd/>
        <w:snapToGrid/>
        <w:spacing w:line="336"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1F18A141">
      <w:pPr>
        <w:keepNext w:val="0"/>
        <w:keepLines w:val="0"/>
        <w:pageBreakBefore w:val="0"/>
        <w:widowControl w:val="0"/>
        <w:kinsoku/>
        <w:wordWrap/>
        <w:overflowPunct/>
        <w:topLinePunct w:val="0"/>
        <w:autoSpaceDE/>
        <w:autoSpaceDN/>
        <w:bidi w:val="0"/>
        <w:adjustRightInd/>
        <w:snapToGrid/>
        <w:spacing w:line="336" w:lineRule="auto"/>
        <w:ind w:right="420"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440" w:right="1417" w:bottom="1440" w:left="141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47423">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34</w:t>
    </w:r>
    <w:r>
      <w:fldChar w:fldCharType="end"/>
    </w:r>
  </w:p>
  <w:p w14:paraId="5FF9613B">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5701">
    <w:pPr>
      <w:pStyle w:val="13"/>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3A4C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73A4C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9A0F">
    <w:pPr>
      <w:pStyle w:val="13"/>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FD4E33F">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io3/WywEAAKUDAAAOAAAAAAAAAAEAIAAAAB8BAABkcnMvZTJv&#10;RG9jLnhtbFBLBQYAAAAABgAGAFkBAABcBQAAAAA=&#10;">
              <v:fill on="f" focussize="0,0"/>
              <v:stroke on="f"/>
              <v:imagedata o:title=""/>
              <o:lock v:ext="edit" aspectratio="f"/>
              <v:textbox inset="0mm,0mm,0mm,0mm" style="mso-fit-shape-to-text:t;">
                <w:txbxContent>
                  <w:p w14:paraId="0FD4E33F">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C3EC">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48EB95">
                          <w:pPr>
                            <w:pStyle w:val="13"/>
                          </w:pPr>
                          <w:r>
                            <w:fldChar w:fldCharType="begin"/>
                          </w:r>
                          <w:r>
                            <w:instrText xml:space="preserve"> PAGE  \* MERGEFORMAT </w:instrText>
                          </w:r>
                          <w:r>
                            <w:fldChar w:fldCharType="separate"/>
                          </w:r>
                          <w:r>
                            <w:t>68</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14:paraId="3848EB95">
                    <w:pPr>
                      <w:pStyle w:val="13"/>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EE3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EB498D6">
                          <w:pPr>
                            <w:pStyle w:val="13"/>
                          </w:pPr>
                          <w:r>
                            <w:fldChar w:fldCharType="begin"/>
                          </w:r>
                          <w:r>
                            <w:instrText xml:space="preserve"> PAGE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14:paraId="5EB498D6">
                    <w:pPr>
                      <w:pStyle w:val="13"/>
                    </w:pPr>
                    <w:r>
                      <w:fldChar w:fldCharType="begin"/>
                    </w:r>
                    <w:r>
                      <w:instrText xml:space="preserve"> PAGE  \* MERGEFORMAT </w:instrText>
                    </w:r>
                    <w:r>
                      <w:fldChar w:fldCharType="separate"/>
                    </w:r>
                    <w:r>
                      <w:t>79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053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B5068FF">
                          <w:pPr>
                            <w:pStyle w:val="13"/>
                          </w:pPr>
                          <w:r>
                            <w:fldChar w:fldCharType="begin"/>
                          </w:r>
                          <w:r>
                            <w:instrText xml:space="preserve"> PAGE  \* MERGEFORMAT </w:instrText>
                          </w:r>
                          <w:r>
                            <w:fldChar w:fldCharType="separate"/>
                          </w:r>
                          <w:r>
                            <w:t>74</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14:paraId="4B5068FF">
                    <w:pPr>
                      <w:pStyle w:val="13"/>
                    </w:pPr>
                    <w:r>
                      <w:fldChar w:fldCharType="begin"/>
                    </w:r>
                    <w:r>
                      <w:instrText xml:space="preserve"> PAGE  \* MERGEFORMAT </w:instrText>
                    </w:r>
                    <w:r>
                      <w:fldChar w:fldCharType="separate"/>
                    </w:r>
                    <w:r>
                      <w:t>74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F5E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0195" cy="203200"/>
              <wp:effectExtent l="0" t="0" r="0" b="0"/>
              <wp:wrapNone/>
              <wp:docPr id="4103" name="矩形 4103"/>
              <wp:cNvGraphicFramePr/>
              <a:graphic xmlns:a="http://schemas.openxmlformats.org/drawingml/2006/main">
                <a:graphicData uri="http://schemas.microsoft.com/office/word/2010/wordprocessingShape">
                  <wps:wsp>
                    <wps:cNvSpPr/>
                    <wps:spPr>
                      <a:xfrm>
                        <a:off x="0" y="0"/>
                        <a:ext cx="290195" cy="203200"/>
                      </a:xfrm>
                      <a:prstGeom prst="rect">
                        <a:avLst/>
                      </a:prstGeom>
                      <a:noFill/>
                      <a:ln>
                        <a:noFill/>
                      </a:ln>
                      <a:effectLst/>
                    </wps:spPr>
                    <wps:txbx>
                      <w:txbxContent>
                        <w:p w14:paraId="4C959A90">
                          <w:pPr>
                            <w:pStyle w:val="13"/>
                          </w:pPr>
                          <w:r>
                            <w:fldChar w:fldCharType="begin"/>
                          </w:r>
                          <w:r>
                            <w:instrText xml:space="preserve"> PAGE  \* MERGEFORMAT </w:instrText>
                          </w:r>
                          <w:r>
                            <w:fldChar w:fldCharType="separate"/>
                          </w:r>
                          <w:r>
                            <w:t>82</w:t>
                          </w:r>
                          <w:r>
                            <w:fldChar w:fldCharType="end"/>
                          </w:r>
                          <w:r>
                            <w:t xml:space="preserve"> </w:t>
                          </w:r>
                        </w:p>
                      </w:txbxContent>
                    </wps:txbx>
                    <wps:bodyPr vert="horz" wrap="square" lIns="0" tIns="0" rIns="0" bIns="0" anchor="t">
                      <a:noAutofit/>
                    </wps:bodyPr>
                  </wps:wsp>
                </a:graphicData>
              </a:graphic>
            </wp:anchor>
          </w:drawing>
        </mc:Choice>
        <mc:Fallback>
          <w:pict>
            <v:rect id="_x0000_s1026" o:spid="_x0000_s1026" o:spt="1" style="position:absolute;left:0pt;margin-top:0pt;height:16pt;width:22.85pt;mso-position-horizontal:center;mso-position-horizontal-relative:margin;z-index:251662336;mso-width-relative:page;mso-height-relative:page;" filled="f" stroked="f" coordsize="21600,21600" o:gfxdata="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S0x9HWAAAAAwEAAA8AAAAAAAAAAQAgAAAA&#10;IgAAAGRycy9kb3ducmV2LnhtbFBLAQIUABQAAAAIAIdO4kDmLwIo1AEAAKsDAAAOAAAAAAAAAAEA&#10;IAAAACUBAABkcnMvZTJvRG9jLnhtbFBLBQYAAAAABgAGAFkBAABrBQAAAAA=&#10;">
              <v:fill on="f" focussize="0,0"/>
              <v:stroke on="f"/>
              <v:imagedata o:title=""/>
              <o:lock v:ext="edit" aspectratio="f"/>
              <v:textbox inset="0mm,0mm,0mm,0mm">
                <w:txbxContent>
                  <w:p w14:paraId="4C959A90">
                    <w:pPr>
                      <w:pStyle w:val="13"/>
                    </w:pPr>
                    <w:r>
                      <w:fldChar w:fldCharType="begin"/>
                    </w:r>
                    <w:r>
                      <w:instrText xml:space="preserve"> PAGE  \* MERGEFORMAT </w:instrText>
                    </w:r>
                    <w:r>
                      <w:fldChar w:fldCharType="separate"/>
                    </w:r>
                    <w:r>
                      <w:t>82</w:t>
                    </w:r>
                    <w:r>
                      <w:fldChar w:fldCharType="end"/>
                    </w:r>
                    <w: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06A">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02E07E">
                          <w:pPr>
                            <w:pStyle w:val="13"/>
                          </w:pPr>
                          <w:r>
                            <w:fldChar w:fldCharType="begin"/>
                          </w:r>
                          <w:r>
                            <w:instrText xml:space="preserve"> PAGE  \* MERGEFORMAT </w:instrText>
                          </w:r>
                          <w:r>
                            <w:fldChar w:fldCharType="separate"/>
                          </w:r>
                          <w:r>
                            <w:t>81</w:t>
                          </w:r>
                          <w:r>
                            <w:fldChar w:fldCharType="end"/>
                          </w:r>
                          <w:r>
                            <w:t xml:space="preserve"> </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14:paraId="7602E07E">
                    <w:pPr>
                      <w:pStyle w:val="13"/>
                    </w:pPr>
                    <w:r>
                      <w:fldChar w:fldCharType="begin"/>
                    </w:r>
                    <w:r>
                      <w:instrText xml:space="preserve"> PAGE  \* MERGEFORMAT </w:instrText>
                    </w:r>
                    <w:r>
                      <w:fldChar w:fldCharType="separate"/>
                    </w:r>
                    <w:r>
                      <w:t>81</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F305">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C5CE">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D4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CA0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C121">
    <w:pPr>
      <w:pStyle w:val="14"/>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C1B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D6C9">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EDD75"/>
    <w:multiLevelType w:val="singleLevel"/>
    <w:tmpl w:val="97EEDD75"/>
    <w:lvl w:ilvl="0" w:tentative="0">
      <w:start w:val="1"/>
      <w:numFmt w:val="decimal"/>
      <w:lvlText w:val="%1."/>
      <w:lvlJc w:val="left"/>
      <w:pPr>
        <w:ind w:left="425" w:hanging="425"/>
      </w:pPr>
      <w:rPr>
        <w:rFonts w:hint="default"/>
      </w:rPr>
    </w:lvl>
  </w:abstractNum>
  <w:abstractNum w:abstractNumId="1">
    <w:nsid w:val="9F247452"/>
    <w:multiLevelType w:val="singleLevel"/>
    <w:tmpl w:val="9F247452"/>
    <w:lvl w:ilvl="0" w:tentative="0">
      <w:start w:val="1"/>
      <w:numFmt w:val="decimal"/>
      <w:suff w:val="nothing"/>
      <w:lvlText w:val="（%1）"/>
      <w:lvlJc w:val="left"/>
    </w:lvl>
  </w:abstractNum>
  <w:abstractNum w:abstractNumId="2">
    <w:nsid w:val="D1D31C0E"/>
    <w:multiLevelType w:val="singleLevel"/>
    <w:tmpl w:val="D1D31C0E"/>
    <w:lvl w:ilvl="0" w:tentative="0">
      <w:start w:val="1"/>
      <w:numFmt w:val="decimal"/>
      <w:lvlText w:val="(%1)"/>
      <w:lvlJc w:val="left"/>
      <w:pPr>
        <w:ind w:left="425" w:hanging="425"/>
      </w:pPr>
      <w:rPr>
        <w:rFonts w:hint="default"/>
      </w:rPr>
    </w:lvl>
  </w:abstractNum>
  <w:abstractNum w:abstractNumId="3">
    <w:nsid w:val="DEBCF336"/>
    <w:multiLevelType w:val="singleLevel"/>
    <w:tmpl w:val="DEBCF336"/>
    <w:lvl w:ilvl="0" w:tentative="0">
      <w:start w:val="1"/>
      <w:numFmt w:val="decimal"/>
      <w:lvlText w:val="(%1)"/>
      <w:lvlJc w:val="left"/>
      <w:pPr>
        <w:ind w:left="425" w:hanging="425"/>
      </w:pPr>
      <w:rPr>
        <w:rFonts w:hint="default"/>
      </w:rPr>
    </w:lvl>
  </w:abstractNum>
  <w:abstractNum w:abstractNumId="4">
    <w:nsid w:val="F9825CC0"/>
    <w:multiLevelType w:val="singleLevel"/>
    <w:tmpl w:val="F9825CC0"/>
    <w:lvl w:ilvl="0" w:tentative="0">
      <w:start w:val="1"/>
      <w:numFmt w:val="decimal"/>
      <w:suff w:val="nothing"/>
      <w:lvlText w:val="%1）"/>
      <w:lvlJc w:val="left"/>
    </w:lvl>
  </w:abstractNum>
  <w:abstractNum w:abstractNumId="5">
    <w:nsid w:val="FA005EA7"/>
    <w:multiLevelType w:val="singleLevel"/>
    <w:tmpl w:val="FA005EA7"/>
    <w:lvl w:ilvl="0" w:tentative="0">
      <w:start w:val="5"/>
      <w:numFmt w:val="chineseCounting"/>
      <w:suff w:val="space"/>
      <w:lvlText w:val="第%1部分"/>
      <w:lvlJc w:val="left"/>
      <w:rPr>
        <w:rFonts w:hint="eastAsia"/>
      </w:rPr>
    </w:lvl>
  </w:abstractNum>
  <w:abstractNum w:abstractNumId="6">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7">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8">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9">
    <w:nsid w:val="3F4714B3"/>
    <w:multiLevelType w:val="singleLevel"/>
    <w:tmpl w:val="3F4714B3"/>
    <w:lvl w:ilvl="0" w:tentative="0">
      <w:start w:val="9"/>
      <w:numFmt w:val="decimal"/>
      <w:suff w:val="nothing"/>
      <w:lvlText w:val="%1、"/>
      <w:lvlJc w:val="left"/>
    </w:lvl>
  </w:abstractNum>
  <w:abstractNum w:abstractNumId="10">
    <w:nsid w:val="67795288"/>
    <w:multiLevelType w:val="singleLevel"/>
    <w:tmpl w:val="67795288"/>
    <w:lvl w:ilvl="0" w:tentative="0">
      <w:start w:val="1"/>
      <w:numFmt w:val="decimal"/>
      <w:lvlText w:val="%1."/>
      <w:lvlJc w:val="left"/>
      <w:pPr>
        <w:ind w:left="425" w:hanging="425"/>
      </w:pPr>
      <w:rPr>
        <w:rFonts w:hint="default"/>
      </w:rPr>
    </w:lvl>
  </w:abstractNum>
  <w:abstractNum w:abstractNumId="11">
    <w:nsid w:val="74559365"/>
    <w:multiLevelType w:val="singleLevel"/>
    <w:tmpl w:val="74559365"/>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10"/>
  </w:num>
  <w:num w:numId="3">
    <w:abstractNumId w:val="3"/>
  </w:num>
  <w:num w:numId="4">
    <w:abstractNumId w:val="4"/>
  </w:num>
  <w:num w:numId="5">
    <w:abstractNumId w:val="2"/>
  </w:num>
  <w:num w:numId="6">
    <w:abstractNumId w:val="11"/>
  </w:num>
  <w:num w:numId="7">
    <w:abstractNumId w:val="9"/>
  </w:num>
  <w:num w:numId="8">
    <w:abstractNumId w:val="5"/>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WJkNjljNjI1ZDU2N2U1MTIyZmM3MGRmZWNkMDkifQ=="/>
    <w:docVar w:name="KSO_WPS_MARK_KEY" w:val="9edffeb0-5765-47be-9016-136933825d09"/>
  </w:docVars>
  <w:rsids>
    <w:rsidRoot w:val="00A70E6F"/>
    <w:rsid w:val="00035485"/>
    <w:rsid w:val="00042FAE"/>
    <w:rsid w:val="00045045"/>
    <w:rsid w:val="0005340D"/>
    <w:rsid w:val="00054D1C"/>
    <w:rsid w:val="0009433C"/>
    <w:rsid w:val="000B3F97"/>
    <w:rsid w:val="000C04A9"/>
    <w:rsid w:val="000F5359"/>
    <w:rsid w:val="00120D7A"/>
    <w:rsid w:val="00127FAD"/>
    <w:rsid w:val="00175A07"/>
    <w:rsid w:val="00202794"/>
    <w:rsid w:val="00214168"/>
    <w:rsid w:val="00227BD3"/>
    <w:rsid w:val="00235371"/>
    <w:rsid w:val="00252FC9"/>
    <w:rsid w:val="00262DF5"/>
    <w:rsid w:val="002675FE"/>
    <w:rsid w:val="00281D4B"/>
    <w:rsid w:val="00295AFF"/>
    <w:rsid w:val="002A1D8A"/>
    <w:rsid w:val="002B16CC"/>
    <w:rsid w:val="002D27B8"/>
    <w:rsid w:val="002D7614"/>
    <w:rsid w:val="002F3295"/>
    <w:rsid w:val="003572FA"/>
    <w:rsid w:val="0036705D"/>
    <w:rsid w:val="003874B3"/>
    <w:rsid w:val="003A6B66"/>
    <w:rsid w:val="003D1DDD"/>
    <w:rsid w:val="003D55B6"/>
    <w:rsid w:val="003D58EC"/>
    <w:rsid w:val="003D7360"/>
    <w:rsid w:val="003E1082"/>
    <w:rsid w:val="0041636C"/>
    <w:rsid w:val="00444318"/>
    <w:rsid w:val="004639F6"/>
    <w:rsid w:val="004A3D69"/>
    <w:rsid w:val="004C771A"/>
    <w:rsid w:val="004E5371"/>
    <w:rsid w:val="004F53EF"/>
    <w:rsid w:val="00501AFC"/>
    <w:rsid w:val="0050335C"/>
    <w:rsid w:val="00522C73"/>
    <w:rsid w:val="005331D5"/>
    <w:rsid w:val="00547864"/>
    <w:rsid w:val="0055239D"/>
    <w:rsid w:val="005649CE"/>
    <w:rsid w:val="00583CBA"/>
    <w:rsid w:val="00584C85"/>
    <w:rsid w:val="005B1ACE"/>
    <w:rsid w:val="005B58A4"/>
    <w:rsid w:val="005B60FA"/>
    <w:rsid w:val="005D06BE"/>
    <w:rsid w:val="005E088E"/>
    <w:rsid w:val="005E166B"/>
    <w:rsid w:val="006171C6"/>
    <w:rsid w:val="00635CDF"/>
    <w:rsid w:val="00640CB9"/>
    <w:rsid w:val="00651A31"/>
    <w:rsid w:val="00661442"/>
    <w:rsid w:val="006A57C1"/>
    <w:rsid w:val="006A6BB6"/>
    <w:rsid w:val="006C089B"/>
    <w:rsid w:val="006C4F3F"/>
    <w:rsid w:val="006D5EE8"/>
    <w:rsid w:val="006E79F2"/>
    <w:rsid w:val="0071128D"/>
    <w:rsid w:val="00715DEB"/>
    <w:rsid w:val="00724063"/>
    <w:rsid w:val="00725F62"/>
    <w:rsid w:val="007313B6"/>
    <w:rsid w:val="0074263E"/>
    <w:rsid w:val="007502BE"/>
    <w:rsid w:val="007542BB"/>
    <w:rsid w:val="00771198"/>
    <w:rsid w:val="007978F6"/>
    <w:rsid w:val="007A233E"/>
    <w:rsid w:val="007A7224"/>
    <w:rsid w:val="007D3FEF"/>
    <w:rsid w:val="007E3ADC"/>
    <w:rsid w:val="007F6A68"/>
    <w:rsid w:val="00801627"/>
    <w:rsid w:val="00803F99"/>
    <w:rsid w:val="00811731"/>
    <w:rsid w:val="00811788"/>
    <w:rsid w:val="008141D9"/>
    <w:rsid w:val="008350C3"/>
    <w:rsid w:val="00850131"/>
    <w:rsid w:val="00860593"/>
    <w:rsid w:val="00860D47"/>
    <w:rsid w:val="00864290"/>
    <w:rsid w:val="008656F7"/>
    <w:rsid w:val="00865F7D"/>
    <w:rsid w:val="00867D1B"/>
    <w:rsid w:val="00873872"/>
    <w:rsid w:val="00875B96"/>
    <w:rsid w:val="00881B54"/>
    <w:rsid w:val="00884B12"/>
    <w:rsid w:val="008942C9"/>
    <w:rsid w:val="0089726D"/>
    <w:rsid w:val="0089759D"/>
    <w:rsid w:val="008B4E3E"/>
    <w:rsid w:val="008F0C5D"/>
    <w:rsid w:val="0090721D"/>
    <w:rsid w:val="00960A85"/>
    <w:rsid w:val="00965F1A"/>
    <w:rsid w:val="00980BD4"/>
    <w:rsid w:val="0098567B"/>
    <w:rsid w:val="0099244F"/>
    <w:rsid w:val="0099653A"/>
    <w:rsid w:val="009A08E9"/>
    <w:rsid w:val="009B5DBE"/>
    <w:rsid w:val="009C09FE"/>
    <w:rsid w:val="009D1607"/>
    <w:rsid w:val="009E5249"/>
    <w:rsid w:val="009E5CE5"/>
    <w:rsid w:val="00A02A95"/>
    <w:rsid w:val="00A12D0B"/>
    <w:rsid w:val="00A2402D"/>
    <w:rsid w:val="00A411F2"/>
    <w:rsid w:val="00A44E24"/>
    <w:rsid w:val="00A53590"/>
    <w:rsid w:val="00A566B4"/>
    <w:rsid w:val="00A609E6"/>
    <w:rsid w:val="00A70E6F"/>
    <w:rsid w:val="00AB03A9"/>
    <w:rsid w:val="00AC077E"/>
    <w:rsid w:val="00AD3DE4"/>
    <w:rsid w:val="00AE3DC9"/>
    <w:rsid w:val="00AF1CE9"/>
    <w:rsid w:val="00B11A76"/>
    <w:rsid w:val="00B21B50"/>
    <w:rsid w:val="00B42079"/>
    <w:rsid w:val="00B70A07"/>
    <w:rsid w:val="00B93EF1"/>
    <w:rsid w:val="00BD1472"/>
    <w:rsid w:val="00BD1A75"/>
    <w:rsid w:val="00BF01B2"/>
    <w:rsid w:val="00C0070B"/>
    <w:rsid w:val="00C1765C"/>
    <w:rsid w:val="00C2514E"/>
    <w:rsid w:val="00C329D2"/>
    <w:rsid w:val="00C476EB"/>
    <w:rsid w:val="00C5689F"/>
    <w:rsid w:val="00C57815"/>
    <w:rsid w:val="00C751D5"/>
    <w:rsid w:val="00C9386C"/>
    <w:rsid w:val="00CC5075"/>
    <w:rsid w:val="00D004FD"/>
    <w:rsid w:val="00D13617"/>
    <w:rsid w:val="00D33BD8"/>
    <w:rsid w:val="00D41CA8"/>
    <w:rsid w:val="00D51619"/>
    <w:rsid w:val="00D563E5"/>
    <w:rsid w:val="00DC2061"/>
    <w:rsid w:val="00DC3B8D"/>
    <w:rsid w:val="00DE123B"/>
    <w:rsid w:val="00DE2611"/>
    <w:rsid w:val="00DF5589"/>
    <w:rsid w:val="00E22EEA"/>
    <w:rsid w:val="00E261F9"/>
    <w:rsid w:val="00E55FA9"/>
    <w:rsid w:val="00E70D45"/>
    <w:rsid w:val="00E83D90"/>
    <w:rsid w:val="00E91DBA"/>
    <w:rsid w:val="00EB10D3"/>
    <w:rsid w:val="00F32E54"/>
    <w:rsid w:val="00F351A4"/>
    <w:rsid w:val="00F46D38"/>
    <w:rsid w:val="00F52181"/>
    <w:rsid w:val="00F71ADD"/>
    <w:rsid w:val="00F75620"/>
    <w:rsid w:val="00F91510"/>
    <w:rsid w:val="00FD200C"/>
    <w:rsid w:val="00FD4E5F"/>
    <w:rsid w:val="00FE1869"/>
    <w:rsid w:val="00FE6416"/>
    <w:rsid w:val="01BB3B2B"/>
    <w:rsid w:val="01F37422"/>
    <w:rsid w:val="03696BE9"/>
    <w:rsid w:val="056813ED"/>
    <w:rsid w:val="05F87C80"/>
    <w:rsid w:val="06725723"/>
    <w:rsid w:val="07603356"/>
    <w:rsid w:val="07833FB5"/>
    <w:rsid w:val="085D11BB"/>
    <w:rsid w:val="08B048C1"/>
    <w:rsid w:val="09330A1E"/>
    <w:rsid w:val="096200C8"/>
    <w:rsid w:val="097B56CA"/>
    <w:rsid w:val="09994DFF"/>
    <w:rsid w:val="09AF6E87"/>
    <w:rsid w:val="0A5A0EF5"/>
    <w:rsid w:val="0AFC0D3A"/>
    <w:rsid w:val="0B5B0684"/>
    <w:rsid w:val="0B8164EA"/>
    <w:rsid w:val="0BC93DA9"/>
    <w:rsid w:val="0C955AC2"/>
    <w:rsid w:val="0CA25035"/>
    <w:rsid w:val="0CC46135"/>
    <w:rsid w:val="0CCE5A15"/>
    <w:rsid w:val="0CDA32C6"/>
    <w:rsid w:val="0D6F4400"/>
    <w:rsid w:val="0E4612AA"/>
    <w:rsid w:val="0E724381"/>
    <w:rsid w:val="0E7A7496"/>
    <w:rsid w:val="0E8D6FE5"/>
    <w:rsid w:val="0EA578A0"/>
    <w:rsid w:val="0F766DD6"/>
    <w:rsid w:val="0FE95EB3"/>
    <w:rsid w:val="100D48FD"/>
    <w:rsid w:val="104E6015"/>
    <w:rsid w:val="1066216A"/>
    <w:rsid w:val="106F4610"/>
    <w:rsid w:val="10D91F2E"/>
    <w:rsid w:val="11E608FC"/>
    <w:rsid w:val="127D34DF"/>
    <w:rsid w:val="12B009AD"/>
    <w:rsid w:val="12D43886"/>
    <w:rsid w:val="13382DC7"/>
    <w:rsid w:val="133F11FF"/>
    <w:rsid w:val="13620456"/>
    <w:rsid w:val="13975E9B"/>
    <w:rsid w:val="140038F1"/>
    <w:rsid w:val="145943DD"/>
    <w:rsid w:val="14A057CF"/>
    <w:rsid w:val="14F73289"/>
    <w:rsid w:val="1535093B"/>
    <w:rsid w:val="15455939"/>
    <w:rsid w:val="15DB3330"/>
    <w:rsid w:val="16690670"/>
    <w:rsid w:val="16A843D2"/>
    <w:rsid w:val="17A52FB5"/>
    <w:rsid w:val="18771884"/>
    <w:rsid w:val="18ED7872"/>
    <w:rsid w:val="19575AC7"/>
    <w:rsid w:val="198A112D"/>
    <w:rsid w:val="19FD0BFD"/>
    <w:rsid w:val="1B0A71E2"/>
    <w:rsid w:val="1B4479E8"/>
    <w:rsid w:val="1BE64327"/>
    <w:rsid w:val="1BF05E87"/>
    <w:rsid w:val="1CD07B8C"/>
    <w:rsid w:val="1D470A5D"/>
    <w:rsid w:val="1D7617D1"/>
    <w:rsid w:val="1ED75168"/>
    <w:rsid w:val="20216FA3"/>
    <w:rsid w:val="20554B43"/>
    <w:rsid w:val="207518CA"/>
    <w:rsid w:val="20E2202A"/>
    <w:rsid w:val="20EC6550"/>
    <w:rsid w:val="210125A8"/>
    <w:rsid w:val="21074031"/>
    <w:rsid w:val="226F5D6F"/>
    <w:rsid w:val="233A2E7F"/>
    <w:rsid w:val="23835292"/>
    <w:rsid w:val="23B27E2D"/>
    <w:rsid w:val="23C60928"/>
    <w:rsid w:val="24306F3F"/>
    <w:rsid w:val="24AB32DF"/>
    <w:rsid w:val="25AB2103"/>
    <w:rsid w:val="260E5F03"/>
    <w:rsid w:val="268F3CCF"/>
    <w:rsid w:val="26A1499A"/>
    <w:rsid w:val="275F0AF8"/>
    <w:rsid w:val="276A4475"/>
    <w:rsid w:val="279910F5"/>
    <w:rsid w:val="27AF5CD5"/>
    <w:rsid w:val="2841669A"/>
    <w:rsid w:val="288E00C9"/>
    <w:rsid w:val="29996C84"/>
    <w:rsid w:val="29BA4C02"/>
    <w:rsid w:val="2AD2721F"/>
    <w:rsid w:val="2ADA7E75"/>
    <w:rsid w:val="2B1315C3"/>
    <w:rsid w:val="2B456680"/>
    <w:rsid w:val="2B4B0515"/>
    <w:rsid w:val="2B544E18"/>
    <w:rsid w:val="2B8962B3"/>
    <w:rsid w:val="2C892158"/>
    <w:rsid w:val="2C8D0211"/>
    <w:rsid w:val="2D557C0A"/>
    <w:rsid w:val="2D7B4196"/>
    <w:rsid w:val="2D904132"/>
    <w:rsid w:val="2DC378EB"/>
    <w:rsid w:val="2EA928F3"/>
    <w:rsid w:val="2EE66870"/>
    <w:rsid w:val="2F2C3D17"/>
    <w:rsid w:val="30D639A2"/>
    <w:rsid w:val="31233FA3"/>
    <w:rsid w:val="3146560A"/>
    <w:rsid w:val="31951DA5"/>
    <w:rsid w:val="31B934DF"/>
    <w:rsid w:val="32180206"/>
    <w:rsid w:val="321D1044"/>
    <w:rsid w:val="32575DCB"/>
    <w:rsid w:val="32C24615"/>
    <w:rsid w:val="33C341A1"/>
    <w:rsid w:val="368E5D31"/>
    <w:rsid w:val="3695083C"/>
    <w:rsid w:val="37053027"/>
    <w:rsid w:val="372E2ACC"/>
    <w:rsid w:val="37F30DCD"/>
    <w:rsid w:val="38204157"/>
    <w:rsid w:val="382D3CFA"/>
    <w:rsid w:val="38574B01"/>
    <w:rsid w:val="38A30A45"/>
    <w:rsid w:val="38FA4C88"/>
    <w:rsid w:val="391334D5"/>
    <w:rsid w:val="39B45A17"/>
    <w:rsid w:val="3A8E2309"/>
    <w:rsid w:val="3A910DE2"/>
    <w:rsid w:val="3AF166D3"/>
    <w:rsid w:val="3B5F39DA"/>
    <w:rsid w:val="3B761E95"/>
    <w:rsid w:val="3BB865B6"/>
    <w:rsid w:val="3C41411D"/>
    <w:rsid w:val="3C575DCE"/>
    <w:rsid w:val="3CA04BCE"/>
    <w:rsid w:val="3D404529"/>
    <w:rsid w:val="3DEF5E87"/>
    <w:rsid w:val="3DF72ABE"/>
    <w:rsid w:val="3DF95994"/>
    <w:rsid w:val="3DFB41C0"/>
    <w:rsid w:val="3E7E3EC9"/>
    <w:rsid w:val="3EA97DE1"/>
    <w:rsid w:val="40322CEE"/>
    <w:rsid w:val="40BA02A1"/>
    <w:rsid w:val="40EF55BB"/>
    <w:rsid w:val="416E2799"/>
    <w:rsid w:val="435F4D73"/>
    <w:rsid w:val="43882A36"/>
    <w:rsid w:val="44412E25"/>
    <w:rsid w:val="446612A5"/>
    <w:rsid w:val="44740206"/>
    <w:rsid w:val="44D02BC2"/>
    <w:rsid w:val="44DF0306"/>
    <w:rsid w:val="45E85CE9"/>
    <w:rsid w:val="469E5F9A"/>
    <w:rsid w:val="46B953FA"/>
    <w:rsid w:val="47257F1F"/>
    <w:rsid w:val="475D779D"/>
    <w:rsid w:val="482A673E"/>
    <w:rsid w:val="483F758D"/>
    <w:rsid w:val="484F32FA"/>
    <w:rsid w:val="48EE631A"/>
    <w:rsid w:val="496D0A7B"/>
    <w:rsid w:val="497C50C6"/>
    <w:rsid w:val="49D91BD0"/>
    <w:rsid w:val="4A2A2C06"/>
    <w:rsid w:val="4A771A20"/>
    <w:rsid w:val="4BF321DD"/>
    <w:rsid w:val="4CD37052"/>
    <w:rsid w:val="4D0553D8"/>
    <w:rsid w:val="4D9C40FC"/>
    <w:rsid w:val="4DCE1C69"/>
    <w:rsid w:val="4E4C537D"/>
    <w:rsid w:val="4EBC35DA"/>
    <w:rsid w:val="4F744F76"/>
    <w:rsid w:val="4FB90FAB"/>
    <w:rsid w:val="4FCE46BD"/>
    <w:rsid w:val="500408E9"/>
    <w:rsid w:val="505F72FC"/>
    <w:rsid w:val="50D9708A"/>
    <w:rsid w:val="50FF6746"/>
    <w:rsid w:val="51174275"/>
    <w:rsid w:val="51361FFF"/>
    <w:rsid w:val="51776523"/>
    <w:rsid w:val="52546BE0"/>
    <w:rsid w:val="52844E28"/>
    <w:rsid w:val="52D437F7"/>
    <w:rsid w:val="53C3167B"/>
    <w:rsid w:val="547C3048"/>
    <w:rsid w:val="54F5564F"/>
    <w:rsid w:val="55F34962"/>
    <w:rsid w:val="569749A8"/>
    <w:rsid w:val="56DA2487"/>
    <w:rsid w:val="578C1AE9"/>
    <w:rsid w:val="57A25895"/>
    <w:rsid w:val="57FD034E"/>
    <w:rsid w:val="582E6D3D"/>
    <w:rsid w:val="58E43D7E"/>
    <w:rsid w:val="59090D3D"/>
    <w:rsid w:val="5A865DA5"/>
    <w:rsid w:val="5B357655"/>
    <w:rsid w:val="5C1B076F"/>
    <w:rsid w:val="5C643EC4"/>
    <w:rsid w:val="5CBA52BB"/>
    <w:rsid w:val="5D427595"/>
    <w:rsid w:val="5D6567A1"/>
    <w:rsid w:val="5E922FD2"/>
    <w:rsid w:val="5E9A5FBC"/>
    <w:rsid w:val="5EBE055F"/>
    <w:rsid w:val="5F2169C0"/>
    <w:rsid w:val="5FB051F9"/>
    <w:rsid w:val="5FC560D1"/>
    <w:rsid w:val="602F6291"/>
    <w:rsid w:val="60F26D4E"/>
    <w:rsid w:val="613D6E5B"/>
    <w:rsid w:val="61A91CEE"/>
    <w:rsid w:val="61AA3AFE"/>
    <w:rsid w:val="61DE449B"/>
    <w:rsid w:val="61F03FC3"/>
    <w:rsid w:val="622B6FB3"/>
    <w:rsid w:val="62E42DEA"/>
    <w:rsid w:val="62ED0849"/>
    <w:rsid w:val="63205CBD"/>
    <w:rsid w:val="635A1B7D"/>
    <w:rsid w:val="63A606C9"/>
    <w:rsid w:val="63B20EAB"/>
    <w:rsid w:val="649D6E18"/>
    <w:rsid w:val="652848D9"/>
    <w:rsid w:val="659E3B3C"/>
    <w:rsid w:val="65B8187B"/>
    <w:rsid w:val="66050FA4"/>
    <w:rsid w:val="66590CC0"/>
    <w:rsid w:val="667D2C04"/>
    <w:rsid w:val="66FA55D7"/>
    <w:rsid w:val="670E1A3D"/>
    <w:rsid w:val="675053A8"/>
    <w:rsid w:val="67BA53FD"/>
    <w:rsid w:val="6902373F"/>
    <w:rsid w:val="69BF5BAB"/>
    <w:rsid w:val="69CC69AB"/>
    <w:rsid w:val="6A6E05C9"/>
    <w:rsid w:val="6B984DC0"/>
    <w:rsid w:val="6C8A4229"/>
    <w:rsid w:val="6CD644B5"/>
    <w:rsid w:val="6DC40598"/>
    <w:rsid w:val="6DCF7476"/>
    <w:rsid w:val="6E16447B"/>
    <w:rsid w:val="6E2E3854"/>
    <w:rsid w:val="6E6E2980"/>
    <w:rsid w:val="6F362532"/>
    <w:rsid w:val="6F512C4A"/>
    <w:rsid w:val="6F7A2574"/>
    <w:rsid w:val="70587444"/>
    <w:rsid w:val="705C5B1F"/>
    <w:rsid w:val="70F63278"/>
    <w:rsid w:val="714C335C"/>
    <w:rsid w:val="72A24D76"/>
    <w:rsid w:val="73272FB1"/>
    <w:rsid w:val="73D86E38"/>
    <w:rsid w:val="74096589"/>
    <w:rsid w:val="7436188B"/>
    <w:rsid w:val="74AD702A"/>
    <w:rsid w:val="757F6BF6"/>
    <w:rsid w:val="75B43197"/>
    <w:rsid w:val="75C630A2"/>
    <w:rsid w:val="76074510"/>
    <w:rsid w:val="761756AB"/>
    <w:rsid w:val="779B3205"/>
    <w:rsid w:val="788F6B7A"/>
    <w:rsid w:val="79A710C6"/>
    <w:rsid w:val="79C93266"/>
    <w:rsid w:val="79E32474"/>
    <w:rsid w:val="7BAC2D3A"/>
    <w:rsid w:val="7BDA78A7"/>
    <w:rsid w:val="7C627B76"/>
    <w:rsid w:val="7CCD0BB1"/>
    <w:rsid w:val="7CD831CE"/>
    <w:rsid w:val="7D49650B"/>
    <w:rsid w:val="7D5D4141"/>
    <w:rsid w:val="7D997846"/>
    <w:rsid w:val="7DC73A3A"/>
    <w:rsid w:val="7DFF2C39"/>
    <w:rsid w:val="7E7E4724"/>
    <w:rsid w:val="7EA85A3A"/>
    <w:rsid w:val="7EF01004"/>
    <w:rsid w:val="7F987016"/>
    <w:rsid w:val="84DBDC6E"/>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firstLine="482"/>
      <w:jc w:val="center"/>
      <w:outlineLvl w:val="0"/>
    </w:pPr>
    <w:rPr>
      <w:b/>
      <w:bCs/>
      <w:kern w:val="44"/>
      <w:sz w:val="44"/>
      <w:szCs w:val="44"/>
    </w:rPr>
  </w:style>
  <w:style w:type="paragraph" w:styleId="2">
    <w:name w:val="heading 2"/>
    <w:basedOn w:val="1"/>
    <w:next w:val="1"/>
    <w:qFormat/>
    <w:uiPriority w:val="9"/>
    <w:pPr>
      <w:keepNext/>
      <w:keepLines/>
      <w:tabs>
        <w:tab w:val="left" w:pos="432"/>
      </w:tabs>
      <w:spacing w:line="360" w:lineRule="auto"/>
      <w:ind w:left="432" w:hanging="432"/>
      <w:jc w:val="left"/>
      <w:outlineLvl w:val="1"/>
    </w:pPr>
    <w:rPr>
      <w:rFonts w:ascii="宋体" w:hAnsi="宋体" w:cs="宋体"/>
      <w:b/>
      <w:bCs/>
      <w:sz w:val="24"/>
      <w:szCs w:val="32"/>
      <w:lang w:val="zh-CN"/>
    </w:rPr>
  </w:style>
  <w:style w:type="paragraph" w:styleId="4">
    <w:name w:val="heading 3"/>
    <w:basedOn w:val="1"/>
    <w:next w:val="1"/>
    <w:qFormat/>
    <w:uiPriority w:val="0"/>
    <w:pPr>
      <w:keepNext/>
      <w:tabs>
        <w:tab w:val="left" w:pos="900"/>
      </w:tabs>
      <w:snapToGrid w:val="0"/>
      <w:spacing w:before="260" w:after="260" w:line="416" w:lineRule="auto"/>
      <w:outlineLvl w:val="2"/>
    </w:pPr>
    <w:rPr>
      <w:rFonts w:cs="仿宋" w:asciiTheme="minorEastAsia" w:hAnsiTheme="minorEastAsia" w:eastAsiaTheme="minorEastAsia"/>
      <w:b/>
      <w:sz w:val="24"/>
      <w:szCs w:val="24"/>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semiHidden/>
    <w:unhideWhenUsed/>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cs="Times New Roman"/>
      <w:snapToGrid/>
      <w:szCs w:val="20"/>
    </w:rPr>
  </w:style>
  <w:style w:type="paragraph" w:styleId="10">
    <w:name w:val="Body Text Indent"/>
    <w:basedOn w:val="1"/>
    <w:next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Balloon Text"/>
    <w:basedOn w:val="1"/>
    <w:link w:val="31"/>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rPr>
      <w:rFonts w:ascii="楷体_GB2312" w:eastAsia="黑体"/>
      <w:b/>
      <w:sz w:val="52"/>
      <w:szCs w:val="52"/>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styleId="23">
    <w:name w:val="annotation reference"/>
    <w:qFormat/>
    <w:uiPriority w:val="0"/>
    <w:rPr>
      <w:sz w:val="21"/>
      <w:szCs w:val="21"/>
    </w:rPr>
  </w:style>
  <w:style w:type="paragraph" w:customStyle="1" w:styleId="24">
    <w:name w:val="正文空2字"/>
    <w:basedOn w:val="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5">
    <w:name w:val="左对齐正文"/>
    <w:qFormat/>
    <w:uiPriority w:val="99"/>
    <w:rPr>
      <w:rFonts w:ascii="Calibri" w:hAnsi="Calibri" w:eastAsia="仿宋_GB2312" w:cs="Calibri"/>
      <w:kern w:val="2"/>
      <w:sz w:val="32"/>
      <w:szCs w:val="32"/>
      <w:lang w:val="en-US" w:eastAsia="zh-CN" w:bidi="ar-SA"/>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Body Text First Indent1"/>
    <w:basedOn w:val="8"/>
    <w:qFormat/>
    <w:uiPriority w:val="0"/>
    <w:pPr>
      <w:tabs>
        <w:tab w:val="left" w:pos="1275"/>
      </w:tabs>
      <w:ind w:firstLine="420" w:firstLineChars="100"/>
    </w:pPr>
  </w:style>
  <w:style w:type="paragraph" w:customStyle="1" w:styleId="28">
    <w:name w:val="表格文字"/>
    <w:basedOn w:val="1"/>
    <w:next w:val="8"/>
    <w:qFormat/>
    <w:uiPriority w:val="0"/>
    <w:pPr>
      <w:adjustRightInd w:val="0"/>
      <w:spacing w:line="420" w:lineRule="atLeast"/>
      <w:textAlignment w:val="baseline"/>
    </w:pPr>
  </w:style>
  <w:style w:type="paragraph" w:customStyle="1" w:styleId="29">
    <w:name w:val="Default"/>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1">
    <w:name w:val="批注框文本 字符"/>
    <w:link w:val="12"/>
    <w:semiHidden/>
    <w:qFormat/>
    <w:uiPriority w:val="99"/>
    <w:rPr>
      <w:sz w:val="18"/>
      <w:szCs w:val="18"/>
    </w:rPr>
  </w:style>
  <w:style w:type="character" w:customStyle="1" w:styleId="32">
    <w:name w:val="页脚 字符"/>
    <w:link w:val="13"/>
    <w:qFormat/>
    <w:uiPriority w:val="99"/>
    <w:rPr>
      <w:kern w:val="2"/>
      <w:sz w:val="18"/>
      <w:szCs w:val="18"/>
    </w:rPr>
  </w:style>
  <w:style w:type="character" w:customStyle="1" w:styleId="33">
    <w:name w:val="页眉 字符"/>
    <w:link w:val="14"/>
    <w:qFormat/>
    <w:uiPriority w:val="99"/>
    <w:rPr>
      <w:kern w:val="2"/>
      <w:sz w:val="18"/>
      <w:szCs w:val="18"/>
    </w:rPr>
  </w:style>
  <w:style w:type="paragraph" w:customStyle="1" w:styleId="34">
    <w:name w:val="正文文字"/>
    <w:basedOn w:val="1"/>
    <w:qFormat/>
    <w:uiPriority w:val="0"/>
    <w:pPr>
      <w:widowControl/>
      <w:spacing w:line="952" w:lineRule="atLeast"/>
      <w:ind w:firstLine="419"/>
      <w:textAlignment w:val="baseline"/>
    </w:pPr>
    <w:rPr>
      <w:b/>
      <w:color w:val="000000"/>
      <w:sz w:val="44"/>
    </w:rPr>
  </w:style>
  <w:style w:type="paragraph" w:customStyle="1" w:styleId="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
    <w:name w:val="索引 11"/>
    <w:basedOn w:val="1"/>
    <w:next w:val="1"/>
    <w:qFormat/>
    <w:uiPriority w:val="99"/>
    <w:pPr>
      <w:spacing w:line="360" w:lineRule="auto"/>
    </w:pPr>
    <w:rPr>
      <w:rFonts w:ascii="仿宋_GB2312" w:eastAsia="仿宋_GB2312"/>
      <w:sz w:val="24"/>
      <w:szCs w:val="20"/>
    </w:rPr>
  </w:style>
  <w:style w:type="paragraph" w:customStyle="1" w:styleId="41">
    <w:name w:val="纯文本1"/>
    <w:basedOn w:val="1"/>
    <w:qFormat/>
    <w:uiPriority w:val="0"/>
    <w:rPr>
      <w:rFonts w:ascii="宋体" w:hAnsi="Courier New"/>
      <w:kern w:val="0"/>
      <w:sz w:val="20"/>
      <w:szCs w:val="20"/>
    </w:rPr>
  </w:style>
  <w:style w:type="paragraph" w:customStyle="1" w:styleId="42">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纯文本_0_0"/>
    <w:basedOn w:val="44"/>
    <w:qFormat/>
    <w:uiPriority w:val="0"/>
    <w:rPr>
      <w:rFonts w:ascii="宋体" w:hAnsi="Courier New"/>
      <w:szCs w:val="21"/>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pPr>
      <w:jc w:val="left"/>
    </w:pPr>
    <w:rPr>
      <w:kern w:val="0"/>
      <w:sz w:val="22"/>
      <w:lang w:eastAsia="en-US"/>
    </w:rPr>
  </w:style>
  <w:style w:type="paragraph" w:customStyle="1" w:styleId="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7">
    <w:name w:val="font01"/>
    <w:basedOn w:val="19"/>
    <w:qFormat/>
    <w:uiPriority w:val="0"/>
    <w:rPr>
      <w:rFonts w:hint="eastAsia" w:ascii="仿宋" w:hAnsi="仿宋" w:eastAsia="仿宋" w:cs="仿宋"/>
      <w:color w:val="C00000"/>
      <w:sz w:val="24"/>
      <w:szCs w:val="24"/>
      <w:u w:val="none"/>
    </w:rPr>
  </w:style>
  <w:style w:type="paragraph" w:customStyle="1" w:styleId="48">
    <w:name w:val="p0"/>
    <w:basedOn w:val="1"/>
    <w:unhideWhenUsed/>
    <w:qFormat/>
    <w:uiPriority w:val="0"/>
    <w:pPr>
      <w:widowControl/>
      <w:autoSpaceDE w:val="0"/>
      <w:autoSpaceDN w:val="0"/>
      <w:adjustRightInd w:val="0"/>
      <w:textAlignment w:val="baseline"/>
    </w:pPr>
    <w:rPr>
      <w:rFonts w:hint="eastAsia" w:ascii="Times New Roman" w:hAnsi="Times New Roman"/>
      <w:kern w:val="0"/>
      <w:sz w:val="24"/>
      <w:szCs w:val="20"/>
    </w:rPr>
  </w:style>
  <w:style w:type="paragraph" w:customStyle="1" w:styleId="49">
    <w:name w:val="表"/>
    <w:qFormat/>
    <w:uiPriority w:val="0"/>
    <w:pPr>
      <w:jc w:val="center"/>
    </w:pPr>
    <w:rPr>
      <w:rFonts w:ascii="Times New Roman" w:hAnsi="Times New Roman" w:eastAsia="微软雅黑" w:cs="Times New Roman"/>
      <w:sz w:val="16"/>
      <w:szCs w:val="21"/>
      <w:lang w:val="en-US" w:eastAsia="zh-CN" w:bidi="ar-SA"/>
    </w:rPr>
  </w:style>
  <w:style w:type="paragraph" w:customStyle="1" w:styleId="50">
    <w:name w:val="表3"/>
    <w:basedOn w:val="1"/>
    <w:qFormat/>
    <w:uiPriority w:val="99"/>
    <w:pPr>
      <w:jc w:val="center"/>
    </w:pPr>
    <w:rPr>
      <w:rFonts w:ascii="宋体" w:hAnsi="宋体"/>
      <w:b/>
      <w:bCs/>
      <w:sz w:val="28"/>
      <w:szCs w:val="20"/>
    </w:rPr>
  </w:style>
  <w:style w:type="paragraph" w:customStyle="1" w:styleId="51">
    <w:name w:val="修订1"/>
    <w:hidden/>
    <w:unhideWhenUsed/>
    <w:qFormat/>
    <w:uiPriority w:val="99"/>
    <w:rPr>
      <w:rFonts w:ascii="Calibri" w:hAnsi="Calibri" w:eastAsia="宋体" w:cs="Times New Roman"/>
      <w:kern w:val="2"/>
      <w:sz w:val="21"/>
      <w:szCs w:val="22"/>
      <w:lang w:val="en-US" w:eastAsia="zh-CN" w:bidi="ar-SA"/>
    </w:rPr>
  </w:style>
  <w:style w:type="paragraph" w:customStyle="1" w:styleId="52">
    <w:name w:val="修订2"/>
    <w:hidden/>
    <w:unhideWhenUsed/>
    <w:qFormat/>
    <w:uiPriority w:val="99"/>
    <w:rPr>
      <w:rFonts w:ascii="Calibri" w:hAnsi="Calibri" w:eastAsia="宋体" w:cs="Times New Roman"/>
      <w:kern w:val="2"/>
      <w:sz w:val="21"/>
      <w:szCs w:val="22"/>
      <w:lang w:val="en-US" w:eastAsia="zh-CN" w:bidi="ar-SA"/>
    </w:rPr>
  </w:style>
  <w:style w:type="paragraph" w:styleId="53">
    <w:name w:val="List Paragraph"/>
    <w:basedOn w:val="1"/>
    <w:qFormat/>
    <w:uiPriority w:val="34"/>
    <w:pPr>
      <w:spacing w:line="360" w:lineRule="auto"/>
      <w:ind w:firstLine="200" w:firstLineChars="200"/>
    </w:pPr>
    <w:rPr>
      <w:rFonts w:eastAsia="楷体_GB2312" w:cs="Lucida Sans"/>
      <w:sz w:val="24"/>
    </w:rPr>
  </w:style>
  <w:style w:type="paragraph" w:customStyle="1" w:styleId="54">
    <w:name w:val="内容文本"/>
    <w:basedOn w:val="1"/>
    <w:qFormat/>
    <w:uiPriority w:val="0"/>
    <w:pPr>
      <w:spacing w:line="360" w:lineRule="auto"/>
      <w:ind w:firstLine="200" w:firstLineChars="200"/>
      <w:contextualSpacing/>
    </w:pPr>
    <w:rPr>
      <w:rFonts w:ascii="宋体" w:hAnsi="宋体"/>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11170</Words>
  <Characters>12216</Characters>
  <Lines>655</Lines>
  <Paragraphs>184</Paragraphs>
  <TotalTime>25</TotalTime>
  <ScaleCrop>false</ScaleCrop>
  <LinksUpToDate>false</LinksUpToDate>
  <CharactersWithSpaces>12667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2013-06-15T17:40:00Z</dcterms:created>
  <dc:creator>NTKO</dc:creator>
  <cp:lastModifiedBy>呱呱</cp:lastModifiedBy>
  <cp:lastPrinted>2024-10-21T09:06:00Z</cp:lastPrinted>
  <dcterms:modified xsi:type="dcterms:W3CDTF">2025-02-21T06:33:35Z</dcterms:modified>
  <dc:title>市建委2024年信息化运维项目</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9E7954A8FC114F188BC06D5809271A4D_13</vt:lpwstr>
  </property>
  <property fmtid="{D5CDD505-2E9C-101B-9397-08002B2CF9AE}" pid="4" name="KSOTemplateDocerSaveRecord">
    <vt:lpwstr>eyJoZGlkIjoiZmM1NGQ3ZDIwMzgyZTI3MDhlYjI2M2RlN2Q5M2I4YTUiLCJ1c2VySWQiOiI0NDg3MDg0OTkifQ==</vt:lpwstr>
  </property>
</Properties>
</file>