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pacing w:val="100"/>
          <w:sz w:val="84"/>
          <w:szCs w:val="84"/>
          <w:highlight w:val="none"/>
          <w:lang w:eastAsia="zh-CN"/>
        </w:rPr>
      </w:pPr>
      <w:bookmarkStart w:id="101" w:name="_GoBack"/>
    </w:p>
    <w:p>
      <w:pPr>
        <w:jc w:val="center"/>
        <w:rPr>
          <w:rFonts w:hint="eastAsia" w:ascii="宋体" w:hAnsi="宋体" w:eastAsia="宋体" w:cs="宋体"/>
          <w:b/>
          <w:bCs/>
          <w:color w:val="auto"/>
          <w:spacing w:val="100"/>
          <w:sz w:val="72"/>
          <w:szCs w:val="72"/>
          <w:highlight w:val="none"/>
        </w:rPr>
      </w:pPr>
      <w:r>
        <w:rPr>
          <w:rFonts w:hint="eastAsia" w:ascii="宋体" w:hAnsi="宋体" w:eastAsia="宋体" w:cs="宋体"/>
          <w:b/>
          <w:bCs/>
          <w:color w:val="auto"/>
          <w:spacing w:val="100"/>
          <w:sz w:val="72"/>
          <w:szCs w:val="72"/>
          <w:highlight w:val="none"/>
          <w:lang w:val="en-US" w:eastAsia="zh-CN"/>
        </w:rPr>
        <w:t>龙湾区</w:t>
      </w:r>
      <w:r>
        <w:rPr>
          <w:rFonts w:hint="eastAsia" w:ascii="宋体" w:hAnsi="宋体" w:eastAsia="宋体" w:cs="宋体"/>
          <w:b/>
          <w:bCs/>
          <w:color w:val="auto"/>
          <w:spacing w:val="100"/>
          <w:sz w:val="72"/>
          <w:szCs w:val="72"/>
          <w:highlight w:val="none"/>
        </w:rPr>
        <w:t>政府分散采购</w:t>
      </w:r>
    </w:p>
    <w:p>
      <w:pPr>
        <w:jc w:val="center"/>
        <w:rPr>
          <w:rFonts w:hint="eastAsia" w:ascii="宋体" w:hAnsi="宋体" w:eastAsia="宋体" w:cs="宋体"/>
          <w:b/>
          <w:bCs/>
          <w:color w:val="auto"/>
          <w:spacing w:val="26"/>
          <w:sz w:val="52"/>
          <w:highlight w:val="none"/>
        </w:rPr>
      </w:pPr>
    </w:p>
    <w:p>
      <w:pPr>
        <w:jc w:val="center"/>
        <w:rPr>
          <w:rFonts w:hint="eastAsia" w:ascii="宋体" w:hAnsi="宋体" w:eastAsia="宋体" w:cs="宋体"/>
          <w:b/>
          <w:bCs/>
          <w:color w:val="auto"/>
          <w:spacing w:val="140"/>
          <w:sz w:val="72"/>
          <w:highlight w:val="none"/>
        </w:rPr>
      </w:pPr>
    </w:p>
    <w:p>
      <w:pPr>
        <w:spacing w:line="360" w:lineRule="auto"/>
        <w:jc w:val="center"/>
        <w:rPr>
          <w:rFonts w:hint="eastAsia" w:ascii="宋体" w:hAnsi="宋体" w:eastAsia="宋体" w:cs="宋体"/>
          <w:b/>
          <w:bCs/>
          <w:color w:val="auto"/>
          <w:spacing w:val="140"/>
          <w:sz w:val="84"/>
          <w:szCs w:val="84"/>
          <w:highlight w:val="none"/>
        </w:rPr>
      </w:pPr>
      <w:r>
        <w:rPr>
          <w:rFonts w:hint="eastAsia" w:ascii="宋体" w:hAnsi="宋体" w:eastAsia="宋体" w:cs="宋体"/>
          <w:b/>
          <w:bCs/>
          <w:color w:val="auto"/>
          <w:spacing w:val="140"/>
          <w:sz w:val="44"/>
          <w:szCs w:val="44"/>
          <w:highlight w:val="none"/>
        </w:rPr>
        <w:t>竞争性磋商文件</w:t>
      </w:r>
    </w:p>
    <w:p>
      <w:pPr>
        <w:spacing w:line="400" w:lineRule="exact"/>
        <w:jc w:val="center"/>
        <w:rPr>
          <w:rFonts w:hint="eastAsia" w:ascii="宋体" w:hAnsi="宋体" w:eastAsia="宋体" w:cs="宋体"/>
          <w:b/>
          <w:bCs/>
          <w:color w:val="auto"/>
          <w:sz w:val="32"/>
          <w:szCs w:val="32"/>
          <w:highlight w:val="none"/>
        </w:rPr>
      </w:pPr>
    </w:p>
    <w:p>
      <w:pPr>
        <w:jc w:val="center"/>
        <w:rPr>
          <w:rFonts w:hint="eastAsia" w:ascii="宋体" w:hAnsi="宋体" w:eastAsia="宋体" w:cs="宋体"/>
          <w:color w:val="auto"/>
          <w:spacing w:val="40"/>
          <w:sz w:val="30"/>
          <w:szCs w:val="30"/>
          <w:highlight w:val="none"/>
        </w:rPr>
      </w:pPr>
    </w:p>
    <w:p>
      <w:pPr>
        <w:jc w:val="center"/>
        <w:rPr>
          <w:rFonts w:hint="eastAsia" w:ascii="宋体" w:hAnsi="宋体" w:eastAsia="宋体" w:cs="宋体"/>
          <w:color w:val="auto"/>
          <w:spacing w:val="40"/>
          <w:sz w:val="30"/>
          <w:szCs w:val="30"/>
          <w:highlight w:val="none"/>
        </w:rPr>
      </w:pPr>
    </w:p>
    <w:p>
      <w:pPr>
        <w:jc w:val="center"/>
        <w:rPr>
          <w:rFonts w:hint="eastAsia" w:ascii="宋体" w:hAnsi="宋体" w:eastAsia="宋体" w:cs="宋体"/>
          <w:color w:val="auto"/>
          <w:spacing w:val="40"/>
          <w:sz w:val="30"/>
          <w:szCs w:val="30"/>
          <w:highlight w:val="none"/>
        </w:rPr>
      </w:pPr>
    </w:p>
    <w:tbl>
      <w:tblPr>
        <w:tblStyle w:val="54"/>
        <w:tblW w:w="7426" w:type="dxa"/>
        <w:jc w:val="center"/>
        <w:tblLayout w:type="fixed"/>
        <w:tblCellMar>
          <w:top w:w="0" w:type="dxa"/>
          <w:left w:w="108" w:type="dxa"/>
          <w:bottom w:w="0" w:type="dxa"/>
          <w:right w:w="108" w:type="dxa"/>
        </w:tblCellMar>
      </w:tblPr>
      <w:tblGrid>
        <w:gridCol w:w="1559"/>
        <w:gridCol w:w="5867"/>
      </w:tblGrid>
      <w:tr>
        <w:tblPrEx>
          <w:tblCellMar>
            <w:top w:w="0" w:type="dxa"/>
            <w:left w:w="108" w:type="dxa"/>
            <w:bottom w:w="0" w:type="dxa"/>
            <w:right w:w="108" w:type="dxa"/>
          </w:tblCellMar>
        </w:tblPrEx>
        <w:trPr>
          <w:trHeight w:val="1089" w:hRule="atLeast"/>
          <w:jc w:val="center"/>
        </w:trPr>
        <w:tc>
          <w:tcPr>
            <w:tcW w:w="1559"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tc>
        <w:tc>
          <w:tcPr>
            <w:tcW w:w="5867"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DLDL2024215</w:t>
            </w:r>
          </w:p>
        </w:tc>
      </w:tr>
      <w:tr>
        <w:trPr>
          <w:trHeight w:val="1089" w:hRule="atLeast"/>
          <w:jc w:val="center"/>
        </w:trPr>
        <w:tc>
          <w:tcPr>
            <w:tcW w:w="1559"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p>
        </w:tc>
        <w:tc>
          <w:tcPr>
            <w:tcW w:w="5867"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龙湾区国民经济和社会发展十五五规划基本思路编制</w:t>
            </w:r>
          </w:p>
        </w:tc>
      </w:tr>
      <w:tr>
        <w:tblPrEx>
          <w:tblCellMar>
            <w:top w:w="0" w:type="dxa"/>
            <w:left w:w="108" w:type="dxa"/>
            <w:bottom w:w="0" w:type="dxa"/>
            <w:right w:w="108" w:type="dxa"/>
          </w:tblCellMar>
        </w:tblPrEx>
        <w:trPr>
          <w:trHeight w:val="1089" w:hRule="atLeast"/>
          <w:jc w:val="center"/>
        </w:trPr>
        <w:tc>
          <w:tcPr>
            <w:tcW w:w="1559"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采购方式：</w:t>
            </w:r>
          </w:p>
        </w:tc>
        <w:tc>
          <w:tcPr>
            <w:tcW w:w="5867"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竞争性磋商</w:t>
            </w:r>
          </w:p>
        </w:tc>
      </w:tr>
    </w:tbl>
    <w:p>
      <w:pPr>
        <w:spacing w:line="480" w:lineRule="auto"/>
        <w:ind w:firstLine="744" w:firstLineChars="247"/>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 xml:space="preserve"> </w:t>
      </w:r>
    </w:p>
    <w:p>
      <w:pPr>
        <w:pStyle w:val="3"/>
        <w:rPr>
          <w:rFonts w:hint="eastAsia"/>
          <w:color w:val="auto"/>
          <w:highlight w:val="none"/>
          <w:lang w:eastAsia="zh-CN"/>
        </w:rPr>
      </w:pPr>
    </w:p>
    <w:p>
      <w:pPr>
        <w:pStyle w:val="3"/>
        <w:rPr>
          <w:rFonts w:hint="eastAsia" w:ascii="宋体" w:hAnsi="宋体" w:eastAsia="宋体" w:cs="宋体"/>
          <w:color w:val="auto"/>
          <w:highlight w:val="none"/>
        </w:rPr>
      </w:pPr>
    </w:p>
    <w:p>
      <w:pPr>
        <w:spacing w:line="480" w:lineRule="auto"/>
        <w:ind w:firstLine="1205" w:firstLineChars="4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   购   人：</w:t>
      </w:r>
      <w:r>
        <w:rPr>
          <w:rFonts w:hint="eastAsia" w:ascii="宋体" w:hAnsi="宋体" w:cs="宋体"/>
          <w:b/>
          <w:color w:val="auto"/>
          <w:sz w:val="30"/>
          <w:szCs w:val="30"/>
          <w:highlight w:val="none"/>
          <w:lang w:eastAsia="zh-CN"/>
        </w:rPr>
        <w:t>温州市龙湾区发展和改革局</w:t>
      </w:r>
    </w:p>
    <w:p>
      <w:pPr>
        <w:spacing w:line="480" w:lineRule="auto"/>
        <w:ind w:firstLine="1205" w:firstLineChars="400"/>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采购代理机构：</w:t>
      </w:r>
      <w:r>
        <w:rPr>
          <w:rFonts w:hint="eastAsia" w:ascii="宋体" w:hAnsi="宋体" w:cs="宋体"/>
          <w:b/>
          <w:color w:val="auto"/>
          <w:sz w:val="30"/>
          <w:szCs w:val="30"/>
          <w:highlight w:val="none"/>
          <w:lang w:eastAsia="zh-CN"/>
        </w:rPr>
        <w:t>浙江鼎力工程项目管理有限公司</w:t>
      </w:r>
    </w:p>
    <w:p>
      <w:pPr>
        <w:spacing w:line="600" w:lineRule="exact"/>
        <w:ind w:firstLine="3012" w:firstLineChars="1000"/>
        <w:jc w:val="both"/>
        <w:rPr>
          <w:rFonts w:hint="eastAsia" w:ascii="宋体" w:hAnsi="宋体" w:eastAsia="宋体" w:cs="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7" w:header="851" w:footer="992" w:gutter="0"/>
          <w:pgNumType w:start="0"/>
          <w:cols w:space="720" w:num="1"/>
          <w:titlePg/>
          <w:docGrid w:linePitch="312" w:charSpace="0"/>
        </w:sectPr>
      </w:pPr>
      <w:r>
        <w:rPr>
          <w:rFonts w:hint="eastAsia" w:ascii="宋体" w:hAnsi="宋体" w:eastAsia="宋体" w:cs="宋体"/>
          <w:b/>
          <w:color w:val="auto"/>
          <w:sz w:val="30"/>
          <w:szCs w:val="30"/>
          <w:highlight w:val="none"/>
        </w:rPr>
        <w:t>二○二</w:t>
      </w: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十</w:t>
      </w:r>
      <w:r>
        <w:rPr>
          <w:rFonts w:hint="eastAsia" w:ascii="宋体"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月</w:t>
      </w:r>
    </w:p>
    <w:p>
      <w:pPr>
        <w:rPr>
          <w:rFonts w:hint="eastAsia" w:ascii="宋体" w:hAnsi="宋体" w:eastAsia="宋体" w:cs="宋体"/>
          <w:b/>
          <w:bCs/>
          <w:color w:val="auto"/>
          <w:szCs w:val="21"/>
          <w:highlight w:val="none"/>
        </w:rPr>
      </w:pPr>
    </w:p>
    <w:p>
      <w:pPr>
        <w:spacing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pPr>
        <w:spacing w:line="600" w:lineRule="exact"/>
        <w:jc w:val="center"/>
        <w:rPr>
          <w:rFonts w:hint="eastAsia" w:ascii="宋体" w:hAnsi="宋体" w:eastAsia="宋体" w:cs="宋体"/>
          <w:b/>
          <w:bCs/>
          <w:color w:val="auto"/>
          <w:sz w:val="32"/>
          <w:szCs w:val="32"/>
          <w:highlight w:val="none"/>
        </w:rPr>
      </w:pP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ind w:left="821" w:hanging="821"/>
        <w:textAlignment w:val="auto"/>
        <w:rPr>
          <w:rFonts w:hint="eastAsia" w:ascii="宋体" w:hAnsi="宋体" w:eastAsia="宋体" w:cs="宋体"/>
          <w:color w:val="auto"/>
          <w:szCs w:val="22"/>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"1-3" \h \z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"_Toc73917568"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shd w:val="clear" w:color="auto" w:fill="FFFFFF"/>
        </w:rPr>
        <w:t>关于</w:t>
      </w:r>
      <w:r>
        <w:rPr>
          <w:rStyle w:val="65"/>
          <w:rFonts w:hint="eastAsia" w:ascii="宋体" w:hAnsi="宋体" w:eastAsia="宋体" w:cs="宋体"/>
          <w:color w:val="auto"/>
          <w:highlight w:val="none"/>
          <w:shd w:val="clear" w:color="auto" w:fill="FFFFFF"/>
          <w:lang w:eastAsia="zh-CN"/>
        </w:rPr>
        <w:t>龙湾区国民经济和社会发展十五五规划基本思路编制</w:t>
      </w:r>
      <w:r>
        <w:rPr>
          <w:rStyle w:val="65"/>
          <w:rFonts w:hint="eastAsia" w:ascii="宋体" w:hAnsi="宋体" w:eastAsia="宋体" w:cs="宋体"/>
          <w:color w:val="auto"/>
          <w:highlight w:val="none"/>
          <w:shd w:val="clear" w:color="auto" w:fill="FFFFFF"/>
        </w:rPr>
        <w:t>竞争性磋商的公告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"_Toc73917569"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"_Toc73917570"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第一部分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"_Toc73917571" </w:instrText>
      </w:r>
      <w:r>
        <w:rPr>
          <w:rFonts w:hint="eastAsia" w:ascii="宋体" w:hAnsi="宋体" w:eastAsia="宋体" w:cs="宋体"/>
          <w:color w:val="auto"/>
          <w:highlight w:val="none"/>
        </w:rPr>
        <w:fldChar w:fldCharType="separate"/>
      </w:r>
      <w:r>
        <w:rPr>
          <w:rStyle w:val="65"/>
          <w:rFonts w:hint="eastAsia" w:ascii="宋体" w:hAnsi="宋体" w:eastAsia="宋体" w:cs="宋体"/>
          <w:b/>
          <w:bCs/>
          <w:color w:val="auto"/>
          <w:highlight w:val="none"/>
        </w:rPr>
        <w:t>一   说 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"_Toc73917572" </w:instrText>
      </w:r>
      <w:r>
        <w:rPr>
          <w:rFonts w:hint="eastAsia" w:ascii="宋体" w:hAnsi="宋体" w:eastAsia="宋体" w:cs="宋体"/>
          <w:color w:val="auto"/>
          <w:highlight w:val="none"/>
        </w:rPr>
        <w:fldChar w:fldCharType="separate"/>
      </w:r>
      <w:r>
        <w:rPr>
          <w:rStyle w:val="65"/>
          <w:rFonts w:hint="eastAsia" w:ascii="宋体" w:hAnsi="宋体" w:eastAsia="宋体" w:cs="宋体"/>
          <w:b/>
          <w:bCs/>
          <w:color w:val="auto"/>
          <w:highlight w:val="none"/>
        </w:rPr>
        <w:t>二   竞争性磋商文件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"_Toc73917573" </w:instrText>
      </w:r>
      <w:r>
        <w:rPr>
          <w:rFonts w:hint="eastAsia" w:ascii="宋体" w:hAnsi="宋体" w:eastAsia="宋体" w:cs="宋体"/>
          <w:color w:val="auto"/>
          <w:highlight w:val="none"/>
        </w:rPr>
        <w:fldChar w:fldCharType="separate"/>
      </w:r>
      <w:r>
        <w:rPr>
          <w:rStyle w:val="65"/>
          <w:rFonts w:hint="eastAsia" w:ascii="宋体" w:hAnsi="宋体" w:eastAsia="宋体" w:cs="宋体"/>
          <w:b/>
          <w:bCs/>
          <w:color w:val="auto"/>
          <w:highlight w:val="none"/>
        </w:rPr>
        <w:t>三   磋商响应文件的编制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"_Toc73917574" </w:instrText>
      </w:r>
      <w:r>
        <w:rPr>
          <w:rFonts w:hint="eastAsia" w:ascii="宋体" w:hAnsi="宋体" w:eastAsia="宋体" w:cs="宋体"/>
          <w:color w:val="auto"/>
          <w:highlight w:val="none"/>
        </w:rPr>
        <w:fldChar w:fldCharType="separate"/>
      </w:r>
      <w:r>
        <w:rPr>
          <w:rStyle w:val="65"/>
          <w:rFonts w:hint="eastAsia" w:ascii="宋体" w:hAnsi="宋体" w:eastAsia="宋体" w:cs="宋体"/>
          <w:b/>
          <w:bCs/>
          <w:color w:val="auto"/>
          <w:highlight w:val="none"/>
        </w:rPr>
        <w:t>四   磋商响应文件的递交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"_Toc73917575" </w:instrText>
      </w:r>
      <w:r>
        <w:rPr>
          <w:rFonts w:hint="eastAsia" w:ascii="宋体" w:hAnsi="宋体" w:eastAsia="宋体" w:cs="宋体"/>
          <w:color w:val="auto"/>
          <w:highlight w:val="none"/>
        </w:rPr>
        <w:fldChar w:fldCharType="separate"/>
      </w:r>
      <w:r>
        <w:rPr>
          <w:rStyle w:val="65"/>
          <w:rFonts w:hint="eastAsia" w:ascii="宋体" w:hAnsi="宋体" w:eastAsia="宋体" w:cs="宋体"/>
          <w:b/>
          <w:bCs/>
          <w:color w:val="auto"/>
          <w:highlight w:val="none"/>
        </w:rPr>
        <w:t>五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"_Toc73917576" </w:instrText>
      </w:r>
      <w:r>
        <w:rPr>
          <w:rFonts w:hint="eastAsia" w:ascii="宋体" w:hAnsi="宋体" w:eastAsia="宋体" w:cs="宋体"/>
          <w:color w:val="auto"/>
          <w:highlight w:val="none"/>
        </w:rPr>
        <w:fldChar w:fldCharType="separate"/>
      </w:r>
      <w:r>
        <w:rPr>
          <w:rStyle w:val="65"/>
          <w:rFonts w:hint="eastAsia" w:ascii="宋体" w:hAnsi="宋体" w:eastAsia="宋体" w:cs="宋体"/>
          <w:b/>
          <w:bCs/>
          <w:color w:val="auto"/>
          <w:highlight w:val="none"/>
        </w:rPr>
        <w:t>六   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45"/>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"_Toc73917577" </w:instrText>
      </w:r>
      <w:r>
        <w:rPr>
          <w:rFonts w:hint="eastAsia" w:ascii="宋体" w:hAnsi="宋体" w:eastAsia="宋体" w:cs="宋体"/>
          <w:color w:val="auto"/>
          <w:highlight w:val="none"/>
        </w:rPr>
        <w:fldChar w:fldCharType="separate"/>
      </w:r>
      <w:r>
        <w:rPr>
          <w:rStyle w:val="65"/>
          <w:rFonts w:hint="eastAsia" w:ascii="宋体" w:hAnsi="宋体" w:eastAsia="宋体" w:cs="宋体"/>
          <w:b/>
          <w:bCs/>
          <w:color w:val="auto"/>
          <w:highlight w:val="none"/>
        </w:rPr>
        <w:t>七   定标及授予合同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"_Toc73917578"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第二部分   政府采购政策功能相关说明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ind w:left="0"/>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"_Toc73917579"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第三部分   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"_Toc73917580"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第四部分   磋商响应文件格式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"_Toc73917581"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第五部分   采购内容及要求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9"/>
        <w:keepNext w:val="0"/>
        <w:keepLines w:val="0"/>
        <w:pageBreakBefore w:val="0"/>
        <w:widowControl w:val="0"/>
        <w:tabs>
          <w:tab w:val="right" w:leader="dot" w:pos="8947"/>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"_Toc73917582"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第六部分   磋商原则及方法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_Toc73917582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fldChar w:fldCharType="end"/>
      </w:r>
    </w:p>
    <w:p>
      <w:pPr>
        <w:spacing w:line="560" w:lineRule="exact"/>
        <w:ind w:firstLine="856" w:firstLineChars="400"/>
        <w:rPr>
          <w:rFonts w:hint="eastAsia" w:ascii="宋体" w:hAnsi="宋体" w:eastAsia="宋体" w:cs="宋体"/>
          <w:b/>
          <w:bCs/>
          <w:color w:val="auto"/>
          <w:szCs w:val="21"/>
          <w:highlight w:val="none"/>
        </w:rPr>
      </w:pPr>
    </w:p>
    <w:p>
      <w:pPr>
        <w:spacing w:line="360" w:lineRule="auto"/>
        <w:ind w:firstLine="428"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注：竞争性磋商文件中标“▲”且加下划线的为本项目的实质性要求和条件，着重提醒各供应商必须响应。各供应商必须认真阅读和理解竞争性磋商文件中的每一个条款及要求，因误读竞争性磋商文件而造成的后果，采购人概不负责。</w:t>
      </w:r>
    </w:p>
    <w:p>
      <w:pPr>
        <w:spacing w:line="240" w:lineRule="atLeast"/>
        <w:jc w:val="center"/>
        <w:rPr>
          <w:rFonts w:hint="eastAsia" w:ascii="宋体" w:hAnsi="宋体" w:eastAsia="宋体" w:cs="宋体"/>
          <w:b/>
          <w:color w:val="auto"/>
          <w:szCs w:val="21"/>
          <w:highlight w:val="none"/>
        </w:rPr>
      </w:pPr>
    </w:p>
    <w:p>
      <w:pPr>
        <w:spacing w:line="240" w:lineRule="atLeast"/>
        <w:jc w:val="center"/>
        <w:rPr>
          <w:rFonts w:hint="eastAsia" w:ascii="宋体" w:hAnsi="宋体" w:eastAsia="宋体" w:cs="宋体"/>
          <w:b/>
          <w:color w:val="auto"/>
          <w:szCs w:val="21"/>
          <w:highlight w:val="none"/>
        </w:rPr>
      </w:pPr>
    </w:p>
    <w:p>
      <w:pPr>
        <w:spacing w:line="240" w:lineRule="atLeast"/>
        <w:jc w:val="center"/>
        <w:rPr>
          <w:rFonts w:hint="eastAsia" w:ascii="宋体" w:hAnsi="宋体" w:eastAsia="宋体" w:cs="宋体"/>
          <w:b/>
          <w:color w:val="auto"/>
          <w:szCs w:val="21"/>
          <w:highlight w:val="none"/>
        </w:rPr>
      </w:pPr>
    </w:p>
    <w:p>
      <w:pPr>
        <w:pStyle w:val="6"/>
        <w:ind w:firstLine="3074" w:firstLineChars="845"/>
        <w:jc w:val="both"/>
        <w:rPr>
          <w:rFonts w:hint="eastAsia" w:ascii="宋体" w:hAnsi="宋体" w:eastAsia="宋体" w:cs="宋体"/>
          <w:color w:val="auto"/>
          <w:sz w:val="36"/>
          <w:szCs w:val="36"/>
          <w:highlight w:val="none"/>
        </w:rPr>
      </w:pPr>
      <w:bookmarkStart w:id="0" w:name="_Toc363576971"/>
      <w:bookmarkStart w:id="1" w:name="_Toc361035134"/>
      <w:bookmarkStart w:id="2" w:name="_Toc445914867"/>
      <w:bookmarkStart w:id="3" w:name="_Toc26020"/>
      <w:r>
        <w:rPr>
          <w:rFonts w:hint="eastAsia" w:ascii="宋体" w:hAnsi="宋体" w:eastAsia="宋体" w:cs="宋体"/>
          <w:color w:val="auto"/>
          <w:sz w:val="36"/>
          <w:szCs w:val="36"/>
          <w:highlight w:val="none"/>
        </w:rPr>
        <w:br w:type="page"/>
      </w:r>
      <w:bookmarkEnd w:id="0"/>
      <w:bookmarkEnd w:id="1"/>
      <w:bookmarkEnd w:id="2"/>
      <w:bookmarkEnd w:id="3"/>
    </w:p>
    <w:p>
      <w:pPr>
        <w:pStyle w:val="41"/>
        <w:outlineLvl w:val="0"/>
        <w:rPr>
          <w:rFonts w:hint="eastAsia" w:ascii="宋体" w:hAnsi="宋体" w:eastAsia="宋体" w:cs="宋体"/>
          <w:b w:val="0"/>
          <w:color w:val="auto"/>
          <w:highlight w:val="none"/>
          <w:shd w:val="clear" w:color="auto" w:fill="FFFFFF"/>
        </w:rPr>
      </w:pPr>
      <w:bookmarkStart w:id="4" w:name="_Toc73917568"/>
      <w:r>
        <w:rPr>
          <w:rFonts w:hint="eastAsia" w:ascii="宋体" w:hAnsi="宋体" w:eastAsia="宋体" w:cs="宋体"/>
          <w:b w:val="0"/>
          <w:color w:val="auto"/>
          <w:highlight w:val="none"/>
          <w:shd w:val="clear" w:color="auto" w:fill="FFFFFF"/>
        </w:rPr>
        <w:t>关于</w:t>
      </w:r>
      <w:r>
        <w:rPr>
          <w:rFonts w:hint="eastAsia" w:ascii="宋体" w:hAnsi="宋体" w:cs="宋体"/>
          <w:b w:val="0"/>
          <w:color w:val="auto"/>
          <w:highlight w:val="none"/>
          <w:shd w:val="clear" w:color="auto" w:fill="FFFFFF"/>
          <w:lang w:eastAsia="zh-CN"/>
        </w:rPr>
        <w:t>龙湾区国民经济和社会发展十五五规划基本思路编制</w:t>
      </w:r>
      <w:r>
        <w:rPr>
          <w:rFonts w:hint="eastAsia" w:ascii="宋体" w:hAnsi="宋体" w:eastAsia="宋体" w:cs="宋体"/>
          <w:b w:val="0"/>
          <w:color w:val="auto"/>
          <w:highlight w:val="none"/>
          <w:shd w:val="clear" w:color="auto" w:fill="FFFFFF"/>
        </w:rPr>
        <w:t>竞争性磋商的公告</w:t>
      </w:r>
      <w:bookmarkEnd w:id="4"/>
    </w:p>
    <w:p>
      <w:pPr>
        <w:pBdr>
          <w:top w:val="single" w:color="auto" w:sz="4" w:space="2"/>
          <w:left w:val="single" w:color="auto" w:sz="4" w:space="4"/>
          <w:bottom w:val="single" w:color="auto" w:sz="4" w:space="4"/>
          <w:right w:val="single" w:color="auto" w:sz="4" w:space="4"/>
        </w:pBdr>
        <w:shd w:val="clear" w:color="auto" w:fill="auto"/>
        <w:spacing w:line="440" w:lineRule="exact"/>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项目概况</w:t>
      </w:r>
    </w:p>
    <w:p>
      <w:pPr>
        <w:pBdr>
          <w:top w:val="single" w:color="auto" w:sz="4" w:space="2"/>
          <w:left w:val="single" w:color="auto" w:sz="4" w:space="4"/>
          <w:bottom w:val="single" w:color="auto" w:sz="4" w:space="4"/>
          <w:right w:val="single" w:color="auto" w:sz="4" w:space="4"/>
        </w:pBdr>
        <w:shd w:val="clear" w:color="auto" w:fill="auto"/>
        <w:spacing w:line="440" w:lineRule="exact"/>
        <w:ind w:firstLine="428" w:firstLineChars="200"/>
        <w:jc w:val="left"/>
        <w:rPr>
          <w:rFonts w:hint="eastAsia" w:ascii="宋体" w:hAnsi="宋体" w:eastAsia="宋体" w:cs="宋体"/>
          <w:color w:val="auto"/>
          <w:sz w:val="21"/>
          <w:szCs w:val="21"/>
          <w:highlight w:val="none"/>
          <w:lang w:val="en-US" w:eastAsia="zh-CN"/>
        </w:rPr>
      </w:pPr>
      <w:r>
        <w:rPr>
          <w:rFonts w:hint="eastAsia" w:ascii="宋体" w:hAnsi="宋体" w:cs="宋体"/>
          <w:b/>
          <w:bCs/>
          <w:color w:val="auto"/>
          <w:szCs w:val="21"/>
          <w:highlight w:val="none"/>
          <w:u w:val="single"/>
          <w:lang w:eastAsia="zh-CN"/>
        </w:rPr>
        <w:t>龙湾区国民经济和社会发展十五五规划基本思路编制</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项目的潜在供应商应在政采云平台线上获取获取（下载）采购文件，并于</w:t>
      </w:r>
      <w:r>
        <w:rPr>
          <w:rFonts w:hint="eastAsia" w:ascii="宋体" w:hAnsi="宋体" w:cs="宋体"/>
          <w:b/>
          <w:bCs/>
          <w:color w:val="auto"/>
          <w:szCs w:val="21"/>
          <w:highlight w:val="none"/>
          <w:u w:val="single"/>
          <w:lang w:val="en-US" w:eastAsia="zh-CN"/>
        </w:rPr>
        <w:t xml:space="preserve"> 2025</w:t>
      </w:r>
      <w:r>
        <w:rPr>
          <w:rFonts w:hint="eastAsia" w:ascii="宋体" w:hAnsi="宋体" w:eastAsia="宋体" w:cs="宋体"/>
          <w:b/>
          <w:bCs/>
          <w:color w:val="auto"/>
          <w:szCs w:val="21"/>
          <w:highlight w:val="none"/>
          <w:u w:val="single"/>
        </w:rPr>
        <w:t>年</w:t>
      </w:r>
      <w:r>
        <w:rPr>
          <w:rFonts w:hint="eastAsia" w:ascii="宋体" w:hAnsi="宋体" w:cs="宋体"/>
          <w:b/>
          <w:bCs/>
          <w:color w:val="auto"/>
          <w:szCs w:val="21"/>
          <w:highlight w:val="none"/>
          <w:u w:val="single"/>
          <w:lang w:val="en-US" w:eastAsia="zh-CN"/>
        </w:rPr>
        <w:t xml:space="preserve">1 </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 xml:space="preserve"> 2 </w:t>
      </w:r>
      <w:r>
        <w:rPr>
          <w:rFonts w:hint="eastAsia" w:ascii="宋体" w:hAnsi="宋体" w:eastAsia="宋体" w:cs="宋体"/>
          <w:b/>
          <w:bCs/>
          <w:color w:val="auto"/>
          <w:szCs w:val="21"/>
          <w:highlight w:val="none"/>
          <w:u w:val="single"/>
        </w:rPr>
        <w:t>日</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:30</w:t>
      </w:r>
      <w:r>
        <w:rPr>
          <w:rFonts w:hint="eastAsia" w:ascii="宋体" w:hAnsi="宋体" w:eastAsia="宋体" w:cs="宋体"/>
          <w:color w:val="auto"/>
          <w:szCs w:val="21"/>
          <w:highlight w:val="none"/>
        </w:rPr>
        <w:t>（北京时间）前提交（上传）响应文</w:t>
      </w:r>
      <w:r>
        <w:rPr>
          <w:rFonts w:hint="eastAsia" w:ascii="宋体" w:hAnsi="宋体" w:eastAsia="宋体" w:cs="宋体"/>
          <w:color w:val="auto"/>
          <w:szCs w:val="21"/>
          <w:highlight w:val="none"/>
          <w:lang w:val="en-US" w:eastAsia="zh-CN"/>
        </w:rPr>
        <w:t>件。</w:t>
      </w:r>
    </w:p>
    <w:p>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一、项目基本情况</w:t>
      </w:r>
    </w:p>
    <w:p>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val="en-US" w:eastAsia="zh-CN"/>
        </w:rPr>
        <w:t>DLDL2024215</w:t>
      </w:r>
    </w:p>
    <w:p>
      <w:pPr>
        <w:spacing w:line="360" w:lineRule="exact"/>
        <w:ind w:firstLine="42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龙湾区国民经济和社会发展十五五规划基本思路编制</w:t>
      </w:r>
    </w:p>
    <w:p>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预算金额（元）：</w:t>
      </w:r>
      <w:r>
        <w:rPr>
          <w:rFonts w:hint="eastAsia" w:ascii="宋体" w:hAnsi="宋体" w:cs="宋体"/>
          <w:color w:val="auto"/>
          <w:sz w:val="21"/>
          <w:szCs w:val="21"/>
          <w:highlight w:val="none"/>
          <w:lang w:val="en-US" w:eastAsia="zh-CN"/>
        </w:rPr>
        <w:t>500000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p>
      <w:pPr>
        <w:spacing w:line="360" w:lineRule="exact"/>
        <w:ind w:firstLine="428"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最高限价（元）：</w:t>
      </w:r>
      <w:r>
        <w:rPr>
          <w:rFonts w:hint="eastAsia" w:ascii="宋体" w:hAnsi="宋体" w:cs="宋体"/>
          <w:color w:val="auto"/>
          <w:sz w:val="21"/>
          <w:szCs w:val="21"/>
          <w:highlight w:val="none"/>
          <w:lang w:val="en-US" w:eastAsia="zh-CN"/>
        </w:rPr>
        <w:t>500000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w:t>
      </w:r>
    </w:p>
    <w:p>
      <w:pPr>
        <w:tabs>
          <w:tab w:val="center" w:pos="4564"/>
        </w:tabs>
        <w:spacing w:line="360" w:lineRule="exact"/>
        <w:ind w:firstLine="42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采购需求：具体详见竞争性磋商文件要求</w:t>
      </w:r>
      <w:r>
        <w:rPr>
          <w:rFonts w:hint="eastAsia" w:ascii="宋体" w:hAnsi="宋体" w:cs="宋体"/>
          <w:color w:val="auto"/>
          <w:sz w:val="21"/>
          <w:szCs w:val="21"/>
          <w:highlight w:val="none"/>
          <w:lang w:eastAsia="zh-CN"/>
        </w:rPr>
        <w:t>。</w:t>
      </w:r>
    </w:p>
    <w:p>
      <w:pPr>
        <w:spacing w:line="360" w:lineRule="exact"/>
        <w:ind w:firstLine="428"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数量: </w:t>
      </w:r>
      <w:r>
        <w:rPr>
          <w:rFonts w:hint="eastAsia" w:ascii="宋体" w:hAnsi="宋体" w:eastAsia="宋体" w:cs="宋体"/>
          <w:color w:val="auto"/>
          <w:sz w:val="21"/>
          <w:szCs w:val="21"/>
          <w:highlight w:val="none"/>
          <w:lang w:val="en-US" w:eastAsia="zh-CN"/>
        </w:rPr>
        <w:t>不限</w:t>
      </w:r>
    </w:p>
    <w:p>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500000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w:t>
      </w:r>
    </w:p>
    <w:p>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单位：不限</w:t>
      </w:r>
    </w:p>
    <w:p>
      <w:pPr>
        <w:spacing w:line="360" w:lineRule="exact"/>
        <w:ind w:firstLine="428"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简要规格描述：</w:t>
      </w:r>
      <w:r>
        <w:rPr>
          <w:rFonts w:hint="eastAsia" w:ascii="宋体" w:hAnsi="宋体" w:cs="宋体"/>
          <w:bCs/>
          <w:color w:val="auto"/>
          <w:sz w:val="21"/>
          <w:szCs w:val="21"/>
          <w:highlight w:val="none"/>
          <w:u w:val="none"/>
          <w:lang w:eastAsia="zh-CN"/>
        </w:rPr>
        <w:t>龙湾区国民经济和社会发展十五五规划基本思路编制</w:t>
      </w:r>
      <w:r>
        <w:rPr>
          <w:rFonts w:hint="eastAsia" w:ascii="宋体" w:hAnsi="宋体" w:eastAsia="宋体" w:cs="宋体"/>
          <w:bCs/>
          <w:color w:val="auto"/>
          <w:sz w:val="21"/>
          <w:szCs w:val="21"/>
          <w:highlight w:val="none"/>
          <w:u w:val="none"/>
        </w:rPr>
        <w:t>。</w:t>
      </w:r>
    </w:p>
    <w:p>
      <w:pPr>
        <w:spacing w:line="360" w:lineRule="exact"/>
        <w:ind w:firstLine="42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详见采购文件</w:t>
      </w:r>
      <w:r>
        <w:rPr>
          <w:rFonts w:hint="eastAsia" w:ascii="宋体" w:hAnsi="宋体" w:eastAsia="宋体" w:cs="宋体"/>
          <w:color w:val="auto"/>
          <w:sz w:val="21"/>
          <w:szCs w:val="21"/>
          <w:highlight w:val="none"/>
        </w:rPr>
        <w:t>。</w:t>
      </w:r>
    </w:p>
    <w:p>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eastAsia="zh-CN"/>
        </w:rPr>
        <w:t>否</w:t>
      </w:r>
      <w:r>
        <w:rPr>
          <w:rFonts w:hint="eastAsia" w:ascii="宋体" w:hAnsi="宋体" w:eastAsia="宋体" w:cs="宋体"/>
          <w:color w:val="auto"/>
          <w:sz w:val="21"/>
          <w:szCs w:val="21"/>
          <w:highlight w:val="none"/>
        </w:rPr>
        <w:t>)接受联合体投标。</w:t>
      </w:r>
    </w:p>
    <w:p>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二、申请人的资格要求：</w:t>
      </w:r>
    </w:p>
    <w:p>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rPr>
        <w:t>《中华人民共和国政府采购法》第二十二条规定的供应商资格条件；投标供应商未被“信用中国”（</w:t>
      </w:r>
      <w:r>
        <w:rPr>
          <w:rFonts w:hint="eastAsia" w:ascii="宋体" w:hAnsi="宋体" w:eastAsia="宋体" w:cs="宋体"/>
          <w:color w:val="auto"/>
          <w:sz w:val="21"/>
          <w:szCs w:val="21"/>
          <w:highlight w:val="none"/>
          <w:lang w:eastAsia="zh-CN"/>
        </w:rPr>
        <w:t>https：//www.creditchina.gov.cn/</w:t>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lang w:eastAsia="zh-CN"/>
        </w:rPr>
        <w:t>http：//www.ccgp.gov.cn/</w:t>
      </w:r>
      <w:r>
        <w:rPr>
          <w:rFonts w:hint="eastAsia" w:ascii="宋体" w:hAnsi="宋体" w:eastAsia="宋体" w:cs="宋体"/>
          <w:color w:val="auto"/>
          <w:sz w:val="21"/>
          <w:szCs w:val="21"/>
          <w:highlight w:val="none"/>
        </w:rPr>
        <w:t>）</w:t>
      </w:r>
      <w:r>
        <w:rPr>
          <w:rFonts w:hint="eastAsia" w:ascii="宋体" w:hAnsi="宋体" w:eastAsia="宋体" w:cs="宋体"/>
          <w:color w:val="auto"/>
          <w:kern w:val="0"/>
          <w:szCs w:val="21"/>
          <w:highlight w:val="none"/>
        </w:rPr>
        <w:t>列入</w:t>
      </w:r>
      <w:r>
        <w:rPr>
          <w:rFonts w:hint="eastAsia" w:ascii="宋体" w:hAnsi="宋体" w:eastAsia="宋体" w:cs="宋体"/>
          <w:color w:val="auto"/>
          <w:kern w:val="0"/>
          <w:sz w:val="21"/>
          <w:szCs w:val="21"/>
          <w:highlight w:val="none"/>
        </w:rPr>
        <w:t>失信被执行人名单</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税收违法</w:t>
      </w:r>
      <w:r>
        <w:rPr>
          <w:rFonts w:hint="eastAsia" w:ascii="宋体" w:hAnsi="宋体" w:eastAsia="宋体" w:cs="宋体"/>
          <w:color w:val="auto"/>
          <w:kern w:val="0"/>
          <w:sz w:val="21"/>
          <w:szCs w:val="21"/>
          <w:highlight w:val="none"/>
          <w:lang w:val="en-US" w:eastAsia="zh-CN"/>
        </w:rPr>
        <w:t>黑</w:t>
      </w:r>
      <w:r>
        <w:rPr>
          <w:rFonts w:hint="eastAsia" w:ascii="宋体" w:hAnsi="宋体" w:eastAsia="宋体" w:cs="宋体"/>
          <w:color w:val="auto"/>
          <w:kern w:val="0"/>
          <w:sz w:val="21"/>
          <w:szCs w:val="21"/>
          <w:highlight w:val="none"/>
        </w:rPr>
        <w:t>名单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Cs w:val="21"/>
          <w:highlight w:val="none"/>
        </w:rPr>
        <w:t>政府采购严重违法失信行为记录名单</w:t>
      </w:r>
      <w:r>
        <w:rPr>
          <w:rFonts w:hint="eastAsia" w:ascii="宋体" w:hAnsi="宋体" w:eastAsia="宋体" w:cs="宋体"/>
          <w:color w:val="auto"/>
          <w:sz w:val="21"/>
          <w:szCs w:val="21"/>
          <w:highlight w:val="none"/>
        </w:rPr>
        <w:t>；</w:t>
      </w:r>
    </w:p>
    <w:p>
      <w:pPr>
        <w:spacing w:line="360" w:lineRule="exact"/>
        <w:ind w:firstLine="428" w:firstLineChars="200"/>
        <w:rPr>
          <w:rFonts w:hint="eastAsia" w:ascii="宋体" w:hAnsi="宋体" w:eastAsia="宋体" w:cs="宋体"/>
          <w:b/>
          <w:bCs/>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cs="宋体"/>
          <w:b/>
          <w:bCs/>
          <w:color w:val="auto"/>
          <w:kern w:val="2"/>
          <w:sz w:val="21"/>
          <w:szCs w:val="21"/>
          <w:highlight w:val="none"/>
          <w:u w:val="single"/>
          <w:lang w:val="en-US" w:eastAsia="zh-CN" w:bidi="ar-SA"/>
        </w:rPr>
        <w:t>无</w:t>
      </w:r>
      <w:r>
        <w:rPr>
          <w:rFonts w:hint="eastAsia" w:ascii="宋体" w:hAnsi="宋体" w:eastAsia="宋体" w:cs="宋体"/>
          <w:b/>
          <w:bCs/>
          <w:color w:val="auto"/>
          <w:kern w:val="2"/>
          <w:sz w:val="21"/>
          <w:szCs w:val="21"/>
          <w:highlight w:val="none"/>
          <w:u w:val="none"/>
          <w:lang w:val="en-US" w:eastAsia="zh-CN" w:bidi="ar-SA"/>
        </w:rPr>
        <w:t>。</w:t>
      </w:r>
    </w:p>
    <w:p>
      <w:pPr>
        <w:spacing w:line="360" w:lineRule="exact"/>
        <w:ind w:firstLine="428"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
          <w:bCs/>
          <w:color w:val="auto"/>
          <w:sz w:val="21"/>
          <w:szCs w:val="21"/>
          <w:highlight w:val="none"/>
          <w:u w:val="single"/>
          <w:lang w:eastAsia="zh-CN"/>
        </w:rPr>
        <w:t>无</w:t>
      </w:r>
      <w:r>
        <w:rPr>
          <w:rFonts w:hint="eastAsia" w:ascii="宋体" w:hAnsi="宋体" w:eastAsia="宋体" w:cs="宋体"/>
          <w:b/>
          <w:bCs/>
          <w:color w:val="auto"/>
          <w:sz w:val="21"/>
          <w:szCs w:val="21"/>
          <w:highlight w:val="none"/>
          <w:u w:val="single"/>
          <w:lang w:val="en-US" w:eastAsia="zh-CN"/>
        </w:rPr>
        <w:t>。</w:t>
      </w:r>
    </w:p>
    <w:p>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三、获取采购文件</w:t>
      </w:r>
    </w:p>
    <w:p>
      <w:pPr>
        <w:spacing w:line="360" w:lineRule="exact"/>
        <w:ind w:firstLine="54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时间：/至</w:t>
      </w:r>
      <w:r>
        <w:rPr>
          <w:rFonts w:hint="eastAsia" w:ascii="宋体" w:hAnsi="宋体" w:cs="宋体"/>
          <w:b/>
          <w:bCs/>
          <w:color w:val="auto"/>
          <w:szCs w:val="21"/>
          <w:highlight w:val="none"/>
          <w:u w:val="none"/>
          <w:lang w:val="en-US" w:eastAsia="zh-CN"/>
        </w:rPr>
        <w:t>2025</w:t>
      </w:r>
      <w:r>
        <w:rPr>
          <w:rFonts w:hint="eastAsia" w:ascii="宋体" w:hAnsi="宋体" w:eastAsia="宋体" w:cs="宋体"/>
          <w:b/>
          <w:bCs/>
          <w:color w:val="auto"/>
          <w:szCs w:val="21"/>
          <w:highlight w:val="none"/>
          <w:u w:val="none"/>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日</w:t>
      </w:r>
      <w:r>
        <w:rPr>
          <w:rFonts w:hint="eastAsia" w:ascii="宋体" w:hAnsi="宋体" w:eastAsia="宋体" w:cs="宋体"/>
          <w:color w:val="auto"/>
          <w:sz w:val="21"/>
          <w:szCs w:val="21"/>
          <w:highlight w:val="none"/>
        </w:rPr>
        <w:t>，每天上午00:00至12:00，下午12:00至23:59（北京时间，线上获取法定节假日均可，线下获取文件法定节假日除外）</w:t>
      </w:r>
      <w:r>
        <w:rPr>
          <w:rFonts w:hint="eastAsia" w:ascii="宋体" w:hAnsi="宋体" w:eastAsia="宋体" w:cs="宋体"/>
          <w:color w:val="auto"/>
          <w:sz w:val="21"/>
          <w:szCs w:val="21"/>
          <w:highlight w:val="none"/>
          <w:lang w:eastAsia="zh-CN"/>
        </w:rPr>
        <w:t>。</w:t>
      </w:r>
    </w:p>
    <w:p>
      <w:pPr>
        <w:spacing w:line="36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地点（网址）：</w:t>
      </w:r>
      <w:r>
        <w:rPr>
          <w:rFonts w:hint="eastAsia" w:ascii="宋体" w:hAnsi="宋体" w:eastAsia="宋体" w:cs="宋体"/>
          <w:color w:val="auto"/>
          <w:szCs w:val="21"/>
          <w:highlight w:val="none"/>
        </w:rPr>
        <w:t>“政采云”平台（https：//zfcg.czt.zj.gov.cn/）</w:t>
      </w:r>
      <w:r>
        <w:rPr>
          <w:rFonts w:hint="eastAsia" w:ascii="宋体" w:hAnsi="宋体" w:eastAsia="宋体" w:cs="宋体"/>
          <w:color w:val="auto"/>
          <w:sz w:val="21"/>
          <w:szCs w:val="21"/>
          <w:highlight w:val="none"/>
          <w:u w:val="none"/>
          <w:lang w:eastAsia="zh-CN"/>
        </w:rPr>
        <w:t>。</w:t>
      </w:r>
    </w:p>
    <w:p>
      <w:pPr>
        <w:spacing w:line="36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方式：供应商登录政采云平台https://www.zcygov.cn/在线申请获取采购文件（进入“项目采购”应用，在获取采购文件菜单中选择项目，申请获取采购文件）</w:t>
      </w:r>
      <w:r>
        <w:rPr>
          <w:rFonts w:hint="eastAsia" w:ascii="宋体" w:hAnsi="宋体" w:eastAsia="宋体" w:cs="宋体"/>
          <w:color w:val="auto"/>
          <w:sz w:val="21"/>
          <w:szCs w:val="21"/>
          <w:highlight w:val="none"/>
          <w:u w:val="none"/>
          <w:lang w:eastAsia="zh-CN"/>
        </w:rPr>
        <w:t>。</w:t>
      </w:r>
    </w:p>
    <w:p>
      <w:pPr>
        <w:spacing w:line="360" w:lineRule="exact"/>
        <w:ind w:firstLine="54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注：请供应商按上述要求获取采购文件，如未在“政采云”系统内完成相关流程，引起的投标无效责任自负</w:t>
      </w:r>
      <w:r>
        <w:rPr>
          <w:rFonts w:hint="eastAsia" w:ascii="宋体" w:hAnsi="宋体" w:eastAsia="宋体" w:cs="宋体"/>
          <w:color w:val="auto"/>
          <w:sz w:val="21"/>
          <w:szCs w:val="21"/>
          <w:highlight w:val="none"/>
          <w:lang w:eastAsia="zh-CN"/>
        </w:rPr>
        <w:t>。</w:t>
      </w:r>
    </w:p>
    <w:p>
      <w:pPr>
        <w:spacing w:line="360" w:lineRule="exact"/>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售价（元）： 0。</w:t>
      </w:r>
    </w:p>
    <w:p>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四、响应文件提交（上传）</w:t>
      </w:r>
    </w:p>
    <w:p>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cs="宋体"/>
          <w:b/>
          <w:bCs/>
          <w:color w:val="auto"/>
          <w:szCs w:val="21"/>
          <w:highlight w:val="none"/>
          <w:u w:val="none"/>
          <w:lang w:val="en-US" w:eastAsia="zh-CN"/>
        </w:rPr>
        <w:t>2025</w:t>
      </w:r>
      <w:r>
        <w:rPr>
          <w:rFonts w:hint="eastAsia" w:ascii="宋体" w:hAnsi="宋体" w:eastAsia="宋体" w:cs="宋体"/>
          <w:b/>
          <w:bCs/>
          <w:color w:val="auto"/>
          <w:szCs w:val="21"/>
          <w:highlight w:val="none"/>
          <w:u w:val="none"/>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月</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 xml:space="preserve">日 </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（北京时间）；</w:t>
      </w:r>
    </w:p>
    <w:p>
      <w:pPr>
        <w:spacing w:line="360" w:lineRule="exact"/>
        <w:ind w:firstLine="214"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地点(网址)：</w:t>
      </w:r>
      <w:r>
        <w:rPr>
          <w:rFonts w:hint="eastAsia" w:ascii="宋体" w:hAnsi="宋体" w:eastAsia="宋体" w:cs="宋体"/>
          <w:color w:val="auto"/>
          <w:szCs w:val="21"/>
          <w:highlight w:val="none"/>
        </w:rPr>
        <w:t>政采云平台 （https：//www.zcygov.cn/）</w:t>
      </w:r>
      <w:r>
        <w:rPr>
          <w:rFonts w:hint="eastAsia" w:ascii="宋体" w:hAnsi="宋体" w:eastAsia="宋体" w:cs="宋体"/>
          <w:color w:val="auto"/>
          <w:sz w:val="21"/>
          <w:szCs w:val="21"/>
          <w:highlight w:val="none"/>
          <w:lang w:val="en-US" w:eastAsia="zh-CN"/>
        </w:rPr>
        <w:t>；</w:t>
      </w:r>
    </w:p>
    <w:p>
      <w:pPr>
        <w:widowControl/>
        <w:numPr>
          <w:ilvl w:val="0"/>
          <w:numId w:val="4"/>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响应文件开启</w:t>
      </w:r>
    </w:p>
    <w:p>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开启</w:t>
      </w:r>
      <w:r>
        <w:rPr>
          <w:rFonts w:hint="eastAsia" w:ascii="宋体" w:hAnsi="宋体" w:eastAsia="宋体" w:cs="宋体"/>
          <w:color w:val="auto"/>
          <w:sz w:val="21"/>
          <w:szCs w:val="21"/>
          <w:highlight w:val="none"/>
        </w:rPr>
        <w:t>时间：</w:t>
      </w:r>
      <w:r>
        <w:rPr>
          <w:rFonts w:hint="eastAsia" w:ascii="宋体" w:hAnsi="宋体" w:cs="宋体"/>
          <w:b/>
          <w:bCs/>
          <w:color w:val="auto"/>
          <w:szCs w:val="21"/>
          <w:highlight w:val="none"/>
          <w:u w:val="none"/>
          <w:lang w:val="en-US" w:eastAsia="zh-CN"/>
        </w:rPr>
        <w:t>2025</w:t>
      </w:r>
      <w:r>
        <w:rPr>
          <w:rFonts w:hint="eastAsia" w:ascii="宋体" w:hAnsi="宋体" w:eastAsia="宋体" w:cs="宋体"/>
          <w:b/>
          <w:bCs/>
          <w:color w:val="auto"/>
          <w:szCs w:val="21"/>
          <w:highlight w:val="none"/>
          <w:u w:val="none"/>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月</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 xml:space="preserve">日 </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:30</w:t>
      </w:r>
      <w:r>
        <w:rPr>
          <w:rFonts w:hint="eastAsia" w:ascii="宋体" w:hAnsi="宋体" w:eastAsia="宋体" w:cs="宋体"/>
          <w:color w:val="auto"/>
          <w:sz w:val="21"/>
          <w:szCs w:val="21"/>
          <w:highlight w:val="none"/>
        </w:rPr>
        <w:t>（北京时间）；</w:t>
      </w:r>
    </w:p>
    <w:p>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地点(网址)：</w:t>
      </w:r>
      <w:r>
        <w:rPr>
          <w:rFonts w:hint="eastAsia" w:ascii="宋体" w:hAnsi="宋体" w:eastAsia="宋体" w:cs="宋体"/>
          <w:color w:val="auto"/>
          <w:szCs w:val="21"/>
          <w:highlight w:val="none"/>
        </w:rPr>
        <w:t>在政府采购云平台（https：//www.zcygov.cn/）上开启投标文件</w:t>
      </w:r>
      <w:r>
        <w:rPr>
          <w:rFonts w:hint="eastAsia" w:ascii="宋体" w:hAnsi="宋体" w:eastAsia="宋体" w:cs="宋体"/>
          <w:color w:val="auto"/>
          <w:sz w:val="21"/>
          <w:szCs w:val="21"/>
          <w:highlight w:val="none"/>
        </w:rPr>
        <w:t>；</w:t>
      </w:r>
    </w:p>
    <w:p>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开标时间后30分钟内，投标人须登录政府采购云平台，用“项目采购-开标评标”功能解密投标文件（线上）；</w:t>
      </w:r>
    </w:p>
    <w:p>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、公告期限</w:t>
      </w:r>
    </w:p>
    <w:p>
      <w:pPr>
        <w:widowControl/>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自本公告发布之日起3个工作日。</w:t>
      </w:r>
    </w:p>
    <w:p>
      <w:pPr>
        <w:widowControl/>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七</w:t>
      </w:r>
      <w:r>
        <w:rPr>
          <w:rFonts w:hint="eastAsia" w:ascii="宋体" w:hAnsi="宋体" w:eastAsia="宋体" w:cs="宋体"/>
          <w:bCs/>
          <w:color w:val="auto"/>
          <w:sz w:val="21"/>
          <w:szCs w:val="21"/>
          <w:highlight w:val="none"/>
        </w:rPr>
        <w:t>、其他补充事宜</w:t>
      </w:r>
    </w:p>
    <w:p>
      <w:pPr>
        <w:widowControl/>
        <w:shd w:val="clear" w:color="auto" w:fill="auto"/>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hd w:val="clear" w:color="auto" w:fill="auto"/>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widowControl/>
        <w:shd w:val="clear" w:color="auto" w:fill="auto"/>
        <w:spacing w:line="360" w:lineRule="exact"/>
        <w:ind w:firstLine="42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3.其他事项：电子招投标的说明：①电子招投标：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cs="宋体"/>
          <w:color w:val="auto"/>
          <w:szCs w:val="21"/>
          <w:highlight w:val="none"/>
          <w:lang w:eastAsia="zh-CN"/>
        </w:rPr>
        <w:t>400-881-7190</w:t>
      </w:r>
      <w:r>
        <w:rPr>
          <w:rFonts w:hint="eastAsia" w:ascii="宋体" w:hAnsi="宋体" w:eastAsia="宋体" w:cs="宋体"/>
          <w:color w:val="auto"/>
          <w:szCs w:val="21"/>
          <w:highlight w:val="none"/>
        </w:rPr>
        <w:t>。②具体操作指南：详见政采云平台“服务中心-帮助文档-项目采购-操作流程-电子招投标-政府采购项目电子交易管理操作指南-供应商”：浙江省政府采购项目政采云平台学习专题https://edu.zcygov.cn/luban/e-biding。</w:t>
      </w:r>
    </w:p>
    <w:p>
      <w:pPr>
        <w:widowControl/>
        <w:spacing w:line="36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八、对本次招标提出询问、质疑、投诉，请按以下方式联系</w:t>
      </w:r>
    </w:p>
    <w:p>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1.采购人信息</w:t>
      </w:r>
    </w:p>
    <w:p>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名    称：</w:t>
      </w:r>
      <w:r>
        <w:rPr>
          <w:rFonts w:hint="eastAsia" w:ascii="宋体" w:hAnsi="宋体" w:cs="宋体"/>
          <w:color w:val="auto"/>
          <w:szCs w:val="21"/>
          <w:highlight w:val="none"/>
          <w:lang w:eastAsia="zh-CN"/>
        </w:rPr>
        <w:t>温州市龙湾区发展和改革局</w:t>
      </w:r>
    </w:p>
    <w:p>
      <w:pPr>
        <w:keepNext w:val="0"/>
        <w:keepLines w:val="0"/>
        <w:widowControl/>
        <w:suppressLineNumbers w:val="0"/>
        <w:spacing w:before="0" w:beforeAutospacing="0" w:after="0" w:afterAutospacing="0" w:line="360" w:lineRule="exact"/>
        <w:ind w:left="0" w:right="0" w:firstLine="428"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eastAsia="zh-CN"/>
        </w:rPr>
        <w:t xml:space="preserve">温州市龙湾区龙湾区府大楼8F </w:t>
      </w:r>
    </w:p>
    <w:p>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w:t>
      </w:r>
    </w:p>
    <w:p>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项目联系人（询问）： </w:t>
      </w:r>
      <w:r>
        <w:rPr>
          <w:rFonts w:hint="eastAsia" w:ascii="宋体" w:hAnsi="宋体" w:cs="宋体"/>
          <w:color w:val="auto"/>
          <w:szCs w:val="21"/>
          <w:highlight w:val="none"/>
          <w:lang w:val="en-US" w:eastAsia="zh-CN"/>
        </w:rPr>
        <w:t xml:space="preserve">王先生 </w:t>
      </w:r>
    </w:p>
    <w:p>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项目联系方式（询问）：86960015</w:t>
      </w:r>
    </w:p>
    <w:p>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质疑联系人：</w:t>
      </w:r>
      <w:r>
        <w:rPr>
          <w:rFonts w:hint="eastAsia" w:ascii="宋体" w:hAnsi="宋体" w:cs="宋体"/>
          <w:color w:val="auto"/>
          <w:szCs w:val="21"/>
          <w:highlight w:val="none"/>
          <w:lang w:val="en-US" w:eastAsia="zh-CN"/>
        </w:rPr>
        <w:t xml:space="preserve">蔡女士 </w:t>
      </w:r>
      <w:r>
        <w:rPr>
          <w:rFonts w:hint="eastAsia" w:ascii="宋体" w:hAnsi="宋体" w:eastAsia="宋体" w:cs="宋体"/>
          <w:color w:val="auto"/>
          <w:szCs w:val="21"/>
          <w:highlight w:val="none"/>
        </w:rPr>
        <w:t xml:space="preserve"> </w:t>
      </w:r>
    </w:p>
    <w:p>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质疑联系方式：86960015</w:t>
      </w:r>
    </w:p>
    <w:p>
      <w:pPr>
        <w:widowControl/>
        <w:spacing w:line="360" w:lineRule="exact"/>
        <w:rPr>
          <w:rFonts w:hint="eastAsia" w:ascii="宋体" w:hAnsi="宋体" w:eastAsia="宋体" w:cs="宋体"/>
          <w:color w:val="auto"/>
          <w:szCs w:val="21"/>
          <w:highlight w:val="none"/>
        </w:rPr>
      </w:pPr>
    </w:p>
    <w:p>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名    称：</w:t>
      </w:r>
      <w:r>
        <w:rPr>
          <w:rFonts w:hint="eastAsia" w:ascii="宋体" w:hAnsi="宋体" w:cs="宋体"/>
          <w:color w:val="auto"/>
          <w:szCs w:val="21"/>
          <w:highlight w:val="none"/>
          <w:lang w:eastAsia="zh-CN"/>
        </w:rPr>
        <w:t>浙江鼎力工程项目管理有限公司</w:t>
      </w:r>
    </w:p>
    <w:p>
      <w:pPr>
        <w:widowControl/>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地    址：</w:t>
      </w:r>
      <w:r>
        <w:rPr>
          <w:rFonts w:hint="eastAsia" w:ascii="宋体" w:hAnsi="宋体" w:cs="宋体"/>
          <w:color w:val="auto"/>
          <w:szCs w:val="21"/>
          <w:highlight w:val="none"/>
          <w:lang w:eastAsia="zh-CN"/>
        </w:rPr>
        <w:t>温州市龙湾区蒲州街道汤车路55号汤锦园商业办公楼1号楼20层</w:t>
      </w:r>
    </w:p>
    <w:p>
      <w:pPr>
        <w:widowControl/>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    项目联系人（询问）：</w:t>
      </w:r>
      <w:r>
        <w:rPr>
          <w:rFonts w:hint="eastAsia" w:ascii="宋体" w:hAnsi="宋体" w:cs="宋体"/>
          <w:color w:val="auto"/>
          <w:szCs w:val="21"/>
          <w:highlight w:val="none"/>
          <w:lang w:eastAsia="zh-CN"/>
        </w:rPr>
        <w:t>陈女士</w:t>
      </w:r>
    </w:p>
    <w:p>
      <w:pPr>
        <w:widowControl/>
        <w:spacing w:line="360" w:lineRule="exac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 xml:space="preserve">    项目联系方式（询问）：</w:t>
      </w:r>
      <w:r>
        <w:rPr>
          <w:rFonts w:hint="eastAsia" w:ascii="宋体" w:hAnsi="宋体" w:cs="宋体"/>
          <w:color w:val="auto"/>
          <w:szCs w:val="21"/>
          <w:highlight w:val="none"/>
          <w:lang w:val="en-US" w:eastAsia="zh-CN"/>
        </w:rPr>
        <w:t>0577-86530609</w:t>
      </w:r>
    </w:p>
    <w:p>
      <w:pPr>
        <w:widowControl/>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质疑联系人：</w:t>
      </w:r>
      <w:r>
        <w:rPr>
          <w:rFonts w:hint="eastAsia" w:ascii="宋体" w:hAnsi="宋体" w:cs="宋体"/>
          <w:color w:val="auto"/>
          <w:szCs w:val="21"/>
          <w:highlight w:val="none"/>
          <w:lang w:val="en-US" w:eastAsia="zh-CN"/>
        </w:rPr>
        <w:t>王先生</w:t>
      </w:r>
      <w:r>
        <w:rPr>
          <w:rFonts w:hint="eastAsia" w:ascii="宋体" w:hAnsi="宋体" w:eastAsia="宋体" w:cs="宋体"/>
          <w:color w:val="auto"/>
          <w:szCs w:val="21"/>
          <w:highlight w:val="none"/>
        </w:rPr>
        <w:t xml:space="preserve"> </w:t>
      </w:r>
    </w:p>
    <w:p>
      <w:pPr>
        <w:widowControl/>
        <w:spacing w:line="360" w:lineRule="exact"/>
        <w:ind w:firstLine="428"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质疑联系方式：</w:t>
      </w:r>
      <w:r>
        <w:rPr>
          <w:rFonts w:hint="eastAsia" w:ascii="宋体" w:hAnsi="宋体" w:cs="宋体"/>
          <w:color w:val="auto"/>
          <w:szCs w:val="21"/>
          <w:highlight w:val="none"/>
          <w:lang w:eastAsia="zh-CN"/>
        </w:rPr>
        <w:t>15868725861</w:t>
      </w:r>
    </w:p>
    <w:p>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称：温州湾新区（</w:t>
      </w:r>
      <w:r>
        <w:rPr>
          <w:rFonts w:hint="eastAsia" w:ascii="宋体" w:hAnsi="宋体" w:eastAsia="宋体" w:cs="宋体"/>
          <w:color w:val="auto"/>
          <w:szCs w:val="21"/>
          <w:highlight w:val="none"/>
          <w:lang w:val="en-US" w:eastAsia="zh-CN"/>
        </w:rPr>
        <w:t>龙湾</w:t>
      </w:r>
      <w:r>
        <w:rPr>
          <w:rFonts w:hint="eastAsia" w:ascii="宋体" w:hAnsi="宋体" w:eastAsia="宋体" w:cs="宋体"/>
          <w:color w:val="auto"/>
          <w:szCs w:val="21"/>
          <w:highlight w:val="none"/>
        </w:rPr>
        <w:t>区）财政局</w:t>
      </w:r>
    </w:p>
    <w:p>
      <w:pPr>
        <w:widowControl/>
        <w:spacing w:line="360" w:lineRule="exact"/>
        <w:ind w:firstLine="428"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地址：温州市龙湾区永宁西路565号温州银行大楼1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层</w:t>
      </w:r>
      <w:r>
        <w:rPr>
          <w:rFonts w:hint="eastAsia" w:ascii="宋体" w:hAnsi="宋体" w:eastAsia="宋体" w:cs="宋体"/>
          <w:color w:val="auto"/>
          <w:szCs w:val="21"/>
          <w:highlight w:val="none"/>
          <w:lang w:val="en-US" w:eastAsia="zh-CN"/>
        </w:rPr>
        <w:t>1502室</w:t>
      </w:r>
    </w:p>
    <w:p>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联系人：陈先生</w:t>
      </w:r>
    </w:p>
    <w:p>
      <w:pPr>
        <w:widowControl/>
        <w:spacing w:line="360" w:lineRule="exact"/>
        <w:ind w:firstLine="42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监督投诉电话：0577-85600839</w:t>
      </w:r>
    </w:p>
    <w:p>
      <w:pPr>
        <w:widowControl/>
        <w:spacing w:line="360" w:lineRule="exact"/>
        <w:ind w:firstLine="428" w:firstLineChars="200"/>
        <w:rPr>
          <w:rFonts w:hint="eastAsia" w:ascii="宋体" w:hAnsi="宋体" w:eastAsia="宋体" w:cs="宋体"/>
          <w:color w:val="auto"/>
          <w:sz w:val="21"/>
          <w:szCs w:val="21"/>
          <w:highlight w:val="none"/>
          <w:lang w:eastAsia="zh-CN"/>
        </w:rPr>
      </w:pPr>
    </w:p>
    <w:p>
      <w:pPr>
        <w:pStyle w:val="3"/>
        <w:ind w:firstLine="321"/>
        <w:rPr>
          <w:rFonts w:hint="eastAsia" w:ascii="宋体" w:hAnsi="宋体" w:eastAsia="宋体" w:cs="宋体"/>
          <w:color w:val="auto"/>
          <w:sz w:val="21"/>
          <w:szCs w:val="21"/>
          <w:highlight w:val="none"/>
        </w:rPr>
      </w:pPr>
    </w:p>
    <w:p>
      <w:pPr>
        <w:widowControl/>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1"/>
          <w:szCs w:val="21"/>
          <w:highlight w:val="none"/>
          <w:lang w:eastAsia="zh-CN"/>
        </w:rPr>
        <w:t>400-881-7190</w:t>
      </w:r>
      <w:r>
        <w:rPr>
          <w:rFonts w:hint="eastAsia" w:ascii="宋体" w:hAnsi="宋体" w:eastAsia="宋体" w:cs="宋体"/>
          <w:color w:val="auto"/>
          <w:sz w:val="21"/>
          <w:szCs w:val="21"/>
          <w:highlight w:val="none"/>
        </w:rPr>
        <w:t>获取热线服务帮助。        </w:t>
      </w:r>
    </w:p>
    <w:p>
      <w:pPr>
        <w:widowControl/>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pPr>
        <w:pStyle w:val="6"/>
        <w:ind w:firstLine="1807" w:firstLineChars="845"/>
        <w:jc w:val="both"/>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br w:type="page"/>
      </w:r>
    </w:p>
    <w:p>
      <w:pPr>
        <w:pStyle w:val="6"/>
        <w:ind w:firstLine="3074" w:firstLineChars="845"/>
        <w:jc w:val="both"/>
        <w:rPr>
          <w:rFonts w:hint="eastAsia" w:ascii="宋体" w:hAnsi="宋体" w:eastAsia="宋体" w:cs="宋体"/>
          <w:color w:val="auto"/>
          <w:sz w:val="36"/>
          <w:szCs w:val="36"/>
          <w:highlight w:val="none"/>
        </w:rPr>
      </w:pPr>
    </w:p>
    <w:p>
      <w:pPr>
        <w:pStyle w:val="6"/>
        <w:ind w:firstLine="3074" w:firstLineChars="845"/>
        <w:jc w:val="both"/>
        <w:rPr>
          <w:rFonts w:hint="eastAsia" w:ascii="宋体" w:hAnsi="宋体" w:eastAsia="宋体" w:cs="宋体"/>
          <w:bCs w:val="0"/>
          <w:color w:val="auto"/>
          <w:kern w:val="0"/>
          <w:sz w:val="22"/>
          <w:szCs w:val="22"/>
          <w:highlight w:val="none"/>
        </w:rPr>
      </w:pPr>
      <w:bookmarkStart w:id="5" w:name="_Toc73917569"/>
      <w:r>
        <w:rPr>
          <w:rFonts w:hint="eastAsia" w:ascii="宋体" w:hAnsi="宋体" w:eastAsia="宋体" w:cs="宋体"/>
          <w:color w:val="auto"/>
          <w:sz w:val="36"/>
          <w:szCs w:val="36"/>
          <w:highlight w:val="none"/>
        </w:rPr>
        <w:t>供应商须知前附表</w:t>
      </w:r>
      <w:bookmarkEnd w:id="5"/>
    </w:p>
    <w:tbl>
      <w:tblPr>
        <w:tblStyle w:val="54"/>
        <w:tblW w:w="9464" w:type="dxa"/>
        <w:tblInd w:w="0" w:type="dxa"/>
        <w:tblLayout w:type="fixed"/>
        <w:tblCellMar>
          <w:top w:w="0" w:type="dxa"/>
          <w:left w:w="108" w:type="dxa"/>
          <w:bottom w:w="0" w:type="dxa"/>
          <w:right w:w="108" w:type="dxa"/>
        </w:tblCellMar>
      </w:tblPr>
      <w:tblGrid>
        <w:gridCol w:w="667"/>
        <w:gridCol w:w="1932"/>
        <w:gridCol w:w="6865"/>
      </w:tblGrid>
      <w:tr>
        <w:tblPrEx>
          <w:tblCellMar>
            <w:top w:w="0" w:type="dxa"/>
            <w:left w:w="108" w:type="dxa"/>
            <w:bottom w:w="0" w:type="dxa"/>
            <w:right w:w="108" w:type="dxa"/>
          </w:tblCellMar>
        </w:tblPrEx>
        <w:trPr>
          <w:trHeight w:val="612" w:hRule="atLeast"/>
          <w:tblHeader/>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条款名称</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编列内容</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采购人</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cs="宋体"/>
                <w:color w:val="auto"/>
                <w:szCs w:val="21"/>
                <w:highlight w:val="none"/>
                <w:lang w:eastAsia="zh-CN"/>
              </w:rPr>
              <w:t>温州市龙湾区发展和改革局</w:t>
            </w:r>
          </w:p>
          <w:p>
            <w:pPr>
              <w:keepNext w:val="0"/>
              <w:keepLines w:val="0"/>
              <w:widowControl/>
              <w:suppressLineNumbers w:val="0"/>
              <w:spacing w:before="0" w:beforeAutospacing="0" w:after="0" w:afterAutospacing="0" w:line="360" w:lineRule="exact"/>
              <w:ind w:left="0" w:right="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cs="宋体"/>
                <w:color w:val="auto"/>
                <w:szCs w:val="21"/>
                <w:highlight w:val="none"/>
                <w:lang w:eastAsia="zh-CN"/>
              </w:rPr>
              <w:t xml:space="preserve">温州市龙湾区龙湾区府大楼8F </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项目联系人（询问）： </w:t>
            </w:r>
            <w:r>
              <w:rPr>
                <w:rFonts w:hint="eastAsia" w:ascii="宋体" w:hAnsi="宋体" w:cs="宋体"/>
                <w:color w:val="auto"/>
                <w:szCs w:val="21"/>
                <w:highlight w:val="none"/>
                <w:lang w:val="en-US" w:eastAsia="zh-CN"/>
              </w:rPr>
              <w:t xml:space="preserve">王先生 </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项目联系方式（询问）：86960015</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val="en-US" w:eastAsia="zh-CN"/>
              </w:rPr>
              <w:t>蔡女士</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质疑联系方式：86960015</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2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采购代理机构</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名    称：</w:t>
            </w:r>
            <w:r>
              <w:rPr>
                <w:rFonts w:hint="eastAsia" w:ascii="宋体" w:hAnsi="宋体" w:eastAsia="宋体" w:cs="宋体"/>
                <w:bCs/>
                <w:color w:val="auto"/>
                <w:kern w:val="0"/>
                <w:sz w:val="21"/>
                <w:szCs w:val="21"/>
                <w:highlight w:val="none"/>
                <w:lang w:eastAsia="zh-CN"/>
              </w:rPr>
              <w:t>浙江鼎力工程项目管理有限公司</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温州市龙湾区蒲州街道汤车路55号汤锦园商业办公楼1号楼20层</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项目联系人（询问）：</w:t>
            </w:r>
            <w:r>
              <w:rPr>
                <w:rFonts w:hint="eastAsia" w:ascii="宋体" w:hAnsi="宋体" w:eastAsia="宋体" w:cs="宋体"/>
                <w:bCs/>
                <w:color w:val="auto"/>
                <w:kern w:val="0"/>
                <w:sz w:val="21"/>
                <w:szCs w:val="21"/>
                <w:highlight w:val="none"/>
                <w:lang w:eastAsia="zh-CN"/>
              </w:rPr>
              <w:t>陈女士</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项目联系方式（询问）：</w:t>
            </w:r>
            <w:r>
              <w:rPr>
                <w:rFonts w:hint="eastAsia" w:ascii="宋体" w:hAnsi="宋体" w:cs="宋体"/>
                <w:color w:val="auto"/>
                <w:szCs w:val="21"/>
                <w:highlight w:val="none"/>
                <w:lang w:val="en-US" w:eastAsia="zh-CN"/>
              </w:rPr>
              <w:t>0577-86530609</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质疑联系人：</w:t>
            </w:r>
            <w:r>
              <w:rPr>
                <w:rFonts w:hint="eastAsia" w:ascii="宋体" w:hAnsi="宋体" w:eastAsia="宋体" w:cs="宋体"/>
                <w:bCs/>
                <w:color w:val="auto"/>
                <w:kern w:val="0"/>
                <w:sz w:val="21"/>
                <w:szCs w:val="21"/>
                <w:highlight w:val="none"/>
                <w:lang w:val="en-US" w:eastAsia="zh-CN"/>
              </w:rPr>
              <w:t>王先生</w:t>
            </w:r>
            <w:r>
              <w:rPr>
                <w:rFonts w:hint="eastAsia" w:ascii="宋体" w:hAnsi="宋体" w:eastAsia="宋体" w:cs="宋体"/>
                <w:bCs/>
                <w:color w:val="auto"/>
                <w:kern w:val="0"/>
                <w:sz w:val="21"/>
                <w:szCs w:val="21"/>
                <w:highlight w:val="none"/>
              </w:rPr>
              <w:t xml:space="preserve"> </w:t>
            </w:r>
          </w:p>
          <w:p>
            <w:pPr>
              <w:keepNext w:val="0"/>
              <w:keepLines w:val="0"/>
              <w:widowControl/>
              <w:suppressLineNumbers w:val="0"/>
              <w:spacing w:before="0" w:beforeAutospacing="0" w:after="0" w:afterAutospacing="0" w:line="360" w:lineRule="exact"/>
              <w:ind w:left="0" w:right="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质疑联系方式：</w:t>
            </w:r>
            <w:r>
              <w:rPr>
                <w:rFonts w:hint="eastAsia" w:ascii="宋体" w:hAnsi="宋体" w:eastAsia="宋体" w:cs="宋体"/>
                <w:bCs/>
                <w:color w:val="auto"/>
                <w:kern w:val="0"/>
                <w:sz w:val="21"/>
                <w:szCs w:val="21"/>
                <w:highlight w:val="none"/>
                <w:lang w:eastAsia="zh-CN"/>
              </w:rPr>
              <w:t>15868725861</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龙湾区国民经济和社会发展十五五规划基本思路编制</w:t>
            </w:r>
          </w:p>
          <w:p>
            <w:pPr>
              <w:keepNext w:val="0"/>
              <w:keepLines w:val="0"/>
              <w:suppressLineNumbers w:val="0"/>
              <w:spacing w:before="0" w:beforeAutospacing="0" w:after="0" w:afterAutospacing="0" w:line="300" w:lineRule="exact"/>
              <w:ind w:left="0" w:right="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项目编号：</w:t>
            </w:r>
            <w:r>
              <w:rPr>
                <w:rFonts w:hint="eastAsia" w:ascii="宋体" w:hAnsi="宋体" w:cs="宋体"/>
                <w:bCs/>
                <w:color w:val="auto"/>
                <w:kern w:val="0"/>
                <w:sz w:val="21"/>
                <w:szCs w:val="21"/>
                <w:highlight w:val="none"/>
                <w:lang w:val="en-US" w:eastAsia="zh-CN"/>
              </w:rPr>
              <w:t>DLDL2024215</w:t>
            </w:r>
            <w:r>
              <w:rPr>
                <w:rFonts w:hint="eastAsia" w:ascii="宋体" w:hAnsi="宋体" w:eastAsia="宋体" w:cs="宋体"/>
                <w:bCs/>
                <w:color w:val="auto"/>
                <w:kern w:val="0"/>
                <w:sz w:val="21"/>
                <w:szCs w:val="21"/>
                <w:highlight w:val="none"/>
              </w:rPr>
              <w:t xml:space="preserve"> </w:t>
            </w:r>
          </w:p>
        </w:tc>
      </w:tr>
      <w:tr>
        <w:tblPrEx>
          <w:tblCellMar>
            <w:top w:w="0" w:type="dxa"/>
            <w:left w:w="108" w:type="dxa"/>
            <w:bottom w:w="0" w:type="dxa"/>
            <w:right w:w="108" w:type="dxa"/>
          </w:tblCellMar>
        </w:tblPrEx>
        <w:trPr>
          <w:trHeight w:val="587"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采购内容</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具体详见招标文件</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采购预算:</w:t>
            </w:r>
            <w:r>
              <w:rPr>
                <w:rFonts w:hint="eastAsia" w:ascii="宋体" w:hAnsi="宋体" w:cs="宋体"/>
                <w:color w:val="auto"/>
                <w:sz w:val="21"/>
                <w:szCs w:val="21"/>
                <w:highlight w:val="none"/>
                <w:lang w:val="en-US" w:eastAsia="zh-CN"/>
              </w:rPr>
              <w:t>500000</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single"/>
              </w:rPr>
              <w:t>▲</w:t>
            </w:r>
            <w:r>
              <w:rPr>
                <w:rFonts w:hint="eastAsia" w:ascii="宋体" w:hAnsi="宋体" w:eastAsia="宋体" w:cs="宋体"/>
                <w:b/>
                <w:bCs/>
                <w:color w:val="auto"/>
                <w:kern w:val="0"/>
                <w:sz w:val="21"/>
                <w:szCs w:val="21"/>
                <w:highlight w:val="none"/>
                <w:u w:val="single"/>
              </w:rPr>
              <w:t>超预算按无效标处理。</w:t>
            </w:r>
          </w:p>
        </w:tc>
      </w:tr>
      <w:tr>
        <w:tblPrEx>
          <w:tblCellMar>
            <w:top w:w="0" w:type="dxa"/>
            <w:left w:w="108" w:type="dxa"/>
            <w:bottom w:w="0" w:type="dxa"/>
            <w:right w:w="108" w:type="dxa"/>
          </w:tblCellMar>
        </w:tblPrEx>
        <w:trPr>
          <w:trHeight w:val="509"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供应商资格要求</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详见“竞争性磋商公告”规定</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是否接受联合体磋商响应</w:t>
            </w:r>
          </w:p>
        </w:tc>
        <w:tc>
          <w:tcPr>
            <w:tcW w:w="6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leftChars="0" w:right="0" w:rightChars="0"/>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zh-CN"/>
              </w:rPr>
              <w:t>详见“竞争性磋商公告”规定</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踏勘现场</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w:t>
            </w:r>
          </w:p>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b/>
                <w:snapToGrid w:val="0"/>
                <w:color w:val="auto"/>
                <w:sz w:val="21"/>
                <w:szCs w:val="21"/>
                <w:highlight w:val="none"/>
              </w:rPr>
              <w:sym w:font="Wingdings" w:char="F0FE"/>
            </w:r>
            <w:r>
              <w:rPr>
                <w:rFonts w:hint="eastAsia" w:ascii="宋体" w:hAnsi="宋体" w:eastAsia="宋体" w:cs="宋体"/>
                <w:color w:val="auto"/>
                <w:kern w:val="0"/>
                <w:sz w:val="21"/>
                <w:szCs w:val="21"/>
                <w:highlight w:val="none"/>
              </w:rPr>
              <w:t>不组织，供应商自行前往项目现场进行踏勘。</w:t>
            </w:r>
          </w:p>
        </w:tc>
      </w:tr>
      <w:tr>
        <w:tblPrEx>
          <w:tblCellMar>
            <w:top w:w="0" w:type="dxa"/>
            <w:left w:w="108" w:type="dxa"/>
            <w:bottom w:w="0" w:type="dxa"/>
            <w:right w:w="108" w:type="dxa"/>
          </w:tblCellMar>
        </w:tblPrEx>
        <w:trPr>
          <w:trHeight w:val="419"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投标预备会</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□召开     </w:t>
            </w:r>
            <w:r>
              <w:rPr>
                <w:rFonts w:hint="eastAsia" w:ascii="宋体" w:hAnsi="宋体" w:eastAsia="宋体" w:cs="宋体"/>
                <w:b/>
                <w:snapToGrid w:val="0"/>
                <w:color w:val="auto"/>
                <w:sz w:val="21"/>
                <w:szCs w:val="21"/>
                <w:highlight w:val="none"/>
              </w:rPr>
              <w:sym w:font="Wingdings" w:char="F0FE"/>
            </w:r>
            <w:r>
              <w:rPr>
                <w:rFonts w:hint="eastAsia" w:ascii="宋体" w:hAnsi="宋体" w:eastAsia="宋体" w:cs="宋体"/>
                <w:color w:val="auto"/>
                <w:kern w:val="0"/>
                <w:sz w:val="21"/>
                <w:szCs w:val="21"/>
                <w:highlight w:val="none"/>
              </w:rPr>
              <w:t>不召开</w:t>
            </w:r>
          </w:p>
        </w:tc>
      </w:tr>
      <w:tr>
        <w:tblPrEx>
          <w:tblCellMar>
            <w:top w:w="0" w:type="dxa"/>
            <w:left w:w="108" w:type="dxa"/>
            <w:bottom w:w="0" w:type="dxa"/>
            <w:right w:w="108"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磋商响应文件递交截止时间</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val="zh-CN"/>
              </w:rPr>
              <w:t>详见“竞争性磋商公告”规定</w:t>
            </w:r>
          </w:p>
        </w:tc>
      </w:tr>
      <w:tr>
        <w:tblPrEx>
          <w:tblCellMar>
            <w:top w:w="0" w:type="dxa"/>
            <w:left w:w="108" w:type="dxa"/>
            <w:bottom w:w="0" w:type="dxa"/>
            <w:right w:w="108" w:type="dxa"/>
          </w:tblCellMar>
        </w:tblPrEx>
        <w:trPr>
          <w:trHeight w:val="43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snapToGrid w:val="0"/>
                <w:color w:val="auto"/>
                <w:sz w:val="21"/>
                <w:szCs w:val="21"/>
                <w:highlight w:val="none"/>
              </w:rPr>
              <w:sym w:font="Wingdings" w:char="00A8"/>
            </w:r>
            <w:r>
              <w:rPr>
                <w:rFonts w:hint="eastAsia" w:ascii="宋体" w:hAnsi="宋体" w:eastAsia="宋体" w:cs="宋体"/>
                <w:color w:val="auto"/>
                <w:kern w:val="0"/>
                <w:sz w:val="21"/>
                <w:szCs w:val="21"/>
                <w:highlight w:val="none"/>
              </w:rPr>
              <w:t xml:space="preserve">允许     </w:t>
            </w:r>
            <w:r>
              <w:rPr>
                <w:rFonts w:hint="eastAsia" w:ascii="宋体" w:hAnsi="宋体" w:eastAsia="宋体" w:cs="宋体"/>
                <w:b/>
                <w:color w:val="auto"/>
                <w:kern w:val="0"/>
                <w:sz w:val="21"/>
                <w:szCs w:val="21"/>
                <w:highlight w:val="none"/>
              </w:rPr>
              <w:t>☑</w:t>
            </w:r>
            <w:r>
              <w:rPr>
                <w:rFonts w:hint="eastAsia" w:ascii="宋体" w:hAnsi="宋体" w:eastAsia="宋体" w:cs="宋体"/>
                <w:color w:val="auto"/>
                <w:kern w:val="0"/>
                <w:sz w:val="21"/>
                <w:szCs w:val="21"/>
                <w:highlight w:val="none"/>
              </w:rPr>
              <w:t>不允许</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差允许幅度及其处理方法：允许细微偏差，不允许重大偏差。由磋商小组判断，细微偏差要求供应商在评审结束前予以澄清、说明或补正，不接受要求进行的，磋商小组有权做无效标处理，详见评审及磋商办法。</w:t>
            </w:r>
          </w:p>
        </w:tc>
      </w:tr>
      <w:tr>
        <w:tblPrEx>
          <w:tblCellMar>
            <w:top w:w="0" w:type="dxa"/>
            <w:left w:w="108" w:type="dxa"/>
            <w:bottom w:w="0" w:type="dxa"/>
            <w:right w:w="108" w:type="dxa"/>
          </w:tblCellMar>
        </w:tblPrEx>
        <w:trPr>
          <w:trHeight w:val="78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磋商响应文件有效期</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磋商响应文件自磋商响应文件递交截止时间起生效，有效期</w:t>
            </w:r>
            <w:r>
              <w:rPr>
                <w:rFonts w:hint="eastAsia" w:ascii="宋体" w:hAnsi="宋体" w:eastAsia="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u w:val="single"/>
              </w:rPr>
              <w:t>90</w:t>
            </w:r>
            <w:r>
              <w:rPr>
                <w:rFonts w:hint="eastAsia" w:ascii="宋体" w:hAnsi="宋体" w:eastAsia="宋体" w:cs="宋体"/>
                <w:b/>
                <w:bCs/>
                <w:color w:val="auto"/>
                <w:kern w:val="0"/>
                <w:sz w:val="21"/>
                <w:szCs w:val="21"/>
                <w:highlight w:val="none"/>
              </w:rPr>
              <w:t>天</w:t>
            </w:r>
            <w:r>
              <w:rPr>
                <w:rFonts w:hint="eastAsia" w:ascii="宋体" w:hAnsi="宋体" w:eastAsia="宋体" w:cs="宋体"/>
                <w:color w:val="auto"/>
                <w:kern w:val="0"/>
                <w:sz w:val="21"/>
                <w:szCs w:val="21"/>
                <w:highlight w:val="none"/>
              </w:rPr>
              <w:t>。</w:t>
            </w:r>
          </w:p>
        </w:tc>
      </w:tr>
      <w:tr>
        <w:tblPrEx>
          <w:tblCellMar>
            <w:top w:w="0" w:type="dxa"/>
            <w:left w:w="108" w:type="dxa"/>
            <w:bottom w:w="0" w:type="dxa"/>
            <w:right w:w="108" w:type="dxa"/>
          </w:tblCellMar>
        </w:tblPrEx>
        <w:trPr>
          <w:trHeight w:val="491"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投标保证金</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b/>
                <w:bCs/>
                <w:color w:val="auto"/>
                <w:kern w:val="0"/>
                <w:sz w:val="21"/>
                <w:szCs w:val="21"/>
                <w:highlight w:val="none"/>
                <w:u w:val="none"/>
              </w:rPr>
            </w:pPr>
            <w:r>
              <w:rPr>
                <w:rFonts w:hint="eastAsia" w:ascii="宋体" w:hAnsi="宋体" w:eastAsia="宋体" w:cs="宋体"/>
                <w:b/>
                <w:bCs/>
                <w:color w:val="auto"/>
                <w:kern w:val="0"/>
                <w:sz w:val="21"/>
                <w:szCs w:val="21"/>
                <w:highlight w:val="none"/>
                <w:u w:val="none"/>
              </w:rPr>
              <w:t>不提交</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磋商响应文件形式、制作及组成</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本项目实行网上投标。</w:t>
            </w:r>
          </w:p>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供应商应准备电子磋商响应文件、以介质存储的数据电文形式的备份磋商响应文件：</w:t>
            </w:r>
          </w:p>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（1）电子磋商响应文件，按政采云平台项目采购-电子招投标操作指南及本竞争性磋商采购文件要求递交。</w:t>
            </w:r>
          </w:p>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（2）以介质存储的数据电文形式的备份磋商响应文件，按政采云平台项目采购-电子招投标操作指南中上传的电子磋商响应文件格式，以U盘形式提供。数量为1份。</w:t>
            </w:r>
          </w:p>
          <w:p>
            <w:pPr>
              <w:keepNext w:val="0"/>
              <w:keepLines w:val="0"/>
              <w:suppressLineNumbers w:val="0"/>
              <w:spacing w:before="0" w:beforeAutospacing="0" w:after="0" w:afterAutospacing="0" w:line="300" w:lineRule="exact"/>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磋商响应文件由资格审查资料、商务技术标、报价标三部分组成。</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atLeast"/>
              <w:ind w:left="0" w:leftChars="0" w:right="0" w:rightChars="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磋商响应文件份数</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（1）“电子加密响应文件”：在线上传递交，一份。</w:t>
            </w:r>
          </w:p>
          <w:p>
            <w:pPr>
              <w:keepNext w:val="0"/>
              <w:keepLines w:val="0"/>
              <w:suppressLineNumbers w:val="0"/>
              <w:spacing w:before="0" w:beforeAutospacing="0" w:after="0" w:afterAutospacing="0" w:line="32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（2）“备份响应文件”：可以以电子邮件方式传送至</w:t>
            </w:r>
            <w:r>
              <w:rPr>
                <w:rFonts w:hint="eastAsia" w:ascii="宋体" w:hAnsi="宋体" w:cs="宋体"/>
                <w:color w:val="auto"/>
                <w:kern w:val="0"/>
                <w:szCs w:val="21"/>
                <w:highlight w:val="none"/>
                <w:lang w:eastAsia="zh-CN"/>
              </w:rPr>
              <w:t>浙江鼎力工程项目管理有限公司</w:t>
            </w:r>
            <w:r>
              <w:rPr>
                <w:rFonts w:hint="eastAsia" w:ascii="宋体" w:hAnsi="宋体" w:eastAsia="宋体" w:cs="宋体"/>
                <w:color w:val="auto"/>
                <w:kern w:val="0"/>
                <w:szCs w:val="21"/>
                <w:highlight w:val="none"/>
              </w:rPr>
              <w:t>电子邮箱（</w:t>
            </w:r>
            <w:r>
              <w:rPr>
                <w:rFonts w:hint="eastAsia" w:ascii="宋体" w:hAnsi="宋体" w:cs="宋体"/>
                <w:color w:val="auto"/>
                <w:kern w:val="0"/>
                <w:szCs w:val="21"/>
                <w:highlight w:val="none"/>
                <w:lang w:eastAsia="zh-CN"/>
              </w:rPr>
              <w:t>497618394</w:t>
            </w:r>
            <w:r>
              <w:rPr>
                <w:rFonts w:hint="eastAsia" w:ascii="宋体" w:hAnsi="宋体" w:eastAsia="宋体" w:cs="宋体"/>
                <w:color w:val="auto"/>
                <w:kern w:val="0"/>
                <w:szCs w:val="21"/>
                <w:highlight w:val="none"/>
              </w:rPr>
              <w:t>@qq.com）在投标截止时间前收到；也可以用</w:t>
            </w:r>
            <w:r>
              <w:rPr>
                <w:rFonts w:hint="eastAsia" w:ascii="宋体" w:hAnsi="宋体" w:eastAsia="宋体" w:cs="宋体"/>
                <w:color w:val="auto"/>
                <w:kern w:val="0"/>
                <w:szCs w:val="21"/>
                <w:highlight w:val="none"/>
                <w:lang w:val="zh-CN"/>
              </w:rPr>
              <w:t>以</w:t>
            </w:r>
            <w:r>
              <w:rPr>
                <w:rFonts w:hint="eastAsia" w:ascii="宋体" w:hAnsi="宋体" w:eastAsia="宋体" w:cs="宋体"/>
                <w:color w:val="auto"/>
                <w:kern w:val="0"/>
                <w:szCs w:val="21"/>
                <w:highlight w:val="none"/>
              </w:rPr>
              <w:t>U</w:t>
            </w:r>
            <w:r>
              <w:rPr>
                <w:rFonts w:hint="eastAsia" w:ascii="宋体" w:hAnsi="宋体" w:eastAsia="宋体" w:cs="宋体"/>
                <w:color w:val="auto"/>
                <w:kern w:val="0"/>
                <w:szCs w:val="21"/>
                <w:highlight w:val="none"/>
                <w:lang w:val="zh-CN"/>
              </w:rPr>
              <w:t>盘存储</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密封包装后</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顺丰快递或</w:t>
            </w:r>
            <w:r>
              <w:rPr>
                <w:rFonts w:hint="eastAsia" w:ascii="宋体" w:hAnsi="宋体" w:eastAsia="宋体" w:cs="宋体"/>
                <w:color w:val="auto"/>
                <w:kern w:val="0"/>
                <w:szCs w:val="21"/>
                <w:highlight w:val="none"/>
              </w:rPr>
              <w:t>EMS</w:t>
            </w:r>
            <w:r>
              <w:rPr>
                <w:rFonts w:hint="eastAsia" w:ascii="宋体" w:hAnsi="宋体" w:eastAsia="宋体" w:cs="宋体"/>
                <w:color w:val="auto"/>
                <w:kern w:val="0"/>
                <w:szCs w:val="21"/>
                <w:highlight w:val="none"/>
                <w:lang w:val="zh-CN"/>
              </w:rPr>
              <w:t>邮寄形式</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在投标文件递交截止时间一天前递交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一份</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邮寄地址</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温州市龙湾区蒲州街道汤车路55号汤锦园商业办公楼1号楼20层</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陈密珍</w:t>
            </w:r>
            <w:r>
              <w:rPr>
                <w:rFonts w:hint="eastAsia" w:ascii="宋体" w:hAnsi="宋体" w:eastAsia="宋体" w:cs="宋体"/>
                <w:color w:val="auto"/>
                <w:kern w:val="0"/>
                <w:szCs w:val="21"/>
                <w:highlight w:val="none"/>
                <w:lang w:val="zh-CN"/>
              </w:rPr>
              <w:t>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eastAsia="zh-CN"/>
              </w:rPr>
              <w:t>15968744226</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pacing w:before="0" w:beforeAutospacing="0" w:after="0" w:afterAutospacing="0" w:line="300" w:lineRule="atLeast"/>
              <w:ind w:left="0" w:leftChars="0" w:right="0" w:righ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Cs w:val="21"/>
                <w:highlight w:val="none"/>
              </w:rPr>
              <w:t>（3）</w:t>
            </w:r>
            <w:r>
              <w:rPr>
                <w:rFonts w:hint="eastAsia" w:ascii="宋体" w:hAnsi="宋体" w:eastAsia="宋体" w:cs="宋体"/>
                <w:b/>
                <w:color w:val="auto"/>
                <w:kern w:val="0"/>
                <w:szCs w:val="21"/>
                <w:highlight w:val="none"/>
              </w:rPr>
              <w:t>供应商中标后提供一正三副纸质响应文件和电子响应文件与纸质响应文件内容一致的承诺书给采购组织机构留底以作项目验收存档使用</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磋商响应文件签字或盖章要求</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磋商响应文件的相应位置应加盖：</w:t>
            </w:r>
            <w:r>
              <w:rPr>
                <w:rFonts w:hint="eastAsia" w:ascii="宋体" w:hAnsi="宋体" w:eastAsia="宋体" w:cs="宋体"/>
                <w:b/>
                <w:bCs/>
                <w:color w:val="auto"/>
                <w:kern w:val="0"/>
                <w:sz w:val="21"/>
                <w:szCs w:val="21"/>
                <w:highlight w:val="none"/>
                <w:lang w:val="en-US" w:eastAsia="zh-CN"/>
              </w:rPr>
              <w:t>盖章或</w:t>
            </w:r>
            <w:r>
              <w:rPr>
                <w:rFonts w:hint="eastAsia" w:ascii="宋体" w:hAnsi="宋体" w:eastAsia="宋体" w:cs="宋体"/>
                <w:b/>
                <w:color w:val="auto"/>
                <w:kern w:val="0"/>
                <w:sz w:val="21"/>
                <w:szCs w:val="21"/>
                <w:highlight w:val="none"/>
                <w:lang w:val="zh-CN"/>
              </w:rPr>
              <w:t>电子</w:t>
            </w:r>
            <w:r>
              <w:rPr>
                <w:rFonts w:hint="eastAsia" w:ascii="宋体" w:hAnsi="宋体" w:eastAsia="宋体" w:cs="宋体"/>
                <w:b/>
                <w:color w:val="auto"/>
                <w:kern w:val="0"/>
                <w:sz w:val="21"/>
                <w:szCs w:val="21"/>
                <w:highlight w:val="none"/>
                <w:lang w:val="en-US" w:eastAsia="zh-CN"/>
              </w:rPr>
              <w:t>CA</w:t>
            </w:r>
            <w:r>
              <w:rPr>
                <w:rFonts w:hint="eastAsia" w:ascii="宋体" w:hAnsi="宋体" w:eastAsia="宋体" w:cs="宋体"/>
                <w:b/>
                <w:color w:val="auto"/>
                <w:kern w:val="0"/>
                <w:sz w:val="21"/>
                <w:szCs w:val="21"/>
                <w:highlight w:val="none"/>
                <w:lang w:val="zh-CN"/>
              </w:rPr>
              <w:t>签章</w:t>
            </w:r>
            <w:r>
              <w:rPr>
                <w:rFonts w:hint="eastAsia" w:ascii="宋体" w:hAnsi="宋体" w:eastAsia="宋体" w:cs="宋体"/>
                <w:color w:val="auto"/>
                <w:kern w:val="0"/>
                <w:sz w:val="21"/>
                <w:szCs w:val="21"/>
                <w:highlight w:val="none"/>
                <w:lang w:val="zh-CN"/>
              </w:rPr>
              <w:t>。</w:t>
            </w:r>
          </w:p>
        </w:tc>
      </w:tr>
      <w:tr>
        <w:tblPrEx>
          <w:tblCellMar>
            <w:top w:w="0" w:type="dxa"/>
            <w:left w:w="108" w:type="dxa"/>
            <w:bottom w:w="0" w:type="dxa"/>
            <w:right w:w="108" w:type="dxa"/>
          </w:tblCellMar>
        </w:tblPrEx>
        <w:trPr>
          <w:trHeight w:val="72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磋商响应文件的上传和递交</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应当在磋商响应文件递交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磋商响应文件递交截止时间后送达的磋商响应文件，将被政采云平台拒收。</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（2）供应商应当在磋商响应文件递交截止时间之前将以介质存储的数据电文形式的备份磋商响应文件密封送交到</w:t>
            </w:r>
            <w:r>
              <w:rPr>
                <w:rFonts w:hint="eastAsia" w:ascii="宋体" w:hAnsi="宋体" w:cs="宋体"/>
                <w:color w:val="auto"/>
                <w:kern w:val="0"/>
                <w:sz w:val="21"/>
                <w:szCs w:val="21"/>
                <w:highlight w:val="none"/>
                <w:lang w:eastAsia="zh-CN"/>
              </w:rPr>
              <w:t>温州市龙湾区蒲州街道汤车路55号汤锦园商业办公楼1号楼20层</w:t>
            </w:r>
            <w:r>
              <w:rPr>
                <w:rFonts w:hint="eastAsia" w:ascii="宋体" w:hAnsi="宋体" w:eastAsia="宋体" w:cs="宋体"/>
                <w:color w:val="auto"/>
                <w:kern w:val="0"/>
                <w:sz w:val="21"/>
                <w:szCs w:val="21"/>
                <w:highlight w:val="none"/>
              </w:rPr>
              <w:t>，逾期送达或未密封将被拒收。</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供应商递交以介质存储的数据电文形式的备份磋商响应文件时，如出现下列情况之一的，将被拒收：</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1.未按规定密封或标记的磋商响应文件；</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2.由于包装不妥，在送交途中严重破损或失散的；</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3.未成功办理供应商报名手续的；</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4.超过磋商响应文件递交截止时间送达的。</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z w:val="21"/>
                <w:szCs w:val="21"/>
                <w:highlight w:val="none"/>
                <w:u w:val="single"/>
              </w:rPr>
              <w:t>▲</w:t>
            </w:r>
            <w:r>
              <w:rPr>
                <w:rFonts w:hint="eastAsia" w:ascii="宋体" w:hAnsi="宋体" w:eastAsia="宋体" w:cs="宋体"/>
                <w:b/>
                <w:bCs/>
                <w:color w:val="auto"/>
                <w:kern w:val="0"/>
                <w:sz w:val="21"/>
                <w:szCs w:val="21"/>
                <w:highlight w:val="none"/>
                <w:u w:val="single"/>
              </w:rPr>
              <w:t>仅提供备份磋商响应文件的，投标无效。</w:t>
            </w:r>
          </w:p>
          <w:p>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仅提供备份磋商响应文件，造成项目开标评审及磋商活动无法进行下去的，投标（磋商响应）无效，相关风险由供应商自行承担。</w:t>
            </w:r>
          </w:p>
        </w:tc>
      </w:tr>
      <w:tr>
        <w:tblPrEx>
          <w:tblCellMar>
            <w:top w:w="0" w:type="dxa"/>
            <w:left w:w="108" w:type="dxa"/>
            <w:bottom w:w="0" w:type="dxa"/>
            <w:right w:w="108" w:type="dxa"/>
          </w:tblCellMar>
        </w:tblPrEx>
        <w:trPr>
          <w:trHeight w:val="35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开标时间和评标地点</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开标时间：</w:t>
            </w:r>
            <w:r>
              <w:rPr>
                <w:rFonts w:hint="eastAsia" w:ascii="宋体" w:hAnsi="宋体" w:eastAsia="宋体" w:cs="宋体"/>
                <w:b/>
                <w:color w:val="auto"/>
                <w:kern w:val="0"/>
                <w:sz w:val="21"/>
                <w:szCs w:val="21"/>
                <w:highlight w:val="none"/>
                <w:lang w:val="zh-CN"/>
              </w:rPr>
              <w:t>详见“竞争性磋商公告”规定</w:t>
            </w:r>
          </w:p>
          <w:p>
            <w:pPr>
              <w:keepNext w:val="0"/>
              <w:keepLines w:val="0"/>
              <w:suppressLineNumbers w:val="0"/>
              <w:spacing w:before="0" w:beforeAutospacing="0" w:after="0" w:afterAutospacing="0" w:line="300" w:lineRule="exact"/>
              <w:ind w:left="0" w:leftChars="0" w:right="0" w:righ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评标地点：供应商不必抵达开标现场，仅需在任意地点通过“政府采购云平台（</w:t>
            </w:r>
            <w:r>
              <w:rPr>
                <w:rFonts w:hint="eastAsia" w:ascii="宋体" w:hAnsi="宋体" w:eastAsia="宋体" w:cs="宋体"/>
                <w:color w:val="auto"/>
                <w:kern w:val="0"/>
                <w:sz w:val="21"/>
                <w:szCs w:val="21"/>
                <w:highlight w:val="none"/>
                <w:lang w:eastAsia="zh-CN"/>
              </w:rPr>
              <w:t>https://zfcg.czt.zj.gov.cn/</w:t>
            </w:r>
            <w:r>
              <w:rPr>
                <w:rFonts w:hint="eastAsia" w:ascii="宋体" w:hAnsi="宋体" w:eastAsia="宋体" w:cs="宋体"/>
                <w:color w:val="auto"/>
                <w:kern w:val="0"/>
                <w:sz w:val="21"/>
                <w:szCs w:val="21"/>
                <w:highlight w:val="none"/>
              </w:rPr>
              <w:t>）”在线投标响应。</w:t>
            </w:r>
          </w:p>
        </w:tc>
      </w:tr>
      <w:tr>
        <w:tblPrEx>
          <w:tblCellMar>
            <w:top w:w="0" w:type="dxa"/>
            <w:left w:w="108" w:type="dxa"/>
            <w:bottom w:w="0" w:type="dxa"/>
            <w:right w:w="108" w:type="dxa"/>
          </w:tblCellMar>
        </w:tblPrEx>
        <w:trPr>
          <w:trHeight w:val="699"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atLeast"/>
              <w:ind w:left="0" w:leftChars="0" w:right="0" w:rightChars="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电子加密磋商响应文件的解密和异常情况处理</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（1）开标后，采购组织机构将向各供应商发出“电子加密磋商响应文件”的解密通知，各供应商代表应当在接到解密通知后30分钟内自行完成“电子加密磋商响应文件”的在线解密。</w:t>
            </w:r>
          </w:p>
          <w:p>
            <w:pPr>
              <w:keepNext w:val="0"/>
              <w:keepLines w:val="0"/>
              <w:suppressLineNumbers w:val="0"/>
              <w:autoSpaceDE w:val="0"/>
              <w:autoSpaceDN w:val="0"/>
              <w:adjustRightInd w:val="0"/>
              <w:spacing w:before="0" w:beforeAutospacing="0" w:after="0" w:afterAutospacing="0" w:line="300" w:lineRule="atLeast"/>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通过“政采云平台”成功上传递交的“电子加密磋商响应文件”无法按时解密，供应商如按规定递交了“备份磋商响应文件”的，以“备份磋商响应文件”为依据（由采购组织机构按“政采云平台”操作规范将“备份磋商响应文件”上传至“政采云平台”，上传成功后，“电子加密磋商响应文件”自动失效），否则视为磋商响应文件撤回。</w:t>
            </w:r>
          </w:p>
          <w:p>
            <w:pPr>
              <w:keepNext w:val="0"/>
              <w:keepLines w:val="0"/>
              <w:suppressLineNumbers w:val="0"/>
              <w:autoSpaceDE w:val="0"/>
              <w:autoSpaceDN w:val="0"/>
              <w:adjustRightInd w:val="0"/>
              <w:spacing w:before="0" w:beforeAutospacing="0" w:after="0" w:afterAutospacing="0" w:line="300" w:lineRule="atLeast"/>
              <w:ind w:left="0" w:leftChars="0" w:right="0" w:righ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eastAsia="宋体" w:cs="宋体"/>
                <w:color w:val="auto"/>
                <w:sz w:val="21"/>
                <w:szCs w:val="21"/>
                <w:highlight w:val="none"/>
                <w:u w:val="single"/>
              </w:rPr>
              <w:t>▲</w:t>
            </w:r>
            <w:r>
              <w:rPr>
                <w:rFonts w:hint="eastAsia" w:ascii="宋体" w:hAnsi="宋体" w:eastAsia="宋体" w:cs="宋体"/>
                <w:b/>
                <w:bCs/>
                <w:color w:val="auto"/>
                <w:kern w:val="0"/>
                <w:sz w:val="21"/>
                <w:szCs w:val="21"/>
                <w:highlight w:val="none"/>
                <w:u w:val="single"/>
                <w:lang w:val="zh-CN"/>
              </w:rPr>
              <w:t>磋商响应文件递交截止时间前，供应商仅递交了“备份磋商响应文件”而未将电子加密磋商响应文件上传至“政采云平台”的，投标无效。</w:t>
            </w:r>
          </w:p>
        </w:tc>
      </w:tr>
      <w:tr>
        <w:tblPrEx>
          <w:tblCellMar>
            <w:top w:w="0" w:type="dxa"/>
            <w:left w:w="108" w:type="dxa"/>
            <w:bottom w:w="0" w:type="dxa"/>
            <w:right w:w="108" w:type="dxa"/>
          </w:tblCellMar>
        </w:tblPrEx>
        <w:trPr>
          <w:trHeight w:val="70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磋商评审程序</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1）磋商响应文件递交截止时间后，供应商登录政采云平台，用“项目采购-开标评标”功能对电子磋商响应文件进行在线解密。在线解密电子磋商文件时间为开标时间起</w:t>
            </w:r>
            <w:r>
              <w:rPr>
                <w:rFonts w:hint="eastAsia" w:ascii="宋体" w:hAnsi="宋体" w:eastAsia="宋体" w:cs="宋体"/>
                <w:b/>
                <w:bCs/>
                <w:color w:val="auto"/>
                <w:kern w:val="0"/>
                <w:sz w:val="21"/>
                <w:szCs w:val="21"/>
                <w:highlight w:val="none"/>
                <w:lang w:val="en-US" w:eastAsia="zh-CN"/>
              </w:rPr>
              <w:t>30分钟</w:t>
            </w:r>
            <w:r>
              <w:rPr>
                <w:rFonts w:hint="eastAsia" w:ascii="宋体" w:hAnsi="宋体" w:eastAsia="宋体" w:cs="宋体"/>
                <w:b/>
                <w:bCs/>
                <w:color w:val="auto"/>
                <w:kern w:val="0"/>
                <w:sz w:val="21"/>
                <w:szCs w:val="21"/>
                <w:highlight w:val="none"/>
              </w:rPr>
              <w:t>内</w:t>
            </w:r>
            <w:r>
              <w:rPr>
                <w:rFonts w:hint="eastAsia" w:ascii="宋体" w:hAnsi="宋体" w:eastAsia="宋体" w:cs="宋体"/>
                <w:color w:val="auto"/>
                <w:kern w:val="0"/>
                <w:sz w:val="21"/>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2）采购代理机构对供应商进行资格审查；</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3）磋商小组对通过资格审查的磋商响应文件进行评分；</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4）如有必要，磋商小组与供应商进行线上磋商；</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5）磋商小组要求供应商在规定的时间内在政采云平台提交二次（最终）报价；</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6）在系统上公开资格审查、商务技术文件及报价文件评分结果；</w:t>
            </w:r>
          </w:p>
          <w:p>
            <w:pPr>
              <w:keepNext w:val="0"/>
              <w:keepLines w:val="0"/>
              <w:suppressLineNumbers w:val="0"/>
              <w:spacing w:before="0" w:beforeAutospacing="0" w:after="0" w:afterAutospacing="0"/>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7）磋商小组编写磋商评审报告。</w:t>
            </w:r>
          </w:p>
          <w:p>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说明：政采云公司如对电子化开标及评审程序有调整的，按调整后的程序操作。</w:t>
            </w:r>
          </w:p>
        </w:tc>
      </w:tr>
      <w:tr>
        <w:tblPrEx>
          <w:tblCellMar>
            <w:top w:w="0" w:type="dxa"/>
            <w:left w:w="108" w:type="dxa"/>
            <w:bottom w:w="0" w:type="dxa"/>
            <w:right w:w="108" w:type="dxa"/>
          </w:tblCellMar>
        </w:tblPrEx>
        <w:trPr>
          <w:trHeight w:val="7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磋商小组的组建</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磋商小组由采购人代表和评审专家共3人以上单数组成，其中评审专家人数不得少于磋商小组成员总数的2/3。评审专家应当从政府采购评审专家库内相关专业的专家名单中随机抽取。</w:t>
            </w:r>
          </w:p>
        </w:tc>
      </w:tr>
      <w:tr>
        <w:tblPrEx>
          <w:tblCellMar>
            <w:top w:w="0" w:type="dxa"/>
            <w:left w:w="108" w:type="dxa"/>
            <w:bottom w:w="0" w:type="dxa"/>
            <w:right w:w="108" w:type="dxa"/>
          </w:tblCellMar>
        </w:tblPrEx>
        <w:trPr>
          <w:trHeight w:val="9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 件</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□提交，具体要求见供应商须知</w:t>
            </w:r>
          </w:p>
          <w:p>
            <w:pPr>
              <w:keepNext w:val="0"/>
              <w:keepLines w:val="0"/>
              <w:suppressLineNumbers w:val="0"/>
              <w:spacing w:before="0" w:beforeAutospacing="0" w:after="0" w:afterAutospacing="0" w:line="30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b/>
                <w:snapToGrid w:val="0"/>
                <w:color w:val="auto"/>
                <w:sz w:val="21"/>
                <w:szCs w:val="21"/>
                <w:highlight w:val="none"/>
              </w:rPr>
              <w:sym w:font="Wingdings" w:char="00FE"/>
            </w:r>
            <w:r>
              <w:rPr>
                <w:rFonts w:hint="eastAsia" w:ascii="宋体" w:hAnsi="宋体" w:eastAsia="宋体" w:cs="宋体"/>
                <w:color w:val="auto"/>
                <w:kern w:val="0"/>
                <w:sz w:val="21"/>
                <w:szCs w:val="21"/>
                <w:highlight w:val="none"/>
              </w:rPr>
              <w:t>不提交</w:t>
            </w:r>
          </w:p>
        </w:tc>
      </w:tr>
      <w:tr>
        <w:tblPrEx>
          <w:tblCellMar>
            <w:top w:w="0" w:type="dxa"/>
            <w:left w:w="108" w:type="dxa"/>
            <w:bottom w:w="0" w:type="dxa"/>
            <w:right w:w="108" w:type="dxa"/>
          </w:tblCellMar>
        </w:tblPrEx>
        <w:trPr>
          <w:trHeight w:val="383"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不要求</w:t>
            </w:r>
          </w:p>
        </w:tc>
      </w:tr>
      <w:tr>
        <w:tblPrEx>
          <w:tblCellMar>
            <w:top w:w="0" w:type="dxa"/>
            <w:left w:w="108" w:type="dxa"/>
            <w:bottom w:w="0" w:type="dxa"/>
            <w:right w:w="108" w:type="dxa"/>
          </w:tblCellMar>
        </w:tblPrEx>
        <w:trPr>
          <w:trHeight w:val="85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政府采购政策</w:t>
            </w:r>
          </w:p>
          <w:p>
            <w:pPr>
              <w:pStyle w:val="3"/>
              <w:keepNext w:val="0"/>
              <w:keepLines w:val="0"/>
              <w:suppressLineNumbers w:val="0"/>
              <w:spacing w:before="0" w:beforeAutospacing="0" w:afterAutospacing="0"/>
              <w:ind w:left="0" w:right="0" w:firstLine="214" w:firstLineChars="100"/>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本项目扶持中小企业（监狱企业、残疾人福利性单位）有关政策</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本采购项目类别： </w:t>
            </w: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rPr>
              <w:t xml:space="preserve"> 货物  </w:t>
            </w: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 xml:space="preserve"> 服务  </w:t>
            </w:r>
            <w:r>
              <w:rPr>
                <w:rFonts w:hint="eastAsia" w:ascii="宋体" w:hAnsi="宋体" w:eastAsia="宋体" w:cs="宋体"/>
                <w:b/>
                <w:bCs/>
                <w:color w:val="auto"/>
                <w:szCs w:val="21"/>
                <w:highlight w:val="none"/>
              </w:rPr>
              <w:sym w:font="Wingdings" w:char="00A8"/>
            </w:r>
            <w:r>
              <w:rPr>
                <w:rFonts w:hint="eastAsia" w:ascii="宋体" w:hAnsi="宋体" w:eastAsia="宋体" w:cs="宋体"/>
                <w:b/>
                <w:bCs/>
                <w:color w:val="auto"/>
                <w:szCs w:val="21"/>
                <w:highlight w:val="none"/>
              </w:rPr>
              <w:t xml:space="preserve"> 工程</w:t>
            </w:r>
          </w:p>
          <w:p>
            <w:pPr>
              <w:keepNext w:val="0"/>
              <w:keepLines w:val="0"/>
              <w:suppressLineNumbers w:val="0"/>
              <w:adjustRightInd w:val="0"/>
              <w:spacing w:before="0" w:beforeAutospacing="0" w:after="0" w:afterAutospacing="0"/>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rPr>
              <w:t xml:space="preserve">扶持中小企业（监狱企业、残疾人福利性单位）： </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根据工信部等部委发布的《关于印发中小企业划型标准规定的通知》（工信部联企业〔2011〕300号）。</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根据财政部发布的《政府采购促进中小企业发展管理办法》财库（2020）46号的相关规定：</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财政部关于进一步加大政府采购支持中小企业力度的通知（财库〔2022〕19号）的相关规定；</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根据财库〔2017〕141号的相关规定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在政府采购活动中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残疾人福利性单位视同小型、微型企业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享受评审中价格扣除政策。属于享受政府采购支持政策的残疾人福利性单位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应满足财库〔2017〕141号文件第一条的规定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并在响应文件中提供残疾人福利性单位声明函。</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根据财库〔2014〕68号的相关规定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在政府采购活动中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监狱企业视同小型、微型企业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享受评审中价格扣除政策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并在响应文件中提供由省级以上监狱管理局、戒毒管理局（含新疆生产建设兵团）出具的属于监狱企业的证明文件。</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sym w:font="Wingdings" w:char="00FE"/>
            </w:r>
            <w:r>
              <w:rPr>
                <w:rFonts w:hint="eastAsia" w:ascii="宋体" w:hAnsi="宋体" w:eastAsia="宋体" w:cs="宋体"/>
                <w:b/>
                <w:bCs/>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rPr>
              <w:t>本项目</w:t>
            </w:r>
            <w:r>
              <w:rPr>
                <w:rFonts w:hint="eastAsia" w:ascii="宋体" w:hAnsi="宋体" w:eastAsia="宋体" w:cs="宋体"/>
                <w:b/>
                <w:color w:val="auto"/>
                <w:szCs w:val="21"/>
                <w:highlight w:val="none"/>
                <w:lang w:val="en-US" w:eastAsia="zh-CN"/>
              </w:rPr>
              <w:t>未</w:t>
            </w:r>
            <w:r>
              <w:rPr>
                <w:rFonts w:hint="eastAsia" w:ascii="宋体" w:hAnsi="宋体" w:eastAsia="宋体" w:cs="宋体"/>
                <w:b/>
                <w:color w:val="auto"/>
                <w:szCs w:val="21"/>
                <w:highlight w:val="none"/>
              </w:rPr>
              <w:t>专门面向中小企业采购</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投标人</w:t>
            </w:r>
            <w:r>
              <w:rPr>
                <w:rFonts w:hint="eastAsia" w:ascii="宋体" w:hAnsi="宋体" w:eastAsia="宋体" w:cs="宋体"/>
                <w:b/>
                <w:color w:val="auto"/>
                <w:szCs w:val="21"/>
                <w:highlight w:val="none"/>
                <w:lang w:val="en-US" w:eastAsia="zh-CN"/>
              </w:rPr>
              <w:t>如</w:t>
            </w:r>
            <w:r>
              <w:rPr>
                <w:rFonts w:hint="eastAsia" w:ascii="宋体" w:hAnsi="宋体" w:eastAsia="宋体" w:cs="宋体"/>
                <w:b/>
                <w:color w:val="auto"/>
                <w:szCs w:val="21"/>
                <w:highlight w:val="none"/>
              </w:rPr>
              <w:t>为监狱企业或残疾人福利性单位</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视为中小企业；</w:t>
            </w:r>
            <w:r>
              <w:rPr>
                <w:rFonts w:hint="eastAsia" w:ascii="宋体" w:hAnsi="宋体" w:eastAsia="宋体" w:cs="宋体"/>
                <w:b/>
                <w:color w:val="auto"/>
                <w:szCs w:val="21"/>
                <w:highlight w:val="none"/>
                <w:lang w:val="en-US" w:eastAsia="zh-CN"/>
              </w:rPr>
              <w:t>投标供应商的投标报价按以下规定扣除评审</w:t>
            </w:r>
            <w:r>
              <w:rPr>
                <w:rFonts w:hint="eastAsia" w:ascii="宋体" w:hAnsi="宋体" w:eastAsia="宋体" w:cs="宋体"/>
                <w:color w:val="auto"/>
                <w:szCs w:val="21"/>
                <w:highlight w:val="none"/>
              </w:rPr>
              <w:t>：</w:t>
            </w:r>
          </w:p>
          <w:p>
            <w:pPr>
              <w:keepNext w:val="0"/>
              <w:keepLines w:val="0"/>
              <w:suppressLineNumbers w:val="0"/>
              <w:adjustRightInd w:val="0"/>
              <w:spacing w:before="0" w:beforeAutospacing="0" w:after="0" w:afterAutospacing="0"/>
              <w:ind w:left="0" w:right="0" w:firstLine="214"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b/>
                <w:bCs/>
                <w:color w:val="auto"/>
                <w:szCs w:val="21"/>
                <w:highlight w:val="none"/>
              </w:rPr>
              <w:t>货物、服务类项目：</w:t>
            </w:r>
            <w:r>
              <w:rPr>
                <w:rFonts w:hint="eastAsia" w:ascii="宋体" w:hAnsi="宋体" w:eastAsia="宋体" w:cs="宋体"/>
                <w:color w:val="auto"/>
                <w:szCs w:val="21"/>
                <w:highlight w:val="none"/>
              </w:rPr>
              <w:t>对于未预留份额专门面向中小企业的政府采购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以及预留份额政府采购服务项目中的非预留部分标项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在评审时对符合规定的小微企业报价原则上按最高优惠幅度</w:t>
            </w:r>
            <w:r>
              <w:rPr>
                <w:rFonts w:hint="eastAsia" w:ascii="宋体" w:hAnsi="宋体" w:eastAsia="宋体" w:cs="宋体"/>
                <w:b/>
                <w:bCs/>
                <w:color w:val="auto"/>
                <w:szCs w:val="21"/>
                <w:highlight w:val="none"/>
              </w:rPr>
              <w:t>10%</w:t>
            </w:r>
            <w:r>
              <w:rPr>
                <w:rFonts w:hint="eastAsia" w:ascii="宋体" w:hAnsi="宋体" w:eastAsia="宋体" w:cs="宋体"/>
                <w:color w:val="auto"/>
                <w:szCs w:val="21"/>
                <w:highlight w:val="none"/>
              </w:rPr>
              <w:t>给予扣除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用扣除后的价格参加评审；接受大中型企业与小微企业组成联合体或者允许大中型企业向一家或者多家小微企业分包的政府采购货物或服务项目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对于联合协议或者分包意向协议约定小微企业的合同份额占到合同总金额30%以上的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采购单位、采购代理机构应结合项目实际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对联合体或者大中型企业的报价原则上按最高优惠幅度</w:t>
            </w:r>
            <w:r>
              <w:rPr>
                <w:rFonts w:hint="eastAsia" w:ascii="宋体" w:hAnsi="宋体" w:eastAsia="宋体" w:cs="宋体"/>
                <w:b/>
                <w:bCs/>
                <w:color w:val="auto"/>
                <w:szCs w:val="21"/>
                <w:highlight w:val="none"/>
              </w:rPr>
              <w:t>4%给予扣除（仅适用于接受联合体投标或分包小微企业的）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用扣除后的价格参加评审。</w:t>
            </w:r>
          </w:p>
          <w:p>
            <w:pPr>
              <w:keepNext w:val="0"/>
              <w:keepLines w:val="0"/>
              <w:suppressLineNumbers w:val="0"/>
              <w:adjustRightIn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pPr>
              <w:pStyle w:val="3"/>
              <w:keepNext w:val="0"/>
              <w:keepLines w:val="0"/>
              <w:suppressLineNumbers w:val="0"/>
              <w:spacing w:before="0" w:beforeAutospacing="0" w:afterAutospacing="0"/>
              <w:ind w:left="0" w:leftChars="0" w:right="0" w:firstLine="0" w:firstLineChars="0"/>
              <w:rPr>
                <w:rFonts w:hint="eastAsia"/>
                <w:color w:val="auto"/>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本项目对应的大中小微型企业划分标准所属行业：</w:t>
            </w:r>
            <w:r>
              <w:rPr>
                <w:rFonts w:hint="eastAsia" w:ascii="宋体" w:hAnsi="宋体" w:cs="宋体"/>
                <w:b/>
                <w:bCs/>
                <w:color w:val="auto"/>
                <w:kern w:val="2"/>
                <w:sz w:val="21"/>
                <w:szCs w:val="21"/>
                <w:highlight w:val="none"/>
                <w:u w:val="single"/>
                <w:lang w:val="en-US" w:eastAsia="zh-CN" w:bidi="ar-SA"/>
              </w:rPr>
              <w:t>其他未列明行业。</w:t>
            </w:r>
          </w:p>
        </w:tc>
      </w:tr>
      <w:tr>
        <w:tblPrEx>
          <w:tblCellMar>
            <w:top w:w="0" w:type="dxa"/>
            <w:left w:w="108" w:type="dxa"/>
            <w:bottom w:w="0" w:type="dxa"/>
            <w:right w:w="108" w:type="dxa"/>
          </w:tblCellMar>
        </w:tblPrEx>
        <w:trPr>
          <w:trHeight w:val="41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Cs w:val="21"/>
                <w:highlight w:val="none"/>
              </w:rPr>
              <w:t>▲供应商信用查询</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（1）供应商信用信息查询的查询渠道：“信用中国”(https：//www.creditchina.gov.cn/)；“中国政府采购网”（http://www.ccgp.gov.cn/）；</w:t>
            </w:r>
          </w:p>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（2）供应商信用信息查询截止时点：本项目投标响应文件递交截止时间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最终由采购代理机构现场查询为准</w:t>
            </w:r>
            <w:r>
              <w:rPr>
                <w:rFonts w:hint="eastAsia" w:ascii="宋体" w:hAnsi="宋体" w:eastAsia="宋体" w:cs="宋体"/>
                <w:color w:val="auto"/>
                <w:szCs w:val="21"/>
                <w:highlight w:val="none"/>
              </w:rPr>
              <w:t>。</w:t>
            </w:r>
          </w:p>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（3）供应商信用信息查询记录和证据留存的具体方式：网页截图打印；</w:t>
            </w:r>
          </w:p>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w:t>
            </w:r>
          </w:p>
          <w:p>
            <w:pPr>
              <w:keepNext w:val="0"/>
              <w:keepLines w:val="0"/>
              <w:suppressLineNumbers w:val="0"/>
              <w:spacing w:before="0" w:beforeAutospacing="0" w:after="0" w:afterAutospacing="0"/>
              <w:ind w:left="0" w:right="0"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①在“信用中国”：被列入</w:t>
            </w:r>
            <w:r>
              <w:rPr>
                <w:rFonts w:hint="eastAsia" w:ascii="宋体" w:hAnsi="宋体" w:eastAsia="宋体" w:cs="宋体"/>
                <w:color w:val="auto"/>
                <w:kern w:val="0"/>
                <w:szCs w:val="21"/>
                <w:highlight w:val="none"/>
              </w:rPr>
              <w:t>失信被执行人名单、税收违法黑名单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将拒绝其参与本次</w:t>
            </w:r>
            <w:r>
              <w:rPr>
                <w:rFonts w:hint="eastAsia" w:ascii="宋体" w:hAnsi="宋体" w:eastAsia="宋体" w:cs="宋体"/>
                <w:color w:val="auto"/>
                <w:kern w:val="0"/>
                <w:szCs w:val="21"/>
                <w:highlight w:val="none"/>
                <w:lang w:val="en-US" w:eastAsia="zh-CN"/>
              </w:rPr>
              <w:t>政府</w:t>
            </w:r>
            <w:r>
              <w:rPr>
                <w:rFonts w:hint="eastAsia" w:ascii="宋体" w:hAnsi="宋体" w:eastAsia="宋体" w:cs="宋体"/>
                <w:color w:val="auto"/>
                <w:kern w:val="0"/>
                <w:szCs w:val="21"/>
                <w:highlight w:val="none"/>
              </w:rPr>
              <w:t>采购活动</w:t>
            </w:r>
            <w:r>
              <w:rPr>
                <w:rFonts w:hint="eastAsia" w:ascii="宋体" w:hAnsi="宋体" w:eastAsia="宋体" w:cs="宋体"/>
                <w:color w:val="auto"/>
                <w:szCs w:val="21"/>
                <w:highlight w:val="none"/>
              </w:rPr>
              <w:t>；</w:t>
            </w:r>
          </w:p>
          <w:p>
            <w:pPr>
              <w:keepNext w:val="0"/>
              <w:keepLines w:val="0"/>
              <w:suppressLineNumbers w:val="0"/>
              <w:spacing w:before="0" w:beforeAutospacing="0" w:after="0" w:afterAutospacing="0"/>
              <w:ind w:left="0" w:right="0"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②在“中国政府采购网”：被列入</w:t>
            </w:r>
            <w:r>
              <w:rPr>
                <w:rFonts w:hint="eastAsia" w:ascii="宋体" w:hAnsi="宋体" w:eastAsia="宋体" w:cs="宋体"/>
                <w:color w:val="auto"/>
                <w:kern w:val="0"/>
                <w:szCs w:val="21"/>
                <w:highlight w:val="none"/>
              </w:rPr>
              <w:t>政府采购严重违法失信行为记录名单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将拒绝其参与本次政府采购活动</w:t>
            </w:r>
            <w:r>
              <w:rPr>
                <w:rFonts w:hint="eastAsia" w:ascii="宋体" w:hAnsi="宋体" w:eastAsia="宋体" w:cs="宋体"/>
                <w:color w:val="auto"/>
                <w:szCs w:val="21"/>
                <w:highlight w:val="none"/>
              </w:rPr>
              <w:t>。</w:t>
            </w:r>
          </w:p>
          <w:p>
            <w:pPr>
              <w:keepNext w:val="0"/>
              <w:keepLines w:val="0"/>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Cs w:val="21"/>
                <w:highlight w:val="none"/>
                <w:u w:val="single"/>
              </w:rPr>
              <w:t>（5）</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Cs w:val="21"/>
                <w:highlight w:val="none"/>
                <w:u w:val="single"/>
              </w:rPr>
              <w:t>投标供应商具有以上第（4）点所述信息记录的</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rPr>
              <w:t>其投标按</w:t>
            </w:r>
            <w:r>
              <w:rPr>
                <w:rFonts w:hint="eastAsia" w:ascii="宋体" w:hAnsi="宋体" w:cs="宋体"/>
                <w:b/>
                <w:bCs/>
                <w:color w:val="auto"/>
                <w:szCs w:val="21"/>
                <w:highlight w:val="none"/>
                <w:u w:val="single"/>
                <w:lang w:eastAsia="zh-CN"/>
              </w:rPr>
              <w:t>否决</w:t>
            </w:r>
            <w:r>
              <w:rPr>
                <w:rFonts w:hint="eastAsia" w:ascii="宋体" w:hAnsi="宋体" w:eastAsia="宋体" w:cs="宋体"/>
                <w:b/>
                <w:bCs/>
                <w:color w:val="auto"/>
                <w:szCs w:val="21"/>
                <w:highlight w:val="none"/>
                <w:u w:val="single"/>
              </w:rPr>
              <w:t>处理。</w:t>
            </w:r>
          </w:p>
        </w:tc>
      </w:tr>
      <w:tr>
        <w:tblPrEx>
          <w:tblCellMar>
            <w:top w:w="0" w:type="dxa"/>
            <w:left w:w="108" w:type="dxa"/>
            <w:bottom w:w="0" w:type="dxa"/>
            <w:right w:w="108" w:type="dxa"/>
          </w:tblCellMar>
        </w:tblPrEx>
        <w:trPr>
          <w:trHeight w:val="119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合同备案</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（1）中标人应当自中标通知书发出之日起30日内，按照招标文件和中标人投标文件的规定，与采购人签订书面合同。所签订的合同不得对招标文件确定的事项和中标人投标文件作实质性修改。</w:t>
            </w:r>
          </w:p>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（2）成交供应商与采购人签订合同后，2</w:t>
            </w:r>
            <w:r>
              <w:rPr>
                <w:rFonts w:hint="eastAsia" w:ascii="宋体" w:hAnsi="宋体" w:eastAsia="宋体" w:cs="宋体"/>
                <w:color w:val="auto"/>
                <w:sz w:val="21"/>
                <w:szCs w:val="21"/>
                <w:highlight w:val="none"/>
                <w:lang w:val="en-US" w:eastAsia="zh-CN"/>
              </w:rPr>
              <w:t>工作日</w:t>
            </w:r>
            <w:r>
              <w:rPr>
                <w:rFonts w:hint="eastAsia" w:ascii="宋体" w:hAnsi="宋体" w:eastAsia="宋体" w:cs="宋体"/>
                <w:color w:val="auto"/>
                <w:sz w:val="21"/>
                <w:szCs w:val="21"/>
                <w:highlight w:val="none"/>
              </w:rPr>
              <w:t>内将合同扫描件电子版发给采购代理机构：邮箱：</w:t>
            </w:r>
            <w:r>
              <w:rPr>
                <w:rFonts w:hint="eastAsia" w:ascii="宋体" w:hAnsi="宋体" w:cs="宋体"/>
                <w:b/>
                <w:color w:val="auto"/>
                <w:sz w:val="21"/>
                <w:szCs w:val="21"/>
                <w:highlight w:val="none"/>
                <w:u w:val="single"/>
                <w:lang w:eastAsia="zh-CN"/>
              </w:rPr>
              <w:t>497618394</w:t>
            </w:r>
            <w:r>
              <w:rPr>
                <w:rFonts w:hint="eastAsia" w:ascii="宋体" w:hAnsi="宋体" w:eastAsia="宋体" w:cs="宋体"/>
                <w:b/>
                <w:color w:val="auto"/>
                <w:sz w:val="21"/>
                <w:szCs w:val="21"/>
                <w:highlight w:val="none"/>
                <w:u w:val="single"/>
              </w:rPr>
              <w:t>@qq.com</w:t>
            </w:r>
            <w:r>
              <w:rPr>
                <w:rFonts w:hint="eastAsia" w:ascii="宋体" w:hAnsi="宋体" w:eastAsia="宋体" w:cs="宋体"/>
                <w:color w:val="auto"/>
                <w:sz w:val="21"/>
                <w:szCs w:val="21"/>
                <w:highlight w:val="none"/>
              </w:rPr>
              <w:t>。</w:t>
            </w:r>
          </w:p>
        </w:tc>
      </w:tr>
      <w:tr>
        <w:tblPrEx>
          <w:tblCellMar>
            <w:top w:w="0" w:type="dxa"/>
            <w:left w:w="108" w:type="dxa"/>
            <w:bottom w:w="0" w:type="dxa"/>
            <w:right w:w="108" w:type="dxa"/>
          </w:tblCellMar>
        </w:tblPrEx>
        <w:trPr>
          <w:trHeight w:val="966"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合同履约管理</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1380"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29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9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采购代理服务费</w:t>
            </w:r>
          </w:p>
        </w:tc>
        <w:tc>
          <w:tcPr>
            <w:tcW w:w="68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color w:val="auto"/>
                <w:highlight w:val="none"/>
              </w:rPr>
              <w:t>本次采购代理服务费</w:t>
            </w:r>
            <w:r>
              <w:rPr>
                <w:rFonts w:hint="eastAsia" w:ascii="宋体" w:hAnsi="宋体" w:eastAsia="宋体" w:cs="宋体"/>
                <w:color w:val="auto"/>
                <w:highlight w:val="none"/>
                <w:lang w:val="en-US" w:eastAsia="zh-CN"/>
              </w:rPr>
              <w:t>按固定总价</w:t>
            </w:r>
            <w:r>
              <w:rPr>
                <w:rFonts w:hint="eastAsia" w:ascii="宋体" w:hAnsi="宋体" w:cs="宋体"/>
                <w:b/>
                <w:bCs/>
                <w:color w:val="auto"/>
                <w:highlight w:val="none"/>
                <w:lang w:val="en-US" w:eastAsia="zh-CN"/>
              </w:rPr>
              <w:t>90</w:t>
            </w:r>
            <w:r>
              <w:rPr>
                <w:rFonts w:hint="eastAsia" w:ascii="宋体" w:hAnsi="宋体" w:eastAsia="宋体" w:cs="宋体"/>
                <w:b/>
                <w:bCs/>
                <w:color w:val="auto"/>
                <w:highlight w:val="none"/>
                <w:lang w:val="en-US" w:eastAsia="zh-CN"/>
              </w:rPr>
              <w:t>00</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计取</w:t>
            </w: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投标人在投标报价中综合考虑采购代理服务费，须计入投标报价中</w:t>
            </w:r>
            <w:r>
              <w:rPr>
                <w:rFonts w:hint="eastAsia" w:ascii="宋体" w:hAnsi="宋体" w:eastAsia="宋体" w:cs="宋体"/>
                <w:color w:val="auto"/>
                <w:szCs w:val="21"/>
                <w:highlight w:val="none"/>
              </w:rPr>
              <w:t>，无需</w:t>
            </w:r>
            <w:r>
              <w:rPr>
                <w:rFonts w:hint="eastAsia" w:ascii="宋体" w:hAnsi="宋体" w:eastAsia="宋体" w:cs="宋体"/>
                <w:color w:val="auto"/>
                <w:kern w:val="0"/>
                <w:szCs w:val="21"/>
                <w:highlight w:val="none"/>
              </w:rPr>
              <w:t>单独列报，包含在总报价中即可，</w:t>
            </w:r>
            <w:r>
              <w:rPr>
                <w:rFonts w:hint="eastAsia" w:ascii="宋体" w:hAnsi="宋体" w:eastAsia="宋体" w:cs="宋体"/>
                <w:color w:val="auto"/>
                <w:szCs w:val="21"/>
                <w:highlight w:val="none"/>
              </w:rPr>
              <w:t>由中标单位在领取中标通知书时支付给招标代理机构</w:t>
            </w:r>
            <w:r>
              <w:rPr>
                <w:rFonts w:hint="eastAsia" w:ascii="宋体" w:hAnsi="宋体" w:eastAsia="宋体" w:cs="宋体"/>
                <w:bCs/>
                <w:color w:val="auto"/>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rPr>
            </w:pPr>
            <w:r>
              <w:rPr>
                <w:rFonts w:hint="eastAsia" w:ascii="宋体" w:hAnsi="宋体" w:eastAsia="宋体" w:cs="宋体"/>
                <w:bCs/>
                <w:color w:val="auto"/>
                <w:szCs w:val="21"/>
                <w:highlight w:val="none"/>
              </w:rPr>
              <w:t>采购代理服务费可以是现金、支票或汇票。</w:t>
            </w:r>
          </w:p>
        </w:tc>
      </w:tr>
      <w:tr>
        <w:tblPrEx>
          <w:tblCellMar>
            <w:top w:w="0" w:type="dxa"/>
            <w:left w:w="108" w:type="dxa"/>
            <w:bottom w:w="0" w:type="dxa"/>
            <w:right w:w="108" w:type="dxa"/>
          </w:tblCellMar>
        </w:tblPrEx>
        <w:trPr>
          <w:trHeight w:val="295"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30</w:t>
            </w:r>
          </w:p>
        </w:tc>
        <w:tc>
          <w:tcPr>
            <w:tcW w:w="19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highlight w:val="none"/>
              </w:rPr>
              <w:t>其他注意事项</w:t>
            </w:r>
          </w:p>
        </w:tc>
        <w:tc>
          <w:tcPr>
            <w:tcW w:w="6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keepLines/>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left"/>
              <w:textAlignment w:val="baseline"/>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highlight w:val="none"/>
              </w:rPr>
              <w:t>如有询标及</w:t>
            </w:r>
            <w:r>
              <w:rPr>
                <w:rFonts w:hint="eastAsia" w:ascii="宋体" w:hAnsi="宋体" w:eastAsia="宋体" w:cs="宋体"/>
                <w:b w:val="0"/>
                <w:bCs w:val="0"/>
                <w:color w:val="auto"/>
                <w:highlight w:val="none"/>
                <w:lang w:val="en-US" w:eastAsia="zh-CN"/>
              </w:rPr>
              <w:t>询问</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投标人的法定代表人或其授权委托人接到通知后30分钟内回复</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否则视为放弃回复或默认采购人/评标委员会作出的评审结果。</w:t>
            </w:r>
          </w:p>
        </w:tc>
      </w:tr>
    </w:tbl>
    <w:p>
      <w:pPr>
        <w:pStyle w:val="6"/>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6" w:name="_Toc73917570"/>
      <w:r>
        <w:rPr>
          <w:rFonts w:hint="eastAsia" w:ascii="宋体" w:hAnsi="宋体" w:eastAsia="宋体" w:cs="宋体"/>
          <w:color w:val="auto"/>
          <w:sz w:val="36"/>
          <w:szCs w:val="36"/>
          <w:highlight w:val="none"/>
        </w:rPr>
        <w:t>第一部分    供应商须知</w:t>
      </w:r>
      <w:bookmarkEnd w:id="6"/>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宋体" w:hAnsi="宋体" w:eastAsia="宋体" w:cs="宋体"/>
          <w:b/>
          <w:bCs/>
          <w:color w:val="auto"/>
          <w:sz w:val="21"/>
          <w:szCs w:val="21"/>
          <w:highlight w:val="none"/>
        </w:rPr>
      </w:pPr>
      <w:bookmarkStart w:id="7" w:name="_Toc22689"/>
      <w:bookmarkStart w:id="8" w:name="_Toc73917571"/>
      <w:bookmarkStart w:id="9" w:name="_Toc393699549"/>
      <w:r>
        <w:rPr>
          <w:rFonts w:hint="eastAsia" w:ascii="宋体" w:hAnsi="宋体" w:eastAsia="宋体" w:cs="宋体"/>
          <w:b/>
          <w:bCs/>
          <w:color w:val="auto"/>
          <w:sz w:val="21"/>
          <w:szCs w:val="21"/>
          <w:highlight w:val="none"/>
        </w:rPr>
        <w:t>一   说 明</w:t>
      </w:r>
      <w:bookmarkEnd w:id="7"/>
      <w:bookmarkEnd w:id="8"/>
    </w:p>
    <w:p>
      <w:pPr>
        <w:numPr>
          <w:ilvl w:val="0"/>
          <w:numId w:val="5"/>
        </w:numPr>
        <w:tabs>
          <w:tab w:val="left" w:pos="36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本次采购是按照</w:t>
      </w:r>
      <w:r>
        <w:rPr>
          <w:rFonts w:hint="eastAsia" w:ascii="宋体" w:hAnsi="宋体" w:eastAsia="宋体" w:cs="宋体"/>
          <w:color w:val="auto"/>
          <w:kern w:val="0"/>
          <w:sz w:val="21"/>
          <w:szCs w:val="21"/>
          <w:highlight w:val="none"/>
        </w:rPr>
        <w:t>《中华人民共和国政府采购法》</w:t>
      </w:r>
      <w:r>
        <w:rPr>
          <w:rFonts w:hint="eastAsia" w:ascii="宋体" w:hAnsi="宋体" w:eastAsia="宋体" w:cs="宋体"/>
          <w:snapToGrid w:val="0"/>
          <w:color w:val="auto"/>
          <w:sz w:val="21"/>
          <w:szCs w:val="21"/>
          <w:highlight w:val="none"/>
        </w:rPr>
        <w:t>、《中华人民共和国政府采购法实施条例》</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政府采购竞争性磋商采购方式管理暂行办法》、《财政部关于政府采购竞争性磋商采购方式管理暂行办法有关问题的补充通知》等法律法规及有关规范性文件组织和实施的。欢迎国内合格的供应商前来磋商，现将有关事项公告如下：</w:t>
      </w:r>
    </w:p>
    <w:p>
      <w:pPr>
        <w:numPr>
          <w:ilvl w:val="0"/>
          <w:numId w:val="5"/>
        </w:numPr>
        <w:tabs>
          <w:tab w:val="left" w:pos="360"/>
        </w:tabs>
        <w:spacing w:line="36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合格供应商要求以本项目公告及供应商须知前附表表述为准。</w:t>
      </w:r>
    </w:p>
    <w:p>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w:t>
      </w:r>
    </w:p>
    <w:p>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指全权代表供应商参加投标活动并签署磋商响应文件的人。如果供应商代表不是法定代表人，须持有《法定代表人授权书》见附件。</w:t>
      </w:r>
    </w:p>
    <w:p>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磋商响应费用</w:t>
      </w:r>
    </w:p>
    <w:p>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供应商应承担所有与准备和参加投标有关费用，不论投标的结果如何，采购人及采购代理机构均无义务和责任承担这些费用。</w:t>
      </w:r>
    </w:p>
    <w:p>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优化政府采购金融服务</w:t>
      </w:r>
    </w:p>
    <w:p>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numPr>
          <w:ilvl w:val="0"/>
          <w:numId w:val="5"/>
        </w:numPr>
        <w:spacing w:line="360" w:lineRule="exact"/>
        <w:rPr>
          <w:rFonts w:hint="eastAsia" w:ascii="宋体" w:hAnsi="宋体" w:eastAsia="宋体" w:cs="宋体"/>
          <w:bCs/>
          <w:color w:val="auto"/>
          <w:spacing w:val="6"/>
          <w:sz w:val="21"/>
          <w:szCs w:val="21"/>
          <w:highlight w:val="none"/>
        </w:rPr>
      </w:pPr>
      <w:r>
        <w:rPr>
          <w:rFonts w:hint="eastAsia" w:ascii="宋体" w:hAnsi="宋体" w:eastAsia="宋体" w:cs="宋体"/>
          <w:color w:val="auto"/>
          <w:sz w:val="21"/>
          <w:szCs w:val="21"/>
          <w:highlight w:val="none"/>
        </w:rPr>
        <w:t>特别</w:t>
      </w:r>
      <w:r>
        <w:rPr>
          <w:rFonts w:hint="eastAsia" w:ascii="宋体" w:hAnsi="宋体" w:eastAsia="宋体" w:cs="宋体"/>
          <w:bCs/>
          <w:color w:val="auto"/>
          <w:spacing w:val="6"/>
          <w:sz w:val="21"/>
          <w:szCs w:val="21"/>
          <w:highlight w:val="none"/>
        </w:rPr>
        <w:t>说明：</w:t>
      </w:r>
    </w:p>
    <w:p>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6.1投标人应仔细阅读采购文件的所有内容，按照采购文件的要求提交投标文件，并对所提供的全部资料的真实性承担法律责任。</w:t>
      </w:r>
    </w:p>
    <w:p>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360" w:lineRule="exact"/>
        <w:ind w:firstLine="452" w:firstLineChars="2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非单一产品采购项目，采购人应当根据采购项目技术构成、产品价格比重等合理确定核心产品，并在采购文件中载明。多家投标人提供的核心产品品牌相同的，按前两款规定处理。</w:t>
      </w:r>
    </w:p>
    <w:p>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360" w:lineRule="exact"/>
        <w:ind w:firstLine="226" w:firstLineChars="100"/>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6.4</w:t>
      </w:r>
      <w:r>
        <w:rPr>
          <w:rFonts w:hint="eastAsia" w:ascii="宋体" w:hAnsi="宋体" w:eastAsia="宋体" w:cs="宋体"/>
          <w:color w:val="auto"/>
          <w:sz w:val="21"/>
          <w:szCs w:val="21"/>
          <w:highlight w:val="none"/>
          <w:u w:val="single"/>
        </w:rPr>
        <w:t>▲</w:t>
      </w:r>
      <w:r>
        <w:rPr>
          <w:rFonts w:hint="eastAsia" w:ascii="宋体" w:hAnsi="宋体" w:eastAsia="宋体" w:cs="宋体"/>
          <w:b/>
          <w:bCs w:val="0"/>
          <w:color w:val="auto"/>
          <w:spacing w:val="6"/>
          <w:sz w:val="21"/>
          <w:szCs w:val="21"/>
          <w:highlight w:val="none"/>
          <w:u w:val="single"/>
        </w:rPr>
        <w:t>投标人在投标活动中提供任何虚假材料，其投标无效</w:t>
      </w:r>
      <w:r>
        <w:rPr>
          <w:rFonts w:hint="eastAsia" w:ascii="宋体" w:hAnsi="宋体" w:eastAsia="宋体" w:cs="宋体"/>
          <w:bCs/>
          <w:color w:val="auto"/>
          <w:spacing w:val="6"/>
          <w:sz w:val="21"/>
          <w:szCs w:val="21"/>
          <w:highlight w:val="none"/>
        </w:rPr>
        <w:t>，并报监管部门查处；中标后发现的，中标人须依照《中华人民共和国消费者权益保护法》第49条之规定双倍赔偿采购人，且民事赔偿并不免除违法投标人的行政与刑事责任。</w:t>
      </w:r>
    </w:p>
    <w:p>
      <w:pPr>
        <w:spacing w:line="360" w:lineRule="exact"/>
        <w:ind w:firstLine="226" w:firstLineChars="100"/>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6.5</w:t>
      </w:r>
      <w:r>
        <w:rPr>
          <w:rFonts w:hint="eastAsia" w:ascii="宋体" w:hAnsi="宋体" w:eastAsia="宋体" w:cs="宋体"/>
          <w:bCs/>
          <w:color w:val="auto"/>
          <w:kern w:val="0"/>
          <w:sz w:val="21"/>
          <w:szCs w:val="21"/>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10" w:name="_Toc73917572"/>
      <w:bookmarkStart w:id="11" w:name="_Toc25973"/>
      <w:r>
        <w:rPr>
          <w:rFonts w:hint="eastAsia" w:ascii="宋体" w:hAnsi="宋体" w:eastAsia="宋体" w:cs="宋体"/>
          <w:b/>
          <w:bCs/>
          <w:color w:val="auto"/>
          <w:sz w:val="21"/>
          <w:szCs w:val="21"/>
          <w:highlight w:val="none"/>
        </w:rPr>
        <w:t>二   竞争性磋商文件</w:t>
      </w:r>
      <w:bookmarkEnd w:id="10"/>
      <w:bookmarkEnd w:id="11"/>
    </w:p>
    <w:p>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竞争性磋商文件由竞争性磋商文件目录所列内容及相关资料组成。</w:t>
      </w:r>
    </w:p>
    <w:p>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竞争性磋商文件的澄清</w:t>
      </w:r>
    </w:p>
    <w:p>
      <w:pPr>
        <w:spacing w:line="3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竞争性磋商文件如有疑点要求澄清或质疑，或认为有必要与用户进行技术交流，须在磋商通知(邀请)函规定的质疑时间前用书面形式（包括信函、传真，下同）通知采购机构，采购机构将用书面形式予以答复。</w:t>
      </w:r>
    </w:p>
    <w:p>
      <w:pPr>
        <w:numPr>
          <w:ilvl w:val="0"/>
          <w:numId w:val="5"/>
        </w:numPr>
        <w:spacing w:line="360" w:lineRule="exac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竞争性磋商文件</w:t>
      </w:r>
      <w:r>
        <w:rPr>
          <w:rFonts w:hint="eastAsia" w:ascii="宋体" w:hAnsi="宋体" w:eastAsia="宋体" w:cs="宋体"/>
          <w:bCs/>
          <w:color w:val="auto"/>
          <w:sz w:val="21"/>
          <w:szCs w:val="21"/>
          <w:highlight w:val="none"/>
        </w:rPr>
        <w:t>的修改</w:t>
      </w:r>
    </w:p>
    <w:p>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在投标截止期5天前，采购人无论是出于何种原因，均可对竞争性磋商文件用补充文件的方式进行澄清和修改，并发布澄清和修改公告。该澄清和修改的内容为竞争性磋商文件的组成部分。采购人可以视采购具体情况在竞争性磋商文件要求提交截止时间3天前，做出延长递交磋商响应文件截止时间和开标时间的决定，并发布变更公告。</w:t>
      </w:r>
    </w:p>
    <w:p>
      <w:pPr>
        <w:spacing w:line="3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9.2竞争性磋商文件如有补充更正均见“政采云”（https://zfcg.czt.zj.gov.cn/）。供应商须在开标前一日自行查看是否有补充更正文件，并按补充更正文件要求磋商响应，否则责任自负。</w:t>
      </w:r>
    </w:p>
    <w:p>
      <w:pPr>
        <w:numPr>
          <w:ilvl w:val="0"/>
          <w:numId w:val="5"/>
        </w:num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w:t>
      </w:r>
    </w:p>
    <w:p>
      <w:pPr>
        <w:tabs>
          <w:tab w:val="left" w:pos="540"/>
        </w:tabs>
        <w:spacing w:line="360" w:lineRule="exact"/>
        <w:ind w:firstLine="214"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pacing w:val="6"/>
          <w:sz w:val="21"/>
          <w:szCs w:val="21"/>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360" w:lineRule="exact"/>
        <w:ind w:firstLine="226"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10.2投标人提出质疑应当提交质疑函和必要的证明材料，质疑函范本请到“浙江政府采购网下载专区”下载，质疑函内容及签署等相关要求请参看《政府采购质疑和投诉办法》相关规定。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360" w:lineRule="exact"/>
        <w:ind w:firstLine="226" w:firstLineChars="1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10.3提出质疑的投标人应当是参与本项目招标活动的投标人。投标人在法定质疑期内一次性提出针对同一采购程序环节的质疑。</w:t>
      </w:r>
    </w:p>
    <w:p>
      <w:pPr>
        <w:tabs>
          <w:tab w:val="left" w:pos="540"/>
        </w:tabs>
        <w:spacing w:line="360" w:lineRule="exact"/>
        <w:ind w:firstLine="226" w:firstLineChars="100"/>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sz w:val="21"/>
          <w:szCs w:val="21"/>
          <w:highlight w:val="none"/>
        </w:rPr>
        <w:t>10.4</w:t>
      </w:r>
      <w:r>
        <w:rPr>
          <w:rFonts w:hint="eastAsia" w:ascii="宋体" w:hAnsi="宋体" w:eastAsia="宋体" w:cs="宋体"/>
          <w:b/>
          <w:color w:val="auto"/>
          <w:spacing w:val="6"/>
          <w:sz w:val="21"/>
          <w:szCs w:val="21"/>
          <w:highlight w:val="none"/>
        </w:rPr>
        <w:t>根据《政府采购质疑和投诉办法》第三十七条的规定，投诉人在全国范围12个月内三次以上投诉查无实据的，由财政部门列入不良行为记录名单</w:t>
      </w:r>
      <w:r>
        <w:rPr>
          <w:rFonts w:hint="eastAsia" w:ascii="宋体" w:hAnsi="宋体" w:eastAsia="宋体" w:cs="宋体"/>
          <w:color w:val="auto"/>
          <w:spacing w:val="6"/>
          <w:sz w:val="21"/>
          <w:szCs w:val="21"/>
          <w:highlight w:val="none"/>
        </w:rPr>
        <w:t>。</w:t>
      </w:r>
    </w:p>
    <w:p>
      <w:pPr>
        <w:numPr>
          <w:ilvl w:val="0"/>
          <w:numId w:val="5"/>
        </w:numPr>
        <w:spacing w:line="36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投诉</w:t>
      </w:r>
    </w:p>
    <w:p>
      <w:pPr>
        <w:tabs>
          <w:tab w:val="left" w:pos="540"/>
        </w:tabs>
        <w:spacing w:line="360" w:lineRule="exact"/>
        <w:ind w:firstLine="226"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pStyle w:val="3"/>
        <w:ind w:firstLine="321"/>
        <w:rPr>
          <w:rFonts w:hint="eastAsia" w:ascii="宋体" w:hAnsi="宋体" w:eastAsia="宋体" w:cs="宋体"/>
          <w:color w:val="auto"/>
          <w:sz w:val="21"/>
          <w:szCs w:val="21"/>
          <w:highlight w:val="none"/>
        </w:rPr>
      </w:pPr>
    </w:p>
    <w:p>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12" w:name="_Toc4093"/>
      <w:bookmarkStart w:id="13" w:name="_Toc73917573"/>
      <w:r>
        <w:rPr>
          <w:rFonts w:hint="eastAsia" w:ascii="宋体" w:hAnsi="宋体" w:eastAsia="宋体" w:cs="宋体"/>
          <w:b/>
          <w:bCs/>
          <w:color w:val="auto"/>
          <w:sz w:val="21"/>
          <w:szCs w:val="21"/>
          <w:highlight w:val="none"/>
        </w:rPr>
        <w:t>三   磋商响应文件的编制</w:t>
      </w:r>
      <w:bookmarkEnd w:id="12"/>
      <w:bookmarkEnd w:id="13"/>
    </w:p>
    <w:p>
      <w:pPr>
        <w:numPr>
          <w:ilvl w:val="0"/>
          <w:numId w:val="5"/>
        </w:numPr>
        <w:spacing w:line="440" w:lineRule="exact"/>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磋商响应文件的形式和效力</w:t>
      </w:r>
    </w:p>
    <w:p>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12.1磋商响应文件分为电子磋商响应文件以及备份磋商响应文件，备份文件分为以介质存储的数据电文形式的备份磋商响应文件。</w:t>
      </w:r>
    </w:p>
    <w:p>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12.2电子磋商响应文件，按“政采云供应商项目采购-电子招投标操作指南”及本采购文件要求制作、加密并递交。</w:t>
      </w:r>
    </w:p>
    <w:p>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12.3以介质存储的数据电文形式的备份磋商响应文件，即电子磋商响应文件按“政采云供应商项目采购-电子招投标操作指南”制作的备份文件。</w:t>
      </w:r>
    </w:p>
    <w:p>
      <w:pPr>
        <w:tabs>
          <w:tab w:val="left" w:pos="360"/>
        </w:tabs>
        <w:spacing w:line="440" w:lineRule="exact"/>
        <w:ind w:firstLine="214" w:firstLineChars="1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12.4磋商响应文件的效力</w:t>
      </w:r>
    </w:p>
    <w:p>
      <w:pPr>
        <w:tabs>
          <w:tab w:val="left" w:pos="360"/>
        </w:tabs>
        <w:spacing w:line="440" w:lineRule="exact"/>
        <w:ind w:firstLine="428" w:firstLineChars="200"/>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磋商响应文件的启用，按先后顺位分别为电子磋商响应文件、以介质存储的数据电文形式的备份磋商响应文件。在下一顺位的磋商响应文件启用时，前一顺位的磋商响应文件自动失效。</w:t>
      </w:r>
    </w:p>
    <w:p>
      <w:pPr>
        <w:numPr>
          <w:ilvl w:val="0"/>
          <w:numId w:val="5"/>
        </w:numPr>
        <w:spacing w:line="440" w:lineRule="exact"/>
        <w:contextualSpacing/>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供应商应认真阅读竞争性磋商文件中所有事项格式、条款和技术规范等。</w:t>
      </w:r>
      <w:r>
        <w:rPr>
          <w:rFonts w:hint="eastAsia" w:ascii="宋体" w:hAnsi="宋体" w:eastAsia="宋体" w:cs="宋体"/>
          <w:b w:val="0"/>
          <w:bCs/>
          <w:color w:val="auto"/>
          <w:sz w:val="21"/>
          <w:szCs w:val="21"/>
          <w:highlight w:val="none"/>
          <w:u w:val="none"/>
        </w:rPr>
        <w:t>供应商没有按照竞争性磋商文件要求提交全部资料，或者没有对竞争性磋商文件各个方面做出实质性响应，导致投标被拒绝的风险由供应商自行承担。</w:t>
      </w:r>
    </w:p>
    <w:p>
      <w:pPr>
        <w:numPr>
          <w:ilvl w:val="0"/>
          <w:numId w:val="5"/>
        </w:numPr>
        <w:tabs>
          <w:tab w:val="left" w:pos="540"/>
        </w:tabs>
        <w:spacing w:line="440" w:lineRule="exact"/>
        <w:contextualSpacing/>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磋商响应文件的构成：</w:t>
      </w:r>
    </w:p>
    <w:p>
      <w:pPr>
        <w:tabs>
          <w:tab w:val="left" w:pos="360"/>
        </w:tabs>
        <w:spacing w:line="440" w:lineRule="exact"/>
        <w:ind w:firstLine="214" w:firstLineChars="100"/>
        <w:contextualSpacing/>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14.1 磋商响应文件包括资格审查资料、商务技术标、</w:t>
      </w:r>
      <w:r>
        <w:rPr>
          <w:rFonts w:hint="eastAsia" w:ascii="宋体" w:hAnsi="宋体" w:eastAsia="宋体" w:cs="宋体"/>
          <w:b/>
          <w:bCs/>
          <w:color w:val="auto"/>
          <w:sz w:val="21"/>
          <w:szCs w:val="21"/>
          <w:highlight w:val="none"/>
          <w:lang w:eastAsia="zh-CN"/>
        </w:rPr>
        <w:t>商务</w:t>
      </w:r>
      <w:r>
        <w:rPr>
          <w:rFonts w:hint="eastAsia" w:ascii="宋体" w:hAnsi="宋体" w:eastAsia="宋体" w:cs="宋体"/>
          <w:b/>
          <w:bCs/>
          <w:color w:val="auto"/>
          <w:sz w:val="21"/>
          <w:szCs w:val="21"/>
          <w:highlight w:val="none"/>
        </w:rPr>
        <w:t>报价标三部分。</w:t>
      </w:r>
    </w:p>
    <w:p>
      <w:pPr>
        <w:spacing w:line="440" w:lineRule="exact"/>
        <w:ind w:firstLine="214" w:firstLineChars="100"/>
        <w:contextualSpacing/>
        <w:rPr>
          <w:rFonts w:hint="eastAsia" w:ascii="宋体" w:hAnsi="宋体" w:eastAsia="宋体" w:cs="宋体"/>
          <w:b/>
          <w:bCs/>
          <w:color w:val="auto"/>
          <w:sz w:val="21"/>
          <w:szCs w:val="21"/>
          <w:highlight w:val="none"/>
        </w:rPr>
      </w:pPr>
      <w:bookmarkStart w:id="14" w:name="_Toc221356886"/>
      <w:r>
        <w:rPr>
          <w:rFonts w:hint="eastAsia" w:ascii="宋体" w:hAnsi="宋体" w:eastAsia="宋体" w:cs="宋体"/>
          <w:b/>
          <w:bCs/>
          <w:color w:val="auto"/>
          <w:sz w:val="21"/>
          <w:szCs w:val="21"/>
          <w:highlight w:val="none"/>
        </w:rPr>
        <w:t>14.1.1 磋商响应文件资格审查资料须包括下列部分：</w:t>
      </w:r>
    </w:p>
    <w:tbl>
      <w:tblPr>
        <w:tblStyle w:val="5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83" w:type="dxa"/>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bookmarkStart w:id="15" w:name="_Hlk16667472"/>
            <w:r>
              <w:rPr>
                <w:rFonts w:hint="eastAsia" w:ascii="宋体" w:hAnsi="宋体" w:eastAsia="宋体" w:cs="宋体"/>
                <w:bCs/>
                <w:color w:val="auto"/>
                <w:sz w:val="21"/>
                <w:szCs w:val="21"/>
                <w:highlight w:val="none"/>
              </w:rPr>
              <w:t>1</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suppressLineNumbers w:val="0"/>
              <w:spacing w:before="0" w:beforeAutospacing="0" w:after="0" w:afterLines="0" w:afterAutospacing="0" w:line="380" w:lineRule="exact"/>
              <w:ind w:left="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85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Cs w:val="21"/>
                <w:highlight w:val="none"/>
              </w:rPr>
              <w:t>申请材料真实性声明</w:t>
            </w:r>
          </w:p>
        </w:tc>
      </w:tr>
      <w:bookmarkEnd w:id="15"/>
    </w:tbl>
    <w:p>
      <w:pPr>
        <w:spacing w:line="43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numPr>
          <w:ilvl w:val="0"/>
          <w:numId w:val="6"/>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采购活动，由单位负责人签署相关文件材料。</w:t>
      </w:r>
    </w:p>
    <w:p>
      <w:pPr>
        <w:numPr>
          <w:ilvl w:val="0"/>
          <w:numId w:val="6"/>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以上所需的各种证书、证件、证明、执照若系复印件，须在</w:t>
      </w:r>
      <w:r>
        <w:rPr>
          <w:rFonts w:hint="eastAsia" w:ascii="宋体" w:hAnsi="宋体" w:cs="宋体"/>
          <w:color w:val="auto"/>
          <w:sz w:val="21"/>
          <w:szCs w:val="21"/>
          <w:highlight w:val="none"/>
          <w:lang w:eastAsia="zh-CN"/>
        </w:rPr>
        <w:t>复制件</w:t>
      </w:r>
      <w:r>
        <w:rPr>
          <w:rFonts w:hint="eastAsia" w:ascii="宋体" w:hAnsi="宋体" w:eastAsia="宋体" w:cs="宋体"/>
          <w:color w:val="auto"/>
          <w:sz w:val="21"/>
          <w:szCs w:val="21"/>
          <w:highlight w:val="none"/>
        </w:rPr>
        <w:t>上加盖供应商有效的公章。</w:t>
      </w:r>
    </w:p>
    <w:p>
      <w:pPr>
        <w:spacing w:line="43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14.1.2 磋商响应文件商务技术标应包括下列部分：</w:t>
      </w:r>
    </w:p>
    <w:tbl>
      <w:tblPr>
        <w:tblStyle w:val="5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57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p>
        </w:tc>
        <w:tc>
          <w:tcPr>
            <w:tcW w:w="857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77" w:type="dxa"/>
            <w:vAlign w:val="center"/>
          </w:tcPr>
          <w:p>
            <w:pPr>
              <w:keepNext w:val="0"/>
              <w:keepLines w:val="0"/>
              <w:suppressLineNumbers w:val="0"/>
              <w:spacing w:before="0" w:beforeAutospacing="0" w:after="0" w:afterAutospacing="0"/>
              <w:ind w:left="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577"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技术偏离表、商务偏离表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项目负责人资格情况表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项目服务人员汇总表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根据商务技术文件评分内容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各供应商参照评分标准根据自身情况提供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0" w:type="auto"/>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招标文件规定需要提供的其他资料</w:t>
            </w:r>
          </w:p>
        </w:tc>
      </w:tr>
    </w:tbl>
    <w:p>
      <w:pPr>
        <w:spacing w:line="43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numPr>
          <w:ilvl w:val="0"/>
          <w:numId w:val="7"/>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pPr>
        <w:numPr>
          <w:ilvl w:val="0"/>
          <w:numId w:val="7"/>
        </w:numPr>
        <w:spacing w:line="43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以上所需的各种证书、证件、证明等若系</w:t>
      </w:r>
      <w:r>
        <w:rPr>
          <w:rFonts w:hint="eastAsia" w:ascii="宋体" w:hAnsi="宋体" w:cs="宋体"/>
          <w:color w:val="auto"/>
          <w:sz w:val="21"/>
          <w:szCs w:val="21"/>
          <w:highlight w:val="none"/>
          <w:lang w:eastAsia="zh-CN"/>
        </w:rPr>
        <w:t>复制件</w:t>
      </w:r>
      <w:r>
        <w:rPr>
          <w:rFonts w:hint="eastAsia" w:ascii="宋体" w:hAnsi="宋体" w:eastAsia="宋体" w:cs="宋体"/>
          <w:color w:val="auto"/>
          <w:sz w:val="21"/>
          <w:szCs w:val="21"/>
          <w:highlight w:val="none"/>
        </w:rPr>
        <w:t>，须在</w:t>
      </w:r>
      <w:r>
        <w:rPr>
          <w:rFonts w:hint="eastAsia" w:ascii="宋体" w:hAnsi="宋体" w:cs="宋体"/>
          <w:color w:val="auto"/>
          <w:sz w:val="21"/>
          <w:szCs w:val="21"/>
          <w:highlight w:val="none"/>
          <w:lang w:eastAsia="zh-CN"/>
        </w:rPr>
        <w:t>复制件</w:t>
      </w:r>
      <w:r>
        <w:rPr>
          <w:rFonts w:hint="eastAsia" w:ascii="宋体" w:hAnsi="宋体" w:eastAsia="宋体" w:cs="宋体"/>
          <w:color w:val="auto"/>
          <w:sz w:val="21"/>
          <w:szCs w:val="21"/>
          <w:highlight w:val="none"/>
        </w:rPr>
        <w:t>上加盖供应商有效的公章。</w:t>
      </w:r>
    </w:p>
    <w:p>
      <w:pPr>
        <w:tabs>
          <w:tab w:val="left" w:pos="5355"/>
        </w:tabs>
        <w:spacing w:line="43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14.1.3 磋商响应文件报价标应包括下列部分：</w:t>
      </w:r>
    </w:p>
    <w:bookmarkEnd w:id="14"/>
    <w:tbl>
      <w:tblPr>
        <w:tblStyle w:val="54"/>
        <w:tblW w:w="9322" w:type="dxa"/>
        <w:tblInd w:w="0" w:type="dxa"/>
        <w:tblLayout w:type="fixed"/>
        <w:tblCellMar>
          <w:top w:w="0" w:type="dxa"/>
          <w:left w:w="108" w:type="dxa"/>
          <w:bottom w:w="0" w:type="dxa"/>
          <w:right w:w="108" w:type="dxa"/>
        </w:tblCellMar>
      </w:tblPr>
      <w:tblGrid>
        <w:gridCol w:w="966"/>
        <w:gridCol w:w="8356"/>
      </w:tblGrid>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序号</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内容</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开标一览表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30" w:lineRule="atLeast"/>
              <w:ind w:left="0" w:right="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30" w:lineRule="atLeast"/>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投标分项报价表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30" w:lineRule="atLeas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83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keepNext w:val="0"/>
              <w:keepLines w:val="0"/>
              <w:suppressLineNumbers w:val="0"/>
              <w:autoSpaceDE w:val="0"/>
              <w:autoSpaceDN w:val="0"/>
              <w:adjustRightInd w:val="0"/>
              <w:spacing w:before="0" w:beforeAutospacing="0" w:after="0" w:afterAutospacing="0" w:line="430" w:lineRule="atLeast"/>
              <w:ind w:left="0" w:right="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中小企业声明函</w:t>
            </w:r>
          </w:p>
        </w:tc>
      </w:tr>
    </w:tbl>
    <w:p>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磋商响应文件编制</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15.1本项目通过“政采云平台（</w:t>
      </w:r>
      <w:r>
        <w:rPr>
          <w:rFonts w:hint="eastAsia" w:ascii="宋体" w:hAnsi="宋体" w:eastAsia="宋体" w:cs="宋体"/>
          <w:color w:val="auto"/>
          <w:sz w:val="21"/>
          <w:szCs w:val="21"/>
          <w:highlight w:val="none"/>
          <w:lang w:eastAsia="zh-CN"/>
        </w:rPr>
        <w:t>https://zfcg.czt.zj.gov.cn/</w:t>
      </w:r>
      <w:r>
        <w:rPr>
          <w:rFonts w:hint="eastAsia" w:ascii="宋体" w:hAnsi="宋体" w:eastAsia="宋体" w:cs="宋体"/>
          <w:color w:val="auto"/>
          <w:sz w:val="21"/>
          <w:szCs w:val="21"/>
          <w:highlight w:val="none"/>
        </w:rPr>
        <w:t>）”实行在线投标响应（电子投标）。供应商应通过“政采云电子交易客户端”，并按照本采购文件和“政采云平台”的要求编制并加密磋商响应文件。</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15.2供应商应当按照本章节 “磋商响应文件组成”规定的内容及顺序在“政采云电子交易客户端”编制磋商响应文件。其中“资格审查资料”和“商务技术文件”中不得出现本项目投标报价，如因供应商原因提前泄露投标报价，是供应商的责任。</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15.3本采购文件“第四部分 磋商响应文件格式”中有提供格式的，供应商须参照格式进行编制（格式中要求提供相关证明材料的还需后附相关证明材料），并按格式要求在指定位置根据要求进行签章，否则视为未提供；本文件“第四部分 磋商响应文件格式”未提供格式的，请各投标单位自行拟定格式。</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15.4磋商响应文件内容不完整、编排混乱导致磋商响应文件被误读、漏读或者查找不到相关内容的，是供应商的责任。</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15.5磋商响应文件因字迹潦草或表达不清所引起的后果由供应商负责。</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 供应商没有按照本章节 “磋商响应文件组成”要求提供全部资料，或者没有仔细阅读采购文件，或者没有对采购文件在各方面的要求作出实质性响应是供应商的风险，由此造成的一切后果由供应商自行承担。</w:t>
      </w:r>
    </w:p>
    <w:p>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磋商响应文件的签章</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16.1磋商响应文件的签章要求：</w:t>
      </w:r>
      <w:r>
        <w:rPr>
          <w:rFonts w:hint="eastAsia" w:ascii="宋体" w:hAnsi="宋体" w:eastAsia="宋体" w:cs="宋体"/>
          <w:b/>
          <w:color w:val="auto"/>
          <w:sz w:val="21"/>
          <w:szCs w:val="21"/>
          <w:highlight w:val="none"/>
        </w:rPr>
        <w:t>见供应商须知前附表；</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16.2磋商响应文件</w:t>
      </w:r>
      <w:r>
        <w:rPr>
          <w:rFonts w:hint="eastAsia" w:ascii="宋体" w:hAnsi="宋体" w:cs="宋体"/>
          <w:color w:val="auto"/>
          <w:sz w:val="21"/>
          <w:szCs w:val="21"/>
          <w:highlight w:val="none"/>
          <w:lang w:eastAsia="zh-CN"/>
        </w:rPr>
        <w:t>相应位置</w:t>
      </w:r>
      <w:r>
        <w:rPr>
          <w:rFonts w:hint="eastAsia" w:ascii="宋体" w:hAnsi="宋体" w:eastAsia="宋体" w:cs="宋体"/>
          <w:color w:val="auto"/>
          <w:sz w:val="21"/>
          <w:szCs w:val="21"/>
          <w:highlight w:val="none"/>
        </w:rPr>
        <w:t>由供应商法定代表人或其授权代表签章（电子签章）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加盖供应商公章（电子签章）。</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16.3电子签章操作指南详见采购公告附件《供应商项目采购-电子招投标操作指南》。</w:t>
      </w:r>
    </w:p>
    <w:p>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磋商响应文件的形式</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17.1磋商响应文件的形式：</w:t>
      </w:r>
      <w:r>
        <w:rPr>
          <w:rFonts w:hint="eastAsia" w:ascii="宋体" w:hAnsi="宋体" w:eastAsia="宋体" w:cs="宋体"/>
          <w:b/>
          <w:color w:val="auto"/>
          <w:sz w:val="21"/>
          <w:szCs w:val="21"/>
          <w:highlight w:val="none"/>
        </w:rPr>
        <w:t>见供应商须知前附表；</w:t>
      </w:r>
    </w:p>
    <w:p>
      <w:pPr>
        <w:tabs>
          <w:tab w:val="left" w:pos="36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17.2“电子加密磋商响应文件”：“电子加密磋商响应文件”是指通过“政采云电子交易客户端”完成磋商响应文件编制后生成并加密的数据电文形式的磋商响应文件。</w:t>
      </w:r>
    </w:p>
    <w:p>
      <w:pPr>
        <w:tabs>
          <w:tab w:val="left" w:pos="360"/>
        </w:tabs>
        <w:spacing w:line="460" w:lineRule="exact"/>
        <w:ind w:firstLine="214"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17.3“备份磋商响应文件”：“备份磋商响应文件”是指与“电子加密磋商响应文件”同时生成的数据电文形式的电子文件（备份标书），其他方式编制的“备份磋商响应文件”视为无效的“备份磋商响应文件”。</w:t>
      </w:r>
    </w:p>
    <w:p>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磋商响应文件的份数</w:t>
      </w:r>
    </w:p>
    <w:p>
      <w:pPr>
        <w:tabs>
          <w:tab w:val="left" w:pos="5355"/>
        </w:tabs>
        <w:spacing w:line="43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18.1磋商响应文件的份数：</w:t>
      </w:r>
      <w:r>
        <w:rPr>
          <w:rFonts w:hint="eastAsia" w:ascii="宋体" w:hAnsi="宋体" w:eastAsia="宋体" w:cs="宋体"/>
          <w:b/>
          <w:color w:val="auto"/>
          <w:sz w:val="21"/>
          <w:szCs w:val="21"/>
          <w:highlight w:val="none"/>
        </w:rPr>
        <w:t>见供应商须知前附表。</w:t>
      </w:r>
    </w:p>
    <w:p>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磋商</w:t>
      </w:r>
      <w:r>
        <w:rPr>
          <w:rFonts w:hint="eastAsia" w:ascii="宋体" w:hAnsi="宋体" w:eastAsia="宋体" w:cs="宋体"/>
          <w:bCs/>
          <w:color w:val="auto"/>
          <w:sz w:val="21"/>
          <w:szCs w:val="21"/>
          <w:highlight w:val="none"/>
        </w:rPr>
        <w:t>报价</w:t>
      </w:r>
    </w:p>
    <w:p>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供应商应报出本项目采购内容所包含的所有单价和总价，并且报出价格组成表，对于供应商价格组成表中未列出的项目或没有填写单价和总价的项目,在合同执行时采购人将不予支付,并认为这些项目费用已包括在投标报价内。</w:t>
      </w:r>
    </w:p>
    <w:p>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19.2 </w:t>
      </w:r>
      <w:r>
        <w:rPr>
          <w:rFonts w:hint="eastAsia" w:ascii="宋体" w:hAnsi="宋体" w:cs="宋体"/>
          <w:color w:val="auto"/>
          <w:sz w:val="21"/>
          <w:szCs w:val="21"/>
          <w:highlight w:val="none"/>
          <w:lang w:eastAsia="zh-CN"/>
        </w:rPr>
        <w:t>磋商报价</w:t>
      </w:r>
      <w:r>
        <w:rPr>
          <w:rFonts w:hint="eastAsia" w:ascii="宋体" w:hAnsi="宋体" w:eastAsia="宋体" w:cs="宋体"/>
          <w:color w:val="auto"/>
          <w:sz w:val="21"/>
          <w:szCs w:val="21"/>
          <w:highlight w:val="none"/>
        </w:rPr>
        <w:t>应是成交供应商在正确地完全履行合同义务后采购人应支付给成交供应商所有的服务价款，供应商应根据上述因素自行考虑含入投标总价。</w:t>
      </w:r>
    </w:p>
    <w:p>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供应商须认真阅读、充分理解采购文件，如有疑问可在询疑截止时间前送达（或传真）采购代理机构，采购代理机构将会统一解答。任何因对本项目采购文件理解不清、产生歧义等由此产生的费用，视作以含在投标总价中。</w:t>
      </w:r>
    </w:p>
    <w:p>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供应商必须按第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部分附件的开标一览表（统一格式）、分项报价表（统一格式）的内容填写单价、合价及其他事项。</w:t>
      </w:r>
    </w:p>
    <w:p>
      <w:pPr>
        <w:tabs>
          <w:tab w:val="left" w:pos="540"/>
        </w:tabs>
        <w:spacing w:line="460" w:lineRule="exact"/>
        <w:ind w:firstLine="214"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19.5 所有投标报价均以人民币报价。</w:t>
      </w:r>
    </w:p>
    <w:p>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 采购人不接受任何选择报价，对每一项货物/服务只允许一个报价。</w:t>
      </w:r>
    </w:p>
    <w:p>
      <w:pPr>
        <w:tabs>
          <w:tab w:val="left" w:pos="540"/>
        </w:tabs>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采购人要求分类报价是为了方便评标，但在任何情况下不限制采购人以其认为最合适的条款、条件签订合同的权利。</w:t>
      </w:r>
    </w:p>
    <w:p>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19.8 报价是成交的一个重要因素，但最低报价不是成交的唯一依据。</w:t>
      </w:r>
    </w:p>
    <w:p>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
          <w:bCs/>
          <w:color w:val="auto"/>
          <w:sz w:val="21"/>
          <w:szCs w:val="21"/>
          <w:highlight w:val="none"/>
        </w:rPr>
        <w:t>供应商如发生下列情况之一，将上报同级政府采购监督管理部门，追究其责任：</w:t>
      </w:r>
    </w:p>
    <w:p>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20.1</w:t>
      </w:r>
      <w:r>
        <w:rPr>
          <w:rFonts w:hint="eastAsia" w:ascii="宋体" w:hAnsi="宋体" w:eastAsia="宋体" w:cs="宋体"/>
          <w:color w:val="auto"/>
          <w:sz w:val="21"/>
          <w:szCs w:val="21"/>
          <w:highlight w:val="none"/>
        </w:rPr>
        <w:t>供应商在采购文件规定的磋商响应文件有效期内撤回投标；</w:t>
      </w:r>
    </w:p>
    <w:p>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rPr>
        <w:t>成交供应商未按成交通知书中规定的时间与采购人签订合同；</w:t>
      </w:r>
    </w:p>
    <w:p>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w:t>
      </w:r>
      <w:r>
        <w:rPr>
          <w:rFonts w:hint="eastAsia" w:ascii="宋体" w:hAnsi="宋体" w:eastAsia="宋体" w:cs="宋体"/>
          <w:color w:val="auto"/>
          <w:sz w:val="21"/>
          <w:szCs w:val="21"/>
          <w:highlight w:val="none"/>
        </w:rPr>
        <w:t>供应商在采购文件中提供虚假技术指标及参数，经磋商小组确认属实的。</w:t>
      </w:r>
    </w:p>
    <w:p>
      <w:pPr>
        <w:numPr>
          <w:ilvl w:val="0"/>
          <w:numId w:val="0"/>
        </w:numPr>
        <w:tabs>
          <w:tab w:val="left" w:pos="360"/>
        </w:tabs>
        <w:spacing w:line="440" w:lineRule="exact"/>
        <w:ind w:leftChars="0"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20.4</w:t>
      </w:r>
      <w:r>
        <w:rPr>
          <w:rFonts w:hint="eastAsia" w:ascii="宋体" w:hAnsi="宋体" w:eastAsia="宋体" w:cs="宋体"/>
          <w:color w:val="auto"/>
          <w:sz w:val="21"/>
          <w:szCs w:val="21"/>
          <w:highlight w:val="none"/>
        </w:rPr>
        <w:t>经同级政府采购监督管理部门审查认定供应商有违反《中华人民共和国政府采购法》等有关法律法规的行为。</w:t>
      </w:r>
    </w:p>
    <w:p>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Cs/>
          <w:color w:val="auto"/>
          <w:sz w:val="21"/>
          <w:szCs w:val="21"/>
          <w:highlight w:val="none"/>
        </w:rPr>
        <w:t>磋商</w:t>
      </w:r>
      <w:r>
        <w:rPr>
          <w:rFonts w:hint="eastAsia" w:ascii="宋体" w:hAnsi="宋体" w:eastAsia="宋体" w:cs="宋体"/>
          <w:b/>
          <w:bCs/>
          <w:color w:val="auto"/>
          <w:sz w:val="21"/>
          <w:szCs w:val="21"/>
          <w:highlight w:val="none"/>
        </w:rPr>
        <w:t>响应文件有效期</w:t>
      </w:r>
    </w:p>
    <w:p>
      <w:pPr>
        <w:tabs>
          <w:tab w:val="left" w:pos="540"/>
          <w:tab w:val="left" w:pos="992"/>
        </w:tabs>
        <w:autoSpaceDE w:val="0"/>
        <w:autoSpaceDN w:val="0"/>
        <w:adjustRightInd w:val="0"/>
        <w:spacing w:line="460" w:lineRule="atLeas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 自开标之日起 90天内投标应保持有效。磋商响应文件有效期短于这个规定期限的投标将视为非响应性投标而予以拒绝。</w:t>
      </w:r>
    </w:p>
    <w:p>
      <w:pPr>
        <w:spacing w:line="440" w:lineRule="exact"/>
        <w:ind w:left="2"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21.2 特殊情况下，在原磋商响应文件有效期截止前，采购人可与供应商协商延长磋商响应文件有效期，这种要求和答复均以书面形式进行。供应商可拒绝接受延期要求。同意延长磋商响应文件有效期的供应商不得修改磋商响应文件。</w:t>
      </w:r>
    </w:p>
    <w:p>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16" w:name="_Toc38618585"/>
      <w:bookmarkStart w:id="17" w:name="_Toc73917574"/>
      <w:bookmarkStart w:id="18" w:name="_Toc57626727"/>
      <w:bookmarkStart w:id="19" w:name="_Toc18954"/>
      <w:r>
        <w:rPr>
          <w:rFonts w:hint="eastAsia" w:ascii="宋体" w:hAnsi="宋体" w:eastAsia="宋体" w:cs="宋体"/>
          <w:b/>
          <w:bCs/>
          <w:color w:val="auto"/>
          <w:sz w:val="21"/>
          <w:szCs w:val="21"/>
          <w:highlight w:val="none"/>
        </w:rPr>
        <w:t>四   磋商响应文件的递交</w:t>
      </w:r>
      <w:bookmarkEnd w:id="16"/>
      <w:bookmarkEnd w:id="17"/>
      <w:bookmarkEnd w:id="18"/>
      <w:bookmarkEnd w:id="19"/>
    </w:p>
    <w:p>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bookmarkStart w:id="20" w:name="_Toc10467"/>
      <w:r>
        <w:rPr>
          <w:rFonts w:hint="eastAsia" w:ascii="宋体" w:hAnsi="宋体" w:eastAsia="宋体" w:cs="宋体"/>
          <w:b/>
          <w:bCs/>
          <w:color w:val="auto"/>
          <w:kern w:val="0"/>
          <w:sz w:val="21"/>
          <w:szCs w:val="21"/>
          <w:highlight w:val="none"/>
        </w:rPr>
        <w:t xml:space="preserve"> 磋商响应文件的递交</w:t>
      </w:r>
    </w:p>
    <w:p>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22.1磋商响应文件的上传、递交：</w:t>
      </w:r>
      <w:r>
        <w:rPr>
          <w:rFonts w:hint="eastAsia" w:ascii="宋体" w:hAnsi="宋体" w:eastAsia="宋体" w:cs="宋体"/>
          <w:b/>
          <w:bCs/>
          <w:color w:val="auto"/>
          <w:kern w:val="0"/>
          <w:sz w:val="21"/>
          <w:szCs w:val="21"/>
          <w:highlight w:val="none"/>
        </w:rPr>
        <w:t>见供应商须知前附表。</w:t>
      </w:r>
    </w:p>
    <w:p>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“电子加密磋商响应文件”解密和异常情况处理。</w:t>
      </w:r>
    </w:p>
    <w:p>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23.1“电子加密磋商响应文件”解密：</w:t>
      </w:r>
      <w:r>
        <w:rPr>
          <w:rFonts w:hint="eastAsia" w:ascii="宋体" w:hAnsi="宋体" w:eastAsia="宋体" w:cs="宋体"/>
          <w:b/>
          <w:bCs/>
          <w:color w:val="auto"/>
          <w:kern w:val="0"/>
          <w:sz w:val="21"/>
          <w:szCs w:val="21"/>
          <w:highlight w:val="none"/>
        </w:rPr>
        <w:t>见供应商须知前附表。</w:t>
      </w:r>
    </w:p>
    <w:p>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磋商响应文件的补充、修改或撤回</w:t>
      </w:r>
    </w:p>
    <w:p>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24.1供应商应当在磋商响应文件递交截止时间前完成磋商响应文件的上传、递交，并可以补充、修改或者撤回磋商响应文件。补充或者修改磋商响应文件的，应当先行撤回原文件，补充、修改后重新上传、递交。磋商响应文件递交截止时间前未完成上传、递交的，视为撤回磋商响应文件。磋商响应文件递交截止时间后递交的磋商响应文件，“政采云平台”将予以拒收。</w:t>
      </w:r>
    </w:p>
    <w:p>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24.2磋商响应文件递交截止时间后，供应商不得撤回、修改磋商响应文件。</w:t>
      </w:r>
    </w:p>
    <w:p>
      <w:pPr>
        <w:numPr>
          <w:ilvl w:val="0"/>
          <w:numId w:val="5"/>
        </w:numPr>
        <w:tabs>
          <w:tab w:val="left" w:pos="540"/>
        </w:tabs>
        <w:spacing w:line="440" w:lineRule="exact"/>
        <w:contextualSpacing/>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 xml:space="preserve"> 磋商响应文件的备选方案</w:t>
      </w:r>
    </w:p>
    <w:p>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25.1</w:t>
      </w:r>
      <w:r>
        <w:rPr>
          <w:rFonts w:hint="eastAsia" w:ascii="宋体" w:hAnsi="宋体" w:eastAsia="宋体" w:cs="宋体"/>
          <w:color w:val="auto"/>
          <w:sz w:val="21"/>
          <w:szCs w:val="21"/>
          <w:highlight w:val="none"/>
          <w:u w:val="single"/>
        </w:rPr>
        <w:t>▲</w:t>
      </w:r>
      <w:r>
        <w:rPr>
          <w:rFonts w:hint="eastAsia" w:ascii="宋体" w:hAnsi="宋体" w:eastAsia="宋体" w:cs="宋体"/>
          <w:b/>
          <w:bCs w:val="0"/>
          <w:color w:val="auto"/>
          <w:kern w:val="0"/>
          <w:sz w:val="21"/>
          <w:szCs w:val="21"/>
          <w:highlight w:val="none"/>
          <w:u w:val="single"/>
        </w:rPr>
        <w:t>供应商不得递交任何的投标备选（替代）方案，否则其磋商响应文件将作无效标处理。</w:t>
      </w:r>
      <w:r>
        <w:rPr>
          <w:rFonts w:hint="eastAsia" w:ascii="宋体" w:hAnsi="宋体" w:eastAsia="宋体" w:cs="宋体"/>
          <w:bCs/>
          <w:color w:val="auto"/>
          <w:kern w:val="0"/>
          <w:sz w:val="21"/>
          <w:szCs w:val="21"/>
          <w:highlight w:val="none"/>
        </w:rPr>
        <w:t>与“电子加密磋商响应文件”同时生成的“备份磋商响应文件”不是投标备选（替代）方案。</w:t>
      </w:r>
    </w:p>
    <w:p>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21" w:name="_Toc221356952"/>
      <w:bookmarkStart w:id="22" w:name="_Toc223715999"/>
      <w:bookmarkStart w:id="23" w:name="_Toc38203957"/>
      <w:bookmarkStart w:id="24" w:name="_Toc221423620"/>
      <w:bookmarkStart w:id="25" w:name="_Toc57626728"/>
      <w:bookmarkStart w:id="26" w:name="_Toc73917575"/>
      <w:bookmarkStart w:id="27" w:name="_Toc38618586"/>
      <w:bookmarkStart w:id="28" w:name="_Toc241404203"/>
      <w:bookmarkStart w:id="29" w:name="_Toc222114880"/>
      <w:bookmarkStart w:id="30" w:name="_Toc265529384"/>
      <w:bookmarkStart w:id="31" w:name="_Toc221356888"/>
      <w:bookmarkStart w:id="32" w:name="_Toc239145355"/>
      <w:bookmarkStart w:id="33" w:name="_Toc221374627"/>
      <w:r>
        <w:rPr>
          <w:rFonts w:hint="eastAsia" w:ascii="宋体" w:hAnsi="宋体" w:eastAsia="宋体" w:cs="宋体"/>
          <w:b/>
          <w:bCs/>
          <w:color w:val="auto"/>
          <w:sz w:val="21"/>
          <w:szCs w:val="21"/>
          <w:highlight w:val="none"/>
        </w:rPr>
        <w:t>五   开标</w:t>
      </w:r>
      <w:bookmarkEnd w:id="21"/>
      <w:bookmarkEnd w:id="22"/>
      <w:bookmarkEnd w:id="23"/>
      <w:bookmarkEnd w:id="24"/>
      <w:bookmarkEnd w:id="25"/>
      <w:bookmarkEnd w:id="26"/>
      <w:bookmarkEnd w:id="27"/>
      <w:bookmarkEnd w:id="28"/>
      <w:bookmarkEnd w:id="29"/>
      <w:bookmarkEnd w:id="30"/>
      <w:bookmarkEnd w:id="31"/>
      <w:bookmarkEnd w:id="32"/>
      <w:bookmarkEnd w:id="33"/>
    </w:p>
    <w:p>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开标形式</w:t>
      </w:r>
    </w:p>
    <w:p>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26.1 采购组织机构将按照采购文件规定的时间通过“政采云平台”组织开标、开启磋商响应文件，所有供应商均应当准时在线参加。</w:t>
      </w:r>
    </w:p>
    <w:p>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开标准备</w:t>
      </w:r>
    </w:p>
    <w:p>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27.1开标的准备工作由采购组织机构负责落实。</w:t>
      </w:r>
    </w:p>
    <w:p>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27.2采购组织机构将按照采购文件规定的时间通过“政采云平台”组织开标、开启磋商响应文件，所有供应商均应当准时在线参加。供应商如不参加开标大会的，视同认可开标结果，事后不得对采购相关人员、开标过程和开标结果提出异议，同时供应商因未在线参加开标而导致磋商响应文件无法按时解密等一切后果由供应商自己承担。</w:t>
      </w:r>
    </w:p>
    <w:p>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开标流程（三阶段）</w:t>
      </w:r>
    </w:p>
    <w:p>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28.1开标第一阶段</w:t>
      </w:r>
    </w:p>
    <w:p>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向各供应商发出电子加密磋商响应文件【开始解密】通知，由供应商按采购文件规定的时间内自行进行磋商响应文件解密。供应商在规定的时间内（开标时间起半个小时内）无法完成已递交的“电子加密磋商响应文件”解密的，如已按规定递交了备份磋商响应文件的，将由采购组织机构按“政采云平台”操作规范将备份磋商响应文件上传至“政采云平台”，上传成功后，“电子加密磋商响应文件”自动失效；</w:t>
      </w:r>
    </w:p>
    <w:p>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（2）磋商响应文件解密结束，各供应商签署《政府采购活动现场确认声明书》（见附件）后将扫描件发送至采购代理机构邮箱：</w:t>
      </w:r>
      <w:r>
        <w:rPr>
          <w:rFonts w:hint="eastAsia" w:ascii="宋体" w:hAnsi="宋体" w:cs="宋体"/>
          <w:b w:val="0"/>
          <w:bCs w:val="0"/>
          <w:color w:val="auto"/>
          <w:sz w:val="21"/>
          <w:szCs w:val="21"/>
          <w:highlight w:val="none"/>
          <w:u w:val="single"/>
          <w:lang w:eastAsia="zh-CN"/>
        </w:rPr>
        <w:t>497618394</w:t>
      </w:r>
      <w:r>
        <w:rPr>
          <w:rFonts w:hint="eastAsia" w:ascii="宋体" w:hAnsi="宋体" w:eastAsia="宋体" w:cs="宋体"/>
          <w:b w:val="0"/>
          <w:bCs w:val="0"/>
          <w:color w:val="auto"/>
          <w:sz w:val="21"/>
          <w:szCs w:val="21"/>
          <w:highlight w:val="none"/>
          <w:u w:val="single"/>
        </w:rPr>
        <w:t>@qq.com</w:t>
      </w:r>
      <w:r>
        <w:rPr>
          <w:rFonts w:hint="eastAsia" w:ascii="宋体" w:hAnsi="宋体" w:eastAsia="宋体" w:cs="宋体"/>
          <w:b w:val="0"/>
          <w:bCs w:val="0"/>
          <w:color w:val="auto"/>
          <w:kern w:val="0"/>
          <w:sz w:val="21"/>
          <w:szCs w:val="21"/>
          <w:highlight w:val="none"/>
        </w:rPr>
        <w:t>；</w:t>
      </w:r>
    </w:p>
    <w:p>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（3）开启磋商响应文件，进入资格审查；</w:t>
      </w:r>
    </w:p>
    <w:p>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（4）开启资格审查通过的供应商的商务技术文件进入符合性审查、商务技术评审；</w:t>
      </w:r>
    </w:p>
    <w:p>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（5）第一阶段开标结束。</w:t>
      </w:r>
    </w:p>
    <w:p>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备注：开标大会的第一阶段结束后，采购人或采购代理机构将对依法对供应商的资格进行审查，资格审查结束后进入符合性审查和商务技术文件的评审工作，具体见本章节“供应商资格审查”相关规定。</w:t>
      </w:r>
    </w:p>
    <w:p>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28.2开标大会第二阶段</w:t>
      </w:r>
    </w:p>
    <w:p>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符合性审查、商务技术文件的评审结束后，举行开标大会第二阶段会议。首先在“政采云平台”系统平台上公布符合性审查、商务技术评审无效供应商名称及理由；公布经商务技术评审后有效供应商的名单。</w:t>
      </w:r>
    </w:p>
    <w:p>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开启通过符合性审查、商务技术文件评审有效供应商的报价文件，在“政采云平台”系统平台上公布开标一览表有关内容，同时当场制作开标记录，供应商在线进行确认。开标结束后，由磋商小组对报价的合理性、准确性等进行审查核实。</w:t>
      </w:r>
    </w:p>
    <w:p>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28.3开标第三阶段</w:t>
      </w:r>
    </w:p>
    <w:p>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（1）供应商在规定的时间内在政采云平台提交二次（最终）报价</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供应商</w:t>
      </w:r>
      <w:r>
        <w:rPr>
          <w:rFonts w:hint="eastAsia" w:ascii="宋体" w:hAnsi="宋体" w:eastAsia="宋体" w:cs="宋体"/>
          <w:b w:val="0"/>
          <w:bCs w:val="0"/>
          <w:color w:val="auto"/>
          <w:kern w:val="0"/>
          <w:sz w:val="21"/>
          <w:szCs w:val="21"/>
          <w:highlight w:val="none"/>
          <w:lang w:val="en-US" w:eastAsia="zh-CN"/>
        </w:rPr>
        <w:t>未</w:t>
      </w:r>
      <w:r>
        <w:rPr>
          <w:rFonts w:hint="eastAsia" w:ascii="宋体" w:hAnsi="宋体" w:eastAsia="宋体" w:cs="宋体"/>
          <w:b w:val="0"/>
          <w:bCs w:val="0"/>
          <w:color w:val="auto"/>
          <w:kern w:val="0"/>
          <w:sz w:val="21"/>
          <w:szCs w:val="21"/>
          <w:highlight w:val="none"/>
        </w:rPr>
        <w:t>在规定的时间内在政采云平台提交二次（最终）报价</w:t>
      </w:r>
      <w:r>
        <w:rPr>
          <w:rFonts w:hint="eastAsia" w:ascii="宋体" w:hAnsi="宋体" w:eastAsia="宋体" w:cs="宋体"/>
          <w:b w:val="0"/>
          <w:bCs w:val="0"/>
          <w:color w:val="auto"/>
          <w:kern w:val="0"/>
          <w:sz w:val="21"/>
          <w:szCs w:val="21"/>
          <w:highlight w:val="none"/>
          <w:lang w:val="en-US" w:eastAsia="zh-CN"/>
        </w:rPr>
        <w:t>的，系统默认为放弃报价（放弃投标），不进入后续评审</w:t>
      </w:r>
      <w:r>
        <w:rPr>
          <w:rFonts w:hint="eastAsia" w:ascii="宋体" w:hAnsi="宋体" w:eastAsia="宋体" w:cs="宋体"/>
          <w:b w:val="0"/>
          <w:bCs w:val="0"/>
          <w:color w:val="auto"/>
          <w:kern w:val="0"/>
          <w:sz w:val="21"/>
          <w:szCs w:val="21"/>
          <w:highlight w:val="none"/>
        </w:rPr>
        <w:t>；</w:t>
      </w:r>
    </w:p>
    <w:p>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（2）开启供应商的二次（最终）报价文件，公布二次（最终）报价有关内容，同时当场制作开标记录，供应商在线进行确认。开标结束后，由磋商小组对报价的合理性、准确性等进行审查核实。</w:t>
      </w:r>
    </w:p>
    <w:p>
      <w:pPr>
        <w:tabs>
          <w:tab w:val="left" w:pos="540"/>
        </w:tabs>
        <w:spacing w:line="4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▲特别说明：如遇“政采云平台”电子化开标或评审程序调整的，按调整后程序执行。</w:t>
      </w:r>
    </w:p>
    <w:p>
      <w:pPr>
        <w:tabs>
          <w:tab w:val="left" w:pos="540"/>
        </w:tabs>
        <w:spacing w:line="460" w:lineRule="exact"/>
        <w:ind w:firstLine="214" w:firstLineChars="100"/>
        <w:rPr>
          <w:rFonts w:hint="eastAsia" w:ascii="宋体" w:hAnsi="宋体" w:eastAsia="宋体" w:cs="宋体"/>
          <w:b w:val="0"/>
          <w:bCs w:val="0"/>
          <w:color w:val="auto"/>
          <w:kern w:val="0"/>
          <w:sz w:val="21"/>
          <w:szCs w:val="21"/>
          <w:highlight w:val="none"/>
        </w:rPr>
      </w:pPr>
      <w:bookmarkStart w:id="34" w:name="_Toc24550037"/>
      <w:bookmarkStart w:id="35" w:name="_Toc33194393"/>
      <w:r>
        <w:rPr>
          <w:rFonts w:hint="eastAsia" w:ascii="宋体" w:hAnsi="宋体" w:eastAsia="宋体" w:cs="宋体"/>
          <w:b w:val="0"/>
          <w:bCs w:val="0"/>
          <w:color w:val="auto"/>
          <w:kern w:val="0"/>
          <w:sz w:val="21"/>
          <w:szCs w:val="21"/>
          <w:highlight w:val="none"/>
        </w:rPr>
        <w:t>2</w:t>
      </w: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.4、投标人在政采云客户端填写的报价与PDF格式上传文件中的报价不一致的，应以加盖单位公章或CA签章PDF的开标一览表的报价为准，修正客户端填写的报价。</w:t>
      </w:r>
    </w:p>
    <w:p>
      <w:pPr>
        <w:numPr>
          <w:ilvl w:val="0"/>
          <w:numId w:val="5"/>
        </w:numPr>
        <w:tabs>
          <w:tab w:val="left" w:pos="540"/>
        </w:tabs>
        <w:spacing w:line="440" w:lineRule="exact"/>
        <w:contextualSpacing/>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 供应商资格审查</w:t>
      </w:r>
      <w:bookmarkEnd w:id="34"/>
      <w:bookmarkEnd w:id="35"/>
    </w:p>
    <w:p>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29.1开标大会第一阶段结束后，采购人或采购代理机构首先依法对各供应商的资格进行审查，审查各供应商的资格是否满足采购文件的要求。采购人或采购代理机构对供应商所提交的资格审查材料仅负审核的责任。如发现供应商所提交的资格审查材料不合法或与事实不符，采购人可取消其成交资格并追究供应商的法律责任。</w:t>
      </w:r>
    </w:p>
    <w:p>
      <w:pPr>
        <w:tabs>
          <w:tab w:val="left" w:pos="540"/>
        </w:tabs>
        <w:spacing w:line="460" w:lineRule="exact"/>
        <w:ind w:firstLine="214" w:firstLineChars="1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29.2</w:t>
      </w:r>
      <w:r>
        <w:rPr>
          <w:rFonts w:hint="eastAsia" w:ascii="宋体" w:hAnsi="宋体" w:eastAsia="宋体" w:cs="宋体"/>
          <w:color w:val="auto"/>
          <w:sz w:val="21"/>
          <w:szCs w:val="21"/>
          <w:highlight w:val="none"/>
          <w:u w:val="single"/>
        </w:rPr>
        <w:t>▲</w:t>
      </w:r>
      <w:r>
        <w:rPr>
          <w:rFonts w:hint="eastAsia" w:ascii="宋体" w:hAnsi="宋体" w:eastAsia="宋体" w:cs="宋体"/>
          <w:b/>
          <w:bCs w:val="0"/>
          <w:color w:val="auto"/>
          <w:kern w:val="0"/>
          <w:sz w:val="21"/>
          <w:szCs w:val="21"/>
          <w:highlight w:val="none"/>
          <w:u w:val="single"/>
        </w:rPr>
        <w:t>供应商提交的资格审查材料无法证明其符合采购文件规定的“供应商资格要求”的，采购人或采购代理机构将对其作资格审查不通过处理（无效投标），并不再将其投标提交磋商小组进行后续评审。</w:t>
      </w:r>
    </w:p>
    <w:p>
      <w:pPr>
        <w:tabs>
          <w:tab w:val="left" w:pos="540"/>
        </w:tabs>
        <w:spacing w:line="460" w:lineRule="exact"/>
        <w:ind w:firstLine="214" w:firstLineChars="100"/>
        <w:rPr>
          <w:rFonts w:hint="eastAsia" w:ascii="宋体" w:hAnsi="宋体" w:eastAsia="宋体" w:cs="宋体"/>
          <w:b/>
          <w:bCs w:val="0"/>
          <w:color w:val="auto"/>
          <w:kern w:val="0"/>
          <w:sz w:val="21"/>
          <w:szCs w:val="21"/>
          <w:highlight w:val="none"/>
          <w:u w:val="single"/>
        </w:rPr>
      </w:pPr>
      <w:r>
        <w:rPr>
          <w:rFonts w:hint="eastAsia" w:ascii="宋体" w:hAnsi="宋体" w:eastAsia="宋体" w:cs="宋体"/>
          <w:b/>
          <w:bCs w:val="0"/>
          <w:color w:val="auto"/>
          <w:kern w:val="0"/>
          <w:sz w:val="21"/>
          <w:szCs w:val="21"/>
          <w:highlight w:val="none"/>
          <w:u w:val="single"/>
        </w:rPr>
        <w:t>29.3</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kern w:val="0"/>
          <w:sz w:val="21"/>
          <w:szCs w:val="21"/>
          <w:highlight w:val="none"/>
          <w:u w:val="single"/>
        </w:rPr>
        <w:t>单位负责人为同一人或者存在直接控股、管理关系的不同供应商参加同一合同项下的政府采购活动的，相关供应商均作资格无效处理。</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outlineLvl w:val="1"/>
        <w:rPr>
          <w:rFonts w:hint="eastAsia" w:ascii="宋体" w:hAnsi="宋体" w:eastAsia="宋体" w:cs="宋体"/>
          <w:b/>
          <w:bCs/>
          <w:color w:val="auto"/>
          <w:sz w:val="21"/>
          <w:szCs w:val="21"/>
          <w:highlight w:val="none"/>
        </w:rPr>
      </w:pPr>
      <w:bookmarkStart w:id="36" w:name="_Toc57626729"/>
      <w:bookmarkStart w:id="37" w:name="_Toc38618587"/>
      <w:bookmarkStart w:id="38" w:name="_Toc73917576"/>
      <w:r>
        <w:rPr>
          <w:rFonts w:hint="eastAsia" w:ascii="宋体" w:hAnsi="宋体" w:eastAsia="宋体" w:cs="宋体"/>
          <w:b/>
          <w:bCs/>
          <w:color w:val="auto"/>
          <w:sz w:val="21"/>
          <w:szCs w:val="21"/>
          <w:highlight w:val="none"/>
        </w:rPr>
        <w:t>六   磋商</w:t>
      </w:r>
      <w:bookmarkEnd w:id="20"/>
      <w:bookmarkEnd w:id="36"/>
      <w:bookmarkEnd w:id="37"/>
      <w:bookmarkEnd w:id="38"/>
    </w:p>
    <w:p>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w:t>
      </w:r>
    </w:p>
    <w:p>
      <w:pPr>
        <w:spacing w:line="4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采购人按照《中华人民共和国政府采购法》等有关法律、法规的规定组建磋商小组，</w:t>
      </w:r>
      <w:r>
        <w:rPr>
          <w:rFonts w:hint="eastAsia" w:ascii="宋体" w:hAnsi="宋体" w:eastAsia="宋体" w:cs="宋体"/>
          <w:color w:val="auto"/>
          <w:kern w:val="0"/>
          <w:sz w:val="21"/>
          <w:szCs w:val="21"/>
          <w:highlight w:val="none"/>
          <w:lang w:val="en-US" w:eastAsia="zh-CN" w:bidi="ar-SA"/>
        </w:rPr>
        <w:t>磋商小组由采购人代表和评审专家共3人以上单数组成，其中评审专家人数不得少于磋商小组成员总数的2/3。评审专家应当从政府采购评审专家库内相关专业的专家名单中随机抽取</w:t>
      </w:r>
      <w:r>
        <w:rPr>
          <w:rFonts w:hint="eastAsia" w:ascii="宋体" w:hAnsi="宋体" w:eastAsia="宋体" w:cs="宋体"/>
          <w:color w:val="auto"/>
          <w:kern w:val="0"/>
          <w:sz w:val="21"/>
          <w:szCs w:val="21"/>
          <w:highlight w:val="none"/>
        </w:rPr>
        <w:t>。</w:t>
      </w:r>
    </w:p>
    <w:p>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磋商评审过程的保密性</w:t>
      </w:r>
    </w:p>
    <w:p>
      <w:pPr>
        <w:spacing w:line="46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开标后直至向成交供应商授予合同时止，凡与磋商评审有关的资料均不得向供应商及与磋商评审无关人员透露。</w:t>
      </w:r>
      <w:r>
        <w:rPr>
          <w:rFonts w:hint="eastAsia" w:ascii="宋体" w:hAnsi="宋体" w:eastAsia="宋体" w:cs="宋体"/>
          <w:b/>
          <w:bCs/>
          <w:color w:val="auto"/>
          <w:sz w:val="21"/>
          <w:szCs w:val="21"/>
          <w:highlight w:val="none"/>
          <w:u w:val="single"/>
        </w:rPr>
        <w:t>▲如果供应商在磋商评审过程中试图向采购人和采购代理机构施加影响，其磋商响应文件将被否决。</w:t>
      </w:r>
    </w:p>
    <w:p>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磋商和评审</w:t>
      </w:r>
    </w:p>
    <w:p>
      <w:pPr>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磋商小组根据磋商文件的规定，对磋商响应文件的有效性、完整性和对磋商文件的响应程度进行审查，以确定其是否对磋商文件作出了实质性响应。</w:t>
      </w:r>
    </w:p>
    <w:p>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32.2评审过程中磋商供应商有义务对磋商小组提出就磋商响应文件中含义不明确、同类问题表述不</w:t>
      </w:r>
      <w:r>
        <w:rPr>
          <w:rFonts w:hint="eastAsia" w:ascii="宋体" w:hAnsi="宋体" w:eastAsia="宋体" w:cs="宋体"/>
          <w:color w:val="auto"/>
          <w:sz w:val="21"/>
          <w:szCs w:val="21"/>
          <w:highlight w:val="none"/>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r>
        <w:rPr>
          <w:rFonts w:hint="eastAsia" w:ascii="宋体" w:hAnsi="宋体" w:eastAsia="宋体" w:cs="宋体"/>
          <w:color w:val="auto"/>
          <w:sz w:val="21"/>
          <w:szCs w:val="21"/>
          <w:highlight w:val="none"/>
          <w:u w:val="single"/>
        </w:rPr>
        <w:t>▲</w:t>
      </w:r>
      <w:r>
        <w:rPr>
          <w:rFonts w:hint="eastAsia" w:ascii="宋体" w:hAnsi="宋体" w:eastAsia="宋体" w:cs="宋体"/>
          <w:b/>
          <w:bCs/>
          <w:color w:val="auto"/>
          <w:sz w:val="21"/>
          <w:szCs w:val="21"/>
          <w:highlight w:val="none"/>
          <w:u w:val="single"/>
        </w:rPr>
        <w:t>经澄清后，若偏差仍存在，且不可接受，磋商供应商则被认为是“没有实质性响应采购文件要求”，其磋商不进入下一步评审</w:t>
      </w:r>
      <w:r>
        <w:rPr>
          <w:rFonts w:hint="eastAsia" w:ascii="宋体" w:hAnsi="宋体" w:eastAsia="宋体" w:cs="宋体"/>
          <w:color w:val="auto"/>
          <w:sz w:val="21"/>
          <w:szCs w:val="21"/>
          <w:highlight w:val="none"/>
        </w:rPr>
        <w:t>。</w:t>
      </w:r>
    </w:p>
    <w:p>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经电子签章的政采云平台上传文件，下同），并由磋商供应商代表签字。磋商轮次最多不超过3轮。</w:t>
      </w:r>
    </w:p>
    <w:p>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32.6在磋商过程中，磋商供应商不得向磋商小组成员询问磋商情况，不得进行旨在影响磋商结果的活动，否则将取消其磋商资格。</w:t>
      </w:r>
    </w:p>
    <w:p>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32.7在磋商过程中，磋商小组成员不得与磋商供应商私下交换意见，在竞争性磋商结束后，凡与磋商情况有接触的人不得将磋商情况扩散出磋商小组成员外。</w:t>
      </w:r>
    </w:p>
    <w:p>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32.8</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u w:val="single"/>
        </w:rPr>
        <w:t>磋商结束后，磋商小组将要求磋商供应商在规定的时间内，统一进行最后报价，最后报价不得高于一次报价（磋商小组另有决议的除外）。</w:t>
      </w:r>
    </w:p>
    <w:p>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u w:val="single"/>
        </w:rPr>
        <w:t>在磋商响应文件的评审过程中，有下列情况之一的，经磋商小组认定后按无效标处理</w:t>
      </w:r>
      <w:r>
        <w:rPr>
          <w:rFonts w:hint="eastAsia" w:ascii="宋体" w:hAnsi="宋体" w:eastAsia="宋体" w:cs="宋体"/>
          <w:color w:val="auto"/>
          <w:sz w:val="21"/>
          <w:szCs w:val="21"/>
          <w:highlight w:val="none"/>
        </w:rPr>
        <w:t>：</w:t>
      </w:r>
    </w:p>
    <w:p>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磋商响应文件未按采购文件的要求签章的；</w:t>
      </w:r>
    </w:p>
    <w:p>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授权代表没有法定代表人合法、有效委托的；</w:t>
      </w:r>
    </w:p>
    <w:p>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电子磋商响应文件解密失败的，且未在规定时间内提交备份磋商响应文件的；</w:t>
      </w:r>
    </w:p>
    <w:p>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磋商响应文件内容不全或关键字迹模糊无法辨认的。</w:t>
      </w:r>
    </w:p>
    <w:p>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供应商递交两份或多份内容不同的磋商响应文件,或在一份磋商响应文件中对同一项目报价有两个或多个报价,且未声明哪一个有效（大小写不一致的除外）。</w:t>
      </w:r>
    </w:p>
    <w:p>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磋商响应文件附有采购人不能接受的条件；</w:t>
      </w:r>
    </w:p>
    <w:p>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磋商响应文件采用总价让利或百分比让利等让利方式报价；</w:t>
      </w:r>
    </w:p>
    <w:p>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供应商报价超过项目预算金额的；</w:t>
      </w:r>
    </w:p>
    <w:p>
      <w:pPr>
        <w:numPr>
          <w:ilvl w:val="0"/>
          <w:numId w:val="8"/>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磋商小组认定不符合法律、法规和采购文件中规定的其他实质性要求的。</w:t>
      </w:r>
    </w:p>
    <w:p>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ascii="宋体" w:hAnsi="宋体" w:eastAsia="宋体" w:cs="宋体"/>
          <w:b/>
          <w:bCs/>
          <w:color w:val="auto"/>
          <w:kern w:val="0"/>
          <w:sz w:val="21"/>
          <w:szCs w:val="21"/>
          <w:highlight w:val="none"/>
          <w:u w:val="single"/>
        </w:rPr>
        <w:t>有下列情形之一的，视为供应商串通投标，其磋商响应文件无效</w:t>
      </w:r>
      <w:r>
        <w:rPr>
          <w:rFonts w:hint="eastAsia" w:ascii="宋体" w:hAnsi="宋体" w:eastAsia="宋体" w:cs="宋体"/>
          <w:color w:val="auto"/>
          <w:kern w:val="0"/>
          <w:sz w:val="21"/>
          <w:szCs w:val="21"/>
          <w:highlight w:val="none"/>
        </w:rPr>
        <w:t>：</w:t>
      </w:r>
    </w:p>
    <w:p>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不同供应商的磋商响应文件由同一单位或者个人编制；</w:t>
      </w:r>
    </w:p>
    <w:p>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不同供应商委托同一单位或者个人办理投标事宜；</w:t>
      </w:r>
    </w:p>
    <w:p>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不同供应商的磋商响应文件载明的项目管理成员或者联系人员为同一人；</w:t>
      </w:r>
    </w:p>
    <w:p>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不同供应商的磋商响应文件异常一致或者投标报价呈规律性差异；</w:t>
      </w:r>
    </w:p>
    <w:p>
      <w:pPr>
        <w:numPr>
          <w:ilvl w:val="0"/>
          <w:numId w:val="9"/>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不同供应商的磋商响应文件相互混装。</w:t>
      </w:r>
    </w:p>
    <w:p>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推荐成交候选供应商</w:t>
      </w:r>
    </w:p>
    <w:p>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 本项目采购由磋商小组向采购人推荐成交候选供应商。</w:t>
      </w:r>
    </w:p>
    <w:p>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 磋商小组根据综合评审情况，按照评审得分由高到低顺序, 综合得分前三名供应商依次作为第一、第二、第三成交候选人向采购人推荐（得分相同投标报价低的排序前位；得分且投标报价相同的并列，磋商响应文件满足采购文件全部实质性要求，且按照评审因素的量化指标评审得分最高的供应商为中标候选人）。</w:t>
      </w:r>
    </w:p>
    <w:p>
      <w:pPr>
        <w:numPr>
          <w:ilvl w:val="0"/>
          <w:numId w:val="5"/>
        </w:numPr>
        <w:tabs>
          <w:tab w:val="left" w:pos="540"/>
        </w:tabs>
        <w:spacing w:line="440" w:lineRule="exact"/>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采用竞争性磋商采购方式采购的政府购买服务项目（含政府和社会资本合作项目），</w:t>
      </w:r>
      <w:r>
        <w:rPr>
          <w:rFonts w:hint="eastAsia" w:ascii="宋体" w:hAnsi="宋体" w:eastAsia="宋体" w:cs="宋体"/>
          <w:b/>
          <w:bCs/>
          <w:color w:val="auto"/>
          <w:sz w:val="21"/>
          <w:szCs w:val="21"/>
          <w:highlight w:val="none"/>
        </w:rPr>
        <w:t>在磋商过程中符符合</w:t>
      </w:r>
      <w:r>
        <w:rPr>
          <w:rFonts w:hint="eastAsia" w:ascii="宋体" w:hAnsi="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要求的</w:t>
      </w:r>
      <w:r>
        <w:rPr>
          <w:rFonts w:hint="eastAsia" w:ascii="宋体" w:hAnsi="宋体" w:cs="宋体"/>
          <w:b/>
          <w:bCs/>
          <w:color w:val="auto"/>
          <w:sz w:val="21"/>
          <w:szCs w:val="21"/>
          <w:highlight w:val="none"/>
          <w:lang w:eastAsia="zh-CN"/>
        </w:rPr>
        <w:t>有效</w:t>
      </w:r>
      <w:r>
        <w:rPr>
          <w:rFonts w:hint="eastAsia" w:ascii="宋体" w:hAnsi="宋体" w:eastAsia="宋体" w:cs="宋体"/>
          <w:b/>
          <w:bCs/>
          <w:color w:val="auto"/>
          <w:sz w:val="21"/>
          <w:szCs w:val="21"/>
          <w:highlight w:val="none"/>
        </w:rPr>
        <w:t>供应商不足3家</w:t>
      </w:r>
      <w:r>
        <w:rPr>
          <w:rFonts w:hint="eastAsia" w:ascii="宋体" w:hAnsi="宋体" w:cs="宋体"/>
          <w:b/>
          <w:bCs/>
          <w:color w:val="auto"/>
          <w:sz w:val="21"/>
          <w:szCs w:val="21"/>
          <w:highlight w:val="none"/>
          <w:lang w:eastAsia="zh-CN"/>
        </w:rPr>
        <w:t>：</w:t>
      </w:r>
    </w:p>
    <w:p>
      <w:pPr>
        <w:numPr>
          <w:ilvl w:val="0"/>
          <w:numId w:val="0"/>
        </w:numPr>
        <w:spacing w:line="44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磋商过程中符合</w:t>
      </w:r>
      <w:r>
        <w:rPr>
          <w:rFonts w:hint="eastAsia" w:ascii="宋体" w:hAnsi="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要求的</w:t>
      </w:r>
      <w:r>
        <w:rPr>
          <w:rFonts w:hint="eastAsia" w:ascii="宋体" w:hAnsi="宋体" w:cs="宋体"/>
          <w:b/>
          <w:bCs/>
          <w:color w:val="auto"/>
          <w:sz w:val="21"/>
          <w:szCs w:val="21"/>
          <w:highlight w:val="none"/>
          <w:lang w:eastAsia="zh-CN"/>
        </w:rPr>
        <w:t>有效</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en-US" w:eastAsia="zh-CN"/>
        </w:rPr>
        <w:t>只有</w:t>
      </w:r>
      <w:r>
        <w:rPr>
          <w:rFonts w:hint="eastAsia" w:ascii="宋体" w:hAnsi="宋体" w:eastAsia="宋体" w:cs="宋体"/>
          <w:b/>
          <w:bCs/>
          <w:color w:val="auto"/>
          <w:sz w:val="21"/>
          <w:szCs w:val="21"/>
          <w:highlight w:val="none"/>
        </w:rPr>
        <w:t>2家</w:t>
      </w:r>
      <w:r>
        <w:rPr>
          <w:rFonts w:hint="eastAsia" w:ascii="宋体" w:hAnsi="宋体" w:eastAsia="宋体" w:cs="宋体"/>
          <w:b/>
          <w:bCs/>
          <w:color w:val="auto"/>
          <w:sz w:val="21"/>
          <w:szCs w:val="21"/>
          <w:highlight w:val="none"/>
          <w:lang w:val="en-US" w:eastAsia="zh-CN"/>
        </w:rPr>
        <w:t>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可</w:t>
      </w:r>
      <w:r>
        <w:rPr>
          <w:rFonts w:hint="eastAsia" w:ascii="宋体" w:hAnsi="宋体" w:eastAsia="宋体" w:cs="宋体"/>
          <w:b/>
          <w:bCs/>
          <w:color w:val="auto"/>
          <w:sz w:val="21"/>
          <w:szCs w:val="21"/>
          <w:highlight w:val="none"/>
        </w:rPr>
        <w:t>按照《财政部关于政府采购竞争性磋商采购方式管理暂行办法有关问题的补充通知》相关规定</w:t>
      </w:r>
      <w:r>
        <w:rPr>
          <w:rFonts w:hint="eastAsia" w:ascii="宋体" w:hAnsi="宋体" w:eastAsia="宋体" w:cs="宋体"/>
          <w:b/>
          <w:bCs/>
          <w:color w:val="auto"/>
          <w:sz w:val="21"/>
          <w:szCs w:val="21"/>
          <w:highlight w:val="none"/>
          <w:lang w:eastAsia="zh-CN"/>
        </w:rPr>
        <w:t>，竞争性磋商采购活动可以继续进行</w:t>
      </w:r>
      <w:r>
        <w:rPr>
          <w:rFonts w:hint="eastAsia" w:ascii="宋体" w:hAnsi="宋体" w:eastAsia="宋体" w:cs="宋体"/>
          <w:b/>
          <w:bCs/>
          <w:color w:val="auto"/>
          <w:sz w:val="21"/>
          <w:szCs w:val="21"/>
          <w:highlight w:val="none"/>
        </w:rPr>
        <w:t>，按照两名供应商的综合得分排名推荐为成交候选供应商。</w:t>
      </w:r>
    </w:p>
    <w:p>
      <w:pPr>
        <w:numPr>
          <w:ilvl w:val="0"/>
          <w:numId w:val="0"/>
        </w:numPr>
        <w:spacing w:line="440" w:lineRule="exact"/>
        <w:ind w:firstLine="214"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磋商过程中符合</w:t>
      </w:r>
      <w:r>
        <w:rPr>
          <w:rFonts w:hint="eastAsia" w:ascii="宋体" w:hAnsi="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要求的</w:t>
      </w:r>
      <w:r>
        <w:rPr>
          <w:rFonts w:hint="eastAsia" w:ascii="宋体" w:hAnsi="宋体" w:cs="宋体"/>
          <w:b/>
          <w:bCs/>
          <w:color w:val="auto"/>
          <w:sz w:val="21"/>
          <w:szCs w:val="21"/>
          <w:highlight w:val="none"/>
          <w:lang w:eastAsia="zh-CN"/>
        </w:rPr>
        <w:t>有效</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en-US" w:eastAsia="zh-CN"/>
        </w:rPr>
        <w:t>只有</w:t>
      </w:r>
      <w:r>
        <w:rPr>
          <w:rFonts w:hint="eastAsia" w:ascii="宋体" w:hAnsi="宋体" w:eastAsia="宋体" w:cs="宋体"/>
          <w:b/>
          <w:bCs/>
          <w:color w:val="auto"/>
          <w:sz w:val="21"/>
          <w:szCs w:val="21"/>
          <w:highlight w:val="none"/>
        </w:rPr>
        <w:t>1家，终止竞争性磋商采购活动，重新开展采购活动。</w:t>
      </w:r>
    </w:p>
    <w:p>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采购人、采购代理机构及磋商小组不向落选的供应商解释落选原因，也不公布评审磋商过程中的相关细节，不退还磋商响应文件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同时根据政府采购法实施条例第四十条规定，本项目不对供应商公布详细的评审情况，不公布具体</w:t>
      </w:r>
      <w:r>
        <w:rPr>
          <w:rFonts w:hint="eastAsia" w:ascii="宋体" w:hAnsi="宋体" w:eastAsia="宋体" w:cs="宋体"/>
          <w:color w:val="auto"/>
          <w:kern w:val="0"/>
          <w:sz w:val="21"/>
          <w:szCs w:val="21"/>
          <w:highlight w:val="none"/>
          <w:lang w:eastAsia="zh-CN"/>
        </w:rPr>
        <w:t>评分细则</w:t>
      </w:r>
      <w:r>
        <w:rPr>
          <w:rFonts w:hint="eastAsia" w:ascii="宋体" w:hAnsi="宋体" w:eastAsia="宋体" w:cs="宋体"/>
          <w:color w:val="auto"/>
          <w:kern w:val="0"/>
          <w:sz w:val="21"/>
          <w:szCs w:val="21"/>
          <w:highlight w:val="none"/>
        </w:rPr>
        <w:t>中小项得分</w:t>
      </w:r>
      <w:r>
        <w:rPr>
          <w:rFonts w:hint="eastAsia" w:ascii="宋体" w:hAnsi="宋体" w:eastAsia="宋体" w:cs="宋体"/>
          <w:color w:val="auto"/>
          <w:sz w:val="21"/>
          <w:szCs w:val="21"/>
          <w:highlight w:val="none"/>
        </w:rPr>
        <w:t>。</w:t>
      </w:r>
    </w:p>
    <w:p>
      <w:pPr>
        <w:numPr>
          <w:ilvl w:val="0"/>
          <w:numId w:val="5"/>
        </w:numPr>
        <w:tabs>
          <w:tab w:val="left" w:pos="540"/>
        </w:tabs>
        <w:spacing w:line="440" w:lineRule="exact"/>
        <w:contextualSpacing/>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 xml:space="preserve"> 评标细则详见“磋商原则及方法”</w:t>
      </w:r>
      <w:r>
        <w:rPr>
          <w:rFonts w:hint="eastAsia" w:ascii="宋体" w:hAnsi="宋体" w:eastAsia="宋体" w:cs="宋体"/>
          <w:bCs/>
          <w:color w:val="auto"/>
          <w:sz w:val="21"/>
          <w:szCs w:val="21"/>
          <w:highlight w:val="none"/>
        </w:rPr>
        <w:t>。</w:t>
      </w:r>
    </w:p>
    <w:p>
      <w:pPr>
        <w:numPr>
          <w:ilvl w:val="0"/>
          <w:numId w:val="5"/>
        </w:numPr>
        <w:tabs>
          <w:tab w:val="left" w:pos="540"/>
        </w:tabs>
        <w:spacing w:line="440" w:lineRule="exact"/>
        <w:contextualSpacing/>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 可中止电子交易活动的情形</w:t>
      </w:r>
    </w:p>
    <w:p>
      <w:pPr>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39.1采购过程中出现以下情形，导致电子交易平台无法正常运行，或者无法保证电子交易的公平、公正和安全时，采购组织机构可中止电子交易活动：</w:t>
      </w:r>
    </w:p>
    <w:p>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①</w:t>
      </w:r>
      <w:r>
        <w:rPr>
          <w:rFonts w:hint="eastAsia" w:ascii="宋体" w:hAnsi="宋体" w:eastAsia="宋体" w:cs="宋体"/>
          <w:color w:val="auto"/>
          <w:kern w:val="0"/>
          <w:sz w:val="21"/>
          <w:szCs w:val="21"/>
          <w:highlight w:val="none"/>
        </w:rPr>
        <w:t>电子交易平台发生故障而无法登录访问的；</w:t>
      </w:r>
    </w:p>
    <w:p>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②</w:t>
      </w:r>
      <w:r>
        <w:rPr>
          <w:rFonts w:hint="eastAsia" w:ascii="宋体" w:hAnsi="宋体" w:eastAsia="宋体" w:cs="宋体"/>
          <w:color w:val="auto"/>
          <w:kern w:val="0"/>
          <w:sz w:val="21"/>
          <w:szCs w:val="21"/>
          <w:highlight w:val="none"/>
        </w:rPr>
        <w:t>电子交易平台应用或数据库出现错误，不能进行正常操作的；</w:t>
      </w:r>
    </w:p>
    <w:p>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③</w:t>
      </w:r>
      <w:r>
        <w:rPr>
          <w:rFonts w:hint="eastAsia" w:ascii="宋体" w:hAnsi="宋体" w:eastAsia="宋体" w:cs="宋体"/>
          <w:color w:val="auto"/>
          <w:kern w:val="0"/>
          <w:sz w:val="21"/>
          <w:szCs w:val="21"/>
          <w:highlight w:val="none"/>
        </w:rPr>
        <w:t>电子交易平台发现严重安全漏洞，有潜在泄密危险的；</w:t>
      </w:r>
    </w:p>
    <w:p>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④</w:t>
      </w:r>
      <w:r>
        <w:rPr>
          <w:rFonts w:hint="eastAsia" w:ascii="宋体" w:hAnsi="宋体" w:eastAsia="宋体" w:cs="宋体"/>
          <w:color w:val="auto"/>
          <w:kern w:val="0"/>
          <w:sz w:val="21"/>
          <w:szCs w:val="21"/>
          <w:highlight w:val="none"/>
        </w:rPr>
        <w:t>病毒发作导致不能进行正常操作的；</w:t>
      </w:r>
    </w:p>
    <w:p>
      <w:pPr>
        <w:numPr>
          <w:ilvl w:val="0"/>
          <w:numId w:val="0"/>
        </w:numPr>
        <w:tabs>
          <w:tab w:val="left" w:pos="993"/>
        </w:tabs>
        <w:spacing w:line="460" w:lineRule="exact"/>
        <w:ind w:firstLine="214"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⑤</w:t>
      </w:r>
      <w:r>
        <w:rPr>
          <w:rFonts w:hint="eastAsia" w:ascii="宋体" w:hAnsi="宋体" w:eastAsia="宋体" w:cs="宋体"/>
          <w:color w:val="auto"/>
          <w:kern w:val="0"/>
          <w:sz w:val="21"/>
          <w:szCs w:val="21"/>
          <w:highlight w:val="none"/>
        </w:rPr>
        <w:t>其他无法保证电子交易的公平、公正和安全的情况。</w:t>
      </w:r>
    </w:p>
    <w:p>
      <w:pPr>
        <w:spacing w:line="46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39.2出现前款规定情形，不影响采购公平、公正性的，采购组织机构可以待上述情形消除后继续组织电子交易活动；影响或可能影响采购公平、公正性的，应当重新采购。</w:t>
      </w:r>
    </w:p>
    <w:p>
      <w:pPr>
        <w:spacing w:before="100" w:beforeAutospacing="1" w:after="100" w:afterAutospacing="1" w:line="440" w:lineRule="exact"/>
        <w:jc w:val="center"/>
        <w:outlineLvl w:val="1"/>
        <w:rPr>
          <w:rFonts w:hint="eastAsia" w:ascii="宋体" w:hAnsi="宋体" w:eastAsia="宋体" w:cs="宋体"/>
          <w:b/>
          <w:bCs/>
          <w:color w:val="auto"/>
          <w:sz w:val="21"/>
          <w:szCs w:val="21"/>
          <w:highlight w:val="none"/>
        </w:rPr>
      </w:pPr>
      <w:bookmarkStart w:id="39" w:name="_Toc57626730"/>
      <w:bookmarkStart w:id="40" w:name="_Toc38618588"/>
      <w:bookmarkStart w:id="41" w:name="_Toc73917577"/>
      <w:bookmarkStart w:id="42" w:name="_Toc30604"/>
      <w:r>
        <w:rPr>
          <w:rFonts w:hint="eastAsia" w:ascii="宋体" w:hAnsi="宋体" w:eastAsia="宋体" w:cs="宋体"/>
          <w:b/>
          <w:bCs/>
          <w:color w:val="auto"/>
          <w:sz w:val="21"/>
          <w:szCs w:val="21"/>
          <w:highlight w:val="none"/>
        </w:rPr>
        <w:t>七   定标及授予合同</w:t>
      </w:r>
      <w:bookmarkEnd w:id="39"/>
      <w:bookmarkEnd w:id="40"/>
      <w:bookmarkEnd w:id="41"/>
      <w:bookmarkEnd w:id="42"/>
    </w:p>
    <w:p>
      <w:pPr>
        <w:numPr>
          <w:ilvl w:val="0"/>
          <w:numId w:val="5"/>
        </w:numPr>
        <w:tabs>
          <w:tab w:val="left" w:pos="540"/>
        </w:tabs>
        <w:spacing w:line="440" w:lineRule="exact"/>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确定成交供应商</w:t>
      </w:r>
    </w:p>
    <w:p>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40.1采购人自收到评标报告之日起5个工作日内，在评标报告确定的成交候选供应商名单中按顺序确定成交供应商。</w:t>
      </w:r>
    </w:p>
    <w:p>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40.2成交供应商确定之日起2个工作日内，在“政采云”平台上公示成交结果，采购结果公示期限为1个工作日。</w:t>
      </w:r>
    </w:p>
    <w:p>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.3在公告成交结果的同时，采购人向成交供应商发出成交通知书。</w:t>
      </w:r>
    </w:p>
    <w:p>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.4各供应商对评标结果如有异议，可在成交结果公示之日起7个工作日内以书面形式向采购人进行署名投诉或提出质疑，但需对投诉或质疑内容的真实性承担法律责任。</w:t>
      </w:r>
    </w:p>
    <w:p>
      <w:pPr>
        <w:numPr>
          <w:ilvl w:val="0"/>
          <w:numId w:val="5"/>
        </w:numPr>
        <w:tabs>
          <w:tab w:val="left" w:pos="540"/>
        </w:tabs>
        <w:spacing w:line="440" w:lineRule="exact"/>
        <w:contextualSpacing/>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签订合同</w:t>
      </w:r>
    </w:p>
    <w:p>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公示期结束后，中标投标人须在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个工作日内主动联系采购人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沟通合同签订相关事宜</w:t>
      </w:r>
      <w:r>
        <w:rPr>
          <w:rFonts w:hint="eastAsia" w:ascii="宋体" w:hAnsi="宋体" w:eastAsia="宋体" w:cs="宋体"/>
          <w:color w:val="auto"/>
          <w:sz w:val="21"/>
          <w:szCs w:val="21"/>
          <w:highlight w:val="none"/>
        </w:rPr>
        <w:t>。中标人应当</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中标通知书发出之日起30日内</w:t>
      </w:r>
      <w:r>
        <w:rPr>
          <w:rFonts w:hint="eastAsia" w:ascii="宋体" w:hAnsi="宋体" w:eastAsia="宋体" w:cs="宋体"/>
          <w:color w:val="auto"/>
          <w:sz w:val="21"/>
          <w:szCs w:val="21"/>
          <w:highlight w:val="none"/>
          <w:lang w:eastAsia="zh-CN"/>
        </w:rPr>
        <w:t>，按照招标文件和中标人投标文件的规定，与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人签订书面合同。</w:t>
      </w:r>
      <w:r>
        <w:rPr>
          <w:rFonts w:hint="eastAsia" w:ascii="宋体" w:hAnsi="宋体" w:eastAsia="宋体" w:cs="宋体"/>
          <w:color w:val="auto"/>
          <w:sz w:val="21"/>
          <w:szCs w:val="21"/>
          <w:highlight w:val="none"/>
        </w:rPr>
        <w:t>中标投标人未经采购人许可，在规定时间内未到采购人处与采购人签订合同，则视为拒签合同。</w:t>
      </w:r>
    </w:p>
    <w:p>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41.2采购文件、成交供应商的磋商响应文件及投标修改文件、评标过程中有关澄清文件及经双方签字的询标纪要（承诺）和成交通知书均作为合同附件。</w:t>
      </w:r>
    </w:p>
    <w:p>
      <w:pPr>
        <w:tabs>
          <w:tab w:val="left" w:pos="540"/>
        </w:tabs>
        <w:spacing w:line="440" w:lineRule="exact"/>
        <w:ind w:firstLine="214"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41.3拒签合同的责任</w:t>
      </w:r>
    </w:p>
    <w:p>
      <w:pPr>
        <w:tabs>
          <w:tab w:val="left" w:pos="5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中标投标人在规定时间内（</w:t>
      </w:r>
      <w:r>
        <w:rPr>
          <w:rFonts w:hint="eastAsia" w:ascii="宋体" w:hAnsi="宋体" w:eastAsia="宋体" w:cs="宋体"/>
          <w:color w:val="auto"/>
          <w:sz w:val="21"/>
          <w:szCs w:val="21"/>
          <w:highlight w:val="none"/>
          <w:lang w:val="en-US" w:eastAsia="zh-CN"/>
        </w:rPr>
        <w:t>自</w:t>
      </w:r>
      <w:r>
        <w:rPr>
          <w:rFonts w:hint="eastAsia" w:ascii="宋体" w:hAnsi="宋体" w:eastAsia="宋体" w:cs="宋体"/>
          <w:color w:val="auto"/>
          <w:sz w:val="21"/>
          <w:szCs w:val="21"/>
          <w:highlight w:val="none"/>
        </w:rPr>
        <w:t>中标通知书发出之日起30日历天</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）借故否认已经承诺的条件、拒签合同者，以投标违约处理，其投标保证金不予退回，并赔偿采购人由此造成的直接经济损失；采购人重新组织采购的，所需费用由原中标投标人承担。</w:t>
      </w:r>
    </w:p>
    <w:p>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成交供应商有以下情况的，则采购人有权决定是否将其成交资格转交成交备选供应商或重新组织项目采购流程：</w:t>
      </w:r>
    </w:p>
    <w:p>
      <w:pPr>
        <w:numPr>
          <w:ilvl w:val="0"/>
          <w:numId w:val="10"/>
        </w:numPr>
        <w:spacing w:line="440" w:lineRule="exact"/>
        <w:ind w:firstLine="406" w:firstLineChars="19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成交供应商主动放弃成交资格；</w:t>
      </w:r>
    </w:p>
    <w:p>
      <w:pPr>
        <w:numPr>
          <w:ilvl w:val="0"/>
          <w:numId w:val="10"/>
        </w:numPr>
        <w:spacing w:line="440" w:lineRule="exact"/>
        <w:ind w:firstLine="406" w:firstLineChars="19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成交供应商因不可抗力提出不能履行合同；</w:t>
      </w:r>
    </w:p>
    <w:p>
      <w:pPr>
        <w:numPr>
          <w:ilvl w:val="0"/>
          <w:numId w:val="10"/>
        </w:numPr>
        <w:spacing w:line="440" w:lineRule="exact"/>
        <w:ind w:firstLine="406" w:firstLineChars="19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成交供应商未能在规定时间内与采购人签订合同；</w:t>
      </w:r>
    </w:p>
    <w:p>
      <w:pPr>
        <w:numPr>
          <w:ilvl w:val="0"/>
          <w:numId w:val="10"/>
        </w:numPr>
        <w:spacing w:line="440" w:lineRule="exact"/>
        <w:ind w:firstLine="406" w:firstLineChars="19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经质疑，采购人审查后，成交供应商确实在本次采购活动中存在违法违规行为或其他原因使质疑成立的。</w:t>
      </w:r>
    </w:p>
    <w:p>
      <w:pPr>
        <w:numPr>
          <w:ilvl w:val="0"/>
          <w:numId w:val="5"/>
        </w:numPr>
        <w:tabs>
          <w:tab w:val="left" w:pos="540"/>
        </w:tabs>
        <w:spacing w:line="440" w:lineRule="exact"/>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未详尽事宜，遵照有关法律法规及规范性文件的规定执行。</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Style w:val="51"/>
        <w:rPr>
          <w:rFonts w:hint="eastAsia" w:ascii="宋体" w:hAnsi="宋体" w:eastAsia="宋体" w:cs="宋体"/>
          <w:color w:val="auto"/>
          <w:kern w:val="2"/>
          <w:sz w:val="36"/>
          <w:szCs w:val="36"/>
          <w:highlight w:val="none"/>
        </w:rPr>
      </w:pPr>
      <w:bookmarkStart w:id="43" w:name="_Toc497985017"/>
      <w:bookmarkStart w:id="44" w:name="_Toc495955195"/>
      <w:bookmarkStart w:id="45" w:name="_Toc8508"/>
      <w:r>
        <w:rPr>
          <w:rFonts w:hint="eastAsia" w:ascii="宋体" w:hAnsi="宋体" w:eastAsia="宋体" w:cs="宋体"/>
          <w:color w:val="auto"/>
          <w:kern w:val="2"/>
          <w:sz w:val="36"/>
          <w:szCs w:val="36"/>
          <w:highlight w:val="none"/>
        </w:rPr>
        <w:t xml:space="preserve"> </w:t>
      </w:r>
    </w:p>
    <w:p>
      <w:pPr>
        <w:pStyle w:val="51"/>
        <w:rPr>
          <w:rFonts w:hint="eastAsia" w:ascii="宋体" w:hAnsi="宋体" w:eastAsia="宋体" w:cs="宋体"/>
          <w:color w:val="auto"/>
          <w:kern w:val="2"/>
          <w:sz w:val="36"/>
          <w:szCs w:val="36"/>
          <w:highlight w:val="none"/>
        </w:rPr>
      </w:pPr>
      <w:r>
        <w:rPr>
          <w:rFonts w:hint="eastAsia" w:ascii="宋体" w:hAnsi="宋体" w:eastAsia="宋体" w:cs="宋体"/>
          <w:color w:val="auto"/>
          <w:kern w:val="2"/>
          <w:sz w:val="36"/>
          <w:szCs w:val="36"/>
          <w:highlight w:val="none"/>
        </w:rPr>
        <w:t xml:space="preserve"> </w:t>
      </w:r>
      <w:bookmarkStart w:id="46" w:name="_Toc73917578"/>
      <w:bookmarkStart w:id="47" w:name="_Toc21348"/>
      <w:r>
        <w:rPr>
          <w:rFonts w:hint="eastAsia" w:ascii="宋体" w:hAnsi="宋体" w:eastAsia="宋体" w:cs="宋体"/>
          <w:color w:val="auto"/>
          <w:sz w:val="36"/>
          <w:szCs w:val="36"/>
          <w:highlight w:val="none"/>
        </w:rPr>
        <w:t xml:space="preserve">第二部分   </w:t>
      </w:r>
      <w:r>
        <w:rPr>
          <w:rFonts w:hint="eastAsia" w:ascii="宋体" w:hAnsi="宋体" w:eastAsia="宋体" w:cs="宋体"/>
          <w:color w:val="auto"/>
          <w:kern w:val="2"/>
          <w:sz w:val="36"/>
          <w:szCs w:val="36"/>
          <w:highlight w:val="none"/>
        </w:rPr>
        <w:t>政府采购政策功能相关说明</w:t>
      </w:r>
      <w:bookmarkEnd w:id="43"/>
      <w:bookmarkEnd w:id="44"/>
      <w:bookmarkEnd w:id="45"/>
      <w:bookmarkEnd w:id="46"/>
      <w:bookmarkEnd w:id="47"/>
    </w:p>
    <w:p>
      <w:pPr>
        <w:jc w:val="left"/>
        <w:rPr>
          <w:rFonts w:hint="eastAsia" w:ascii="宋体" w:hAnsi="宋体" w:eastAsia="宋体" w:cs="宋体"/>
          <w:b/>
          <w:color w:val="auto"/>
          <w:sz w:val="22"/>
          <w:highlight w:val="none"/>
        </w:rPr>
      </w:pPr>
    </w:p>
    <w:p>
      <w:pPr>
        <w:jc w:val="center"/>
        <w:rPr>
          <w:rFonts w:hint="eastAsia" w:ascii="宋体" w:hAnsi="宋体" w:eastAsia="宋体" w:cs="宋体"/>
          <w:b/>
          <w:bCs/>
          <w:color w:val="auto"/>
          <w:sz w:val="28"/>
          <w:szCs w:val="28"/>
          <w:highlight w:val="none"/>
        </w:rPr>
      </w:pPr>
    </w:p>
    <w:p>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一、中小企业（含监狱企业、残疾人福利性单位）扶持政策说明</w:t>
      </w:r>
    </w:p>
    <w:p>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1、文件依据</w:t>
      </w:r>
    </w:p>
    <w:p>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（1）关于印发《政府采购促进中小企业发展管理办法》的通知（财库[2020]46号）</w:t>
      </w:r>
    </w:p>
    <w:p>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（2）《工业和信息化部、国家统计局、国家发展和改革委员会、财政部关于印发中小企业划型标准规定的通知》（工信部联企业[2011]300号）</w:t>
      </w:r>
    </w:p>
    <w:p>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（3）财政部、司法部《关于政府采购支持监狱企业发展有关问题的通知》（财库〔2014〕68号）</w:t>
      </w:r>
    </w:p>
    <w:p>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（4）《财政部 民政部 中国残疾人联合会关于促进残疾人就业政府采购政策的通知》（财库〔2017〕 141号）</w:t>
      </w:r>
    </w:p>
    <w:p>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（5）《浙江省财政厅  浙江省经济和信息化委员会关于简化中小企业类别确认流程有关事项的通知》（浙财采监〔2018〕2号)</w:t>
      </w:r>
    </w:p>
    <w:p>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财政部关于进一步加大政府采购支持中小企业力度的通知（财库〔2022〕19号）的相关规定</w:t>
      </w:r>
    </w:p>
    <w:p>
      <w:pPr>
        <w:spacing w:line="440" w:lineRule="atLeas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2.供应商提供的货物、工程或者服务符合下列情形的，享受中小企业扶持政策：</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（1）在货物采购项目中，货物由中小企业制造，即货物由中小企业生产且使用该中小企业商号或者注册商标；</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（2）在工程采购项目中，工程由中小企业承建，即工程施工单位为中小企业；</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（3）在服务采购项目中，服务由中小企业承接，即提供服务的人员为中小企业依照《中华人民共和国劳动合同法》订立劳动合同的从业人员。</w:t>
      </w:r>
    </w:p>
    <w:p>
      <w:pPr>
        <w:spacing w:line="440" w:lineRule="atLeas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3.小微企业（含监狱企业、残疾人福利性单位）评审扶持政策</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
          <w:color w:val="auto"/>
          <w:sz w:val="21"/>
          <w:szCs w:val="21"/>
          <w:highlight w:val="none"/>
          <w:u w:val="single"/>
        </w:rPr>
        <w:t>）</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3.1、货物、服务类项目</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（1）货物和服务项目中未预留份额专门面向中小企业采购的，以及预留份额项目中的非预留部分采购包，对符合规定的小微企业（含监狱企业、残疾人福利性单位）的投标报价给予1</w:t>
      </w:r>
      <w:r>
        <w:rPr>
          <w:rFonts w:hint="eastAsia" w:ascii="宋体" w:hAnsi="宋体" w:eastAsia="宋体" w:cs="宋体"/>
          <w:b/>
          <w:color w:val="auto"/>
          <w:sz w:val="21"/>
          <w:szCs w:val="21"/>
          <w:highlight w:val="none"/>
          <w:u w:val="single"/>
        </w:rPr>
        <w:t>0%的扣除</w:t>
      </w:r>
      <w:r>
        <w:rPr>
          <w:rFonts w:hint="eastAsia" w:ascii="宋体" w:hAnsi="宋体" w:eastAsia="宋体" w:cs="宋体"/>
          <w:bCs/>
          <w:color w:val="auto"/>
          <w:sz w:val="21"/>
          <w:szCs w:val="21"/>
          <w:highlight w:val="none"/>
        </w:rPr>
        <w:t>，用扣除后的价格参与评审</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
          <w:color w:val="auto"/>
          <w:sz w:val="21"/>
          <w:szCs w:val="21"/>
          <w:highlight w:val="none"/>
          <w:u w:val="single"/>
        </w:rPr>
        <w:t>）</w:t>
      </w:r>
      <w:r>
        <w:rPr>
          <w:rFonts w:hint="eastAsia" w:ascii="宋体" w:hAnsi="宋体" w:eastAsia="宋体" w:cs="宋体"/>
          <w:bCs/>
          <w:color w:val="auto"/>
          <w:sz w:val="21"/>
          <w:szCs w:val="21"/>
          <w:highlight w:val="none"/>
        </w:rPr>
        <w:t>。</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接受大中型企业与小微企业组成联合体或者允许大中型企业向一家或者多家小微企业分包的政府采购货物或服务项目，对于联合协议或者分包意向协议约定小微企业的合同份额占到合同总金额30%以上的，采购单位、采购代理机构应结合项目实际，对联合体或者大中型企业的报价原则上按最高优惠幅度</w:t>
      </w:r>
      <w:r>
        <w:rPr>
          <w:rFonts w:hint="eastAsia" w:ascii="宋体" w:hAnsi="宋体" w:eastAsia="宋体" w:cs="宋体"/>
          <w:b/>
          <w:color w:val="auto"/>
          <w:sz w:val="21"/>
          <w:szCs w:val="21"/>
          <w:highlight w:val="none"/>
          <w:u w:val="single"/>
        </w:rPr>
        <w:t>4%给予扣除（仅适用于接受联合体投标或分包小微企业的）</w:t>
      </w:r>
      <w:r>
        <w:rPr>
          <w:rFonts w:hint="eastAsia" w:ascii="宋体" w:hAnsi="宋体" w:eastAsia="宋体" w:cs="宋体"/>
          <w:bCs/>
          <w:color w:val="auto"/>
          <w:sz w:val="21"/>
          <w:szCs w:val="21"/>
          <w:highlight w:val="none"/>
        </w:rPr>
        <w:t>，用扣除后的价格参加评审</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
          <w:color w:val="auto"/>
          <w:sz w:val="21"/>
          <w:szCs w:val="21"/>
          <w:highlight w:val="none"/>
          <w:u w:val="single"/>
        </w:rPr>
        <w:t>）</w:t>
      </w:r>
      <w:r>
        <w:rPr>
          <w:rFonts w:hint="eastAsia" w:ascii="宋体" w:hAnsi="宋体" w:eastAsia="宋体" w:cs="宋体"/>
          <w:bCs/>
          <w:color w:val="auto"/>
          <w:sz w:val="21"/>
          <w:szCs w:val="21"/>
          <w:highlight w:val="none"/>
        </w:rPr>
        <w:t>。</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（3）在货物采购项目中，供应商提供的货物既有中小企业制造货物，也有大型企业制造货物的，不享受中小企业扶持政策。</w:t>
      </w:r>
    </w:p>
    <w:p>
      <w:pPr>
        <w:spacing w:line="440" w:lineRule="atLeast"/>
        <w:ind w:firstLine="428"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
          <w:color w:val="auto"/>
          <w:sz w:val="21"/>
          <w:szCs w:val="21"/>
          <w:highlight w:val="none"/>
          <w:u w:val="single"/>
        </w:rPr>
        <w:t>以联合体形式参加政府采购活动，联合体各方均为</w:t>
      </w:r>
      <w:r>
        <w:rPr>
          <w:rFonts w:hint="eastAsia" w:ascii="宋体" w:hAnsi="宋体" w:eastAsia="宋体" w:cs="宋体"/>
          <w:b/>
          <w:color w:val="auto"/>
          <w:sz w:val="21"/>
          <w:szCs w:val="21"/>
          <w:highlight w:val="none"/>
        </w:rPr>
        <w:t>中小企业的，联合体视同中小企业。其中，联合体各方均为小微企业的，联合体视同小微企业。</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3.2工程项目</w:t>
      </w:r>
    </w:p>
    <w:p>
      <w:pPr>
        <w:spacing w:line="440" w:lineRule="atLeast"/>
        <w:ind w:firstLine="428"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采购人、采购代理机构应当对符合规定的小微企业报价给予 3%的扣除，用扣除后的价格参加评审</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rPr>
        <w:t>。</w:t>
      </w:r>
    </w:p>
    <w:p>
      <w:pPr>
        <w:spacing w:line="440" w:lineRule="atLeas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4.享受小微企业价格扣除应提供以下证明材料（投标文件报价文件中，不提供的不享受价格扣除）</w:t>
      </w:r>
      <w:r>
        <w:rPr>
          <w:rFonts w:hint="eastAsia" w:ascii="宋体" w:hAnsi="宋体" w:eastAsia="宋体" w:cs="宋体"/>
          <w:b/>
          <w:bCs/>
          <w:color w:val="auto"/>
          <w:sz w:val="21"/>
          <w:szCs w:val="21"/>
          <w:highlight w:val="none"/>
        </w:rPr>
        <w:t>：</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（1）《中小企业声明函》（原件，加盖投标人公章，格式见附件1）</w:t>
      </w:r>
    </w:p>
    <w:p>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
          <w:bCs/>
          <w:color w:val="auto"/>
          <w:sz w:val="21"/>
          <w:szCs w:val="21"/>
          <w:highlight w:val="none"/>
          <w:u w:val="single"/>
        </w:rPr>
        <w:t>享受残疾人福利性单位格扣除应提供以下证明材料（投标文件报价文件中，不提供的不享受价格扣除），（</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Cs/>
          <w:color w:val="auto"/>
          <w:sz w:val="21"/>
          <w:szCs w:val="21"/>
          <w:highlight w:val="none"/>
        </w:rPr>
        <w:t>：</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（1）残疾人福利性单位声明函（附件2）；</w:t>
      </w:r>
    </w:p>
    <w:p>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b/>
          <w:bCs/>
          <w:color w:val="auto"/>
          <w:sz w:val="21"/>
          <w:szCs w:val="21"/>
          <w:highlight w:val="none"/>
          <w:u w:val="single"/>
        </w:rPr>
        <w:t>享受监狱企业价格扣除应提供以下证明材料（投标文件报价文件中，不提供的不享受价格扣除）</w:t>
      </w:r>
      <w:r>
        <w:rPr>
          <w:rFonts w:hint="eastAsia" w:ascii="宋体" w:hAnsi="宋体" w:eastAsia="宋体" w:cs="宋体"/>
          <w:bCs/>
          <w:color w:val="auto"/>
          <w:sz w:val="21"/>
          <w:szCs w:val="21"/>
          <w:highlight w:val="none"/>
        </w:rPr>
        <w:t>：</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（1）监狱企业声明函（附件3）</w:t>
      </w:r>
    </w:p>
    <w:p>
      <w:pPr>
        <w:spacing w:line="440" w:lineRule="atLeast"/>
        <w:ind w:firstLine="428"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宋体" w:hAnsi="宋体" w:eastAsia="宋体" w:cs="宋体"/>
          <w:b/>
          <w:color w:val="auto"/>
          <w:sz w:val="21"/>
          <w:szCs w:val="21"/>
          <w:highlight w:val="none"/>
          <w:u w:val="single"/>
        </w:rPr>
        <w:t>（仅面向中小企业的不再</w:t>
      </w:r>
      <w:r>
        <w:rPr>
          <w:rFonts w:hint="eastAsia" w:ascii="宋体" w:hAnsi="宋体" w:eastAsia="宋体" w:cs="宋体"/>
          <w:b/>
          <w:bCs/>
          <w:color w:val="auto"/>
          <w:sz w:val="21"/>
          <w:szCs w:val="21"/>
          <w:highlight w:val="none"/>
          <w:u w:val="single"/>
        </w:rPr>
        <w:t>享受价格扣除政策</w:t>
      </w:r>
      <w:r>
        <w:rPr>
          <w:rFonts w:hint="eastAsia" w:ascii="宋体" w:hAnsi="宋体" w:eastAsia="宋体" w:cs="宋体"/>
          <w:b/>
          <w:color w:val="auto"/>
          <w:sz w:val="21"/>
          <w:szCs w:val="21"/>
          <w:highlight w:val="none"/>
          <w:u w:val="single"/>
        </w:rPr>
        <w:t>）</w:t>
      </w:r>
      <w:r>
        <w:rPr>
          <w:rFonts w:hint="eastAsia" w:ascii="宋体" w:hAnsi="宋体" w:eastAsia="宋体" w:cs="宋体"/>
          <w:bCs/>
          <w:color w:val="auto"/>
          <w:sz w:val="21"/>
          <w:szCs w:val="21"/>
          <w:highlight w:val="none"/>
        </w:rPr>
        <w:t>。</w:t>
      </w:r>
    </w:p>
    <w:p>
      <w:pPr>
        <w:spacing w:line="440" w:lineRule="atLeas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pPr>
        <w:spacing w:line="440" w:lineRule="atLeast"/>
        <w:jc w:val="left"/>
        <w:rPr>
          <w:rFonts w:hint="eastAsia" w:ascii="宋体" w:hAnsi="宋体" w:eastAsia="宋体" w:cs="宋体"/>
          <w:bCs/>
          <w:color w:val="auto"/>
          <w:sz w:val="22"/>
          <w:highlight w:val="none"/>
        </w:rPr>
      </w:pPr>
    </w:p>
    <w:p>
      <w:pPr>
        <w:spacing w:line="440" w:lineRule="atLeast"/>
        <w:jc w:val="left"/>
        <w:rPr>
          <w:rFonts w:hint="eastAsia" w:ascii="宋体" w:hAnsi="宋体" w:eastAsia="宋体" w:cs="宋体"/>
          <w:b/>
          <w:color w:val="auto"/>
          <w:sz w:val="22"/>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before="253" w:line="194" w:lineRule="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附表大中小微型企业划分标准</w:t>
      </w:r>
    </w:p>
    <w:tbl>
      <w:tblPr>
        <w:tblStyle w:val="417"/>
        <w:tblW w:w="9584"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5"/>
        <w:gridCol w:w="1460"/>
        <w:gridCol w:w="706"/>
        <w:gridCol w:w="1295"/>
        <w:gridCol w:w="1839"/>
        <w:gridCol w:w="1660"/>
        <w:gridCol w:w="9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8"/>
                <w:sz w:val="21"/>
                <w:szCs w:val="21"/>
                <w:highlight w:val="none"/>
                <w:lang w:eastAsia="en-US"/>
              </w:rPr>
              <w:t>行业名称</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8"/>
                <w:sz w:val="21"/>
                <w:szCs w:val="21"/>
                <w:highlight w:val="none"/>
                <w:lang w:eastAsia="en-US"/>
              </w:rPr>
              <w:t>指标名称</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72"/>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3"/>
                <w:sz w:val="21"/>
                <w:szCs w:val="21"/>
                <w:highlight w:val="none"/>
                <w:lang w:eastAsia="en-US"/>
              </w:rPr>
              <w:t>计量</w:t>
            </w:r>
          </w:p>
          <w:p>
            <w:pPr>
              <w:pStyle w:val="135"/>
              <w:widowControl/>
              <w:autoSpaceDE/>
              <w:autoSpaceDN/>
              <w:spacing w:before="0" w:after="0" w:line="300" w:lineRule="exact"/>
              <w:ind w:left="173"/>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3"/>
                <w:sz w:val="21"/>
                <w:szCs w:val="21"/>
                <w:highlight w:val="none"/>
                <w:lang w:eastAsia="en-US"/>
              </w:rPr>
              <w:t>单位</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2"/>
                <w:sz w:val="21"/>
                <w:szCs w:val="21"/>
                <w:highlight w:val="none"/>
                <w:lang w:eastAsia="en-US"/>
              </w:rPr>
              <w:t>大型</w:t>
            </w:r>
          </w:p>
        </w:tc>
        <w:tc>
          <w:tcPr>
            <w:tcW w:w="1839"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3"/>
                <w:sz w:val="21"/>
                <w:szCs w:val="21"/>
                <w:highlight w:val="none"/>
                <w:lang w:eastAsia="en-US"/>
              </w:rPr>
              <w:t>中型</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1"/>
                <w:sz w:val="21"/>
                <w:szCs w:val="21"/>
                <w:highlight w:val="none"/>
                <w:lang w:eastAsia="en-US"/>
              </w:rPr>
              <w:t>小型</w:t>
            </w:r>
          </w:p>
        </w:tc>
        <w:tc>
          <w:tcPr>
            <w:tcW w:w="999"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308"/>
              <w:jc w:val="both"/>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3"/>
                <w:sz w:val="21"/>
                <w:szCs w:val="21"/>
                <w:highlight w:val="none"/>
                <w:lang w:eastAsia="en-US"/>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42"/>
              <w:jc w:val="center"/>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1"/>
                <w:sz w:val="21"/>
                <w:szCs w:val="21"/>
                <w:highlight w:val="none"/>
                <w:lang w:eastAsia="en-US"/>
              </w:rPr>
              <w:t>农、林、牧、渔业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2"/>
                <w:sz w:val="21"/>
                <w:szCs w:val="21"/>
                <w:highlight w:val="none"/>
                <w:lang w:eastAsia="en-US"/>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1"/>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3"/>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214"/>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1"/>
                <w:sz w:val="21"/>
                <w:szCs w:val="21"/>
                <w:highlight w:val="none"/>
                <w:lang w:eastAsia="en-US"/>
              </w:rPr>
              <w:t>Y≥20000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326"/>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1"/>
                <w:sz w:val="21"/>
                <w:szCs w:val="21"/>
                <w:highlight w:val="none"/>
                <w:lang w:eastAsia="en-US"/>
              </w:rPr>
              <w:t>500≤Y＜20000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311"/>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2"/>
                <w:sz w:val="21"/>
                <w:szCs w:val="21"/>
                <w:highlight w:val="none"/>
                <w:lang w:eastAsia="en-US"/>
              </w:rPr>
              <w:t>50≤Y＜500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275"/>
              <w:rPr>
                <w:rFonts w:hint="eastAsia" w:ascii="宋体" w:hAnsi="宋体" w:eastAsia="宋体" w:cs="宋体"/>
                <w:color w:val="auto"/>
                <w:sz w:val="21"/>
                <w:szCs w:val="21"/>
                <w:highlight w:val="none"/>
                <w:lang w:eastAsia="en-US"/>
              </w:rPr>
            </w:pPr>
            <w:r>
              <w:rPr>
                <w:rFonts w:hint="eastAsia" w:ascii="宋体" w:hAnsi="宋体" w:eastAsia="宋体" w:cs="宋体"/>
                <w:color w:val="auto"/>
                <w:spacing w:val="-1"/>
                <w:sz w:val="21"/>
                <w:szCs w:val="21"/>
                <w:highlight w:val="none"/>
                <w:lang w:eastAsia="en-US"/>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工业*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Y≥40000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300≤X＜1000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2000≤Y＜40000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300≤Y＜2000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X＜20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建筑业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Y≥80000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Z≥80000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6000≤Y＜80000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5000≤Z＜80000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300≤Y＜6000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300≤Z＜5000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批发业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X≥200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Y≥40000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20≤X＜200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5000≤Y＜40000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5≤X＜20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1000≤Y＜5000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X＜5</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零售业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Y≥20000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50≤X＜300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500≤Y＜20000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10≤X＜50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100≤Y＜500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交通运输业 *</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Y≥30000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300≤X＜1000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3000≤Y＜30000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200≤Y＜3000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X＜20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仓储业*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X≥200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Y≥30000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100≤X＜200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1000≤Y＜30000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20≤X＜100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X＜20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邮政业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Y≥30000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300≤X＜1000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2000≤Y＜30000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X＜20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住宿业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2000≤Y＜10000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10≤X＜100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餐饮业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2000≤Y＜10000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10≤X＜100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100≤Y＜2000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信息传输业 *</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X≥2000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100≤X＜2000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1000≤Y＜100000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10≤X＜100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100≤Y＜1000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软件和信息技术服务业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 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 xml:space="preserve">X≥300  </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1000≤Y＜10000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 xml:space="preserve">10≤X＜100  </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50≤Y＜1000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房地产开发经营</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Y≥200000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Z≥10000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1000≤Y＜200000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5000≤Z＜10000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100≤Y＜1000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2000≤Z＜5000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Y＜100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物业管理</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从业人员(X)</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营业收入(Y)</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Y≥5000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300≤X＜1000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1000≤Y＜5000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500≤Y＜1000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租赁和商务服务业</w:t>
            </w:r>
          </w:p>
        </w:tc>
        <w:tc>
          <w:tcPr>
            <w:tcW w:w="14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 xml:space="preserve">从业人员(X) </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资产总额(Z)</w:t>
            </w:r>
          </w:p>
        </w:tc>
        <w:tc>
          <w:tcPr>
            <w:tcW w:w="706"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万元</w:t>
            </w:r>
          </w:p>
        </w:tc>
        <w:tc>
          <w:tcPr>
            <w:tcW w:w="1295"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 xml:space="preserve">X≥300  </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Z≥120000</w:t>
            </w:r>
          </w:p>
        </w:tc>
        <w:tc>
          <w:tcPr>
            <w:tcW w:w="183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100≤X＜300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8000≤Z＜120000</w:t>
            </w:r>
          </w:p>
        </w:tc>
        <w:tc>
          <w:tcPr>
            <w:tcW w:w="1660"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10≤X＜100  100≤Z＜8000</w:t>
            </w:r>
          </w:p>
        </w:tc>
        <w:tc>
          <w:tcPr>
            <w:tcW w:w="999" w:type="dxa"/>
            <w:tcBorders>
              <w:top w:val="single" w:color="000000" w:sz="4" w:space="0"/>
              <w:left w:val="single" w:color="000000" w:sz="4" w:space="0"/>
              <w:bottom w:val="single" w:color="000000" w:sz="4" w:space="0"/>
              <w:right w:val="single" w:color="000000" w:sz="4" w:space="0"/>
            </w:tcBorders>
            <w:noWrap/>
          </w:tcPr>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w:t>
            </w:r>
          </w:p>
          <w:p>
            <w:pPr>
              <w:pStyle w:val="135"/>
              <w:widowControl/>
              <w:autoSpaceDE/>
              <w:autoSpaceDN/>
              <w:spacing w:before="0" w:after="0" w:line="300" w:lineRule="exact"/>
              <w:ind w:left="193"/>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62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center"/>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其他未列明行业 *</w:t>
            </w:r>
          </w:p>
        </w:tc>
        <w:tc>
          <w:tcPr>
            <w:tcW w:w="1460"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从业人员(X)</w:t>
            </w:r>
          </w:p>
        </w:tc>
        <w:tc>
          <w:tcPr>
            <w:tcW w:w="706"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人</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X≥300</w:t>
            </w:r>
          </w:p>
        </w:tc>
        <w:tc>
          <w:tcPr>
            <w:tcW w:w="1839"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100≤X＜300</w:t>
            </w:r>
          </w:p>
        </w:tc>
        <w:tc>
          <w:tcPr>
            <w:tcW w:w="1660"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10≤X＜100</w:t>
            </w:r>
          </w:p>
        </w:tc>
        <w:tc>
          <w:tcPr>
            <w:tcW w:w="999" w:type="dxa"/>
            <w:tcBorders>
              <w:top w:val="single" w:color="000000" w:sz="4" w:space="0"/>
              <w:left w:val="single" w:color="000000" w:sz="4" w:space="0"/>
              <w:bottom w:val="single" w:color="000000" w:sz="4" w:space="0"/>
              <w:right w:val="single" w:color="000000" w:sz="4" w:space="0"/>
            </w:tcBorders>
            <w:noWrap/>
            <w:vAlign w:val="center"/>
          </w:tcPr>
          <w:p>
            <w:pPr>
              <w:pStyle w:val="135"/>
              <w:widowControl/>
              <w:autoSpaceDE/>
              <w:autoSpaceDN/>
              <w:spacing w:before="0" w:after="0" w:line="300" w:lineRule="exact"/>
              <w:ind w:left="193"/>
              <w:jc w:val="both"/>
              <w:rPr>
                <w:rFonts w:hint="eastAsia" w:ascii="宋体" w:hAnsi="宋体" w:eastAsia="宋体" w:cs="宋体"/>
                <w:color w:val="auto"/>
                <w:spacing w:val="-2"/>
                <w:sz w:val="21"/>
                <w:szCs w:val="21"/>
                <w:highlight w:val="none"/>
                <w:lang w:eastAsia="en-US"/>
              </w:rPr>
            </w:pPr>
            <w:r>
              <w:rPr>
                <w:rFonts w:hint="eastAsia" w:ascii="宋体" w:hAnsi="宋体" w:eastAsia="宋体" w:cs="宋体"/>
                <w:color w:val="auto"/>
                <w:spacing w:val="-2"/>
                <w:sz w:val="21"/>
                <w:szCs w:val="21"/>
                <w:highlight w:val="none"/>
                <w:lang w:eastAsia="en-US"/>
              </w:rPr>
              <w:t>X＜10</w:t>
            </w:r>
          </w:p>
        </w:tc>
      </w:tr>
    </w:tbl>
    <w:p>
      <w:pPr>
        <w:spacing w:before="253" w:line="194" w:lineRule="auto"/>
        <w:rPr>
          <w:rFonts w:hint="eastAsia" w:ascii="宋体" w:hAnsi="宋体" w:eastAsia="宋体" w:cs="宋体"/>
          <w:color w:val="auto"/>
          <w:spacing w:val="-2"/>
          <w:sz w:val="24"/>
          <w:szCs w:val="24"/>
          <w:highlight w:val="none"/>
        </w:rPr>
      </w:pPr>
    </w:p>
    <w:p>
      <w:pPr>
        <w:spacing w:before="253" w:line="194" w:lineRule="auto"/>
        <w:rPr>
          <w:rFonts w:hint="eastAsia" w:ascii="宋体" w:hAnsi="宋体" w:eastAsia="宋体" w:cs="宋体"/>
          <w:color w:val="auto"/>
          <w:spacing w:val="-2"/>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说明：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　　1.大型、中型和小型企业须同时满足所列指标的下限，否则下划一档；微型企业只须满足所列指标中的一项即可。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2.附表中各行业的范围以《国民经济行业分类》（GB/T4754-2017）为准。带*的项为行业组合类别，其中，</w:t>
      </w:r>
      <w:r>
        <w:rPr>
          <w:rFonts w:hint="eastAsia" w:ascii="宋体" w:hAnsi="宋体" w:eastAsia="宋体" w:cs="宋体"/>
          <w:b/>
          <w:bCs/>
          <w:color w:val="auto"/>
          <w:spacing w:val="-2"/>
          <w:sz w:val="21"/>
          <w:szCs w:val="21"/>
          <w:highlight w:val="none"/>
        </w:rPr>
        <w:t>工业包括</w:t>
      </w:r>
      <w:r>
        <w:rPr>
          <w:rFonts w:hint="eastAsia" w:ascii="宋体" w:hAnsi="宋体" w:eastAsia="宋体" w:cs="宋体"/>
          <w:color w:val="auto"/>
          <w:spacing w:val="-2"/>
          <w:sz w:val="21"/>
          <w:szCs w:val="21"/>
          <w:highlight w:val="none"/>
        </w:rPr>
        <w:t>采矿业，制造业，电力、热力、燃气及水生产和供应业；</w:t>
      </w:r>
      <w:r>
        <w:rPr>
          <w:rFonts w:hint="eastAsia" w:ascii="宋体" w:hAnsi="宋体" w:eastAsia="宋体" w:cs="宋体"/>
          <w:b/>
          <w:bCs/>
          <w:color w:val="auto"/>
          <w:spacing w:val="-2"/>
          <w:sz w:val="21"/>
          <w:szCs w:val="21"/>
          <w:highlight w:val="none"/>
        </w:rPr>
        <w:t>交通运输业包括</w:t>
      </w:r>
      <w:r>
        <w:rPr>
          <w:rFonts w:hint="eastAsia" w:ascii="宋体" w:hAnsi="宋体" w:eastAsia="宋体" w:cs="宋体"/>
          <w:color w:val="auto"/>
          <w:spacing w:val="-2"/>
          <w:sz w:val="21"/>
          <w:szCs w:val="21"/>
          <w:highlight w:val="none"/>
        </w:rPr>
        <w:t>道路运输业，水上运输业，航空运输业，管道运输业，多式联运和运输代理业、装卸搬运，不包括铁路运输业；</w:t>
      </w:r>
      <w:r>
        <w:rPr>
          <w:rFonts w:hint="eastAsia" w:ascii="宋体" w:hAnsi="宋体" w:eastAsia="宋体" w:cs="宋体"/>
          <w:b/>
          <w:bCs/>
          <w:color w:val="auto"/>
          <w:spacing w:val="-2"/>
          <w:sz w:val="21"/>
          <w:szCs w:val="21"/>
          <w:highlight w:val="none"/>
        </w:rPr>
        <w:t>仓储业</w:t>
      </w:r>
      <w:r>
        <w:rPr>
          <w:rFonts w:hint="eastAsia" w:ascii="宋体" w:hAnsi="宋体" w:eastAsia="宋体" w:cs="宋体"/>
          <w:color w:val="auto"/>
          <w:spacing w:val="-2"/>
          <w:sz w:val="21"/>
          <w:szCs w:val="21"/>
          <w:highlight w:val="none"/>
        </w:rPr>
        <w:t>包括通用仓储，低温仓储，危险品仓储，谷物、棉花等农产品仓储，中药材仓储和其他仓储业;信息传输业包括电信、广播电视和卫星传输服务，互联网和相关服务；</w:t>
      </w:r>
      <w:r>
        <w:rPr>
          <w:rFonts w:hint="eastAsia" w:ascii="宋体" w:hAnsi="宋体" w:eastAsia="宋体" w:cs="宋体"/>
          <w:b/>
          <w:bCs/>
          <w:color w:val="auto"/>
          <w:spacing w:val="-2"/>
          <w:sz w:val="21"/>
          <w:szCs w:val="21"/>
          <w:highlight w:val="none"/>
        </w:rPr>
        <w:t>其他未列明行业</w:t>
      </w:r>
      <w:r>
        <w:rPr>
          <w:rFonts w:hint="eastAsia" w:ascii="宋体" w:hAnsi="宋体" w:eastAsia="宋体" w:cs="宋体"/>
          <w:color w:val="auto"/>
          <w:spacing w:val="-2"/>
          <w:sz w:val="21"/>
          <w:szCs w:val="21"/>
          <w:highlight w:val="none"/>
        </w:rPr>
        <w:t>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before="253" w:line="194" w:lineRule="auto"/>
        <w:rPr>
          <w:rFonts w:hint="eastAsia" w:ascii="宋体" w:hAnsi="宋体" w:eastAsia="宋体" w:cs="宋体"/>
          <w:color w:val="auto"/>
          <w:spacing w:val="-2"/>
          <w:sz w:val="24"/>
          <w:szCs w:val="24"/>
          <w:highlight w:val="none"/>
        </w:rPr>
      </w:pPr>
    </w:p>
    <w:p>
      <w:pPr>
        <w:spacing w:before="253" w:line="194" w:lineRule="auto"/>
        <w:rPr>
          <w:rFonts w:hint="eastAsia" w:ascii="宋体" w:hAnsi="宋体" w:eastAsia="宋体" w:cs="宋体"/>
          <w:color w:val="auto"/>
          <w:spacing w:val="-2"/>
          <w:sz w:val="24"/>
          <w:szCs w:val="24"/>
          <w:highlight w:val="none"/>
        </w:rPr>
      </w:pPr>
    </w:p>
    <w:p>
      <w:pPr>
        <w:spacing w:before="253" w:line="194" w:lineRule="auto"/>
        <w:rPr>
          <w:rFonts w:hint="eastAsia" w:ascii="宋体" w:hAnsi="宋体" w:eastAsia="宋体" w:cs="宋体"/>
          <w:color w:val="auto"/>
          <w:spacing w:val="-2"/>
          <w:sz w:val="24"/>
          <w:szCs w:val="24"/>
          <w:highlight w:val="none"/>
        </w:rPr>
      </w:pPr>
    </w:p>
    <w:p>
      <w:pPr>
        <w:spacing w:before="253" w:line="194" w:lineRule="auto"/>
        <w:rPr>
          <w:rFonts w:hint="eastAsia" w:ascii="宋体" w:hAnsi="宋体" w:eastAsia="宋体" w:cs="宋体"/>
          <w:color w:val="auto"/>
          <w:spacing w:val="-2"/>
          <w:sz w:val="24"/>
          <w:szCs w:val="24"/>
          <w:highlight w:val="none"/>
        </w:rPr>
      </w:pPr>
    </w:p>
    <w:p>
      <w:pPr>
        <w:spacing w:before="253" w:line="194" w:lineRule="auto"/>
        <w:rPr>
          <w:rFonts w:hint="eastAsia" w:ascii="宋体" w:hAnsi="宋体" w:eastAsia="宋体" w:cs="宋体"/>
          <w:color w:val="auto"/>
          <w:spacing w:val="-2"/>
          <w:sz w:val="24"/>
          <w:szCs w:val="24"/>
          <w:highlight w:val="none"/>
        </w:rPr>
      </w:pPr>
    </w:p>
    <w:p>
      <w:pPr>
        <w:spacing w:before="253" w:line="194" w:lineRule="auto"/>
        <w:rPr>
          <w:rFonts w:hint="eastAsia" w:ascii="宋体" w:hAnsi="宋体" w:eastAsia="宋体" w:cs="宋体"/>
          <w:color w:val="auto"/>
          <w:spacing w:val="-2"/>
          <w:sz w:val="24"/>
          <w:szCs w:val="24"/>
          <w:highlight w:val="none"/>
        </w:rPr>
      </w:pPr>
    </w:p>
    <w:p>
      <w:pPr>
        <w:spacing w:before="253" w:line="194" w:lineRule="auto"/>
        <w:rPr>
          <w:rFonts w:hint="eastAsia" w:ascii="宋体" w:hAnsi="宋体" w:eastAsia="宋体" w:cs="宋体"/>
          <w:color w:val="auto"/>
          <w:spacing w:val="-2"/>
          <w:sz w:val="24"/>
          <w:szCs w:val="24"/>
          <w:highlight w:val="none"/>
        </w:rPr>
      </w:pPr>
    </w:p>
    <w:p>
      <w:pPr>
        <w:spacing w:before="253" w:line="194" w:lineRule="auto"/>
        <w:rPr>
          <w:rFonts w:hint="eastAsia" w:ascii="宋体" w:hAnsi="宋体" w:eastAsia="宋体" w:cs="宋体"/>
          <w:color w:val="auto"/>
          <w:spacing w:val="-2"/>
          <w:sz w:val="24"/>
          <w:szCs w:val="24"/>
          <w:highlight w:val="none"/>
        </w:rPr>
      </w:pPr>
    </w:p>
    <w:p>
      <w:pPr>
        <w:widowControl/>
        <w:shd w:val="clear" w:color="auto" w:fill="auto"/>
        <w:spacing w:line="36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p>
    <w:p>
      <w:pPr>
        <w:widowControl/>
        <w:shd w:val="clear" w:color="auto" w:fill="auto"/>
        <w:spacing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kern w:val="0"/>
          <w:sz w:val="36"/>
          <w:szCs w:val="36"/>
          <w:highlight w:val="none"/>
          <w:lang w:bidi="ar"/>
        </w:rPr>
        <w:t>中小企业声明函（</w:t>
      </w:r>
      <w:r>
        <w:rPr>
          <w:rFonts w:hint="eastAsia" w:ascii="宋体" w:hAnsi="宋体" w:eastAsia="宋体" w:cs="宋体"/>
          <w:b/>
          <w:color w:val="auto"/>
          <w:kern w:val="0"/>
          <w:sz w:val="36"/>
          <w:szCs w:val="36"/>
          <w:highlight w:val="none"/>
          <w:lang w:val="en-US" w:eastAsia="zh-CN" w:bidi="ar"/>
        </w:rPr>
        <w:t>工程、</w:t>
      </w:r>
      <w:r>
        <w:rPr>
          <w:rFonts w:hint="eastAsia" w:ascii="宋体" w:hAnsi="宋体" w:eastAsia="宋体" w:cs="宋体"/>
          <w:b/>
          <w:color w:val="auto"/>
          <w:kern w:val="0"/>
          <w:sz w:val="36"/>
          <w:szCs w:val="36"/>
          <w:highlight w:val="none"/>
          <w:lang w:bidi="ar"/>
        </w:rPr>
        <w:t>服务）</w:t>
      </w:r>
    </w:p>
    <w:p>
      <w:pPr>
        <w:pStyle w:val="17"/>
        <w:shd w:val="clear" w:color="auto" w:fill="auto"/>
        <w:rPr>
          <w:rFonts w:hint="eastAsia" w:ascii="宋体" w:hAnsi="宋体" w:eastAsia="宋体" w:cs="宋体"/>
          <w:color w:val="auto"/>
          <w:highlight w:val="none"/>
        </w:rPr>
      </w:pPr>
    </w:p>
    <w:p>
      <w:pPr>
        <w:pStyle w:val="419"/>
        <w:shd w:val="clear" w:color="auto" w:fill="auto"/>
        <w:spacing w:line="360" w:lineRule="auto"/>
        <w:rPr>
          <w:rFonts w:hint="eastAsia" w:ascii="宋体" w:hAnsi="宋体" w:eastAsia="宋体" w:cs="宋体"/>
          <w:b/>
          <w:bCs/>
          <w:color w:val="auto"/>
          <w:kern w:val="0"/>
          <w:szCs w:val="21"/>
          <w:highlight w:val="none"/>
          <w:u w:val="single"/>
        </w:rPr>
      </w:pPr>
      <w:r>
        <w:rPr>
          <w:rFonts w:hint="eastAsia" w:hAnsi="宋体" w:cs="宋体"/>
          <w:b/>
          <w:bCs/>
          <w:color w:val="auto"/>
          <w:kern w:val="0"/>
          <w:szCs w:val="21"/>
          <w:highlight w:val="none"/>
          <w:u w:val="single"/>
          <w:lang w:eastAsia="zh-CN"/>
        </w:rPr>
        <w:t>温州市龙湾区发展和改革局</w:t>
      </w:r>
      <w:r>
        <w:rPr>
          <w:rFonts w:hint="eastAsia" w:ascii="宋体" w:hAnsi="宋体" w:eastAsia="宋体" w:cs="宋体"/>
          <w:b/>
          <w:bCs/>
          <w:color w:val="auto"/>
          <w:kern w:val="0"/>
          <w:szCs w:val="21"/>
          <w:highlight w:val="none"/>
          <w:u w:val="single"/>
        </w:rPr>
        <w:t>:</w:t>
      </w:r>
    </w:p>
    <w:p>
      <w:pPr>
        <w:pStyle w:val="419"/>
        <w:shd w:val="clear" w:color="auto" w:fill="auto"/>
        <w:spacing w:line="360" w:lineRule="auto"/>
        <w:rPr>
          <w:rFonts w:hint="eastAsia" w:ascii="宋体" w:hAnsi="宋体" w:eastAsia="宋体" w:cs="宋体"/>
          <w:b/>
          <w:bCs/>
          <w:color w:val="auto"/>
          <w:szCs w:val="21"/>
          <w:highlight w:val="none"/>
          <w:u w:val="single"/>
        </w:rPr>
      </w:pPr>
      <w:r>
        <w:rPr>
          <w:rFonts w:hint="eastAsia" w:hAnsi="宋体" w:cs="宋体"/>
          <w:b/>
          <w:bCs/>
          <w:color w:val="auto"/>
          <w:kern w:val="0"/>
          <w:szCs w:val="21"/>
          <w:highlight w:val="none"/>
          <w:u w:val="single"/>
          <w:lang w:eastAsia="zh-CN"/>
        </w:rPr>
        <w:t>浙江鼎力工程项目管理有限公司</w:t>
      </w:r>
      <w:r>
        <w:rPr>
          <w:rFonts w:hint="eastAsia" w:ascii="宋体" w:hAnsi="宋体" w:eastAsia="宋体" w:cs="宋体"/>
          <w:b/>
          <w:bCs/>
          <w:color w:val="auto"/>
          <w:kern w:val="0"/>
          <w:szCs w:val="21"/>
          <w:highlight w:val="none"/>
          <w:u w:val="single"/>
        </w:rPr>
        <w:t>：</w:t>
      </w:r>
    </w:p>
    <w:p>
      <w:pPr>
        <w:widowControl/>
        <w:shd w:val="clear" w:color="auto" w:fill="auto"/>
        <w:spacing w:line="4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b/>
          <w:color w:val="auto"/>
          <w:szCs w:val="21"/>
          <w:highlight w:val="none"/>
          <w:u w:val="single"/>
        </w:rPr>
        <w:t xml:space="preserve">（单位名称） </w:t>
      </w:r>
      <w:r>
        <w:rPr>
          <w:rFonts w:hint="eastAsia" w:ascii="宋体" w:hAnsi="宋体" w:eastAsia="宋体" w:cs="宋体"/>
          <w:bCs/>
          <w:color w:val="auto"/>
          <w:szCs w:val="21"/>
          <w:highlight w:val="none"/>
        </w:rPr>
        <w:t xml:space="preserve">的 </w:t>
      </w:r>
      <w:r>
        <w:rPr>
          <w:rFonts w:hint="eastAsia" w:ascii="宋体" w:hAnsi="宋体" w:eastAsia="宋体" w:cs="宋体"/>
          <w:b/>
          <w:color w:val="auto"/>
          <w:szCs w:val="21"/>
          <w:highlight w:val="none"/>
          <w:u w:val="single"/>
        </w:rPr>
        <w:t xml:space="preserve">（项目名称） </w:t>
      </w:r>
      <w:r>
        <w:rPr>
          <w:rFonts w:hint="eastAsia" w:ascii="宋体" w:hAnsi="宋体" w:eastAsia="宋体" w:cs="宋体"/>
          <w:bCs/>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tbl>
      <w:tblPr>
        <w:tblStyle w:val="54"/>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037"/>
        <w:gridCol w:w="1075"/>
        <w:gridCol w:w="1375"/>
        <w:gridCol w:w="1063"/>
        <w:gridCol w:w="1150"/>
        <w:gridCol w:w="120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标的名称</w:t>
            </w: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所属行业</w:t>
            </w: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企业名称</w:t>
            </w: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从业人员（人）</w:t>
            </w: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营业收入（万元）</w:t>
            </w: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资产总额（万元）</w:t>
            </w: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属于（填入大型、中型、小型或微型）企业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10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375"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063"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15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200"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c>
          <w:tcPr>
            <w:tcW w:w="1737" w:type="dxa"/>
            <w:noWrap w:val="0"/>
            <w:vAlign w:val="center"/>
          </w:tcPr>
          <w:p>
            <w:pPr>
              <w:keepNext w:val="0"/>
              <w:keepLines w:val="0"/>
              <w:widowControl/>
              <w:suppressLineNumbers w:val="0"/>
              <w:shd w:val="clear" w:color="auto" w:fill="auto"/>
              <w:spacing w:before="0" w:beforeAutospacing="0" w:after="0" w:afterAutospacing="0" w:line="400" w:lineRule="exact"/>
              <w:ind w:left="0" w:right="0"/>
              <w:jc w:val="center"/>
              <w:rPr>
                <w:rFonts w:hint="eastAsia" w:ascii="宋体" w:hAnsi="宋体" w:eastAsia="宋体" w:cs="宋体"/>
                <w:bCs/>
                <w:color w:val="auto"/>
                <w:szCs w:val="21"/>
                <w:highlight w:val="none"/>
              </w:rPr>
            </w:pPr>
          </w:p>
        </w:tc>
      </w:tr>
    </w:tbl>
    <w:p>
      <w:pPr>
        <w:widowControl/>
        <w:shd w:val="clear" w:color="auto" w:fill="auto"/>
        <w:spacing w:line="4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以上企业，不属于大企业的分支机构，不存在控股股东为大企业的情形，也不存在与大企业的负责人为同一人的情形。</w:t>
      </w:r>
    </w:p>
    <w:p>
      <w:pPr>
        <w:widowControl/>
        <w:shd w:val="clear" w:color="auto" w:fill="auto"/>
        <w:spacing w:line="4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本企业对上述声明内容的真实性负责。如有虚假，将依法承担相应责任。 </w:t>
      </w:r>
    </w:p>
    <w:p>
      <w:pPr>
        <w:widowControl/>
        <w:shd w:val="clear" w:color="auto" w:fill="auto"/>
        <w:spacing w:line="500" w:lineRule="exact"/>
        <w:ind w:firstLine="428" w:firstLineChars="200"/>
        <w:jc w:val="left"/>
        <w:rPr>
          <w:rFonts w:hint="eastAsia" w:ascii="宋体" w:hAnsi="宋体" w:eastAsia="宋体" w:cs="宋体"/>
          <w:bCs/>
          <w:color w:val="auto"/>
          <w:szCs w:val="21"/>
          <w:highlight w:val="none"/>
        </w:rPr>
      </w:pPr>
    </w:p>
    <w:p>
      <w:pPr>
        <w:widowControl/>
        <w:shd w:val="clear" w:color="auto" w:fill="auto"/>
        <w:spacing w:line="5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企业名称（</w:t>
      </w:r>
      <w:r>
        <w:rPr>
          <w:rFonts w:hint="eastAsia" w:ascii="宋体" w:hAnsi="宋体" w:eastAsia="宋体" w:cs="宋体"/>
          <w:color w:val="auto"/>
          <w:spacing w:val="6"/>
          <w:szCs w:val="21"/>
          <w:highlight w:val="none"/>
        </w:rPr>
        <w:t xml:space="preserve">盖单位公章或 </w:t>
      </w:r>
      <w:r>
        <w:rPr>
          <w:rFonts w:hint="eastAsia" w:ascii="宋体" w:hAnsi="宋体" w:eastAsia="宋体" w:cs="宋体"/>
          <w:color w:val="auto"/>
          <w:spacing w:val="6"/>
          <w:szCs w:val="21"/>
          <w:highlight w:val="none"/>
          <w:lang w:eastAsia="zh-CN"/>
        </w:rPr>
        <w:t>CA签章</w:t>
      </w:r>
      <w:r>
        <w:rPr>
          <w:rFonts w:hint="eastAsia" w:ascii="宋体" w:hAnsi="宋体" w:eastAsia="宋体" w:cs="宋体"/>
          <w:bCs/>
          <w:color w:val="auto"/>
          <w:szCs w:val="21"/>
          <w:highlight w:val="none"/>
        </w:rPr>
        <w:t xml:space="preserve">）： </w:t>
      </w:r>
    </w:p>
    <w:p>
      <w:pPr>
        <w:widowControl/>
        <w:shd w:val="clear" w:color="auto" w:fill="auto"/>
        <w:spacing w:line="500" w:lineRule="exact"/>
        <w:ind w:firstLine="428"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日 期： </w:t>
      </w:r>
    </w:p>
    <w:p>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说明： </w:t>
      </w:r>
    </w:p>
    <w:p>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1）所有标的名称均需提供制造商所属行业、从业人员、营业收入、资产总额、所属企业类型等情况； </w:t>
      </w:r>
    </w:p>
    <w:p>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2）联合体主办方和各成员单位分别提供此函。 </w:t>
      </w:r>
    </w:p>
    <w:p>
      <w:pPr>
        <w:widowControl/>
        <w:shd w:val="clear" w:color="auto" w:fill="auto"/>
        <w:spacing w:line="360" w:lineRule="exact"/>
        <w:jc w:val="left"/>
        <w:rPr>
          <w:rFonts w:hint="eastAsia" w:ascii="宋体" w:hAnsi="宋体" w:eastAsia="宋体" w:cs="宋体"/>
          <w:b/>
          <w:bCs/>
          <w:color w:val="auto"/>
          <w:kern w:val="0"/>
          <w:sz w:val="18"/>
          <w:szCs w:val="18"/>
          <w:highlight w:val="none"/>
          <w:u w:val="single"/>
          <w:lang w:bidi="ar"/>
        </w:rPr>
      </w:pPr>
      <w:r>
        <w:rPr>
          <w:rFonts w:hint="eastAsia" w:ascii="宋体" w:hAnsi="宋体" w:eastAsia="宋体" w:cs="宋体"/>
          <w:b/>
          <w:bCs/>
          <w:color w:val="auto"/>
          <w:kern w:val="0"/>
          <w:sz w:val="18"/>
          <w:szCs w:val="18"/>
          <w:highlight w:val="none"/>
          <w:u w:val="single"/>
          <w:lang w:bidi="ar"/>
        </w:rPr>
        <w:t xml:space="preserve">3）所有材料的制造商、服务企业均需在此函中列明。 </w:t>
      </w:r>
    </w:p>
    <w:p>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4）从业人员、营业收入、资产总额填报上一年度数据，无上一年度数据的新成立企业可不填报。 </w:t>
      </w:r>
    </w:p>
    <w:p>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5）所属行业请根据《关于印发中小企业划型标准规定的通知》工信部联企业〔2011〕300 号文件标准填写。 </w:t>
      </w:r>
    </w:p>
    <w:p>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 xml:space="preserve">6）如供应商符合《政府采购促进中小企业发展管理办法》扶持政策的标准且中标，则在中标公示中将此函予以公示，接受社会监督。供应商对其中小企业声明函内容的真实性负责，声明函内容不实的，属于提供虚假材料谋取中标、成交，依照《中华人民共和国政府采购法》等国家有关规定追究相应责任。 </w:t>
      </w:r>
    </w:p>
    <w:p>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p>
    <w:p>
      <w:pPr>
        <w:widowControl/>
        <w:shd w:val="clear" w:color="auto" w:fill="auto"/>
        <w:spacing w:line="360" w:lineRule="exact"/>
        <w:jc w:val="left"/>
        <w:rPr>
          <w:rFonts w:hint="eastAsia" w:ascii="宋体" w:hAnsi="宋体" w:eastAsia="宋体" w:cs="宋体"/>
          <w:b/>
          <w:bCs/>
          <w:color w:val="auto"/>
          <w:kern w:val="0"/>
          <w:sz w:val="18"/>
          <w:szCs w:val="18"/>
          <w:highlight w:val="none"/>
          <w:lang w:bidi="ar"/>
        </w:rPr>
      </w:pPr>
    </w:p>
    <w:p>
      <w:pPr>
        <w:widowControl/>
        <w:shd w:val="clear" w:color="auto" w:fill="auto"/>
        <w:spacing w:before="100" w:beforeAutospacing="1" w:after="100" w:afterAutospacing="1" w:line="44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附件2</w:t>
      </w:r>
    </w:p>
    <w:p>
      <w:pPr>
        <w:widowControl/>
        <w:shd w:val="clear" w:color="auto" w:fill="auto"/>
        <w:spacing w:before="100" w:beforeAutospacing="1" w:after="100" w:afterAutospacing="1" w:line="440" w:lineRule="atLeast"/>
        <w:jc w:val="center"/>
        <w:rPr>
          <w:rFonts w:hint="eastAsia" w:ascii="宋体" w:hAnsi="宋体" w:eastAsia="宋体" w:cs="宋体"/>
          <w:b/>
          <w:bCs/>
          <w:color w:val="auto"/>
          <w:sz w:val="24"/>
          <w:highlight w:val="none"/>
        </w:rPr>
      </w:pPr>
      <w:bookmarkStart w:id="48" w:name="OLE_LINK13"/>
      <w:bookmarkStart w:id="49" w:name="OLE_LINK14"/>
      <w:r>
        <w:rPr>
          <w:rFonts w:hint="eastAsia" w:ascii="宋体" w:hAnsi="宋体" w:eastAsia="宋体" w:cs="宋体"/>
          <w:b/>
          <w:bCs/>
          <w:color w:val="auto"/>
          <w:sz w:val="24"/>
          <w:highlight w:val="none"/>
        </w:rPr>
        <w:t>残疾人福利性单位声明函</w:t>
      </w:r>
    </w:p>
    <w:p>
      <w:pPr>
        <w:pStyle w:val="17"/>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【非残疾人福利性单位不需提供】</w:t>
      </w:r>
    </w:p>
    <w:bookmarkEnd w:id="48"/>
    <w:bookmarkEnd w:id="49"/>
    <w:p>
      <w:pPr>
        <w:shd w:val="clear" w:color="auto" w:fill="auto"/>
        <w:spacing w:line="588" w:lineRule="exact"/>
        <w:rPr>
          <w:rFonts w:hint="eastAsia" w:ascii="宋体" w:hAnsi="宋体" w:eastAsia="宋体" w:cs="宋体"/>
          <w:b/>
          <w:color w:val="auto"/>
          <w:spacing w:val="6"/>
          <w:sz w:val="30"/>
          <w:szCs w:val="30"/>
          <w:highlight w:val="none"/>
        </w:rPr>
      </w:pPr>
    </w:p>
    <w:p>
      <w:pPr>
        <w:pStyle w:val="17"/>
        <w:shd w:val="clear" w:color="auto" w:fill="auto"/>
        <w:rPr>
          <w:rFonts w:hint="eastAsia" w:ascii="宋体" w:hAnsi="宋体" w:eastAsia="宋体" w:cs="宋体"/>
          <w:color w:val="auto"/>
          <w:highlight w:val="none"/>
        </w:rPr>
      </w:pPr>
    </w:p>
    <w:p>
      <w:pPr>
        <w:pStyle w:val="419"/>
        <w:shd w:val="clear" w:color="auto" w:fill="auto"/>
        <w:spacing w:line="360" w:lineRule="auto"/>
        <w:ind w:firstLine="422"/>
        <w:rPr>
          <w:rFonts w:hint="eastAsia" w:ascii="宋体" w:hAnsi="宋体" w:eastAsia="宋体" w:cs="宋体"/>
          <w:b/>
          <w:bCs/>
          <w:color w:val="auto"/>
          <w:kern w:val="0"/>
          <w:szCs w:val="21"/>
          <w:highlight w:val="none"/>
          <w:u w:val="single"/>
        </w:rPr>
      </w:pPr>
      <w:r>
        <w:rPr>
          <w:rFonts w:hint="eastAsia" w:hAnsi="宋体" w:cs="宋体"/>
          <w:b/>
          <w:bCs/>
          <w:color w:val="auto"/>
          <w:kern w:val="0"/>
          <w:szCs w:val="21"/>
          <w:highlight w:val="none"/>
          <w:u w:val="single"/>
          <w:lang w:eastAsia="zh-CN"/>
        </w:rPr>
        <w:t>温州市龙湾区发展和改革局</w:t>
      </w:r>
      <w:r>
        <w:rPr>
          <w:rFonts w:hint="eastAsia" w:ascii="宋体" w:hAnsi="宋体" w:eastAsia="宋体" w:cs="宋体"/>
          <w:b/>
          <w:bCs/>
          <w:color w:val="auto"/>
          <w:kern w:val="0"/>
          <w:szCs w:val="21"/>
          <w:highlight w:val="none"/>
          <w:u w:val="single"/>
        </w:rPr>
        <w:t>:</w:t>
      </w:r>
    </w:p>
    <w:p>
      <w:pPr>
        <w:pStyle w:val="419"/>
        <w:shd w:val="clear" w:color="auto" w:fill="auto"/>
        <w:spacing w:line="360" w:lineRule="auto"/>
        <w:ind w:firstLine="422"/>
        <w:rPr>
          <w:rFonts w:hint="eastAsia" w:ascii="宋体" w:hAnsi="宋体" w:eastAsia="宋体" w:cs="宋体"/>
          <w:b/>
          <w:bCs/>
          <w:color w:val="auto"/>
          <w:szCs w:val="21"/>
          <w:highlight w:val="none"/>
          <w:u w:val="single"/>
        </w:rPr>
      </w:pPr>
      <w:r>
        <w:rPr>
          <w:rFonts w:hint="eastAsia" w:hAnsi="宋体" w:cs="宋体"/>
          <w:b/>
          <w:bCs/>
          <w:color w:val="auto"/>
          <w:kern w:val="0"/>
          <w:szCs w:val="21"/>
          <w:highlight w:val="none"/>
          <w:u w:val="single"/>
          <w:lang w:eastAsia="zh-CN"/>
        </w:rPr>
        <w:t>浙江鼎力工程项目管理有限公司</w:t>
      </w:r>
      <w:r>
        <w:rPr>
          <w:rFonts w:hint="eastAsia" w:ascii="宋体" w:hAnsi="宋体" w:eastAsia="宋体" w:cs="宋体"/>
          <w:b/>
          <w:bCs/>
          <w:color w:val="auto"/>
          <w:kern w:val="0"/>
          <w:szCs w:val="21"/>
          <w:highlight w:val="none"/>
          <w:u w:val="single"/>
        </w:rPr>
        <w:t>：</w:t>
      </w:r>
    </w:p>
    <w:p>
      <w:pPr>
        <w:shd w:val="clear" w:color="auto" w:fill="auto"/>
        <w:spacing w:line="588" w:lineRule="exact"/>
        <w:ind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auto"/>
        <w:spacing w:line="588" w:lineRule="exact"/>
        <w:ind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pPr>
        <w:shd w:val="clear" w:color="auto" w:fill="auto"/>
        <w:spacing w:line="588" w:lineRule="exact"/>
        <w:ind w:firstLine="452" w:firstLineChars="200"/>
        <w:rPr>
          <w:rFonts w:hint="eastAsia" w:ascii="宋体" w:hAnsi="宋体" w:eastAsia="宋体" w:cs="宋体"/>
          <w:color w:val="auto"/>
          <w:spacing w:val="6"/>
          <w:szCs w:val="21"/>
          <w:highlight w:val="none"/>
        </w:rPr>
      </w:pPr>
    </w:p>
    <w:p>
      <w:pPr>
        <w:shd w:val="clear" w:color="auto" w:fill="auto"/>
        <w:tabs>
          <w:tab w:val="left" w:pos="4860"/>
        </w:tabs>
        <w:spacing w:line="588" w:lineRule="exact"/>
        <w:ind w:right="1560" w:firstLine="452" w:firstLineChars="200"/>
        <w:rPr>
          <w:rFonts w:hint="eastAsia" w:ascii="宋体" w:hAnsi="宋体" w:eastAsia="宋体" w:cs="宋体"/>
          <w:color w:val="auto"/>
          <w:spacing w:val="6"/>
          <w:szCs w:val="21"/>
          <w:highlight w:val="none"/>
        </w:rPr>
      </w:pPr>
    </w:p>
    <w:p>
      <w:pPr>
        <w:shd w:val="clear" w:color="auto" w:fill="auto"/>
        <w:tabs>
          <w:tab w:val="left" w:pos="4860"/>
        </w:tabs>
        <w:spacing w:line="588" w:lineRule="exact"/>
        <w:ind w:right="1560"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投标人全称（盖单位公章或 </w:t>
      </w:r>
      <w:r>
        <w:rPr>
          <w:rFonts w:hint="eastAsia" w:ascii="宋体" w:hAnsi="宋体" w:eastAsia="宋体" w:cs="宋体"/>
          <w:color w:val="auto"/>
          <w:spacing w:val="6"/>
          <w:szCs w:val="21"/>
          <w:highlight w:val="none"/>
          <w:lang w:eastAsia="zh-CN"/>
        </w:rPr>
        <w:t>CA签章</w:t>
      </w:r>
      <w:r>
        <w:rPr>
          <w:rFonts w:hint="eastAsia" w:ascii="宋体" w:hAnsi="宋体" w:eastAsia="宋体" w:cs="宋体"/>
          <w:color w:val="auto"/>
          <w:spacing w:val="6"/>
          <w:szCs w:val="21"/>
          <w:highlight w:val="none"/>
        </w:rPr>
        <w:t>）：</w:t>
      </w:r>
    </w:p>
    <w:p>
      <w:pPr>
        <w:shd w:val="clear" w:color="auto" w:fill="auto"/>
        <w:tabs>
          <w:tab w:val="left" w:pos="4860"/>
        </w:tabs>
        <w:spacing w:line="588" w:lineRule="exact"/>
        <w:ind w:right="1560" w:firstLine="452"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日  期：</w:t>
      </w:r>
    </w:p>
    <w:p>
      <w:pPr>
        <w:shd w:val="clear" w:color="auto" w:fill="auto"/>
        <w:tabs>
          <w:tab w:val="left" w:pos="4860"/>
        </w:tabs>
        <w:spacing w:line="588" w:lineRule="exact"/>
        <w:ind w:right="1560" w:firstLine="472" w:firstLineChars="200"/>
        <w:jc w:val="center"/>
        <w:rPr>
          <w:rFonts w:hint="eastAsia" w:ascii="宋体" w:hAnsi="宋体" w:eastAsia="宋体" w:cs="宋体"/>
          <w:color w:val="auto"/>
          <w:spacing w:val="6"/>
          <w:sz w:val="22"/>
          <w:szCs w:val="22"/>
          <w:highlight w:val="none"/>
        </w:rPr>
      </w:pPr>
    </w:p>
    <w:p>
      <w:pPr>
        <w:shd w:val="clear" w:color="auto" w:fill="auto"/>
        <w:tabs>
          <w:tab w:val="left" w:pos="4860"/>
        </w:tabs>
        <w:spacing w:line="588" w:lineRule="exact"/>
        <w:ind w:right="1560" w:firstLine="472" w:firstLineChars="200"/>
        <w:jc w:val="center"/>
        <w:rPr>
          <w:rFonts w:hint="eastAsia" w:ascii="宋体" w:hAnsi="宋体" w:eastAsia="宋体" w:cs="宋体"/>
          <w:color w:val="auto"/>
          <w:spacing w:val="6"/>
          <w:sz w:val="22"/>
          <w:szCs w:val="22"/>
          <w:highlight w:val="none"/>
        </w:rPr>
      </w:pPr>
    </w:p>
    <w:p>
      <w:pPr>
        <w:shd w:val="clear" w:color="auto" w:fill="auto"/>
        <w:tabs>
          <w:tab w:val="left" w:pos="4860"/>
        </w:tabs>
        <w:spacing w:line="588" w:lineRule="exact"/>
        <w:ind w:right="15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备注说明：</w:t>
      </w:r>
    </w:p>
    <w:p>
      <w:pPr>
        <w:numPr>
          <w:ilvl w:val="0"/>
          <w:numId w:val="0"/>
        </w:numPr>
        <w:shd w:val="clear" w:color="auto" w:fill="auto"/>
        <w:tabs>
          <w:tab w:val="left" w:pos="0"/>
        </w:tabs>
        <w:spacing w:line="588" w:lineRule="exact"/>
        <w:ind w:leftChars="0" w:right="114"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如中标，将在中标公示中将此残疾人福利性单位声明函予以公示，接受社会监督。</w:t>
      </w:r>
    </w:p>
    <w:p>
      <w:pPr>
        <w:numPr>
          <w:ilvl w:val="0"/>
          <w:numId w:val="0"/>
        </w:numPr>
        <w:shd w:val="clear" w:color="auto" w:fill="auto"/>
        <w:tabs>
          <w:tab w:val="left" w:pos="0"/>
        </w:tabs>
        <w:spacing w:line="588" w:lineRule="exact"/>
        <w:ind w:leftChars="0" w:right="114" w:right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投标人提供的《残疾人福利性单位声明函》与事实不符的，依照《政府采购法》第七十七条第一款的规定追究法律责任。</w:t>
      </w:r>
    </w:p>
    <w:p>
      <w:pPr>
        <w:shd w:val="clear" w:color="auto" w:fill="auto"/>
        <w:tabs>
          <w:tab w:val="left" w:pos="0"/>
        </w:tabs>
        <w:spacing w:line="588" w:lineRule="exact"/>
        <w:ind w:right="11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3.不符合可不提供。</w:t>
      </w:r>
    </w:p>
    <w:p>
      <w:pPr>
        <w:pStyle w:val="24"/>
        <w:shd w:val="clear" w:color="auto" w:fill="auto"/>
        <w:spacing w:afterLines="0" w:line="360" w:lineRule="auto"/>
        <w:ind w:firstLine="440"/>
        <w:rPr>
          <w:rFonts w:hint="eastAsia" w:ascii="宋体" w:hAnsi="宋体" w:eastAsia="宋体" w:cs="宋体"/>
          <w:snapToGrid w:val="0"/>
          <w:color w:val="auto"/>
          <w:sz w:val="22"/>
          <w:szCs w:val="22"/>
          <w:highlight w:val="none"/>
        </w:rPr>
      </w:pPr>
    </w:p>
    <w:p>
      <w:pPr>
        <w:pStyle w:val="24"/>
        <w:shd w:val="clear" w:color="auto" w:fill="auto"/>
        <w:spacing w:afterLines="0" w:line="360" w:lineRule="auto"/>
        <w:ind w:firstLine="440"/>
        <w:rPr>
          <w:rFonts w:hint="eastAsia" w:ascii="宋体" w:hAnsi="宋体" w:eastAsia="宋体" w:cs="宋体"/>
          <w:snapToGrid w:val="0"/>
          <w:color w:val="auto"/>
          <w:sz w:val="22"/>
          <w:szCs w:val="22"/>
          <w:highlight w:val="none"/>
        </w:rPr>
      </w:pPr>
    </w:p>
    <w:p>
      <w:pPr>
        <w:pStyle w:val="53"/>
        <w:rPr>
          <w:rFonts w:hint="eastAsia" w:ascii="宋体" w:hAnsi="宋体" w:eastAsia="宋体" w:cs="宋体"/>
          <w:color w:val="auto"/>
          <w:highlight w:val="none"/>
        </w:rPr>
      </w:pPr>
    </w:p>
    <w:p>
      <w:pPr>
        <w:widowControl/>
        <w:shd w:val="clear" w:color="auto" w:fill="auto"/>
        <w:spacing w:before="100" w:beforeAutospacing="1" w:after="100" w:afterAutospacing="1" w:line="440"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附件3</w:t>
      </w:r>
    </w:p>
    <w:p>
      <w:pPr>
        <w:widowControl/>
        <w:shd w:val="clear" w:color="auto" w:fill="auto"/>
        <w:jc w:val="center"/>
        <w:rPr>
          <w:rFonts w:hint="eastAsia" w:ascii="宋体" w:hAnsi="宋体" w:eastAsia="宋体" w:cs="宋体"/>
          <w:color w:val="auto"/>
          <w:highlight w:val="none"/>
        </w:rPr>
      </w:pPr>
      <w:r>
        <w:rPr>
          <w:rFonts w:hint="eastAsia" w:ascii="宋体" w:hAnsi="宋体" w:eastAsia="宋体" w:cs="宋体"/>
          <w:b/>
          <w:color w:val="auto"/>
          <w:kern w:val="0"/>
          <w:sz w:val="24"/>
          <w:highlight w:val="none"/>
          <w:lang w:bidi="ar"/>
        </w:rPr>
        <w:t>监狱企业声明函</w:t>
      </w:r>
    </w:p>
    <w:p>
      <w:pPr>
        <w:widowControl/>
        <w:shd w:val="clear" w:color="auto" w:fill="auto"/>
        <w:jc w:val="center"/>
        <w:rPr>
          <w:rFonts w:hint="eastAsia" w:ascii="宋体" w:hAnsi="宋体" w:eastAsia="宋体" w:cs="宋体"/>
          <w:color w:val="auto"/>
          <w:kern w:val="0"/>
          <w:sz w:val="36"/>
          <w:szCs w:val="36"/>
          <w:highlight w:val="none"/>
          <w:lang w:bidi="ar"/>
        </w:rPr>
      </w:pPr>
      <w:r>
        <w:rPr>
          <w:rFonts w:hint="eastAsia" w:ascii="宋体" w:hAnsi="宋体" w:eastAsia="宋体" w:cs="宋体"/>
          <w:color w:val="auto"/>
          <w:kern w:val="0"/>
          <w:sz w:val="36"/>
          <w:szCs w:val="36"/>
          <w:highlight w:val="none"/>
          <w:lang w:bidi="ar"/>
        </w:rPr>
        <w:t>【非监狱企业不需提供】</w:t>
      </w:r>
    </w:p>
    <w:p>
      <w:pPr>
        <w:pStyle w:val="17"/>
        <w:shd w:val="clear" w:color="auto" w:fill="auto"/>
        <w:rPr>
          <w:rFonts w:hint="eastAsia" w:ascii="宋体" w:hAnsi="宋体" w:eastAsia="宋体" w:cs="宋体"/>
          <w:color w:val="auto"/>
          <w:highlight w:val="none"/>
        </w:rPr>
      </w:pPr>
    </w:p>
    <w:p>
      <w:pPr>
        <w:pStyle w:val="419"/>
        <w:shd w:val="clear" w:color="auto" w:fill="auto"/>
        <w:spacing w:line="360" w:lineRule="auto"/>
        <w:ind w:firstLine="422"/>
        <w:rPr>
          <w:rFonts w:hint="eastAsia" w:hAnsi="宋体" w:cs="宋体"/>
          <w:b/>
          <w:bCs/>
          <w:color w:val="auto"/>
          <w:kern w:val="0"/>
          <w:szCs w:val="21"/>
          <w:highlight w:val="none"/>
          <w:u w:val="single"/>
          <w:lang w:eastAsia="zh-CN"/>
        </w:rPr>
      </w:pPr>
      <w:r>
        <w:rPr>
          <w:rFonts w:hint="eastAsia" w:hAnsi="宋体" w:cs="宋体"/>
          <w:b/>
          <w:bCs/>
          <w:color w:val="auto"/>
          <w:kern w:val="0"/>
          <w:szCs w:val="21"/>
          <w:highlight w:val="none"/>
          <w:u w:val="single"/>
          <w:lang w:eastAsia="zh-CN"/>
        </w:rPr>
        <w:t>温州市龙湾区发展和改革局:</w:t>
      </w:r>
    </w:p>
    <w:p>
      <w:pPr>
        <w:pStyle w:val="419"/>
        <w:shd w:val="clear" w:color="auto" w:fill="auto"/>
        <w:spacing w:line="360" w:lineRule="auto"/>
        <w:ind w:firstLine="422"/>
        <w:rPr>
          <w:rFonts w:hint="eastAsia" w:ascii="宋体" w:hAnsi="宋体" w:eastAsia="宋体" w:cs="宋体"/>
          <w:b/>
          <w:bCs/>
          <w:color w:val="auto"/>
          <w:szCs w:val="21"/>
          <w:highlight w:val="none"/>
          <w:u w:val="single"/>
        </w:rPr>
      </w:pPr>
      <w:r>
        <w:rPr>
          <w:rFonts w:hint="eastAsia" w:hAnsi="宋体" w:cs="宋体"/>
          <w:b/>
          <w:bCs/>
          <w:color w:val="auto"/>
          <w:kern w:val="0"/>
          <w:szCs w:val="21"/>
          <w:highlight w:val="none"/>
          <w:u w:val="single"/>
          <w:lang w:eastAsia="zh-CN"/>
        </w:rPr>
        <w:t>浙江鼎力工程项目管理有限公司</w:t>
      </w:r>
      <w:r>
        <w:rPr>
          <w:rFonts w:hint="eastAsia" w:ascii="宋体" w:hAnsi="宋体" w:eastAsia="宋体" w:cs="宋体"/>
          <w:b/>
          <w:bCs/>
          <w:color w:val="auto"/>
          <w:kern w:val="0"/>
          <w:szCs w:val="21"/>
          <w:highlight w:val="none"/>
          <w:u w:val="single"/>
        </w:rPr>
        <w:t>：</w:t>
      </w:r>
    </w:p>
    <w:p>
      <w:pPr>
        <w:widowControl/>
        <w:shd w:val="clear" w:color="auto" w:fill="auto"/>
        <w:spacing w:line="360" w:lineRule="auto"/>
        <w:ind w:firstLine="642" w:firstLineChars="300"/>
        <w:jc w:val="left"/>
        <w:rPr>
          <w:rFonts w:hint="eastAsia" w:ascii="宋体" w:hAnsi="宋体" w:eastAsia="宋体" w:cs="宋体"/>
          <w:color w:val="auto"/>
          <w:kern w:val="0"/>
          <w:szCs w:val="21"/>
          <w:highlight w:val="none"/>
          <w:lang w:bidi="ar"/>
        </w:rPr>
      </w:pPr>
    </w:p>
    <w:p>
      <w:pPr>
        <w:widowControl/>
        <w:shd w:val="clear" w:color="auto" w:fill="auto"/>
        <w:spacing w:line="360" w:lineRule="auto"/>
        <w:ind w:firstLine="642" w:firstLineChars="3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本企业郑重声明，根据《关于政府采购支持监狱企业发展有关问题的通知》（财库[2014]68 号）的规定，本企业为监狱企业。 </w:t>
      </w:r>
    </w:p>
    <w:p>
      <w:pPr>
        <w:widowControl/>
        <w:shd w:val="clear" w:color="auto" w:fill="auto"/>
        <w:spacing w:line="360" w:lineRule="auto"/>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根据上述标准，我企业属于监狱企业的理由为：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 </w:t>
      </w:r>
    </w:p>
    <w:p>
      <w:pPr>
        <w:widowControl/>
        <w:shd w:val="clear" w:color="auto" w:fill="auto"/>
        <w:spacing w:line="360" w:lineRule="auto"/>
        <w:ind w:firstLine="428"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本企业参加</w:t>
      </w:r>
      <w:r>
        <w:rPr>
          <w:rFonts w:hint="eastAsia" w:ascii="宋体" w:hAnsi="宋体" w:eastAsia="宋体" w:cs="宋体"/>
          <w:b/>
          <w:bCs/>
          <w:color w:val="auto"/>
          <w:kern w:val="0"/>
          <w:szCs w:val="21"/>
          <w:highlight w:val="none"/>
          <w:u w:val="single"/>
          <w:lang w:bidi="ar"/>
        </w:rPr>
        <w:t>（</w:t>
      </w:r>
      <w:r>
        <w:rPr>
          <w:rFonts w:hint="eastAsia" w:ascii="宋体" w:hAnsi="宋体" w:cs="宋体"/>
          <w:b/>
          <w:bCs/>
          <w:color w:val="auto"/>
          <w:kern w:val="0"/>
          <w:szCs w:val="21"/>
          <w:highlight w:val="none"/>
          <w:u w:val="single"/>
          <w:lang w:eastAsia="zh-CN" w:bidi="ar"/>
        </w:rPr>
        <w:t>采购人</w:t>
      </w:r>
      <w:r>
        <w:rPr>
          <w:rFonts w:hint="eastAsia" w:ascii="宋体" w:hAnsi="宋体" w:eastAsia="宋体" w:cs="宋体"/>
          <w:b/>
          <w:bCs/>
          <w:color w:val="auto"/>
          <w:kern w:val="0"/>
          <w:szCs w:val="21"/>
          <w:highlight w:val="none"/>
          <w:u w:val="single"/>
          <w:lang w:bidi="ar"/>
        </w:rPr>
        <w:t xml:space="preserve">名称） </w:t>
      </w:r>
      <w:r>
        <w:rPr>
          <w:rFonts w:hint="eastAsia" w:ascii="宋体" w:hAnsi="宋体" w:eastAsia="宋体" w:cs="宋体"/>
          <w:color w:val="auto"/>
          <w:kern w:val="0"/>
          <w:szCs w:val="21"/>
          <w:highlight w:val="none"/>
          <w:lang w:bidi="ar"/>
        </w:rPr>
        <w:t>单位的</w:t>
      </w:r>
      <w:r>
        <w:rPr>
          <w:rFonts w:hint="eastAsia" w:ascii="宋体" w:hAnsi="宋体" w:eastAsia="宋体" w:cs="宋体"/>
          <w:b/>
          <w:bCs/>
          <w:color w:val="auto"/>
          <w:kern w:val="0"/>
          <w:szCs w:val="21"/>
          <w:highlight w:val="none"/>
          <w:u w:val="single"/>
          <w:lang w:bidi="ar"/>
        </w:rPr>
        <w:t xml:space="preserve"> （项目名称）</w:t>
      </w:r>
      <w:r>
        <w:rPr>
          <w:rFonts w:hint="eastAsia" w:ascii="宋体" w:hAnsi="宋体" w:eastAsia="宋体" w:cs="宋体"/>
          <w:color w:val="auto"/>
          <w:kern w:val="0"/>
          <w:szCs w:val="21"/>
          <w:highlight w:val="none"/>
          <w:lang w:bidi="ar"/>
        </w:rPr>
        <w:t xml:space="preserve"> 项目的采购活动，并由本企业为本项目提供货物。 </w:t>
      </w:r>
    </w:p>
    <w:p>
      <w:pPr>
        <w:widowControl/>
        <w:shd w:val="clear" w:color="auto" w:fill="auto"/>
        <w:spacing w:line="360" w:lineRule="auto"/>
        <w:ind w:firstLine="214" w:firstLineChars="100"/>
        <w:jc w:val="lef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lang w:bidi="ar"/>
        </w:rPr>
        <w:t xml:space="preserve">本公司对上述声明的真实性负责。如有虚假，将依法承担相应责任。 </w:t>
      </w:r>
    </w:p>
    <w:p>
      <w:pPr>
        <w:widowControl/>
        <w:shd w:val="clear" w:color="auto" w:fill="auto"/>
        <w:spacing w:line="360" w:lineRule="auto"/>
        <w:ind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投标人全称（盖单位公章或 </w:t>
      </w:r>
      <w:r>
        <w:rPr>
          <w:rFonts w:hint="eastAsia" w:ascii="宋体" w:hAnsi="宋体" w:eastAsia="宋体" w:cs="宋体"/>
          <w:color w:val="auto"/>
          <w:kern w:val="0"/>
          <w:szCs w:val="21"/>
          <w:highlight w:val="none"/>
          <w:lang w:eastAsia="zh-CN" w:bidi="ar"/>
        </w:rPr>
        <w:t>CA签章</w:t>
      </w:r>
      <w:r>
        <w:rPr>
          <w:rFonts w:hint="eastAsia" w:ascii="宋体" w:hAnsi="宋体" w:eastAsia="宋体" w:cs="宋体"/>
          <w:color w:val="auto"/>
          <w:kern w:val="0"/>
          <w:szCs w:val="21"/>
          <w:highlight w:val="none"/>
          <w:lang w:bidi="ar"/>
        </w:rPr>
        <w:t xml:space="preserve">）： </w:t>
      </w:r>
    </w:p>
    <w:p>
      <w:pPr>
        <w:widowControl/>
        <w:shd w:val="clear" w:color="auto" w:fill="auto"/>
        <w:spacing w:line="360" w:lineRule="auto"/>
        <w:ind w:firstLine="214"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日期： 年 月 日 </w:t>
      </w:r>
    </w:p>
    <w:p>
      <w:pPr>
        <w:widowControl/>
        <w:shd w:val="clear" w:color="auto" w:fill="auto"/>
        <w:spacing w:line="360" w:lineRule="auto"/>
        <w:jc w:val="left"/>
        <w:rPr>
          <w:rFonts w:hint="eastAsia" w:ascii="宋体" w:hAnsi="宋体" w:eastAsia="宋体" w:cs="宋体"/>
          <w:color w:val="auto"/>
          <w:kern w:val="0"/>
          <w:szCs w:val="21"/>
          <w:highlight w:val="none"/>
          <w:lang w:bidi="ar"/>
        </w:rPr>
      </w:pPr>
    </w:p>
    <w:p>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说明： </w:t>
      </w:r>
    </w:p>
    <w:p>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1）监狱企业参加政府采购活动时，应当提供由省级以上监狱管理局、戒毒管理局（含新疆生产建设兵团）出具的属于监狱企业的证明文件。 </w:t>
      </w:r>
    </w:p>
    <w:p>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3）非监狱企业不需提供此声明函。 </w:t>
      </w:r>
    </w:p>
    <w:p>
      <w:pPr>
        <w:widowControl/>
        <w:shd w:val="clear" w:color="auto" w:fill="auto"/>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4）联合体主办方和各成员单位分别提供此函。 </w:t>
      </w:r>
    </w:p>
    <w:p>
      <w:pPr>
        <w:pStyle w:val="6"/>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autoSpaceDE w:val="0"/>
        <w:autoSpaceDN w:val="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附件4：</w:t>
      </w:r>
      <w:r>
        <w:rPr>
          <w:rFonts w:hint="eastAsia" w:ascii="宋体" w:hAnsi="宋体" w:eastAsia="宋体" w:cs="宋体"/>
          <w:b/>
          <w:bCs/>
          <w:color w:val="auto"/>
          <w:szCs w:val="21"/>
          <w:highlight w:val="none"/>
          <w:lang w:val="zh-CN"/>
        </w:rPr>
        <w:t>联合协议</w:t>
      </w:r>
    </w:p>
    <w:p>
      <w:pPr>
        <w:widowControl/>
        <w:adjustRightInd w:val="0"/>
        <w:spacing w:line="400" w:lineRule="exact"/>
        <w:ind w:firstLine="428"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（以联合体形式投标的，提供联合协议；本项目不接受联合体投标或者投标人不以联合体形式投标的，则不需要提供）</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（联合体成员2）</w:t>
      </w:r>
      <w:r>
        <w:rPr>
          <w:rFonts w:hint="eastAsia" w:ascii="宋体" w:hAnsi="宋体" w:eastAsia="宋体" w:cs="宋体"/>
          <w:color w:val="auto"/>
          <w:kern w:val="0"/>
          <w:szCs w:val="21"/>
          <w:highlight w:val="none"/>
          <w:lang w:val="zh-CN"/>
        </w:rPr>
        <w:t>承担的工作和义务为：；</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pPr>
        <w:adjustRightInd w:val="0"/>
        <w:snapToGrid w:val="0"/>
        <w:spacing w:line="400" w:lineRule="exact"/>
        <w:ind w:firstLine="576"/>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50" w:name="_Hlk101131882"/>
      <w:r>
        <w:rPr>
          <w:rFonts w:hint="eastAsia" w:ascii="宋体" w:hAnsi="宋体" w:eastAsia="宋体" w:cs="宋体"/>
          <w:color w:val="auto"/>
          <w:kern w:val="0"/>
          <w:szCs w:val="21"/>
          <w:highlight w:val="none"/>
          <w:u w:val="single"/>
        </w:rPr>
        <w:t>联合体成员X,……</w:t>
      </w:r>
      <w:bookmarkEnd w:id="50"/>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51" w:name="_Hlk101133598"/>
      <w:r>
        <w:rPr>
          <w:rFonts w:hint="eastAsia" w:ascii="宋体" w:hAnsi="宋体" w:eastAsia="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Cs w:val="21"/>
          <w:highlight w:val="none"/>
        </w:rPr>
        <w:t>拟享受以上价格扣除政策的，填写有关内容。</w:t>
      </w:r>
      <w:bookmarkEnd w:id="51"/>
      <w:r>
        <w:rPr>
          <w:rFonts w:hint="eastAsia" w:ascii="宋体" w:hAnsi="宋体" w:eastAsia="宋体" w:cs="宋体"/>
          <w:b/>
          <w:color w:val="auto"/>
          <w:kern w:val="0"/>
          <w:szCs w:val="21"/>
          <w:highlight w:val="none"/>
          <w:lang w:val="zh-CN"/>
        </w:rPr>
        <w:t>）</w:t>
      </w:r>
    </w:p>
    <w:p>
      <w:pPr>
        <w:adjustRightInd w:val="0"/>
        <w:spacing w:line="400" w:lineRule="exact"/>
        <w:ind w:firstLine="428"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52" w:name="_Hlk101133173"/>
      <w:r>
        <w:rPr>
          <w:rFonts w:hint="eastAsia" w:ascii="宋体" w:hAnsi="宋体" w:eastAsia="宋体" w:cs="宋体"/>
          <w:color w:val="auto"/>
          <w:szCs w:val="21"/>
          <w:highlight w:val="none"/>
        </w:rPr>
        <w:t>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52"/>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pPr>
        <w:adjustRightInd w:val="0"/>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pPr>
        <w:adjustRightInd w:val="0"/>
        <w:snapToGrid w:val="0"/>
        <w:spacing w:line="400" w:lineRule="exact"/>
        <w:ind w:firstLine="4494" w:firstLine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pPr>
        <w:adjustRightInd w:val="0"/>
        <w:snapToGrid w:val="0"/>
        <w:spacing w:line="400" w:lineRule="exact"/>
        <w:ind w:firstLine="4494" w:firstLine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pPr>
        <w:adjustRightInd w:val="0"/>
        <w:snapToGrid w:val="0"/>
        <w:spacing w:line="400" w:lineRule="exact"/>
        <w:ind w:right="96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  年  月   日</w:t>
      </w:r>
    </w:p>
    <w:p>
      <w:pPr>
        <w:adjustRightInd w:val="0"/>
        <w:spacing w:line="400" w:lineRule="exact"/>
        <w:ind w:right="42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1.接受联合体投标的，仅允许中型企业与小微企业、小微企业与小微企业组成联合体，并提供联合体投标协议书和声明函（中小微企业须提供中小企业声明函）；2.按本格式和要求提供的（仅适用于接受联合体投标的提供）。</w:t>
      </w:r>
    </w:p>
    <w:p>
      <w:pPr>
        <w:widowControl/>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br w:type="page"/>
      </w:r>
    </w:p>
    <w:p>
      <w:pPr>
        <w:autoSpaceDE w:val="0"/>
        <w:autoSpaceDN w:val="0"/>
        <w:rPr>
          <w:rFonts w:hint="eastAsia" w:ascii="宋体" w:hAnsi="宋体" w:eastAsia="宋体" w:cs="宋体"/>
          <w:b/>
          <w:bCs/>
          <w:color w:val="auto"/>
          <w:szCs w:val="21"/>
          <w:highlight w:val="none"/>
          <w:lang w:val="zh-CN"/>
        </w:rPr>
      </w:pPr>
    </w:p>
    <w:p>
      <w:pPr>
        <w:autoSpaceDE w:val="0"/>
        <w:autoSpaceDN w:val="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附件</w:t>
      </w:r>
      <w:r>
        <w:rPr>
          <w:rFonts w:hint="eastAsia" w:ascii="宋体" w:hAnsi="宋体" w:eastAsia="宋体" w:cs="宋体"/>
          <w:b/>
          <w:bCs/>
          <w:color w:val="auto"/>
          <w:szCs w:val="21"/>
          <w:highlight w:val="none"/>
        </w:rPr>
        <w:t>5</w:t>
      </w:r>
      <w:r>
        <w:rPr>
          <w:rFonts w:hint="eastAsia" w:ascii="宋体" w:hAnsi="宋体" w:eastAsia="宋体" w:cs="宋体"/>
          <w:b/>
          <w:bCs/>
          <w:color w:val="auto"/>
          <w:szCs w:val="21"/>
          <w:highlight w:val="none"/>
          <w:lang w:val="zh-CN"/>
        </w:rPr>
        <w:t>：分包意向协议</w:t>
      </w:r>
    </w:p>
    <w:p>
      <w:pPr>
        <w:widowControl/>
        <w:spacing w:line="400" w:lineRule="exact"/>
        <w:ind w:firstLine="107"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Cs w:val="21"/>
          <w:highlight w:val="none"/>
        </w:rPr>
        <w:t>）</w:t>
      </w:r>
    </w:p>
    <w:p>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若成为</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的中标供应商，将依法采取分包方式履行合同。</w:t>
      </w: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u w:val="single"/>
        </w:rPr>
        <w:t>（所有分包供应商名称）</w:t>
      </w:r>
      <w:r>
        <w:rPr>
          <w:rFonts w:hint="eastAsia" w:ascii="宋体" w:hAnsi="宋体" w:eastAsia="宋体" w:cs="宋体"/>
          <w:color w:val="auto"/>
          <w:kern w:val="0"/>
          <w:szCs w:val="21"/>
          <w:highlight w:val="none"/>
        </w:rPr>
        <w:t>达成分包意向协议</w:t>
      </w:r>
      <w:r>
        <w:rPr>
          <w:rFonts w:hint="eastAsia" w:ascii="宋体" w:hAnsi="宋体" w:eastAsia="宋体" w:cs="宋体"/>
          <w:color w:val="auto"/>
          <w:kern w:val="0"/>
          <w:szCs w:val="21"/>
          <w:highlight w:val="none"/>
          <w:lang w:val="zh-CN"/>
        </w:rPr>
        <w:t xml:space="preserve">。 </w:t>
      </w:r>
    </w:p>
    <w:p>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一、分包标的及数量</w:t>
      </w:r>
    </w:p>
    <w:p>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（投标人名称）</w:t>
      </w:r>
      <w:r>
        <w:rPr>
          <w:rFonts w:hint="eastAsia" w:ascii="宋体" w:hAnsi="宋体" w:eastAsia="宋体" w:cs="宋体"/>
          <w:color w:val="auto"/>
          <w:kern w:val="0"/>
          <w:szCs w:val="21"/>
          <w:highlight w:val="none"/>
          <w:lang w:val="zh-CN"/>
        </w:rPr>
        <w:t>将</w:t>
      </w:r>
      <w:r>
        <w:rPr>
          <w:rFonts w:hint="eastAsia" w:ascii="宋体" w:hAnsi="宋体" w:eastAsia="宋体" w:cs="宋体"/>
          <w:color w:val="auto"/>
          <w:kern w:val="0"/>
          <w:szCs w:val="21"/>
          <w:highlight w:val="none"/>
          <w:u w:val="single"/>
        </w:rPr>
        <w:t xml:space="preserve"> XX工作内容   </w:t>
      </w:r>
      <w:r>
        <w:rPr>
          <w:rFonts w:hint="eastAsia" w:ascii="宋体" w:hAnsi="宋体" w:eastAsia="宋体" w:cs="宋体"/>
          <w:color w:val="auto"/>
          <w:szCs w:val="21"/>
          <w:highlight w:val="none"/>
        </w:rPr>
        <w:t>分包给</w:t>
      </w:r>
      <w:r>
        <w:rPr>
          <w:rFonts w:hint="eastAsia" w:ascii="宋体" w:hAnsi="宋体" w:eastAsia="宋体" w:cs="宋体"/>
          <w:color w:val="auto"/>
          <w:kern w:val="0"/>
          <w:szCs w:val="21"/>
          <w:highlight w:val="none"/>
          <w:u w:val="single"/>
        </w:rPr>
        <w:t>（分包供应商1名称）</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u w:val="single"/>
        </w:rPr>
        <w:t>（分包供应商2名称），</w:t>
      </w:r>
      <w:r>
        <w:rPr>
          <w:rFonts w:hint="eastAsia" w:ascii="宋体" w:hAnsi="宋体" w:eastAsia="宋体" w:cs="宋体"/>
          <w:color w:val="auto"/>
          <w:kern w:val="0"/>
          <w:szCs w:val="21"/>
          <w:highlight w:val="none"/>
          <w:lang w:val="zh-CN"/>
        </w:rPr>
        <w:t>具备承</w:t>
      </w:r>
      <w:r>
        <w:rPr>
          <w:rFonts w:hint="eastAsia" w:ascii="宋体" w:hAnsi="宋体" w:eastAsia="宋体" w:cs="宋体"/>
          <w:color w:val="auto"/>
          <w:kern w:val="0"/>
          <w:szCs w:val="21"/>
          <w:highlight w:val="none"/>
        </w:rPr>
        <w:t>担</w:t>
      </w:r>
      <w:r>
        <w:rPr>
          <w:rFonts w:hint="eastAsia" w:ascii="宋体" w:hAnsi="宋体" w:eastAsia="宋体" w:cs="宋体"/>
          <w:color w:val="auto"/>
          <w:kern w:val="0"/>
          <w:szCs w:val="21"/>
          <w:highlight w:val="none"/>
          <w:u w:val="single"/>
          <w:lang w:val="zh-CN"/>
        </w:rPr>
        <w:t>XX工作内容</w:t>
      </w:r>
      <w:r>
        <w:rPr>
          <w:rFonts w:hint="eastAsia" w:ascii="宋体" w:hAnsi="宋体" w:eastAsia="宋体" w:cs="宋体"/>
          <w:color w:val="auto"/>
          <w:kern w:val="0"/>
          <w:szCs w:val="21"/>
          <w:highlight w:val="none"/>
          <w:lang w:val="zh-CN"/>
        </w:rPr>
        <w:t>相应资质条件且不得再次分包；</w:t>
      </w:r>
    </w:p>
    <w:p>
      <w:pPr>
        <w:spacing w:line="400" w:lineRule="exac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二、分包供应商中小企业合同份额</w:t>
      </w:r>
    </w:p>
    <w:p>
      <w:pPr>
        <w:snapToGrid w:val="0"/>
        <w:spacing w:line="400" w:lineRule="exact"/>
        <w:ind w:firstLine="576"/>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u w:val="single"/>
        </w:rPr>
        <w:t>（分包供应商X,……）提供的服务全部由小微企业承接，</w:t>
      </w:r>
      <w:r>
        <w:rPr>
          <w:rFonts w:hint="eastAsia" w:ascii="宋体" w:hAnsi="宋体" w:eastAsia="宋体" w:cs="宋体"/>
          <w:color w:val="auto"/>
          <w:kern w:val="0"/>
          <w:szCs w:val="21"/>
          <w:highlight w:val="none"/>
        </w:rPr>
        <w:t>其合同份额占到合同总金额%以上</w:t>
      </w:r>
      <w:r>
        <w:rPr>
          <w:rFonts w:hint="eastAsia" w:ascii="宋体" w:hAnsi="宋体" w:eastAsia="宋体" w:cs="宋体"/>
          <w:color w:val="auto"/>
          <w:szCs w:val="21"/>
          <w:highlight w:val="none"/>
        </w:rPr>
        <w:t>。</w:t>
      </w:r>
      <w:r>
        <w:rPr>
          <w:rFonts w:hint="eastAsia" w:ascii="宋体" w:hAnsi="宋体" w:eastAsia="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Cs w:val="21"/>
          <w:highlight w:val="none"/>
        </w:rPr>
        <w:t>拟享受以上价格扣除政策的，填写有关内容。</w:t>
      </w:r>
      <w:r>
        <w:rPr>
          <w:rFonts w:hint="eastAsia" w:ascii="宋体" w:hAnsi="宋体" w:eastAsia="宋体" w:cs="宋体"/>
          <w:b/>
          <w:color w:val="auto"/>
          <w:kern w:val="0"/>
          <w:szCs w:val="21"/>
          <w:highlight w:val="none"/>
          <w:lang w:val="zh-CN"/>
        </w:rPr>
        <w:t>）</w:t>
      </w:r>
    </w:p>
    <w:p>
      <w:pPr>
        <w:spacing w:line="400" w:lineRule="exact"/>
        <w:ind w:firstLine="428"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2、中小企业合同金额达到%，小微企业合同金额达到%</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Cs w:val="21"/>
          <w:highlight w:val="none"/>
          <w:lang w:val="zh-CN"/>
        </w:rPr>
        <w:t>分包意向协议</w:t>
      </w:r>
      <w:r>
        <w:rPr>
          <w:rFonts w:hint="eastAsia" w:ascii="宋体" w:hAnsi="宋体" w:eastAsia="宋体" w:cs="宋体"/>
          <w:b/>
          <w:bCs/>
          <w:color w:val="auto"/>
          <w:szCs w:val="21"/>
          <w:highlight w:val="none"/>
        </w:rPr>
        <w:t>中中小企业、小微企业合同金额应当达到的比例要求填写。</w:t>
      </w:r>
      <w:r>
        <w:rPr>
          <w:rFonts w:hint="eastAsia" w:ascii="宋体" w:hAnsi="宋体" w:eastAsia="宋体" w:cs="宋体"/>
          <w:b/>
          <w:bCs/>
          <w:color w:val="auto"/>
          <w:kern w:val="0"/>
          <w:szCs w:val="21"/>
          <w:highlight w:val="none"/>
          <w:lang w:val="zh-CN"/>
        </w:rPr>
        <w:t>）</w:t>
      </w:r>
    </w:p>
    <w:p>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三、分包工作履行期限、地点、方式</w:t>
      </w:r>
    </w:p>
    <w:p>
      <w:pPr>
        <w:snapToGrid w:val="0"/>
        <w:spacing w:line="400" w:lineRule="exact"/>
        <w:ind w:firstLine="576"/>
        <w:rPr>
          <w:rFonts w:hint="eastAsia" w:ascii="宋体" w:hAnsi="宋体" w:eastAsia="宋体" w:cs="宋体"/>
          <w:color w:val="auto"/>
          <w:szCs w:val="21"/>
          <w:highlight w:val="none"/>
          <w:u w:val="single"/>
        </w:rPr>
      </w:pPr>
    </w:p>
    <w:p>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四、质量</w:t>
      </w:r>
    </w:p>
    <w:p>
      <w:pPr>
        <w:snapToGrid w:val="0"/>
        <w:spacing w:line="400" w:lineRule="exact"/>
        <w:ind w:firstLine="576"/>
        <w:rPr>
          <w:rFonts w:hint="eastAsia" w:ascii="宋体" w:hAnsi="宋体" w:eastAsia="宋体" w:cs="宋体"/>
          <w:color w:val="auto"/>
          <w:kern w:val="0"/>
          <w:szCs w:val="21"/>
          <w:highlight w:val="none"/>
          <w:lang w:val="zh-CN"/>
        </w:rPr>
      </w:pPr>
    </w:p>
    <w:p>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五、价款或者报酬</w:t>
      </w:r>
    </w:p>
    <w:p>
      <w:pPr>
        <w:snapToGrid w:val="0"/>
        <w:spacing w:line="400" w:lineRule="exact"/>
        <w:ind w:left="584" w:leftChars="273"/>
        <w:rPr>
          <w:rFonts w:hint="eastAsia" w:ascii="宋体" w:hAnsi="宋体" w:eastAsia="宋体" w:cs="宋体"/>
          <w:color w:val="auto"/>
          <w:kern w:val="0"/>
          <w:szCs w:val="21"/>
          <w:highlight w:val="none"/>
          <w:lang w:val="zh-CN"/>
        </w:rPr>
      </w:pPr>
    </w:p>
    <w:p>
      <w:pPr>
        <w:snapToGrid w:val="0"/>
        <w:spacing w:line="400" w:lineRule="exact"/>
        <w:ind w:left="584" w:leftChars="273"/>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六、违约责任</w:t>
      </w:r>
    </w:p>
    <w:p>
      <w:pPr>
        <w:snapToGrid w:val="0"/>
        <w:spacing w:line="400" w:lineRule="exact"/>
        <w:ind w:firstLine="576"/>
        <w:rPr>
          <w:rFonts w:hint="eastAsia" w:ascii="宋体" w:hAnsi="宋体" w:eastAsia="宋体" w:cs="宋体"/>
          <w:color w:val="auto"/>
          <w:kern w:val="0"/>
          <w:szCs w:val="21"/>
          <w:highlight w:val="none"/>
          <w:lang w:val="zh-CN"/>
        </w:rPr>
      </w:pPr>
    </w:p>
    <w:p>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七、争议解决的办法</w:t>
      </w:r>
    </w:p>
    <w:p>
      <w:pPr>
        <w:snapToGrid w:val="0"/>
        <w:spacing w:line="400" w:lineRule="exact"/>
        <w:ind w:firstLine="576"/>
        <w:rPr>
          <w:rFonts w:hint="eastAsia" w:ascii="宋体" w:hAnsi="宋体" w:eastAsia="宋体" w:cs="宋体"/>
          <w:color w:val="auto"/>
          <w:kern w:val="0"/>
          <w:szCs w:val="21"/>
          <w:highlight w:val="none"/>
          <w:lang w:val="zh-CN"/>
        </w:rPr>
      </w:pPr>
    </w:p>
    <w:p>
      <w:pPr>
        <w:snapToGrid w:val="0"/>
        <w:spacing w:line="400" w:lineRule="exact"/>
        <w:ind w:firstLine="576"/>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八、其他</w:t>
      </w:r>
    </w:p>
    <w:p>
      <w:pPr>
        <w:snapToGrid w:val="0"/>
        <w:spacing w:line="400" w:lineRule="exact"/>
        <w:ind w:left="5225" w:leftChars="342" w:hanging="4494" w:hangingChars="2100"/>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rPr>
        <w:t>中小企业合同金额达到%，小微企业合同金额达到%</w:t>
      </w:r>
      <w:r>
        <w:rPr>
          <w:rFonts w:hint="eastAsia" w:ascii="宋体" w:hAnsi="宋体" w:eastAsia="宋体" w:cs="宋体"/>
          <w:color w:val="auto"/>
          <w:kern w:val="0"/>
          <w:szCs w:val="21"/>
          <w:highlight w:val="none"/>
          <w:lang w:val="zh-CN"/>
        </w:rPr>
        <w:t xml:space="preserve">  。                                           投标人名称(电子签名)：</w:t>
      </w:r>
    </w:p>
    <w:p>
      <w:pPr>
        <w:snapToGrid w:val="0"/>
        <w:spacing w:line="400" w:lineRule="exact"/>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分包供应商名称(电子签名/公章)：</w:t>
      </w:r>
    </w:p>
    <w:p>
      <w:pPr>
        <w:snapToGrid w:val="0"/>
        <w:spacing w:line="400" w:lineRule="exact"/>
        <w:ind w:left="5225" w:leftChars="342" w:hanging="4494" w:hangingChars="21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日期：  年  月   日</w:t>
      </w:r>
    </w:p>
    <w:p>
      <w:pPr>
        <w:spacing w:line="380" w:lineRule="exact"/>
        <w:ind w:right="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注：1.按本格式和要求提供。</w:t>
      </w:r>
      <w:r>
        <w:rPr>
          <w:rFonts w:hint="eastAsia" w:ascii="宋体" w:hAnsi="宋体" w:eastAsia="宋体" w:cs="宋体"/>
          <w:b/>
          <w:bCs/>
          <w:color w:val="auto"/>
          <w:szCs w:val="21"/>
          <w:highlight w:val="none"/>
        </w:rPr>
        <w:t>2.分包意向协议仅适用于“未面向中小企业采购”采购的项目。</w:t>
      </w:r>
    </w:p>
    <w:p>
      <w:pPr>
        <w:pStyle w:val="6"/>
        <w:jc w:val="left"/>
        <w:rPr>
          <w:rFonts w:hint="eastAsia" w:ascii="宋体" w:hAnsi="宋体" w:eastAsia="宋体" w:cs="宋体"/>
          <w:color w:val="auto"/>
          <w:sz w:val="36"/>
          <w:szCs w:val="36"/>
          <w:highlight w:val="none"/>
        </w:rPr>
      </w:pPr>
      <w:r>
        <w:rPr>
          <w:rFonts w:hint="eastAsia" w:ascii="宋体" w:hAnsi="宋体" w:eastAsia="宋体" w:cs="宋体"/>
          <w:color w:val="auto"/>
          <w:szCs w:val="21"/>
          <w:highlight w:val="none"/>
        </w:rPr>
        <w:t>3.供应商采用分包方式投标的：</w:t>
      </w:r>
      <w:r>
        <w:rPr>
          <w:rFonts w:hint="eastAsia" w:ascii="宋体" w:hAnsi="宋体" w:eastAsia="宋体" w:cs="宋体"/>
          <w:b/>
          <w:bCs/>
          <w:color w:val="auto"/>
          <w:szCs w:val="21"/>
          <w:highlight w:val="none"/>
        </w:rPr>
        <w:t>仅允许中型企业向一家或多家小微企业、小微企业向一家或多家小微企业对本项目非主体、非关键性部分进行分包，提供分包意向协议和声明函（中小微企业须提供中小企业声明函），分包供应商应具备承接分包内容所必需的设备和专业技术能力，总包供应商对分包内容承担连带责任</w:t>
      </w:r>
      <w:r>
        <w:rPr>
          <w:rFonts w:hint="eastAsia" w:ascii="宋体" w:hAnsi="宋体" w:eastAsia="宋体" w:cs="宋体"/>
          <w:color w:val="auto"/>
          <w:szCs w:val="21"/>
          <w:highlight w:val="none"/>
        </w:rPr>
        <w:t>。</w:t>
      </w:r>
      <w:r>
        <w:rPr>
          <w:rFonts w:hint="eastAsia" w:ascii="宋体" w:hAnsi="宋体" w:eastAsia="宋体" w:cs="宋体"/>
          <w:b/>
          <w:color w:val="auto"/>
          <w:spacing w:val="6"/>
          <w:szCs w:val="21"/>
          <w:highlight w:val="none"/>
        </w:rPr>
        <w:br w:type="page"/>
      </w:r>
    </w:p>
    <w:p>
      <w:pPr>
        <w:pStyle w:val="6"/>
        <w:rPr>
          <w:rFonts w:hint="eastAsia" w:ascii="宋体" w:hAnsi="宋体" w:eastAsia="宋体" w:cs="宋体"/>
          <w:color w:val="auto"/>
          <w:sz w:val="36"/>
          <w:szCs w:val="36"/>
          <w:highlight w:val="none"/>
        </w:rPr>
      </w:pPr>
      <w:bookmarkStart w:id="53" w:name="_Toc73917579"/>
    </w:p>
    <w:p>
      <w:pPr>
        <w:pStyle w:val="6"/>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第三部分   合同条款及格式</w:t>
      </w:r>
      <w:bookmarkEnd w:id="53"/>
    </w:p>
    <w:p>
      <w:pPr>
        <w:jc w:val="center"/>
        <w:rPr>
          <w:rFonts w:hint="eastAsia" w:ascii="宋体" w:hAnsi="宋体" w:eastAsia="宋体" w:cs="宋体"/>
          <w:color w:val="auto"/>
          <w:sz w:val="28"/>
          <w:szCs w:val="28"/>
          <w:highlight w:val="none"/>
        </w:rPr>
      </w:pPr>
      <w:bookmarkStart w:id="54" w:name="_Toc246996996"/>
      <w:bookmarkStart w:id="55" w:name="_Toc241404206"/>
      <w:bookmarkStart w:id="56" w:name="_Toc246996253"/>
      <w:bookmarkStart w:id="57" w:name="_Toc222114883"/>
      <w:bookmarkStart w:id="58" w:name="_Toc221374630"/>
      <w:bookmarkStart w:id="59" w:name="_Toc223716002"/>
      <w:bookmarkStart w:id="60" w:name="_Toc221423623"/>
      <w:bookmarkStart w:id="61" w:name="_Toc144974578"/>
      <w:bookmarkStart w:id="62" w:name="_Toc179632628"/>
      <w:bookmarkStart w:id="63" w:name="_Toc239145358"/>
      <w:bookmarkStart w:id="64" w:name="_Toc152042388"/>
      <w:bookmarkStart w:id="65" w:name="_Toc265529387"/>
      <w:bookmarkStart w:id="66" w:name="_Toc221356891"/>
      <w:bookmarkStart w:id="67" w:name="_Toc296602498"/>
      <w:bookmarkStart w:id="68" w:name="_Toc221356955"/>
      <w:bookmarkStart w:id="69" w:name="_Toc247085768"/>
      <w:bookmarkStart w:id="70" w:name="_Toc152045610"/>
      <w:r>
        <w:rPr>
          <w:rFonts w:hint="eastAsia" w:ascii="宋体" w:hAnsi="宋体" w:eastAsia="宋体" w:cs="宋体"/>
          <w:color w:val="auto"/>
          <w:sz w:val="28"/>
          <w:szCs w:val="28"/>
          <w:highlight w:val="none"/>
        </w:rPr>
        <w:t>（仅供参考，具体内容以实际签订内容为准）</w:t>
      </w:r>
    </w:p>
    <w:p>
      <w:pPr>
        <w:autoSpaceDE w:val="0"/>
        <w:autoSpaceDN w:val="0"/>
        <w:adjustRightInd w:val="0"/>
        <w:snapToGrid w:val="0"/>
        <w:spacing w:line="460" w:lineRule="atLeast"/>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（注：该合同样本仅做参考，中标后，以采购人与供应商签订的正式合同为准。）</w:t>
      </w:r>
    </w:p>
    <w:p>
      <w:pPr>
        <w:spacing w:line="460" w:lineRule="exact"/>
        <w:ind w:firstLine="548"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说明：</w:t>
      </w:r>
      <w:r>
        <w:rPr>
          <w:rFonts w:hint="eastAsia" w:ascii="宋体" w:hAnsi="宋体" w:eastAsia="宋体" w:cs="宋体"/>
          <w:b/>
          <w:color w:val="auto"/>
          <w:sz w:val="22"/>
          <w:szCs w:val="22"/>
          <w:highlight w:val="none"/>
        </w:rPr>
        <w:t>如甲、乙双方同意</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合同格式也可以按照其他形式</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 xml:space="preserve"> 具体条款以甲方为主协商确定。但合同条款的基本内容应与以下要求的内容相一致。</w:t>
      </w:r>
    </w:p>
    <w:p>
      <w:pPr>
        <w:spacing w:line="440" w:lineRule="exact"/>
        <w:ind w:firstLine="448" w:firstLineChars="200"/>
        <w:rPr>
          <w:rFonts w:hint="eastAsia" w:ascii="宋体" w:hAnsi="宋体" w:eastAsia="宋体" w:cs="宋体"/>
          <w:color w:val="auto"/>
          <w:sz w:val="22"/>
          <w:szCs w:val="22"/>
          <w:highlight w:val="none"/>
        </w:rPr>
      </w:pPr>
    </w:p>
    <w:p>
      <w:pPr>
        <w:pStyle w:val="3"/>
        <w:rPr>
          <w:rFonts w:hint="eastAsia" w:ascii="宋体" w:hAnsi="宋体" w:eastAsia="宋体" w:cs="宋体"/>
          <w:color w:val="auto"/>
          <w:sz w:val="22"/>
          <w:szCs w:val="22"/>
          <w:highlight w:val="none"/>
        </w:rPr>
      </w:pPr>
    </w:p>
    <w:tbl>
      <w:tblPr>
        <w:tblStyle w:val="54"/>
        <w:tblW w:w="0" w:type="auto"/>
        <w:jc w:val="center"/>
        <w:tblLayout w:type="fixed"/>
        <w:tblCellMar>
          <w:top w:w="0" w:type="dxa"/>
          <w:left w:w="108" w:type="dxa"/>
          <w:bottom w:w="0" w:type="dxa"/>
          <w:right w:w="108" w:type="dxa"/>
        </w:tblCellMar>
      </w:tblPr>
      <w:tblGrid>
        <w:gridCol w:w="4746"/>
        <w:gridCol w:w="4196"/>
      </w:tblGrid>
      <w:tr>
        <w:tblPrEx>
          <w:tblCellMar>
            <w:top w:w="0" w:type="dxa"/>
            <w:left w:w="108" w:type="dxa"/>
            <w:bottom w:w="0" w:type="dxa"/>
            <w:right w:w="108" w:type="dxa"/>
          </w:tblCellMar>
        </w:tblPrEx>
        <w:trPr>
          <w:jc w:val="center"/>
        </w:trPr>
        <w:tc>
          <w:tcPr>
            <w:tcW w:w="474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auto"/>
                <w:szCs w:val="21"/>
                <w:highlight w:val="none"/>
              </w:rPr>
            </w:pPr>
            <w:r>
              <w:rPr>
                <w:rFonts w:hint="eastAsia" w:ascii="宋体" w:hAnsi="宋体" w:cs="宋体"/>
                <w:bCs/>
                <w:color w:val="auto"/>
                <w:szCs w:val="21"/>
                <w:highlight w:val="none"/>
              </w:rPr>
              <w:t>甲方（采购人）：</w:t>
            </w:r>
          </w:p>
        </w:tc>
        <w:tc>
          <w:tcPr>
            <w:tcW w:w="419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auto"/>
                <w:szCs w:val="21"/>
                <w:highlight w:val="none"/>
              </w:rPr>
            </w:pPr>
            <w:r>
              <w:rPr>
                <w:rFonts w:hint="eastAsia" w:ascii="宋体" w:hAnsi="宋体" w:cs="宋体"/>
                <w:bCs/>
                <w:color w:val="auto"/>
                <w:szCs w:val="21"/>
                <w:highlight w:val="none"/>
              </w:rPr>
              <w:t>单位地址：</w:t>
            </w:r>
          </w:p>
        </w:tc>
      </w:tr>
      <w:tr>
        <w:tblPrEx>
          <w:tblCellMar>
            <w:top w:w="0" w:type="dxa"/>
            <w:left w:w="108" w:type="dxa"/>
            <w:bottom w:w="0" w:type="dxa"/>
            <w:right w:w="108" w:type="dxa"/>
          </w:tblCellMar>
        </w:tblPrEx>
        <w:trPr>
          <w:jc w:val="center"/>
        </w:trPr>
        <w:tc>
          <w:tcPr>
            <w:tcW w:w="474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auto"/>
                <w:szCs w:val="21"/>
                <w:highlight w:val="none"/>
              </w:rPr>
            </w:pPr>
            <w:r>
              <w:rPr>
                <w:rFonts w:hint="eastAsia" w:ascii="宋体" w:hAnsi="宋体" w:cs="宋体"/>
                <w:bCs/>
                <w:color w:val="auto"/>
                <w:szCs w:val="21"/>
                <w:highlight w:val="none"/>
              </w:rPr>
              <w:t>乙方（供应商）：</w:t>
            </w:r>
          </w:p>
        </w:tc>
        <w:tc>
          <w:tcPr>
            <w:tcW w:w="419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auto"/>
                <w:szCs w:val="21"/>
                <w:highlight w:val="none"/>
              </w:rPr>
            </w:pPr>
            <w:r>
              <w:rPr>
                <w:rFonts w:hint="eastAsia" w:ascii="宋体" w:hAnsi="宋体" w:cs="宋体"/>
                <w:bCs/>
                <w:color w:val="auto"/>
                <w:szCs w:val="21"/>
                <w:highlight w:val="none"/>
              </w:rPr>
              <w:t>单位地址：</w:t>
            </w:r>
          </w:p>
        </w:tc>
      </w:tr>
      <w:tr>
        <w:tblPrEx>
          <w:tblCellMar>
            <w:top w:w="0" w:type="dxa"/>
            <w:left w:w="108" w:type="dxa"/>
            <w:bottom w:w="0" w:type="dxa"/>
            <w:right w:w="108" w:type="dxa"/>
          </w:tblCellMar>
        </w:tblPrEx>
        <w:trPr>
          <w:jc w:val="center"/>
        </w:trPr>
        <w:tc>
          <w:tcPr>
            <w:tcW w:w="474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auto"/>
                <w:szCs w:val="21"/>
                <w:highlight w:val="none"/>
              </w:rPr>
            </w:pPr>
            <w:r>
              <w:rPr>
                <w:rFonts w:hint="eastAsia" w:ascii="宋体" w:hAnsi="宋体" w:cs="宋体"/>
                <w:bCs/>
                <w:color w:val="auto"/>
                <w:szCs w:val="21"/>
                <w:highlight w:val="none"/>
              </w:rPr>
              <w:t>签订日期：</w:t>
            </w:r>
          </w:p>
        </w:tc>
        <w:tc>
          <w:tcPr>
            <w:tcW w:w="4196" w:type="dxa"/>
            <w:noWrap w:val="0"/>
            <w:vAlign w:val="center"/>
          </w:tcPr>
          <w:p>
            <w:pPr>
              <w:keepNext w:val="0"/>
              <w:keepLines w:val="0"/>
              <w:pageBreakBefore w:val="0"/>
              <w:suppressLineNumbers w:val="0"/>
              <w:spacing w:before="0" w:beforeAutospacing="0" w:after="0" w:afterAutospacing="0" w:line="420" w:lineRule="exact"/>
              <w:ind w:left="0" w:right="0"/>
              <w:outlineLvl w:val="9"/>
              <w:rPr>
                <w:rFonts w:ascii="宋体" w:hAnsi="宋体" w:cs="宋体"/>
                <w:bCs/>
                <w:color w:val="auto"/>
                <w:szCs w:val="21"/>
                <w:highlight w:val="none"/>
              </w:rPr>
            </w:pPr>
            <w:r>
              <w:rPr>
                <w:rFonts w:hint="eastAsia" w:ascii="宋体" w:hAnsi="宋体" w:cs="宋体"/>
                <w:bCs/>
                <w:color w:val="auto"/>
                <w:szCs w:val="21"/>
                <w:highlight w:val="none"/>
              </w:rPr>
              <w:t>签订地点：</w:t>
            </w:r>
          </w:p>
        </w:tc>
      </w:tr>
    </w:tbl>
    <w:p>
      <w:pPr>
        <w:keepNext w:val="0"/>
        <w:keepLines w:val="0"/>
        <w:pageBreakBefore w:val="0"/>
        <w:spacing w:line="420" w:lineRule="exact"/>
        <w:ind w:firstLine="420"/>
        <w:jc w:val="left"/>
        <w:outlineLvl w:val="9"/>
        <w:rPr>
          <w:rFonts w:ascii="宋体" w:hAnsi="宋体" w:cs="宋体"/>
          <w:color w:val="auto"/>
          <w:szCs w:val="21"/>
          <w:highlight w:val="none"/>
        </w:rPr>
      </w:pPr>
      <w:r>
        <w:rPr>
          <w:rFonts w:hint="eastAsia" w:ascii="宋体" w:hAnsi="宋体" w:cs="宋体"/>
          <w:color w:val="auto"/>
          <w:szCs w:val="21"/>
          <w:highlight w:val="none"/>
        </w:rPr>
        <w:t>依据甲方委托</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进行本项目即</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（采购编号：</w:t>
      </w:r>
      <w:r>
        <w:rPr>
          <w:rFonts w:hint="eastAsia" w:ascii="宋体" w:hAnsi="宋体" w:cs="宋体"/>
          <w:color w:val="auto"/>
          <w:szCs w:val="21"/>
          <w:highlight w:val="none"/>
          <w:u w:val="single"/>
          <w:lang w:val="en-US" w:eastAsia="zh-CN"/>
        </w:rPr>
        <w:t xml:space="preserve">     </w:t>
      </w:r>
      <w:r>
        <w:rPr>
          <w:rFonts w:hint="eastAsia" w:ascii="宋体" w:hAnsi="宋体" w:cs="宋体"/>
          <w:bCs/>
          <w:color w:val="auto"/>
          <w:szCs w:val="21"/>
          <w:highlight w:val="none"/>
          <w:u w:val="single"/>
        </w:rPr>
        <w:t>）</w:t>
      </w:r>
      <w:r>
        <w:rPr>
          <w:rFonts w:hint="eastAsia" w:ascii="宋体" w:hAnsi="宋体" w:cs="宋体"/>
          <w:color w:val="auto"/>
          <w:szCs w:val="21"/>
          <w:highlight w:val="none"/>
        </w:rPr>
        <w:t>政府采购的成交结果，确定乙方为本次成交供应商，现依照磋商文件、乙方的响应文件及相关文件的内容，签订本合同书。</w:t>
      </w:r>
    </w:p>
    <w:p>
      <w:pPr>
        <w:keepNext w:val="0"/>
        <w:keepLines w:val="0"/>
        <w:pageBreakBefore w:val="0"/>
        <w:spacing w:line="420" w:lineRule="exact"/>
        <w:outlineLvl w:val="9"/>
        <w:rPr>
          <w:rFonts w:ascii="宋体" w:hAnsi="宋体" w:cs="宋体"/>
          <w:b/>
          <w:color w:val="auto"/>
          <w:szCs w:val="21"/>
          <w:highlight w:val="none"/>
        </w:rPr>
      </w:pPr>
      <w:r>
        <w:rPr>
          <w:rFonts w:hint="eastAsia" w:ascii="宋体" w:hAnsi="宋体" w:cs="宋体"/>
          <w:b/>
          <w:color w:val="auto"/>
          <w:szCs w:val="21"/>
          <w:highlight w:val="none"/>
        </w:rPr>
        <w:t>一、合同所涉及的服务基本情况及范围：</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1、乙方负责</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项目</w:t>
      </w:r>
      <w:r>
        <w:rPr>
          <w:rFonts w:hint="eastAsia" w:ascii="宋体" w:hAnsi="宋体" w:cs="宋体"/>
          <w:color w:val="auto"/>
          <w:szCs w:val="21"/>
          <w:highlight w:val="none"/>
        </w:rPr>
        <w:t>，甲方对乙方工作进行监管和考核，若乙方不能按要求实施项目，甲方有权终止此项合同。在合同有效期内一方不得擅自变更或中止此项合同，如未经双方同意，擅自变更或中止此项的一方要负违约责任。</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2、下列文件为本合同不可分割部分，与本合同具有同等法律效力：</w:t>
      </w:r>
    </w:p>
    <w:p>
      <w:pPr>
        <w:pStyle w:val="30"/>
        <w:keepNext w:val="0"/>
        <w:keepLines w:val="0"/>
        <w:pageBreakBefore w:val="0"/>
        <w:spacing w:line="420" w:lineRule="exact"/>
        <w:ind w:firstLine="420"/>
        <w:outlineLvl w:val="9"/>
        <w:rPr>
          <w:rFonts w:hAnsi="宋体" w:eastAsia="宋体" w:cs="宋体"/>
          <w:color w:val="auto"/>
          <w:sz w:val="21"/>
          <w:szCs w:val="21"/>
          <w:highlight w:val="none"/>
        </w:rPr>
      </w:pPr>
      <w:r>
        <w:rPr>
          <w:rFonts w:hint="eastAsia" w:hAnsi="宋体" w:eastAsia="宋体" w:cs="宋体"/>
          <w:color w:val="auto"/>
          <w:sz w:val="21"/>
          <w:szCs w:val="21"/>
          <w:highlight w:val="none"/>
        </w:rPr>
        <w:t>（1）成交通知书；</w:t>
      </w:r>
    </w:p>
    <w:p>
      <w:pPr>
        <w:pStyle w:val="30"/>
        <w:keepNext w:val="0"/>
        <w:keepLines w:val="0"/>
        <w:pageBreakBefore w:val="0"/>
        <w:spacing w:line="420" w:lineRule="exact"/>
        <w:ind w:firstLine="420"/>
        <w:outlineLvl w:val="9"/>
        <w:rPr>
          <w:rFonts w:hAnsi="宋体" w:eastAsia="宋体" w:cs="宋体"/>
          <w:color w:val="auto"/>
          <w:sz w:val="21"/>
          <w:szCs w:val="21"/>
          <w:highlight w:val="none"/>
        </w:rPr>
      </w:pPr>
      <w:r>
        <w:rPr>
          <w:rFonts w:hint="eastAsia" w:hAnsi="宋体" w:eastAsia="宋体" w:cs="宋体"/>
          <w:color w:val="auto"/>
          <w:sz w:val="21"/>
          <w:szCs w:val="21"/>
          <w:highlight w:val="none"/>
        </w:rPr>
        <w:t>（2）响应文件；</w:t>
      </w:r>
    </w:p>
    <w:p>
      <w:pPr>
        <w:pStyle w:val="30"/>
        <w:keepNext w:val="0"/>
        <w:keepLines w:val="0"/>
        <w:pageBreakBefore w:val="0"/>
        <w:spacing w:line="420" w:lineRule="exact"/>
        <w:ind w:firstLine="420"/>
        <w:outlineLvl w:val="9"/>
        <w:rPr>
          <w:rFonts w:hAnsi="宋体" w:eastAsia="宋体" w:cs="宋体"/>
          <w:color w:val="auto"/>
          <w:sz w:val="21"/>
          <w:szCs w:val="21"/>
          <w:highlight w:val="none"/>
        </w:rPr>
      </w:pPr>
      <w:r>
        <w:rPr>
          <w:rFonts w:hint="eastAsia" w:hAnsi="宋体" w:eastAsia="宋体" w:cs="宋体"/>
          <w:color w:val="auto"/>
          <w:sz w:val="21"/>
          <w:szCs w:val="21"/>
          <w:highlight w:val="none"/>
        </w:rPr>
        <w:t>（3）乙方在招投标过程中所作的其它承诺、声明、书面澄清等；</w:t>
      </w:r>
    </w:p>
    <w:p>
      <w:pPr>
        <w:pStyle w:val="30"/>
        <w:keepNext w:val="0"/>
        <w:keepLines w:val="0"/>
        <w:pageBreakBefore w:val="0"/>
        <w:spacing w:line="420" w:lineRule="exact"/>
        <w:ind w:firstLine="420"/>
        <w:outlineLvl w:val="9"/>
        <w:rPr>
          <w:rFonts w:hAnsi="宋体" w:eastAsia="宋体" w:cs="宋体"/>
          <w:color w:val="auto"/>
          <w:sz w:val="21"/>
          <w:szCs w:val="21"/>
          <w:highlight w:val="none"/>
        </w:rPr>
      </w:pPr>
      <w:r>
        <w:rPr>
          <w:rFonts w:hint="eastAsia" w:hAnsi="宋体" w:eastAsia="宋体" w:cs="宋体"/>
          <w:color w:val="auto"/>
          <w:sz w:val="21"/>
          <w:szCs w:val="21"/>
          <w:highlight w:val="none"/>
        </w:rPr>
        <w:t>（4）采购文件及其附件；</w:t>
      </w:r>
    </w:p>
    <w:p>
      <w:pPr>
        <w:pStyle w:val="30"/>
        <w:keepNext w:val="0"/>
        <w:keepLines w:val="0"/>
        <w:pageBreakBefore w:val="0"/>
        <w:spacing w:line="420" w:lineRule="exact"/>
        <w:ind w:firstLine="420"/>
        <w:outlineLvl w:val="9"/>
        <w:rPr>
          <w:rFonts w:hAnsi="宋体" w:eastAsia="宋体" w:cs="宋体"/>
          <w:color w:val="auto"/>
          <w:sz w:val="21"/>
          <w:szCs w:val="21"/>
          <w:highlight w:val="none"/>
        </w:rPr>
      </w:pPr>
      <w:r>
        <w:rPr>
          <w:rFonts w:hint="eastAsia" w:hAnsi="宋体" w:eastAsia="宋体" w:cs="宋体"/>
          <w:color w:val="auto"/>
          <w:sz w:val="21"/>
          <w:szCs w:val="21"/>
          <w:highlight w:val="none"/>
        </w:rPr>
        <w:t>（5）合同附件。</w:t>
      </w:r>
    </w:p>
    <w:p>
      <w:pPr>
        <w:keepNext w:val="0"/>
        <w:keepLines w:val="0"/>
        <w:pageBreakBefore w:val="0"/>
        <w:spacing w:line="420" w:lineRule="exact"/>
        <w:ind w:firstLine="420"/>
        <w:outlineLvl w:val="9"/>
        <w:rPr>
          <w:rFonts w:hint="eastAsia" w:ascii="宋体" w:hAnsi="宋体" w:cs="宋体"/>
          <w:color w:val="auto"/>
          <w:szCs w:val="21"/>
          <w:highlight w:val="none"/>
        </w:rPr>
      </w:pPr>
      <w:r>
        <w:rPr>
          <w:rFonts w:hint="eastAsia" w:ascii="宋体" w:hAnsi="宋体" w:cs="宋体"/>
          <w:color w:val="auto"/>
          <w:szCs w:val="21"/>
          <w:highlight w:val="none"/>
        </w:rPr>
        <w:t>3、服务内容：详见磋商采购文件。</w:t>
      </w:r>
    </w:p>
    <w:p>
      <w:pPr>
        <w:keepNext w:val="0"/>
        <w:keepLines w:val="0"/>
        <w:pageBreakBefore w:val="0"/>
        <w:spacing w:line="420" w:lineRule="exact"/>
        <w:ind w:firstLine="420"/>
        <w:outlineLvl w:val="9"/>
        <w:rPr>
          <w:rFonts w:ascii="宋体" w:hAnsi="宋体" w:cs="宋体"/>
          <w:b/>
          <w:bCs/>
          <w:color w:val="auto"/>
          <w:szCs w:val="21"/>
          <w:highlight w:val="none"/>
          <w:lang w:val="zh-CN"/>
        </w:rPr>
      </w:pPr>
      <w:r>
        <w:rPr>
          <w:rFonts w:hint="eastAsia" w:ascii="宋体" w:hAnsi="宋体" w:cs="宋体"/>
          <w:color w:val="auto"/>
          <w:szCs w:val="21"/>
          <w:highlight w:val="none"/>
        </w:rPr>
        <w:t>4、服务期限：</w:t>
      </w:r>
      <w:r>
        <w:rPr>
          <w:rFonts w:hint="eastAsia" w:ascii="宋体" w:hAnsi="宋体"/>
          <w:bCs/>
          <w:color w:val="auto"/>
          <w:sz w:val="21"/>
          <w:szCs w:val="21"/>
          <w:highlight w:val="none"/>
          <w:u w:val="single"/>
          <w:lang w:val="en-US" w:eastAsia="zh-CN"/>
        </w:rPr>
        <w:t xml:space="preserve">                        </w:t>
      </w:r>
      <w:r>
        <w:rPr>
          <w:rFonts w:hint="eastAsia" w:ascii="宋体" w:hAnsi="宋体"/>
          <w:bCs/>
          <w:color w:val="auto"/>
          <w:sz w:val="21"/>
          <w:szCs w:val="21"/>
          <w:highlight w:val="none"/>
        </w:rPr>
        <w:t>。</w:t>
      </w:r>
    </w:p>
    <w:p>
      <w:pPr>
        <w:keepNext w:val="0"/>
        <w:keepLines w:val="0"/>
        <w:pageBreakBefore w:val="0"/>
        <w:spacing w:line="420" w:lineRule="exact"/>
        <w:outlineLvl w:val="9"/>
        <w:rPr>
          <w:rFonts w:ascii="宋体" w:hAnsi="宋体" w:cs="宋体"/>
          <w:b/>
          <w:bCs/>
          <w:color w:val="auto"/>
          <w:szCs w:val="21"/>
          <w:highlight w:val="none"/>
        </w:rPr>
      </w:pPr>
      <w:r>
        <w:rPr>
          <w:rFonts w:hint="eastAsia" w:ascii="宋体" w:hAnsi="宋体" w:cs="宋体"/>
          <w:b/>
          <w:bCs/>
          <w:color w:val="auto"/>
          <w:szCs w:val="21"/>
          <w:highlight w:val="none"/>
          <w:lang w:val="zh-CN"/>
        </w:rPr>
        <w:t>二、</w:t>
      </w:r>
      <w:r>
        <w:rPr>
          <w:rFonts w:hint="eastAsia" w:ascii="宋体" w:hAnsi="宋体" w:cs="宋体"/>
          <w:b/>
          <w:color w:val="auto"/>
          <w:szCs w:val="21"/>
          <w:highlight w:val="none"/>
        </w:rPr>
        <w:t>合同价格与支付：</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lang w:val="zh-CN"/>
        </w:rPr>
        <w:t>1、</w:t>
      </w:r>
      <w:r>
        <w:rPr>
          <w:rFonts w:hint="eastAsia" w:ascii="宋体" w:hAnsi="宋体" w:cs="宋体"/>
          <w:color w:val="auto"/>
          <w:szCs w:val="21"/>
          <w:highlight w:val="none"/>
        </w:rPr>
        <w:t>本合同总价款为：人民币（大写）：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（含税价）元</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（含税价）</w:t>
      </w:r>
      <w:r>
        <w:rPr>
          <w:rFonts w:hint="eastAsia" w:ascii="宋体" w:hAnsi="宋体" w:cs="宋体"/>
          <w:color w:val="auto"/>
          <w:szCs w:val="21"/>
          <w:highlight w:val="none"/>
        </w:rPr>
        <w:t>元。合同总价包括完成该项目服务工作所需的全部服务，人员工资、福利、保险、劳保、高温补贴、差旅、办公设施设备、</w:t>
      </w:r>
      <w:r>
        <w:rPr>
          <w:rFonts w:hint="eastAsia" w:ascii="宋体" w:hAnsi="宋体" w:cs="宋体"/>
          <w:color w:val="auto"/>
          <w:szCs w:val="21"/>
          <w:highlight w:val="none"/>
        </w:rPr>
        <w:t>材料、</w:t>
      </w:r>
      <w:r>
        <w:rPr>
          <w:rFonts w:hint="eastAsia" w:ascii="宋体" w:hAnsi="宋体" w:cs="宋体"/>
          <w:color w:val="auto"/>
          <w:szCs w:val="21"/>
          <w:highlight w:val="none"/>
          <w:lang w:eastAsia="zh-CN"/>
        </w:rPr>
        <w:t>基本思路</w:t>
      </w:r>
      <w:r>
        <w:rPr>
          <w:rFonts w:hint="eastAsia" w:ascii="宋体" w:hAnsi="宋体" w:cs="宋体"/>
          <w:color w:val="auto"/>
          <w:szCs w:val="21"/>
          <w:highlight w:val="none"/>
        </w:rPr>
        <w:t>编制</w:t>
      </w:r>
      <w:r>
        <w:rPr>
          <w:rFonts w:hint="eastAsia" w:ascii="宋体" w:hAnsi="宋体" w:cs="宋体"/>
          <w:color w:val="auto"/>
          <w:szCs w:val="21"/>
          <w:highlight w:val="none"/>
        </w:rPr>
        <w:t>中所需</w:t>
      </w:r>
      <w:r>
        <w:rPr>
          <w:rFonts w:hint="eastAsia" w:ascii="宋体" w:hAnsi="宋体" w:cs="宋体"/>
          <w:color w:val="auto"/>
          <w:szCs w:val="21"/>
          <w:highlight w:val="none"/>
          <w:lang w:eastAsia="zh-CN"/>
        </w:rPr>
        <w:t>的各种相关费用、采购代理服务费、税金、利润</w:t>
      </w:r>
      <w:r>
        <w:rPr>
          <w:rFonts w:hint="eastAsia" w:ascii="宋体" w:hAnsi="宋体" w:cs="宋体"/>
          <w:color w:val="auto"/>
          <w:szCs w:val="21"/>
          <w:highlight w:val="none"/>
        </w:rPr>
        <w:t>、政策性文件规定及合同包含的所有风险、责任等完成本项目的各项应有费用。</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bCs/>
          <w:color w:val="auto"/>
          <w:szCs w:val="21"/>
          <w:highlight w:val="none"/>
        </w:rPr>
        <w:t>2、根据现行税法对甲方征收的与本合同有关的一切税费均由甲方承担；根据现行税法对乙方征收的与本合同有关的一切税费均由乙方承担。</w:t>
      </w:r>
    </w:p>
    <w:p>
      <w:pPr>
        <w:keepNext w:val="0"/>
        <w:keepLines w:val="0"/>
        <w:pageBreakBefore w:val="0"/>
        <w:spacing w:line="420" w:lineRule="exact"/>
        <w:ind w:firstLine="420"/>
        <w:outlineLvl w:val="9"/>
        <w:rPr>
          <w:rFonts w:ascii="宋体" w:hAnsi="宋体" w:cs="宋体"/>
          <w:color w:val="auto"/>
          <w:szCs w:val="21"/>
          <w:highlight w:val="none"/>
          <w:lang w:val="zh-CN"/>
        </w:rPr>
      </w:pPr>
      <w:r>
        <w:rPr>
          <w:rFonts w:hint="eastAsia" w:ascii="宋体" w:hAnsi="宋体" w:cs="宋体"/>
          <w:color w:val="auto"/>
          <w:szCs w:val="21"/>
          <w:highlight w:val="none"/>
          <w:lang w:val="zh-CN"/>
        </w:rPr>
        <w:t>3、付款方式及步骤：</w:t>
      </w:r>
    </w:p>
    <w:p>
      <w:pPr>
        <w:keepNext w:val="0"/>
        <w:keepLines w:val="0"/>
        <w:pageBreakBefore w:val="0"/>
        <w:spacing w:line="420" w:lineRule="exact"/>
        <w:ind w:firstLine="420"/>
        <w:outlineLvl w:val="9"/>
        <w:rPr>
          <w:rFonts w:ascii="宋体" w:hAnsi="宋体" w:cs="宋体"/>
          <w:color w:val="auto"/>
          <w:szCs w:val="21"/>
          <w:highlight w:val="yellow"/>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）付款步骤：</w:t>
      </w:r>
      <w:r>
        <w:rPr>
          <w:rFonts w:hint="eastAsia" w:ascii="宋体" w:hAnsi="宋体" w:eastAsia="宋体" w:cs="宋体"/>
          <w:color w:val="auto"/>
          <w:sz w:val="21"/>
          <w:szCs w:val="21"/>
          <w:highlight w:val="yellow"/>
          <w:lang w:val="zh-CN" w:eastAsia="zh-CN" w:bidi="ar-SA"/>
        </w:rPr>
        <w:t>合同签订生效后，甲方向乙方支付合同金额的</w:t>
      </w:r>
      <w:r>
        <w:rPr>
          <w:rFonts w:hint="eastAsia" w:ascii="宋体" w:hAnsi="宋体" w:cs="宋体"/>
          <w:color w:val="auto"/>
          <w:sz w:val="21"/>
          <w:szCs w:val="21"/>
          <w:highlight w:val="yellow"/>
          <w:lang w:val="en-US" w:eastAsia="zh-CN" w:bidi="ar-SA"/>
        </w:rPr>
        <w:t>3</w:t>
      </w:r>
      <w:r>
        <w:rPr>
          <w:rFonts w:hint="eastAsia" w:ascii="宋体" w:hAnsi="宋体" w:eastAsia="宋体" w:cs="宋体"/>
          <w:color w:val="auto"/>
          <w:sz w:val="21"/>
          <w:szCs w:val="21"/>
          <w:highlight w:val="yellow"/>
          <w:lang w:val="zh-CN" w:eastAsia="zh-CN" w:bidi="ar-SA"/>
        </w:rPr>
        <w:t>0%；“十五五”规划《基本思路》</w:t>
      </w:r>
      <w:r>
        <w:rPr>
          <w:rFonts w:hint="eastAsia" w:ascii="宋体" w:hAnsi="宋体" w:cs="宋体"/>
          <w:color w:val="auto"/>
          <w:sz w:val="21"/>
          <w:szCs w:val="21"/>
          <w:highlight w:val="yellow"/>
          <w:lang w:val="zh-CN" w:eastAsia="zh-CN" w:bidi="ar-SA"/>
        </w:rPr>
        <w:t>初稿形成支付合同金额的</w:t>
      </w:r>
      <w:r>
        <w:rPr>
          <w:rFonts w:hint="eastAsia" w:ascii="宋体" w:hAnsi="宋体" w:cs="宋体"/>
          <w:color w:val="auto"/>
          <w:sz w:val="21"/>
          <w:szCs w:val="21"/>
          <w:highlight w:val="yellow"/>
          <w:lang w:val="en-US" w:eastAsia="zh-CN" w:bidi="ar-SA"/>
        </w:rPr>
        <w:t>30%，</w:t>
      </w:r>
      <w:r>
        <w:rPr>
          <w:rFonts w:hint="eastAsia" w:ascii="宋体" w:hAnsi="宋体" w:cs="宋体"/>
          <w:color w:val="auto"/>
          <w:sz w:val="21"/>
          <w:szCs w:val="21"/>
          <w:highlight w:val="yellow"/>
          <w:lang w:val="zh-CN" w:eastAsia="zh-CN" w:bidi="ar-SA"/>
        </w:rPr>
        <w:t>评审通过支付合同金额的</w:t>
      </w:r>
      <w:r>
        <w:rPr>
          <w:rFonts w:hint="eastAsia" w:ascii="宋体" w:hAnsi="宋体" w:cs="宋体"/>
          <w:color w:val="auto"/>
          <w:sz w:val="21"/>
          <w:szCs w:val="21"/>
          <w:highlight w:val="yellow"/>
          <w:lang w:val="en-US" w:eastAsia="zh-CN" w:bidi="ar-SA"/>
        </w:rPr>
        <w:t>40%</w:t>
      </w:r>
      <w:r>
        <w:rPr>
          <w:rFonts w:hint="eastAsia" w:ascii="宋体" w:hAnsi="宋体" w:eastAsia="宋体" w:cs="宋体"/>
          <w:color w:val="auto"/>
          <w:sz w:val="21"/>
          <w:szCs w:val="21"/>
          <w:highlight w:val="yellow"/>
          <w:lang w:val="zh-CN" w:eastAsia="zh-CN" w:bidi="ar-SA"/>
        </w:rPr>
        <w:t>。</w:t>
      </w:r>
    </w:p>
    <w:p>
      <w:pPr>
        <w:keepNext w:val="0"/>
        <w:keepLines w:val="0"/>
        <w:pageBreakBefore w:val="0"/>
        <w:spacing w:line="420" w:lineRule="exact"/>
        <w:ind w:firstLine="42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每次付款前，乙方需向甲方出具合法有效的发票，否则甲方有权拒绝付款，且不就此承担逾期付款的违约责任。</w:t>
      </w:r>
    </w:p>
    <w:p>
      <w:pPr>
        <w:keepNext w:val="0"/>
        <w:keepLines w:val="0"/>
        <w:pageBreakBefore w:val="0"/>
        <w:spacing w:line="420" w:lineRule="exact"/>
        <w:ind w:firstLine="420"/>
        <w:rPr>
          <w:rFonts w:hint="eastAsia" w:eastAsia="宋体"/>
          <w:color w:val="auto"/>
          <w:highlight w:val="none"/>
          <w:lang w:val="en-US" w:eastAsia="zh-CN"/>
        </w:rPr>
      </w:pPr>
      <w:r>
        <w:rPr>
          <w:rFonts w:hint="eastAsia" w:ascii="宋体" w:hAnsi="Courier New"/>
          <w:color w:val="auto"/>
          <w:highlight w:val="none"/>
        </w:rPr>
        <w:t>注</w:t>
      </w:r>
      <w:r>
        <w:rPr>
          <w:rFonts w:hint="eastAsia" w:ascii="宋体" w:hAnsi="Courier New"/>
          <w:color w:val="auto"/>
          <w:highlight w:val="none"/>
          <w:lang w:eastAsia="zh-Hans"/>
        </w:rPr>
        <w:t>：甲方确认合格仅作为付款依据之一，不作为乙方提供的服务无任何瑕疵的证明，乙方仍应对其服务符合甲方及本合同的要求负责。</w:t>
      </w:r>
    </w:p>
    <w:p>
      <w:pPr>
        <w:keepNext w:val="0"/>
        <w:keepLines w:val="0"/>
        <w:pageBreakBefore w:val="0"/>
        <w:spacing w:line="420" w:lineRule="exact"/>
        <w:ind w:firstLine="420"/>
        <w:outlineLvl w:val="9"/>
        <w:rPr>
          <w:rFonts w:ascii="宋体" w:hAnsi="宋体" w:cs="宋体"/>
          <w:color w:val="auto"/>
          <w:szCs w:val="21"/>
          <w:highlight w:val="none"/>
          <w:lang w:val="zh-CN"/>
        </w:rPr>
      </w:pPr>
      <w:r>
        <w:rPr>
          <w:rFonts w:hint="eastAsia" w:ascii="宋体" w:hAnsi="宋体" w:cs="宋体"/>
          <w:color w:val="auto"/>
          <w:szCs w:val="21"/>
          <w:highlight w:val="none"/>
          <w:lang w:val="zh-CN"/>
        </w:rPr>
        <w:t>（2）付款方式：银行转账。</w:t>
      </w:r>
    </w:p>
    <w:p>
      <w:pPr>
        <w:keepNext w:val="0"/>
        <w:keepLines w:val="0"/>
        <w:pageBreakBefore w:val="0"/>
        <w:spacing w:line="420" w:lineRule="exact"/>
        <w:ind w:firstLine="420"/>
        <w:outlineLvl w:val="9"/>
        <w:rPr>
          <w:rFonts w:hint="eastAsia" w:ascii="宋体" w:hAnsi="宋体" w:cs="宋体"/>
          <w:color w:val="auto"/>
          <w:szCs w:val="21"/>
          <w:highlight w:val="none"/>
          <w:lang w:val="zh-CN"/>
        </w:rPr>
      </w:pPr>
      <w:r>
        <w:rPr>
          <w:rFonts w:hint="eastAsia" w:ascii="宋体" w:hAnsi="宋体" w:cs="宋体"/>
          <w:color w:val="auto"/>
          <w:szCs w:val="21"/>
          <w:highlight w:val="none"/>
          <w:lang w:val="zh-CN"/>
        </w:rPr>
        <w:t>4、甲方支付此项费用外不再承担其它任何费用。</w:t>
      </w:r>
    </w:p>
    <w:p>
      <w:pPr>
        <w:keepNext w:val="0"/>
        <w:keepLines w:val="0"/>
        <w:pageBreakBefore w:val="0"/>
        <w:spacing w:line="420" w:lineRule="exact"/>
        <w:ind w:firstLine="420"/>
        <w:rPr>
          <w:color w:val="auto"/>
          <w:highlight w:val="none"/>
          <w:lang w:val="zh-CN"/>
        </w:rPr>
      </w:pPr>
      <w:r>
        <w:rPr>
          <w:rFonts w:hint="eastAsia" w:ascii="宋体" w:hAnsi="宋体" w:eastAsia="宋体"/>
          <w:color w:val="auto"/>
          <w:szCs w:val="21"/>
          <w:highlight w:val="none"/>
          <w:lang w:val="zh-CN"/>
        </w:rPr>
        <w:t>5、虽有本条已约定付款方式，但甲方每次付款须按政府审批流程进行，具体支付时间以相关部门审批确认时间为准，乙方对此无异议。</w:t>
      </w:r>
    </w:p>
    <w:p>
      <w:pPr>
        <w:keepNext w:val="0"/>
        <w:keepLines w:val="0"/>
        <w:pageBreakBefore w:val="0"/>
        <w:spacing w:line="420" w:lineRule="exact"/>
        <w:outlineLvl w:val="9"/>
        <w:rPr>
          <w:rFonts w:ascii="宋体" w:hAnsi="宋体" w:cs="宋体"/>
          <w:b/>
          <w:color w:val="auto"/>
          <w:szCs w:val="21"/>
          <w:highlight w:val="none"/>
        </w:rPr>
      </w:pPr>
      <w:r>
        <w:rPr>
          <w:rFonts w:hint="eastAsia" w:ascii="宋体" w:hAnsi="宋体" w:cs="宋体"/>
          <w:b/>
          <w:color w:val="auto"/>
          <w:szCs w:val="21"/>
          <w:highlight w:val="none"/>
        </w:rPr>
        <w:t>三、甲、乙双方的责任与义务</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1、甲方的责任与义务</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（1）指定专人作为甲方联系人予以协调工作。加强与乙方沟通，交流情况，互通信息。</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（2）对乙方相关成果进行审核，并协助报审；有权依据实际，对相关成果提出意见。</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（3）根据甲方服务要求及乙方的相关承诺，对乙方提供的服务及履行本合同情况实行验收，验收不合格的，有权要求乙方限期重新提供服务</w:t>
      </w:r>
      <w:r>
        <w:rPr>
          <w:rFonts w:hint="eastAsia" w:ascii="宋体" w:hAnsi="宋体" w:cs="宋体"/>
          <w:color w:val="auto"/>
          <w:szCs w:val="21"/>
          <w:highlight w:val="none"/>
          <w:lang w:eastAsia="zh-CN"/>
        </w:rPr>
        <w:t>并要求乙方承担违约责任</w:t>
      </w:r>
      <w:r>
        <w:rPr>
          <w:rFonts w:hint="eastAsia" w:ascii="宋体" w:hAnsi="宋体" w:cs="宋体"/>
          <w:color w:val="auto"/>
          <w:szCs w:val="21"/>
          <w:highlight w:val="none"/>
        </w:rPr>
        <w:t>。</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2、乙方的责任与义务</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（1）不得将本服务及责任转嫁给第三方；</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（2）乙方必须自己完成合同内容，不得转包、分包，否则，甲方有权按乙方不能完成合同处理；</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（3）乙方负责完成本次采购要求的全部服务工作，乙方应按采购文件以及合同约定的技术规范、标准进行实施，并保证按期、保质保量完成项目的实施工作，对提交的项目质量负责。</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（4）对编制的相关成果质量负责，保证相关成果能贯彻上级精神、符合</w:t>
      </w:r>
      <w:r>
        <w:rPr>
          <w:rFonts w:hint="eastAsia" w:ascii="宋体" w:hAnsi="宋体" w:cs="宋体"/>
          <w:color w:val="auto"/>
          <w:szCs w:val="21"/>
          <w:highlight w:val="none"/>
          <w:lang w:eastAsia="zh-CN"/>
        </w:rPr>
        <w:t>龙湾</w:t>
      </w:r>
      <w:r>
        <w:rPr>
          <w:rFonts w:hint="eastAsia" w:ascii="宋体" w:hAnsi="宋体" w:cs="宋体"/>
          <w:color w:val="auto"/>
          <w:szCs w:val="21"/>
          <w:highlight w:val="none"/>
        </w:rPr>
        <w:t>实际、体现时代要求、反映群众意愿，按照甲方意见及时修改相关成果。 </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（5）协助甲方整理、编写、完善申报所需要材料，按有关规定协助甲方报送相关部门审批。</w:t>
      </w:r>
    </w:p>
    <w:p>
      <w:pPr>
        <w:keepNext w:val="0"/>
        <w:keepLines w:val="0"/>
        <w:pageBreakBefore w:val="0"/>
        <w:spacing w:line="42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（6）没有甲方事先同意，乙方不得在任何商业或技术论文或其它场合发表或允许发表、或透露项目的任何细节。</w:t>
      </w:r>
    </w:p>
    <w:p>
      <w:pPr>
        <w:keepNext w:val="0"/>
        <w:keepLines w:val="0"/>
        <w:pageBreakBefore w:val="0"/>
        <w:widowControl/>
        <w:spacing w:line="420" w:lineRule="exact"/>
        <w:ind w:firstLine="420"/>
        <w:rPr>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）乙方安排从事服务工作的人员须</w:t>
      </w:r>
      <w:r>
        <w:rPr>
          <w:rFonts w:hint="eastAsia" w:ascii="宋体" w:hAnsi="宋体" w:cs="宋体"/>
          <w:bCs/>
          <w:color w:val="auto"/>
          <w:szCs w:val="21"/>
          <w:highlight w:val="none"/>
        </w:rPr>
        <w:t>具有从事相关</w:t>
      </w:r>
      <w:r>
        <w:rPr>
          <w:rFonts w:hint="eastAsia" w:ascii="宋体" w:hAnsi="宋体" w:cs="宋体"/>
          <w:bCs/>
          <w:color w:val="auto"/>
          <w:szCs w:val="22"/>
          <w:highlight w:val="none"/>
        </w:rPr>
        <w:t>研究及规划</w:t>
      </w:r>
      <w:r>
        <w:rPr>
          <w:rFonts w:hint="eastAsia" w:ascii="宋体" w:hAnsi="宋体" w:cs="宋体"/>
          <w:bCs/>
          <w:color w:val="auto"/>
          <w:szCs w:val="21"/>
          <w:highlight w:val="none"/>
        </w:rPr>
        <w:t>的经历和能力，具有较高的理论素养、分析解决问题能力、较强的组织和协调能力，并担负实质性规划工作，自觉遵守项目各项制度，按甲方要求完成各阶段计划和总结。</w:t>
      </w:r>
    </w:p>
    <w:p>
      <w:pPr>
        <w:keepNext w:val="0"/>
        <w:keepLines w:val="0"/>
        <w:pageBreakBefore w:val="0"/>
        <w:spacing w:line="420" w:lineRule="exact"/>
        <w:outlineLvl w:val="9"/>
        <w:rPr>
          <w:rFonts w:ascii="宋体" w:hAnsi="宋体" w:cs="宋体"/>
          <w:b/>
          <w:color w:val="auto"/>
          <w:szCs w:val="21"/>
          <w:highlight w:val="none"/>
          <w:lang w:val="zh-CN"/>
        </w:rPr>
      </w:pPr>
      <w:r>
        <w:rPr>
          <w:rFonts w:hint="eastAsia" w:ascii="宋体" w:hAnsi="宋体" w:cs="宋体"/>
          <w:b/>
          <w:color w:val="auto"/>
          <w:szCs w:val="21"/>
          <w:highlight w:val="none"/>
          <w:lang w:val="zh-CN"/>
        </w:rPr>
        <w:t>四、违约责任</w:t>
      </w:r>
    </w:p>
    <w:p>
      <w:pPr>
        <w:keepNext w:val="0"/>
        <w:keepLines w:val="0"/>
        <w:pageBreakBefore w:val="0"/>
        <w:spacing w:line="42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1、合同一方不履行合同义务或者履行合同义务不符合约定的，应当承担继续履行、采取补救措施或者赔偿损失等违约责任。</w:t>
      </w:r>
    </w:p>
    <w:p>
      <w:pPr>
        <w:keepNext w:val="0"/>
        <w:keepLines w:val="0"/>
        <w:pageBreakBefore w:val="0"/>
        <w:spacing w:line="42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2、在合同生效后，因甲方单方面取消此次服务的，应向乙方偿付合同总价款的5%作为违约金，违约金不足以补偿损失的，乙方有权要求甲方补足。</w:t>
      </w:r>
    </w:p>
    <w:p>
      <w:pPr>
        <w:keepNext w:val="0"/>
        <w:keepLines w:val="0"/>
        <w:pageBreakBefore w:val="0"/>
        <w:spacing w:line="42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乙方逾期开始提供服务或完成服务的，每逾期一日（不足一日的以一日计）应向甲方支付合同总价款的万分之五作为逾期违约金，逾期超过15日的，甲方有权单方解除本合同且乙方应向甲方支付合同总金额的20%作为违约金，违约金无法弥补甲方损失的，乙方应予补足。</w:t>
      </w:r>
    </w:p>
    <w:p>
      <w:pPr>
        <w:keepNext w:val="0"/>
        <w:keepLines w:val="0"/>
        <w:pageBreakBefore w:val="0"/>
        <w:spacing w:line="420" w:lineRule="exact"/>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bidi="ar"/>
        </w:rPr>
        <w:t>乙方须自己完成合同内容，不得自行转包或分包，否则，甲方有权单方解除本合同</w:t>
      </w:r>
      <w:r>
        <w:rPr>
          <w:rFonts w:hint="eastAsia" w:ascii="宋体" w:hAnsi="宋体" w:eastAsia="宋体" w:cs="宋体"/>
          <w:color w:val="auto"/>
          <w:szCs w:val="21"/>
          <w:highlight w:val="none"/>
        </w:rPr>
        <w:t>且乙方应向甲方支付合同总金额的20%作为违约金，违约金无法弥补甲方损失的，乙方应予补足。</w:t>
      </w:r>
    </w:p>
    <w:p>
      <w:pPr>
        <w:keepNext w:val="0"/>
        <w:keepLines w:val="0"/>
        <w:pageBreakBefore w:val="0"/>
        <w:spacing w:line="420" w:lineRule="exact"/>
        <w:ind w:firstLine="42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乙方违反本合同任一乙方义务条款约定（包括采购文件规定的采购内容、人员及工作要求等），乙方除须按甲方要求进行整改外，还应按照本合同总金额的5%/次向甲方支付违约金；同一问题经乙方二次整改仍不合格的或经甲方书面催告后仍不履行或改正的，甲方有权单方解除本合同</w:t>
      </w:r>
      <w:r>
        <w:rPr>
          <w:rFonts w:hint="eastAsia" w:ascii="宋体" w:hAnsi="宋体" w:eastAsia="宋体" w:cs="宋体"/>
          <w:color w:val="auto"/>
          <w:szCs w:val="21"/>
          <w:highlight w:val="none"/>
        </w:rPr>
        <w:t>且乙方应向甲方支付合同总金额的20%作为违约金，违约金无法弥补甲方损失的，乙方应予补足。</w:t>
      </w:r>
    </w:p>
    <w:p>
      <w:pPr>
        <w:keepNext w:val="0"/>
        <w:keepLines w:val="0"/>
        <w:pageBreakBefore w:val="0"/>
        <w:spacing w:line="420" w:lineRule="exact"/>
        <w:ind w:firstLine="420"/>
        <w:rPr>
          <w:rFonts w:ascii="宋体" w:hAnsi="宋体" w:eastAsia="宋体"/>
          <w:color w:val="auto"/>
          <w:szCs w:val="21"/>
          <w:highlight w:val="none"/>
        </w:rPr>
      </w:pPr>
      <w:r>
        <w:rPr>
          <w:rFonts w:hint="eastAsia" w:ascii="宋体" w:hAnsi="宋体" w:eastAsia="宋体"/>
          <w:color w:val="auto"/>
          <w:szCs w:val="21"/>
          <w:highlight w:val="none"/>
        </w:rPr>
        <w:t>6、乙方交付的成果经甲方确认为不合格的，乙方应立即进行修改、重作，交付期不予顺延。</w:t>
      </w:r>
    </w:p>
    <w:p>
      <w:pPr>
        <w:keepNext w:val="0"/>
        <w:keepLines w:val="0"/>
        <w:pageBreakBefore w:val="0"/>
        <w:spacing w:line="420" w:lineRule="exact"/>
        <w:ind w:firstLine="420"/>
        <w:rPr>
          <w:rFonts w:ascii="宋体" w:hAnsi="宋体" w:eastAsia="宋体"/>
          <w:color w:val="auto"/>
          <w:szCs w:val="21"/>
          <w:highlight w:val="none"/>
        </w:rPr>
      </w:pPr>
      <w:r>
        <w:rPr>
          <w:rFonts w:hint="eastAsia" w:ascii="宋体" w:hAnsi="宋体" w:eastAsia="宋体"/>
          <w:color w:val="auto"/>
          <w:szCs w:val="21"/>
          <w:highlight w:val="none"/>
        </w:rPr>
        <w:t>7、乙方应承诺其所提供的文件、服务、成果等不侵害甲方及第三方的任何利益，否则，乙方应自行承担责任。</w:t>
      </w:r>
    </w:p>
    <w:p>
      <w:pPr>
        <w:keepNext w:val="0"/>
        <w:keepLines w:val="0"/>
        <w:pageBreakBefore w:val="0"/>
        <w:spacing w:line="420" w:lineRule="exact"/>
        <w:ind w:firstLine="420"/>
        <w:rPr>
          <w:rFonts w:hint="eastAsia" w:ascii="宋体" w:hAnsi="宋体" w:eastAsia="宋体"/>
          <w:color w:val="auto"/>
          <w:szCs w:val="21"/>
          <w:highlight w:val="none"/>
        </w:rPr>
      </w:pPr>
      <w:r>
        <w:rPr>
          <w:rFonts w:hint="eastAsia" w:ascii="宋体" w:hAnsi="宋体" w:eastAsia="宋体"/>
          <w:color w:val="auto"/>
          <w:szCs w:val="21"/>
          <w:highlight w:val="none"/>
        </w:rPr>
        <w:t>8、乙方应保证甲方在使用该产品</w:t>
      </w:r>
      <w:r>
        <w:rPr>
          <w:rFonts w:hint="eastAsia" w:ascii="宋体" w:hAnsi="宋体"/>
          <w:color w:val="auto"/>
          <w:szCs w:val="21"/>
          <w:highlight w:val="none"/>
          <w:lang w:eastAsia="zh-CN"/>
        </w:rPr>
        <w:t>（或服务成果）</w:t>
      </w:r>
      <w:r>
        <w:rPr>
          <w:rFonts w:hint="eastAsia" w:ascii="宋体" w:hAnsi="宋体" w:eastAsia="宋体"/>
          <w:color w:val="auto"/>
          <w:szCs w:val="21"/>
          <w:highlight w:val="none"/>
        </w:rPr>
        <w:t>或其任何一部分时不受到第三方关于侵犯知识产权的指控，且乙方承担由于甲方在使用所有或任何一部分产品时引起第三方提出的知识产权诉讼、行动、行政程序索赔等所致的损失、损害、费用和支出（包括律师费）。如甲方因此而遭致损失，乙方应赔偿该损失。</w:t>
      </w:r>
    </w:p>
    <w:p>
      <w:pPr>
        <w:keepNext w:val="0"/>
        <w:keepLines w:val="0"/>
        <w:pageBreakBefore w:val="0"/>
        <w:spacing w:line="420" w:lineRule="exact"/>
        <w:ind w:firstLine="420"/>
        <w:rPr>
          <w:rFonts w:hint="eastAsia" w:ascii="宋体" w:hAnsi="宋体" w:eastAsia="宋体"/>
          <w:color w:val="auto"/>
          <w:szCs w:val="21"/>
          <w:highlight w:val="none"/>
        </w:rPr>
      </w:pPr>
      <w:r>
        <w:rPr>
          <w:rFonts w:hint="eastAsia" w:ascii="宋体" w:hAnsi="宋体" w:eastAsia="宋体"/>
          <w:color w:val="auto"/>
          <w:szCs w:val="21"/>
          <w:highlight w:val="none"/>
        </w:rPr>
        <w:t>9、乙方未履行对本合同内容、履行本合同或在本合同期间内知悉的或收到资料、商业秘密的保密义务的，应承</w:t>
      </w:r>
      <w:r>
        <w:rPr>
          <w:rFonts w:hint="eastAsia" w:ascii="Times New Roman" w:hAnsi="Times New Roman"/>
          <w:bCs/>
          <w:color w:val="auto"/>
          <w:szCs w:val="21"/>
          <w:highlight w:val="none"/>
        </w:rPr>
        <w:t>担泄密后果，乙方自行承担责任。乙方未履行保密义务对甲方造成损失的，乙方应承担相应的赔偿责任。</w:t>
      </w:r>
    </w:p>
    <w:p>
      <w:pPr>
        <w:keepNext w:val="0"/>
        <w:keepLines w:val="0"/>
        <w:pageBreakBefore w:val="0"/>
        <w:spacing w:line="420" w:lineRule="exact"/>
        <w:ind w:firstLine="420"/>
        <w:rPr>
          <w:rFonts w:hint="eastAsia" w:ascii="宋体" w:hAnsi="宋体" w:eastAsia="宋体" w:cs="Times New Roman"/>
          <w:color w:val="auto"/>
          <w:szCs w:val="21"/>
          <w:highlight w:val="none"/>
          <w:lang w:bidi="ar-SA"/>
        </w:rPr>
      </w:pPr>
      <w:r>
        <w:rPr>
          <w:rFonts w:hint="eastAsia" w:ascii="宋体" w:hAnsi="宋体" w:eastAsia="宋体"/>
          <w:color w:val="auto"/>
          <w:szCs w:val="21"/>
          <w:highlight w:val="none"/>
        </w:rPr>
        <w:t>10、甲方因乙方违约而向乙方或第三方主张的任何权益，或者遭受第三方</w:t>
      </w:r>
      <w:r>
        <w:rPr>
          <w:rStyle w:val="58"/>
          <w:rFonts w:hint="eastAsia" w:ascii="宋体" w:hAnsi="宋体" w:eastAsia="宋体" w:cs="宋体"/>
          <w:color w:val="auto"/>
          <w:szCs w:val="21"/>
          <w:highlight w:val="none"/>
          <w:lang w:val="zh-TW"/>
        </w:rPr>
        <w:t>主张任何权益所支出的全部费用（包括但不限于诉讼费、律师费、调查费、举证费、差旅费等）均由乙方承担。</w:t>
      </w:r>
    </w:p>
    <w:p>
      <w:pPr>
        <w:keepNext w:val="0"/>
        <w:keepLines w:val="0"/>
        <w:pageBreakBefore w:val="0"/>
        <w:spacing w:line="420" w:lineRule="exact"/>
        <w:ind w:firstLine="42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11、乙方无故单方解除本合同或甲方因乙方违约而单方解除本合同的，乙方除应返还甲方已付款项外，还应按合同总价款的25%向甲方支付违约金，违约金无法弥补甲方损失的，乙方应予补足。</w:t>
      </w:r>
    </w:p>
    <w:p>
      <w:pPr>
        <w:keepNext w:val="0"/>
        <w:keepLines w:val="0"/>
        <w:pageBreakBefore w:val="0"/>
        <w:spacing w:line="420" w:lineRule="exact"/>
        <w:ind w:firstLine="42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12、本合同项下乙方应向甲方支付的违约金、赔偿款等各类款项，甲方有权在应付乙方的任何款项中予以扣除，不足部分乙方应予补足。</w:t>
      </w:r>
    </w:p>
    <w:p>
      <w:pPr>
        <w:keepNext w:val="0"/>
        <w:keepLines w:val="0"/>
        <w:pageBreakBefore w:val="0"/>
        <w:spacing w:line="420" w:lineRule="exact"/>
        <w:outlineLvl w:val="9"/>
        <w:rPr>
          <w:rFonts w:ascii="宋体" w:hAnsi="宋体" w:cs="宋体"/>
          <w:b/>
          <w:color w:val="auto"/>
          <w:szCs w:val="21"/>
          <w:highlight w:val="none"/>
          <w:lang w:val="zh-CN"/>
        </w:rPr>
      </w:pPr>
      <w:r>
        <w:rPr>
          <w:rFonts w:hint="eastAsia" w:ascii="宋体" w:hAnsi="宋体" w:cs="宋体"/>
          <w:b/>
          <w:color w:val="auto"/>
          <w:szCs w:val="21"/>
          <w:highlight w:val="none"/>
          <w:lang w:val="zh-CN"/>
        </w:rPr>
        <w:t>五、不可抗力</w:t>
      </w:r>
    </w:p>
    <w:p>
      <w:pPr>
        <w:keepNext w:val="0"/>
        <w:keepLines w:val="0"/>
        <w:pageBreakBefore w:val="0"/>
        <w:widowControl/>
        <w:spacing w:line="420" w:lineRule="exact"/>
        <w:ind w:firstLine="420"/>
        <w:jc w:val="left"/>
        <w:outlineLvl w:val="9"/>
        <w:rPr>
          <w:rFonts w:ascii="宋体" w:hAnsi="宋体" w:cs="宋体"/>
          <w:color w:val="auto"/>
          <w:szCs w:val="21"/>
          <w:highlight w:val="none"/>
        </w:rPr>
      </w:pPr>
      <w:r>
        <w:rPr>
          <w:rFonts w:hint="eastAsia" w:ascii="宋体" w:hAnsi="宋体" w:cs="宋体"/>
          <w:color w:val="auto"/>
          <w:szCs w:val="21"/>
          <w:highlight w:val="none"/>
        </w:rPr>
        <w:t>1、因不可抗力（或甲、乙双方不能控制的原因）不能履行合同的，根据不可抗力的影响，部分或者全部免除责任。但合同一方迟延履行后发生不可抗力的，不能免除责任。</w:t>
      </w:r>
    </w:p>
    <w:p>
      <w:pPr>
        <w:keepNext w:val="0"/>
        <w:keepLines w:val="0"/>
        <w:pageBreakBefore w:val="0"/>
        <w:widowControl/>
        <w:spacing w:line="420" w:lineRule="exact"/>
        <w:ind w:firstLine="420"/>
        <w:jc w:val="left"/>
        <w:outlineLvl w:val="9"/>
        <w:rPr>
          <w:rFonts w:ascii="宋体" w:hAnsi="宋体" w:cs="宋体"/>
          <w:b/>
          <w:color w:val="auto"/>
          <w:szCs w:val="21"/>
          <w:highlight w:val="none"/>
          <w:lang w:bidi="ar"/>
        </w:rPr>
      </w:pPr>
      <w:r>
        <w:rPr>
          <w:rFonts w:hint="eastAsia" w:ascii="宋体" w:hAnsi="宋体" w:cs="宋体"/>
          <w:color w:val="auto"/>
          <w:szCs w:val="21"/>
          <w:highlight w:val="none"/>
        </w:rPr>
        <w:t>2、合同一方因不可抗力不能履行合同的，应当及时通知对方，以减轻可能给对方造成的损失，并应当在合理期限内提供证明。</w:t>
      </w:r>
    </w:p>
    <w:p>
      <w:pPr>
        <w:keepNext w:val="0"/>
        <w:keepLines w:val="0"/>
        <w:pageBreakBefore w:val="0"/>
        <w:spacing w:line="420" w:lineRule="exact"/>
        <w:outlineLvl w:val="9"/>
        <w:rPr>
          <w:rFonts w:ascii="宋体" w:hAnsi="宋体" w:cs="宋体"/>
          <w:b/>
          <w:color w:val="auto"/>
          <w:szCs w:val="21"/>
          <w:highlight w:val="none"/>
        </w:rPr>
      </w:pPr>
      <w:r>
        <w:rPr>
          <w:rFonts w:hint="eastAsia" w:ascii="宋体" w:hAnsi="宋体" w:cs="宋体"/>
          <w:b/>
          <w:color w:val="auto"/>
          <w:szCs w:val="21"/>
          <w:highlight w:val="none"/>
        </w:rPr>
        <w:t>六、合同转让和修改</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1、政府采购合同的部分和全部都不得转让。</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2、甲方和乙方都不得擅自变更本合同，但合同继续履行将损害国家和社会公共利益的除外。如必须对合同条款进行改动时，当事人双方须共同签署书面文件，做为合同的补充。</w:t>
      </w:r>
    </w:p>
    <w:p>
      <w:pPr>
        <w:keepNext w:val="0"/>
        <w:keepLines w:val="0"/>
        <w:pageBreakBefore w:val="0"/>
        <w:spacing w:line="420" w:lineRule="exact"/>
        <w:outlineLvl w:val="9"/>
        <w:rPr>
          <w:rFonts w:ascii="宋体" w:hAnsi="宋体" w:cs="宋体"/>
          <w:b/>
          <w:color w:val="auto"/>
          <w:szCs w:val="21"/>
          <w:highlight w:val="none"/>
        </w:rPr>
      </w:pPr>
      <w:r>
        <w:rPr>
          <w:rFonts w:hint="eastAsia" w:ascii="宋体" w:hAnsi="宋体" w:cs="宋体"/>
          <w:b/>
          <w:color w:val="auto"/>
          <w:szCs w:val="21"/>
          <w:highlight w:val="none"/>
        </w:rPr>
        <w:t>七、合同的解除</w:t>
      </w:r>
    </w:p>
    <w:p>
      <w:pPr>
        <w:keepNext w:val="0"/>
        <w:keepLines w:val="0"/>
        <w:pageBreakBefore w:val="0"/>
        <w:spacing w:line="420" w:lineRule="exact"/>
        <w:ind w:firstLine="420"/>
        <w:outlineLvl w:val="9"/>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zh-CN"/>
        </w:rPr>
        <w:t>、有下列情形之一</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合同一方可以解除合同</w:t>
      </w:r>
      <w:r>
        <w:rPr>
          <w:rFonts w:hint="eastAsia" w:ascii="宋体" w:hAnsi="宋体" w:cs="宋体"/>
          <w:bCs/>
          <w:color w:val="auto"/>
          <w:szCs w:val="21"/>
          <w:highlight w:val="none"/>
        </w:rPr>
        <w:t>：</w:t>
      </w:r>
    </w:p>
    <w:p>
      <w:pPr>
        <w:keepNext w:val="0"/>
        <w:keepLines w:val="0"/>
        <w:pageBreakBefore w:val="0"/>
        <w:spacing w:line="420" w:lineRule="exact"/>
        <w:ind w:firstLine="420"/>
        <w:outlineLvl w:val="9"/>
        <w:rPr>
          <w:rFonts w:ascii="宋体" w:hAnsi="宋体" w:cs="宋体"/>
          <w:bCs/>
          <w:color w:val="auto"/>
          <w:szCs w:val="21"/>
          <w:highlight w:val="none"/>
          <w:lang w:val="zh-CN"/>
        </w:rPr>
      </w:pPr>
      <w:r>
        <w:rPr>
          <w:rFonts w:hint="eastAsia" w:ascii="宋体" w:hAnsi="宋体" w:cs="宋体"/>
          <w:bCs/>
          <w:color w:val="auto"/>
          <w:szCs w:val="21"/>
          <w:highlight w:val="none"/>
          <w:lang w:val="zh-CN"/>
        </w:rPr>
        <w:t>（1）因不可抗力致使不能实现合同目的，未受不可抗力影响的一方有权解除合同；</w:t>
      </w:r>
    </w:p>
    <w:p>
      <w:pPr>
        <w:keepNext w:val="0"/>
        <w:keepLines w:val="0"/>
        <w:pageBreakBefore w:val="0"/>
        <w:spacing w:line="420" w:lineRule="exact"/>
        <w:ind w:firstLine="420"/>
        <w:outlineLvl w:val="9"/>
        <w:rPr>
          <w:rFonts w:ascii="宋体" w:hAnsi="宋体" w:cs="宋体"/>
          <w:bCs/>
          <w:color w:val="auto"/>
          <w:szCs w:val="21"/>
          <w:highlight w:val="none"/>
          <w:lang w:val="zh-CN"/>
        </w:rPr>
      </w:pPr>
      <w:r>
        <w:rPr>
          <w:rFonts w:hint="eastAsia" w:ascii="宋体" w:hAnsi="宋体" w:cs="宋体"/>
          <w:bCs/>
          <w:color w:val="auto"/>
          <w:szCs w:val="21"/>
          <w:highlight w:val="none"/>
          <w:lang w:val="zh-CN"/>
        </w:rPr>
        <w:t>（2）因合同一方违约导致合同不能履行，另一方有权解除合同；</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bCs/>
          <w:color w:val="auto"/>
          <w:szCs w:val="21"/>
          <w:highlight w:val="none"/>
          <w:lang w:val="zh-CN"/>
        </w:rPr>
        <w:t>2、有权解除合同的一方，应当在违约事实或不可抗力发生之后三十天内书面通知对方以主张解除合同，合同在书面通知到达对方时解除</w:t>
      </w:r>
      <w:r>
        <w:rPr>
          <w:rFonts w:hint="eastAsia" w:ascii="宋体" w:hAnsi="宋体" w:cs="宋体"/>
          <w:color w:val="auto"/>
          <w:szCs w:val="21"/>
          <w:highlight w:val="none"/>
        </w:rPr>
        <w:t>。</w:t>
      </w:r>
      <w:r>
        <w:rPr>
          <w:rFonts w:hint="eastAsia" w:ascii="宋体" w:hAnsi="宋体" w:cs="宋体"/>
          <w:color w:val="auto"/>
          <w:szCs w:val="21"/>
          <w:highlight w:val="none"/>
          <w:lang w:bidi="ar"/>
        </w:rPr>
        <w:t>双方一致同意以本协议所列地址及其他常用通讯地址为双方沟通函件、法律文书的送达地址，信件交邮后若因非发件人过错原因造成的无法送达，则以文书退回之日视为送达之日。</w:t>
      </w:r>
    </w:p>
    <w:p>
      <w:pPr>
        <w:keepNext w:val="0"/>
        <w:keepLines w:val="0"/>
        <w:pageBreakBefore w:val="0"/>
        <w:spacing w:line="420" w:lineRule="exact"/>
        <w:outlineLvl w:val="9"/>
        <w:rPr>
          <w:rFonts w:ascii="宋体" w:hAnsi="宋体" w:cs="宋体"/>
          <w:b/>
          <w:color w:val="auto"/>
          <w:szCs w:val="21"/>
          <w:highlight w:val="none"/>
        </w:rPr>
      </w:pPr>
      <w:r>
        <w:rPr>
          <w:rFonts w:hint="eastAsia" w:ascii="宋体" w:hAnsi="宋体" w:cs="宋体"/>
          <w:b/>
          <w:color w:val="auto"/>
          <w:szCs w:val="21"/>
          <w:highlight w:val="none"/>
          <w:lang w:bidi="ar"/>
        </w:rPr>
        <w:t>八、争议解决办法</w:t>
      </w:r>
    </w:p>
    <w:p>
      <w:pPr>
        <w:keepNext w:val="0"/>
        <w:keepLines w:val="0"/>
        <w:pageBreakBefore w:val="0"/>
        <w:tabs>
          <w:tab w:val="left" w:pos="360"/>
        </w:tabs>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lang w:bidi="ar"/>
        </w:rPr>
        <w:t>因本合同或与本合同有关的一切事项发生争议，由双方友好协商解决。协商不成的，任何一方均可向甲方所在地的人民法院起诉。因乙方违约或乙方追究甲方违约但不成立，导致甲方为处理此纠纷产生的费用由乙方承担，该费用包括但不限于诉讼费、保全费、鉴定费、执行费、律师费、差旅费等。</w:t>
      </w:r>
    </w:p>
    <w:p>
      <w:pPr>
        <w:keepNext w:val="0"/>
        <w:keepLines w:val="0"/>
        <w:pageBreakBefore w:val="0"/>
        <w:spacing w:line="420" w:lineRule="exact"/>
        <w:outlineLvl w:val="9"/>
        <w:rPr>
          <w:rFonts w:ascii="宋体" w:hAnsi="宋体" w:cs="宋体"/>
          <w:b/>
          <w:color w:val="auto"/>
          <w:szCs w:val="21"/>
          <w:highlight w:val="none"/>
        </w:rPr>
      </w:pPr>
      <w:r>
        <w:rPr>
          <w:rFonts w:hint="eastAsia" w:ascii="宋体" w:hAnsi="宋体" w:cs="宋体"/>
          <w:b/>
          <w:color w:val="auto"/>
          <w:szCs w:val="21"/>
          <w:highlight w:val="none"/>
        </w:rPr>
        <w:t>九、合同生效及其他</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1、甲、乙双方法定代表人或其委托代理人签字并加盖公章（或合同章）、骑缝章后生效，生效合同签订之日起2个工作日内进行网上系统备案。</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2、本合同文件使用中文书写、解释和说明。</w:t>
      </w:r>
    </w:p>
    <w:p>
      <w:pPr>
        <w:keepNext w:val="0"/>
        <w:keepLines w:val="0"/>
        <w:pageBreakBefore w:val="0"/>
        <w:spacing w:line="420" w:lineRule="exact"/>
        <w:ind w:firstLine="420"/>
        <w:outlineLvl w:val="9"/>
        <w:rPr>
          <w:rFonts w:hint="eastAsia" w:ascii="宋体" w:hAnsi="宋体" w:cs="宋体"/>
          <w:color w:val="auto"/>
          <w:szCs w:val="21"/>
          <w:highlight w:val="none"/>
          <w:lang w:val="zh-CN"/>
        </w:rPr>
      </w:pPr>
      <w:r>
        <w:rPr>
          <w:rFonts w:hint="eastAsia" w:ascii="宋体" w:hAnsi="宋体" w:cs="宋体"/>
          <w:color w:val="auto"/>
          <w:szCs w:val="21"/>
          <w:highlight w:val="none"/>
        </w:rPr>
        <w:t>3、合同在执行过程中出现的未尽事宜，双方在不违背本合同和采购文件的原则下协商解决，协商结果以书面形式盖章记录在案，作为本合同的附件，与本合同具有同等效力；</w:t>
      </w:r>
      <w:r>
        <w:rPr>
          <w:rFonts w:hint="eastAsia" w:ascii="宋体" w:hAnsi="宋体" w:cs="宋体"/>
          <w:color w:val="auto"/>
          <w:szCs w:val="21"/>
          <w:highlight w:val="none"/>
          <w:lang w:val="zh-CN"/>
        </w:rPr>
        <w:t>经双方签字并加盖公章后生效；补充协议之间如存在冲突的，应以最新签订的为准。</w:t>
      </w:r>
    </w:p>
    <w:p>
      <w:pPr>
        <w:keepNext w:val="0"/>
        <w:keepLines w:val="0"/>
        <w:pageBreakBefore w:val="0"/>
        <w:widowControl/>
        <w:spacing w:line="420" w:lineRule="exact"/>
        <w:ind w:firstLine="420"/>
        <w:rPr>
          <w:color w:val="auto"/>
          <w:highlight w:val="none"/>
        </w:rPr>
      </w:pPr>
      <w:r>
        <w:rPr>
          <w:rFonts w:hint="eastAsia" w:ascii="宋体" w:hAnsi="宋体"/>
          <w:color w:val="auto"/>
          <w:szCs w:val="21"/>
          <w:highlight w:val="none"/>
        </w:rPr>
        <w:t>4、本合同项下各方提供的联系方式系其接收涉讼文书（如有）以及发送的书面文件（包括但不限于催告函、通知函等）的真实有效联系方式，如有变更，应立即通知对方，否则，自行承担不利后果。</w:t>
      </w:r>
    </w:p>
    <w:p>
      <w:pPr>
        <w:keepNext w:val="0"/>
        <w:keepLines w:val="0"/>
        <w:pageBreakBefore w:val="0"/>
        <w:spacing w:line="420" w:lineRule="exact"/>
        <w:outlineLvl w:val="9"/>
        <w:rPr>
          <w:rFonts w:ascii="宋体" w:hAnsi="宋体" w:cs="宋体"/>
          <w:b/>
          <w:color w:val="auto"/>
          <w:szCs w:val="21"/>
          <w:highlight w:val="none"/>
        </w:rPr>
      </w:pPr>
      <w:r>
        <w:rPr>
          <w:rFonts w:hint="eastAsia" w:ascii="宋体" w:hAnsi="宋体" w:cs="宋体"/>
          <w:b/>
          <w:color w:val="auto"/>
          <w:szCs w:val="21"/>
          <w:highlight w:val="none"/>
        </w:rPr>
        <w:t>十、未尽事宜</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未尽事宜应按照《中华人民共和国民法典》、《中华人民共和国政府采购法》等相关法律法规之规定解释。</w:t>
      </w:r>
    </w:p>
    <w:p>
      <w:pPr>
        <w:keepNext w:val="0"/>
        <w:keepLines w:val="0"/>
        <w:pageBreakBefore w:val="0"/>
        <w:spacing w:line="420" w:lineRule="exact"/>
        <w:outlineLvl w:val="9"/>
        <w:rPr>
          <w:rFonts w:ascii="宋体" w:hAnsi="宋体" w:cs="宋体"/>
          <w:b/>
          <w:color w:val="auto"/>
          <w:szCs w:val="21"/>
          <w:highlight w:val="none"/>
        </w:rPr>
      </w:pPr>
      <w:r>
        <w:rPr>
          <w:rFonts w:hint="eastAsia" w:ascii="宋体" w:hAnsi="宋体" w:cs="宋体"/>
          <w:b/>
          <w:color w:val="auto"/>
          <w:szCs w:val="21"/>
          <w:highlight w:val="none"/>
        </w:rPr>
        <w:t>十一、附则</w:t>
      </w:r>
    </w:p>
    <w:p>
      <w:pPr>
        <w:keepNext w:val="0"/>
        <w:keepLines w:val="0"/>
        <w:pageBreakBefore w:val="0"/>
        <w:spacing w:line="420" w:lineRule="exact"/>
        <w:ind w:firstLine="420"/>
        <w:outlineLvl w:val="9"/>
        <w:rPr>
          <w:rFonts w:ascii="宋体" w:hAnsi="宋体" w:cs="宋体"/>
          <w:color w:val="auto"/>
          <w:szCs w:val="21"/>
          <w:highlight w:val="none"/>
        </w:rPr>
      </w:pP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份，政府采购监督管理部门备案，采购代理机构一份。</w:t>
      </w:r>
    </w:p>
    <w:tbl>
      <w:tblPr>
        <w:tblStyle w:val="54"/>
        <w:tblW w:w="0" w:type="auto"/>
        <w:jc w:val="center"/>
        <w:tblLayout w:type="fixed"/>
        <w:tblCellMar>
          <w:top w:w="0" w:type="dxa"/>
          <w:left w:w="108" w:type="dxa"/>
          <w:bottom w:w="0" w:type="dxa"/>
          <w:right w:w="108" w:type="dxa"/>
        </w:tblCellMar>
      </w:tblPr>
      <w:tblGrid>
        <w:gridCol w:w="4402"/>
        <w:gridCol w:w="4402"/>
      </w:tblGrid>
      <w:tr>
        <w:tblPrEx>
          <w:tblCellMar>
            <w:top w:w="0" w:type="dxa"/>
            <w:left w:w="108" w:type="dxa"/>
            <w:bottom w:w="0" w:type="dxa"/>
            <w:right w:w="108" w:type="dxa"/>
          </w:tblCellMar>
        </w:tblPrEx>
        <w:trPr>
          <w:trHeight w:val="442"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r>
              <w:rPr>
                <w:rFonts w:hint="eastAsia" w:ascii="宋体" w:hAnsi="宋体" w:cs="宋体"/>
                <w:color w:val="auto"/>
                <w:szCs w:val="21"/>
                <w:highlight w:val="none"/>
              </w:rPr>
              <w:t>甲方（盖章）：</w:t>
            </w: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r>
              <w:rPr>
                <w:rFonts w:hint="eastAsia" w:ascii="宋体" w:hAnsi="宋体" w:cs="宋体"/>
                <w:color w:val="auto"/>
                <w:szCs w:val="21"/>
                <w:highlight w:val="none"/>
              </w:rPr>
              <w:t>乙方（盖章）：</w:t>
            </w:r>
          </w:p>
        </w:tc>
      </w:tr>
      <w:tr>
        <w:tblPrEx>
          <w:tblCellMar>
            <w:top w:w="0" w:type="dxa"/>
            <w:left w:w="108" w:type="dxa"/>
            <w:bottom w:w="0" w:type="dxa"/>
            <w:right w:w="108" w:type="dxa"/>
          </w:tblCellMar>
        </w:tblPrEx>
        <w:trPr>
          <w:trHeight w:val="459"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r>
              <w:rPr>
                <w:rFonts w:hint="eastAsia" w:ascii="宋体" w:hAnsi="宋体" w:cs="宋体"/>
                <w:color w:val="auto"/>
                <w:szCs w:val="21"/>
                <w:highlight w:val="none"/>
              </w:rPr>
              <w:t>法定（授权）代表人（签字）：</w:t>
            </w: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r>
              <w:rPr>
                <w:rFonts w:hint="eastAsia" w:ascii="宋体" w:hAnsi="宋体" w:cs="宋体"/>
                <w:color w:val="auto"/>
                <w:szCs w:val="21"/>
                <w:highlight w:val="none"/>
              </w:rPr>
              <w:t>法定（授权）代表人（签字）：</w:t>
            </w:r>
          </w:p>
        </w:tc>
      </w:tr>
      <w:tr>
        <w:tblPrEx>
          <w:tblCellMar>
            <w:top w:w="0" w:type="dxa"/>
            <w:left w:w="108" w:type="dxa"/>
            <w:bottom w:w="0" w:type="dxa"/>
            <w:right w:w="108" w:type="dxa"/>
          </w:tblCellMar>
        </w:tblPrEx>
        <w:trPr>
          <w:trHeight w:val="442"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r>
              <w:rPr>
                <w:rFonts w:hint="eastAsia" w:ascii="宋体" w:hAnsi="宋体" w:cs="宋体"/>
                <w:color w:val="auto"/>
                <w:szCs w:val="21"/>
                <w:highlight w:val="none"/>
              </w:rPr>
              <w:t>电话：</w:t>
            </w: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r>
              <w:rPr>
                <w:rFonts w:hint="eastAsia" w:ascii="宋体" w:hAnsi="宋体" w:cs="宋体"/>
                <w:color w:val="auto"/>
                <w:szCs w:val="21"/>
                <w:highlight w:val="none"/>
              </w:rPr>
              <w:t>电话：</w:t>
            </w:r>
          </w:p>
        </w:tc>
      </w:tr>
      <w:tr>
        <w:tblPrEx>
          <w:tblCellMar>
            <w:top w:w="0" w:type="dxa"/>
            <w:left w:w="108" w:type="dxa"/>
            <w:bottom w:w="0" w:type="dxa"/>
            <w:right w:w="108" w:type="dxa"/>
          </w:tblCellMar>
        </w:tblPrEx>
        <w:trPr>
          <w:trHeight w:val="459"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r>
              <w:rPr>
                <w:rFonts w:hint="eastAsia" w:ascii="宋体" w:hAnsi="宋体" w:cs="宋体"/>
                <w:color w:val="auto"/>
                <w:szCs w:val="21"/>
                <w:highlight w:val="none"/>
              </w:rPr>
              <w:t>日期：</w:t>
            </w: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r>
              <w:rPr>
                <w:rFonts w:hint="eastAsia" w:ascii="宋体" w:hAnsi="宋体" w:cs="宋体"/>
                <w:color w:val="auto"/>
                <w:szCs w:val="21"/>
                <w:highlight w:val="none"/>
              </w:rPr>
              <w:t>开户银行：</w:t>
            </w:r>
          </w:p>
        </w:tc>
      </w:tr>
      <w:tr>
        <w:tblPrEx>
          <w:tblCellMar>
            <w:top w:w="0" w:type="dxa"/>
            <w:left w:w="108" w:type="dxa"/>
            <w:bottom w:w="0" w:type="dxa"/>
            <w:right w:w="108" w:type="dxa"/>
          </w:tblCellMar>
        </w:tblPrEx>
        <w:trPr>
          <w:trHeight w:val="234"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r>
              <w:rPr>
                <w:rFonts w:hint="eastAsia" w:ascii="宋体" w:hAnsi="宋体" w:cs="宋体"/>
                <w:color w:val="auto"/>
                <w:szCs w:val="21"/>
                <w:highlight w:val="none"/>
                <w:lang w:eastAsia="zh-CN"/>
              </w:rPr>
              <w:t>账号</w:t>
            </w:r>
            <w:r>
              <w:rPr>
                <w:rFonts w:hint="eastAsia" w:ascii="宋体" w:hAnsi="宋体" w:cs="宋体"/>
                <w:color w:val="auto"/>
                <w:szCs w:val="21"/>
                <w:highlight w:val="none"/>
              </w:rPr>
              <w:t>：</w:t>
            </w:r>
          </w:p>
        </w:tc>
      </w:tr>
      <w:tr>
        <w:tblPrEx>
          <w:tblCellMar>
            <w:top w:w="0" w:type="dxa"/>
            <w:left w:w="108" w:type="dxa"/>
            <w:bottom w:w="0" w:type="dxa"/>
            <w:right w:w="108" w:type="dxa"/>
          </w:tblCellMar>
        </w:tblPrEx>
        <w:trPr>
          <w:trHeight w:val="234" w:hRule="atLeast"/>
          <w:jc w:val="center"/>
        </w:trPr>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p>
        </w:tc>
        <w:tc>
          <w:tcPr>
            <w:tcW w:w="4402" w:type="dxa"/>
            <w:noWrap w:val="0"/>
            <w:vAlign w:val="center"/>
          </w:tcPr>
          <w:p>
            <w:pPr>
              <w:keepNext w:val="0"/>
              <w:keepLines w:val="0"/>
              <w:pageBreakBefore w:val="0"/>
              <w:suppressLineNumbers w:val="0"/>
              <w:spacing w:before="0" w:beforeAutospacing="0" w:after="0" w:afterAutospacing="0" w:line="420" w:lineRule="exact"/>
              <w:ind w:left="0" w:right="0" w:firstLine="420"/>
              <w:outlineLvl w:val="9"/>
              <w:rPr>
                <w:rFonts w:ascii="宋体" w:hAnsi="宋体" w:cs="宋体"/>
                <w:color w:val="auto"/>
                <w:szCs w:val="21"/>
                <w:highlight w:val="none"/>
              </w:rPr>
            </w:pPr>
            <w:r>
              <w:rPr>
                <w:rFonts w:hint="eastAsia" w:ascii="宋体" w:hAnsi="宋体" w:cs="宋体"/>
                <w:color w:val="auto"/>
                <w:szCs w:val="21"/>
                <w:highlight w:val="none"/>
              </w:rPr>
              <w:t>日期：</w:t>
            </w:r>
          </w:p>
        </w:tc>
      </w:tr>
    </w:tbl>
    <w:p>
      <w:pPr>
        <w:spacing w:line="460" w:lineRule="exact"/>
        <w:ind w:firstLine="448" w:firstLineChars="200"/>
        <w:rPr>
          <w:rFonts w:hint="eastAsia" w:ascii="宋体" w:hAnsi="宋体" w:eastAsia="宋体" w:cs="宋体"/>
          <w:color w:val="auto"/>
          <w:sz w:val="22"/>
          <w:szCs w:val="22"/>
          <w:highlight w:val="none"/>
          <w:lang w:val="en-US" w:eastAsia="zh-CN"/>
        </w:rPr>
      </w:pPr>
    </w:p>
    <w:p>
      <w:pPr>
        <w:pStyle w:val="6"/>
        <w:rPr>
          <w:rFonts w:hint="eastAsia" w:ascii="宋体" w:hAnsi="宋体" w:eastAsia="宋体" w:cs="宋体"/>
          <w:color w:val="auto"/>
          <w:sz w:val="36"/>
          <w:szCs w:val="36"/>
          <w:highlight w:val="none"/>
        </w:rPr>
      </w:pPr>
      <w:bookmarkStart w:id="71" w:name="_Toc21106"/>
      <w:bookmarkStart w:id="72" w:name="_Toc5314"/>
      <w:bookmarkStart w:id="73" w:name="_Toc73917580"/>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pStyle w:val="3"/>
        <w:rPr>
          <w:rFonts w:hint="eastAsia"/>
          <w:color w:val="auto"/>
          <w:highlight w:val="none"/>
        </w:rPr>
      </w:pPr>
    </w:p>
    <w:p>
      <w:pPr>
        <w:pStyle w:val="6"/>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第四部分   磋商响应文件格式</w:t>
      </w:r>
      <w:bookmarkEnd w:id="71"/>
      <w:bookmarkEnd w:id="72"/>
      <w:bookmarkEnd w:id="73"/>
    </w:p>
    <w:p>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（资格审查资料封面，供参考）</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磋商响应文件</w:t>
      </w:r>
    </w:p>
    <w:p>
      <w:pPr>
        <w:rPr>
          <w:rFonts w:hint="eastAsia" w:ascii="宋体" w:hAnsi="宋体" w:eastAsia="宋体" w:cs="宋体"/>
          <w:color w:val="auto"/>
          <w:sz w:val="28"/>
          <w:szCs w:val="28"/>
          <w:highlight w:val="none"/>
        </w:rPr>
      </w:pPr>
    </w:p>
    <w:p>
      <w:pPr>
        <w:ind w:firstLine="4260" w:firstLineChars="1500"/>
        <w:rPr>
          <w:rFonts w:hint="eastAsia" w:ascii="宋体" w:hAnsi="宋体" w:eastAsia="宋体" w:cs="宋体"/>
          <w:color w:val="auto"/>
          <w:sz w:val="28"/>
          <w:szCs w:val="28"/>
          <w:highlight w:val="none"/>
          <w:lang w:val="en-US" w:eastAsia="zh-CN"/>
        </w:rPr>
      </w:pPr>
    </w:p>
    <w:p>
      <w:pPr>
        <w:pStyle w:val="3"/>
        <w:ind w:firstLine="281"/>
        <w:rPr>
          <w:rFonts w:hint="eastAsia" w:ascii="宋体" w:hAnsi="宋体" w:eastAsia="宋体" w:cs="宋体"/>
          <w:color w:val="auto"/>
          <w:sz w:val="28"/>
          <w:szCs w:val="28"/>
          <w:highlight w:val="none"/>
        </w:rPr>
      </w:pPr>
    </w:p>
    <w:p>
      <w:pPr>
        <w:pStyle w:val="3"/>
        <w:ind w:firstLine="281"/>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资格审查资料</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（盖章或 </w:t>
      </w:r>
      <w:r>
        <w:rPr>
          <w:rFonts w:hint="eastAsia" w:ascii="宋体" w:hAnsi="宋体" w:eastAsia="宋体" w:cs="宋体"/>
          <w:color w:val="auto"/>
          <w:sz w:val="28"/>
          <w:szCs w:val="28"/>
          <w:highlight w:val="none"/>
          <w:lang w:eastAsia="zh-CN"/>
        </w:rPr>
        <w:t>CA签章</w:t>
      </w:r>
      <w:r>
        <w:rPr>
          <w:rFonts w:hint="eastAsia" w:ascii="宋体" w:hAnsi="宋体" w:eastAsia="宋体" w:cs="宋体"/>
          <w:color w:val="auto"/>
          <w:sz w:val="28"/>
          <w:szCs w:val="28"/>
          <w:highlight w:val="none"/>
        </w:rPr>
        <w:t>）</w:t>
      </w:r>
    </w:p>
    <w:p>
      <w:pPr>
        <w:rPr>
          <w:rFonts w:hint="eastAsia" w:ascii="宋体" w:hAnsi="宋体" w:eastAsia="宋体" w:cs="宋体"/>
          <w:color w:val="auto"/>
          <w:sz w:val="28"/>
          <w:szCs w:val="28"/>
          <w:highlight w:val="none"/>
          <w:u w:val="singl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rPr>
          <w:rFonts w:hint="eastAsia" w:ascii="宋体" w:hAnsi="宋体" w:eastAsia="宋体" w:cs="宋体"/>
          <w:color w:val="auto"/>
          <w:sz w:val="28"/>
          <w:szCs w:val="28"/>
          <w:highlight w:val="none"/>
        </w:rPr>
      </w:pPr>
    </w:p>
    <w:p>
      <w:pPr>
        <w:overflowPunct w:val="0"/>
        <w:spacing w:line="380" w:lineRule="exact"/>
        <w:ind w:firstLine="2777" w:firstLineChars="9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jc w:val="center"/>
        <w:rPr>
          <w:rFonts w:hint="eastAsia" w:ascii="宋体" w:hAnsi="宋体" w:eastAsia="宋体" w:cs="宋体"/>
          <w:b/>
          <w:bCs/>
          <w:color w:val="auto"/>
          <w:sz w:val="52"/>
          <w:szCs w:val="52"/>
          <w:highlight w:val="none"/>
        </w:rPr>
      </w:pPr>
      <w:bookmarkStart w:id="74" w:name="_Toc465107614"/>
      <w:bookmarkStart w:id="75" w:name="_Toc504034734"/>
    </w:p>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    录</w:t>
      </w:r>
    </w:p>
    <w:p>
      <w:pPr>
        <w:pStyle w:val="53"/>
        <w:rPr>
          <w:rFonts w:hint="eastAsia" w:ascii="宋体" w:hAnsi="宋体" w:eastAsia="宋体" w:cs="宋体"/>
          <w:color w:val="auto"/>
          <w:highlight w:val="none"/>
        </w:rPr>
      </w:pPr>
    </w:p>
    <w:p>
      <w:pPr>
        <w:numPr>
          <w:ilvl w:val="0"/>
          <w:numId w:val="11"/>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w:t>
      </w:r>
    </w:p>
    <w:p>
      <w:pPr>
        <w:numPr>
          <w:ilvl w:val="0"/>
          <w:numId w:val="11"/>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营业执照(或事业法人登记证书或其它工商等登记证明材料)</w:t>
      </w:r>
    </w:p>
    <w:p>
      <w:pPr>
        <w:numPr>
          <w:ilvl w:val="0"/>
          <w:numId w:val="11"/>
        </w:numPr>
        <w:shd w:val="clear" w:color="auto" w:fill="auto"/>
        <w:spacing w:before="120" w:beforeLines="50" w:after="120" w:afterLines="5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资格条件承诺函</w:t>
      </w:r>
    </w:p>
    <w:p>
      <w:pPr>
        <w:numPr>
          <w:ilvl w:val="0"/>
          <w:numId w:val="11"/>
        </w:numPr>
        <w:shd w:val="clear" w:color="auto" w:fill="auto"/>
        <w:spacing w:before="120" w:beforeLines="50" w:after="120" w:afterLines="50" w:line="480" w:lineRule="auto"/>
        <w:rPr>
          <w:rFonts w:hint="eastAsia" w:ascii="宋体" w:hAnsi="宋体" w:eastAsia="宋体" w:cs="宋体"/>
          <w:b w:val="0"/>
          <w:color w:val="auto"/>
          <w:sz w:val="22"/>
          <w:szCs w:val="22"/>
          <w:highlight w:val="none"/>
        </w:rPr>
      </w:pPr>
      <w:r>
        <w:rPr>
          <w:rFonts w:hint="eastAsia" w:ascii="宋体" w:hAnsi="宋体" w:eastAsia="宋体" w:cs="宋体"/>
          <w:color w:val="auto"/>
          <w:sz w:val="24"/>
          <w:szCs w:val="24"/>
          <w:highlight w:val="none"/>
        </w:rPr>
        <w:t>申请材料真实性声明</w:t>
      </w:r>
    </w:p>
    <w:p>
      <w:pPr>
        <w:pStyle w:val="6"/>
        <w:spacing w:line="360" w:lineRule="auto"/>
        <w:ind w:left="42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pPr>
        <w:widowControl/>
        <w:adjustRightInd w:val="0"/>
        <w:snapToGrid w:val="0"/>
        <w:spacing w:line="360" w:lineRule="auto"/>
        <w:jc w:val="center"/>
        <w:rPr>
          <w:rFonts w:hint="eastAsia" w:ascii="宋体" w:hAnsi="宋体" w:eastAsia="宋体" w:cs="宋体"/>
          <w:b/>
          <w:color w:val="auto"/>
          <w:kern w:val="0"/>
          <w:sz w:val="28"/>
          <w:szCs w:val="28"/>
          <w:highlight w:val="none"/>
        </w:rPr>
      </w:pPr>
    </w:p>
    <w:p>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一、</w:t>
      </w:r>
      <w:r>
        <w:rPr>
          <w:rFonts w:hint="eastAsia" w:ascii="宋体" w:hAnsi="宋体" w:eastAsia="宋体" w:cs="宋体"/>
          <w:b/>
          <w:color w:val="auto"/>
          <w:kern w:val="0"/>
          <w:sz w:val="28"/>
          <w:szCs w:val="28"/>
          <w:highlight w:val="none"/>
        </w:rPr>
        <w:t>法定代表人授权书</w:t>
      </w:r>
    </w:p>
    <w:p>
      <w:pPr>
        <w:spacing w:line="420" w:lineRule="exact"/>
        <w:rPr>
          <w:rFonts w:hint="eastAsia" w:ascii="宋体" w:hAnsi="宋体" w:eastAsia="宋体" w:cs="宋体"/>
          <w:b/>
          <w:color w:val="auto"/>
          <w:sz w:val="22"/>
          <w:szCs w:val="22"/>
          <w:highlight w:val="none"/>
        </w:rPr>
      </w:pPr>
    </w:p>
    <w:p>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温州市龙湾区发展和改革局</w:t>
      </w:r>
      <w:r>
        <w:rPr>
          <w:rFonts w:hint="eastAsia" w:ascii="宋体" w:hAnsi="宋体" w:eastAsia="宋体" w:cs="宋体"/>
          <w:color w:val="auto"/>
          <w:sz w:val="22"/>
          <w:szCs w:val="22"/>
          <w:highlight w:val="none"/>
        </w:rPr>
        <w:t>:</w:t>
      </w:r>
    </w:p>
    <w:p>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浙江鼎力工程项目管理有限公司</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rPr>
          <w:rFonts w:hint="eastAsia" w:ascii="宋体" w:hAnsi="宋体" w:eastAsia="宋体" w:cs="宋体"/>
          <w:color w:val="auto"/>
          <w:sz w:val="22"/>
          <w:szCs w:val="22"/>
          <w:highlight w:val="none"/>
          <w:u w:val="single"/>
        </w:rPr>
      </w:pPr>
    </w:p>
    <w:p>
      <w:pPr>
        <w:spacing w:line="460" w:lineRule="exact"/>
        <w:ind w:firstLine="56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（供应商全称）</w:t>
      </w: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法定代</w:t>
      </w:r>
      <w:r>
        <w:rPr>
          <w:rFonts w:hint="eastAsia" w:ascii="宋体" w:hAnsi="宋体" w:eastAsia="宋体" w:cs="宋体"/>
          <w:color w:val="auto"/>
          <w:sz w:val="22"/>
          <w:szCs w:val="22"/>
          <w:highlight w:val="none"/>
          <w:u w:val="single"/>
        </w:rPr>
        <w:t>表</w:t>
      </w:r>
      <w:r>
        <w:rPr>
          <w:rFonts w:hint="eastAsia" w:ascii="宋体" w:hAnsi="宋体" w:eastAsia="宋体" w:cs="宋体"/>
          <w:color w:val="auto"/>
          <w:sz w:val="22"/>
          <w:szCs w:val="22"/>
          <w:highlight w:val="none"/>
          <w:u w:val="single"/>
          <w:lang w:val="en-US" w:eastAsia="zh-CN"/>
        </w:rPr>
        <w:t>人</w:t>
      </w:r>
      <w:r>
        <w:rPr>
          <w:rFonts w:hint="eastAsia" w:ascii="宋体" w:hAnsi="宋体" w:eastAsia="宋体" w:cs="宋体"/>
          <w:color w:val="auto"/>
          <w:sz w:val="22"/>
          <w:szCs w:val="22"/>
          <w:highlight w:val="none"/>
          <w:u w:val="single"/>
        </w:rPr>
        <w:t>姓名）</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（全权代表姓名）</w:t>
      </w:r>
      <w:r>
        <w:rPr>
          <w:rFonts w:hint="eastAsia" w:ascii="宋体" w:hAnsi="宋体" w:eastAsia="宋体" w:cs="宋体"/>
          <w:color w:val="auto"/>
          <w:sz w:val="22"/>
          <w:szCs w:val="22"/>
          <w:highlight w:val="none"/>
        </w:rPr>
        <w:t>为全权代表，参加贵处组织的</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（项目名称、项目编号）</w:t>
      </w:r>
      <w:r>
        <w:rPr>
          <w:rFonts w:hint="eastAsia" w:ascii="宋体" w:hAnsi="宋体" w:eastAsia="宋体" w:cs="宋体"/>
          <w:color w:val="auto"/>
          <w:sz w:val="22"/>
          <w:szCs w:val="22"/>
          <w:highlight w:val="none"/>
        </w:rPr>
        <w:t>的采购活动，全权代表我方处理采购活动中的一切事宜。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供应商全称（盖单位公章或 CA 章）：</w:t>
      </w:r>
    </w:p>
    <w:p>
      <w:pPr>
        <w:spacing w:line="460" w:lineRule="exact"/>
        <w:ind w:firstLine="4043"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224"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pPr>
        <w:widowControl/>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widowControl/>
        <w:adjustRightInd w:val="0"/>
        <w:snapToGrid w:val="0"/>
        <w:spacing w:line="360" w:lineRule="auto"/>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5895340" cy="3004185"/>
                <wp:effectExtent l="5080" t="4445" r="5080" b="139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64.2pt;z-index:251659264;mso-width-relative:page;mso-height-relative:page;" fillcolor="#FFFFFF" filled="t" stroked="t" coordsize="21600,21600" o:gfxdata="UEsDBAoAAAAAAIdO4kAAAAAAAAAAAAAAAAAEAAAAZHJzL1BLAwQUAAAACACHTuJAGuvVQtkAAAAJ&#10;AQAADwAAAGRycy9kb3ducmV2LnhtbE2PwU7DMBBE70j8g7VIXBC127RpE+L0gASCWylVubqxm0TY&#10;62C7afl7lhMcZ2c0+6ZaX5xlowmx9yhhOhHADDZe99hK2L0/3a+AxaRQK+vRSPg2Edb19VWlSu3P&#10;+GbGbWoZlWAslYQupaHkPDadcSpO/GCQvKMPTiWSoeU6qDOVO8tnQuTcqR7pQ6cG89iZ5nN7chJW&#10;85fxI75mm32TH22R7pbj81eQ8vZmKh6AJXNJf2H4xSd0qInp4E+oI7OklwUlJSzEAhj5xTzPgB3o&#10;MMty4HXF/y+ofwBQSwMEFAAAAAgAh07iQITPtZczAgAAUwQAAA4AAABkcnMvZTJvRG9jLnhtbK1U&#10;S47UMBDdI3EHy3smH7qHmWjSo2FGjZCGjzRwALfjJBa2y9juTpoDwA1YsWHPufoclJ2epvltEFlY&#10;Llf51atX5VxcjlqRjXBegqlpcZJTIgyHRpqupm/fLB+dUeIDMw1TYERNt8LTy8XDBxeDrUQJPahG&#10;OIIgxleDrWkfgq2yzPNeaOZPwAqDzhacZgFN12WNYwOia5WVeX6aDeAa64AL7/H0ZnLSRcJvW8HD&#10;q7b1IhBVU+QW0urSuoprtrhgVeeY7SXf02D/wEIzaTDpAeqGBUbWTv4GpSV34KENJxx0Bm0ruUg1&#10;YDVF/ks1dz2zItWC4nh7kMn/P1j+cvPaEdnUtKTEMI0t2n3+tPvybff1IymjPIP1FUbdWYwL41MY&#10;sc2pVG9vgb/zxMB1z0wnrpyDoResQXpFvJkdXZ1wfARZDS+gwTxsHSABja3TUTtUgyA6tml7aI0Y&#10;A+F4eFrOZ0Uxp4Sj73Gez4qzecrBqvvr1vnwTIAmcVNTh71P8Gxz60Okw6r7kJjNg5LNUiqVDNet&#10;rpUjG4ZzskzfHv2nMGXIUNPzeRmJaIuqedNNYvwVLU/fn9C0DDj7Suqanh0HKRMpiTS9e+pRySje&#10;JGMYV+O+Mytotqipg2my8SXipgf3gZIBpxoJvl8zJyhRzw325byYzeIzSMZs/qREwx17VsceZjhC&#10;1TRQMm2vw/R01tbJrsdM0yQYuMJetjKpHKlOrPYTgJObxN+/svg0ju0U9eNfsPg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uvVQtkAAAAJAQAADwAAAAAAAAABACAAAAAiAAAAZHJzL2Rvd25yZXYu&#10;eG1sUEsBAhQAFAAAAAgAh07iQITPtZczAgAAUwQAAA4AAAAAAAAAAQAgAAAAKAEAAGRycy9lMm9E&#10;b2MueG1sUEsFBgAAAAAGAAYAWQEAAM0FAAAAAA==&#10;">
                <v:fill on="t" focussize="0,0"/>
                <v:stroke color="#000000" miterlimit="8"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5894070" cy="3913505"/>
                <wp:effectExtent l="4445" t="4445" r="6985"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64.1pt;z-index:251660288;mso-width-relative:page;mso-height-relative:page;" fillcolor="#FFFFFF" filled="t" stroked="t" coordsize="21600,21600" o:gfxdata="UEsDBAoAAAAAAIdO4kAAAAAAAAAAAAAAAAAEAAAAZHJzL1BLAwQUAAAACACHTuJAsepQwdkAAAAJ&#10;AQAADwAAAGRycy9kb3ducmV2LnhtbE2PzU7DMBCE70i8g7VIXBB1fkiahGx6QALBDQqCqxu7SYS9&#10;DrablrfHnOA4mtHMN+3mZDRblPOTJYR0lQBT1Fs50YDw9np/XQHzQZAU2pJC+FYeNt35WSsaaY/0&#10;opZtGFgsId8IhDGEueHc96Mywq/srCh6e+uMCFG6gUsnjrHcaJ4lScmNmCgujGJWd6PqP7cHg1Dd&#10;PC4f/il/fu/Lva7D1Xp5+HKIlxdpcgssqFP4C8MvfkSHLjLt7IGkZxohy+qYRMjXBbDo10WaAtsh&#10;lEVeAe9a/v9B9wNQSwMEFAAAAAgAh07iQEoJ2ggzAgAAUwQAAA4AAABkcnMvZTJvRG9jLnhtbK1U&#10;zY7TMBC+I/EOlu80abct26rpaumqCGn5kRYewHWcxML2GNttsjwA+wacuHDnufocjJ1uiYATIgfL&#10;4xl//uabmayuOq3IQTgvwRR0PMopEYZDKU1d0A/vt88uKfGBmZIpMKKg98LTq/XTJ6vWLsUEGlCl&#10;cARBjF+2tqBNCHaZZZ43QjM/AisMOitwmgU0XZ2VjrWIrlU2yfN51oIrrQMuvMfTm95J1wm/qgQP&#10;b6vKi0BUQZFbSKtL6y6u2XrFlrVjtpH8RIP9AwvNpMFHz1A3LDCyd/IPKC25Aw9VGHHQGVSV5CLl&#10;gNmM89+yuWuYFSkXFMfbs0z+/8HyN4d3jsgSa0eJYRpLdPz6cPz24/j9CxlHeVrrlxh1ZzEudC+g&#10;i6ExVW9vgX/0xMCmYaYW185B2whWIr10Mxtc7XF8BNm1r6HEd9g+QALqKqcjIKpBEB3LdH8ujegC&#10;4Xg4n0zn08WMEo6+i8X4YpbPIruMLR+vW+fDSwGaxE1BHdY+wbPDrQ996GNIog9KllupVDJcvdso&#10;Rw4M+2SbvhO6H4YpQ9qCLmaTSERbVM2buhdjGOaHaHn6/oamZcDeV1IX9HIYpEykJFL3nqhHJaN4&#10;vYyh23WnyuygvEdNHfSdjZOImwbcZ0pa7Gok+GnPnKBEvTJYl8V4Oo1jkIzp7PkEDTf07IYeZjhC&#10;FTRQ0m83oR+dvXWybvClvhMMXGMtK5lUjlR7VlidaGDnpjqdpiyOxtBOUb/+B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epQwdkAAAAJAQAADwAAAAAAAAABACAAAAAiAAAAZHJzL2Rvd25yZXYu&#10;eG1sUEsBAhQAFAAAAAgAh07iQEoJ2ggzAgAAUwQAAA4AAAAAAAAAAQAgAAAAKAEAAGRycy9lMm9E&#10;b2MueG1sUEsFBgAAAAAGAAYAWQEAAM0FAAAAAA==&#10;">
                <v:fill on="t" focussize="0,0"/>
                <v:stroke color="#000000" miterlimit="8"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widowControl/>
        <w:adjustRightInd w:val="0"/>
        <w:snapToGrid w:val="0"/>
        <w:spacing w:line="360" w:lineRule="auto"/>
        <w:rPr>
          <w:rFonts w:hint="eastAsia" w:ascii="宋体" w:hAnsi="宋体" w:eastAsia="宋体" w:cs="宋体"/>
          <w:color w:val="auto"/>
          <w:sz w:val="22"/>
          <w:szCs w:val="22"/>
          <w:highlight w:val="none"/>
        </w:rPr>
      </w:pPr>
    </w:p>
    <w:p>
      <w:pPr>
        <w:widowControl/>
        <w:adjustRightInd w:val="0"/>
        <w:snapToGrid w:val="0"/>
        <w:spacing w:line="360" w:lineRule="auto"/>
        <w:rPr>
          <w:rFonts w:hint="eastAsia" w:ascii="宋体" w:hAnsi="宋体" w:eastAsia="宋体" w:cs="宋体"/>
          <w:color w:val="auto"/>
          <w:sz w:val="22"/>
          <w:szCs w:val="22"/>
          <w:highlight w:val="none"/>
        </w:rPr>
      </w:pPr>
    </w:p>
    <w:p>
      <w:pPr>
        <w:widowControl/>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pStyle w:val="3"/>
        <w:ind w:firstLine="321"/>
        <w:rPr>
          <w:rFonts w:hint="eastAsia" w:ascii="宋体" w:hAnsi="宋体" w:eastAsia="宋体" w:cs="宋体"/>
          <w:b/>
          <w:color w:val="auto"/>
          <w:kern w:val="0"/>
          <w:sz w:val="28"/>
          <w:szCs w:val="28"/>
          <w:highlight w:val="none"/>
          <w:lang w:eastAsia="zh-CN"/>
        </w:rPr>
      </w:pPr>
    </w:p>
    <w:p>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二、</w:t>
      </w:r>
      <w:r>
        <w:rPr>
          <w:rFonts w:hint="eastAsia" w:ascii="宋体" w:hAnsi="宋体" w:eastAsia="宋体" w:cs="宋体"/>
          <w:b/>
          <w:color w:val="auto"/>
          <w:kern w:val="0"/>
          <w:sz w:val="28"/>
          <w:szCs w:val="28"/>
          <w:highlight w:val="none"/>
        </w:rPr>
        <w:t>提供营业执照(或事业法人登记证书或其它工商等登记证明材料)</w:t>
      </w:r>
    </w:p>
    <w:p>
      <w:pPr>
        <w:pStyle w:val="3"/>
        <w:ind w:firstLine="321"/>
        <w:rPr>
          <w:rFonts w:hint="eastAsia" w:ascii="宋体" w:hAnsi="宋体" w:eastAsia="宋体" w:cs="宋体"/>
          <w:b/>
          <w:color w:val="auto"/>
          <w:kern w:val="0"/>
          <w:sz w:val="28"/>
          <w:szCs w:val="28"/>
          <w:highlight w:val="none"/>
          <w:lang w:eastAsia="zh-CN"/>
        </w:rPr>
      </w:pPr>
    </w:p>
    <w:p>
      <w:pPr>
        <w:pStyle w:val="3"/>
        <w:ind w:firstLine="321"/>
        <w:rPr>
          <w:rFonts w:hint="eastAsia" w:ascii="宋体" w:hAnsi="宋体" w:eastAsia="宋体" w:cs="宋体"/>
          <w:b/>
          <w:color w:val="auto"/>
          <w:kern w:val="0"/>
          <w:sz w:val="28"/>
          <w:szCs w:val="28"/>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shd w:val="clear" w:color="auto" w:fill="auto"/>
        <w:jc w:val="cente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28"/>
          <w:szCs w:val="28"/>
          <w:highlight w:val="none"/>
        </w:rPr>
        <w:t>三、</w:t>
      </w:r>
      <w:r>
        <w:rPr>
          <w:rFonts w:hint="eastAsia" w:ascii="宋体" w:hAnsi="宋体" w:eastAsia="宋体" w:cs="宋体"/>
          <w:color w:val="auto"/>
          <w:kern w:val="0"/>
          <w:sz w:val="32"/>
          <w:szCs w:val="32"/>
          <w:highlight w:val="none"/>
          <w:lang w:val="zh-CN"/>
        </w:rPr>
        <w:t>资格条件承诺函</w:t>
      </w:r>
    </w:p>
    <w:p>
      <w:pPr>
        <w:shd w:val="clear" w:color="auto" w:fill="auto"/>
        <w:spacing w:line="440" w:lineRule="exact"/>
        <w:ind w:right="-156" w:rightChars="-73"/>
        <w:rPr>
          <w:rFonts w:hint="eastAsia" w:ascii="宋体" w:hAnsi="宋体" w:eastAsia="宋体" w:cs="宋体"/>
          <w:color w:val="auto"/>
          <w:sz w:val="22"/>
          <w:szCs w:val="22"/>
          <w:highlight w:val="none"/>
        </w:rPr>
      </w:pPr>
    </w:p>
    <w:p>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温州市龙湾区发展和改革局</w:t>
      </w:r>
      <w:r>
        <w:rPr>
          <w:rFonts w:hint="eastAsia" w:ascii="宋体" w:hAnsi="宋体" w:eastAsia="宋体" w:cs="宋体"/>
          <w:color w:val="auto"/>
          <w:sz w:val="22"/>
          <w:szCs w:val="22"/>
          <w:highlight w:val="none"/>
        </w:rPr>
        <w:t>:</w:t>
      </w:r>
    </w:p>
    <w:p>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浙江鼎力工程项目管理有限公司</w:t>
      </w:r>
      <w:r>
        <w:rPr>
          <w:rFonts w:hint="eastAsia" w:ascii="宋体" w:hAnsi="宋体" w:eastAsia="宋体" w:cs="宋体"/>
          <w:color w:val="auto"/>
          <w:sz w:val="22"/>
          <w:szCs w:val="22"/>
          <w:highlight w:val="none"/>
        </w:rPr>
        <w:t>：</w:t>
      </w:r>
    </w:p>
    <w:p>
      <w:pPr>
        <w:shd w:val="clear" w:color="auto" w:fill="auto"/>
        <w:snapToGrid w:val="0"/>
        <w:spacing w:line="440" w:lineRule="exact"/>
        <w:rPr>
          <w:rFonts w:hint="eastAsia" w:ascii="宋体" w:hAnsi="宋体" w:eastAsia="宋体" w:cs="宋体"/>
          <w:color w:val="auto"/>
          <w:sz w:val="22"/>
          <w:szCs w:val="22"/>
          <w:highlight w:val="none"/>
        </w:rPr>
      </w:pPr>
    </w:p>
    <w:p>
      <w:pPr>
        <w:widowControl/>
        <w:shd w:val="clear" w:color="auto" w:fill="auto"/>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（项目名称、项目编号）项目投标，现郑重承诺：</w:t>
      </w:r>
    </w:p>
    <w:p>
      <w:pPr>
        <w:widowControl/>
        <w:shd w:val="clear" w:color="auto" w:fill="auto"/>
        <w:spacing w:line="440" w:lineRule="exact"/>
        <w:ind w:firstLine="448"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1.我方符合《中华人民共和国政府采购法》第二十二条规定的资格条件，即</w:t>
      </w:r>
    </w:p>
    <w:p>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pPr>
        <w:widowControl/>
        <w:shd w:val="clear" w:color="auto" w:fill="auto"/>
        <w:snapToGrid w:val="0"/>
        <w:spacing w:line="440" w:lineRule="exact"/>
        <w:ind w:left="428" w:left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keepNext w:val="0"/>
        <w:keepLines w:val="0"/>
        <w:pageBreakBefore w:val="0"/>
        <w:widowControl w:val="0"/>
        <w:kinsoku/>
        <w:wordWrap/>
        <w:overflowPunct/>
        <w:topLinePunct w:val="0"/>
        <w:bidi w:val="0"/>
        <w:snapToGrid/>
        <w:spacing w:line="400" w:lineRule="exact"/>
        <w:ind w:firstLine="448"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（6）我方符合“</w:t>
      </w:r>
      <w:r>
        <w:rPr>
          <w:rFonts w:hint="eastAsia" w:ascii="宋体" w:hAnsi="宋体" w:eastAsia="宋体" w:cs="宋体"/>
          <w:color w:val="auto"/>
          <w:sz w:val="21"/>
          <w:szCs w:val="21"/>
          <w:highlight w:val="none"/>
          <w:lang w:val="en-US" w:eastAsia="zh-CN"/>
        </w:rPr>
        <w:t>法律</w:t>
      </w:r>
      <w:r>
        <w:rPr>
          <w:rFonts w:hint="eastAsia" w:ascii="宋体" w:hAnsi="宋体" w:eastAsia="宋体" w:cs="宋体"/>
          <w:color w:val="auto"/>
          <w:kern w:val="0"/>
          <w:sz w:val="22"/>
          <w:szCs w:val="22"/>
          <w:highlight w:val="none"/>
        </w:rPr>
        <w:t>、行政法规规定的其他条件”。</w:t>
      </w:r>
    </w:p>
    <w:p>
      <w:pPr>
        <w:widowControl/>
        <w:shd w:val="clear" w:color="auto" w:fill="auto"/>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2.致本项目投标截止时间为止，我方未被“信用中国（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https://www.creditchina.gov.cn/</w:t>
      </w:r>
      <w:r>
        <w:rPr>
          <w:rStyle w:val="65"/>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中国政府采购网（http://www.ccgp.gov.cn）列列入失信被执行人名单、税收违法黑名单、政府采购严重违法失信行为记录名单。</w:t>
      </w:r>
    </w:p>
    <w:p>
      <w:pPr>
        <w:numPr>
          <w:ilvl w:val="0"/>
          <w:numId w:val="0"/>
        </w:numPr>
        <w:autoSpaceDE w:val="0"/>
        <w:autoSpaceDN w:val="0"/>
        <w:adjustRightInd w:val="0"/>
        <w:spacing w:line="420" w:lineRule="atLeast"/>
        <w:ind w:firstLine="448"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zh-CN"/>
        </w:rPr>
        <w:t>在参加本项目前三年内（被通报或者处罚的违法行为有：</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）或（没有因违法经营受到刑事处罚或者责令停产停业、吊销许可证或者执照、较大数额罚款等行政处罚或处罚）或（在</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至</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期间禁止参加政府采购活动但是期限届满，须附相关证明文件）。</w:t>
      </w:r>
    </w:p>
    <w:p>
      <w:pPr>
        <w:widowControl/>
        <w:shd w:val="clear" w:color="auto" w:fill="auto"/>
        <w:snapToGrid w:val="0"/>
        <w:spacing w:line="440" w:lineRule="exact"/>
        <w:ind w:firstLine="448" w:firstLineChars="200"/>
        <w:jc w:val="left"/>
        <w:rPr>
          <w:rFonts w:hint="eastAsia" w:ascii="宋体" w:hAnsi="宋体" w:eastAsia="宋体" w:cs="宋体"/>
          <w:color w:val="auto"/>
          <w:kern w:val="0"/>
          <w:sz w:val="22"/>
          <w:szCs w:val="22"/>
          <w:highlight w:val="none"/>
        </w:rPr>
      </w:pPr>
    </w:p>
    <w:p>
      <w:pPr>
        <w:widowControl/>
        <w:shd w:val="clear" w:color="auto" w:fill="auto"/>
        <w:snapToGrid w:val="0"/>
        <w:spacing w:line="440" w:lineRule="exact"/>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我方任何资格（投标/中标/签订合同）</w:t>
      </w:r>
      <w:r>
        <w:rPr>
          <w:rFonts w:hint="eastAsia" w:ascii="宋体" w:hAnsi="宋体" w:eastAsia="宋体" w:cs="宋体"/>
          <w:color w:val="auto"/>
          <w:sz w:val="22"/>
          <w:szCs w:val="22"/>
          <w:highlight w:val="none"/>
        </w:rPr>
        <w:t>及其他任何形式的处理。</w:t>
      </w:r>
    </w:p>
    <w:p>
      <w:pPr>
        <w:pStyle w:val="30"/>
        <w:shd w:val="clear" w:color="auto" w:fill="auto"/>
        <w:spacing w:line="600" w:lineRule="exact"/>
        <w:ind w:firstLine="4928" w:firstLineChars="2200"/>
        <w:rPr>
          <w:rFonts w:hint="eastAsia" w:ascii="宋体" w:hAnsi="宋体" w:eastAsia="宋体" w:cs="宋体"/>
          <w:color w:val="auto"/>
          <w:sz w:val="22"/>
          <w:szCs w:val="22"/>
          <w:highlight w:val="none"/>
        </w:rPr>
      </w:pPr>
    </w:p>
    <w:p>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投标人全称（盖章或 </w:t>
      </w:r>
      <w:r>
        <w:rPr>
          <w:rFonts w:hint="eastAsia" w:ascii="宋体" w:hAnsi="宋体" w:eastAsia="宋体" w:cs="宋体"/>
          <w:color w:val="auto"/>
          <w:sz w:val="22"/>
          <w:szCs w:val="22"/>
          <w:highlight w:val="none"/>
          <w:lang w:eastAsia="zh-CN"/>
        </w:rPr>
        <w:t>CA签章</w:t>
      </w:r>
      <w:r>
        <w:rPr>
          <w:rFonts w:hint="eastAsia" w:ascii="宋体" w:hAnsi="宋体" w:eastAsia="宋体" w:cs="宋体"/>
          <w:color w:val="auto"/>
          <w:sz w:val="22"/>
          <w:szCs w:val="22"/>
          <w:highlight w:val="none"/>
        </w:rPr>
        <w:t>）：</w:t>
      </w:r>
    </w:p>
    <w:p>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shd w:val="clear" w:color="auto" w:fill="auto"/>
        <w:spacing w:line="380" w:lineRule="exact"/>
        <w:ind w:left="-364" w:leftChars="-171" w:hanging="1"/>
        <w:jc w:val="center"/>
        <w:rPr>
          <w:rFonts w:hint="eastAsia" w:ascii="宋体" w:hAnsi="宋体" w:eastAsia="宋体" w:cs="宋体"/>
          <w:bCs/>
          <w:color w:val="auto"/>
          <w:sz w:val="22"/>
          <w:szCs w:val="22"/>
          <w:highlight w:val="none"/>
        </w:rPr>
      </w:pPr>
    </w:p>
    <w:p>
      <w:pPr>
        <w:shd w:val="clear" w:color="auto" w:fill="auto"/>
        <w:spacing w:line="380" w:lineRule="exact"/>
        <w:ind w:left="-365" w:leftChars="-171" w:firstLine="448" w:firstLineChars="2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u w:val="single"/>
        </w:rPr>
        <w:t>▲不提交本承诺书按无效标处理。</w:t>
      </w:r>
    </w:p>
    <w:p>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p>
    <w:p>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四、申请材料真实性声明</w:t>
      </w:r>
    </w:p>
    <w:p>
      <w:pPr>
        <w:widowControl/>
        <w:shd w:val="clear" w:color="auto" w:fill="auto"/>
        <w:adjustRightInd w:val="0"/>
        <w:snapToGrid w:val="0"/>
        <w:spacing w:line="360" w:lineRule="auto"/>
        <w:jc w:val="center"/>
        <w:rPr>
          <w:rFonts w:hint="eastAsia" w:ascii="宋体" w:hAnsi="宋体" w:eastAsia="宋体" w:cs="宋体"/>
          <w:b/>
          <w:color w:val="auto"/>
          <w:kern w:val="0"/>
          <w:sz w:val="28"/>
          <w:szCs w:val="28"/>
          <w:highlight w:val="none"/>
        </w:rPr>
      </w:pPr>
    </w:p>
    <w:p>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温州市龙湾区发展和改革局</w:t>
      </w:r>
      <w:r>
        <w:rPr>
          <w:rFonts w:hint="eastAsia" w:ascii="宋体" w:hAnsi="宋体" w:eastAsia="宋体" w:cs="宋体"/>
          <w:color w:val="auto"/>
          <w:sz w:val="22"/>
          <w:szCs w:val="22"/>
          <w:highlight w:val="none"/>
        </w:rPr>
        <w:t>:</w:t>
      </w:r>
    </w:p>
    <w:p>
      <w:pPr>
        <w:shd w:val="clear" w:color="auto" w:fill="auto"/>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浙江鼎力工程项目管理有限公司</w:t>
      </w:r>
      <w:r>
        <w:rPr>
          <w:rFonts w:hint="eastAsia" w:ascii="宋体" w:hAnsi="宋体" w:eastAsia="宋体" w:cs="宋体"/>
          <w:color w:val="auto"/>
          <w:sz w:val="22"/>
          <w:szCs w:val="22"/>
          <w:highlight w:val="none"/>
        </w:rPr>
        <w:t>：</w:t>
      </w:r>
    </w:p>
    <w:p>
      <w:pPr>
        <w:widowControl/>
        <w:shd w:val="clear" w:color="auto" w:fill="auto"/>
        <w:adjustRightInd w:val="0"/>
        <w:snapToGrid w:val="0"/>
        <w:spacing w:line="360" w:lineRule="auto"/>
        <w:jc w:val="left"/>
        <w:rPr>
          <w:rFonts w:hint="eastAsia" w:ascii="宋体" w:hAnsi="宋体" w:eastAsia="宋体" w:cs="宋体"/>
          <w:color w:val="auto"/>
          <w:kern w:val="0"/>
          <w:sz w:val="22"/>
          <w:szCs w:val="22"/>
          <w:highlight w:val="none"/>
        </w:rPr>
      </w:pPr>
    </w:p>
    <w:p>
      <w:pPr>
        <w:widowControl/>
        <w:shd w:val="clear" w:color="auto" w:fill="auto"/>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我单位此次响应参与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（项目名称、项目编号）招投标活动</w:t>
      </w:r>
      <w:r>
        <w:rPr>
          <w:rFonts w:hint="eastAsia" w:ascii="宋体" w:hAnsi="宋体" w:eastAsia="宋体" w:cs="宋体"/>
          <w:color w:val="auto"/>
          <w:kern w:val="0"/>
          <w:sz w:val="22"/>
          <w:szCs w:val="22"/>
          <w:highlight w:val="none"/>
        </w:rPr>
        <w:t>所提交的全部材料均真实、合法。如有不实之处，愿负相应的法律责任，并承担由此产生的一切后果。</w:t>
      </w:r>
    </w:p>
    <w:p>
      <w:pPr>
        <w:widowControl/>
        <w:shd w:val="clear" w:color="auto" w:fill="auto"/>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p>
    <w:p>
      <w:pPr>
        <w:widowControl/>
        <w:shd w:val="clear" w:color="auto" w:fill="auto"/>
        <w:adjustRightInd w:val="0"/>
        <w:snapToGrid w:val="0"/>
        <w:spacing w:line="360" w:lineRule="auto"/>
        <w:ind w:firstLine="448"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特此声明。</w:t>
      </w:r>
    </w:p>
    <w:p>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投标人全称（盖章或 </w:t>
      </w:r>
      <w:r>
        <w:rPr>
          <w:rFonts w:hint="eastAsia" w:ascii="宋体" w:hAnsi="宋体" w:eastAsia="宋体" w:cs="宋体"/>
          <w:color w:val="auto"/>
          <w:sz w:val="22"/>
          <w:szCs w:val="22"/>
          <w:highlight w:val="none"/>
          <w:lang w:eastAsia="zh-CN"/>
        </w:rPr>
        <w:t>CA签章</w:t>
      </w:r>
      <w:r>
        <w:rPr>
          <w:rFonts w:hint="eastAsia" w:ascii="宋体" w:hAnsi="宋体" w:eastAsia="宋体" w:cs="宋体"/>
          <w:color w:val="auto"/>
          <w:sz w:val="22"/>
          <w:szCs w:val="22"/>
          <w:highlight w:val="none"/>
        </w:rPr>
        <w:t>）：</w:t>
      </w:r>
    </w:p>
    <w:p>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pPr>
        <w:shd w:val="clear" w:color="auto" w:fill="auto"/>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pStyle w:val="6"/>
        <w:shd w:val="clear" w:color="auto" w:fill="auto"/>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3"/>
        <w:shd w:val="clear" w:color="auto" w:fill="auto"/>
        <w:ind w:firstLine="200"/>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3"/>
        <w:shd w:val="clear" w:color="auto" w:fill="auto"/>
        <w:ind w:firstLine="200"/>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bCs/>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3"/>
        <w:rPr>
          <w:rFonts w:hint="eastAsia" w:ascii="宋体" w:hAnsi="宋体" w:eastAsia="宋体" w:cs="宋体"/>
          <w:color w:val="auto"/>
          <w:highlight w:val="none"/>
        </w:rPr>
      </w:pPr>
    </w:p>
    <w:p>
      <w:pPr>
        <w:pStyle w:val="6"/>
        <w:jc w:val="left"/>
        <w:rPr>
          <w:rFonts w:hint="eastAsia" w:ascii="宋体" w:hAnsi="宋体" w:eastAsia="宋体" w:cs="宋体"/>
          <w:color w:val="auto"/>
          <w:sz w:val="22"/>
          <w:szCs w:val="22"/>
          <w:highlight w:val="none"/>
        </w:rPr>
      </w:pPr>
      <w:r>
        <w:rPr>
          <w:rFonts w:hint="eastAsia" w:ascii="宋体" w:hAnsi="宋体" w:eastAsia="宋体" w:cs="宋体"/>
          <w:b w:val="0"/>
          <w:color w:val="auto"/>
          <w:szCs w:val="21"/>
          <w:highlight w:val="none"/>
        </w:rPr>
        <w:br w:type="page"/>
      </w:r>
      <w:r>
        <w:rPr>
          <w:rFonts w:hint="eastAsia" w:ascii="宋体" w:hAnsi="宋体" w:eastAsia="宋体" w:cs="宋体"/>
          <w:color w:val="auto"/>
          <w:sz w:val="22"/>
          <w:szCs w:val="22"/>
          <w:highlight w:val="non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（商务技术标封面，供参考）</w:t>
      </w:r>
      <w:bookmarkEnd w:id="74"/>
      <w:bookmarkEnd w:id="75"/>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rPr>
        <w:t>磋商响应文件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
        <w:ind w:firstLine="281"/>
        <w:jc w:val="center"/>
        <w:rPr>
          <w:rFonts w:hint="eastAsia" w:ascii="宋体" w:hAnsi="宋体" w:eastAsia="宋体" w:cs="宋体"/>
          <w:color w:val="auto"/>
          <w:sz w:val="28"/>
          <w:szCs w:val="28"/>
          <w:highlight w:val="none"/>
          <w:lang w:val="en-US" w:eastAsia="zh-CN"/>
        </w:rPr>
      </w:pPr>
    </w:p>
    <w:p>
      <w:pPr>
        <w:pStyle w:val="3"/>
        <w:ind w:firstLine="281"/>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商 务 技 术 标</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pStyle w:val="3"/>
        <w:ind w:firstLine="321"/>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（盖章或 </w:t>
      </w:r>
      <w:r>
        <w:rPr>
          <w:rFonts w:hint="eastAsia" w:ascii="宋体" w:hAnsi="宋体" w:eastAsia="宋体" w:cs="宋体"/>
          <w:color w:val="auto"/>
          <w:sz w:val="28"/>
          <w:szCs w:val="28"/>
          <w:highlight w:val="none"/>
          <w:lang w:eastAsia="zh-CN"/>
        </w:rPr>
        <w:t>CA签章</w:t>
      </w:r>
      <w:r>
        <w:rPr>
          <w:rFonts w:hint="eastAsia" w:ascii="宋体" w:hAnsi="宋体" w:eastAsia="宋体" w:cs="宋体"/>
          <w:color w:val="auto"/>
          <w:sz w:val="28"/>
          <w:szCs w:val="28"/>
          <w:highlight w:val="none"/>
        </w:rPr>
        <w:t>）</w:t>
      </w:r>
    </w:p>
    <w:p>
      <w:pPr>
        <w:rPr>
          <w:rFonts w:hint="eastAsia" w:ascii="宋体" w:hAnsi="宋体" w:eastAsia="宋体" w:cs="宋体"/>
          <w:color w:val="auto"/>
          <w:sz w:val="28"/>
          <w:szCs w:val="28"/>
          <w:highlight w:val="none"/>
          <w:u w:val="singl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3"/>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bCs/>
          <w:color w:val="auto"/>
          <w:sz w:val="52"/>
          <w:szCs w:val="52"/>
          <w:highlight w:val="none"/>
        </w:rPr>
      </w:pPr>
      <w:bookmarkStart w:id="76" w:name="_Toc465107615"/>
      <w:bookmarkStart w:id="77" w:name="_Toc152042576"/>
      <w:bookmarkStart w:id="78" w:name="_Toc247527827"/>
      <w:bookmarkStart w:id="79" w:name="_Toc144974856"/>
      <w:bookmarkStart w:id="80" w:name="_Toc152045787"/>
      <w:bookmarkStart w:id="81" w:name="_Toc247514246"/>
    </w:p>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    录</w:t>
      </w:r>
      <w:bookmarkEnd w:id="76"/>
      <w:bookmarkEnd w:id="77"/>
      <w:bookmarkEnd w:id="78"/>
      <w:bookmarkEnd w:id="79"/>
      <w:bookmarkEnd w:id="80"/>
      <w:bookmarkEnd w:id="81"/>
    </w:p>
    <w:p>
      <w:pPr>
        <w:pStyle w:val="2"/>
        <w:rPr>
          <w:rFonts w:hint="eastAsia" w:ascii="宋体" w:hAnsi="宋体" w:eastAsia="宋体" w:cs="宋体"/>
          <w:color w:val="auto"/>
          <w:highlight w:val="none"/>
        </w:rPr>
      </w:pPr>
    </w:p>
    <w:p>
      <w:pPr>
        <w:pStyle w:val="316"/>
        <w:numPr>
          <w:ilvl w:val="0"/>
          <w:numId w:val="12"/>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磋商</w:t>
      </w:r>
      <w:r>
        <w:rPr>
          <w:rFonts w:hint="eastAsia" w:ascii="宋体" w:hAnsi="宋体" w:eastAsia="宋体" w:cs="宋体"/>
          <w:color w:val="auto"/>
          <w:sz w:val="22"/>
          <w:szCs w:val="22"/>
          <w:highlight w:val="none"/>
        </w:rPr>
        <w:t>函</w:t>
      </w:r>
    </w:p>
    <w:p>
      <w:pPr>
        <w:pStyle w:val="316"/>
        <w:numPr>
          <w:ilvl w:val="0"/>
          <w:numId w:val="12"/>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技术条款偏离表</w:t>
      </w:r>
      <w:r>
        <w:rPr>
          <w:rFonts w:hint="eastAsia" w:ascii="宋体" w:hAnsi="宋体" w:eastAsia="宋体" w:cs="宋体"/>
          <w:color w:val="auto"/>
          <w:sz w:val="22"/>
          <w:szCs w:val="22"/>
          <w:highlight w:val="none"/>
        </w:rPr>
        <w:t>、商务条款偏离表</w:t>
      </w:r>
    </w:p>
    <w:p>
      <w:pPr>
        <w:pStyle w:val="316"/>
        <w:numPr>
          <w:ilvl w:val="0"/>
          <w:numId w:val="12"/>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商务资信（本部分为</w:t>
      </w:r>
      <w:r>
        <w:rPr>
          <w:rFonts w:hint="eastAsia" w:ascii="宋体" w:hAnsi="宋体" w:eastAsia="宋体" w:cs="宋体"/>
          <w:color w:val="auto"/>
          <w:sz w:val="22"/>
          <w:szCs w:val="22"/>
          <w:highlight w:val="none"/>
          <w:lang w:val="en-US" w:eastAsia="zh-CN"/>
        </w:rPr>
        <w:t>商务</w:t>
      </w:r>
      <w:r>
        <w:rPr>
          <w:rFonts w:hint="eastAsia" w:ascii="宋体" w:hAnsi="宋体" w:eastAsia="宋体" w:cs="宋体"/>
          <w:color w:val="auto"/>
          <w:sz w:val="22"/>
          <w:szCs w:val="22"/>
          <w:highlight w:val="none"/>
        </w:rPr>
        <w:t>资信分评分内容，各供应商根据自身情况提供）</w:t>
      </w:r>
    </w:p>
    <w:p>
      <w:pPr>
        <w:pStyle w:val="316"/>
        <w:numPr>
          <w:ilvl w:val="0"/>
          <w:numId w:val="12"/>
        </w:numPr>
        <w:spacing w:line="540" w:lineRule="exact"/>
        <w:ind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技术</w:t>
      </w:r>
      <w:r>
        <w:rPr>
          <w:rFonts w:hint="eastAsia" w:ascii="宋体" w:hAnsi="宋体" w:eastAsia="宋体" w:cs="宋体"/>
          <w:color w:val="auto"/>
          <w:sz w:val="22"/>
          <w:szCs w:val="22"/>
          <w:highlight w:val="none"/>
        </w:rPr>
        <w:t>（本部分为技术评分内容，各供应商根据自身情况提供）</w:t>
      </w:r>
    </w:p>
    <w:p>
      <w:pPr>
        <w:spacing w:line="540" w:lineRule="exact"/>
        <w:rPr>
          <w:rFonts w:hint="eastAsia" w:ascii="宋体" w:hAnsi="宋体" w:eastAsia="宋体" w:cs="宋体"/>
          <w:b/>
          <w:bCs/>
          <w:color w:val="auto"/>
          <w:sz w:val="22"/>
          <w:szCs w:val="22"/>
          <w:highlight w:val="none"/>
        </w:rPr>
      </w:pPr>
    </w:p>
    <w:p>
      <w:pPr>
        <w:spacing w:line="540" w:lineRule="exact"/>
        <w:rPr>
          <w:rFonts w:hint="eastAsia" w:ascii="宋体" w:hAnsi="宋体" w:eastAsia="宋体" w:cs="宋体"/>
          <w:b/>
          <w:bCs/>
          <w:color w:val="auto"/>
          <w:sz w:val="22"/>
          <w:szCs w:val="22"/>
          <w:highlight w:val="none"/>
        </w:rPr>
      </w:pPr>
    </w:p>
    <w:p>
      <w:pPr>
        <w:pStyle w:val="3"/>
        <w:ind w:firstLine="321"/>
        <w:rPr>
          <w:rFonts w:hint="eastAsia" w:ascii="宋体" w:hAnsi="宋体" w:eastAsia="宋体" w:cs="宋体"/>
          <w:color w:val="auto"/>
          <w:highlight w:val="none"/>
        </w:rPr>
      </w:pPr>
    </w:p>
    <w:p>
      <w:pPr>
        <w:pStyle w:val="3"/>
        <w:ind w:firstLine="32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ind w:firstLine="321"/>
        <w:rPr>
          <w:rFonts w:hint="eastAsia" w:ascii="宋体" w:hAnsi="宋体" w:eastAsia="宋体" w:cs="宋体"/>
          <w:color w:val="auto"/>
          <w:highlight w:val="none"/>
        </w:rPr>
      </w:pPr>
    </w:p>
    <w:p>
      <w:pPr>
        <w:spacing w:line="5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pPr>
        <w:spacing w:line="460" w:lineRule="exact"/>
        <w:ind w:left="22" w:hanging="22" w:hangingChars="8"/>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磋商</w:t>
      </w:r>
      <w:r>
        <w:rPr>
          <w:rFonts w:hint="eastAsia" w:ascii="宋体" w:hAnsi="宋体" w:eastAsia="宋体" w:cs="宋体"/>
          <w:b/>
          <w:bCs/>
          <w:color w:val="auto"/>
          <w:sz w:val="28"/>
          <w:szCs w:val="28"/>
          <w:highlight w:val="none"/>
        </w:rPr>
        <w:t>函</w:t>
      </w:r>
    </w:p>
    <w:p>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温州市龙湾区发展和改革局</w:t>
      </w:r>
      <w:r>
        <w:rPr>
          <w:rFonts w:hint="eastAsia" w:ascii="宋体" w:hAnsi="宋体" w:eastAsia="宋体" w:cs="宋体"/>
          <w:color w:val="auto"/>
          <w:sz w:val="22"/>
          <w:szCs w:val="22"/>
          <w:highlight w:val="none"/>
        </w:rPr>
        <w:t>：</w:t>
      </w:r>
    </w:p>
    <w:p>
      <w:pPr>
        <w:spacing w:line="42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浙江鼎力工程项目管理有限公司</w:t>
      </w:r>
      <w:r>
        <w:rPr>
          <w:rFonts w:hint="eastAsia" w:ascii="宋体" w:hAnsi="宋体" w:eastAsia="宋体" w:cs="宋体"/>
          <w:color w:val="auto"/>
          <w:sz w:val="22"/>
          <w:szCs w:val="22"/>
          <w:highlight w:val="none"/>
        </w:rPr>
        <w:t>：</w:t>
      </w:r>
    </w:p>
    <w:p>
      <w:pPr>
        <w:spacing w:line="420" w:lineRule="exact"/>
        <w:ind w:firstLine="4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（供应商名称）作为供应商正式授权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（授权代表全名，职务）代表我方处理有关本项目投标的一切事宜。</w:t>
      </w:r>
    </w:p>
    <w:p>
      <w:pPr>
        <w:autoSpaceDE w:val="0"/>
        <w:autoSpaceDN w:val="0"/>
        <w:adjustRightInd w:val="0"/>
        <w:spacing w:line="420" w:lineRule="atLeast"/>
        <w:ind w:firstLine="428"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在此提交的磋商响应文件中，包括如下内容：</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电子磋商响应文件，按政采云平台项目采购-电子招投标操作指南及本竞争性磋商采购文件要求制作。</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以介质存储的数据电文形式的备份磋商响应文件，按政采云平台项目采购-电子招投标操作指南中上传的电子磋商响应文件格式，以U盘形式提供，数量为1份。</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我方己完全明白竞争性磋商文件的所有条款要求，并重申以下几点：</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已详细阅读全部竞争性磋商文件，包括竞争性磋商文件补充文件（如果有，包括相关的补充、更正、澄清公告和文件）、参考资料及有关附件，确认无误。我方完全理解并接受竞争性磋商文件的各项规定和要求。</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同意提供按照贵方可能要求的与投标有关的一切数据或资料等。若贵方需要，我方愿意提供我方作出的一切承诺的证明材料。</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如中标，保证按照竞争性磋商文件要求及磋商响应文件的承诺与采购人签订合同，保证履行合同条款。</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、提供编制和提交投标文件须知规定的全部投标文件，包括资格文件、报价文件、商务技术文件。具体内容为：</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（1）资格文件</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（4）编制和提交投标文件须知要求投标人提交的全部文件；</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（5）按招标文件要求提供和交付的货物和服务的投标报价详见开标一览表；</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（6）保证忠实地执行双方所签订的合同，并承担合同规定的责任和义务；</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（7）保证遵守招标文件中的其他有关规定。</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投标有效期内不撤销投标文件，如中标，有效期将延至合同终止日为止。</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、我方完全理解贵方不一定要接受最低价的投标。</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、如中标，按招标文件规定与招标人签订合同。如拒绝签订合同，承诺按本项目预算金额的2%对招标人进行赔偿；赔偿金额不足以弥补招标人损失的，承诺继续承担超过部分的损失。</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、如中标，按招标文件规定的招标代理服务费标准，在领取中标通知书时向招标代理机构支付招标代理服务费。</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、我方愿意向贵方提供任何与该项投标有关的数据、情况和服务资料。若贵方需要，我方愿意提供我方作出的一切承诺的证明材料。</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、我方已详细审核全部招标文件，包括招标文件修改书（如有的话）、参考资料及有关附件，确认无误。我方完全理解并接受招标文件的各项规定和要求，对招标文件的合理性、合法性不再有异议。</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（2）采取不正当手段诋毁、排挤其他投标人的；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（3）与招标人、其它投标人或者招标代理机构恶意串通的；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（4）向招标人、招标代理机构行贿或者提供其他不正当利益的；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（5）在招标采购过程中与招标人进行协商谈判的；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（6）拒绝有关部门监督检查或提供虚假情况的。</w:t>
      </w:r>
    </w:p>
    <w:p>
      <w:pPr>
        <w:keepNext w:val="0"/>
        <w:keepLines w:val="0"/>
        <w:pageBreakBefore w:val="0"/>
        <w:widowControl w:val="0"/>
        <w:kinsoku/>
        <w:wordWrap/>
        <w:overflowPunct/>
        <w:topLinePunct w:val="0"/>
        <w:bidi w:val="0"/>
        <w:snapToGrid/>
        <w:spacing w:line="400" w:lineRule="exact"/>
        <w:ind w:firstLine="42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投标人有前款第（1）至（</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）项情形之一的，中标、成交无效。</w:t>
      </w:r>
    </w:p>
    <w:p>
      <w:pPr>
        <w:numPr>
          <w:ilvl w:val="0"/>
          <w:numId w:val="0"/>
        </w:numPr>
        <w:autoSpaceDE w:val="0"/>
        <w:autoSpaceDN w:val="0"/>
        <w:adjustRightInd w:val="0"/>
        <w:spacing w:line="420" w:lineRule="atLeast"/>
        <w:ind w:left="440" w:leftChars="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zh-CN"/>
        </w:rPr>
        <w:t>所有与本投标有关的函件请发往下列地址：</w:t>
      </w:r>
    </w:p>
    <w:p>
      <w:pPr>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spacing w:line="42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spacing w:line="420" w:lineRule="exact"/>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spacing w:line="420" w:lineRule="exact"/>
        <w:ind w:firstLine="749" w:firstLineChars="35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line="420" w:lineRule="exact"/>
        <w:ind w:firstLine="435"/>
        <w:rPr>
          <w:rFonts w:hint="eastAsia" w:ascii="宋体" w:hAnsi="宋体" w:eastAsia="宋体" w:cs="宋体"/>
          <w:color w:val="auto"/>
          <w:sz w:val="22"/>
          <w:szCs w:val="22"/>
          <w:highlight w:val="none"/>
        </w:rPr>
      </w:pPr>
    </w:p>
    <w:p>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460" w:lineRule="exact"/>
        <w:ind w:firstLine="462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p>
    <w:p>
      <w:pPr>
        <w:spacing w:line="460" w:lineRule="exact"/>
        <w:ind w:firstLine="4620"/>
        <w:rPr>
          <w:rFonts w:hint="eastAsia" w:ascii="宋体" w:hAnsi="宋体" w:eastAsia="宋体" w:cs="宋体"/>
          <w:color w:val="auto"/>
          <w:sz w:val="22"/>
          <w:szCs w:val="22"/>
          <w:highlight w:val="none"/>
          <w:u w:val="single"/>
        </w:rPr>
      </w:pPr>
    </w:p>
    <w:p>
      <w:pPr>
        <w:spacing w:line="460" w:lineRule="exact"/>
        <w:rPr>
          <w:rFonts w:hint="eastAsia" w:ascii="宋体" w:hAnsi="宋体" w:eastAsia="宋体" w:cs="宋体"/>
          <w:bCs/>
          <w:color w:val="auto"/>
          <w:szCs w:val="21"/>
          <w:highlight w:val="none"/>
        </w:rPr>
      </w:pPr>
      <w:r>
        <w:rPr>
          <w:rFonts w:hint="eastAsia" w:ascii="宋体" w:hAnsi="宋体" w:eastAsia="宋体" w:cs="宋体"/>
          <w:b/>
          <w:color w:val="auto"/>
          <w:sz w:val="22"/>
          <w:szCs w:val="22"/>
          <w:highlight w:val="none"/>
          <w:u w:val="single"/>
        </w:rPr>
        <w:t>▲不提供投标函的磋商响应文件将被视为未实质性响应竞争性磋商文件。</w:t>
      </w:r>
    </w:p>
    <w:p>
      <w:pPr>
        <w:pStyle w:val="53"/>
        <w:rPr>
          <w:rFonts w:hint="eastAsia" w:ascii="宋体" w:hAnsi="宋体" w:eastAsia="宋体" w:cs="宋体"/>
          <w:color w:val="auto"/>
          <w:highlight w:val="none"/>
        </w:rPr>
      </w:pPr>
    </w:p>
    <w:p>
      <w:pPr>
        <w:rPr>
          <w:rFonts w:hint="eastAsia" w:ascii="宋体" w:hAnsi="宋体" w:eastAsia="宋体" w:cs="宋体"/>
          <w:bCs/>
          <w:color w:val="auto"/>
          <w:szCs w:val="21"/>
          <w:highlight w:val="none"/>
        </w:rPr>
      </w:pPr>
    </w:p>
    <w:p>
      <w:pPr>
        <w:spacing w:line="400" w:lineRule="exact"/>
        <w:jc w:val="center"/>
        <w:rPr>
          <w:rFonts w:hint="eastAsia" w:ascii="宋体" w:hAnsi="宋体" w:eastAsia="宋体" w:cs="宋体"/>
          <w:b/>
          <w:bCs/>
          <w:color w:val="auto"/>
          <w:sz w:val="28"/>
          <w:szCs w:val="28"/>
          <w:highlight w:val="none"/>
        </w:rPr>
        <w:sectPr>
          <w:headerReference r:id="rId10" w:type="first"/>
          <w:footerReference r:id="rId12" w:type="first"/>
          <w:headerReference r:id="rId9" w:type="default"/>
          <w:footerReference r:id="rId11" w:type="default"/>
          <w:pgSz w:w="11906" w:h="16838"/>
          <w:pgMar w:top="1134" w:right="1247" w:bottom="1134" w:left="1474" w:header="680" w:footer="907" w:gutter="0"/>
          <w:pgBorders>
            <w:top w:val="none" w:sz="0" w:space="0"/>
            <w:left w:val="none" w:sz="0" w:space="0"/>
            <w:bottom w:val="none" w:sz="0" w:space="0"/>
            <w:right w:val="none" w:sz="0" w:space="0"/>
          </w:pgBorders>
          <w:cols w:space="720" w:num="1"/>
          <w:docGrid w:type="linesAndChars" w:linePitch="286" w:charSpace="855"/>
        </w:sect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附件二</w:t>
      </w:r>
    </w:p>
    <w:p>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二、供应商基本情况表</w:t>
      </w:r>
    </w:p>
    <w:tbl>
      <w:tblPr>
        <w:tblStyle w:val="54"/>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手机号码</w:t>
            </w:r>
          </w:p>
        </w:tc>
        <w:tc>
          <w:tcPr>
            <w:tcW w:w="2588"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固定电话</w:t>
            </w:r>
          </w:p>
        </w:tc>
        <w:tc>
          <w:tcPr>
            <w:tcW w:w="1502"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w:t>
            </w:r>
          </w:p>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61"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61"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vAlign w:val="center"/>
          </w:tcPr>
          <w:p>
            <w:pPr>
              <w:keepNext w:val="0"/>
              <w:keepLines w:val="0"/>
              <w:suppressLineNumbers w:val="0"/>
              <w:spacing w:before="0" w:beforeAutospacing="0" w:after="0" w:afterAutospacing="0" w:line="480" w:lineRule="exact"/>
              <w:ind w:left="0" w:right="0" w:firstLine="1568" w:firstLineChars="700"/>
              <w:jc w:val="center"/>
              <w:rPr>
                <w:rFonts w:hint="eastAsia" w:ascii="宋体" w:hAnsi="宋体" w:eastAsia="宋体" w:cs="宋体"/>
                <w:color w:val="auto"/>
                <w:sz w:val="22"/>
                <w:szCs w:val="22"/>
                <w:highlight w:val="none"/>
              </w:rPr>
            </w:pPr>
          </w:p>
        </w:tc>
        <w:tc>
          <w:tcPr>
            <w:tcW w:w="3703" w:type="dxa"/>
            <w:gridSpan w:val="4"/>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总产值</w:t>
            </w:r>
          </w:p>
        </w:tc>
        <w:tc>
          <w:tcPr>
            <w:tcW w:w="1488" w:type="dxa"/>
            <w:vAlign w:val="center"/>
          </w:tcPr>
          <w:p>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c>
          <w:tcPr>
            <w:tcW w:w="1470"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总产值</w:t>
            </w:r>
          </w:p>
        </w:tc>
        <w:tc>
          <w:tcPr>
            <w:tcW w:w="1106"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689"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3703" w:type="dxa"/>
            <w:gridSpan w:val="4"/>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8"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502"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实现利润</w:t>
            </w:r>
          </w:p>
        </w:tc>
        <w:tc>
          <w:tcPr>
            <w:tcW w:w="1488" w:type="dxa"/>
            <w:vAlign w:val="center"/>
          </w:tcPr>
          <w:p>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c>
          <w:tcPr>
            <w:tcW w:w="1470"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实现利润</w:t>
            </w:r>
          </w:p>
        </w:tc>
        <w:tc>
          <w:tcPr>
            <w:tcW w:w="1106"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p>
            <w:pPr>
              <w:keepNext w:val="0"/>
              <w:keepLines w:val="0"/>
              <w:suppressLineNumbers w:val="0"/>
              <w:spacing w:before="0" w:beforeAutospacing="0" w:after="0" w:afterAutospacing="0" w:line="480" w:lineRule="exact"/>
              <w:ind w:left="0" w:right="0" w:firstLine="672" w:firstLineChars="3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728"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w:t>
            </w:r>
          </w:p>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来源</w:t>
            </w:r>
          </w:p>
        </w:tc>
        <w:tc>
          <w:tcPr>
            <w:tcW w:w="1487" w:type="dxa"/>
            <w:gridSpan w:val="2"/>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50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统一代码</w:t>
            </w:r>
          </w:p>
        </w:tc>
        <w:tc>
          <w:tcPr>
            <w:tcW w:w="4064" w:type="dxa"/>
            <w:gridSpan w:val="4"/>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115" w:type="dxa"/>
            <w:vMerge w:val="continue"/>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689" w:type="dxa"/>
            <w:vMerge w:val="continue"/>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728" w:type="dxa"/>
            <w:vMerge w:val="continue"/>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487" w:type="dxa"/>
            <w:gridSpan w:val="2"/>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c>
          <w:tcPr>
            <w:tcW w:w="1502" w:type="dxa"/>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注册资金</w:t>
            </w:r>
          </w:p>
        </w:tc>
        <w:tc>
          <w:tcPr>
            <w:tcW w:w="4064" w:type="dxa"/>
            <w:gridSpan w:val="4"/>
            <w:tcBorders>
              <w:bottom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restart"/>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原值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万元</w:t>
            </w:r>
          </w:p>
          <w:p>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净值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万元</w:t>
            </w:r>
          </w:p>
        </w:tc>
        <w:tc>
          <w:tcPr>
            <w:tcW w:w="728" w:type="dxa"/>
            <w:vMerge w:val="restart"/>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w:t>
            </w:r>
          </w:p>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性质</w:t>
            </w:r>
          </w:p>
        </w:tc>
        <w:tc>
          <w:tcPr>
            <w:tcW w:w="1487" w:type="dxa"/>
            <w:gridSpan w:val="2"/>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开户银行</w:t>
            </w:r>
          </w:p>
        </w:tc>
        <w:tc>
          <w:tcPr>
            <w:tcW w:w="4064" w:type="dxa"/>
            <w:gridSpan w:val="4"/>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115"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689"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728"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487" w:type="dxa"/>
            <w:gridSpan w:val="2"/>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keepNext w:val="0"/>
              <w:keepLines w:val="0"/>
              <w:suppressLineNumbers w:val="0"/>
              <w:spacing w:before="0" w:beforeAutospacing="0" w:after="0" w:afterAutospacing="0" w:line="480" w:lineRule="exact"/>
              <w:ind w:left="0" w:right="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c>
          <w:tcPr>
            <w:tcW w:w="150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账号</w:t>
            </w:r>
          </w:p>
        </w:tc>
        <w:tc>
          <w:tcPr>
            <w:tcW w:w="4064" w:type="dxa"/>
            <w:gridSpan w:val="4"/>
          </w:tcPr>
          <w:p>
            <w:pPr>
              <w:keepNext w:val="0"/>
              <w:keepLines w:val="0"/>
              <w:suppressLineNumbers w:val="0"/>
              <w:spacing w:before="0" w:beforeAutospacing="0" w:after="0" w:afterAutospacing="0" w:line="480" w:lineRule="exact"/>
              <w:ind w:left="0" w:right="0"/>
              <w:rPr>
                <w:rFonts w:hint="eastAsia" w:ascii="宋体" w:hAnsi="宋体" w:eastAsia="宋体" w:cs="宋体"/>
                <w:color w:val="auto"/>
                <w:sz w:val="22"/>
                <w:szCs w:val="22"/>
                <w:highlight w:val="none"/>
              </w:rPr>
            </w:pPr>
          </w:p>
        </w:tc>
      </w:tr>
    </w:tbl>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投标人全称（盖章或 CA 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法定代表人（负责人）或委托代理人（签字或盖章）：</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pPr>
        <w:pStyle w:val="53"/>
        <w:rPr>
          <w:rFonts w:hint="eastAsia" w:ascii="宋体" w:hAnsi="宋体" w:eastAsia="宋体" w:cs="宋体"/>
          <w:color w:val="auto"/>
          <w:highlight w:val="none"/>
        </w:rPr>
        <w:sectPr>
          <w:pgSz w:w="16838" w:h="11906" w:orient="landscape"/>
          <w:pgMar w:top="1474" w:right="1134" w:bottom="1247" w:left="1134" w:header="680" w:footer="907" w:gutter="0"/>
          <w:pgBorders>
            <w:top w:val="none" w:sz="0" w:space="0"/>
            <w:left w:val="none" w:sz="0" w:space="0"/>
            <w:bottom w:val="none" w:sz="0" w:space="0"/>
            <w:right w:val="none" w:sz="0" w:space="0"/>
          </w:pgBorders>
          <w:cols w:space="0" w:num="1"/>
          <w:rtlGutter w:val="0"/>
          <w:docGrid w:type="linesAndChars" w:linePitch="287" w:charSpace="855"/>
        </w:sect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三</w:t>
      </w:r>
    </w:p>
    <w:p>
      <w:pPr>
        <w:spacing w:line="46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 xml:space="preserve"> (1)</w:t>
      </w:r>
      <w:r>
        <w:rPr>
          <w:rFonts w:hint="eastAsia" w:ascii="宋体" w:hAnsi="宋体" w:eastAsia="宋体" w:cs="宋体"/>
          <w:b/>
          <w:bCs/>
          <w:color w:val="auto"/>
          <w:sz w:val="28"/>
          <w:szCs w:val="28"/>
          <w:highlight w:val="none"/>
          <w:lang w:eastAsia="zh-CN"/>
        </w:rPr>
        <w:t>技术条款偏离表</w:t>
      </w:r>
    </w:p>
    <w:p>
      <w:pPr>
        <w:ind w:firstLine="435"/>
        <w:jc w:val="center"/>
        <w:rPr>
          <w:rFonts w:hint="eastAsia" w:ascii="宋体" w:hAnsi="宋体" w:eastAsia="宋体" w:cs="宋体"/>
          <w:b/>
          <w:color w:val="auto"/>
          <w:sz w:val="44"/>
          <w:highlight w:val="none"/>
        </w:rPr>
      </w:pPr>
    </w:p>
    <w:p>
      <w:pPr>
        <w:overflowPunct w:val="0"/>
        <w:spacing w:line="3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
          <w:color w:val="auto"/>
          <w:sz w:val="24"/>
          <w:highlight w:val="none"/>
        </w:rPr>
        <w:t xml:space="preserve">   </w:t>
      </w:r>
      <w:r>
        <w:rPr>
          <w:rFonts w:hint="eastAsia" w:ascii="宋体" w:hAnsi="宋体" w:eastAsia="宋体" w:cs="宋体"/>
          <w:bCs/>
          <w:color w:val="auto"/>
          <w:sz w:val="22"/>
          <w:szCs w:val="22"/>
          <w:highlight w:val="none"/>
        </w:rPr>
        <w:t>项目名称：                                      项目编号：</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single"/>
          <w:lang w:val="en-US" w:eastAsia="zh-CN"/>
        </w:rPr>
        <w:t xml:space="preserve"> </w:t>
      </w:r>
    </w:p>
    <w:p>
      <w:pPr>
        <w:ind w:firstLine="361" w:firstLineChars="150"/>
        <w:rPr>
          <w:rFonts w:hint="eastAsia" w:ascii="宋体" w:hAnsi="宋体" w:eastAsia="宋体" w:cs="宋体"/>
          <w:b/>
          <w:color w:val="auto"/>
          <w:sz w:val="24"/>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采购文件技术要求</w:t>
            </w: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投标供应商技术响应</w:t>
            </w: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w:t>
            </w: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5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不填写此表视作完全响应采购文件要求。</w:t>
      </w:r>
    </w:p>
    <w:p>
      <w:pPr>
        <w:spacing w:line="400" w:lineRule="exact"/>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p>
    <w:p>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400" w:lineRule="exact"/>
        <w:rPr>
          <w:rFonts w:hint="eastAsia" w:ascii="宋体" w:hAnsi="宋体" w:eastAsia="宋体" w:cs="宋体"/>
          <w:color w:val="auto"/>
          <w:sz w:val="22"/>
          <w:szCs w:val="22"/>
          <w:highlight w:val="none"/>
        </w:rPr>
      </w:pPr>
    </w:p>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500" w:lineRule="exact"/>
        <w:jc w:val="center"/>
        <w:rPr>
          <w:rFonts w:hint="eastAsia" w:ascii="宋体" w:hAnsi="宋体" w:eastAsia="宋体" w:cs="宋体"/>
          <w:color w:val="auto"/>
          <w:sz w:val="24"/>
          <w:highlight w:val="none"/>
        </w:rPr>
      </w:pPr>
    </w:p>
    <w:p>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(2)商务条款偏离表</w:t>
      </w:r>
    </w:p>
    <w:p>
      <w:pPr>
        <w:ind w:firstLine="435"/>
        <w:jc w:val="center"/>
        <w:rPr>
          <w:rFonts w:hint="eastAsia" w:ascii="宋体" w:hAnsi="宋体" w:eastAsia="宋体" w:cs="宋体"/>
          <w:b/>
          <w:color w:val="auto"/>
          <w:sz w:val="44"/>
          <w:highlight w:val="none"/>
        </w:rPr>
      </w:pPr>
    </w:p>
    <w:p>
      <w:pPr>
        <w:overflowPunct w:val="0"/>
        <w:spacing w:line="3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
          <w:color w:val="auto"/>
          <w:sz w:val="22"/>
          <w:szCs w:val="22"/>
          <w:highlight w:val="none"/>
        </w:rPr>
        <w:t xml:space="preserve">  </w:t>
      </w:r>
      <w:r>
        <w:rPr>
          <w:rFonts w:hint="eastAsia" w:ascii="宋体" w:hAnsi="宋体" w:eastAsia="宋体" w:cs="宋体"/>
          <w:bCs/>
          <w:color w:val="auto"/>
          <w:sz w:val="22"/>
          <w:szCs w:val="22"/>
          <w:highlight w:val="none"/>
        </w:rPr>
        <w:t>项目名称：                                      项目编号：</w:t>
      </w:r>
      <w:r>
        <w:rPr>
          <w:rFonts w:hint="eastAsia" w:ascii="宋体" w:hAnsi="宋体" w:eastAsia="宋体" w:cs="宋体"/>
          <w:bCs/>
          <w:color w:val="auto"/>
          <w:sz w:val="22"/>
          <w:szCs w:val="22"/>
          <w:highlight w:val="none"/>
          <w:lang w:val="en-US" w:eastAsia="zh-CN"/>
        </w:rPr>
        <w:t xml:space="preserve">       </w:t>
      </w:r>
    </w:p>
    <w:p>
      <w:pPr>
        <w:ind w:firstLine="221" w:firstLineChars="100"/>
        <w:rPr>
          <w:rFonts w:hint="eastAsia" w:ascii="宋体" w:hAnsi="宋体" w:eastAsia="宋体" w:cs="宋体"/>
          <w:b/>
          <w:color w:val="auto"/>
          <w:sz w:val="22"/>
          <w:szCs w:val="22"/>
          <w:highlight w:val="none"/>
        </w:rPr>
      </w:pPr>
    </w:p>
    <w:tbl>
      <w:tblPr>
        <w:tblStyle w:val="54"/>
        <w:tblW w:w="95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33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条款内容</w:t>
            </w: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采购文件商务条款描述</w:t>
            </w: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磋商响应文件商务条款</w:t>
            </w: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偏离</w:t>
            </w: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55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218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4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3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pPr>
        <w:spacing w:line="500" w:lineRule="exact"/>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rPr>
        <w:t>说明：</w:t>
      </w:r>
      <w:r>
        <w:rPr>
          <w:rFonts w:hint="eastAsia" w:ascii="宋体" w:hAnsi="宋体" w:eastAsia="宋体" w:cs="宋体"/>
          <w:color w:val="auto"/>
          <w:sz w:val="22"/>
          <w:szCs w:val="22"/>
          <w:highlight w:val="none"/>
        </w:rPr>
        <w:t>不填写此表视作完全响应采购文件要求。</w:t>
      </w:r>
    </w:p>
    <w:p>
      <w:pPr>
        <w:spacing w:line="500" w:lineRule="exact"/>
        <w:ind w:firstLine="4400" w:firstLineChars="2000"/>
        <w:rPr>
          <w:rFonts w:hint="eastAsia" w:ascii="宋体" w:hAnsi="宋体" w:eastAsia="宋体" w:cs="宋体"/>
          <w:color w:val="auto"/>
          <w:sz w:val="22"/>
          <w:szCs w:val="22"/>
          <w:highlight w:val="none"/>
        </w:rPr>
      </w:pPr>
    </w:p>
    <w:p>
      <w:pPr>
        <w:spacing w:line="500" w:lineRule="exact"/>
        <w:ind w:firstLine="4400" w:firstLineChars="2000"/>
        <w:rPr>
          <w:rFonts w:hint="eastAsia" w:ascii="宋体" w:hAnsi="宋体" w:eastAsia="宋体" w:cs="宋体"/>
          <w:color w:val="auto"/>
          <w:sz w:val="22"/>
          <w:szCs w:val="22"/>
          <w:highlight w:val="none"/>
        </w:rPr>
      </w:pPr>
    </w:p>
    <w:p>
      <w:pPr>
        <w:spacing w:line="500" w:lineRule="exact"/>
        <w:ind w:firstLine="4400" w:firstLineChars="2000"/>
        <w:rPr>
          <w:rFonts w:hint="eastAsia" w:ascii="宋体" w:hAnsi="宋体" w:eastAsia="宋体" w:cs="宋体"/>
          <w:color w:val="auto"/>
          <w:sz w:val="22"/>
          <w:szCs w:val="22"/>
          <w:highlight w:val="none"/>
        </w:rPr>
      </w:pPr>
    </w:p>
    <w:p>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tabs>
          <w:tab w:val="left" w:pos="840"/>
        </w:tabs>
        <w:adjustRightInd w:val="0"/>
        <w:snapToGrid w:val="0"/>
        <w:spacing w:line="360" w:lineRule="auto"/>
        <w:ind w:left="420" w:leftChars="200" w:firstLine="330" w:firstLineChars="150"/>
        <w:rPr>
          <w:rFonts w:hint="eastAsia" w:ascii="宋体" w:hAnsi="宋体" w:eastAsia="宋体" w:cs="宋体"/>
          <w:color w:val="auto"/>
          <w:sz w:val="22"/>
          <w:szCs w:val="22"/>
          <w:highlight w:val="none"/>
        </w:rPr>
      </w:pPr>
    </w:p>
    <w:p>
      <w:pPr>
        <w:pStyle w:val="3"/>
        <w:spacing w:before="72"/>
        <w:ind w:left="745" w:firstLine="221"/>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rPr>
        <w:br w:type="page"/>
      </w:r>
    </w:p>
    <w:p>
      <w:pPr>
        <w:tabs>
          <w:tab w:val="left" w:pos="780"/>
        </w:tabs>
        <w:spacing w:line="400" w:lineRule="exact"/>
        <w:ind w:left="180"/>
        <w:rPr>
          <w:rFonts w:hint="eastAsia" w:ascii="宋体" w:hAnsi="宋体" w:eastAsia="宋体" w:cs="宋体"/>
          <w:b/>
          <w:bCs/>
          <w:color w:val="auto"/>
          <w:sz w:val="22"/>
          <w:szCs w:val="22"/>
          <w:highlight w:val="none"/>
        </w:rPr>
      </w:pPr>
    </w:p>
    <w:p>
      <w:pPr>
        <w:tabs>
          <w:tab w:val="left" w:pos="780"/>
        </w:tabs>
        <w:spacing w:line="400" w:lineRule="exact"/>
        <w:ind w:left="18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四</w:t>
      </w:r>
    </w:p>
    <w:p>
      <w:pPr>
        <w:rPr>
          <w:rFonts w:hint="eastAsia" w:ascii="宋体" w:hAnsi="宋体" w:eastAsia="宋体" w:cs="宋体"/>
          <w:color w:val="auto"/>
          <w:sz w:val="22"/>
          <w:szCs w:val="22"/>
          <w:highlight w:val="none"/>
        </w:rPr>
      </w:pPr>
    </w:p>
    <w:p>
      <w:pPr>
        <w:tabs>
          <w:tab w:val="left" w:pos="1620"/>
        </w:tabs>
        <w:spacing w:line="460" w:lineRule="exact"/>
        <w:jc w:val="center"/>
        <w:outlineLvl w:val="4"/>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①项目负责人资格情况表</w:t>
      </w:r>
    </w:p>
    <w:p>
      <w:pPr>
        <w:adjustRightInd w:val="0"/>
        <w:snapToGrid w:val="0"/>
        <w:spacing w:line="360" w:lineRule="auto"/>
        <w:rPr>
          <w:rFonts w:hint="eastAsia" w:ascii="宋体" w:hAnsi="宋体" w:eastAsia="宋体" w:cs="宋体"/>
          <w:b/>
          <w:bCs/>
          <w:color w:val="auto"/>
          <w:sz w:val="32"/>
          <w:highlight w:val="none"/>
        </w:rPr>
      </w:pPr>
      <w:r>
        <w:rPr>
          <w:rFonts w:hint="eastAsia" w:ascii="宋体" w:hAnsi="宋体" w:eastAsia="宋体" w:cs="宋体"/>
          <w:b/>
          <w:color w:val="auto"/>
          <w:sz w:val="22"/>
          <w:highlight w:val="none"/>
        </w:rPr>
        <w:t>项目名称：                                           项目编号：</w:t>
      </w:r>
      <w:r>
        <w:rPr>
          <w:rFonts w:hint="eastAsia" w:ascii="宋体" w:hAnsi="宋体" w:eastAsia="宋体" w:cs="宋体"/>
          <w:color w:val="auto"/>
          <w:highlight w:val="none"/>
        </w:rPr>
        <w:t xml:space="preserve">     </w:t>
      </w:r>
    </w:p>
    <w:tbl>
      <w:tblPr>
        <w:tblStyle w:val="54"/>
        <w:tblW w:w="926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33"/>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74" w:type="dxa"/>
            <w:noWrap w:val="0"/>
            <w:vAlign w:val="center"/>
          </w:tcPr>
          <w:p>
            <w:pPr>
              <w:pStyle w:val="420"/>
              <w:keepNext w:val="0"/>
              <w:keepLines w:val="0"/>
              <w:suppressLineNumbers w:val="0"/>
              <w:autoSpaceDE w:val="0"/>
              <w:autoSpaceDN w:val="0"/>
              <w:adjustRightInd w:val="0"/>
              <w:spacing w:before="0" w:beforeAutospacing="0" w:after="0" w:afterAutospacing="0" w:line="240" w:lineRule="auto"/>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姓名</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noWrap w:val="0"/>
            <w:vAlign w:val="center"/>
          </w:tcPr>
          <w:p>
            <w:pPr>
              <w:pStyle w:val="420"/>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val="zh-CN"/>
              </w:rPr>
            </w:pPr>
            <w:r>
              <w:rPr>
                <w:rFonts w:hint="eastAsia" w:ascii="宋体" w:hAnsi="宋体" w:eastAsia="宋体" w:cs="宋体"/>
                <w:color w:val="auto"/>
                <w:kern w:val="0"/>
                <w:sz w:val="22"/>
                <w:szCs w:val="22"/>
                <w:highlight w:val="none"/>
              </w:rPr>
              <w:t>自</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日以来负责的相关项目经验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性别</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restart"/>
            <w:noWrap w:val="0"/>
            <w:vAlign w:val="center"/>
          </w:tcPr>
          <w:p>
            <w:pPr>
              <w:pStyle w:val="421"/>
              <w:keepNext w:val="0"/>
              <w:keepLines w:val="0"/>
              <w:widowControl w:val="0"/>
              <w:suppressLineNumbers w:val="0"/>
              <w:autoSpaceDE w:val="0"/>
              <w:autoSpaceDN w:val="0"/>
              <w:adjustRightInd w:val="0"/>
              <w:spacing w:before="0" w:beforeAutospacing="0" w:after="0" w:afterAutospacing="0" w:line="360" w:lineRule="auto"/>
              <w:ind w:left="0" w:righ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注：相关项目经验应提供旁证材料</w:t>
            </w: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年龄</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职称</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毕业院校系及专业</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毕业时间</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联系电话</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最近一年工作单位</w:t>
            </w:r>
          </w:p>
        </w:tc>
        <w:tc>
          <w:tcPr>
            <w:tcW w:w="1833" w:type="dxa"/>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c>
          <w:tcPr>
            <w:tcW w:w="5462" w:type="dxa"/>
            <w:vMerge w:val="continue"/>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7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拟在本项目中担任主要工作</w:t>
            </w:r>
          </w:p>
        </w:tc>
        <w:tc>
          <w:tcPr>
            <w:tcW w:w="7295" w:type="dxa"/>
            <w:gridSpan w:val="2"/>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zh-CN"/>
              </w:rPr>
            </w:pPr>
          </w:p>
        </w:tc>
      </w:tr>
    </w:tbl>
    <w:p>
      <w:pPr>
        <w:spacing w:before="240" w:beforeLines="100" w:after="120" w:afterLines="50"/>
        <w:rPr>
          <w:rFonts w:hint="eastAsia" w:ascii="宋体" w:hAnsi="宋体" w:eastAsia="宋体" w:cs="宋体"/>
          <w:b/>
          <w:bCs/>
          <w:color w:val="auto"/>
          <w:sz w:val="22"/>
          <w:szCs w:val="22"/>
          <w:highlight w:val="none"/>
        </w:rPr>
      </w:pPr>
    </w:p>
    <w:p>
      <w:pPr>
        <w:pStyle w:val="3"/>
        <w:ind w:firstLine="321"/>
        <w:rPr>
          <w:rFonts w:hint="eastAsia" w:ascii="宋体" w:hAnsi="宋体" w:eastAsia="宋体" w:cs="宋体"/>
          <w:color w:val="auto"/>
          <w:highlight w:val="none"/>
        </w:rPr>
      </w:pPr>
    </w:p>
    <w:p>
      <w:pPr>
        <w:pStyle w:val="3"/>
        <w:ind w:firstLine="321"/>
        <w:rPr>
          <w:rFonts w:hint="eastAsia" w:ascii="宋体" w:hAnsi="宋体" w:eastAsia="宋体" w:cs="宋体"/>
          <w:color w:val="auto"/>
          <w:highlight w:val="none"/>
        </w:rPr>
      </w:pPr>
    </w:p>
    <w:p>
      <w:pPr>
        <w:pStyle w:val="3"/>
        <w:ind w:firstLine="321"/>
        <w:rPr>
          <w:rFonts w:hint="eastAsia" w:ascii="宋体" w:hAnsi="宋体" w:eastAsia="宋体" w:cs="宋体"/>
          <w:color w:val="auto"/>
          <w:highlight w:val="none"/>
        </w:rPr>
      </w:pPr>
    </w:p>
    <w:p>
      <w:pPr>
        <w:pStyle w:val="3"/>
        <w:ind w:firstLine="321"/>
        <w:rPr>
          <w:rFonts w:hint="eastAsia" w:ascii="宋体" w:hAnsi="宋体" w:eastAsia="宋体" w:cs="宋体"/>
          <w:color w:val="auto"/>
          <w:highlight w:val="none"/>
        </w:rPr>
      </w:pPr>
    </w:p>
    <w:p>
      <w:pPr>
        <w:pStyle w:val="3"/>
        <w:ind w:firstLine="321"/>
        <w:rPr>
          <w:rFonts w:hint="eastAsia" w:ascii="宋体" w:hAnsi="宋体" w:eastAsia="宋体" w:cs="宋体"/>
          <w:color w:val="auto"/>
          <w:highlight w:val="none"/>
        </w:rPr>
      </w:pPr>
    </w:p>
    <w:p>
      <w:pPr>
        <w:pStyle w:val="3"/>
        <w:ind w:firstLine="321"/>
        <w:rPr>
          <w:rFonts w:hint="eastAsia" w:ascii="宋体" w:hAnsi="宋体" w:eastAsia="宋体" w:cs="宋体"/>
          <w:color w:val="auto"/>
          <w:highlight w:val="none"/>
        </w:rPr>
      </w:pPr>
    </w:p>
    <w:p>
      <w:pPr>
        <w:tabs>
          <w:tab w:val="left" w:pos="1620"/>
        </w:tabs>
        <w:spacing w:line="460" w:lineRule="exact"/>
        <w:jc w:val="center"/>
        <w:outlineLvl w:val="4"/>
        <w:rPr>
          <w:rFonts w:hint="eastAsia" w:ascii="宋体" w:hAnsi="宋体" w:eastAsia="宋体" w:cs="宋体"/>
          <w:b/>
          <w:bCs/>
          <w:color w:val="auto"/>
          <w:sz w:val="22"/>
          <w:szCs w:val="22"/>
          <w:highlight w:val="none"/>
        </w:rPr>
      </w:pPr>
    </w:p>
    <w:p>
      <w:pPr>
        <w:tabs>
          <w:tab w:val="left" w:pos="1620"/>
        </w:tabs>
        <w:spacing w:line="460" w:lineRule="exact"/>
        <w:jc w:val="center"/>
        <w:outlineLvl w:val="4"/>
        <w:rPr>
          <w:rFonts w:hint="eastAsia" w:ascii="宋体" w:hAnsi="宋体" w:eastAsia="宋体" w:cs="宋体"/>
          <w:b/>
          <w:bCs/>
          <w:color w:val="auto"/>
          <w:sz w:val="22"/>
          <w:szCs w:val="22"/>
          <w:highlight w:val="none"/>
        </w:rPr>
      </w:pPr>
    </w:p>
    <w:p>
      <w:pPr>
        <w:tabs>
          <w:tab w:val="left" w:pos="1620"/>
        </w:tabs>
        <w:spacing w:line="460" w:lineRule="exact"/>
        <w:jc w:val="center"/>
        <w:outlineLvl w:val="4"/>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②项目服务人员汇总表</w:t>
      </w:r>
    </w:p>
    <w:p>
      <w:pPr>
        <w:spacing w:line="360" w:lineRule="auto"/>
        <w:rPr>
          <w:rFonts w:hint="eastAsia" w:ascii="宋体" w:hAnsi="宋体" w:eastAsia="宋体" w:cs="宋体"/>
          <w:bCs/>
          <w:color w:val="auto"/>
          <w:highlight w:val="none"/>
        </w:rPr>
      </w:pPr>
      <w:r>
        <w:rPr>
          <w:rFonts w:hint="eastAsia" w:ascii="宋体" w:hAnsi="宋体" w:eastAsia="宋体" w:cs="宋体"/>
          <w:b/>
          <w:color w:val="auto"/>
          <w:sz w:val="22"/>
          <w:highlight w:val="none"/>
        </w:rPr>
        <w:t>项目名称：                                      项目编号：</w:t>
      </w:r>
      <w:r>
        <w:rPr>
          <w:rFonts w:hint="eastAsia" w:ascii="宋体" w:hAnsi="宋体" w:eastAsia="宋体" w:cs="宋体"/>
          <w:color w:val="auto"/>
          <w:highlight w:val="none"/>
        </w:rPr>
        <w:t xml:space="preserve">                                                </w:t>
      </w:r>
    </w:p>
    <w:tbl>
      <w:tblPr>
        <w:tblStyle w:val="5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姓名</w:t>
            </w:r>
          </w:p>
        </w:tc>
        <w:tc>
          <w:tcPr>
            <w:tcW w:w="25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本项目主要工作</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年龄</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性别</w:t>
            </w:r>
          </w:p>
        </w:tc>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专业</w:t>
            </w:r>
          </w:p>
        </w:tc>
        <w:tc>
          <w:tcPr>
            <w:tcW w:w="10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专业</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年限</w:t>
            </w:r>
          </w:p>
        </w:tc>
        <w:tc>
          <w:tcPr>
            <w:tcW w:w="145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职务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和职称/认证</w:t>
            </w:r>
          </w:p>
        </w:tc>
        <w:tc>
          <w:tcPr>
            <w:tcW w:w="14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到现场服务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5250" w:right="0"/>
              <w:rPr>
                <w:rFonts w:hint="eastAsia" w:ascii="宋体" w:hAnsi="宋体" w:eastAsia="宋体" w:cs="宋体"/>
                <w:color w:val="auto"/>
                <w:spacing w:val="12"/>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5250" w:right="0"/>
              <w:rPr>
                <w:rFonts w:hint="eastAsia" w:ascii="宋体" w:hAnsi="宋体" w:eastAsia="宋体" w:cs="宋体"/>
                <w:color w:val="auto"/>
                <w:spacing w:val="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5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422"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p>
    <w:p>
      <w:pPr>
        <w:pStyle w:val="7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3"/>
        <w:rPr>
          <w:rFonts w:hint="eastAsia" w:ascii="宋体" w:hAnsi="宋体" w:eastAsia="宋体" w:cs="宋体"/>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五</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类似项目业绩</w:t>
      </w:r>
    </w:p>
    <w:p>
      <w:pPr>
        <w:rPr>
          <w:rFonts w:hint="eastAsia" w:ascii="宋体" w:hAnsi="宋体" w:eastAsia="宋体" w:cs="宋体"/>
          <w:color w:val="auto"/>
          <w:highlight w:val="none"/>
        </w:rPr>
      </w:pPr>
    </w:p>
    <w:tbl>
      <w:tblPr>
        <w:tblStyle w:val="54"/>
        <w:tblW w:w="941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34"/>
        <w:gridCol w:w="1699"/>
        <w:gridCol w:w="1528"/>
        <w:gridCol w:w="1206"/>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85"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序号</w:t>
            </w:r>
          </w:p>
        </w:tc>
        <w:tc>
          <w:tcPr>
            <w:tcW w:w="1634"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项目名称</w:t>
            </w:r>
          </w:p>
        </w:tc>
        <w:tc>
          <w:tcPr>
            <w:tcW w:w="1699"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用户单位</w:t>
            </w:r>
          </w:p>
        </w:tc>
        <w:tc>
          <w:tcPr>
            <w:tcW w:w="1528"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合同金额</w:t>
            </w:r>
          </w:p>
        </w:tc>
        <w:tc>
          <w:tcPr>
            <w:tcW w:w="1206"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合同日期</w:t>
            </w:r>
          </w:p>
        </w:tc>
        <w:tc>
          <w:tcPr>
            <w:tcW w:w="2461" w:type="dxa"/>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85"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34"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699"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528"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1206"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c>
          <w:tcPr>
            <w:tcW w:w="2461" w:type="dxa"/>
          </w:tcPr>
          <w:p>
            <w:pPr>
              <w:keepNext w:val="0"/>
              <w:keepLines w:val="0"/>
              <w:suppressLineNumbers w:val="0"/>
              <w:spacing w:before="0" w:beforeAutospacing="0" w:after="0" w:afterAutospacing="0"/>
              <w:ind w:left="107" w:right="0"/>
              <w:rPr>
                <w:rFonts w:hint="eastAsia" w:ascii="宋体" w:hAnsi="宋体" w:eastAsia="宋体" w:cs="宋体"/>
                <w:color w:val="auto"/>
                <w:highlight w:val="none"/>
              </w:rPr>
            </w:pPr>
          </w:p>
        </w:tc>
      </w:tr>
    </w:tbl>
    <w:p>
      <w:pPr>
        <w:tabs>
          <w:tab w:val="left" w:pos="5536"/>
        </w:tabs>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80" w:lineRule="exact"/>
        <w:rPr>
          <w:rFonts w:hint="eastAsia" w:ascii="宋体" w:hAnsi="宋体" w:eastAsia="宋体" w:cs="宋体"/>
          <w:color w:val="auto"/>
          <w:sz w:val="22"/>
          <w:szCs w:val="22"/>
          <w:highlight w:val="none"/>
        </w:rPr>
      </w:pPr>
    </w:p>
    <w:p>
      <w:pPr>
        <w:pStyle w:val="3"/>
        <w:spacing w:before="72"/>
        <w:ind w:left="745" w:firstLine="221"/>
        <w:rPr>
          <w:rFonts w:hint="eastAsia" w:ascii="宋体" w:hAnsi="宋体" w:eastAsia="宋体" w:cs="宋体"/>
          <w:color w:val="auto"/>
          <w:sz w:val="22"/>
          <w:szCs w:val="22"/>
          <w:highlight w:val="none"/>
        </w:rPr>
      </w:pPr>
    </w:p>
    <w:p>
      <w:pPr>
        <w:tabs>
          <w:tab w:val="left" w:pos="840"/>
        </w:tabs>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shd w:val="clear" w:color="auto" w:fill="auto"/>
        <w:spacing w:line="400" w:lineRule="exact"/>
        <w:ind w:firstLine="734" w:firstLineChars="334"/>
        <w:rPr>
          <w:rFonts w:hint="eastAsia" w:ascii="宋体" w:hAnsi="宋体" w:eastAsia="宋体" w:cs="宋体"/>
          <w:color w:val="auto"/>
          <w:sz w:val="22"/>
          <w:szCs w:val="22"/>
          <w:highlight w:val="none"/>
        </w:rPr>
      </w:pPr>
    </w:p>
    <w:p>
      <w:pPr>
        <w:shd w:val="clear" w:color="auto" w:fill="auto"/>
        <w:spacing w:line="400" w:lineRule="exact"/>
        <w:ind w:firstLine="734" w:firstLineChars="334"/>
        <w:rPr>
          <w:rFonts w:hint="eastAsia" w:ascii="宋体" w:hAnsi="宋体" w:eastAsia="宋体" w:cs="宋体"/>
          <w:color w:val="auto"/>
          <w:sz w:val="22"/>
          <w:szCs w:val="22"/>
          <w:highlight w:val="none"/>
        </w:rPr>
      </w:pPr>
    </w:p>
    <w:p>
      <w:pPr>
        <w:shd w:val="clear" w:color="auto" w:fill="auto"/>
        <w:spacing w:line="400" w:lineRule="exact"/>
        <w:ind w:firstLine="734" w:firstLineChars="334"/>
        <w:rPr>
          <w:rFonts w:hint="eastAsia" w:ascii="宋体" w:hAnsi="宋体" w:eastAsia="宋体" w:cs="宋体"/>
          <w:color w:val="auto"/>
          <w:sz w:val="22"/>
          <w:szCs w:val="22"/>
          <w:highlight w:val="none"/>
        </w:rPr>
      </w:pPr>
    </w:p>
    <w:p>
      <w:pPr>
        <w:shd w:val="clear" w:color="auto" w:fill="auto"/>
        <w:spacing w:line="460" w:lineRule="exact"/>
        <w:jc w:val="center"/>
        <w:rPr>
          <w:rFonts w:hint="eastAsia" w:ascii="宋体" w:hAnsi="宋体" w:eastAsia="宋体" w:cs="宋体"/>
          <w:bCs/>
          <w:color w:val="auto"/>
          <w:sz w:val="28"/>
          <w:szCs w:val="28"/>
          <w:highlight w:val="none"/>
        </w:rPr>
      </w:pPr>
    </w:p>
    <w:p>
      <w:pPr>
        <w:shd w:val="clear" w:color="auto" w:fill="auto"/>
        <w:spacing w:line="460" w:lineRule="exact"/>
        <w:jc w:val="center"/>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eastAsia="zh-CN"/>
        </w:rPr>
        <w:t>六、</w:t>
      </w:r>
      <w:r>
        <w:rPr>
          <w:rFonts w:hint="eastAsia" w:ascii="宋体" w:hAnsi="宋体" w:eastAsia="宋体" w:cs="宋体"/>
          <w:bCs/>
          <w:color w:val="auto"/>
          <w:sz w:val="28"/>
          <w:szCs w:val="28"/>
          <w:highlight w:val="none"/>
        </w:rPr>
        <w:t>招标文件规定需要提供的其他资料</w:t>
      </w:r>
    </w:p>
    <w:p>
      <w:pPr>
        <w:shd w:val="clear" w:color="auto" w:fill="auto"/>
        <w:tabs>
          <w:tab w:val="left" w:pos="600"/>
          <w:tab w:val="left" w:pos="780"/>
        </w:tabs>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由供应商根据评审要求自行提供。</w:t>
      </w:r>
    </w:p>
    <w:p>
      <w:pPr>
        <w:shd w:val="clear" w:color="auto" w:fill="auto"/>
        <w:spacing w:line="400" w:lineRule="exact"/>
        <w:ind w:firstLine="734" w:firstLineChars="334"/>
        <w:rPr>
          <w:rFonts w:hint="eastAsia" w:ascii="宋体" w:hAnsi="宋体" w:eastAsia="宋体" w:cs="宋体"/>
          <w:color w:val="auto"/>
          <w:sz w:val="22"/>
          <w:szCs w:val="22"/>
          <w:highlight w:val="none"/>
        </w:rPr>
      </w:pPr>
    </w:p>
    <w:p>
      <w:pPr>
        <w:shd w:val="clear" w:color="auto" w:fill="auto"/>
        <w:spacing w:line="400" w:lineRule="exact"/>
        <w:ind w:firstLine="734" w:firstLineChars="334"/>
        <w:rPr>
          <w:rFonts w:hint="eastAsia" w:ascii="宋体" w:hAnsi="宋体" w:eastAsia="宋体" w:cs="宋体"/>
          <w:color w:val="auto"/>
          <w:sz w:val="22"/>
          <w:szCs w:val="22"/>
          <w:highlight w:val="none"/>
        </w:rPr>
      </w:pPr>
    </w:p>
    <w:p>
      <w:pPr>
        <w:pStyle w:val="3"/>
        <w:rPr>
          <w:rFonts w:hint="eastAsia" w:ascii="宋体" w:hAnsi="宋体" w:eastAsia="宋体" w:cs="宋体"/>
          <w:color w:val="auto"/>
          <w:sz w:val="22"/>
          <w:szCs w:val="22"/>
          <w:highlight w:val="none"/>
        </w:rPr>
      </w:pPr>
    </w:p>
    <w:p>
      <w:pPr>
        <w:pStyle w:val="4"/>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tabs>
          <w:tab w:val="left" w:pos="840"/>
        </w:tabs>
        <w:adjustRightInd w:val="0"/>
        <w:snapToGrid w:val="0"/>
        <w:spacing w:line="360" w:lineRule="auto"/>
        <w:rPr>
          <w:rFonts w:hint="eastAsia" w:ascii="宋体" w:hAnsi="宋体" w:eastAsia="宋体" w:cs="宋体"/>
          <w:b/>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sz w:val="22"/>
          <w:szCs w:val="22"/>
          <w:highlight w:val="none"/>
        </w:rPr>
        <w:br w:type="page"/>
      </w: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beforeLines="5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（报价标封面，供参考）</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rPr>
        <w:t>磋商响应文件</w:t>
      </w: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
        <w:ind w:firstLine="2811" w:firstLineChars="1000"/>
        <w:rPr>
          <w:rFonts w:hint="eastAsia" w:ascii="宋体" w:hAnsi="宋体" w:eastAsia="宋体" w:cs="宋体"/>
          <w:color w:val="auto"/>
          <w:sz w:val="28"/>
          <w:szCs w:val="28"/>
          <w:highlight w:val="none"/>
          <w:lang w:val="en-US" w:eastAsia="zh-CN"/>
        </w:rPr>
      </w:pPr>
    </w:p>
    <w:p>
      <w:pPr>
        <w:pStyle w:val="3"/>
        <w:ind w:firstLine="281"/>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商务（报价）标文件</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pStyle w:val="53"/>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投标人</w:t>
      </w:r>
      <w:r>
        <w:rPr>
          <w:rFonts w:hint="eastAsia" w:ascii="宋体" w:hAnsi="宋体" w:eastAsia="宋体" w:cs="宋体"/>
          <w:color w:val="auto"/>
          <w:sz w:val="28"/>
          <w:szCs w:val="28"/>
          <w:highlight w:val="none"/>
          <w:lang w:eastAsia="zh-CN"/>
        </w:rPr>
        <w:t>全称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（盖章或 CA</w:t>
      </w:r>
      <w:r>
        <w:rPr>
          <w:rFonts w:hint="eastAsia" w:ascii="宋体" w:hAnsi="宋体" w:eastAsia="宋体" w:cs="宋体"/>
          <w:color w:val="auto"/>
          <w:sz w:val="28"/>
          <w:szCs w:val="28"/>
          <w:highlight w:val="none"/>
          <w:lang w:val="en-US" w:eastAsia="zh-CN"/>
        </w:rPr>
        <w:t>签</w:t>
      </w:r>
      <w:r>
        <w:rPr>
          <w:rFonts w:hint="eastAsia" w:ascii="宋体" w:hAnsi="宋体" w:eastAsia="宋体" w:cs="宋体"/>
          <w:color w:val="auto"/>
          <w:sz w:val="28"/>
          <w:szCs w:val="28"/>
          <w:highlight w:val="none"/>
        </w:rPr>
        <w:t>章）</w:t>
      </w:r>
    </w:p>
    <w:p>
      <w:pPr>
        <w:rPr>
          <w:rFonts w:hint="eastAsia" w:ascii="宋体" w:hAnsi="宋体" w:eastAsia="宋体" w:cs="宋体"/>
          <w:color w:val="auto"/>
          <w:sz w:val="28"/>
          <w:szCs w:val="28"/>
          <w:highlight w:val="none"/>
          <w:u w:val="single"/>
        </w:rPr>
      </w:pPr>
    </w:p>
    <w:p>
      <w:pPr>
        <w:jc w:val="center"/>
        <w:rPr>
          <w:rFonts w:hint="eastAsia" w:ascii="宋体" w:hAnsi="宋体" w:eastAsia="宋体" w:cs="宋体"/>
          <w:color w:val="auto"/>
          <w:kern w:val="0"/>
          <w:sz w:val="28"/>
          <w:szCs w:val="28"/>
          <w:highlight w:val="none"/>
          <w:lang w:val="zh-CN"/>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rPr>
        <w:t>法定代表人（负责人）或委托代理人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pPr>
        <w:rPr>
          <w:rFonts w:hint="eastAsia" w:ascii="宋体" w:hAnsi="宋体" w:eastAsia="宋体" w:cs="宋体"/>
          <w:color w:val="auto"/>
          <w:sz w:val="28"/>
          <w:szCs w:val="28"/>
          <w:highlight w:val="none"/>
        </w:rPr>
      </w:pPr>
    </w:p>
    <w:p>
      <w:pPr>
        <w:overflowPunct w:val="0"/>
        <w:spacing w:line="380" w:lineRule="exact"/>
        <w:ind w:firstLine="2738" w:firstLineChars="978"/>
        <w:rPr>
          <w:rFonts w:hint="eastAsia" w:ascii="宋体" w:hAnsi="宋体" w:eastAsia="宋体" w:cs="宋体"/>
          <w:color w:val="auto"/>
          <w:sz w:val="28"/>
          <w:szCs w:val="28"/>
          <w:highlight w:val="none"/>
          <w:u w:val="single"/>
        </w:rPr>
      </w:pPr>
    </w:p>
    <w:p>
      <w:pPr>
        <w:overflowPunct w:val="0"/>
        <w:spacing w:line="380" w:lineRule="exact"/>
        <w:ind w:firstLine="2738" w:firstLineChars="9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overflowPunct w:val="0"/>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overflowPunct w:val="0"/>
        <w:spacing w:line="380" w:lineRule="exact"/>
        <w:rPr>
          <w:rFonts w:hint="eastAsia" w:ascii="宋体" w:hAnsi="宋体" w:eastAsia="宋体" w:cs="宋体"/>
          <w:color w:val="auto"/>
          <w:sz w:val="22"/>
          <w:szCs w:val="22"/>
          <w:highlight w:val="none"/>
        </w:rPr>
      </w:pPr>
    </w:p>
    <w:p>
      <w:pPr>
        <w:overflowPunct w:val="0"/>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p>
    <w:p>
      <w:pPr>
        <w:autoSpaceDE w:val="0"/>
        <w:autoSpaceDN w:val="0"/>
        <w:adjustRightInd w:val="0"/>
        <w:spacing w:line="460" w:lineRule="atLeast"/>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开标一览表</w:t>
      </w:r>
    </w:p>
    <w:p>
      <w:pPr>
        <w:overflowPunct w:val="0"/>
        <w:spacing w:line="38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项目名称：                                   项目编号：</w:t>
      </w:r>
      <w:r>
        <w:rPr>
          <w:rFonts w:hint="eastAsia" w:ascii="宋体" w:hAnsi="宋体" w:eastAsia="宋体" w:cs="宋体"/>
          <w:bCs/>
          <w:color w:val="auto"/>
          <w:sz w:val="22"/>
          <w:szCs w:val="22"/>
          <w:highlight w:val="none"/>
          <w:lang w:val="en-US" w:eastAsia="zh-CN"/>
        </w:rPr>
        <w:t xml:space="preserve">    </w:t>
      </w:r>
    </w:p>
    <w:tbl>
      <w:tblPr>
        <w:tblStyle w:val="5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357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395" w:type="dxa"/>
            <w:noWrap w:val="0"/>
            <w:vAlign w:val="center"/>
          </w:tcPr>
          <w:p>
            <w:pPr>
              <w:pStyle w:val="30"/>
              <w:keepNext w:val="0"/>
              <w:keepLines w:val="0"/>
              <w:suppressLineNumbers w:val="0"/>
              <w:spacing w:before="0" w:beforeAutospacing="0" w:after="0" w:afterAutospacing="0"/>
              <w:ind w:left="0" w:right="0" w:firstLine="442"/>
              <w:jc w:val="center"/>
              <w:rPr>
                <w:rFonts w:hint="eastAsia" w:hAnsi="宋体" w:cs="宋体"/>
                <w:color w:val="auto"/>
                <w:sz w:val="22"/>
                <w:highlight w:val="none"/>
              </w:rPr>
            </w:pPr>
            <w:r>
              <w:rPr>
                <w:rFonts w:hint="eastAsia" w:hAnsi="宋体" w:cs="宋体"/>
                <w:color w:val="auto"/>
                <w:sz w:val="22"/>
                <w:highlight w:val="none"/>
              </w:rPr>
              <w:t>项目名称</w:t>
            </w:r>
          </w:p>
        </w:tc>
        <w:tc>
          <w:tcPr>
            <w:tcW w:w="3571" w:type="dxa"/>
            <w:noWrap w:val="0"/>
            <w:vAlign w:val="center"/>
          </w:tcPr>
          <w:p>
            <w:pPr>
              <w:pStyle w:val="30"/>
              <w:keepNext w:val="0"/>
              <w:keepLines w:val="0"/>
              <w:suppressLineNumbers w:val="0"/>
              <w:spacing w:before="0" w:beforeAutospacing="0" w:after="0" w:afterAutospacing="0"/>
              <w:ind w:left="0" w:right="0" w:firstLine="442"/>
              <w:jc w:val="center"/>
              <w:rPr>
                <w:rFonts w:hint="eastAsia" w:hAnsi="宋体" w:cs="宋体"/>
                <w:color w:val="auto"/>
                <w:sz w:val="22"/>
                <w:highlight w:val="none"/>
              </w:rPr>
            </w:pPr>
            <w:r>
              <w:rPr>
                <w:rFonts w:hint="eastAsia" w:hAnsi="宋体" w:cs="宋体"/>
                <w:color w:val="auto"/>
                <w:sz w:val="22"/>
                <w:highlight w:val="none"/>
              </w:rPr>
              <w:t>投标</w:t>
            </w:r>
            <w:r>
              <w:rPr>
                <w:rFonts w:hint="eastAsia" w:hAnsi="宋体" w:cs="宋体"/>
                <w:color w:val="auto"/>
                <w:sz w:val="22"/>
                <w:highlight w:val="none"/>
                <w:lang w:eastAsia="zh-CN"/>
              </w:rPr>
              <w:t>报价</w:t>
            </w:r>
            <w:r>
              <w:rPr>
                <w:rFonts w:hint="eastAsia" w:hAnsi="宋体" w:cs="宋体"/>
                <w:color w:val="auto"/>
                <w:sz w:val="22"/>
                <w:highlight w:val="none"/>
              </w:rPr>
              <w:t>（元人民币）</w:t>
            </w:r>
          </w:p>
        </w:tc>
        <w:tc>
          <w:tcPr>
            <w:tcW w:w="1248"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trPr>
        <w:tc>
          <w:tcPr>
            <w:tcW w:w="4395" w:type="dxa"/>
            <w:noWrap w:val="0"/>
            <w:vAlign w:val="center"/>
          </w:tcPr>
          <w:p>
            <w:pPr>
              <w:pStyle w:val="30"/>
              <w:keepNext w:val="0"/>
              <w:keepLines w:val="0"/>
              <w:suppressLineNumbers w:val="0"/>
              <w:spacing w:before="0" w:beforeAutospacing="0" w:after="0" w:afterAutospacing="0"/>
              <w:ind w:left="0" w:right="0"/>
              <w:jc w:val="center"/>
              <w:rPr>
                <w:rFonts w:hint="eastAsia" w:hAnsi="宋体" w:cs="宋体"/>
                <w:color w:val="auto"/>
                <w:sz w:val="22"/>
                <w:highlight w:val="none"/>
              </w:rPr>
            </w:pPr>
          </w:p>
        </w:tc>
        <w:tc>
          <w:tcPr>
            <w:tcW w:w="3571" w:type="dxa"/>
            <w:noWrap w:val="0"/>
            <w:vAlign w:val="center"/>
          </w:tcPr>
          <w:p>
            <w:pPr>
              <w:pStyle w:val="30"/>
              <w:keepNext w:val="0"/>
              <w:keepLines w:val="0"/>
              <w:suppressLineNumbers w:val="0"/>
              <w:spacing w:before="0" w:beforeAutospacing="0" w:after="0" w:afterAutospacing="0"/>
              <w:ind w:left="0" w:right="0"/>
              <w:jc w:val="left"/>
              <w:rPr>
                <w:rFonts w:hint="eastAsia" w:hAnsi="宋体" w:cs="宋体"/>
                <w:color w:val="auto"/>
                <w:sz w:val="22"/>
                <w:highlight w:val="none"/>
              </w:rPr>
            </w:pPr>
            <w:r>
              <w:rPr>
                <w:rFonts w:hint="eastAsia" w:hAnsi="宋体" w:cs="宋体"/>
                <w:color w:val="auto"/>
                <w:sz w:val="22"/>
                <w:highlight w:val="none"/>
              </w:rPr>
              <w:t>大写：</w:t>
            </w:r>
          </w:p>
          <w:p>
            <w:pPr>
              <w:pStyle w:val="30"/>
              <w:keepNext w:val="0"/>
              <w:keepLines w:val="0"/>
              <w:suppressLineNumbers w:val="0"/>
              <w:spacing w:before="0" w:beforeAutospacing="0" w:after="0" w:afterAutospacing="0"/>
              <w:ind w:left="0" w:right="0"/>
              <w:jc w:val="left"/>
              <w:rPr>
                <w:rFonts w:hint="eastAsia" w:hAnsi="宋体" w:cs="宋体"/>
                <w:color w:val="auto"/>
                <w:sz w:val="22"/>
                <w:highlight w:val="none"/>
              </w:rPr>
            </w:pPr>
            <w:r>
              <w:rPr>
                <w:rFonts w:hint="eastAsia" w:hAnsi="宋体" w:cs="宋体"/>
                <w:color w:val="auto"/>
                <w:sz w:val="22"/>
                <w:highlight w:val="none"/>
              </w:rPr>
              <w:t>小写：</w:t>
            </w:r>
          </w:p>
        </w:tc>
        <w:tc>
          <w:tcPr>
            <w:tcW w:w="1248" w:type="dxa"/>
            <w:noWrap w:val="0"/>
            <w:vAlign w:val="center"/>
          </w:tcPr>
          <w:p>
            <w:pPr>
              <w:pStyle w:val="30"/>
              <w:keepNext w:val="0"/>
              <w:keepLines w:val="0"/>
              <w:suppressLineNumbers w:val="0"/>
              <w:spacing w:before="0" w:beforeAutospacing="0" w:after="0" w:afterAutospacing="0"/>
              <w:ind w:left="0" w:right="0"/>
              <w:jc w:val="left"/>
              <w:rPr>
                <w:rFonts w:hint="eastAsia" w:hAnsi="宋体" w:cs="宋体"/>
                <w:color w:val="auto"/>
                <w:sz w:val="22"/>
                <w:highlight w:val="none"/>
              </w:rPr>
            </w:pPr>
          </w:p>
        </w:tc>
      </w:tr>
    </w:tbl>
    <w:p>
      <w:pPr>
        <w:autoSpaceDE w:val="0"/>
        <w:autoSpaceDN w:val="0"/>
        <w:adjustRightInd w:val="0"/>
        <w:spacing w:line="380" w:lineRule="atLeast"/>
        <w:ind w:left="36"/>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注：</w:t>
      </w:r>
    </w:p>
    <w:p>
      <w:pPr>
        <w:autoSpaceDE w:val="0"/>
        <w:autoSpaceDN w:val="0"/>
        <w:adjustRightInd w:val="0"/>
        <w:spacing w:line="380" w:lineRule="atLeast"/>
        <w:ind w:left="36"/>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r>
        <w:rPr>
          <w:rFonts w:hint="eastAsia" w:ascii="宋体" w:hAnsi="宋体" w:eastAsia="宋体" w:cs="宋体"/>
          <w:b w:val="0"/>
          <w:bCs/>
          <w:color w:val="auto"/>
          <w:sz w:val="22"/>
          <w:highlight w:val="none"/>
        </w:rPr>
        <w:t>投标报价是指供应商为正确地完全履行采购内容及要求的价格体现，包括完成该项目服务工作所需的全部服务，人员工资、福利、保险、劳保、高温补贴、差旅、办公设施设备、材料、</w:t>
      </w:r>
      <w:r>
        <w:rPr>
          <w:rFonts w:hint="eastAsia" w:ascii="宋体" w:hAnsi="宋体" w:eastAsia="宋体" w:cs="宋体"/>
          <w:b w:val="0"/>
          <w:bCs/>
          <w:color w:val="auto"/>
          <w:sz w:val="22"/>
          <w:highlight w:val="none"/>
          <w:lang w:eastAsia="zh-CN"/>
        </w:rPr>
        <w:t>基本思路</w:t>
      </w:r>
      <w:r>
        <w:rPr>
          <w:rFonts w:hint="eastAsia" w:ascii="宋体" w:hAnsi="宋体" w:eastAsia="宋体" w:cs="宋体"/>
          <w:b w:val="0"/>
          <w:bCs/>
          <w:color w:val="auto"/>
          <w:sz w:val="22"/>
          <w:highlight w:val="none"/>
        </w:rPr>
        <w:t>编制中所需</w:t>
      </w:r>
      <w:r>
        <w:rPr>
          <w:rFonts w:hint="eastAsia" w:ascii="宋体" w:hAnsi="宋体" w:eastAsia="宋体" w:cs="宋体"/>
          <w:b w:val="0"/>
          <w:bCs/>
          <w:color w:val="auto"/>
          <w:sz w:val="22"/>
          <w:highlight w:val="none"/>
          <w:lang w:eastAsia="zh-CN"/>
        </w:rPr>
        <w:t>的各种相关费用、采购代理服务费、税金、利润</w:t>
      </w:r>
      <w:r>
        <w:rPr>
          <w:rFonts w:hint="eastAsia" w:ascii="宋体" w:hAnsi="宋体" w:eastAsia="宋体" w:cs="宋体"/>
          <w:b w:val="0"/>
          <w:bCs/>
          <w:color w:val="auto"/>
          <w:sz w:val="22"/>
          <w:highlight w:val="none"/>
        </w:rPr>
        <w:t>、政策性文件规定及合同包含的所有风险、责任等完成本项目的各项应有费用。</w:t>
      </w:r>
    </w:p>
    <w:p>
      <w:pPr>
        <w:autoSpaceDE w:val="0"/>
        <w:autoSpaceDN w:val="0"/>
        <w:adjustRightInd w:val="0"/>
        <w:spacing w:line="380" w:lineRule="atLeast"/>
        <w:ind w:left="36"/>
        <w:rPr>
          <w:rFonts w:hint="eastAsia" w:ascii="宋体" w:hAnsi="宋体" w:eastAsia="宋体" w:cs="宋体"/>
          <w:b w:val="0"/>
          <w:bCs/>
          <w:color w:val="auto"/>
          <w:sz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b w:val="0"/>
          <w:bCs/>
          <w:color w:val="auto"/>
          <w:sz w:val="22"/>
          <w:highlight w:val="none"/>
        </w:rPr>
        <w:t>如果投标供应商提出优惠条款，请在备注栏内注明。</w:t>
      </w:r>
    </w:p>
    <w:p>
      <w:pPr>
        <w:autoSpaceDE w:val="0"/>
        <w:autoSpaceDN w:val="0"/>
        <w:adjustRightInd w:val="0"/>
        <w:spacing w:line="400" w:lineRule="atLeast"/>
        <w:rPr>
          <w:rFonts w:hint="default"/>
          <w:color w:val="auto"/>
          <w:highlight w:val="none"/>
          <w:lang w:val="en-US" w:eastAsia="zh-CN"/>
        </w:rPr>
      </w:pPr>
      <w:r>
        <w:rPr>
          <w:rFonts w:hint="eastAsia" w:hAnsi="宋体" w:cs="宋体"/>
          <w:b/>
          <w:bCs w:val="0"/>
          <w:color w:val="auto"/>
          <w:sz w:val="22"/>
          <w:highlight w:val="none"/>
          <w:u w:val="single"/>
          <w:lang w:val="en-US" w:eastAsia="zh-CN"/>
        </w:rPr>
        <w:t>3</w:t>
      </w:r>
      <w:r>
        <w:rPr>
          <w:rFonts w:hint="eastAsia" w:ascii="宋体" w:hAnsi="宋体" w:eastAsia="宋体" w:cs="宋体"/>
          <w:b/>
          <w:bCs w:val="0"/>
          <w:color w:val="auto"/>
          <w:sz w:val="22"/>
          <w:highlight w:val="none"/>
          <w:u w:val="single"/>
          <w:lang w:val="en-US" w:eastAsia="zh-CN"/>
        </w:rPr>
        <w:t>.</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val="0"/>
          <w:color w:val="auto"/>
          <w:sz w:val="22"/>
          <w:highlight w:val="none"/>
          <w:u w:val="single"/>
          <w:lang w:val="en-US" w:eastAsia="zh-CN"/>
        </w:rPr>
        <w:t>投标报价不得高于采购预算</w:t>
      </w:r>
      <w:r>
        <w:rPr>
          <w:rFonts w:hint="eastAsia" w:ascii="宋体" w:hAnsi="宋体" w:eastAsia="宋体" w:cs="宋体"/>
          <w:b w:val="0"/>
          <w:bCs/>
          <w:color w:val="auto"/>
          <w:sz w:val="22"/>
          <w:highlight w:val="none"/>
          <w:lang w:val="en-US" w:eastAsia="zh-CN"/>
        </w:rPr>
        <w:t>。</w:t>
      </w:r>
    </w:p>
    <w:p>
      <w:pPr>
        <w:pStyle w:val="72"/>
        <w:rPr>
          <w:rFonts w:hint="eastAsia" w:ascii="宋体" w:hAnsi="宋体" w:eastAsia="宋体" w:cs="宋体"/>
          <w:color w:val="auto"/>
          <w:kern w:val="0"/>
          <w:sz w:val="22"/>
          <w:szCs w:val="22"/>
          <w:highlight w:val="none"/>
          <w:lang w:val="zh-CN"/>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lang w:val="zh-CN"/>
        </w:rPr>
        <w:t>.此栏内</w:t>
      </w:r>
      <w:r>
        <w:rPr>
          <w:rFonts w:hint="eastAsia" w:ascii="宋体" w:hAnsi="宋体" w:eastAsia="宋体" w:cs="宋体"/>
          <w:color w:val="auto"/>
          <w:spacing w:val="-3"/>
          <w:sz w:val="22"/>
          <w:szCs w:val="22"/>
          <w:highlight w:val="none"/>
        </w:rPr>
        <w:t>投标总价</w:t>
      </w:r>
      <w:r>
        <w:rPr>
          <w:rFonts w:hint="eastAsia" w:ascii="宋体" w:hAnsi="宋体" w:eastAsia="宋体" w:cs="宋体"/>
          <w:color w:val="auto"/>
          <w:kern w:val="0"/>
          <w:sz w:val="22"/>
          <w:szCs w:val="22"/>
          <w:highlight w:val="none"/>
          <w:lang w:val="zh-CN"/>
        </w:rPr>
        <w:t>应与附件二“</w:t>
      </w:r>
      <w:r>
        <w:rPr>
          <w:rFonts w:hint="eastAsia" w:ascii="宋体" w:hAnsi="宋体" w:eastAsia="宋体" w:cs="宋体"/>
          <w:color w:val="auto"/>
          <w:sz w:val="22"/>
          <w:highlight w:val="none"/>
        </w:rPr>
        <w:t>投标分项报价表</w:t>
      </w:r>
      <w:r>
        <w:rPr>
          <w:rFonts w:hint="eastAsia" w:ascii="宋体" w:hAnsi="宋体" w:eastAsia="宋体" w:cs="宋体"/>
          <w:color w:val="auto"/>
          <w:kern w:val="0"/>
          <w:sz w:val="22"/>
          <w:szCs w:val="22"/>
          <w:highlight w:val="none"/>
          <w:lang w:val="zh-CN"/>
        </w:rPr>
        <w:t>”中投标总价相一致。</w:t>
      </w:r>
    </w:p>
    <w:p>
      <w:pPr>
        <w:autoSpaceDE w:val="0"/>
        <w:autoSpaceDN w:val="0"/>
        <w:adjustRightInd w:val="0"/>
        <w:spacing w:line="400" w:lineRule="atLeast"/>
        <w:rPr>
          <w:rFonts w:hint="eastAsia" w:ascii="宋体" w:hAnsi="宋体" w:eastAsia="宋体" w:cs="宋体"/>
          <w:b/>
          <w:color w:val="auto"/>
          <w:sz w:val="22"/>
          <w:szCs w:val="22"/>
          <w:highlight w:val="none"/>
          <w:u w:val="single"/>
        </w:rPr>
      </w:pPr>
      <w:r>
        <w:rPr>
          <w:rFonts w:hint="eastAsia" w:ascii="宋体" w:hAnsi="宋体" w:cs="宋体"/>
          <w:b/>
          <w:bCs/>
          <w:color w:val="auto"/>
          <w:kern w:val="0"/>
          <w:sz w:val="22"/>
          <w:szCs w:val="22"/>
          <w:highlight w:val="none"/>
          <w:lang w:val="en-US" w:eastAsia="zh-CN"/>
        </w:rPr>
        <w:t>5</w:t>
      </w:r>
      <w:r>
        <w:rPr>
          <w:rFonts w:hint="eastAsia" w:ascii="宋体" w:hAnsi="宋体" w:eastAsia="宋体" w:cs="宋体"/>
          <w:b/>
          <w:bCs/>
          <w:color w:val="auto"/>
          <w:kern w:val="0"/>
          <w:sz w:val="22"/>
          <w:szCs w:val="22"/>
          <w:highlight w:val="none"/>
          <w:lang w:val="zh-CN"/>
        </w:rPr>
        <w:t>.</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color w:val="auto"/>
          <w:kern w:val="0"/>
          <w:sz w:val="22"/>
          <w:szCs w:val="22"/>
          <w:highlight w:val="none"/>
          <w:u w:val="single"/>
          <w:lang w:val="zh-CN"/>
        </w:rPr>
        <w:t>不提供此表格</w:t>
      </w:r>
      <w:r>
        <w:rPr>
          <w:rFonts w:hint="eastAsia" w:ascii="宋体" w:hAnsi="宋体" w:eastAsia="宋体" w:cs="宋体"/>
          <w:b/>
          <w:color w:val="auto"/>
          <w:sz w:val="22"/>
          <w:szCs w:val="22"/>
          <w:highlight w:val="none"/>
          <w:u w:val="single"/>
        </w:rPr>
        <w:t>的磋商响应文件将被视为未实质性响应竞争性磋商文件</w:t>
      </w:r>
      <w:r>
        <w:rPr>
          <w:rFonts w:hint="eastAsia" w:ascii="宋体" w:hAnsi="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其磋商响应文件将被否决。</w:t>
      </w:r>
    </w:p>
    <w:p>
      <w:pPr>
        <w:autoSpaceDE w:val="0"/>
        <w:autoSpaceDN w:val="0"/>
        <w:adjustRightInd w:val="0"/>
        <w:spacing w:line="380" w:lineRule="atLeast"/>
        <w:ind w:left="36"/>
        <w:rPr>
          <w:rFonts w:hint="default" w:ascii="宋体" w:hAnsi="宋体" w:eastAsia="宋体" w:cs="宋体"/>
          <w:color w:val="auto"/>
          <w:spacing w:val="-3"/>
          <w:sz w:val="22"/>
          <w:szCs w:val="22"/>
          <w:highlight w:val="none"/>
          <w:lang w:val="en-US" w:eastAsia="zh-CN"/>
        </w:rPr>
      </w:pPr>
      <w:r>
        <w:rPr>
          <w:rFonts w:hint="eastAsia" w:ascii="宋体" w:hAnsi="宋体" w:cs="宋体"/>
          <w:color w:val="auto"/>
          <w:spacing w:val="-3"/>
          <w:sz w:val="22"/>
          <w:szCs w:val="22"/>
          <w:highlight w:val="none"/>
          <w:lang w:val="en-US" w:eastAsia="zh-CN"/>
        </w:rPr>
        <w:t>6</w:t>
      </w:r>
      <w:r>
        <w:rPr>
          <w:rFonts w:hint="eastAsia" w:ascii="宋体" w:hAnsi="宋体" w:eastAsia="宋体" w:cs="宋体"/>
          <w:color w:val="auto"/>
          <w:spacing w:val="-3"/>
          <w:sz w:val="22"/>
          <w:szCs w:val="22"/>
          <w:highlight w:val="none"/>
          <w:lang w:val="en-US" w:eastAsia="zh-CN"/>
        </w:rPr>
        <w:t>.</w:t>
      </w:r>
      <w:r>
        <w:rPr>
          <w:rFonts w:hint="eastAsia" w:ascii="宋体" w:hAnsi="宋体" w:eastAsia="宋体" w:cs="宋体"/>
          <w:color w:val="auto"/>
          <w:spacing w:val="-3"/>
          <w:sz w:val="22"/>
          <w:szCs w:val="22"/>
          <w:highlight w:val="none"/>
        </w:rPr>
        <w:t>开标一览表中投标价为符合磋商文件要求的全部费用。</w:t>
      </w:r>
    </w:p>
    <w:p>
      <w:pPr>
        <w:autoSpaceDE w:val="0"/>
        <w:autoSpaceDN w:val="0"/>
        <w:adjustRightInd w:val="0"/>
        <w:spacing w:line="380" w:lineRule="atLeast"/>
        <w:ind w:left="36"/>
        <w:rPr>
          <w:rFonts w:hint="eastAsia" w:ascii="宋体" w:hAnsi="宋体" w:eastAsia="宋体" w:cs="宋体"/>
          <w:color w:val="auto"/>
          <w:kern w:val="0"/>
          <w:sz w:val="22"/>
          <w:szCs w:val="22"/>
          <w:highlight w:val="none"/>
          <w:lang w:val="zh-CN"/>
        </w:rPr>
      </w:pPr>
    </w:p>
    <w:p>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adjustRightInd w:val="0"/>
        <w:spacing w:line="380" w:lineRule="atLeast"/>
        <w:ind w:firstLine="660"/>
        <w:rPr>
          <w:rFonts w:hint="eastAsia" w:ascii="宋体" w:hAnsi="宋体" w:eastAsia="宋体" w:cs="宋体"/>
          <w:color w:val="auto"/>
          <w:kern w:val="0"/>
          <w:sz w:val="22"/>
          <w:szCs w:val="22"/>
          <w:highlight w:val="none"/>
          <w:lang w:val="zh-CN"/>
        </w:rPr>
      </w:pPr>
    </w:p>
    <w:p>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供应商全称</w:t>
      </w:r>
      <w:r>
        <w:rPr>
          <w:rFonts w:hint="eastAsia" w:ascii="宋体" w:hAnsi="宋体" w:eastAsia="宋体" w:cs="宋体"/>
          <w:color w:val="auto"/>
          <w:szCs w:val="21"/>
          <w:highlight w:val="none"/>
          <w:lang w:val="zh-CN"/>
        </w:rPr>
        <w:t xml:space="preserve">（盖章或 CA签章）：             </w:t>
      </w:r>
    </w:p>
    <w:p>
      <w:pPr>
        <w:pStyle w:val="3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法定代表人（负责人）或委托代理人（盖章或签字）：  </w:t>
      </w:r>
    </w:p>
    <w:p>
      <w:pPr>
        <w:spacing w:line="360" w:lineRule="auto"/>
        <w:ind w:right="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autoSpaceDE w:val="0"/>
        <w:autoSpaceDN w:val="0"/>
        <w:adjustRightInd w:val="0"/>
        <w:spacing w:line="380" w:lineRule="atLeast"/>
        <w:rPr>
          <w:rFonts w:hint="eastAsia" w:ascii="宋体" w:hAnsi="宋体" w:eastAsia="宋体" w:cs="宋体"/>
          <w:color w:val="auto"/>
          <w:kern w:val="0"/>
          <w:sz w:val="22"/>
          <w:szCs w:val="22"/>
          <w:highlight w:val="none"/>
          <w:lang w:val="zh-CN"/>
        </w:rPr>
      </w:pPr>
    </w:p>
    <w:p>
      <w:pPr>
        <w:autoSpaceDE w:val="0"/>
        <w:autoSpaceDN w:val="0"/>
        <w:adjustRightInd w:val="0"/>
        <w:spacing w:line="380" w:lineRule="atLeas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br w:type="page"/>
      </w:r>
    </w:p>
    <w:p>
      <w:pPr>
        <w:autoSpaceDE w:val="0"/>
        <w:autoSpaceDN w:val="0"/>
        <w:adjustRightInd w:val="0"/>
        <w:spacing w:line="380" w:lineRule="atLeast"/>
        <w:rPr>
          <w:rFonts w:hint="eastAsia" w:ascii="宋体" w:hAnsi="宋体" w:eastAsia="宋体" w:cs="宋体"/>
          <w:color w:val="auto"/>
          <w:kern w:val="0"/>
          <w:sz w:val="22"/>
          <w:szCs w:val="22"/>
          <w:highlight w:val="none"/>
          <w:lang w:val="zh-CN"/>
        </w:rPr>
      </w:pPr>
    </w:p>
    <w:p>
      <w:pPr>
        <w:autoSpaceDE w:val="0"/>
        <w:autoSpaceDN w:val="0"/>
        <w:adjustRightInd w:val="0"/>
        <w:spacing w:line="380" w:lineRule="atLeast"/>
        <w:rPr>
          <w:rFonts w:hint="eastAsia" w:ascii="宋体" w:hAnsi="宋体" w:eastAsia="宋体" w:cs="宋体"/>
          <w:b/>
          <w:bCs/>
          <w:color w:val="auto"/>
          <w:kern w:val="0"/>
          <w:sz w:val="28"/>
          <w:szCs w:val="28"/>
          <w:highlight w:val="none"/>
        </w:rPr>
      </w:pPr>
      <w:r>
        <w:rPr>
          <w:rFonts w:hint="eastAsia" w:ascii="宋体" w:hAnsi="宋体" w:eastAsia="宋体" w:cs="宋体"/>
          <w:b/>
          <w:bCs/>
          <w:color w:val="auto"/>
          <w:sz w:val="22"/>
          <w:szCs w:val="22"/>
          <w:highlight w:val="none"/>
          <w:lang w:val="zh-CN"/>
        </w:rPr>
        <w:t>附件二</w:t>
      </w: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kern w:val="0"/>
          <w:sz w:val="22"/>
          <w:szCs w:val="22"/>
          <w:highlight w:val="none"/>
        </w:rPr>
        <w:t xml:space="preserve">                       </w:t>
      </w:r>
      <w:r>
        <w:rPr>
          <w:rFonts w:hint="eastAsia" w:ascii="宋体" w:hAnsi="宋体" w:eastAsia="宋体" w:cs="宋体"/>
          <w:b/>
          <w:bCs/>
          <w:color w:val="auto"/>
          <w:kern w:val="0"/>
          <w:sz w:val="28"/>
          <w:szCs w:val="28"/>
          <w:highlight w:val="none"/>
        </w:rPr>
        <w:t xml:space="preserve">     </w:t>
      </w:r>
    </w:p>
    <w:p>
      <w:pPr>
        <w:spacing w:line="380" w:lineRule="exact"/>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6"/>
          <w:highlight w:val="none"/>
        </w:rPr>
        <w:t>投标分项报价表</w:t>
      </w:r>
    </w:p>
    <w:p>
      <w:pPr>
        <w:spacing w:line="360" w:lineRule="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 xml:space="preserve">项目名称：            </w:t>
      </w:r>
    </w:p>
    <w:p>
      <w:pPr>
        <w:spacing w:line="360" w:lineRule="auto"/>
        <w:rPr>
          <w:rFonts w:hint="eastAsia" w:ascii="宋体" w:hAnsi="宋体" w:eastAsia="宋体" w:cs="宋体"/>
          <w:b/>
          <w:color w:val="auto"/>
          <w:sz w:val="22"/>
          <w:szCs w:val="22"/>
          <w:highlight w:val="none"/>
        </w:rPr>
      </w:pPr>
      <w:r>
        <w:rPr>
          <w:rFonts w:hint="eastAsia" w:ascii="宋体" w:hAnsi="宋体" w:eastAsia="宋体" w:cs="宋体"/>
          <w:b/>
          <w:bCs/>
          <w:color w:val="auto"/>
          <w:kern w:val="0"/>
          <w:sz w:val="22"/>
          <w:szCs w:val="22"/>
          <w:highlight w:val="none"/>
          <w:lang w:val="zh-CN"/>
        </w:rPr>
        <w:t>项目编号：</w:t>
      </w:r>
      <w:r>
        <w:rPr>
          <w:rFonts w:hint="eastAsia" w:ascii="宋体" w:hAnsi="宋体" w:eastAsia="宋体" w:cs="宋体"/>
          <w:b/>
          <w:bCs/>
          <w:color w:val="auto"/>
          <w:kern w:val="0"/>
          <w:sz w:val="22"/>
          <w:szCs w:val="22"/>
          <w:highlight w:val="none"/>
          <w:lang w:val="en-US" w:eastAsia="zh-CN"/>
        </w:rPr>
        <w:t xml:space="preserve">                   </w:t>
      </w:r>
      <w:r>
        <w:rPr>
          <w:rFonts w:hint="eastAsia" w:ascii="宋体" w:hAnsi="宋体" w:cs="宋体"/>
          <w:b/>
          <w:bCs/>
          <w:color w:val="auto"/>
          <w:kern w:val="0"/>
          <w:sz w:val="22"/>
          <w:szCs w:val="22"/>
          <w:highlight w:val="none"/>
          <w:lang w:val="en-US" w:eastAsia="zh-CN"/>
        </w:rPr>
        <w:t xml:space="preserve">                 </w:t>
      </w:r>
      <w:r>
        <w:rPr>
          <w:rFonts w:hint="eastAsia" w:ascii="宋体" w:hAnsi="宋体" w:eastAsia="宋体" w:cs="宋体"/>
          <w:b/>
          <w:color w:val="auto"/>
          <w:sz w:val="22"/>
          <w:szCs w:val="22"/>
          <w:highlight w:val="none"/>
        </w:rPr>
        <w:t>价格单位：人民币（元）</w:t>
      </w:r>
    </w:p>
    <w:tbl>
      <w:tblPr>
        <w:tblStyle w:val="54"/>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033"/>
        <w:gridCol w:w="2688"/>
        <w:gridCol w:w="134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540"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ascii="宋体" w:hAnsi="宋体" w:eastAsia="宋体"/>
                <w:b w:val="0"/>
                <w:color w:val="auto"/>
                <w:sz w:val="36"/>
                <w:szCs w:val="36"/>
                <w:highlight w:val="none"/>
                <w:lang w:val="zh-CN" w:eastAsia="zh-CN"/>
              </w:rPr>
            </w:pPr>
            <w:r>
              <w:rPr>
                <w:rFonts w:hint="eastAsia" w:ascii="宋体" w:hAnsi="宋体" w:eastAsia="宋体"/>
                <w:b w:val="0"/>
                <w:color w:val="auto"/>
                <w:sz w:val="22"/>
                <w:szCs w:val="22"/>
                <w:highlight w:val="none"/>
                <w:lang w:val="en-US" w:eastAsia="zh-CN"/>
              </w:rPr>
              <w:t>项目名称</w:t>
            </w:r>
          </w:p>
        </w:tc>
        <w:tc>
          <w:tcPr>
            <w:tcW w:w="3033"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ascii="宋体" w:hAnsi="宋体" w:eastAsia="宋体"/>
                <w:b w:val="0"/>
                <w:color w:val="auto"/>
                <w:sz w:val="22"/>
                <w:szCs w:val="22"/>
                <w:highlight w:val="none"/>
                <w:lang w:val="en-US" w:eastAsia="zh-CN"/>
              </w:rPr>
            </w:pPr>
            <w:r>
              <w:rPr>
                <w:rFonts w:hint="eastAsia" w:ascii="宋体" w:hAnsi="宋体" w:eastAsia="宋体"/>
                <w:b w:val="0"/>
                <w:color w:val="auto"/>
                <w:sz w:val="22"/>
                <w:szCs w:val="22"/>
                <w:highlight w:val="none"/>
                <w:lang w:val="en-US" w:eastAsia="zh-CN"/>
              </w:rPr>
              <w:t>报价内容</w:t>
            </w:r>
          </w:p>
        </w:tc>
        <w:tc>
          <w:tcPr>
            <w:tcW w:w="2688"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hint="eastAsia" w:ascii="宋体" w:hAnsi="宋体" w:eastAsia="宋体"/>
                <w:b w:val="0"/>
                <w:color w:val="auto"/>
                <w:sz w:val="22"/>
                <w:szCs w:val="22"/>
                <w:highlight w:val="none"/>
                <w:lang w:val="en-US" w:eastAsia="zh-CN"/>
              </w:rPr>
            </w:pPr>
            <w:r>
              <w:rPr>
                <w:rFonts w:hint="eastAsia" w:ascii="宋体" w:hAnsi="宋体" w:eastAsia="宋体"/>
                <w:b w:val="0"/>
                <w:color w:val="auto"/>
                <w:sz w:val="22"/>
                <w:szCs w:val="22"/>
                <w:highlight w:val="none"/>
                <w:lang w:val="en-US" w:eastAsia="zh-CN"/>
              </w:rPr>
              <w:t>单价（元）</w:t>
            </w:r>
          </w:p>
        </w:tc>
        <w:tc>
          <w:tcPr>
            <w:tcW w:w="1345"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ascii="宋体" w:hAnsi="宋体" w:eastAsia="宋体"/>
                <w:b w:val="0"/>
                <w:color w:val="auto"/>
                <w:sz w:val="22"/>
                <w:szCs w:val="22"/>
                <w:highlight w:val="none"/>
                <w:lang w:val="en-US" w:eastAsia="zh-CN"/>
              </w:rPr>
            </w:pPr>
            <w:r>
              <w:rPr>
                <w:rFonts w:hint="eastAsia" w:ascii="宋体" w:hAnsi="宋体" w:eastAsia="宋体"/>
                <w:b w:val="0"/>
                <w:color w:val="auto"/>
                <w:sz w:val="22"/>
                <w:szCs w:val="22"/>
                <w:highlight w:val="none"/>
                <w:lang w:val="en-US" w:eastAsia="zh-CN"/>
              </w:rPr>
              <w:t>总价（元）</w:t>
            </w:r>
          </w:p>
        </w:tc>
        <w:tc>
          <w:tcPr>
            <w:tcW w:w="1345"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hint="eastAsia" w:ascii="宋体" w:hAnsi="宋体" w:eastAsia="宋体"/>
                <w:b w:val="0"/>
                <w:color w:val="auto"/>
                <w:sz w:val="22"/>
                <w:szCs w:val="22"/>
                <w:highlight w:val="none"/>
                <w:lang w:val="en-US" w:eastAsia="zh-CN"/>
              </w:rPr>
            </w:pPr>
            <w:r>
              <w:rPr>
                <w:rFonts w:hint="eastAsia"/>
                <w:b w:val="0"/>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540" w:type="dxa"/>
            <w:vMerge w:val="restart"/>
            <w:noWrap w:val="0"/>
            <w:vAlign w:val="center"/>
          </w:tcPr>
          <w:p>
            <w:pPr>
              <w:pStyle w:val="24"/>
              <w:keepNext w:val="0"/>
              <w:keepLines w:val="0"/>
              <w:suppressLineNumbers w:val="0"/>
              <w:spacing w:before="0" w:beforeAutospacing="0" w:after="0" w:afterAutospacing="0" w:line="340" w:lineRule="exact"/>
              <w:ind w:left="0" w:right="0" w:firstLine="0"/>
              <w:rPr>
                <w:rFonts w:ascii="宋体" w:hAnsi="宋体" w:eastAsia="宋体"/>
                <w:b w:val="0"/>
                <w:color w:val="auto"/>
                <w:sz w:val="22"/>
                <w:szCs w:val="22"/>
                <w:highlight w:val="none"/>
                <w:lang w:val="en-US" w:eastAsia="zh-CN"/>
              </w:rPr>
            </w:pPr>
          </w:p>
        </w:tc>
        <w:tc>
          <w:tcPr>
            <w:tcW w:w="3033" w:type="dxa"/>
            <w:noWrap w:val="0"/>
            <w:vAlign w:val="center"/>
          </w:tcPr>
          <w:p>
            <w:pPr>
              <w:pStyle w:val="24"/>
              <w:keepNext w:val="0"/>
              <w:keepLines w:val="0"/>
              <w:suppressLineNumbers w:val="0"/>
              <w:spacing w:before="0" w:beforeAutospacing="0" w:after="0" w:afterAutospacing="0" w:line="340" w:lineRule="exact"/>
              <w:ind w:left="0" w:right="0" w:firstLine="0"/>
              <w:jc w:val="center"/>
              <w:rPr>
                <w:rFonts w:hint="eastAsia" w:ascii="宋体" w:hAnsi="宋体" w:eastAsia="宋体"/>
                <w:b w:val="0"/>
                <w:color w:val="auto"/>
                <w:sz w:val="22"/>
                <w:szCs w:val="22"/>
                <w:highlight w:val="none"/>
                <w:lang w:val="en-US" w:eastAsia="zh-CN"/>
              </w:rPr>
            </w:pPr>
          </w:p>
        </w:tc>
        <w:tc>
          <w:tcPr>
            <w:tcW w:w="2688"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auto"/>
                <w:sz w:val="22"/>
                <w:szCs w:val="22"/>
                <w:highlight w:val="none"/>
                <w:lang w:val="en-US" w:eastAsia="zh-CN"/>
              </w:rPr>
            </w:pPr>
          </w:p>
        </w:tc>
        <w:tc>
          <w:tcPr>
            <w:tcW w:w="1345" w:type="dxa"/>
            <w:noWrap w:val="0"/>
            <w:vAlign w:val="center"/>
          </w:tcPr>
          <w:p>
            <w:pPr>
              <w:pStyle w:val="24"/>
              <w:keepNext w:val="0"/>
              <w:keepLines w:val="0"/>
              <w:suppressLineNumbers w:val="0"/>
              <w:spacing w:before="0" w:beforeAutospacing="0" w:after="0" w:afterAutospacing="0" w:line="340" w:lineRule="exact"/>
              <w:ind w:left="0" w:right="263" w:rightChars="125"/>
              <w:rPr>
                <w:rFonts w:hint="eastAsia" w:ascii="宋体" w:hAnsi="宋体" w:eastAsia="宋体"/>
                <w:b w:val="0"/>
                <w:color w:val="auto"/>
                <w:sz w:val="22"/>
                <w:szCs w:val="22"/>
                <w:highlight w:val="none"/>
                <w:lang w:val="en-US" w:eastAsia="zh-CN"/>
              </w:rPr>
            </w:pPr>
          </w:p>
        </w:tc>
        <w:tc>
          <w:tcPr>
            <w:tcW w:w="134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b w:val="0"/>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1540" w:type="dxa"/>
            <w:vMerge w:val="continue"/>
            <w:noWrap w:val="0"/>
            <w:vAlign w:val="center"/>
          </w:tcPr>
          <w:p>
            <w:pPr>
              <w:pStyle w:val="24"/>
              <w:keepNext w:val="0"/>
              <w:keepLines w:val="0"/>
              <w:suppressLineNumbers w:val="0"/>
              <w:spacing w:before="0" w:beforeAutospacing="0" w:after="0" w:afterAutospacing="0" w:line="340" w:lineRule="exact"/>
              <w:ind w:left="0" w:right="0" w:firstLine="0"/>
              <w:rPr>
                <w:rFonts w:ascii="宋体" w:hAnsi="宋体" w:eastAsia="宋体"/>
                <w:b w:val="0"/>
                <w:color w:val="auto"/>
                <w:sz w:val="22"/>
                <w:szCs w:val="22"/>
                <w:highlight w:val="none"/>
                <w:lang w:val="en-US" w:eastAsia="zh-CN"/>
              </w:rPr>
            </w:pPr>
          </w:p>
        </w:tc>
        <w:tc>
          <w:tcPr>
            <w:tcW w:w="3033" w:type="dxa"/>
            <w:noWrap w:val="0"/>
            <w:vAlign w:val="center"/>
          </w:tcPr>
          <w:p>
            <w:pPr>
              <w:pStyle w:val="24"/>
              <w:keepNext w:val="0"/>
              <w:keepLines w:val="0"/>
              <w:suppressLineNumbers w:val="0"/>
              <w:spacing w:before="0" w:beforeAutospacing="0" w:after="0" w:afterAutospacing="0" w:line="340" w:lineRule="exact"/>
              <w:ind w:left="0" w:right="0" w:firstLine="0" w:firstLineChars="0"/>
              <w:jc w:val="center"/>
              <w:rPr>
                <w:rFonts w:hint="default" w:ascii="宋体" w:hAnsi="宋体" w:eastAsia="宋体"/>
                <w:b w:val="0"/>
                <w:bCs/>
                <w:color w:val="auto"/>
                <w:kern w:val="2"/>
                <w:sz w:val="22"/>
                <w:szCs w:val="22"/>
                <w:highlight w:val="none"/>
                <w:lang w:val="en-US" w:eastAsia="zh-CN" w:bidi="ar-SA"/>
              </w:rPr>
            </w:pPr>
          </w:p>
        </w:tc>
        <w:tc>
          <w:tcPr>
            <w:tcW w:w="2688"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auto"/>
                <w:sz w:val="22"/>
                <w:szCs w:val="22"/>
                <w:highlight w:val="none"/>
                <w:lang w:val="en-US" w:eastAsia="zh-CN"/>
              </w:rPr>
            </w:pPr>
          </w:p>
        </w:tc>
        <w:tc>
          <w:tcPr>
            <w:tcW w:w="1345" w:type="dxa"/>
            <w:noWrap w:val="0"/>
            <w:vAlign w:val="center"/>
          </w:tcPr>
          <w:p>
            <w:pPr>
              <w:pStyle w:val="24"/>
              <w:keepNext w:val="0"/>
              <w:keepLines w:val="0"/>
              <w:suppressLineNumbers w:val="0"/>
              <w:spacing w:before="0" w:beforeAutospacing="0" w:after="0" w:afterAutospacing="0" w:line="340" w:lineRule="exact"/>
              <w:ind w:left="0" w:right="263" w:rightChars="125"/>
              <w:rPr>
                <w:rFonts w:hint="eastAsia" w:ascii="宋体" w:hAnsi="宋体" w:eastAsia="宋体"/>
                <w:b w:val="0"/>
                <w:color w:val="auto"/>
                <w:sz w:val="22"/>
                <w:szCs w:val="22"/>
                <w:highlight w:val="none"/>
                <w:lang w:val="en-US" w:eastAsia="zh-CN"/>
              </w:rPr>
            </w:pPr>
          </w:p>
        </w:tc>
        <w:tc>
          <w:tcPr>
            <w:tcW w:w="134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b w:val="0"/>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1540" w:type="dxa"/>
            <w:vMerge w:val="continue"/>
            <w:noWrap w:val="0"/>
            <w:vAlign w:val="center"/>
          </w:tcPr>
          <w:p>
            <w:pPr>
              <w:pStyle w:val="24"/>
              <w:keepNext w:val="0"/>
              <w:keepLines w:val="0"/>
              <w:suppressLineNumbers w:val="0"/>
              <w:spacing w:before="0" w:beforeAutospacing="0" w:after="0" w:afterAutospacing="0" w:line="340" w:lineRule="exact"/>
              <w:ind w:left="422" w:right="0" w:firstLine="440"/>
              <w:jc w:val="center"/>
              <w:rPr>
                <w:rFonts w:ascii="宋体" w:hAnsi="宋体" w:eastAsia="宋体"/>
                <w:b w:val="0"/>
                <w:color w:val="auto"/>
                <w:sz w:val="22"/>
                <w:szCs w:val="22"/>
                <w:highlight w:val="none"/>
                <w:lang w:val="en-US" w:eastAsia="zh-CN"/>
              </w:rPr>
            </w:pPr>
          </w:p>
        </w:tc>
        <w:tc>
          <w:tcPr>
            <w:tcW w:w="3033" w:type="dxa"/>
            <w:noWrap w:val="0"/>
            <w:vAlign w:val="center"/>
          </w:tcPr>
          <w:p>
            <w:pPr>
              <w:pStyle w:val="24"/>
              <w:keepNext w:val="0"/>
              <w:keepLines w:val="0"/>
              <w:suppressLineNumbers w:val="0"/>
              <w:spacing w:before="0" w:beforeAutospacing="0" w:after="0" w:afterAutospacing="0" w:line="340" w:lineRule="exact"/>
              <w:ind w:left="0" w:right="0" w:firstLine="0" w:firstLineChars="0"/>
              <w:jc w:val="center"/>
              <w:rPr>
                <w:rFonts w:hint="eastAsia" w:ascii="宋体" w:hAnsi="宋体" w:eastAsia="宋体"/>
                <w:b w:val="0"/>
                <w:bCs/>
                <w:color w:val="auto"/>
                <w:kern w:val="2"/>
                <w:sz w:val="22"/>
                <w:szCs w:val="22"/>
                <w:highlight w:val="none"/>
                <w:lang w:val="en-US" w:eastAsia="zh-CN" w:bidi="ar-SA"/>
              </w:rPr>
            </w:pPr>
          </w:p>
        </w:tc>
        <w:tc>
          <w:tcPr>
            <w:tcW w:w="2688"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auto"/>
                <w:sz w:val="22"/>
                <w:szCs w:val="22"/>
                <w:highlight w:val="none"/>
                <w:lang w:val="en-US" w:eastAsia="zh-CN"/>
              </w:rPr>
            </w:pPr>
          </w:p>
        </w:tc>
        <w:tc>
          <w:tcPr>
            <w:tcW w:w="1345"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auto"/>
                <w:sz w:val="22"/>
                <w:szCs w:val="22"/>
                <w:highlight w:val="none"/>
                <w:lang w:val="en-US" w:eastAsia="zh-CN"/>
              </w:rPr>
            </w:pPr>
          </w:p>
        </w:tc>
        <w:tc>
          <w:tcPr>
            <w:tcW w:w="1345" w:type="dxa"/>
            <w:noWrap w:val="0"/>
            <w:vAlign w:val="center"/>
          </w:tcPr>
          <w:p>
            <w:pPr>
              <w:keepNext w:val="0"/>
              <w:keepLines w:val="0"/>
              <w:suppressLineNumbers w:val="0"/>
              <w:spacing w:before="0" w:beforeAutospacing="0" w:after="0" w:afterAutospacing="0" w:line="400" w:lineRule="exact"/>
              <w:ind w:left="0" w:right="0"/>
              <w:jc w:val="center"/>
              <w:rPr>
                <w:rFonts w:ascii="宋体" w:hAnsi="宋体" w:eastAsia="宋体"/>
                <w:b w:val="0"/>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1540" w:type="dxa"/>
            <w:vMerge w:val="continue"/>
            <w:noWrap w:val="0"/>
            <w:vAlign w:val="center"/>
          </w:tcPr>
          <w:p>
            <w:pPr>
              <w:pStyle w:val="24"/>
              <w:keepNext w:val="0"/>
              <w:keepLines w:val="0"/>
              <w:suppressLineNumbers w:val="0"/>
              <w:spacing w:before="0" w:beforeAutospacing="0" w:after="0" w:afterAutospacing="0" w:line="340" w:lineRule="exact"/>
              <w:ind w:left="422" w:right="0" w:firstLine="440"/>
              <w:jc w:val="center"/>
              <w:rPr>
                <w:rFonts w:ascii="宋体" w:hAnsi="宋体" w:eastAsia="宋体"/>
                <w:b w:val="0"/>
                <w:color w:val="auto"/>
                <w:sz w:val="22"/>
                <w:szCs w:val="22"/>
                <w:highlight w:val="none"/>
                <w:lang w:val="en-US" w:eastAsia="zh-CN"/>
              </w:rPr>
            </w:pPr>
          </w:p>
        </w:tc>
        <w:tc>
          <w:tcPr>
            <w:tcW w:w="5721" w:type="dxa"/>
            <w:gridSpan w:val="2"/>
            <w:noWrap w:val="0"/>
            <w:vAlign w:val="center"/>
          </w:tcPr>
          <w:p>
            <w:pPr>
              <w:pStyle w:val="24"/>
              <w:keepNext w:val="0"/>
              <w:keepLines w:val="0"/>
              <w:suppressLineNumbers w:val="0"/>
              <w:spacing w:before="0" w:beforeAutospacing="0" w:after="0" w:afterAutospacing="0" w:line="340" w:lineRule="exact"/>
              <w:ind w:left="0" w:right="0"/>
              <w:jc w:val="center"/>
              <w:rPr>
                <w:rFonts w:ascii="宋体" w:hAnsi="宋体" w:eastAsia="宋体"/>
                <w:b w:val="0"/>
                <w:color w:val="auto"/>
                <w:sz w:val="22"/>
                <w:szCs w:val="22"/>
                <w:highlight w:val="none"/>
                <w:lang w:val="en-US" w:eastAsia="zh-CN"/>
              </w:rPr>
            </w:pPr>
            <w:r>
              <w:rPr>
                <w:rFonts w:hint="eastAsia" w:ascii="宋体" w:hAnsi="宋体" w:eastAsia="宋体"/>
                <w:b w:val="0"/>
                <w:color w:val="auto"/>
                <w:sz w:val="22"/>
                <w:szCs w:val="22"/>
                <w:highlight w:val="none"/>
                <w:lang w:val="en-US" w:eastAsia="zh-CN"/>
              </w:rPr>
              <w:t>合计报价（元）</w:t>
            </w:r>
          </w:p>
        </w:tc>
        <w:tc>
          <w:tcPr>
            <w:tcW w:w="1345"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auto"/>
                <w:sz w:val="22"/>
                <w:szCs w:val="22"/>
                <w:highlight w:val="none"/>
                <w:lang w:val="en-US" w:eastAsia="zh-CN"/>
              </w:rPr>
            </w:pPr>
          </w:p>
        </w:tc>
        <w:tc>
          <w:tcPr>
            <w:tcW w:w="1345" w:type="dxa"/>
            <w:noWrap w:val="0"/>
            <w:vAlign w:val="center"/>
          </w:tcPr>
          <w:p>
            <w:pPr>
              <w:pStyle w:val="24"/>
              <w:keepNext w:val="0"/>
              <w:keepLines w:val="0"/>
              <w:suppressLineNumbers w:val="0"/>
              <w:spacing w:before="0" w:beforeAutospacing="0" w:after="0" w:afterAutospacing="0" w:line="340" w:lineRule="exact"/>
              <w:ind w:left="0" w:right="0"/>
              <w:rPr>
                <w:rFonts w:ascii="宋体" w:hAnsi="宋体" w:eastAsia="宋体"/>
                <w:b w:val="0"/>
                <w:color w:val="auto"/>
                <w:sz w:val="22"/>
                <w:szCs w:val="22"/>
                <w:highlight w:val="none"/>
                <w:lang w:val="en-US" w:eastAsia="zh-CN"/>
              </w:rPr>
            </w:pPr>
          </w:p>
        </w:tc>
      </w:tr>
    </w:tbl>
    <w:p>
      <w:pPr>
        <w:autoSpaceDE w:val="0"/>
        <w:autoSpaceDN w:val="0"/>
        <w:adjustRightInd w:val="0"/>
        <w:spacing w:line="360" w:lineRule="auto"/>
        <w:rPr>
          <w:rFonts w:hint="eastAsia" w:ascii="宋体" w:hAnsi="宋体" w:eastAsia="宋体" w:cs="宋体"/>
          <w:b/>
          <w:bCs/>
          <w:color w:val="auto"/>
          <w:kern w:val="0"/>
          <w:sz w:val="22"/>
          <w:szCs w:val="22"/>
          <w:highlight w:val="none"/>
          <w:lang w:val="zh-CN"/>
        </w:rPr>
      </w:pPr>
    </w:p>
    <w:p>
      <w:pPr>
        <w:autoSpaceDE w:val="0"/>
        <w:autoSpaceDN w:val="0"/>
        <w:adjustRightInd w:val="0"/>
        <w:spacing w:line="360" w:lineRule="auto"/>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说明：</w:t>
      </w:r>
    </w:p>
    <w:p>
      <w:pPr>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表内合计报价应与附件</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一览表”中的投标报价相一致。</w:t>
      </w:r>
    </w:p>
    <w:p>
      <w:pPr>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报价中须包含符合</w:t>
      </w:r>
      <w:r>
        <w:rPr>
          <w:rFonts w:hint="eastAsia" w:ascii="宋体" w:hAnsi="宋体" w:cs="宋体"/>
          <w:color w:val="auto"/>
          <w:sz w:val="21"/>
          <w:szCs w:val="21"/>
          <w:highlight w:val="none"/>
          <w:lang w:eastAsia="zh-CN"/>
        </w:rPr>
        <w:t>竞争性磋商</w:t>
      </w:r>
      <w:r>
        <w:rPr>
          <w:rFonts w:hint="eastAsia" w:ascii="宋体" w:hAnsi="宋体" w:eastAsia="宋体" w:cs="宋体"/>
          <w:color w:val="auto"/>
          <w:sz w:val="21"/>
          <w:szCs w:val="21"/>
          <w:highlight w:val="none"/>
        </w:rPr>
        <w:t>文件要求的所有费用。</w:t>
      </w:r>
    </w:p>
    <w:p>
      <w:pPr>
        <w:spacing w:line="440" w:lineRule="exact"/>
        <w:ind w:firstLine="632" w:firstLineChars="3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 xml:space="preserve">3. </w:t>
      </w:r>
      <w:r>
        <w:rPr>
          <w:rFonts w:hint="eastAsia" w:ascii="宋体" w:hAnsi="宋体" w:eastAsia="宋体" w:cs="宋体"/>
          <w:b/>
          <w:bCs w:val="0"/>
          <w:color w:val="auto"/>
          <w:sz w:val="21"/>
          <w:szCs w:val="21"/>
          <w:highlight w:val="none"/>
          <w:u w:val="single"/>
        </w:rPr>
        <w:t>▲</w:t>
      </w:r>
      <w:r>
        <w:rPr>
          <w:rFonts w:hint="eastAsia" w:ascii="宋体" w:hAnsi="宋体" w:eastAsia="宋体" w:cs="宋体"/>
          <w:b/>
          <w:bCs/>
          <w:color w:val="auto"/>
          <w:sz w:val="21"/>
          <w:szCs w:val="21"/>
          <w:highlight w:val="none"/>
          <w:u w:val="single"/>
        </w:rPr>
        <w:t>不提供分项报价表将视为没有实质性响应</w:t>
      </w:r>
      <w:r>
        <w:rPr>
          <w:rFonts w:hint="eastAsia" w:ascii="宋体" w:hAnsi="宋体" w:cs="宋体"/>
          <w:b/>
          <w:bCs/>
          <w:color w:val="auto"/>
          <w:sz w:val="21"/>
          <w:szCs w:val="21"/>
          <w:highlight w:val="none"/>
          <w:u w:val="single"/>
          <w:lang w:eastAsia="zh-CN"/>
        </w:rPr>
        <w:t>磋商</w:t>
      </w:r>
      <w:r>
        <w:rPr>
          <w:rFonts w:hint="eastAsia" w:ascii="宋体" w:hAnsi="宋体" w:eastAsia="宋体" w:cs="宋体"/>
          <w:b/>
          <w:bCs/>
          <w:color w:val="auto"/>
          <w:sz w:val="21"/>
          <w:szCs w:val="21"/>
          <w:highlight w:val="none"/>
          <w:u w:val="single"/>
        </w:rPr>
        <w:t>文件。</w:t>
      </w:r>
    </w:p>
    <w:p>
      <w:pPr>
        <w:spacing w:line="440" w:lineRule="exact"/>
        <w:ind w:firstLine="630" w:firstLineChars="3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表格可延续。</w:t>
      </w:r>
    </w:p>
    <w:p>
      <w:pPr>
        <w:spacing w:line="440" w:lineRule="exact"/>
        <w:rPr>
          <w:rFonts w:hint="eastAsia" w:ascii="宋体" w:hAnsi="宋体" w:eastAsia="宋体" w:cs="宋体"/>
          <w:color w:val="auto"/>
          <w:sz w:val="21"/>
          <w:szCs w:val="21"/>
          <w:highlight w:val="none"/>
        </w:rPr>
      </w:pP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w:t>
      </w:r>
      <w:r>
        <w:rPr>
          <w:rFonts w:hint="eastAsia" w:ascii="宋体" w:hAnsi="宋体" w:eastAsia="宋体" w:cs="宋体"/>
          <w:color w:val="auto"/>
          <w:sz w:val="21"/>
          <w:szCs w:val="21"/>
          <w:highlight w:val="none"/>
          <w:lang w:val="zh-CN"/>
        </w:rPr>
        <w:t>（盖章或 CA签章）</w:t>
      </w:r>
      <w:r>
        <w:rPr>
          <w:rFonts w:hint="eastAsia" w:ascii="宋体" w:hAnsi="宋体" w:eastAsia="宋体" w:cs="宋体"/>
          <w:color w:val="auto"/>
          <w:sz w:val="21"/>
          <w:szCs w:val="21"/>
          <w:highlight w:val="none"/>
        </w:rPr>
        <w:t>：</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法定代表人（负责人）或委托代理人（盖章或签字）</w:t>
      </w:r>
      <w:r>
        <w:rPr>
          <w:rFonts w:hint="eastAsia" w:ascii="宋体" w:hAnsi="宋体" w:eastAsia="宋体" w:cs="宋体"/>
          <w:color w:val="auto"/>
          <w:sz w:val="21"/>
          <w:szCs w:val="21"/>
          <w:highlight w:val="none"/>
        </w:rPr>
        <w:t>：</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widowControl/>
        <w:adjustRightInd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eastAsia="zh-CN"/>
        </w:rPr>
        <w:t>附件三</w:t>
      </w:r>
      <w:r>
        <w:rPr>
          <w:rFonts w:hint="eastAsia" w:ascii="宋体" w:hAnsi="宋体" w:eastAsia="宋体" w:cs="宋体"/>
          <w:b/>
          <w:color w:val="auto"/>
          <w:kern w:val="0"/>
          <w:sz w:val="28"/>
          <w:szCs w:val="28"/>
          <w:highlight w:val="none"/>
        </w:rPr>
        <w:t>、中小企业声明函（或监狱企业证明文件）、残疾人福利性单位声明函</w:t>
      </w:r>
    </w:p>
    <w:p>
      <w:pPr>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（则按采购文件第二部分相关要求提供证明文件）</w:t>
      </w:r>
    </w:p>
    <w:p>
      <w:pPr>
        <w:rPr>
          <w:rFonts w:hint="eastAsia"/>
          <w:color w:val="auto"/>
          <w:highlight w:val="none"/>
        </w:rPr>
      </w:pPr>
      <w:r>
        <w:rPr>
          <w:rFonts w:hint="eastAsia"/>
          <w:color w:val="auto"/>
          <w:highlight w:val="none"/>
        </w:rPr>
        <w:br w:type="page"/>
      </w:r>
    </w:p>
    <w:p>
      <w:pPr>
        <w:pStyle w:val="4"/>
        <w:rPr>
          <w:rFonts w:hint="eastAsia"/>
          <w:color w:val="auto"/>
          <w:highlight w:val="none"/>
        </w:rPr>
      </w:pPr>
    </w:p>
    <w:p>
      <w:pPr>
        <w:autoSpaceDE w:val="0"/>
        <w:autoSpaceDN w:val="0"/>
        <w:adjustRightInd w:val="0"/>
        <w:spacing w:line="430" w:lineRule="atLeast"/>
        <w:jc w:val="center"/>
        <w:rPr>
          <w:rFonts w:hint="eastAsia" w:ascii="宋体" w:hAnsi="宋体" w:eastAsia="宋体" w:cs="宋体"/>
          <w:b w:val="0"/>
          <w:bCs w:val="0"/>
          <w:color w:val="auto"/>
          <w:sz w:val="22"/>
          <w:szCs w:val="22"/>
          <w:highlight w:val="none"/>
        </w:rPr>
      </w:pPr>
      <w:bookmarkStart w:id="82" w:name="_Toc73917581"/>
    </w:p>
    <w:p>
      <w:pPr>
        <w:autoSpaceDE w:val="0"/>
        <w:autoSpaceDN w:val="0"/>
        <w:adjustRightInd w:val="0"/>
        <w:spacing w:line="430" w:lineRule="atLeast"/>
        <w:jc w:val="center"/>
        <w:rPr>
          <w:rFonts w:hint="eastAsia" w:ascii="宋体" w:hAnsi="宋体" w:eastAsia="宋体" w:cs="宋体"/>
          <w:color w:val="auto"/>
          <w:sz w:val="22"/>
          <w:szCs w:val="22"/>
          <w:highlight w:val="none"/>
        </w:rPr>
      </w:pPr>
      <w:r>
        <w:rPr>
          <w:rFonts w:hint="eastAsia" w:ascii="宋体" w:hAnsi="宋体" w:eastAsia="宋体" w:cs="宋体"/>
          <w:bCs w:val="0"/>
          <w:color w:val="auto"/>
          <w:sz w:val="36"/>
          <w:szCs w:val="36"/>
          <w:highlight w:val="none"/>
        </w:rPr>
        <w:t>第五部分   采购内容及要求</w:t>
      </w:r>
      <w:bookmarkEnd w:id="82"/>
    </w:p>
    <w:bookmarkEnd w:id="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Pr>
        <w:pStyle w:val="17"/>
        <w:spacing w:line="560" w:lineRule="exact"/>
        <w:ind w:firstLine="444" w:firstLineChars="201"/>
        <w:rPr>
          <w:rFonts w:hint="eastAsia" w:ascii="宋体" w:hAnsi="宋体" w:cs="宋体"/>
          <w:b/>
          <w:bCs/>
          <w:color w:val="auto"/>
          <w:sz w:val="22"/>
          <w:szCs w:val="22"/>
          <w:highlight w:val="none"/>
        </w:rPr>
      </w:pPr>
      <w:bookmarkStart w:id="83" w:name="_Toc494407530"/>
      <w:r>
        <w:rPr>
          <w:rFonts w:hint="eastAsia" w:ascii="宋体" w:hAnsi="宋体" w:cs="宋体"/>
          <w:b/>
          <w:bCs/>
          <w:color w:val="auto"/>
          <w:sz w:val="22"/>
          <w:szCs w:val="22"/>
          <w:highlight w:val="none"/>
          <w:lang w:eastAsia="zh-CN"/>
        </w:rPr>
        <w:t>一</w:t>
      </w:r>
      <w:r>
        <w:rPr>
          <w:rFonts w:hint="eastAsia" w:ascii="宋体" w:hAnsi="宋体" w:cs="宋体"/>
          <w:b/>
          <w:bCs/>
          <w:color w:val="auto"/>
          <w:sz w:val="22"/>
          <w:szCs w:val="22"/>
          <w:highlight w:val="none"/>
        </w:rPr>
        <w:t>、项目背景</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“十五五”规划是基本实现高水平现代化承上启下的关键规划，是加快转入高质量发展轨道的关键规划，也是国际国内宏观形势变局中赢得战略主动的关键规划。开展</w:t>
      </w:r>
      <w:r>
        <w:rPr>
          <w:rFonts w:hint="default" w:ascii="Arial" w:hAnsi="宋体" w:cs="Arial"/>
          <w:color w:val="auto"/>
          <w:szCs w:val="22"/>
          <w:highlight w:val="none"/>
          <w:lang w:val="en-US" w:eastAsia="zh-CN"/>
        </w:rPr>
        <w:t>龙湾区国民经济和社会发展十五五规划基本思路编制</w:t>
      </w:r>
      <w:r>
        <w:rPr>
          <w:rFonts w:hint="eastAsia" w:ascii="Arial" w:hAnsi="宋体" w:cs="Arial"/>
          <w:color w:val="auto"/>
          <w:szCs w:val="22"/>
          <w:highlight w:val="none"/>
        </w:rPr>
        <w:t>，即是落实省市要求的规定动作，更是我区系统谋划未来五年发展，在新发展格局中厚植优势，在新发展形势中抢抓机遇，在新发展需求中补强短板，持续增强发展动能的重要抓手，意义重大。</w:t>
      </w:r>
    </w:p>
    <w:p>
      <w:pPr>
        <w:pStyle w:val="17"/>
        <w:spacing w:line="560" w:lineRule="exact"/>
        <w:ind w:firstLine="444" w:firstLineChars="201"/>
        <w:rPr>
          <w:rFonts w:ascii="宋体" w:hAnsi="宋体" w:cs="宋体"/>
          <w:b/>
          <w:bCs/>
          <w:color w:val="auto"/>
          <w:sz w:val="22"/>
          <w:szCs w:val="22"/>
          <w:highlight w:val="none"/>
        </w:rPr>
      </w:pPr>
      <w:bookmarkStart w:id="84" w:name="_Toc18025"/>
      <w:r>
        <w:rPr>
          <w:rFonts w:hint="eastAsia" w:ascii="宋体" w:hAnsi="宋体" w:cs="宋体"/>
          <w:b/>
          <w:bCs/>
          <w:color w:val="auto"/>
          <w:sz w:val="22"/>
          <w:szCs w:val="22"/>
          <w:highlight w:val="none"/>
          <w:lang w:eastAsia="zh-CN"/>
        </w:rPr>
        <w:t>二</w:t>
      </w:r>
      <w:r>
        <w:rPr>
          <w:rFonts w:hint="eastAsia" w:ascii="宋体" w:hAnsi="宋体" w:cs="宋体"/>
          <w:b/>
          <w:bCs/>
          <w:color w:val="auto"/>
          <w:sz w:val="22"/>
          <w:szCs w:val="22"/>
          <w:highlight w:val="none"/>
        </w:rPr>
        <w:t>、采购内容</w:t>
      </w:r>
      <w:bookmarkEnd w:id="84"/>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针对</w:t>
      </w:r>
      <w:r>
        <w:rPr>
          <w:rFonts w:hint="eastAsia" w:ascii="Arial" w:hAnsi="宋体" w:cs="Arial"/>
          <w:color w:val="auto"/>
          <w:szCs w:val="22"/>
          <w:highlight w:val="none"/>
          <w:lang w:val="en-US" w:eastAsia="zh-CN"/>
        </w:rPr>
        <w:t>龙湾</w:t>
      </w:r>
      <w:r>
        <w:rPr>
          <w:rFonts w:hint="eastAsia" w:ascii="Arial" w:hAnsi="宋体" w:cs="Arial"/>
          <w:color w:val="auto"/>
          <w:szCs w:val="22"/>
          <w:highlight w:val="none"/>
        </w:rPr>
        <w:t>区“十五五”时期及中长期发展全局性、战略性、前瞻性、关键性问题，研究形成《</w:t>
      </w:r>
      <w:r>
        <w:rPr>
          <w:rFonts w:hint="default" w:ascii="Arial" w:hAnsi="宋体" w:cs="Arial"/>
          <w:color w:val="auto"/>
          <w:szCs w:val="22"/>
          <w:highlight w:val="none"/>
          <w:lang w:val="en-US" w:eastAsia="zh-CN"/>
        </w:rPr>
        <w:t>龙湾区国民经济和社会发展十五五规划基本思路</w:t>
      </w:r>
      <w:r>
        <w:rPr>
          <w:rFonts w:hint="eastAsia" w:ascii="Arial" w:hAnsi="宋体" w:cs="Arial"/>
          <w:color w:val="auto"/>
          <w:szCs w:val="22"/>
          <w:highlight w:val="none"/>
        </w:rPr>
        <w:t>》报告（以下简称《基本思路》）。</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《基本思路》包括但不限以下内容：</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1.“十五五”发展的基础。分析“十四五”时期</w:t>
      </w:r>
      <w:r>
        <w:rPr>
          <w:rFonts w:hint="eastAsia" w:ascii="Arial" w:hAnsi="宋体" w:cs="Arial"/>
          <w:color w:val="auto"/>
          <w:szCs w:val="22"/>
          <w:highlight w:val="none"/>
          <w:lang w:val="en-US" w:eastAsia="zh-CN"/>
        </w:rPr>
        <w:t>龙湾</w:t>
      </w:r>
      <w:r>
        <w:rPr>
          <w:rFonts w:hint="eastAsia" w:ascii="Arial" w:hAnsi="宋体" w:cs="Arial"/>
          <w:color w:val="auto"/>
          <w:szCs w:val="22"/>
          <w:highlight w:val="none"/>
        </w:rPr>
        <w:t>区经济社会发展取得的成绩，评估“十四五”指标完成情况，分析未来仍待突破的短板。</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2.“十五五”发展的思路。提出“十五五”时期</w:t>
      </w:r>
      <w:r>
        <w:rPr>
          <w:rFonts w:hint="eastAsia" w:ascii="Arial" w:hAnsi="宋体" w:cs="Arial"/>
          <w:color w:val="auto"/>
          <w:szCs w:val="22"/>
          <w:highlight w:val="none"/>
          <w:lang w:val="en-US" w:eastAsia="zh-CN"/>
        </w:rPr>
        <w:t>龙湾</w:t>
      </w:r>
      <w:r>
        <w:rPr>
          <w:rFonts w:hint="eastAsia" w:ascii="Arial" w:hAnsi="宋体" w:cs="Arial"/>
          <w:color w:val="auto"/>
          <w:szCs w:val="22"/>
          <w:highlight w:val="none"/>
        </w:rPr>
        <w:t>区经济社会发展总体思路、发展定位、战略路径、</w:t>
      </w:r>
      <w:r>
        <w:rPr>
          <w:rFonts w:hint="eastAsia" w:ascii="Arial" w:hAnsi="宋体" w:cs="Arial"/>
          <w:color w:val="auto"/>
          <w:szCs w:val="22"/>
          <w:highlight w:val="none"/>
        </w:rPr>
        <w:t>发展目标（指标）、重点任务等。谋划“十五五”时期发展的重大产业、重大平台、重大项目、重大政策、重大改革等内容。</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3.“十五五”需重点突破的若干重大问题。着眼于“十五五”时期发展机遇和短板，解决若干需全力突破的重大问题。</w:t>
      </w:r>
    </w:p>
    <w:p>
      <w:pPr>
        <w:pStyle w:val="17"/>
        <w:spacing w:line="560" w:lineRule="exact"/>
        <w:ind w:firstLine="444" w:firstLineChars="201"/>
        <w:rPr>
          <w:rFonts w:hint="eastAsia" w:ascii="宋体" w:hAnsi="宋体" w:cs="宋体"/>
          <w:b/>
          <w:bCs/>
          <w:color w:val="auto"/>
          <w:sz w:val="22"/>
          <w:szCs w:val="22"/>
          <w:highlight w:val="none"/>
        </w:rPr>
      </w:pPr>
      <w:bookmarkStart w:id="85" w:name="_Toc5884"/>
      <w:r>
        <w:rPr>
          <w:rFonts w:hint="eastAsia" w:ascii="宋体" w:hAnsi="宋体" w:cs="宋体"/>
          <w:b/>
          <w:bCs/>
          <w:color w:val="auto"/>
          <w:sz w:val="22"/>
          <w:szCs w:val="22"/>
          <w:highlight w:val="none"/>
          <w:lang w:eastAsia="zh-CN"/>
        </w:rPr>
        <w:t>三</w:t>
      </w:r>
      <w:r>
        <w:rPr>
          <w:rFonts w:hint="eastAsia" w:ascii="宋体" w:hAnsi="宋体" w:cs="宋体"/>
          <w:b/>
          <w:bCs/>
          <w:color w:val="auto"/>
          <w:sz w:val="22"/>
          <w:szCs w:val="22"/>
          <w:highlight w:val="none"/>
        </w:rPr>
        <w:t>、工作要求</w:t>
      </w:r>
      <w:bookmarkEnd w:id="85"/>
    </w:p>
    <w:p>
      <w:pPr>
        <w:snapToGrid w:val="0"/>
        <w:spacing w:line="440" w:lineRule="exact"/>
        <w:ind w:firstLine="420" w:firstLineChars="200"/>
        <w:rPr>
          <w:rFonts w:hint="eastAsia" w:ascii="Arial" w:hAnsi="宋体" w:cs="Arial"/>
          <w:color w:val="auto"/>
          <w:szCs w:val="22"/>
          <w:highlight w:val="none"/>
        </w:rPr>
      </w:pPr>
      <w:bookmarkStart w:id="86" w:name="_Toc10390"/>
      <w:r>
        <w:rPr>
          <w:rFonts w:hint="eastAsia" w:ascii="Arial" w:hAnsi="宋体" w:cs="Arial"/>
          <w:color w:val="auto"/>
          <w:szCs w:val="22"/>
          <w:highlight w:val="none"/>
        </w:rPr>
        <w:t>1.做好与国家、省市“十五五”规划要求的衔接，开阔视野，系统全面分析研究“十五五”时期的发展新趋势、新要求。加强调研工作，深入相关部门、各乡镇街道和产业平台进行深入调研。数据准确可靠，采用统计年鉴、公报以及行业管理部门、地方统计数据。做好专家咨询工作，确保研究质量和水平。</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2.根据</w:t>
      </w:r>
      <w:r>
        <w:rPr>
          <w:rFonts w:hint="eastAsia" w:ascii="Arial" w:hAnsi="宋体" w:cs="Arial"/>
          <w:color w:val="auto"/>
          <w:szCs w:val="22"/>
          <w:highlight w:val="none"/>
          <w:lang w:val="en-US" w:eastAsia="zh-CN"/>
        </w:rPr>
        <w:t>龙湾</w:t>
      </w:r>
      <w:r>
        <w:rPr>
          <w:rFonts w:hint="eastAsia" w:ascii="Arial" w:hAnsi="宋体" w:cs="Arial"/>
          <w:color w:val="auto"/>
          <w:szCs w:val="22"/>
          <w:highlight w:val="none"/>
        </w:rPr>
        <w:t>实际，突出重点，把握关键，明确指导思想，体现地方特色。注重</w:t>
      </w:r>
      <w:r>
        <w:rPr>
          <w:rFonts w:hint="eastAsia" w:ascii="Arial" w:hAnsi="宋体" w:cs="Arial"/>
          <w:color w:val="auto"/>
          <w:szCs w:val="22"/>
          <w:highlight w:val="none"/>
          <w:lang w:val="en-US" w:eastAsia="zh-CN"/>
        </w:rPr>
        <w:t>龙湾</w:t>
      </w:r>
      <w:r>
        <w:rPr>
          <w:rFonts w:hint="eastAsia" w:ascii="Arial" w:hAnsi="宋体" w:cs="Arial"/>
          <w:color w:val="auto"/>
          <w:szCs w:val="22"/>
          <w:highlight w:val="none"/>
        </w:rPr>
        <w:t>区“十五五”</w:t>
      </w:r>
      <w:r>
        <w:rPr>
          <w:rFonts w:hint="eastAsia" w:ascii="Arial" w:hAnsi="宋体" w:cs="Arial"/>
          <w:color w:val="auto"/>
          <w:szCs w:val="22"/>
          <w:highlight w:val="none"/>
          <w:lang w:val="en-US" w:eastAsia="zh-CN"/>
        </w:rPr>
        <w:t>基本思路</w:t>
      </w:r>
      <w:r>
        <w:rPr>
          <w:rFonts w:hint="eastAsia" w:ascii="Arial" w:hAnsi="宋体" w:cs="Arial"/>
          <w:color w:val="auto"/>
          <w:szCs w:val="22"/>
          <w:highlight w:val="none"/>
        </w:rPr>
        <w:t>的战略性、前瞻性、指导性</w:t>
      </w:r>
      <w:r>
        <w:rPr>
          <w:rFonts w:hint="eastAsia" w:ascii="Arial" w:hAnsi="宋体" w:cs="Arial"/>
          <w:color w:val="auto"/>
          <w:szCs w:val="22"/>
          <w:highlight w:val="none"/>
          <w:lang w:val="en-US" w:eastAsia="zh-CN"/>
        </w:rPr>
        <w:t>和</w:t>
      </w:r>
      <w:r>
        <w:rPr>
          <w:rFonts w:hint="eastAsia" w:ascii="Arial" w:hAnsi="宋体" w:cs="Arial"/>
          <w:color w:val="auto"/>
          <w:szCs w:val="22"/>
          <w:highlight w:val="none"/>
        </w:rPr>
        <w:t>特色性。</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3.严格保密，加强管理。项目由</w:t>
      </w:r>
      <w:r>
        <w:rPr>
          <w:rFonts w:hint="eastAsia" w:ascii="Arial" w:hAnsi="宋体" w:cs="Arial"/>
          <w:color w:val="auto"/>
          <w:szCs w:val="22"/>
          <w:highlight w:val="none"/>
          <w:lang w:val="en-US" w:eastAsia="zh-CN"/>
        </w:rPr>
        <w:t>龙湾</w:t>
      </w:r>
      <w:r>
        <w:rPr>
          <w:rFonts w:hint="eastAsia" w:ascii="Arial" w:hAnsi="宋体" w:cs="Arial"/>
          <w:color w:val="auto"/>
          <w:szCs w:val="22"/>
          <w:highlight w:val="none"/>
        </w:rPr>
        <w:t>区发展和改革局实施归口管理。参与研究编制的单位和个人要严格执行保密要求，不得擅自对外公布研究和编制过程中的数据、相关成果和相关信息。</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4.编制团队定期或不定期向采购人报告和交流工作进展情况，采购人对委托项目进行监督。</w:t>
      </w:r>
    </w:p>
    <w:p>
      <w:pPr>
        <w:snapToGrid w:val="0"/>
        <w:spacing w:line="440" w:lineRule="exact"/>
        <w:ind w:firstLine="420" w:firstLineChars="200"/>
        <w:rPr>
          <w:rFonts w:hint="eastAsia" w:ascii="Arial" w:hAnsi="宋体" w:cs="Arial"/>
          <w:color w:val="auto"/>
          <w:szCs w:val="22"/>
          <w:highlight w:val="none"/>
          <w:lang w:val="zh-CN"/>
        </w:rPr>
      </w:pPr>
      <w:r>
        <w:rPr>
          <w:rFonts w:hint="eastAsia" w:ascii="Arial" w:hAnsi="宋体" w:cs="Arial"/>
          <w:color w:val="auto"/>
          <w:szCs w:val="22"/>
          <w:highlight w:val="none"/>
        </w:rPr>
        <w:t>5.成交供应商按合同约定的时间向采购人提交研究成果。</w:t>
      </w:r>
    </w:p>
    <w:p>
      <w:pPr>
        <w:pStyle w:val="17"/>
        <w:spacing w:line="560" w:lineRule="exact"/>
        <w:ind w:firstLine="444" w:firstLineChars="201"/>
        <w:rPr>
          <w:rFonts w:hint="eastAsia" w:ascii="宋体" w:hAnsi="宋体" w:cs="宋体"/>
          <w:b/>
          <w:bCs/>
          <w:color w:val="auto"/>
          <w:sz w:val="22"/>
          <w:szCs w:val="22"/>
          <w:highlight w:val="none"/>
        </w:rPr>
      </w:pPr>
      <w:bookmarkStart w:id="87" w:name="_Toc6077"/>
      <w:r>
        <w:rPr>
          <w:rFonts w:hint="eastAsia" w:ascii="宋体" w:hAnsi="宋体" w:cs="宋体"/>
          <w:b/>
          <w:bCs/>
          <w:color w:val="auto"/>
          <w:sz w:val="22"/>
          <w:szCs w:val="22"/>
          <w:highlight w:val="none"/>
          <w:lang w:eastAsia="zh-CN"/>
        </w:rPr>
        <w:t>四</w:t>
      </w:r>
      <w:r>
        <w:rPr>
          <w:rFonts w:hint="eastAsia" w:ascii="宋体" w:hAnsi="宋体" w:cs="宋体"/>
          <w:b/>
          <w:bCs/>
          <w:color w:val="auto"/>
          <w:sz w:val="22"/>
          <w:szCs w:val="22"/>
          <w:highlight w:val="none"/>
        </w:rPr>
        <w:t>、成果</w:t>
      </w:r>
      <w:bookmarkEnd w:id="86"/>
      <w:r>
        <w:rPr>
          <w:rFonts w:hint="eastAsia" w:ascii="宋体" w:hAnsi="宋体" w:cs="宋体"/>
          <w:b/>
          <w:bCs/>
          <w:color w:val="auto"/>
          <w:sz w:val="22"/>
          <w:szCs w:val="22"/>
          <w:highlight w:val="none"/>
        </w:rPr>
        <w:t>要求及形式</w:t>
      </w:r>
      <w:bookmarkEnd w:id="87"/>
    </w:p>
    <w:p>
      <w:pPr>
        <w:snapToGrid w:val="0"/>
        <w:spacing w:line="440" w:lineRule="exact"/>
        <w:ind w:firstLine="420" w:firstLineChars="200"/>
        <w:rPr>
          <w:rFonts w:hint="eastAsia" w:ascii="Arial" w:hAnsi="宋体" w:cs="Arial"/>
          <w:color w:val="auto"/>
          <w:szCs w:val="22"/>
          <w:highlight w:val="none"/>
        </w:rPr>
      </w:pPr>
      <w:bookmarkStart w:id="88" w:name="_Toc23486"/>
      <w:r>
        <w:rPr>
          <w:rFonts w:hint="eastAsia" w:ascii="Arial" w:hAnsi="宋体" w:cs="Arial"/>
          <w:color w:val="auto"/>
          <w:szCs w:val="22"/>
          <w:highlight w:val="none"/>
        </w:rPr>
        <w:t>1.成果要求：成果内容须符合本项目采购需求的有关要求和国家的相关标准。</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2.成果形式：纸质文件和电子文件两种形式，纸质文本份数根据采购方要求提供。</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3.主要成果：《</w:t>
      </w:r>
      <w:r>
        <w:rPr>
          <w:rFonts w:hint="default" w:ascii="Arial" w:hAnsi="宋体" w:cs="Arial"/>
          <w:color w:val="auto"/>
          <w:szCs w:val="22"/>
          <w:highlight w:val="none"/>
          <w:lang w:val="en-US" w:eastAsia="zh-CN"/>
        </w:rPr>
        <w:t>龙湾区国民经济和社会发展十五五规划基本思路</w:t>
      </w:r>
      <w:r>
        <w:rPr>
          <w:rFonts w:hint="eastAsia" w:ascii="Arial" w:hAnsi="宋体" w:cs="Arial"/>
          <w:color w:val="auto"/>
          <w:szCs w:val="22"/>
          <w:highlight w:val="none"/>
        </w:rPr>
        <w:t>》最终文本、相关附件图表及编制说明。</w:t>
      </w:r>
    </w:p>
    <w:p>
      <w:pPr>
        <w:pStyle w:val="17"/>
        <w:spacing w:line="560" w:lineRule="exact"/>
        <w:ind w:firstLine="444" w:firstLineChars="201"/>
        <w:rPr>
          <w:rFonts w:hint="eastAsia" w:ascii="宋体" w:hAnsi="宋体" w:cs="宋体"/>
          <w:b/>
          <w:bCs/>
          <w:color w:val="auto"/>
          <w:sz w:val="22"/>
          <w:szCs w:val="22"/>
          <w:highlight w:val="none"/>
        </w:rPr>
      </w:pPr>
      <w:bookmarkStart w:id="89" w:name="_Toc30462"/>
      <w:r>
        <w:rPr>
          <w:rFonts w:hint="eastAsia" w:ascii="宋体" w:hAnsi="宋体" w:cs="宋体"/>
          <w:b/>
          <w:bCs/>
          <w:color w:val="auto"/>
          <w:sz w:val="22"/>
          <w:szCs w:val="22"/>
          <w:highlight w:val="none"/>
          <w:lang w:eastAsia="zh-CN"/>
        </w:rPr>
        <w:t>五</w:t>
      </w:r>
      <w:r>
        <w:rPr>
          <w:rFonts w:hint="eastAsia" w:ascii="宋体" w:hAnsi="宋体" w:cs="宋体"/>
          <w:b/>
          <w:bCs/>
          <w:color w:val="auto"/>
          <w:sz w:val="22"/>
          <w:szCs w:val="22"/>
          <w:highlight w:val="none"/>
        </w:rPr>
        <w:t>、进度</w:t>
      </w:r>
      <w:bookmarkEnd w:id="88"/>
      <w:r>
        <w:rPr>
          <w:rFonts w:hint="eastAsia" w:ascii="宋体" w:hAnsi="宋体" w:cs="宋体"/>
          <w:b/>
          <w:bCs/>
          <w:color w:val="auto"/>
          <w:sz w:val="22"/>
          <w:szCs w:val="22"/>
          <w:highlight w:val="none"/>
        </w:rPr>
        <w:t>要求</w:t>
      </w:r>
      <w:bookmarkEnd w:id="89"/>
    </w:p>
    <w:p>
      <w:pPr>
        <w:snapToGrid w:val="0"/>
        <w:spacing w:line="440" w:lineRule="exact"/>
        <w:ind w:firstLine="420" w:firstLineChars="200"/>
        <w:rPr>
          <w:rFonts w:hint="eastAsia" w:ascii="Arial" w:hAnsi="宋体" w:cs="Arial"/>
          <w:color w:val="auto"/>
          <w:szCs w:val="22"/>
          <w:highlight w:val="none"/>
          <w:lang w:val="en-US" w:eastAsia="zh-CN"/>
        </w:rPr>
      </w:pPr>
      <w:bookmarkStart w:id="90" w:name="_Toc4713"/>
      <w:r>
        <w:rPr>
          <w:rFonts w:hint="eastAsia" w:ascii="Arial" w:hAnsi="宋体" w:cs="Arial"/>
          <w:color w:val="auto"/>
          <w:szCs w:val="22"/>
          <w:highlight w:val="none"/>
          <w:lang w:val="en-US" w:eastAsia="zh-CN"/>
        </w:rPr>
        <w:t>1.2025年1月10日前，完成“十五五”《规划基本思路》初稿；</w:t>
      </w:r>
    </w:p>
    <w:p>
      <w:pPr>
        <w:snapToGrid w:val="0"/>
        <w:spacing w:line="440" w:lineRule="exact"/>
        <w:ind w:firstLine="420" w:firstLineChars="200"/>
        <w:rPr>
          <w:rFonts w:hint="eastAsia" w:ascii="Arial" w:hAnsi="宋体" w:cs="Arial"/>
          <w:color w:val="auto"/>
          <w:szCs w:val="22"/>
          <w:highlight w:val="none"/>
          <w:lang w:val="en-US" w:eastAsia="zh-CN"/>
        </w:rPr>
      </w:pPr>
      <w:r>
        <w:rPr>
          <w:rFonts w:hint="eastAsia" w:ascii="Arial" w:hAnsi="宋体" w:cs="Arial"/>
          <w:color w:val="auto"/>
          <w:szCs w:val="22"/>
          <w:highlight w:val="none"/>
          <w:lang w:val="en-US" w:eastAsia="zh-CN"/>
        </w:rPr>
        <w:t>2.2025年1月20日前，完成“十五五”《规划基本思路》专家评审；</w:t>
      </w:r>
    </w:p>
    <w:p>
      <w:pPr>
        <w:snapToGrid w:val="0"/>
        <w:spacing w:line="440" w:lineRule="exact"/>
        <w:ind w:firstLine="420" w:firstLineChars="200"/>
        <w:rPr>
          <w:rFonts w:hint="eastAsia" w:ascii="Arial" w:hAnsi="宋体" w:cs="Arial"/>
          <w:color w:val="auto"/>
          <w:szCs w:val="22"/>
          <w:highlight w:val="none"/>
          <w:lang w:val="en-US" w:eastAsia="zh-CN"/>
        </w:rPr>
      </w:pPr>
      <w:r>
        <w:rPr>
          <w:rFonts w:hint="eastAsia" w:ascii="Arial" w:hAnsi="宋体" w:cs="Arial"/>
          <w:color w:val="auto"/>
          <w:szCs w:val="22"/>
          <w:highlight w:val="none"/>
          <w:lang w:val="en-US" w:eastAsia="zh-CN"/>
        </w:rPr>
        <w:t>3.2025年3月1日前，完成“十五五”《规划基本思路》最终成果。</w:t>
      </w:r>
      <w:bookmarkStart w:id="91" w:name="_Toc3295"/>
    </w:p>
    <w:p>
      <w:pPr>
        <w:snapToGrid w:val="0"/>
        <w:spacing w:line="440" w:lineRule="exact"/>
        <w:ind w:firstLine="420" w:firstLineChars="200"/>
        <w:rPr>
          <w:rFonts w:hint="eastAsia" w:ascii="Arial" w:hAnsi="宋体" w:cs="Arial"/>
          <w:color w:val="auto"/>
          <w:szCs w:val="22"/>
          <w:highlight w:val="none"/>
          <w:lang w:val="en-US" w:eastAsia="zh-CN"/>
        </w:rPr>
      </w:pPr>
      <w:r>
        <w:rPr>
          <w:rFonts w:hint="eastAsia" w:ascii="Arial" w:hAnsi="宋体" w:cs="Arial"/>
          <w:color w:val="auto"/>
          <w:szCs w:val="22"/>
          <w:highlight w:val="none"/>
          <w:lang w:val="en-US" w:eastAsia="zh-CN"/>
        </w:rPr>
        <w:t>4.原则上按以上进度要求实施，具体进度根据采购人工作部署要求可适当调整。</w:t>
      </w:r>
    </w:p>
    <w:p>
      <w:pPr>
        <w:pStyle w:val="17"/>
        <w:spacing w:line="560" w:lineRule="exact"/>
        <w:ind w:firstLine="444" w:firstLineChars="201"/>
        <w:rPr>
          <w:rFonts w:hint="eastAsia" w:ascii="宋体" w:hAnsi="宋体" w:cs="宋体"/>
          <w:b/>
          <w:bCs/>
          <w:color w:val="auto"/>
          <w:sz w:val="22"/>
          <w:szCs w:val="22"/>
          <w:highlight w:val="none"/>
        </w:rPr>
      </w:pPr>
      <w:bookmarkStart w:id="92" w:name="_Toc18910"/>
      <w:r>
        <w:rPr>
          <w:rFonts w:hint="eastAsia" w:ascii="宋体" w:hAnsi="宋体" w:cs="宋体"/>
          <w:b/>
          <w:bCs/>
          <w:color w:val="auto"/>
          <w:sz w:val="22"/>
          <w:szCs w:val="22"/>
          <w:highlight w:val="none"/>
          <w:lang w:eastAsia="zh-CN"/>
        </w:rPr>
        <w:t>六</w:t>
      </w:r>
      <w:r>
        <w:rPr>
          <w:rFonts w:hint="eastAsia" w:ascii="宋体" w:hAnsi="宋体" w:cs="宋体"/>
          <w:b/>
          <w:bCs/>
          <w:color w:val="auto"/>
          <w:sz w:val="22"/>
          <w:szCs w:val="22"/>
          <w:highlight w:val="none"/>
        </w:rPr>
        <w:t>、知识产权及保密要求</w:t>
      </w:r>
      <w:bookmarkEnd w:id="91"/>
      <w:bookmarkEnd w:id="92"/>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1.成交供应商应保证提供服务过程中，不会侵犯任何第三方的知识产权。</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2.在本合同有效期内，采购人利用成交供应商提交的技术咨询工作成果所完成的新的技术成果，归采购人所有，成交供应商不得用于本合同之外的用途。</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3.成交供应商应保证提交的项目成果和提供的服务符合中华人民共和国法律和国际公约或惯例；成交供应商应保证采购人在使用和应用合同项下的项目成果时，免于承担第三方提出的侵犯其专利权、著作。</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4.对于一方向另一方提供的信息和资料。另一方须以合理和合适的方式或按照适用的专业标准保密这些资料。未经提供方书面同意，另一方不得将这些资料通过任何方式透露给第三方。但采购人合理使用获得的本项目成果则不在此列。</w:t>
      </w:r>
    </w:p>
    <w:p>
      <w:pPr>
        <w:snapToGrid w:val="0"/>
        <w:spacing w:line="440" w:lineRule="exact"/>
        <w:ind w:firstLine="420" w:firstLineChars="200"/>
        <w:rPr>
          <w:rFonts w:hint="eastAsia" w:ascii="Arial" w:hAnsi="宋体" w:cs="Arial"/>
          <w:color w:val="auto"/>
          <w:szCs w:val="22"/>
          <w:highlight w:val="none"/>
        </w:rPr>
      </w:pPr>
      <w:r>
        <w:rPr>
          <w:rFonts w:hint="eastAsia" w:ascii="Arial" w:hAnsi="宋体" w:cs="Arial"/>
          <w:color w:val="auto"/>
          <w:szCs w:val="22"/>
          <w:highlight w:val="none"/>
        </w:rPr>
        <w:t>5.建立严格的保密制度，成交供应商应当加强对工作人员的保密管理及保密知识教育。</w:t>
      </w:r>
    </w:p>
    <w:p>
      <w:pPr>
        <w:pStyle w:val="17"/>
        <w:spacing w:line="560" w:lineRule="exact"/>
        <w:ind w:firstLine="444" w:firstLineChars="201"/>
        <w:rPr>
          <w:rFonts w:hint="eastAsia" w:ascii="宋体" w:hAnsi="宋体" w:cs="宋体"/>
          <w:b/>
          <w:bCs/>
          <w:color w:val="auto"/>
          <w:sz w:val="22"/>
          <w:szCs w:val="22"/>
          <w:highlight w:val="none"/>
        </w:rPr>
      </w:pPr>
      <w:bookmarkStart w:id="93" w:name="_Toc32703"/>
      <w:r>
        <w:rPr>
          <w:rFonts w:hint="eastAsia" w:ascii="宋体" w:hAnsi="宋体" w:cs="宋体"/>
          <w:b/>
          <w:bCs/>
          <w:color w:val="auto"/>
          <w:sz w:val="22"/>
          <w:szCs w:val="22"/>
          <w:highlight w:val="none"/>
          <w:lang w:eastAsia="zh-CN"/>
        </w:rPr>
        <w:t>七</w:t>
      </w:r>
      <w:r>
        <w:rPr>
          <w:rFonts w:hint="eastAsia" w:ascii="宋体" w:hAnsi="宋体" w:cs="宋体"/>
          <w:b/>
          <w:bCs/>
          <w:color w:val="auto"/>
          <w:sz w:val="22"/>
          <w:szCs w:val="22"/>
          <w:highlight w:val="none"/>
        </w:rPr>
        <w:t>、商务条款</w:t>
      </w:r>
      <w:bookmarkEnd w:id="93"/>
    </w:p>
    <w:bookmarkEnd w:id="90"/>
    <w:p>
      <w:pPr>
        <w:keepNext w:val="0"/>
        <w:keepLines w:val="0"/>
        <w:pageBreakBefore w:val="0"/>
        <w:widowControl/>
        <w:kinsoku w:val="0"/>
        <w:wordWrap/>
        <w:overflowPunct/>
        <w:topLinePunct w:val="0"/>
        <w:autoSpaceDE w:val="0"/>
        <w:autoSpaceDN w:val="0"/>
        <w:bidi w:val="0"/>
        <w:adjustRightInd w:val="0"/>
        <w:snapToGrid w:val="0"/>
        <w:spacing w:line="420" w:lineRule="exact"/>
        <w:ind w:firstLine="440" w:firstLineChars="200"/>
        <w:textAlignment w:val="baseline"/>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eastAsia="zh-CN"/>
        </w:rPr>
        <w:t>详见合同</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bookmarkEnd w:id="83"/>
    <w:p>
      <w:pPr>
        <w:pStyle w:val="6"/>
        <w:rPr>
          <w:rFonts w:hint="eastAsia" w:ascii="宋体" w:hAnsi="宋体" w:eastAsia="宋体" w:cs="宋体"/>
          <w:b w:val="0"/>
          <w:color w:val="auto"/>
          <w:highlight w:val="none"/>
        </w:rPr>
      </w:pPr>
      <w:bookmarkStart w:id="94" w:name="_Toc73917582"/>
    </w:p>
    <w:p>
      <w:pPr>
        <w:pStyle w:val="6"/>
        <w:rPr>
          <w:rFonts w:hint="eastAsia"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第六部分   磋商原则及方法</w:t>
      </w:r>
      <w:bookmarkEnd w:id="94"/>
    </w:p>
    <w:p>
      <w:pPr>
        <w:tabs>
          <w:tab w:val="left" w:pos="6358"/>
        </w:tabs>
        <w:snapToGrid w:val="0"/>
        <w:spacing w:line="400" w:lineRule="exact"/>
        <w:jc w:val="left"/>
        <w:rPr>
          <w:rFonts w:hint="eastAsia" w:ascii="宋体" w:hAnsi="宋体" w:eastAsia="宋体" w:cs="宋体"/>
          <w:b/>
          <w:bCs/>
          <w:color w:val="auto"/>
          <w:sz w:val="21"/>
          <w:szCs w:val="21"/>
          <w:highlight w:val="none"/>
        </w:rPr>
      </w:pPr>
      <w:bookmarkStart w:id="95" w:name="_Toc221356898"/>
      <w:bookmarkStart w:id="96" w:name="_Toc221356961"/>
      <w:r>
        <w:rPr>
          <w:rFonts w:hint="eastAsia" w:ascii="宋体" w:hAnsi="宋体" w:eastAsia="宋体" w:cs="宋体"/>
          <w:b/>
          <w:bCs/>
          <w:color w:val="auto"/>
          <w:sz w:val="21"/>
          <w:szCs w:val="21"/>
          <w:highlight w:val="none"/>
        </w:rPr>
        <w:t>一、总则</w:t>
      </w:r>
    </w:p>
    <w:p>
      <w:pPr>
        <w:spacing w:line="420" w:lineRule="exact"/>
        <w:ind w:firstLine="420" w:firstLineChars="200"/>
        <w:rPr>
          <w:rFonts w:hint="eastAsia" w:ascii="宋体" w:hAnsi="宋体" w:eastAsia="宋体" w:cs="宋体"/>
          <w:color w:val="auto"/>
          <w:sz w:val="21"/>
          <w:szCs w:val="21"/>
          <w:highlight w:val="none"/>
        </w:rPr>
      </w:pPr>
      <w:bookmarkStart w:id="97" w:name="_Toc413771022"/>
      <w:bookmarkStart w:id="98" w:name="_Toc416695955"/>
      <w:r>
        <w:rPr>
          <w:rFonts w:hint="eastAsia" w:ascii="宋体" w:hAnsi="宋体" w:eastAsia="宋体" w:cs="宋体"/>
          <w:color w:val="auto"/>
          <w:sz w:val="21"/>
          <w:szCs w:val="21"/>
          <w:highlight w:val="none"/>
        </w:rPr>
        <w:t>评审工作遵循“公平、公正、科学、择优”原则和“诚实、信誉、效率”的服务原则。最大限度的保护采购人权益，严格按照磋商文件的要求，对磋商响应文件进行综合评审。磋商供应商不得以任何方式干扰采购工作的进行，一经发现其磋商响应文件将被拒绝。</w:t>
      </w:r>
    </w:p>
    <w:p>
      <w:pPr>
        <w:tabs>
          <w:tab w:val="left" w:pos="6358"/>
        </w:tabs>
        <w:snapToGrid w:val="0"/>
        <w:spacing w:line="400" w:lineRule="exact"/>
        <w:ind w:left="773" w:hanging="738" w:hangingChars="3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bookmarkEnd w:id="97"/>
      <w:bookmarkEnd w:id="98"/>
      <w:r>
        <w:rPr>
          <w:rFonts w:hint="eastAsia" w:ascii="宋体" w:hAnsi="宋体" w:eastAsia="宋体" w:cs="宋体"/>
          <w:b/>
          <w:bCs/>
          <w:color w:val="auto"/>
          <w:sz w:val="21"/>
          <w:szCs w:val="21"/>
          <w:highlight w:val="none"/>
        </w:rPr>
        <w:t>评审组织</w:t>
      </w:r>
    </w:p>
    <w:p>
      <w:pPr>
        <w:tabs>
          <w:tab w:val="left" w:pos="6358"/>
        </w:tabs>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评审及磋商工作由采购人依法组建的磋商小组负责，评审及磋商全过程由有关部门指导监督。</w:t>
      </w:r>
    </w:p>
    <w:p>
      <w:pPr>
        <w:tabs>
          <w:tab w:val="left" w:pos="6358"/>
        </w:tabs>
        <w:snapToGrid w:val="0"/>
        <w:spacing w:line="400" w:lineRule="exact"/>
        <w:ind w:left="773" w:hanging="738" w:hangingChars="350"/>
        <w:rPr>
          <w:rFonts w:hint="eastAsia" w:ascii="宋体" w:hAnsi="宋体" w:eastAsia="宋体" w:cs="宋体"/>
          <w:b/>
          <w:bCs/>
          <w:color w:val="auto"/>
          <w:sz w:val="21"/>
          <w:szCs w:val="21"/>
          <w:highlight w:val="none"/>
        </w:rPr>
      </w:pPr>
      <w:bookmarkStart w:id="99" w:name="_Toc416695957"/>
      <w:bookmarkStart w:id="100" w:name="_Toc413771024"/>
      <w:r>
        <w:rPr>
          <w:rFonts w:hint="eastAsia" w:ascii="宋体" w:hAnsi="宋体" w:eastAsia="宋体" w:cs="宋体"/>
          <w:b/>
          <w:bCs/>
          <w:color w:val="auto"/>
          <w:sz w:val="21"/>
          <w:szCs w:val="21"/>
          <w:highlight w:val="none"/>
        </w:rPr>
        <w:t>三、评审及磋商的程序</w:t>
      </w:r>
      <w:bookmarkEnd w:id="99"/>
      <w:bookmarkEnd w:id="100"/>
    </w:p>
    <w:p>
      <w:pPr>
        <w:numPr>
          <w:ilvl w:val="0"/>
          <w:numId w:val="13"/>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熟悉竞争性磋商文件和评审磋商办法；</w:t>
      </w:r>
    </w:p>
    <w:p>
      <w:pPr>
        <w:numPr>
          <w:ilvl w:val="0"/>
          <w:numId w:val="13"/>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开启磋商响应文件（一次报价不公布）；</w:t>
      </w:r>
    </w:p>
    <w:p>
      <w:pPr>
        <w:numPr>
          <w:ilvl w:val="0"/>
          <w:numId w:val="13"/>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p>
    <w:p>
      <w:pPr>
        <w:numPr>
          <w:ilvl w:val="0"/>
          <w:numId w:val="13"/>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磋商、询标（需要时）；</w:t>
      </w:r>
    </w:p>
    <w:p>
      <w:pPr>
        <w:numPr>
          <w:ilvl w:val="0"/>
          <w:numId w:val="13"/>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磋商响应文件商务技术标评分；</w:t>
      </w:r>
    </w:p>
    <w:p>
      <w:pPr>
        <w:numPr>
          <w:ilvl w:val="0"/>
          <w:numId w:val="13"/>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磋商二次报价或最终报价；</w:t>
      </w:r>
    </w:p>
    <w:p>
      <w:pPr>
        <w:numPr>
          <w:ilvl w:val="0"/>
          <w:numId w:val="13"/>
        </w:numPr>
        <w:tabs>
          <w:tab w:val="left" w:pos="851"/>
        </w:tabs>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磋商小组根据评审结果，提交评审报告。</w:t>
      </w:r>
    </w:p>
    <w:p>
      <w:pPr>
        <w:tabs>
          <w:tab w:val="left" w:pos="6358"/>
        </w:tabs>
        <w:snapToGrid w:val="0"/>
        <w:spacing w:line="400" w:lineRule="exact"/>
        <w:ind w:left="773" w:hanging="738" w:hangingChars="3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四、评审细则</w:t>
      </w:r>
    </w:p>
    <w:p>
      <w:pPr>
        <w:numPr>
          <w:ilvl w:val="0"/>
          <w:numId w:val="14"/>
        </w:numPr>
        <w:tabs>
          <w:tab w:val="left" w:pos="6358"/>
        </w:tabs>
        <w:snapToGrid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磋商响应文件的商务技术评分（</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w:t>
      </w:r>
    </w:p>
    <w:p>
      <w:pPr>
        <w:tabs>
          <w:tab w:val="left" w:pos="6358"/>
        </w:tabs>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商务技术部分的最终得分（四舍五入，保留小数点后二位）。</w:t>
      </w:r>
    </w:p>
    <w:bookmarkEnd w:id="95"/>
    <w:bookmarkEnd w:id="96"/>
    <w:tbl>
      <w:tblPr>
        <w:tblStyle w:val="5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02"/>
        <w:gridCol w:w="1030"/>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50" w:right="0"/>
              <w:jc w:val="center"/>
              <w:rPr>
                <w:rFonts w:hint="eastAsia" w:ascii="宋体" w:hAnsi="宋体" w:eastAsia="宋体"/>
                <w:snapToGrid w:val="0"/>
                <w:color w:val="auto"/>
                <w:szCs w:val="21"/>
                <w:highlight w:val="none"/>
                <w:lang w:eastAsia="zh-CN"/>
              </w:rPr>
            </w:pPr>
            <w:r>
              <w:rPr>
                <w:rFonts w:hint="eastAsia" w:ascii="宋体" w:hAnsi="宋体"/>
                <w:snapToGrid w:val="0"/>
                <w:color w:val="auto"/>
                <w:szCs w:val="21"/>
                <w:highlight w:val="none"/>
                <w:lang w:eastAsia="zh-CN"/>
              </w:rPr>
              <w:t>序号</w:t>
            </w:r>
          </w:p>
        </w:tc>
        <w:tc>
          <w:tcPr>
            <w:tcW w:w="1302" w:type="dxa"/>
            <w:shd w:val="clear" w:color="auto" w:fill="FFFFFF"/>
            <w:noWrap w:val="0"/>
            <w:vAlign w:val="center"/>
          </w:tcPr>
          <w:p>
            <w:pPr>
              <w:keepNext w:val="0"/>
              <w:keepLines w:val="0"/>
              <w:suppressLineNumbers w:val="0"/>
              <w:snapToGrid w:val="0"/>
              <w:spacing w:before="24" w:beforeLines="10" w:beforeAutospacing="0" w:after="24" w:afterLines="10" w:afterAutospacing="0" w:line="300" w:lineRule="exact"/>
              <w:ind w:left="0" w:right="0"/>
              <w:jc w:val="center"/>
              <w:rPr>
                <w:rFonts w:hint="eastAsia" w:eastAsia="宋体"/>
                <w:color w:val="auto"/>
                <w:highlight w:val="none"/>
                <w:lang w:eastAsia="zh-CN"/>
              </w:rPr>
            </w:pPr>
            <w:r>
              <w:rPr>
                <w:rFonts w:hint="eastAsia"/>
                <w:color w:val="auto"/>
                <w:highlight w:val="none"/>
                <w:lang w:eastAsia="zh-CN"/>
              </w:rPr>
              <w:t>评审项</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Arial" w:hAnsi="宋体" w:eastAsia="宋体" w:cs="Arial"/>
                <w:bCs/>
                <w:color w:val="auto"/>
                <w:kern w:val="28"/>
                <w:sz w:val="21"/>
                <w:szCs w:val="24"/>
                <w:highlight w:val="none"/>
                <w:lang w:val="en-US" w:eastAsia="zh-CN" w:bidi="ar-SA"/>
              </w:rPr>
            </w:pPr>
            <w:r>
              <w:rPr>
                <w:rFonts w:hint="eastAsia" w:ascii="宋体" w:hAnsi="宋体" w:cs="仿宋"/>
                <w:color w:val="auto"/>
                <w:highlight w:val="none"/>
              </w:rPr>
              <w:t>分值</w:t>
            </w:r>
          </w:p>
        </w:tc>
        <w:tc>
          <w:tcPr>
            <w:tcW w:w="6342"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ascii="Arial" w:hAnsi="宋体" w:eastAsia="宋体" w:cs="Arial"/>
                <w:bCs/>
                <w:color w:val="auto"/>
                <w:kern w:val="28"/>
                <w:sz w:val="21"/>
                <w:szCs w:val="24"/>
                <w:highlight w:val="none"/>
                <w:lang w:val="en-US" w:eastAsia="zh-CN" w:bidi="ar-SA"/>
              </w:rPr>
            </w:pPr>
            <w:r>
              <w:rPr>
                <w:rFonts w:hint="eastAsia" w:ascii="宋体" w:hAnsi="宋体" w:cs="仿宋"/>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50" w:leftChars="0" w:right="0"/>
              <w:jc w:val="center"/>
              <w:rPr>
                <w:rFonts w:hint="eastAsia" w:ascii="宋体" w:hAnsi="宋体" w:eastAsia="宋体" w:cs="Times New Roman"/>
                <w:snapToGrid w:val="0"/>
                <w:color w:val="auto"/>
                <w:kern w:val="2"/>
                <w:sz w:val="21"/>
                <w:szCs w:val="21"/>
                <w:highlight w:val="none"/>
                <w:lang w:val="en-US" w:eastAsia="zh-CN" w:bidi="ar-SA"/>
              </w:rPr>
            </w:pPr>
            <w:r>
              <w:rPr>
                <w:rFonts w:hint="eastAsia" w:ascii="宋体" w:hAnsi="宋体"/>
                <w:snapToGrid w:val="0"/>
                <w:color w:val="auto"/>
                <w:szCs w:val="21"/>
                <w:highlight w:val="none"/>
              </w:rPr>
              <w:t>1</w:t>
            </w:r>
          </w:p>
        </w:tc>
        <w:tc>
          <w:tcPr>
            <w:tcW w:w="1302" w:type="dxa"/>
            <w:shd w:val="clear" w:color="auto" w:fill="FFFFFF"/>
            <w:noWrap w:val="0"/>
            <w:vAlign w:val="center"/>
          </w:tcPr>
          <w:p>
            <w:pPr>
              <w:keepNext w:val="0"/>
              <w:keepLines w:val="0"/>
              <w:suppressLineNumbers w:val="0"/>
              <w:snapToGrid w:val="0"/>
              <w:spacing w:before="24" w:beforeLines="10" w:beforeAutospacing="0" w:after="24" w:afterLines="10" w:afterAutospacing="0" w:line="300" w:lineRule="exact"/>
              <w:ind w:left="0" w:right="0"/>
              <w:jc w:val="center"/>
              <w:rPr>
                <w:rFonts w:hint="eastAsia" w:ascii="Calibri" w:hAnsi="Calibri" w:eastAsia="宋体" w:cs="Times New Roman"/>
                <w:color w:val="auto"/>
                <w:kern w:val="2"/>
                <w:sz w:val="21"/>
                <w:szCs w:val="24"/>
                <w:highlight w:val="none"/>
                <w:lang w:val="en-US" w:eastAsia="zh-CN" w:bidi="ar-SA"/>
              </w:rPr>
            </w:pPr>
            <w:r>
              <w:rPr>
                <w:rStyle w:val="423"/>
                <w:rFonts w:hint="eastAsia" w:ascii="宋体" w:hAnsi="宋体"/>
                <w:color w:val="auto"/>
                <w:highlight w:val="none"/>
                <w:lang w:eastAsia="zh-CN"/>
              </w:rPr>
              <w:t>认证证书</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Arial" w:hAnsi="宋体" w:eastAsia="宋体" w:cs="Arial"/>
                <w:bCs/>
                <w:color w:val="auto"/>
                <w:kern w:val="28"/>
                <w:sz w:val="21"/>
                <w:szCs w:val="24"/>
                <w:highlight w:val="none"/>
                <w:lang w:val="en-US" w:eastAsia="zh-CN" w:bidi="ar-SA"/>
              </w:rPr>
            </w:pPr>
            <w:r>
              <w:rPr>
                <w:rFonts w:hint="eastAsia" w:ascii="宋体" w:hAnsi="宋体" w:cs="仿宋"/>
                <w:color w:val="auto"/>
                <w:highlight w:val="none"/>
              </w:rPr>
              <w:t>6</w:t>
            </w:r>
          </w:p>
        </w:tc>
        <w:tc>
          <w:tcPr>
            <w:tcW w:w="6342" w:type="dxa"/>
            <w:shd w:val="clear" w:color="auto" w:fill="FFFFFF"/>
            <w:noWrap w:val="0"/>
            <w:vAlign w:val="center"/>
          </w:tcPr>
          <w:p>
            <w:pPr>
              <w:keepNext w:val="0"/>
              <w:keepLines w:val="0"/>
              <w:suppressLineNumbers w:val="0"/>
              <w:spacing w:before="0" w:beforeAutospacing="0" w:after="0" w:afterAutospacing="0"/>
              <w:ind w:left="0" w:right="0"/>
              <w:jc w:val="left"/>
              <w:rPr>
                <w:rFonts w:cs="Calibri"/>
                <w:color w:val="auto"/>
                <w:szCs w:val="21"/>
                <w:highlight w:val="none"/>
              </w:rPr>
            </w:pPr>
            <w:r>
              <w:rPr>
                <w:rFonts w:hint="eastAsia" w:ascii="宋体" w:hAnsi="宋体" w:cs="宋体"/>
                <w:color w:val="auto"/>
                <w:szCs w:val="21"/>
                <w:highlight w:val="none"/>
                <w:lang w:bidi="ar"/>
              </w:rPr>
              <w:t>供应商</w:t>
            </w:r>
            <w:r>
              <w:rPr>
                <w:rFonts w:hint="eastAsia" w:cs="Calibri"/>
                <w:color w:val="auto"/>
                <w:szCs w:val="21"/>
                <w:highlight w:val="none"/>
              </w:rPr>
              <w:t>具有有效的质量管理体系认证证书、环境管理体系认证证书、职业健康安全管理体系认证证书的，每提供一份证书得2分，最高可得6分。</w:t>
            </w:r>
          </w:p>
          <w:p>
            <w:pPr>
              <w:keepNext w:val="0"/>
              <w:keepLines w:val="0"/>
              <w:suppressLineNumbers w:val="0"/>
              <w:snapToGrid w:val="0"/>
              <w:spacing w:before="0" w:beforeAutospacing="0" w:after="0" w:afterAutospacing="0" w:line="300" w:lineRule="exact"/>
              <w:ind w:left="0" w:right="0"/>
              <w:jc w:val="left"/>
              <w:rPr>
                <w:rFonts w:hint="eastAsia" w:ascii="Calibri" w:hAnsi="Calibri" w:eastAsia="宋体" w:cs="Times New Roman"/>
                <w:color w:val="auto"/>
                <w:kern w:val="2"/>
                <w:sz w:val="21"/>
                <w:szCs w:val="24"/>
                <w:highlight w:val="none"/>
                <w:lang w:val="en-US" w:eastAsia="zh-CN" w:bidi="ar-SA"/>
              </w:rPr>
            </w:pPr>
            <w:r>
              <w:rPr>
                <w:rFonts w:hint="eastAsia" w:ascii="楷体" w:hAnsi="楷体" w:eastAsia="楷体" w:cs="楷体"/>
                <w:color w:val="auto"/>
                <w:szCs w:val="21"/>
                <w:highlight w:val="none"/>
              </w:rPr>
              <w:t>说明：供应商提供有效的相应证书</w:t>
            </w:r>
            <w:r>
              <w:rPr>
                <w:rFonts w:hint="eastAsia" w:ascii="楷体" w:hAnsi="楷体" w:eastAsia="楷体" w:cs="楷体"/>
                <w:color w:val="auto"/>
                <w:szCs w:val="21"/>
                <w:highlight w:val="none"/>
                <w:lang w:eastAsia="zh-CN"/>
              </w:rPr>
              <w:t>扫描件及</w:t>
            </w:r>
            <w:r>
              <w:rPr>
                <w:rFonts w:hint="eastAsia" w:ascii="楷体" w:hAnsi="楷体" w:eastAsia="楷体" w:cs="楷体"/>
                <w:color w:val="auto"/>
                <w:szCs w:val="21"/>
                <w:highlight w:val="none"/>
              </w:rPr>
              <w:t>全国认证认可信息公共服务平台（http://cx.cnca.cn/）</w:t>
            </w:r>
            <w:r>
              <w:rPr>
                <w:rFonts w:hint="eastAsia" w:ascii="楷体" w:hAnsi="楷体" w:eastAsia="楷体" w:cs="楷体"/>
                <w:color w:val="auto"/>
                <w:szCs w:val="21"/>
                <w:highlight w:val="none"/>
                <w:lang w:eastAsia="zh-CN"/>
              </w:rPr>
              <w:t>查询截图</w:t>
            </w:r>
            <w:r>
              <w:rPr>
                <w:rFonts w:hint="eastAsia" w:ascii="楷体" w:hAnsi="楷体" w:eastAsia="楷体" w:cs="楷体"/>
                <w:color w:val="auto"/>
                <w:szCs w:val="21"/>
                <w:highlight w:val="none"/>
              </w:rPr>
              <w:t>，</w:t>
            </w:r>
            <w:r>
              <w:rPr>
                <w:rFonts w:eastAsia="楷体" w:cs="Calibri"/>
                <w:color w:val="auto"/>
                <w:highlight w:val="none"/>
              </w:rPr>
              <w:t>未提供或经核实不具备以上条件</w:t>
            </w:r>
            <w:r>
              <w:rPr>
                <w:rFonts w:hint="eastAsia" w:eastAsia="楷体" w:cs="Calibri"/>
                <w:color w:val="auto"/>
                <w:highlight w:val="none"/>
              </w:rPr>
              <w:t>的</w:t>
            </w:r>
            <w:r>
              <w:rPr>
                <w:rFonts w:eastAsia="楷体" w:cs="Calibri"/>
                <w:color w:val="auto"/>
                <w:highlight w:val="none"/>
              </w:rPr>
              <w:t>不得分</w:t>
            </w:r>
            <w:r>
              <w:rPr>
                <w:rFonts w:hint="eastAsia" w:ascii="楷体" w:hAnsi="楷体" w:eastAsia="楷体" w:cs="楷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50" w:right="0"/>
              <w:jc w:val="center"/>
              <w:rPr>
                <w:rFonts w:hint="eastAsia" w:ascii="宋体" w:hAnsi="宋体" w:eastAsia="宋体"/>
                <w:snapToGrid w:val="0"/>
                <w:color w:val="auto"/>
                <w:szCs w:val="21"/>
                <w:highlight w:val="none"/>
                <w:lang w:val="en-US" w:eastAsia="zh-CN"/>
              </w:rPr>
            </w:pPr>
            <w:r>
              <w:rPr>
                <w:rFonts w:hint="eastAsia" w:ascii="宋体" w:hAnsi="宋体"/>
                <w:snapToGrid w:val="0"/>
                <w:color w:val="auto"/>
                <w:szCs w:val="21"/>
                <w:highlight w:val="none"/>
                <w:lang w:val="en-US" w:eastAsia="zh-CN"/>
              </w:rPr>
              <w:t>2</w:t>
            </w:r>
          </w:p>
        </w:tc>
        <w:tc>
          <w:tcPr>
            <w:tcW w:w="1302" w:type="dxa"/>
            <w:shd w:val="clear" w:color="auto" w:fill="FFFFFF"/>
            <w:noWrap w:val="0"/>
            <w:vAlign w:val="center"/>
          </w:tcPr>
          <w:p>
            <w:pPr>
              <w:keepNext w:val="0"/>
              <w:keepLines w:val="0"/>
              <w:suppressLineNumbers w:val="0"/>
              <w:snapToGrid w:val="0"/>
              <w:spacing w:before="24" w:beforeLines="10" w:beforeAutospacing="0" w:after="24" w:afterLines="10" w:afterAutospacing="0" w:line="300" w:lineRule="exact"/>
              <w:ind w:left="0" w:right="0"/>
              <w:jc w:val="center"/>
              <w:rPr>
                <w:rStyle w:val="423"/>
                <w:rFonts w:ascii="宋体" w:hAnsi="宋体"/>
                <w:color w:val="auto"/>
                <w:highlight w:val="none"/>
              </w:rPr>
            </w:pPr>
            <w:r>
              <w:rPr>
                <w:rStyle w:val="423"/>
                <w:rFonts w:ascii="宋体" w:hAnsi="宋体"/>
                <w:color w:val="auto"/>
                <w:highlight w:val="none"/>
              </w:rPr>
              <w:t>供应商</w:t>
            </w:r>
            <w:r>
              <w:rPr>
                <w:rFonts w:cs="Calibri"/>
                <w:color w:val="auto"/>
                <w:kern w:val="0"/>
                <w:szCs w:val="21"/>
                <w:highlight w:val="none"/>
              </w:rPr>
              <w:t>的类似项目业绩</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cs="仿宋"/>
                <w:color w:val="auto"/>
                <w:highlight w:val="none"/>
              </w:rPr>
            </w:pPr>
            <w:r>
              <w:rPr>
                <w:rFonts w:hint="eastAsia" w:ascii="宋体" w:hAnsi="宋体" w:cs="仿宋"/>
                <w:color w:val="auto"/>
                <w:highlight w:val="none"/>
              </w:rPr>
              <w:t>1</w:t>
            </w:r>
          </w:p>
        </w:tc>
        <w:tc>
          <w:tcPr>
            <w:tcW w:w="6342" w:type="dxa"/>
            <w:shd w:val="clear" w:color="auto" w:fill="FFFFFF"/>
            <w:noWrap w:val="0"/>
            <w:vAlign w:val="center"/>
          </w:tcPr>
          <w:p>
            <w:pPr>
              <w:keepNext w:val="0"/>
              <w:keepLines w:val="0"/>
              <w:suppressLineNumbers w:val="0"/>
              <w:spacing w:before="0" w:beforeAutospacing="0" w:after="0" w:afterAutospacing="0"/>
              <w:ind w:left="0" w:right="0"/>
              <w:jc w:val="left"/>
              <w:rPr>
                <w:rFonts w:cs="Calibri"/>
                <w:color w:val="auto"/>
                <w:kern w:val="0"/>
                <w:szCs w:val="21"/>
                <w:highlight w:val="none"/>
              </w:rPr>
            </w:pPr>
            <w:r>
              <w:rPr>
                <w:rFonts w:hint="eastAsia" w:cs="Calibri"/>
                <w:color w:val="auto"/>
                <w:kern w:val="0"/>
                <w:szCs w:val="21"/>
                <w:highlight w:val="none"/>
              </w:rPr>
              <w:t>供应商</w:t>
            </w:r>
            <w:r>
              <w:rPr>
                <w:rFonts w:hint="eastAsia" w:cs="Calibri"/>
                <w:color w:val="auto"/>
                <w:kern w:val="0"/>
                <w:szCs w:val="21"/>
                <w:highlight w:val="none"/>
                <w:lang w:val="en-US" w:eastAsia="zh-CN"/>
              </w:rPr>
              <w:t>2019</w:t>
            </w:r>
            <w:r>
              <w:rPr>
                <w:rFonts w:hint="eastAsia" w:cs="Calibri"/>
                <w:color w:val="auto"/>
                <w:kern w:val="0"/>
                <w:szCs w:val="21"/>
                <w:highlight w:val="none"/>
              </w:rPr>
              <w:t>年1月1日以来（以合同签订时间为准）独立承担过类似项目业绩，每提供一个业绩得0.5分，最高可得1分。</w:t>
            </w:r>
          </w:p>
          <w:p>
            <w:pPr>
              <w:keepNext w:val="0"/>
              <w:keepLines w:val="0"/>
              <w:suppressLineNumbers w:val="0"/>
              <w:snapToGrid w:val="0"/>
              <w:spacing w:before="0" w:beforeAutospacing="0" w:after="0" w:afterAutospacing="0" w:line="300" w:lineRule="exact"/>
              <w:ind w:left="0" w:right="0"/>
              <w:jc w:val="left"/>
              <w:rPr>
                <w:rFonts w:ascii="宋体" w:hAnsi="宋体" w:cs="仿宋"/>
                <w:color w:val="auto"/>
                <w:highlight w:val="none"/>
              </w:rPr>
            </w:pPr>
            <w:r>
              <w:rPr>
                <w:rFonts w:eastAsia="楷体" w:cs="Calibri"/>
                <w:color w:val="auto"/>
                <w:szCs w:val="21"/>
                <w:highlight w:val="none"/>
              </w:rPr>
              <w:t>说明：根据</w:t>
            </w:r>
            <w:r>
              <w:rPr>
                <w:rFonts w:hint="eastAsia" w:eastAsia="楷体" w:cs="Calibri"/>
                <w:color w:val="auto"/>
                <w:szCs w:val="21"/>
                <w:highlight w:val="none"/>
                <w:lang w:eastAsia="zh-CN"/>
              </w:rPr>
              <w:t>响应</w:t>
            </w:r>
            <w:r>
              <w:rPr>
                <w:rFonts w:eastAsia="楷体" w:cs="Calibri"/>
                <w:color w:val="auto"/>
                <w:szCs w:val="21"/>
                <w:highlight w:val="none"/>
              </w:rPr>
              <w:t>文件中提供的业绩合同进行评分，未提供或不符合以上条件不得分。</w:t>
            </w:r>
            <w:r>
              <w:rPr>
                <w:rFonts w:hint="eastAsia" w:ascii="楷体" w:hAnsi="楷体" w:eastAsia="楷体" w:cs="楷体"/>
                <w:color w:val="auto"/>
                <w:szCs w:val="21"/>
                <w:highlight w:val="none"/>
              </w:rPr>
              <w:t>是否属于类似业绩由评标委员会根据合同的内容、特点等与本项目的类似程度进行认定。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50" w:right="0"/>
              <w:jc w:val="center"/>
              <w:rPr>
                <w:rFonts w:hint="default" w:ascii="宋体" w:hAnsi="宋体" w:eastAsia="宋体"/>
                <w:snapToGrid w:val="0"/>
                <w:color w:val="auto"/>
                <w:szCs w:val="21"/>
                <w:highlight w:val="none"/>
                <w:lang w:val="en-US" w:eastAsia="zh-CN"/>
              </w:rPr>
            </w:pPr>
            <w:r>
              <w:rPr>
                <w:rFonts w:hint="eastAsia" w:ascii="宋体" w:hAnsi="宋体"/>
                <w:snapToGrid w:val="0"/>
                <w:color w:val="auto"/>
                <w:szCs w:val="21"/>
                <w:highlight w:val="none"/>
                <w:lang w:val="en-US" w:eastAsia="zh-CN"/>
              </w:rPr>
              <w:t>3</w:t>
            </w:r>
          </w:p>
        </w:tc>
        <w:tc>
          <w:tcPr>
            <w:tcW w:w="1302" w:type="dxa"/>
            <w:vMerge w:val="restart"/>
            <w:shd w:val="clear" w:color="auto" w:fill="FFFFFF"/>
            <w:noWrap w:val="0"/>
            <w:vAlign w:val="center"/>
          </w:tcPr>
          <w:p>
            <w:pPr>
              <w:keepNext w:val="0"/>
              <w:keepLines w:val="0"/>
              <w:suppressLineNumbers w:val="0"/>
              <w:snapToGrid w:val="0"/>
              <w:spacing w:before="24" w:beforeLines="10" w:beforeAutospacing="0" w:after="24" w:afterLines="10" w:afterAutospacing="0" w:line="300" w:lineRule="exact"/>
              <w:ind w:left="0" w:right="0"/>
              <w:jc w:val="center"/>
              <w:rPr>
                <w:color w:val="auto"/>
                <w:highlight w:val="none"/>
              </w:rPr>
            </w:pPr>
            <w:r>
              <w:rPr>
                <w:rFonts w:hint="eastAsia" w:ascii="宋体" w:hAnsi="宋体" w:cs="仿宋"/>
                <w:color w:val="auto"/>
                <w:highlight w:val="none"/>
              </w:rPr>
              <w:t>人员配备</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ascii="Arial" w:hAnsi="宋体" w:cs="Arial"/>
                <w:bCs/>
                <w:color w:val="auto"/>
                <w:kern w:val="28"/>
                <w:highlight w:val="none"/>
              </w:rPr>
            </w:pPr>
            <w:r>
              <w:rPr>
                <w:rFonts w:hint="eastAsia" w:ascii="宋体" w:hAnsi="宋体" w:cs="仿宋"/>
                <w:color w:val="auto"/>
                <w:highlight w:val="none"/>
              </w:rPr>
              <w:t>4</w:t>
            </w:r>
          </w:p>
        </w:tc>
        <w:tc>
          <w:tcPr>
            <w:tcW w:w="6342"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left"/>
              <w:rPr>
                <w:rFonts w:hint="eastAsia"/>
                <w:color w:val="auto"/>
                <w:highlight w:val="none"/>
              </w:rPr>
            </w:pPr>
            <w:r>
              <w:rPr>
                <w:rFonts w:hint="eastAsia"/>
                <w:color w:val="auto"/>
                <w:highlight w:val="none"/>
              </w:rPr>
              <w:t>本项目拟派的项目负责人具有正高级职称的得4分，副高级职称的得</w:t>
            </w:r>
            <w:r>
              <w:rPr>
                <w:rFonts w:hint="eastAsia"/>
                <w:color w:val="auto"/>
                <w:highlight w:val="none"/>
                <w:lang w:val="en-US" w:eastAsia="zh-CN"/>
              </w:rPr>
              <w:t>3</w:t>
            </w:r>
            <w:r>
              <w:rPr>
                <w:rFonts w:hint="eastAsia"/>
                <w:color w:val="auto"/>
                <w:highlight w:val="none"/>
              </w:rPr>
              <w:t>分，中级职称的得</w:t>
            </w:r>
            <w:r>
              <w:rPr>
                <w:rFonts w:hint="eastAsia"/>
                <w:color w:val="auto"/>
                <w:highlight w:val="none"/>
                <w:lang w:val="en-US" w:eastAsia="zh-CN"/>
              </w:rPr>
              <w:t>2</w:t>
            </w:r>
            <w:r>
              <w:rPr>
                <w:rFonts w:hint="eastAsia"/>
                <w:color w:val="auto"/>
                <w:highlight w:val="none"/>
              </w:rPr>
              <w:t>分，本项最高可得4分。</w:t>
            </w:r>
          </w:p>
          <w:p>
            <w:pPr>
              <w:keepNext w:val="0"/>
              <w:keepLines w:val="0"/>
              <w:suppressLineNumbers w:val="0"/>
              <w:snapToGrid w:val="0"/>
              <w:spacing w:before="0" w:beforeAutospacing="0" w:after="0" w:afterAutospacing="0" w:line="300" w:lineRule="exact"/>
              <w:ind w:left="0" w:right="0"/>
              <w:jc w:val="left"/>
              <w:rPr>
                <w:rFonts w:ascii="宋体" w:hAnsi="宋体"/>
                <w:snapToGrid w:val="0"/>
                <w:color w:val="auto"/>
                <w:szCs w:val="21"/>
                <w:highlight w:val="none"/>
              </w:rPr>
            </w:pPr>
            <w:r>
              <w:rPr>
                <w:rFonts w:eastAsia="楷体" w:cs="Calibri"/>
                <w:color w:val="auto"/>
                <w:szCs w:val="21"/>
                <w:highlight w:val="none"/>
              </w:rPr>
              <w:t>说明：</w:t>
            </w:r>
            <w:r>
              <w:rPr>
                <w:rFonts w:hint="eastAsia" w:eastAsia="楷体" w:cs="Calibri"/>
                <w:color w:val="auto"/>
                <w:szCs w:val="21"/>
                <w:highlight w:val="none"/>
              </w:rPr>
              <w:t>须同时提供人员证书及其在供应商单位</w:t>
            </w:r>
            <w:r>
              <w:rPr>
                <w:rFonts w:hint="eastAsia" w:eastAsia="楷体" w:cs="Calibri"/>
                <w:color w:val="auto"/>
                <w:szCs w:val="21"/>
                <w:highlight w:val="none"/>
                <w:lang w:eastAsia="zh-CN"/>
              </w:rPr>
              <w:t>磋商截止时间前</w:t>
            </w:r>
            <w:r>
              <w:rPr>
                <w:rFonts w:hint="eastAsia" w:eastAsia="楷体" w:cs="Calibri"/>
                <w:color w:val="auto"/>
                <w:szCs w:val="21"/>
                <w:highlight w:val="none"/>
              </w:rPr>
              <w:t>近3个月</w:t>
            </w:r>
            <w:r>
              <w:rPr>
                <w:rFonts w:hint="eastAsia" w:eastAsia="楷体" w:cs="Calibri"/>
                <w:color w:val="auto"/>
                <w:szCs w:val="21"/>
                <w:highlight w:val="none"/>
                <w:lang w:eastAsia="zh-CN"/>
              </w:rPr>
              <w:t>内任一个月的</w:t>
            </w:r>
            <w:r>
              <w:rPr>
                <w:rFonts w:hint="eastAsia" w:eastAsia="楷体" w:cs="Calibri"/>
                <w:color w:val="auto"/>
                <w:szCs w:val="21"/>
                <w:highlight w:val="none"/>
              </w:rPr>
              <w:t>社保证明扫描件</w:t>
            </w:r>
            <w:r>
              <w:rPr>
                <w:rFonts w:eastAsia="楷体" w:cs="Calibri"/>
                <w:color w:val="auto"/>
                <w:szCs w:val="21"/>
                <w:highlight w:val="none"/>
              </w:rPr>
              <w:t>、加盖公章</w:t>
            </w:r>
            <w:r>
              <w:rPr>
                <w:rFonts w:hint="eastAsia" w:eastAsia="楷体" w:cs="Calibri"/>
                <w:color w:val="auto"/>
                <w:szCs w:val="21"/>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50" w:right="0"/>
              <w:jc w:val="center"/>
              <w:rPr>
                <w:rFonts w:hint="eastAsia" w:ascii="宋体" w:hAnsi="宋体" w:eastAsia="宋体"/>
                <w:snapToGrid w:val="0"/>
                <w:color w:val="auto"/>
                <w:szCs w:val="21"/>
                <w:highlight w:val="none"/>
                <w:lang w:val="en-US" w:eastAsia="zh-CN"/>
              </w:rPr>
            </w:pPr>
            <w:r>
              <w:rPr>
                <w:rFonts w:hint="eastAsia" w:ascii="宋体" w:hAnsi="宋体"/>
                <w:snapToGrid w:val="0"/>
                <w:color w:val="auto"/>
                <w:szCs w:val="21"/>
                <w:highlight w:val="none"/>
                <w:lang w:val="en-US" w:eastAsia="zh-CN"/>
              </w:rPr>
              <w:t>4</w:t>
            </w:r>
          </w:p>
        </w:tc>
        <w:tc>
          <w:tcPr>
            <w:tcW w:w="1302" w:type="dxa"/>
            <w:vMerge w:val="continue"/>
            <w:shd w:val="clear" w:color="auto" w:fill="FFFFFF"/>
            <w:noWrap w:val="0"/>
            <w:vAlign w:val="center"/>
          </w:tcPr>
          <w:p>
            <w:pPr>
              <w:keepNext w:val="0"/>
              <w:keepLines w:val="0"/>
              <w:suppressLineNumbers w:val="0"/>
              <w:snapToGrid w:val="0"/>
              <w:spacing w:before="24" w:beforeLines="10" w:beforeAutospacing="0" w:after="24" w:afterLines="10" w:afterAutospacing="0" w:line="300" w:lineRule="exact"/>
              <w:ind w:left="0" w:right="0"/>
              <w:jc w:val="center"/>
              <w:rPr>
                <w:color w:val="auto"/>
                <w:highlight w:val="none"/>
              </w:rPr>
            </w:pP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Arial" w:hAnsi="宋体" w:cs="Arial"/>
                <w:bCs/>
                <w:color w:val="auto"/>
                <w:kern w:val="28"/>
                <w:highlight w:val="none"/>
              </w:rPr>
            </w:pPr>
            <w:r>
              <w:rPr>
                <w:rFonts w:hint="eastAsia" w:ascii="宋体" w:hAnsi="宋体" w:cs="仿宋"/>
                <w:color w:val="auto"/>
                <w:highlight w:val="none"/>
              </w:rPr>
              <w:t>8</w:t>
            </w:r>
          </w:p>
        </w:tc>
        <w:tc>
          <w:tcPr>
            <w:tcW w:w="6342"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left"/>
              <w:rPr>
                <w:rFonts w:hint="eastAsia" w:ascii="宋体" w:hAnsi="宋体" w:cs="仿宋"/>
                <w:color w:val="auto"/>
                <w:highlight w:val="none"/>
              </w:rPr>
            </w:pPr>
            <w:r>
              <w:rPr>
                <w:rFonts w:hint="eastAsia" w:ascii="宋体" w:hAnsi="宋体" w:cs="仿宋"/>
                <w:color w:val="auto"/>
                <w:highlight w:val="none"/>
              </w:rPr>
              <w:t>本项目拟配备的项目组成员（不含项目负责人）具有副高及以上职称的每提供一人得2分，本项最高可得8分。</w:t>
            </w:r>
          </w:p>
          <w:p>
            <w:pPr>
              <w:keepNext w:val="0"/>
              <w:keepLines w:val="0"/>
              <w:suppressLineNumbers w:val="0"/>
              <w:snapToGrid w:val="0"/>
              <w:spacing w:before="0" w:beforeAutospacing="0" w:after="0" w:afterAutospacing="0" w:line="300" w:lineRule="exact"/>
              <w:ind w:left="0" w:right="0"/>
              <w:jc w:val="left"/>
              <w:rPr>
                <w:rFonts w:ascii="宋体" w:hAnsi="宋体"/>
                <w:color w:val="auto"/>
                <w:szCs w:val="21"/>
                <w:highlight w:val="none"/>
              </w:rPr>
            </w:pPr>
            <w:r>
              <w:rPr>
                <w:rFonts w:hint="eastAsia" w:eastAsia="楷体" w:cs="Calibri"/>
                <w:color w:val="auto"/>
                <w:szCs w:val="21"/>
                <w:highlight w:val="none"/>
              </w:rPr>
              <w:t>说明：同一人只计一次分，须同时提供人员证书及其在供应商单位</w:t>
            </w:r>
            <w:r>
              <w:rPr>
                <w:rFonts w:hint="eastAsia" w:eastAsia="楷体" w:cs="Calibri"/>
                <w:color w:val="auto"/>
                <w:szCs w:val="21"/>
                <w:highlight w:val="none"/>
                <w:lang w:eastAsia="zh-CN"/>
              </w:rPr>
              <w:t>磋商截止时间前</w:t>
            </w:r>
            <w:r>
              <w:rPr>
                <w:rFonts w:hint="eastAsia" w:eastAsia="楷体" w:cs="Calibri"/>
                <w:color w:val="auto"/>
                <w:szCs w:val="21"/>
                <w:highlight w:val="none"/>
              </w:rPr>
              <w:t>近3个月</w:t>
            </w:r>
            <w:r>
              <w:rPr>
                <w:rFonts w:hint="eastAsia" w:eastAsia="楷体" w:cs="Calibri"/>
                <w:color w:val="auto"/>
                <w:szCs w:val="21"/>
                <w:highlight w:val="none"/>
                <w:lang w:eastAsia="zh-CN"/>
              </w:rPr>
              <w:t>内任一个月的</w:t>
            </w:r>
            <w:r>
              <w:rPr>
                <w:rFonts w:hint="eastAsia" w:eastAsia="楷体" w:cs="Calibri"/>
                <w:color w:val="auto"/>
                <w:szCs w:val="21"/>
                <w:highlight w:val="none"/>
              </w:rPr>
              <w:t>社保证明扫描件</w:t>
            </w:r>
            <w:r>
              <w:rPr>
                <w:rFonts w:eastAsia="楷体" w:cs="Calibri"/>
                <w:color w:val="auto"/>
                <w:szCs w:val="21"/>
                <w:highlight w:val="none"/>
              </w:rPr>
              <w:t>、加盖公章</w:t>
            </w:r>
            <w:r>
              <w:rPr>
                <w:rFonts w:hint="eastAsia" w:eastAsia="楷体" w:cs="Calibri"/>
                <w:color w:val="auto"/>
                <w:szCs w:val="21"/>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302" w:type="dxa"/>
            <w:shd w:val="clear" w:color="auto" w:fill="FFFFFF"/>
            <w:noWrap w:val="0"/>
            <w:vAlign w:val="center"/>
          </w:tcPr>
          <w:p>
            <w:pPr>
              <w:keepNext w:val="0"/>
              <w:keepLines w:val="0"/>
              <w:suppressLineNumbers w:val="0"/>
              <w:snapToGrid w:val="0"/>
              <w:spacing w:before="0" w:beforeAutospacing="0" w:after="0" w:afterAutospacing="0"/>
              <w:ind w:left="0" w:right="0"/>
              <w:jc w:val="center"/>
              <w:rPr>
                <w:color w:val="auto"/>
                <w:highlight w:val="none"/>
              </w:rPr>
            </w:pPr>
            <w:r>
              <w:rPr>
                <w:rFonts w:hint="eastAsia"/>
                <w:color w:val="auto"/>
                <w:highlight w:val="none"/>
              </w:rPr>
              <w:t>对项目的理解</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ascii="宋体" w:hAnsi="宋体"/>
                <w:snapToGrid w:val="0"/>
                <w:color w:val="auto"/>
                <w:szCs w:val="21"/>
                <w:highlight w:val="none"/>
              </w:rPr>
            </w:pPr>
            <w:r>
              <w:rPr>
                <w:rFonts w:hint="eastAsia" w:ascii="宋体" w:hAnsi="宋体"/>
                <w:snapToGrid w:val="0"/>
                <w:color w:val="auto"/>
                <w:szCs w:val="21"/>
                <w:highlight w:val="none"/>
              </w:rPr>
              <w:t>6</w:t>
            </w:r>
          </w:p>
        </w:tc>
        <w:tc>
          <w:tcPr>
            <w:tcW w:w="6342" w:type="dxa"/>
            <w:shd w:val="clear" w:color="auto" w:fill="FFFFFF"/>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r>
              <w:rPr>
                <w:color w:val="auto"/>
                <w:highlight w:val="none"/>
              </w:rPr>
              <w:t>根据</w:t>
            </w:r>
            <w:r>
              <w:rPr>
                <w:rFonts w:hint="eastAsia" w:ascii="宋体" w:hAnsi="宋体" w:cs="宋体"/>
                <w:color w:val="auto"/>
                <w:szCs w:val="21"/>
                <w:highlight w:val="none"/>
                <w:lang w:bidi="ar"/>
              </w:rPr>
              <w:t>供应商</w:t>
            </w:r>
            <w:r>
              <w:rPr>
                <w:color w:val="auto"/>
                <w:highlight w:val="none"/>
              </w:rPr>
              <w:t>对项目的现状基础、</w:t>
            </w:r>
            <w:r>
              <w:rPr>
                <w:rFonts w:hint="eastAsia"/>
                <w:color w:val="auto"/>
                <w:highlight w:val="none"/>
              </w:rPr>
              <w:t>背景趋势</w:t>
            </w:r>
            <w:r>
              <w:rPr>
                <w:rFonts w:hint="eastAsia" w:ascii="宋体" w:hAnsi="宋体" w:cs="宋体"/>
                <w:color w:val="auto"/>
                <w:szCs w:val="21"/>
                <w:highlight w:val="none"/>
              </w:rPr>
              <w:t>的理解和认识是否全面、完整、准确进行打分。基础和背景了解较深、全面、准确的得6分；基础和背景了解一般的得4分；基础和背景</w:t>
            </w:r>
            <w:r>
              <w:rPr>
                <w:rFonts w:hint="eastAsia" w:ascii="宋体" w:hAnsi="宋体" w:cs="宋体"/>
                <w:color w:val="auto"/>
                <w:szCs w:val="21"/>
                <w:highlight w:val="none"/>
                <w:lang w:eastAsia="zh-CN"/>
              </w:rPr>
              <w:t>了解</w:t>
            </w:r>
            <w:r>
              <w:rPr>
                <w:rFonts w:hint="eastAsia" w:ascii="宋体" w:hAnsi="宋体" w:cs="宋体"/>
                <w:color w:val="auto"/>
                <w:szCs w:val="21"/>
                <w:highlight w:val="none"/>
              </w:rPr>
              <w:t>不准确的得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；未提供不得分</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snapToGrid w:val="0"/>
                <w:color w:val="auto"/>
                <w:szCs w:val="21"/>
                <w:highlight w:val="none"/>
                <w:lang w:val="en-US" w:eastAsia="zh-CN"/>
              </w:rPr>
            </w:pPr>
            <w:r>
              <w:rPr>
                <w:rFonts w:hint="eastAsia" w:ascii="宋体" w:hAnsi="宋体"/>
                <w:snapToGrid w:val="0"/>
                <w:color w:val="auto"/>
                <w:szCs w:val="21"/>
                <w:highlight w:val="none"/>
                <w:lang w:val="en-US" w:eastAsia="zh-CN"/>
              </w:rPr>
              <w:t>6</w:t>
            </w:r>
          </w:p>
        </w:tc>
        <w:tc>
          <w:tcPr>
            <w:tcW w:w="1302" w:type="dxa"/>
            <w:shd w:val="clear" w:color="auto" w:fill="FFFFFF"/>
            <w:noWrap w:val="0"/>
            <w:vAlign w:val="center"/>
          </w:tcPr>
          <w:p>
            <w:pPr>
              <w:keepNext w:val="0"/>
              <w:keepLines w:val="0"/>
              <w:suppressLineNumbers w:val="0"/>
              <w:snapToGrid w:val="0"/>
              <w:spacing w:before="0" w:beforeAutospacing="0" w:after="0" w:afterAutospacing="0"/>
              <w:ind w:left="0" w:right="0"/>
              <w:jc w:val="center"/>
              <w:rPr>
                <w:rFonts w:cs="Calibri"/>
                <w:color w:val="auto"/>
                <w:highlight w:val="none"/>
              </w:rPr>
            </w:pPr>
            <w:r>
              <w:rPr>
                <w:rFonts w:hint="eastAsia" w:cs="Calibri"/>
                <w:color w:val="auto"/>
                <w:highlight w:val="none"/>
              </w:rPr>
              <w:t>发展方向</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cs="仿宋"/>
                <w:color w:val="auto"/>
                <w:highlight w:val="none"/>
              </w:rPr>
            </w:pPr>
            <w:r>
              <w:rPr>
                <w:rFonts w:hint="eastAsia" w:ascii="宋体" w:hAnsi="宋体" w:cs="仿宋"/>
                <w:color w:val="auto"/>
                <w:highlight w:val="none"/>
              </w:rPr>
              <w:t>6</w:t>
            </w:r>
          </w:p>
        </w:tc>
        <w:tc>
          <w:tcPr>
            <w:tcW w:w="6342" w:type="dxa"/>
            <w:shd w:val="clear" w:color="auto" w:fill="FFFFFF"/>
            <w:noWrap w:val="0"/>
            <w:vAlign w:val="center"/>
          </w:tcPr>
          <w:p>
            <w:pPr>
              <w:keepNext w:val="0"/>
              <w:keepLines w:val="0"/>
              <w:suppressLineNumbers w:val="0"/>
              <w:spacing w:before="0" w:beforeAutospacing="0" w:after="0" w:afterAutospacing="0"/>
              <w:ind w:left="0" w:right="0"/>
              <w:rPr>
                <w:color w:val="auto"/>
                <w:highlight w:val="none"/>
              </w:rPr>
            </w:pPr>
            <w:r>
              <w:rPr>
                <w:rFonts w:hint="eastAsia" w:ascii="宋体"/>
                <w:color w:val="auto"/>
                <w:spacing w:val="-2"/>
                <w:szCs w:val="21"/>
                <w:highlight w:val="none"/>
                <w:lang w:val="zh-TW" w:eastAsia="zh-TW"/>
              </w:rPr>
              <w:t>根据</w:t>
            </w:r>
            <w:r>
              <w:rPr>
                <w:rFonts w:hint="eastAsia" w:ascii="宋体" w:hAnsi="宋体" w:cs="宋体"/>
                <w:color w:val="auto"/>
                <w:szCs w:val="21"/>
                <w:highlight w:val="none"/>
                <w:lang w:bidi="ar"/>
              </w:rPr>
              <w:t>供应商提出的</w:t>
            </w:r>
            <w:r>
              <w:rPr>
                <w:rFonts w:hint="eastAsia" w:ascii="宋体" w:hAnsi="宋体" w:cs="宋体"/>
                <w:color w:val="auto"/>
                <w:szCs w:val="21"/>
                <w:highlight w:val="none"/>
                <w:lang w:val="en-US" w:eastAsia="zh-CN" w:bidi="ar"/>
              </w:rPr>
              <w:t>龙湾</w:t>
            </w:r>
            <w:r>
              <w:rPr>
                <w:rFonts w:hint="eastAsia" w:ascii="宋体" w:hAnsi="宋体" w:cs="宋体"/>
                <w:color w:val="auto"/>
                <w:szCs w:val="21"/>
                <w:highlight w:val="none"/>
                <w:lang w:bidi="ar"/>
              </w:rPr>
              <w:t>区“十五五”时期发展目标与方向定位是否合理、精准进行打分。目标与方向定位明确、精准的得6分；目标与方向定位较为合理的得4分；目标与方向定位不合理的得</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分</w:t>
            </w:r>
            <w:r>
              <w:rPr>
                <w:rFonts w:hint="eastAsia" w:ascii="宋体" w:hAnsi="宋体" w:cs="宋体"/>
                <w:color w:val="auto"/>
                <w:szCs w:val="21"/>
                <w:highlight w:val="none"/>
                <w:lang w:eastAsia="zh-CN"/>
              </w:rPr>
              <w:t>；未提供不得分</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snapToGrid w:val="0"/>
                <w:color w:val="auto"/>
                <w:szCs w:val="21"/>
                <w:highlight w:val="none"/>
                <w:lang w:val="en-US" w:eastAsia="zh-CN"/>
              </w:rPr>
            </w:pPr>
            <w:r>
              <w:rPr>
                <w:rFonts w:hint="eastAsia" w:ascii="宋体" w:hAnsi="宋体"/>
                <w:snapToGrid w:val="0"/>
                <w:color w:val="auto"/>
                <w:szCs w:val="21"/>
                <w:highlight w:val="none"/>
                <w:lang w:val="en-US" w:eastAsia="zh-CN"/>
              </w:rPr>
              <w:t>7</w:t>
            </w:r>
          </w:p>
        </w:tc>
        <w:tc>
          <w:tcPr>
            <w:tcW w:w="1302" w:type="dxa"/>
            <w:shd w:val="clear" w:color="auto" w:fill="FFFFFF"/>
            <w:noWrap w:val="0"/>
            <w:vAlign w:val="center"/>
          </w:tcPr>
          <w:p>
            <w:pPr>
              <w:keepNext w:val="0"/>
              <w:keepLines w:val="0"/>
              <w:suppressLineNumbers w:val="0"/>
              <w:snapToGrid w:val="0"/>
              <w:spacing w:before="0" w:beforeAutospacing="0" w:after="0" w:afterAutospacing="0"/>
              <w:ind w:left="0" w:right="0"/>
              <w:jc w:val="center"/>
              <w:rPr>
                <w:color w:val="auto"/>
                <w:highlight w:val="none"/>
              </w:rPr>
            </w:pPr>
            <w:r>
              <w:rPr>
                <w:color w:val="auto"/>
                <w:highlight w:val="none"/>
              </w:rPr>
              <w:t>总体思路</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snapToGrid w:val="0"/>
                <w:color w:val="auto"/>
                <w:szCs w:val="21"/>
                <w:highlight w:val="none"/>
              </w:rPr>
            </w:pPr>
            <w:r>
              <w:rPr>
                <w:rFonts w:hint="eastAsia" w:ascii="宋体" w:hAnsi="宋体" w:cs="仿宋"/>
                <w:color w:val="auto"/>
                <w:highlight w:val="none"/>
              </w:rPr>
              <w:t>6</w:t>
            </w:r>
          </w:p>
        </w:tc>
        <w:tc>
          <w:tcPr>
            <w:tcW w:w="6342" w:type="dxa"/>
            <w:shd w:val="clear" w:color="auto" w:fill="FFFFFF"/>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r>
              <w:rPr>
                <w:rFonts w:hint="eastAsia" w:ascii="宋体" w:hAnsi="宋体" w:cs="宋体"/>
                <w:color w:val="auto"/>
                <w:szCs w:val="21"/>
                <w:highlight w:val="none"/>
              </w:rPr>
              <w:t>根据</w:t>
            </w:r>
            <w:r>
              <w:rPr>
                <w:rFonts w:hint="eastAsia" w:ascii="宋体" w:hAnsi="Calibri" w:cs="宋体"/>
                <w:color w:val="auto"/>
                <w:spacing w:val="-2"/>
                <w:szCs w:val="21"/>
                <w:highlight w:val="none"/>
                <w:lang w:val="zh-TW" w:eastAsia="zh-TW" w:bidi="ar"/>
              </w:rPr>
              <w:t>供应商</w:t>
            </w:r>
            <w:r>
              <w:rPr>
                <w:rFonts w:hint="eastAsia" w:ascii="宋体" w:hAnsi="Calibri" w:cs="宋体"/>
                <w:color w:val="auto"/>
                <w:spacing w:val="-2"/>
                <w:szCs w:val="21"/>
                <w:highlight w:val="none"/>
                <w:lang w:bidi="ar"/>
              </w:rPr>
              <w:t>提出的</w:t>
            </w:r>
            <w:r>
              <w:rPr>
                <w:rFonts w:hint="eastAsia" w:ascii="宋体" w:hAnsi="宋体" w:cs="宋体"/>
                <w:color w:val="auto"/>
                <w:szCs w:val="21"/>
                <w:highlight w:val="none"/>
                <w:lang w:val="en-US" w:eastAsia="zh-CN" w:bidi="ar"/>
              </w:rPr>
              <w:t>龙湾</w:t>
            </w:r>
            <w:r>
              <w:rPr>
                <w:rFonts w:hint="eastAsia" w:ascii="宋体" w:hAnsi="宋体" w:cs="宋体"/>
                <w:color w:val="auto"/>
                <w:szCs w:val="21"/>
                <w:highlight w:val="none"/>
                <w:lang w:bidi="ar"/>
              </w:rPr>
              <w:t>区“十五五”时期</w:t>
            </w:r>
            <w:r>
              <w:rPr>
                <w:rFonts w:hint="eastAsia" w:ascii="宋体" w:hAnsi="Calibri" w:cs="宋体"/>
                <w:color w:val="auto"/>
                <w:spacing w:val="-2"/>
                <w:szCs w:val="21"/>
                <w:highlight w:val="none"/>
                <w:lang w:bidi="ar"/>
              </w:rPr>
              <w:t>总体发展思路</w:t>
            </w:r>
            <w:r>
              <w:rPr>
                <w:rFonts w:hint="eastAsia" w:ascii="宋体" w:hAnsi="宋体" w:cs="宋体"/>
                <w:bCs/>
                <w:color w:val="auto"/>
                <w:szCs w:val="21"/>
                <w:highlight w:val="none"/>
                <w:lang w:bidi="ar"/>
              </w:rPr>
              <w:t>进行打分。总体思路内容具有科学性、前瞻性、准确性且</w:t>
            </w:r>
            <w:r>
              <w:rPr>
                <w:rFonts w:hint="eastAsia" w:ascii="宋体" w:hAnsi="宋体" w:cs="宋体"/>
                <w:color w:val="auto"/>
                <w:highlight w:val="none"/>
                <w:lang w:bidi="ar"/>
              </w:rPr>
              <w:t>条理清晰的得6分；内容简单、条理尚可的得4分；</w:t>
            </w:r>
            <w:r>
              <w:rPr>
                <w:rFonts w:hint="eastAsia" w:ascii="宋体" w:hAnsi="宋体" w:cs="宋体"/>
                <w:color w:val="auto"/>
                <w:szCs w:val="21"/>
                <w:highlight w:val="none"/>
              </w:rPr>
              <w:t>内容存在明显不合理</w:t>
            </w:r>
            <w:r>
              <w:rPr>
                <w:rFonts w:hint="eastAsia" w:ascii="宋体" w:hAnsi="宋体" w:cs="宋体"/>
                <w:color w:val="auto"/>
                <w:szCs w:val="21"/>
                <w:highlight w:val="none"/>
                <w:lang w:bidi="ar"/>
              </w:rPr>
              <w:t>的得</w:t>
            </w: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分</w:t>
            </w:r>
            <w:r>
              <w:rPr>
                <w:rFonts w:hint="eastAsia" w:ascii="宋体" w:hAnsi="宋体" w:cs="宋体"/>
                <w:color w:val="auto"/>
                <w:szCs w:val="21"/>
                <w:highlight w:val="none"/>
                <w:lang w:eastAsia="zh-CN"/>
              </w:rPr>
              <w:t>；未提供不得分</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snapToGrid w:val="0"/>
                <w:color w:val="auto"/>
                <w:szCs w:val="21"/>
                <w:highlight w:val="none"/>
                <w:lang w:val="en-US" w:eastAsia="zh-CN"/>
              </w:rPr>
            </w:pPr>
            <w:r>
              <w:rPr>
                <w:rFonts w:hint="eastAsia" w:ascii="宋体" w:hAnsi="宋体"/>
                <w:snapToGrid w:val="0"/>
                <w:color w:val="auto"/>
                <w:szCs w:val="21"/>
                <w:highlight w:val="none"/>
                <w:lang w:val="en-US" w:eastAsia="zh-CN"/>
              </w:rPr>
              <w:t>8</w:t>
            </w:r>
          </w:p>
        </w:tc>
        <w:tc>
          <w:tcPr>
            <w:tcW w:w="1302" w:type="dxa"/>
            <w:shd w:val="clear" w:color="auto" w:fill="FFFFFF"/>
            <w:noWrap w:val="0"/>
            <w:vAlign w:val="center"/>
          </w:tcPr>
          <w:p>
            <w:pPr>
              <w:keepNext w:val="0"/>
              <w:keepLines w:val="0"/>
              <w:suppressLineNumbers w:val="0"/>
              <w:snapToGrid w:val="0"/>
              <w:spacing w:before="0" w:beforeAutospacing="0" w:after="0" w:afterAutospacing="0"/>
              <w:ind w:left="0" w:right="0"/>
              <w:jc w:val="center"/>
              <w:rPr>
                <w:rFonts w:hint="eastAsia" w:cs="Calibri"/>
                <w:color w:val="auto"/>
                <w:highlight w:val="none"/>
              </w:rPr>
            </w:pPr>
            <w:r>
              <w:rPr>
                <w:rFonts w:hint="eastAsia" w:cs="Calibri"/>
                <w:color w:val="auto"/>
                <w:highlight w:val="none"/>
              </w:rPr>
              <w:t>重点任务</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ascii="宋体" w:hAnsi="宋体" w:cs="仿宋"/>
                <w:color w:val="auto"/>
                <w:highlight w:val="none"/>
              </w:rPr>
            </w:pPr>
            <w:r>
              <w:rPr>
                <w:rFonts w:hint="eastAsia" w:ascii="宋体" w:hAnsi="宋体" w:cs="仿宋"/>
                <w:color w:val="auto"/>
                <w:highlight w:val="none"/>
              </w:rPr>
              <w:t>10</w:t>
            </w:r>
          </w:p>
        </w:tc>
        <w:tc>
          <w:tcPr>
            <w:tcW w:w="6342" w:type="dxa"/>
            <w:shd w:val="clear" w:color="auto" w:fill="FFFFFF"/>
            <w:noWrap w:val="0"/>
            <w:vAlign w:val="center"/>
          </w:tcPr>
          <w:p>
            <w:pPr>
              <w:keepNext w:val="0"/>
              <w:keepLines w:val="0"/>
              <w:suppressLineNumbers w:val="0"/>
              <w:spacing w:before="0" w:beforeAutospacing="0" w:after="0" w:afterAutospacing="0"/>
              <w:ind w:left="0" w:right="0"/>
              <w:rPr>
                <w:color w:val="auto"/>
                <w:highlight w:val="none"/>
              </w:rPr>
            </w:pPr>
            <w:r>
              <w:rPr>
                <w:rFonts w:hint="eastAsia" w:ascii="宋体" w:hAnsi="宋体" w:cs="宋体"/>
                <w:color w:val="auto"/>
                <w:szCs w:val="21"/>
                <w:highlight w:val="none"/>
              </w:rPr>
              <w:t>根据</w:t>
            </w:r>
            <w:r>
              <w:rPr>
                <w:rFonts w:hint="eastAsia" w:ascii="宋体" w:hAnsi="Calibri" w:cs="宋体"/>
                <w:color w:val="auto"/>
                <w:spacing w:val="-2"/>
                <w:szCs w:val="21"/>
                <w:highlight w:val="none"/>
                <w:lang w:val="zh-TW" w:eastAsia="zh-TW" w:bidi="ar"/>
              </w:rPr>
              <w:t>供应商</w:t>
            </w:r>
            <w:r>
              <w:rPr>
                <w:rFonts w:hint="eastAsia" w:ascii="宋体" w:hAnsi="Calibri" w:cs="宋体"/>
                <w:color w:val="auto"/>
                <w:spacing w:val="-2"/>
                <w:szCs w:val="21"/>
                <w:highlight w:val="none"/>
                <w:lang w:bidi="ar"/>
              </w:rPr>
              <w:t>提出的</w:t>
            </w:r>
            <w:r>
              <w:rPr>
                <w:rFonts w:hint="eastAsia" w:ascii="宋体" w:hAnsi="宋体" w:cs="宋体"/>
                <w:color w:val="auto"/>
                <w:szCs w:val="21"/>
                <w:highlight w:val="none"/>
                <w:lang w:val="en-US" w:eastAsia="zh-CN" w:bidi="ar"/>
              </w:rPr>
              <w:t>龙湾</w:t>
            </w:r>
            <w:r>
              <w:rPr>
                <w:rFonts w:hint="eastAsia" w:ascii="宋体" w:hAnsi="宋体" w:cs="宋体"/>
                <w:color w:val="auto"/>
                <w:szCs w:val="21"/>
                <w:highlight w:val="none"/>
                <w:lang w:bidi="ar"/>
              </w:rPr>
              <w:t>区“十五五”时期</w:t>
            </w:r>
            <w:r>
              <w:rPr>
                <w:rFonts w:hint="eastAsia" w:ascii="宋体" w:hAnsi="Calibri" w:cs="宋体"/>
                <w:color w:val="auto"/>
                <w:spacing w:val="-2"/>
                <w:szCs w:val="21"/>
                <w:highlight w:val="none"/>
                <w:lang w:bidi="ar"/>
              </w:rPr>
              <w:t>重点任务进行打分。</w:t>
            </w:r>
            <w:r>
              <w:rPr>
                <w:rFonts w:hint="eastAsia" w:ascii="宋体" w:hAnsi="宋体" w:cs="宋体"/>
                <w:bCs/>
                <w:color w:val="auto"/>
                <w:szCs w:val="21"/>
                <w:highlight w:val="none"/>
              </w:rPr>
              <w:t>内容详细、</w:t>
            </w:r>
            <w:r>
              <w:rPr>
                <w:rFonts w:hint="eastAsia" w:ascii="宋体" w:hAnsi="Calibri" w:cs="宋体"/>
                <w:color w:val="auto"/>
                <w:spacing w:val="-2"/>
                <w:szCs w:val="21"/>
                <w:highlight w:val="none"/>
                <w:lang w:bidi="ar"/>
              </w:rPr>
              <w:t>针对性、前瞻性、指导性强的得10分；</w:t>
            </w:r>
            <w:r>
              <w:rPr>
                <w:rFonts w:hint="eastAsia" w:ascii="宋体" w:hAnsi="宋体" w:cs="宋体"/>
                <w:bCs/>
                <w:color w:val="auto"/>
                <w:szCs w:val="21"/>
                <w:highlight w:val="none"/>
              </w:rPr>
              <w:t>内容</w:t>
            </w:r>
            <w:r>
              <w:rPr>
                <w:rFonts w:hint="eastAsia" w:ascii="宋体" w:hAnsi="宋体" w:cs="宋体"/>
                <w:bCs/>
                <w:color w:val="auto"/>
                <w:szCs w:val="21"/>
                <w:highlight w:val="none"/>
                <w:lang w:eastAsia="zh-CN"/>
              </w:rPr>
              <w:t>较详细</w:t>
            </w:r>
            <w:r>
              <w:rPr>
                <w:rFonts w:hint="eastAsia" w:ascii="宋体" w:hAnsi="宋体" w:cs="宋体"/>
                <w:bCs/>
                <w:color w:val="auto"/>
                <w:szCs w:val="21"/>
                <w:highlight w:val="none"/>
              </w:rPr>
              <w:t>、</w:t>
            </w:r>
            <w:r>
              <w:rPr>
                <w:rFonts w:hint="eastAsia" w:ascii="宋体" w:hAnsi="Calibri" w:cs="宋体"/>
                <w:color w:val="auto"/>
                <w:spacing w:val="-2"/>
                <w:szCs w:val="21"/>
                <w:highlight w:val="none"/>
                <w:lang w:bidi="ar"/>
              </w:rPr>
              <w:t>有一定针对性和指导性的得</w:t>
            </w:r>
            <w:r>
              <w:rPr>
                <w:rFonts w:hint="eastAsia" w:ascii="宋体" w:cs="宋体"/>
                <w:color w:val="auto"/>
                <w:spacing w:val="-2"/>
                <w:szCs w:val="21"/>
                <w:highlight w:val="none"/>
                <w:lang w:val="en-US" w:eastAsia="zh-CN" w:bidi="ar"/>
              </w:rPr>
              <w:t>7</w:t>
            </w:r>
            <w:r>
              <w:rPr>
                <w:rFonts w:hint="eastAsia" w:ascii="宋体" w:hAnsi="Calibri" w:cs="宋体"/>
                <w:color w:val="auto"/>
                <w:spacing w:val="-2"/>
                <w:szCs w:val="21"/>
                <w:highlight w:val="none"/>
                <w:lang w:bidi="ar"/>
              </w:rPr>
              <w:t>分；</w:t>
            </w:r>
            <w:r>
              <w:rPr>
                <w:rFonts w:hint="eastAsia" w:ascii="宋体" w:hAnsi="宋体" w:cs="宋体"/>
                <w:bCs/>
                <w:color w:val="auto"/>
                <w:szCs w:val="21"/>
                <w:highlight w:val="none"/>
              </w:rPr>
              <w:t>方案</w:t>
            </w:r>
            <w:r>
              <w:rPr>
                <w:rFonts w:hint="eastAsia" w:ascii="宋体" w:hAnsi="宋体" w:cs="宋体"/>
                <w:bCs/>
                <w:color w:val="auto"/>
                <w:szCs w:val="21"/>
                <w:highlight w:val="none"/>
                <w:lang w:eastAsia="zh-CN"/>
              </w:rPr>
              <w:t>简单，</w:t>
            </w:r>
            <w:r>
              <w:rPr>
                <w:rFonts w:hint="eastAsia" w:ascii="宋体" w:hAnsi="Calibri" w:cs="宋体"/>
                <w:color w:val="auto"/>
                <w:spacing w:val="-2"/>
                <w:szCs w:val="21"/>
                <w:highlight w:val="none"/>
                <w:lang w:bidi="ar"/>
              </w:rPr>
              <w:t>针对性和指导</w:t>
            </w:r>
            <w:r>
              <w:rPr>
                <w:rFonts w:hint="eastAsia" w:ascii="宋体" w:cs="宋体"/>
                <w:color w:val="auto"/>
                <w:spacing w:val="-2"/>
                <w:szCs w:val="21"/>
                <w:highlight w:val="none"/>
                <w:lang w:eastAsia="zh-CN" w:bidi="ar"/>
              </w:rPr>
              <w:t>一般</w:t>
            </w:r>
            <w:r>
              <w:rPr>
                <w:rFonts w:hint="eastAsia" w:ascii="宋体" w:cs="宋体"/>
                <w:color w:val="auto"/>
                <w:spacing w:val="-2"/>
                <w:szCs w:val="21"/>
                <w:highlight w:val="none"/>
                <w:lang w:val="en-US" w:eastAsia="zh-CN" w:bidi="ar"/>
              </w:rPr>
              <w:t>4分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方案有所欠缺、阐述粗略的得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w:t>
            </w:r>
            <w:r>
              <w:rPr>
                <w:rFonts w:hint="eastAsia" w:ascii="宋体" w:hAnsi="宋体" w:cs="宋体"/>
                <w:color w:val="auto"/>
                <w:szCs w:val="21"/>
                <w:highlight w:val="none"/>
                <w:lang w:eastAsia="zh-CN"/>
              </w:rPr>
              <w:t>；未提供不得分</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snapToGrid w:val="0"/>
                <w:color w:val="auto"/>
                <w:szCs w:val="21"/>
                <w:highlight w:val="none"/>
                <w:lang w:val="en-US" w:eastAsia="zh-CN"/>
              </w:rPr>
            </w:pPr>
            <w:r>
              <w:rPr>
                <w:rFonts w:hint="eastAsia" w:ascii="宋体" w:hAnsi="宋体"/>
                <w:snapToGrid w:val="0"/>
                <w:color w:val="auto"/>
                <w:szCs w:val="21"/>
                <w:highlight w:val="none"/>
                <w:lang w:val="en-US" w:eastAsia="zh-CN"/>
              </w:rPr>
              <w:t>9</w:t>
            </w:r>
          </w:p>
        </w:tc>
        <w:tc>
          <w:tcPr>
            <w:tcW w:w="1302" w:type="dxa"/>
            <w:vMerge w:val="restart"/>
            <w:shd w:val="clear" w:color="auto" w:fill="FFFFFF"/>
            <w:noWrap w:val="0"/>
            <w:vAlign w:val="center"/>
          </w:tcPr>
          <w:p>
            <w:pPr>
              <w:keepNext w:val="0"/>
              <w:keepLines w:val="0"/>
              <w:suppressLineNumbers w:val="0"/>
              <w:snapToGrid w:val="0"/>
              <w:spacing w:before="0" w:beforeAutospacing="0" w:after="0" w:afterAutospacing="0"/>
              <w:ind w:left="0" w:right="0"/>
              <w:jc w:val="center"/>
              <w:rPr>
                <w:rFonts w:cs="Calibri"/>
                <w:color w:val="auto"/>
                <w:highlight w:val="none"/>
              </w:rPr>
            </w:pPr>
            <w:r>
              <w:rPr>
                <w:rFonts w:hint="eastAsia" w:cs="Calibri"/>
                <w:color w:val="auto"/>
                <w:highlight w:val="none"/>
              </w:rPr>
              <w:t>重难点分析</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ascii="宋体" w:hAnsi="宋体" w:cs="仿宋"/>
                <w:color w:val="auto"/>
                <w:highlight w:val="none"/>
              </w:rPr>
            </w:pPr>
            <w:r>
              <w:rPr>
                <w:rFonts w:hint="eastAsia" w:ascii="宋体" w:hAnsi="宋体" w:cs="仿宋"/>
                <w:color w:val="auto"/>
                <w:highlight w:val="none"/>
              </w:rPr>
              <w:t>10</w:t>
            </w:r>
          </w:p>
        </w:tc>
        <w:tc>
          <w:tcPr>
            <w:tcW w:w="6342" w:type="dxa"/>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bCs/>
                <w:color w:val="auto"/>
                <w:szCs w:val="21"/>
                <w:highlight w:val="none"/>
              </w:rPr>
              <w:t>对本项目重点和难点问题认识分析的全面性、准确性进行打分。</w:t>
            </w:r>
            <w:r>
              <w:rPr>
                <w:rFonts w:hint="eastAsia" w:ascii="宋体" w:hAnsi="宋体" w:cs="宋体"/>
                <w:color w:val="auto"/>
                <w:highlight w:val="none"/>
              </w:rPr>
              <w:t>分析内容合理、有效且准确性高的得</w:t>
            </w:r>
            <w:r>
              <w:rPr>
                <w:rFonts w:hint="eastAsia" w:ascii="宋体" w:hAnsi="Calibri" w:cs="宋体"/>
                <w:color w:val="auto"/>
                <w:spacing w:val="-2"/>
                <w:szCs w:val="21"/>
                <w:highlight w:val="none"/>
                <w:lang w:bidi="ar"/>
              </w:rPr>
              <w:t>10</w:t>
            </w:r>
            <w:r>
              <w:rPr>
                <w:rFonts w:hint="eastAsia" w:ascii="宋体" w:hAnsi="宋体" w:cs="宋体"/>
                <w:color w:val="auto"/>
                <w:highlight w:val="none"/>
              </w:rPr>
              <w:t>分；内容</w:t>
            </w:r>
            <w:r>
              <w:rPr>
                <w:rFonts w:hint="eastAsia" w:ascii="宋体" w:hAnsi="宋体" w:cs="宋体"/>
                <w:bCs/>
                <w:color w:val="auto"/>
                <w:szCs w:val="21"/>
                <w:highlight w:val="none"/>
                <w:lang w:eastAsia="zh-CN"/>
              </w:rPr>
              <w:t>较详细</w:t>
            </w:r>
            <w:r>
              <w:rPr>
                <w:rFonts w:hint="eastAsia" w:ascii="宋体" w:hAnsi="宋体" w:cs="宋体"/>
                <w:color w:val="auto"/>
                <w:highlight w:val="none"/>
              </w:rPr>
              <w:t>、有一定的准确性的得</w:t>
            </w:r>
            <w:r>
              <w:rPr>
                <w:rFonts w:hint="eastAsia" w:ascii="宋体" w:hAnsi="Calibri" w:cs="宋体"/>
                <w:color w:val="auto"/>
                <w:spacing w:val="-2"/>
                <w:szCs w:val="21"/>
                <w:highlight w:val="none"/>
                <w:lang w:bidi="ar"/>
              </w:rPr>
              <w:t>7</w:t>
            </w:r>
            <w:r>
              <w:rPr>
                <w:rFonts w:hint="eastAsia" w:ascii="宋体" w:hAnsi="宋体" w:cs="宋体"/>
                <w:color w:val="auto"/>
                <w:highlight w:val="none"/>
              </w:rPr>
              <w:t>分；；内容</w:t>
            </w:r>
            <w:r>
              <w:rPr>
                <w:rFonts w:hint="eastAsia" w:ascii="宋体" w:hAnsi="宋体" w:cs="宋体"/>
                <w:bCs/>
                <w:color w:val="auto"/>
                <w:szCs w:val="21"/>
                <w:highlight w:val="none"/>
                <w:lang w:eastAsia="zh-CN"/>
              </w:rPr>
              <w:t>简单</w:t>
            </w:r>
            <w:r>
              <w:rPr>
                <w:rFonts w:hint="eastAsia" w:ascii="宋体" w:hAnsi="宋体" w:cs="宋体"/>
                <w:color w:val="auto"/>
                <w:highlight w:val="none"/>
              </w:rPr>
              <w:t>、有准确性</w:t>
            </w:r>
            <w:r>
              <w:rPr>
                <w:rFonts w:hint="eastAsia" w:ascii="宋体" w:hAnsi="宋体" w:cs="宋体"/>
                <w:color w:val="auto"/>
                <w:highlight w:val="none"/>
                <w:lang w:eastAsia="zh-CN"/>
              </w:rPr>
              <w:t>一般</w:t>
            </w:r>
            <w:r>
              <w:rPr>
                <w:rFonts w:hint="eastAsia" w:ascii="宋体" w:hAnsi="宋体" w:cs="宋体"/>
                <w:color w:val="auto"/>
                <w:highlight w:val="none"/>
              </w:rPr>
              <w:t>的得</w:t>
            </w:r>
            <w:r>
              <w:rPr>
                <w:rFonts w:hint="eastAsia" w:ascii="宋体" w:cs="宋体"/>
                <w:color w:val="auto"/>
                <w:spacing w:val="-2"/>
                <w:szCs w:val="21"/>
                <w:highlight w:val="none"/>
                <w:lang w:val="en-US" w:eastAsia="zh-CN" w:bidi="ar"/>
              </w:rPr>
              <w:t>4</w:t>
            </w:r>
            <w:r>
              <w:rPr>
                <w:rFonts w:hint="eastAsia" w:ascii="宋体" w:hAnsi="宋体" w:cs="宋体"/>
                <w:color w:val="auto"/>
                <w:highlight w:val="none"/>
              </w:rPr>
              <w:t>分；</w:t>
            </w:r>
            <w:r>
              <w:rPr>
                <w:rFonts w:hint="eastAsia" w:ascii="宋体" w:hAnsi="宋体" w:cs="宋体"/>
                <w:color w:val="auto"/>
                <w:szCs w:val="21"/>
                <w:highlight w:val="none"/>
              </w:rPr>
              <w:t>内容存在不合理</w:t>
            </w:r>
            <w:r>
              <w:rPr>
                <w:rFonts w:hint="eastAsia" w:ascii="宋体" w:hAnsi="宋体" w:cs="宋体"/>
                <w:color w:val="auto"/>
                <w:szCs w:val="21"/>
                <w:highlight w:val="none"/>
                <w:lang w:bidi="ar"/>
              </w:rPr>
              <w:t>的</w:t>
            </w:r>
            <w:r>
              <w:rPr>
                <w:rFonts w:hint="eastAsia" w:ascii="宋体" w:hAnsi="宋体" w:cs="宋体"/>
                <w:color w:val="auto"/>
                <w:szCs w:val="21"/>
                <w:highlight w:val="none"/>
              </w:rPr>
              <w:t>得</w:t>
            </w:r>
            <w:r>
              <w:rPr>
                <w:rFonts w:hint="eastAsia" w:ascii="宋体" w:hAnsi="宋体" w:cs="宋体"/>
                <w:bCs/>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；未提供不得分</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7" w:type="dxa"/>
            <w:shd w:val="clear" w:color="auto" w:fill="auto"/>
            <w:noWrap w:val="0"/>
            <w:vAlign w:val="center"/>
          </w:tcPr>
          <w:p>
            <w:pPr>
              <w:keepNext w:val="0"/>
              <w:keepLines w:val="0"/>
              <w:suppressLineNumbers w:val="0"/>
              <w:spacing w:before="0" w:beforeAutospacing="0" w:after="0" w:afterAutospacing="0" w:line="360" w:lineRule="auto"/>
              <w:ind w:left="0" w:right="3"/>
              <w:jc w:val="center"/>
              <w:rPr>
                <w:rFonts w:hint="default" w:ascii="宋体" w:hAnsi="宋体" w:eastAsia="宋体"/>
                <w:snapToGrid w:val="0"/>
                <w:color w:val="auto"/>
                <w:szCs w:val="21"/>
                <w:highlight w:val="none"/>
                <w:lang w:val="en-US" w:eastAsia="zh-CN"/>
              </w:rPr>
            </w:pPr>
            <w:r>
              <w:rPr>
                <w:rFonts w:hint="eastAsia" w:ascii="宋体" w:hAnsi="宋体"/>
                <w:snapToGrid w:val="0"/>
                <w:color w:val="auto"/>
                <w:szCs w:val="21"/>
                <w:highlight w:val="none"/>
                <w:lang w:val="en-US" w:eastAsia="zh-CN"/>
              </w:rPr>
              <w:t>10</w:t>
            </w:r>
          </w:p>
        </w:tc>
        <w:tc>
          <w:tcPr>
            <w:tcW w:w="1302" w:type="dxa"/>
            <w:vMerge w:val="continue"/>
            <w:shd w:val="clear" w:color="auto" w:fill="FFFFFF"/>
            <w:noWrap w:val="0"/>
            <w:vAlign w:val="center"/>
          </w:tcPr>
          <w:p>
            <w:pPr>
              <w:keepNext w:val="0"/>
              <w:keepLines w:val="0"/>
              <w:suppressLineNumbers w:val="0"/>
              <w:snapToGrid w:val="0"/>
              <w:spacing w:before="0" w:beforeAutospacing="0" w:after="0" w:afterAutospacing="0"/>
              <w:ind w:left="0" w:right="0"/>
              <w:jc w:val="center"/>
              <w:rPr>
                <w:rFonts w:hint="eastAsia" w:cs="Calibri"/>
                <w:color w:val="auto"/>
                <w:highlight w:val="none"/>
              </w:rPr>
            </w:pP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ascii="宋体" w:hAnsi="宋体" w:cs="仿宋"/>
                <w:color w:val="auto"/>
                <w:highlight w:val="none"/>
              </w:rPr>
            </w:pPr>
            <w:r>
              <w:rPr>
                <w:rFonts w:hint="eastAsia" w:ascii="宋体" w:hAnsi="宋体" w:cs="仿宋"/>
                <w:color w:val="auto"/>
                <w:highlight w:val="none"/>
              </w:rPr>
              <w:t>10</w:t>
            </w:r>
          </w:p>
        </w:tc>
        <w:tc>
          <w:tcPr>
            <w:tcW w:w="6342" w:type="dxa"/>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bCs/>
                <w:color w:val="auto"/>
                <w:szCs w:val="21"/>
                <w:highlight w:val="none"/>
              </w:rPr>
              <w:t>针对本项目重点和难点问题提出有效、全面的解决措施情况进行打分。内容详细、解决措施有效且针对性强的得</w:t>
            </w:r>
            <w:r>
              <w:rPr>
                <w:rFonts w:hint="eastAsia" w:ascii="宋体" w:hAnsi="Calibri" w:cs="宋体"/>
                <w:color w:val="auto"/>
                <w:spacing w:val="-2"/>
                <w:szCs w:val="21"/>
                <w:highlight w:val="none"/>
                <w:lang w:bidi="ar"/>
              </w:rPr>
              <w:t>10</w:t>
            </w:r>
            <w:r>
              <w:rPr>
                <w:rFonts w:hint="eastAsia" w:ascii="宋体" w:hAnsi="宋体" w:cs="宋体"/>
                <w:bCs/>
                <w:color w:val="auto"/>
                <w:szCs w:val="21"/>
                <w:highlight w:val="none"/>
              </w:rPr>
              <w:t>分；内容</w:t>
            </w:r>
            <w:r>
              <w:rPr>
                <w:rFonts w:hint="eastAsia" w:ascii="宋体" w:hAnsi="宋体" w:cs="宋体"/>
                <w:bCs/>
                <w:color w:val="auto"/>
                <w:szCs w:val="21"/>
                <w:highlight w:val="none"/>
                <w:lang w:eastAsia="zh-CN"/>
              </w:rPr>
              <w:t>较详细</w:t>
            </w:r>
            <w:r>
              <w:rPr>
                <w:rFonts w:hint="eastAsia" w:ascii="宋体" w:hAnsi="宋体" w:cs="宋体"/>
                <w:bCs/>
                <w:color w:val="auto"/>
                <w:szCs w:val="21"/>
                <w:highlight w:val="none"/>
              </w:rPr>
              <w:t>、</w:t>
            </w:r>
            <w:r>
              <w:rPr>
                <w:rFonts w:hint="eastAsia" w:ascii="宋体" w:hAnsi="宋体" w:cs="宋体"/>
                <w:color w:val="auto"/>
                <w:highlight w:val="none"/>
              </w:rPr>
              <w:t>有一定的针对性的</w:t>
            </w:r>
            <w:r>
              <w:rPr>
                <w:rFonts w:hint="eastAsia" w:ascii="宋体" w:hAnsi="宋体" w:cs="宋体"/>
                <w:bCs/>
                <w:color w:val="auto"/>
                <w:szCs w:val="21"/>
                <w:highlight w:val="none"/>
              </w:rPr>
              <w:t>得</w:t>
            </w:r>
            <w:r>
              <w:rPr>
                <w:rFonts w:hint="eastAsia" w:ascii="宋体" w:hAnsi="Calibri" w:cs="宋体"/>
                <w:color w:val="auto"/>
                <w:spacing w:val="-2"/>
                <w:szCs w:val="21"/>
                <w:highlight w:val="none"/>
                <w:lang w:bidi="ar"/>
              </w:rPr>
              <w:t>7</w:t>
            </w:r>
            <w:r>
              <w:rPr>
                <w:rFonts w:hint="eastAsia" w:ascii="宋体" w:hAnsi="宋体" w:cs="宋体"/>
                <w:bCs/>
                <w:color w:val="auto"/>
                <w:szCs w:val="21"/>
                <w:highlight w:val="none"/>
              </w:rPr>
              <w:t>分；</w:t>
            </w:r>
            <w:r>
              <w:rPr>
                <w:rFonts w:hint="eastAsia" w:ascii="宋体" w:hAnsi="宋体" w:cs="宋体"/>
                <w:color w:val="auto"/>
                <w:highlight w:val="none"/>
              </w:rPr>
              <w:t>内容</w:t>
            </w:r>
            <w:r>
              <w:rPr>
                <w:rFonts w:hint="eastAsia" w:ascii="宋体" w:hAnsi="宋体" w:cs="宋体"/>
                <w:bCs/>
                <w:color w:val="auto"/>
                <w:szCs w:val="21"/>
                <w:highlight w:val="none"/>
                <w:lang w:eastAsia="zh-CN"/>
              </w:rPr>
              <w:t>简单</w:t>
            </w:r>
            <w:r>
              <w:rPr>
                <w:rFonts w:hint="eastAsia" w:ascii="宋体" w:hAnsi="宋体" w:cs="宋体"/>
                <w:color w:val="auto"/>
                <w:highlight w:val="none"/>
              </w:rPr>
              <w:t>、有准确性</w:t>
            </w:r>
            <w:r>
              <w:rPr>
                <w:rFonts w:hint="eastAsia" w:ascii="宋体" w:hAnsi="宋体" w:cs="宋体"/>
                <w:color w:val="auto"/>
                <w:highlight w:val="none"/>
                <w:lang w:eastAsia="zh-CN"/>
              </w:rPr>
              <w:t>一般</w:t>
            </w:r>
            <w:r>
              <w:rPr>
                <w:rFonts w:hint="eastAsia" w:ascii="宋体" w:hAnsi="宋体" w:cs="宋体"/>
                <w:color w:val="auto"/>
                <w:highlight w:val="none"/>
              </w:rPr>
              <w:t>的得</w:t>
            </w:r>
            <w:r>
              <w:rPr>
                <w:rFonts w:hint="eastAsia" w:ascii="宋体" w:cs="宋体"/>
                <w:color w:val="auto"/>
                <w:spacing w:val="-2"/>
                <w:szCs w:val="21"/>
                <w:highlight w:val="none"/>
                <w:lang w:val="en-US" w:eastAsia="zh-CN" w:bidi="ar"/>
              </w:rPr>
              <w:t>4</w:t>
            </w:r>
            <w:r>
              <w:rPr>
                <w:rFonts w:hint="eastAsia" w:ascii="宋体" w:hAnsi="宋体" w:cs="宋体"/>
                <w:color w:val="auto"/>
                <w:highlight w:val="none"/>
              </w:rPr>
              <w:t>分；</w:t>
            </w:r>
            <w:r>
              <w:rPr>
                <w:rFonts w:hint="eastAsia" w:ascii="宋体" w:hAnsi="宋体" w:cs="宋体"/>
                <w:bCs/>
                <w:color w:val="auto"/>
                <w:szCs w:val="21"/>
                <w:highlight w:val="none"/>
                <w:lang w:eastAsia="zh-CN"/>
              </w:rPr>
              <w:t>内容</w:t>
            </w:r>
            <w:r>
              <w:rPr>
                <w:rFonts w:hint="eastAsia" w:ascii="宋体" w:hAnsi="宋体" w:cs="宋体"/>
                <w:bCs/>
                <w:color w:val="auto"/>
                <w:szCs w:val="21"/>
                <w:highlight w:val="none"/>
              </w:rPr>
              <w:t>有所欠缺的得</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分</w:t>
            </w:r>
            <w:r>
              <w:rPr>
                <w:rFonts w:hint="eastAsia" w:ascii="宋体" w:hAnsi="宋体" w:cs="宋体"/>
                <w:color w:val="auto"/>
                <w:szCs w:val="21"/>
                <w:highlight w:val="none"/>
                <w:lang w:eastAsia="zh-CN"/>
              </w:rPr>
              <w:t>；未提供不得分</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27" w:type="dxa"/>
            <w:vMerge w:val="restart"/>
            <w:shd w:val="clear" w:color="auto" w:fill="auto"/>
            <w:noWrap w:val="0"/>
            <w:vAlign w:val="center"/>
          </w:tcPr>
          <w:p>
            <w:pPr>
              <w:keepNext w:val="0"/>
              <w:keepLines w:val="0"/>
              <w:suppressLineNumbers w:val="0"/>
              <w:spacing w:before="0" w:beforeAutospacing="0" w:after="0" w:afterAutospacing="0" w:line="360" w:lineRule="auto"/>
              <w:ind w:left="0" w:right="3"/>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1302" w:type="dxa"/>
            <w:shd w:val="clear" w:color="auto" w:fill="FFFFFF"/>
            <w:noWrap w:val="0"/>
            <w:vAlign w:val="center"/>
          </w:tcPr>
          <w:p>
            <w:pPr>
              <w:keepNext w:val="0"/>
              <w:keepLines w:val="0"/>
              <w:suppressLineNumbers w:val="0"/>
              <w:snapToGrid w:val="0"/>
              <w:spacing w:before="24" w:beforeLines="10" w:beforeAutospacing="0" w:after="24" w:afterLines="10" w:afterAutospacing="0" w:line="300" w:lineRule="exact"/>
              <w:ind w:left="0" w:right="0"/>
              <w:jc w:val="center"/>
              <w:rPr>
                <w:rStyle w:val="423"/>
                <w:rFonts w:ascii="宋体" w:hAnsi="宋体"/>
                <w:color w:val="auto"/>
                <w:highlight w:val="none"/>
              </w:rPr>
            </w:pPr>
            <w:r>
              <w:rPr>
                <w:color w:val="auto"/>
                <w:highlight w:val="none"/>
              </w:rPr>
              <w:t>进度安排</w:t>
            </w:r>
            <w:r>
              <w:rPr>
                <w:rFonts w:hint="eastAsia"/>
                <w:color w:val="auto"/>
                <w:highlight w:val="none"/>
              </w:rPr>
              <w:t>及措施保证</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cs="仿宋"/>
                <w:color w:val="auto"/>
                <w:highlight w:val="none"/>
              </w:rPr>
            </w:pPr>
            <w:r>
              <w:rPr>
                <w:rFonts w:hint="eastAsia" w:ascii="宋体" w:hAnsi="宋体" w:cs="仿宋"/>
                <w:color w:val="auto"/>
                <w:highlight w:val="none"/>
              </w:rPr>
              <w:t>6</w:t>
            </w:r>
          </w:p>
        </w:tc>
        <w:tc>
          <w:tcPr>
            <w:tcW w:w="6342" w:type="dxa"/>
            <w:shd w:val="clear" w:color="auto" w:fill="FFFFFF"/>
            <w:noWrap w:val="0"/>
            <w:vAlign w:val="center"/>
          </w:tcPr>
          <w:p>
            <w:pPr>
              <w:keepNext w:val="0"/>
              <w:keepLines w:val="0"/>
              <w:suppressLineNumbers w:val="0"/>
              <w:spacing w:before="0" w:beforeAutospacing="0" w:after="0" w:afterAutospacing="0"/>
              <w:ind w:left="0" w:right="0"/>
              <w:rPr>
                <w:rFonts w:hint="eastAsia" w:ascii="宋体" w:hAnsi="Calibri" w:cs="宋体"/>
                <w:color w:val="auto"/>
                <w:spacing w:val="-2"/>
                <w:szCs w:val="21"/>
                <w:highlight w:val="none"/>
                <w:lang w:bidi="ar"/>
              </w:rPr>
            </w:pPr>
            <w:r>
              <w:rPr>
                <w:rFonts w:hint="eastAsia" w:ascii="宋体" w:hAnsi="Calibri" w:cs="宋体"/>
                <w:color w:val="auto"/>
                <w:spacing w:val="-2"/>
                <w:szCs w:val="21"/>
                <w:highlight w:val="none"/>
                <w:lang w:bidi="ar"/>
              </w:rPr>
              <w:t>根据供应商对本项目进度安排进行打分：项目编制计划、工期安排、任务划分、进度控制等关键时间节点安排科学、严谨合理的得6分；关键时间节点安排相对合理的得4分；进度安排有所欠缺的得</w:t>
            </w:r>
            <w:r>
              <w:rPr>
                <w:rFonts w:hint="eastAsia" w:ascii="宋体" w:cs="宋体"/>
                <w:color w:val="auto"/>
                <w:spacing w:val="-2"/>
                <w:szCs w:val="21"/>
                <w:highlight w:val="none"/>
                <w:lang w:val="en-US" w:eastAsia="zh-CN" w:bidi="ar"/>
              </w:rPr>
              <w:t>2</w:t>
            </w:r>
            <w:r>
              <w:rPr>
                <w:rFonts w:hint="eastAsia" w:ascii="宋体" w:hAnsi="Calibri" w:cs="宋体"/>
                <w:color w:val="auto"/>
                <w:spacing w:val="-2"/>
                <w:szCs w:val="21"/>
                <w:highlight w:val="none"/>
                <w:lang w:bidi="ar"/>
              </w:rPr>
              <w:t>分</w:t>
            </w:r>
            <w:r>
              <w:rPr>
                <w:rFonts w:hint="eastAsia" w:ascii="宋体" w:hAnsi="宋体" w:cs="宋体"/>
                <w:color w:val="auto"/>
                <w:szCs w:val="21"/>
                <w:highlight w:val="none"/>
                <w:lang w:eastAsia="zh-CN"/>
              </w:rPr>
              <w:t>；未提供不得分</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27"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3"/>
              <w:jc w:val="center"/>
              <w:rPr>
                <w:rFonts w:hint="eastAsia" w:ascii="宋体" w:hAnsi="宋体"/>
                <w:color w:val="auto"/>
                <w:szCs w:val="21"/>
                <w:highlight w:val="none"/>
              </w:rPr>
            </w:pPr>
          </w:p>
        </w:tc>
        <w:tc>
          <w:tcPr>
            <w:tcW w:w="1302" w:type="dxa"/>
            <w:shd w:val="clear" w:color="auto" w:fill="FFFFFF"/>
            <w:noWrap w:val="0"/>
            <w:vAlign w:val="center"/>
          </w:tcPr>
          <w:p>
            <w:pPr>
              <w:keepNext w:val="0"/>
              <w:keepLines w:val="0"/>
              <w:suppressLineNumbers w:val="0"/>
              <w:snapToGrid w:val="0"/>
              <w:spacing w:before="24" w:beforeLines="10" w:beforeAutospacing="0" w:after="24" w:afterLines="10" w:afterAutospacing="0" w:line="300" w:lineRule="exact"/>
              <w:ind w:left="0" w:right="0"/>
              <w:jc w:val="center"/>
              <w:rPr>
                <w:color w:val="auto"/>
                <w:highlight w:val="none"/>
              </w:rPr>
            </w:pPr>
            <w:r>
              <w:rPr>
                <w:rFonts w:hint="eastAsia"/>
                <w:color w:val="auto"/>
                <w:highlight w:val="none"/>
              </w:rPr>
              <w:t>保密措施</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cs="仿宋"/>
                <w:color w:val="auto"/>
                <w:highlight w:val="none"/>
              </w:rPr>
            </w:pPr>
            <w:r>
              <w:rPr>
                <w:rFonts w:hint="eastAsia" w:ascii="宋体" w:hAnsi="宋体" w:cs="仿宋"/>
                <w:color w:val="auto"/>
                <w:highlight w:val="none"/>
              </w:rPr>
              <w:t>6</w:t>
            </w:r>
          </w:p>
        </w:tc>
        <w:tc>
          <w:tcPr>
            <w:tcW w:w="6342" w:type="dxa"/>
            <w:shd w:val="clear" w:color="auto" w:fill="FFFFFF"/>
            <w:noWrap w:val="0"/>
            <w:vAlign w:val="center"/>
          </w:tcPr>
          <w:p>
            <w:pPr>
              <w:keepNext w:val="0"/>
              <w:keepLines w:val="0"/>
              <w:suppressLineNumbers w:val="0"/>
              <w:spacing w:before="0" w:beforeAutospacing="0" w:after="0" w:afterAutospacing="0"/>
              <w:ind w:left="0" w:right="0"/>
              <w:rPr>
                <w:b/>
                <w:bCs/>
                <w:color w:val="auto"/>
                <w:highlight w:val="none"/>
              </w:rPr>
            </w:pPr>
            <w:r>
              <w:rPr>
                <w:rFonts w:hint="eastAsia" w:ascii="宋体" w:hAnsi="Calibri" w:cs="宋体"/>
                <w:color w:val="auto"/>
                <w:spacing w:val="-2"/>
                <w:szCs w:val="21"/>
                <w:highlight w:val="none"/>
                <w:lang w:bidi="ar"/>
              </w:rPr>
              <w:t>供应商</w:t>
            </w:r>
            <w:r>
              <w:rPr>
                <w:rFonts w:hint="eastAsia" w:ascii="宋体" w:hAnsi="Calibri" w:cs="宋体"/>
                <w:color w:val="auto"/>
                <w:spacing w:val="-2"/>
                <w:szCs w:val="21"/>
                <w:highlight w:val="none"/>
                <w:lang w:val="zh-CN" w:bidi="ar"/>
              </w:rPr>
              <w:t>针对本项目有</w:t>
            </w:r>
            <w:r>
              <w:rPr>
                <w:rFonts w:hint="eastAsia" w:ascii="宋体" w:hAnsi="Calibri" w:cs="宋体"/>
                <w:color w:val="auto"/>
                <w:spacing w:val="-2"/>
                <w:szCs w:val="21"/>
                <w:highlight w:val="none"/>
                <w:lang w:bidi="ar"/>
              </w:rPr>
              <w:t>具体且可行的、详细的保密措施，根据保密措施科学合理性、严密性进行打分：方案合理、科学且安全的得6分；方案基本合理的得4分；</w:t>
            </w:r>
            <w:r>
              <w:rPr>
                <w:rFonts w:hint="eastAsia" w:ascii="宋体" w:cs="宋体"/>
                <w:color w:val="auto"/>
                <w:spacing w:val="-2"/>
                <w:szCs w:val="21"/>
                <w:highlight w:val="none"/>
                <w:lang w:eastAsia="zh-CN" w:bidi="ar"/>
              </w:rPr>
              <w:t>方案</w:t>
            </w:r>
            <w:r>
              <w:rPr>
                <w:rFonts w:hint="eastAsia" w:ascii="宋体" w:hAnsi="Calibri" w:cs="宋体"/>
                <w:color w:val="auto"/>
                <w:spacing w:val="-2"/>
                <w:szCs w:val="21"/>
                <w:highlight w:val="none"/>
                <w:lang w:bidi="ar"/>
              </w:rPr>
              <w:t>有所欠缺的得</w:t>
            </w:r>
            <w:r>
              <w:rPr>
                <w:rFonts w:hint="eastAsia" w:ascii="宋体" w:cs="宋体"/>
                <w:color w:val="auto"/>
                <w:spacing w:val="-2"/>
                <w:szCs w:val="21"/>
                <w:highlight w:val="none"/>
                <w:lang w:val="en-US" w:eastAsia="zh-CN" w:bidi="ar"/>
              </w:rPr>
              <w:t>2</w:t>
            </w:r>
            <w:r>
              <w:rPr>
                <w:rFonts w:hint="eastAsia" w:ascii="宋体" w:hAnsi="Calibri" w:cs="宋体"/>
                <w:color w:val="auto"/>
                <w:spacing w:val="-2"/>
                <w:szCs w:val="21"/>
                <w:highlight w:val="none"/>
                <w:lang w:bidi="ar"/>
              </w:rPr>
              <w:t>分</w:t>
            </w:r>
            <w:r>
              <w:rPr>
                <w:rFonts w:hint="eastAsia" w:ascii="宋体" w:hAnsi="宋体" w:cs="宋体"/>
                <w:color w:val="auto"/>
                <w:szCs w:val="21"/>
                <w:highlight w:val="none"/>
                <w:lang w:eastAsia="zh-CN"/>
              </w:rPr>
              <w:t>；未提供不得分</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27"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3"/>
              <w:jc w:val="center"/>
              <w:rPr>
                <w:rFonts w:ascii="宋体" w:hAnsi="宋体"/>
                <w:color w:val="auto"/>
                <w:szCs w:val="21"/>
                <w:highlight w:val="none"/>
              </w:rPr>
            </w:pPr>
          </w:p>
        </w:tc>
        <w:tc>
          <w:tcPr>
            <w:tcW w:w="1302" w:type="dxa"/>
            <w:shd w:val="clear" w:color="auto" w:fill="FFFFFF"/>
            <w:noWrap w:val="0"/>
            <w:vAlign w:val="center"/>
          </w:tcPr>
          <w:p>
            <w:pPr>
              <w:keepNext w:val="0"/>
              <w:keepLines w:val="0"/>
              <w:suppressLineNumbers w:val="0"/>
              <w:snapToGrid w:val="0"/>
              <w:spacing w:before="24" w:beforeLines="10" w:beforeAutospacing="0" w:after="24" w:afterLines="10" w:afterAutospacing="0" w:line="300" w:lineRule="exact"/>
              <w:ind w:left="0" w:right="0"/>
              <w:jc w:val="center"/>
              <w:rPr>
                <w:rStyle w:val="423"/>
                <w:rFonts w:ascii="宋体" w:hAnsi="宋体"/>
                <w:color w:val="auto"/>
                <w:highlight w:val="none"/>
              </w:rPr>
            </w:pPr>
            <w:r>
              <w:rPr>
                <w:rFonts w:hint="eastAsia" w:ascii="宋体" w:hAnsi="宋体" w:cs="仿宋"/>
                <w:color w:val="auto"/>
                <w:highlight w:val="none"/>
              </w:rPr>
              <w:t>质量保证</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cs="仿宋"/>
                <w:color w:val="auto"/>
                <w:highlight w:val="none"/>
              </w:rPr>
            </w:pPr>
            <w:r>
              <w:rPr>
                <w:rFonts w:hint="eastAsia" w:ascii="宋体" w:hAnsi="宋体" w:cs="仿宋"/>
                <w:color w:val="auto"/>
                <w:highlight w:val="none"/>
              </w:rPr>
              <w:t>6</w:t>
            </w:r>
          </w:p>
        </w:tc>
        <w:tc>
          <w:tcPr>
            <w:tcW w:w="6342" w:type="dxa"/>
            <w:shd w:val="clear" w:color="auto" w:fill="FFFFFF"/>
            <w:noWrap w:val="0"/>
            <w:vAlign w:val="center"/>
          </w:tcPr>
          <w:p>
            <w:pPr>
              <w:keepNext w:val="0"/>
              <w:keepLines w:val="0"/>
              <w:suppressLineNumbers w:val="0"/>
              <w:spacing w:before="0" w:beforeAutospacing="0" w:after="0" w:afterAutospacing="0"/>
              <w:ind w:left="0" w:right="0"/>
              <w:rPr>
                <w:rStyle w:val="423"/>
                <w:rFonts w:ascii="宋体" w:hAnsi="宋体"/>
                <w:color w:val="auto"/>
                <w:highlight w:val="none"/>
              </w:rPr>
            </w:pPr>
            <w:r>
              <w:rPr>
                <w:rFonts w:hint="eastAsia" w:ascii="宋体" w:hAnsi="宋体" w:cs="宋体"/>
                <w:bCs/>
                <w:color w:val="auto"/>
                <w:szCs w:val="21"/>
                <w:highlight w:val="none"/>
              </w:rPr>
              <w:t>根据供应商提供详细的服务方案及后期服务响应保障措施等进行打分：服务事项具有实质意义上的利于采购人开展本项目工作的得6分；内容简单、对采购人有一定意义的得4分；方案有所欠缺的得2分</w:t>
            </w:r>
            <w:r>
              <w:rPr>
                <w:rFonts w:hint="eastAsia" w:ascii="宋体" w:hAnsi="宋体" w:cs="宋体"/>
                <w:color w:val="auto"/>
                <w:szCs w:val="21"/>
                <w:highlight w:val="none"/>
                <w:lang w:eastAsia="zh-CN"/>
              </w:rPr>
              <w:t>；未提供不得分</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27" w:type="dxa"/>
            <w:vMerge w:val="continue"/>
            <w:shd w:val="clear" w:color="auto" w:fill="auto"/>
            <w:noWrap w:val="0"/>
            <w:vAlign w:val="center"/>
          </w:tcPr>
          <w:p>
            <w:pPr>
              <w:keepNext w:val="0"/>
              <w:keepLines w:val="0"/>
              <w:suppressLineNumbers w:val="0"/>
              <w:spacing w:before="0" w:beforeAutospacing="0" w:after="0" w:afterAutospacing="0" w:line="360" w:lineRule="auto"/>
              <w:ind w:left="0" w:right="3"/>
              <w:jc w:val="center"/>
              <w:rPr>
                <w:rFonts w:ascii="宋体" w:hAnsi="宋体"/>
                <w:color w:val="auto"/>
                <w:szCs w:val="21"/>
                <w:highlight w:val="none"/>
              </w:rPr>
            </w:pPr>
          </w:p>
        </w:tc>
        <w:tc>
          <w:tcPr>
            <w:tcW w:w="1302" w:type="dxa"/>
            <w:shd w:val="clear" w:color="auto" w:fill="FFFFFF"/>
            <w:noWrap w:val="0"/>
            <w:vAlign w:val="center"/>
          </w:tcPr>
          <w:p>
            <w:pPr>
              <w:keepNext w:val="0"/>
              <w:keepLines w:val="0"/>
              <w:suppressLineNumbers w:val="0"/>
              <w:snapToGrid w:val="0"/>
              <w:spacing w:before="24" w:beforeLines="10" w:beforeAutospacing="0" w:after="24" w:afterLines="10" w:afterAutospacing="0" w:line="300" w:lineRule="exact"/>
              <w:ind w:left="0" w:right="0"/>
              <w:jc w:val="center"/>
              <w:rPr>
                <w:rFonts w:hint="eastAsia" w:ascii="宋体" w:hAnsi="宋体" w:cs="仿宋"/>
                <w:color w:val="auto"/>
                <w:highlight w:val="none"/>
              </w:rPr>
            </w:pPr>
            <w:r>
              <w:rPr>
                <w:rFonts w:hint="eastAsia" w:ascii="宋体" w:hAnsi="宋体" w:cs="宋体"/>
                <w:color w:val="auto"/>
                <w:szCs w:val="21"/>
                <w:highlight w:val="none"/>
              </w:rPr>
              <w:t>合理化建议</w:t>
            </w:r>
          </w:p>
        </w:tc>
        <w:tc>
          <w:tcPr>
            <w:tcW w:w="1030" w:type="dxa"/>
            <w:shd w:val="clear" w:color="auto" w:fill="FFFFFF"/>
            <w:noWrap w:val="0"/>
            <w:vAlign w:val="center"/>
          </w:tcPr>
          <w:p>
            <w:pPr>
              <w:keepNext w:val="0"/>
              <w:keepLines w:val="0"/>
              <w:suppressLineNumbers w:val="0"/>
              <w:snapToGrid w:val="0"/>
              <w:spacing w:before="0" w:beforeAutospacing="0" w:after="0" w:afterAutospacing="0" w:line="300" w:lineRule="exact"/>
              <w:ind w:left="0" w:right="0"/>
              <w:jc w:val="center"/>
              <w:rPr>
                <w:rFonts w:hint="eastAsia" w:ascii="宋体" w:hAnsi="宋体" w:cs="仿宋"/>
                <w:color w:val="auto"/>
                <w:highlight w:val="none"/>
              </w:rPr>
            </w:pPr>
            <w:r>
              <w:rPr>
                <w:rFonts w:hint="eastAsia" w:ascii="宋体" w:hAnsi="宋体" w:cs="仿宋"/>
                <w:color w:val="auto"/>
                <w:highlight w:val="none"/>
              </w:rPr>
              <w:t>5</w:t>
            </w:r>
          </w:p>
        </w:tc>
        <w:tc>
          <w:tcPr>
            <w:tcW w:w="6342" w:type="dxa"/>
            <w:shd w:val="clear" w:color="auto" w:fill="FFFFFF"/>
            <w:noWrap w:val="0"/>
            <w:vAlign w:val="center"/>
          </w:tcPr>
          <w:p>
            <w:pPr>
              <w:keepNext w:val="0"/>
              <w:keepLines w:val="0"/>
              <w:suppressLineNumbers w:val="0"/>
              <w:spacing w:before="0" w:beforeAutospacing="0" w:after="0" w:afterAutospacing="0"/>
              <w:ind w:left="0" w:right="0"/>
              <w:rPr>
                <w:color w:val="auto"/>
                <w:highlight w:val="none"/>
              </w:rPr>
            </w:pPr>
            <w:r>
              <w:rPr>
                <w:rFonts w:hint="eastAsia" w:ascii="宋体" w:hAnsi="宋体" w:cs="宋体"/>
                <w:color w:val="auto"/>
                <w:highlight w:val="none"/>
              </w:rPr>
              <w:t>根据供应商</w:t>
            </w:r>
            <w:r>
              <w:rPr>
                <w:rFonts w:hint="eastAsia" w:ascii="宋体" w:hAnsi="宋体" w:cs="宋体"/>
                <w:color w:val="auto"/>
                <w:highlight w:val="none"/>
                <w:lang w:val="zh-CN"/>
              </w:rPr>
              <w:t>针对本项目</w:t>
            </w:r>
            <w:r>
              <w:rPr>
                <w:rFonts w:hint="eastAsia" w:ascii="宋体" w:hAnsi="宋体" w:cs="宋体"/>
                <w:color w:val="auto"/>
                <w:highlight w:val="none"/>
              </w:rPr>
              <w:t>提供的</w:t>
            </w:r>
            <w:r>
              <w:rPr>
                <w:rFonts w:hint="eastAsia" w:ascii="宋体" w:hAnsi="宋体" w:cs="宋体"/>
                <w:color w:val="auto"/>
                <w:highlight w:val="none"/>
                <w:lang w:val="zh-CN"/>
              </w:rPr>
              <w:t>合理化建议</w:t>
            </w:r>
            <w:r>
              <w:rPr>
                <w:rFonts w:hint="eastAsia" w:ascii="宋体" w:hAnsi="宋体" w:cs="宋体"/>
                <w:color w:val="auto"/>
                <w:highlight w:val="none"/>
              </w:rPr>
              <w:t>进行打分：方案合理、可行且科学的得5分；方案基本合理的得3分；方案</w:t>
            </w:r>
            <w:r>
              <w:rPr>
                <w:rFonts w:hint="eastAsia" w:ascii="宋体" w:hAnsi="宋体" w:cs="宋体"/>
                <w:bCs/>
                <w:color w:val="auto"/>
                <w:szCs w:val="21"/>
                <w:highlight w:val="none"/>
              </w:rPr>
              <w:t>有所欠缺</w:t>
            </w:r>
            <w:r>
              <w:rPr>
                <w:rFonts w:hint="eastAsia" w:ascii="宋体" w:hAnsi="宋体" w:cs="宋体"/>
                <w:color w:val="auto"/>
                <w:highlight w:val="none"/>
              </w:rPr>
              <w:t>的得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szCs w:val="21"/>
                <w:highlight w:val="none"/>
                <w:lang w:eastAsia="zh-CN"/>
              </w:rPr>
              <w:t>；未提供不得分</w:t>
            </w:r>
            <w:r>
              <w:rPr>
                <w:color w:val="auto"/>
                <w:highlight w:val="none"/>
              </w:rPr>
              <w:t>。</w:t>
            </w:r>
          </w:p>
        </w:tc>
      </w:tr>
    </w:tbl>
    <w:p>
      <w:pPr>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2.投标报价评分</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0分）：</w:t>
      </w:r>
    </w:p>
    <w:p>
      <w:pPr>
        <w:spacing w:line="380" w:lineRule="exact"/>
        <w:ind w:left="328" w:leftChars="156" w:firstLine="220" w:firstLineChars="1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（小微企业按照扣除10%后的投标价格参与以下环节评分）</w:t>
      </w:r>
    </w:p>
    <w:p>
      <w:pPr>
        <w:spacing w:line="380" w:lineRule="exact"/>
        <w:ind w:left="328" w:leftChars="156" w:firstLine="220" w:firstLineChars="1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所有有效供应商中</w:t>
      </w:r>
      <w:r>
        <w:rPr>
          <w:rFonts w:hint="eastAsia" w:ascii="宋体" w:eastAsia="宋体" w:cs="宋体"/>
          <w:b w:val="0"/>
          <w:bCs/>
          <w:color w:val="auto"/>
          <w:sz w:val="22"/>
          <w:szCs w:val="22"/>
          <w:highlight w:val="none"/>
          <w:lang w:eastAsia="zh-CN"/>
        </w:rPr>
        <w:t>报价</w:t>
      </w:r>
      <w:r>
        <w:rPr>
          <w:rFonts w:hint="eastAsia" w:ascii="宋体" w:hAnsi="宋体" w:eastAsia="宋体" w:cs="宋体"/>
          <w:b w:val="0"/>
          <w:bCs/>
          <w:color w:val="auto"/>
          <w:sz w:val="22"/>
          <w:szCs w:val="22"/>
          <w:highlight w:val="none"/>
        </w:rPr>
        <w:t>最低</w:t>
      </w:r>
      <w:r>
        <w:rPr>
          <w:rFonts w:hint="eastAsia" w:ascii="宋体" w:eastAsia="宋体" w:cs="宋体"/>
          <w:b w:val="0"/>
          <w:bCs/>
          <w:color w:val="auto"/>
          <w:sz w:val="22"/>
          <w:szCs w:val="22"/>
          <w:highlight w:val="none"/>
          <w:lang w:eastAsia="zh-CN"/>
        </w:rPr>
        <w:t>的（或政策功能扣除后的评标价格最低的）</w:t>
      </w:r>
      <w:r>
        <w:rPr>
          <w:rFonts w:hint="eastAsia" w:ascii="宋体" w:hAnsi="宋体" w:eastAsia="宋体" w:cs="宋体"/>
          <w:b w:val="0"/>
          <w:bCs/>
          <w:color w:val="auto"/>
          <w:sz w:val="22"/>
          <w:szCs w:val="22"/>
          <w:highlight w:val="none"/>
        </w:rPr>
        <w:t>磋商报价为基准价。</w:t>
      </w:r>
    </w:p>
    <w:p>
      <w:pPr>
        <w:spacing w:line="38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（1）有效磋商供应商的磋商报价等于评标基准价时其价格分为满分</w:t>
      </w:r>
      <w:r>
        <w:rPr>
          <w:rFonts w:hint="eastAsia" w:ascii="宋体" w:hAnsi="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分；</w:t>
      </w:r>
    </w:p>
    <w:p>
      <w:pPr>
        <w:spacing w:line="38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（2）其他磋商供应商的价格分按以下公式计算：</w:t>
      </w:r>
    </w:p>
    <w:p>
      <w:pPr>
        <w:spacing w:line="380" w:lineRule="exact"/>
        <w:ind w:left="548" w:leftChars="261"/>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磋商报价得分=（评标基准价/磋商供应商最终报价）×</w:t>
      </w:r>
      <w:r>
        <w:rPr>
          <w:rFonts w:hint="eastAsia" w:ascii="宋体" w:hAnsi="宋体" w:cs="宋体"/>
          <w:b w:val="0"/>
          <w:bCs/>
          <w:color w:val="auto"/>
          <w:sz w:val="22"/>
          <w:szCs w:val="22"/>
          <w:highlight w:val="none"/>
          <w:lang w:val="en-US" w:eastAsia="zh-CN"/>
        </w:rPr>
        <w:t>10%</w:t>
      </w:r>
      <w:r>
        <w:rPr>
          <w:rFonts w:hint="eastAsia" w:ascii="宋体" w:hAnsi="宋体" w:eastAsia="宋体" w:cs="宋体"/>
          <w:b w:val="0"/>
          <w:bCs/>
          <w:color w:val="auto"/>
          <w:sz w:val="22"/>
          <w:szCs w:val="22"/>
          <w:highlight w:val="none"/>
        </w:rPr>
        <w:t>×100（保留小数点后2位，第三位四舍五入）</w:t>
      </w:r>
    </w:p>
    <w:p>
      <w:pPr>
        <w:numPr>
          <w:ilvl w:val="0"/>
          <w:numId w:val="15"/>
        </w:numPr>
        <w:spacing w:line="380" w:lineRule="exact"/>
        <w:ind w:left="550" w:hanging="552" w:hangingChars="250"/>
        <w:rPr>
          <w:rFonts w:hint="eastAsia" w:ascii="宋体" w:hAnsi="宋体" w:eastAsia="宋体" w:cs="宋体"/>
          <w:b/>
          <w:bCs w:val="0"/>
          <w:color w:val="auto"/>
          <w:sz w:val="22"/>
          <w:szCs w:val="22"/>
          <w:highlight w:val="none"/>
          <w:u w:val="single"/>
        </w:rPr>
      </w:pPr>
      <w:r>
        <w:rPr>
          <w:rFonts w:hint="eastAsia" w:ascii="宋体" w:hAnsi="宋体" w:eastAsia="宋体" w:cs="宋体"/>
          <w:b/>
          <w:bCs w:val="0"/>
          <w:color w:val="auto"/>
          <w:sz w:val="22"/>
          <w:szCs w:val="22"/>
          <w:highlight w:val="none"/>
          <w:u w:val="single"/>
        </w:rPr>
        <w:t>▲如磋商供应商报价超过采购预算</w:t>
      </w:r>
      <w:r>
        <w:rPr>
          <w:rFonts w:hint="eastAsia" w:ascii="宋体" w:eastAsia="宋体" w:cs="宋体"/>
          <w:b/>
          <w:bCs w:val="0"/>
          <w:color w:val="auto"/>
          <w:sz w:val="22"/>
          <w:szCs w:val="22"/>
          <w:highlight w:val="none"/>
          <w:u w:val="single"/>
          <w:lang w:val="en-US" w:eastAsia="zh-CN"/>
        </w:rPr>
        <w:t>（最高限价）</w:t>
      </w:r>
      <w:r>
        <w:rPr>
          <w:rFonts w:hint="eastAsia" w:ascii="宋体" w:hAnsi="宋体" w:eastAsia="宋体" w:cs="宋体"/>
          <w:b/>
          <w:bCs w:val="0"/>
          <w:color w:val="auto"/>
          <w:sz w:val="22"/>
          <w:szCs w:val="22"/>
          <w:highlight w:val="none"/>
          <w:u w:val="single"/>
        </w:rPr>
        <w:t>的作无效标处理。</w:t>
      </w:r>
    </w:p>
    <w:p>
      <w:pPr>
        <w:spacing w:line="38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（4）根据《政府采购促进中小企业发展暂行办法》（财库[2011]181号），对小型或微型企业参加投标且投标产品为小型或微型企业生产的，价格给予10%的扣除，用扣除后的价格参与价格评分。</w:t>
      </w:r>
    </w:p>
    <w:p>
      <w:pPr>
        <w:spacing w:line="38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w:t>
      </w:r>
      <w:r>
        <w:rPr>
          <w:rFonts w:hint="eastAsia" w:ascii="宋体" w:hAnsi="宋体" w:eastAsia="宋体" w:cs="宋体"/>
          <w:color w:val="auto"/>
          <w:sz w:val="21"/>
          <w:szCs w:val="21"/>
          <w:highlight w:val="none"/>
          <w:u w:val="single"/>
        </w:rPr>
        <w:t>▲</w:t>
      </w:r>
      <w:r>
        <w:rPr>
          <w:rFonts w:hint="eastAsia" w:ascii="宋体" w:hAnsi="宋体" w:eastAsia="宋体" w:cs="宋体"/>
          <w:b/>
          <w:bCs w:val="0"/>
          <w:color w:val="auto"/>
          <w:sz w:val="22"/>
          <w:szCs w:val="22"/>
          <w:highlight w:val="none"/>
          <w:u w:val="single"/>
        </w:rPr>
        <w:t>评审小组在评审时发现供应商的报价明显低于成本价的，应当要求该供应商书面说明并提供相关证明材料，如供应商不能合理说明原因并提供证明材料的，评审小组应将该供应商的采购响应文件做无效处理，并在评审报告中予以说明。</w:t>
      </w:r>
    </w:p>
    <w:p>
      <w:pPr>
        <w:pStyle w:val="3"/>
        <w:rPr>
          <w:rFonts w:hint="eastAsia"/>
          <w:color w:val="auto"/>
          <w:highlight w:val="none"/>
        </w:rPr>
      </w:pPr>
    </w:p>
    <w:p>
      <w:pPr>
        <w:keepNext w:val="0"/>
        <w:keepLines w:val="0"/>
        <w:pageBreakBefore w:val="0"/>
        <w:widowControl w:val="0"/>
        <w:kinsoku/>
        <w:wordWrap/>
        <w:overflowPunct/>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3.有效投标人的综合得分为技术资信文件得分和投标报价得分的总和。</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406"/>
        <w:spacing w:line="500" w:lineRule="exact"/>
        <w:ind w:firstLine="482"/>
        <w:jc w:val="center"/>
        <w:rPr>
          <w:rFonts w:hint="eastAsia" w:ascii="宋体" w:hAnsi="宋体" w:eastAsia="宋体" w:cs="宋体"/>
          <w:b/>
          <w:color w:val="auto"/>
          <w:sz w:val="24"/>
          <w:szCs w:val="24"/>
          <w:highlight w:val="none"/>
        </w:rPr>
      </w:pPr>
    </w:p>
    <w:p>
      <w:pPr>
        <w:pStyle w:val="406"/>
        <w:spacing w:line="500" w:lineRule="exact"/>
        <w:ind w:firstLine="48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政府采购活动现场确认声明书</w:t>
      </w:r>
    </w:p>
    <w:p>
      <w:pPr>
        <w:pStyle w:val="406"/>
        <w:spacing w:line="500" w:lineRule="exact"/>
        <w:ind w:firstLine="442"/>
        <w:rPr>
          <w:rFonts w:hint="eastAsia" w:ascii="宋体" w:hAnsi="宋体" w:eastAsia="宋体" w:cs="宋体"/>
          <w:b/>
          <w:bCs/>
          <w:color w:val="auto"/>
          <w:sz w:val="22"/>
          <w:szCs w:val="22"/>
          <w:highlight w:val="none"/>
        </w:rPr>
      </w:pPr>
      <w:r>
        <w:rPr>
          <w:rFonts w:hint="eastAsia" w:hAnsi="宋体" w:cs="宋体"/>
          <w:b/>
          <w:bCs/>
          <w:color w:val="auto"/>
          <w:sz w:val="22"/>
          <w:szCs w:val="22"/>
          <w:highlight w:val="none"/>
          <w:lang w:eastAsia="zh-CN"/>
        </w:rPr>
        <w:t>温州市龙湾区发展和改革局</w:t>
      </w:r>
      <w:r>
        <w:rPr>
          <w:rFonts w:hint="eastAsia" w:ascii="宋体" w:hAnsi="宋体" w:eastAsia="宋体" w:cs="宋体"/>
          <w:b/>
          <w:bCs/>
          <w:color w:val="auto"/>
          <w:sz w:val="22"/>
          <w:szCs w:val="22"/>
          <w:highlight w:val="none"/>
        </w:rPr>
        <w:t>：</w:t>
      </w:r>
    </w:p>
    <w:p>
      <w:pPr>
        <w:pStyle w:val="406"/>
        <w:spacing w:line="500" w:lineRule="exact"/>
        <w:ind w:firstLine="442"/>
        <w:rPr>
          <w:rFonts w:hint="eastAsia" w:ascii="宋体" w:hAnsi="宋体" w:eastAsia="宋体" w:cs="宋体"/>
          <w:b/>
          <w:color w:val="auto"/>
          <w:sz w:val="22"/>
          <w:szCs w:val="22"/>
          <w:highlight w:val="none"/>
        </w:rPr>
      </w:pPr>
      <w:r>
        <w:rPr>
          <w:rFonts w:hint="eastAsia" w:hAnsi="宋体" w:cs="宋体"/>
          <w:b/>
          <w:bCs/>
          <w:color w:val="auto"/>
          <w:sz w:val="22"/>
          <w:szCs w:val="22"/>
          <w:highlight w:val="none"/>
          <w:lang w:eastAsia="zh-CN"/>
        </w:rPr>
        <w:t>浙江鼎力工程项目管理有限公司</w:t>
      </w:r>
      <w:r>
        <w:rPr>
          <w:rFonts w:hint="eastAsia" w:ascii="宋体" w:hAnsi="宋体" w:eastAsia="宋体" w:cs="宋体"/>
          <w:b/>
          <w:color w:val="auto"/>
          <w:kern w:val="0"/>
          <w:sz w:val="22"/>
          <w:szCs w:val="22"/>
          <w:highlight w:val="none"/>
        </w:rPr>
        <w:t>：</w:t>
      </w:r>
    </w:p>
    <w:p>
      <w:pPr>
        <w:pStyle w:val="406"/>
        <w:spacing w:line="480" w:lineRule="exact"/>
        <w:ind w:firstLine="464"/>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合法授权参加项目</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pPr>
        <w:pStyle w:val="405"/>
        <w:widowControl/>
        <w:numPr>
          <w:ilvl w:val="0"/>
          <w:numId w:val="16"/>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p>
    <w:p>
      <w:pPr>
        <w:pStyle w:val="405"/>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pPr>
        <w:pStyle w:val="405"/>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pPr>
        <w:pStyle w:val="405"/>
        <w:widowControl/>
        <w:snapToGrid w:val="0"/>
        <w:spacing w:line="48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pPr>
        <w:pStyle w:val="406"/>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pStyle w:val="406"/>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pStyle w:val="406"/>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pStyle w:val="406"/>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pStyle w:val="406"/>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pStyle w:val="406"/>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pStyle w:val="406"/>
        <w:spacing w:line="480" w:lineRule="exact"/>
        <w:ind w:firstLine="44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pStyle w:val="406"/>
        <w:spacing w:line="480" w:lineRule="exact"/>
        <w:ind w:firstLine="44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pPr>
        <w:pStyle w:val="406"/>
        <w:spacing w:line="480" w:lineRule="exact"/>
        <w:ind w:firstLine="44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pPr>
        <w:pStyle w:val="405"/>
        <w:widowControl/>
        <w:numPr>
          <w:ilvl w:val="0"/>
          <w:numId w:val="17"/>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严格遵守政府采购法律法规和现场纪律。</w:t>
      </w:r>
    </w:p>
    <w:p>
      <w:pPr>
        <w:pStyle w:val="405"/>
        <w:widowControl/>
        <w:numPr>
          <w:ilvl w:val="0"/>
          <w:numId w:val="17"/>
        </w:numPr>
        <w:snapToGrid w:val="0"/>
        <w:spacing w:line="48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我发现供应商</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pPr>
        <w:pStyle w:val="406"/>
        <w:spacing w:line="500" w:lineRule="exact"/>
        <w:ind w:firstLine="6600" w:firstLineChars="30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供应商代表签字：</w:t>
      </w:r>
    </w:p>
    <w:p>
      <w:pPr>
        <w:spacing w:line="440" w:lineRule="exact"/>
        <w:jc w:val="right"/>
        <w:rPr>
          <w:rFonts w:hint="eastAsia" w:ascii="宋体" w:hAnsi="宋体" w:eastAsia="宋体" w:cs="宋体"/>
          <w:color w:val="auto"/>
          <w:sz w:val="22"/>
          <w:szCs w:val="22"/>
          <w:highlight w:val="none"/>
        </w:rPr>
      </w:pPr>
    </w:p>
    <w:p>
      <w:pPr>
        <w:spacing w:line="440" w:lineRule="exact"/>
        <w:jc w:val="righ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年  月  日</w:t>
      </w:r>
    </w:p>
    <w:p>
      <w:pPr>
        <w:pStyle w:val="51"/>
        <w:tabs>
          <w:tab w:val="left" w:pos="6208"/>
        </w:tabs>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2"/>
          <w:szCs w:val="22"/>
          <w:highlight w:val="none"/>
        </w:rPr>
        <w:t>说明：填写完毕，</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"mailto:发送至邮箱406216823@qq.com" </w:instrText>
      </w:r>
      <w:r>
        <w:rPr>
          <w:rFonts w:hint="eastAsia" w:ascii="宋体" w:hAnsi="宋体" w:eastAsia="宋体" w:cs="宋体"/>
          <w:color w:val="auto"/>
          <w:highlight w:val="none"/>
        </w:rPr>
        <w:fldChar w:fldCharType="separate"/>
      </w:r>
      <w:r>
        <w:rPr>
          <w:rStyle w:val="65"/>
          <w:rFonts w:hint="eastAsia" w:ascii="宋体" w:hAnsi="宋体" w:eastAsia="宋体" w:cs="宋体"/>
          <w:color w:val="auto"/>
          <w:sz w:val="22"/>
          <w:szCs w:val="22"/>
          <w:highlight w:val="none"/>
        </w:rPr>
        <w:t>发送至邮箱</w:t>
      </w:r>
      <w:r>
        <w:rPr>
          <w:rStyle w:val="65"/>
          <w:rFonts w:hint="eastAsia" w:ascii="宋体" w:hAnsi="宋体" w:cs="宋体"/>
          <w:color w:val="auto"/>
          <w:sz w:val="22"/>
          <w:szCs w:val="22"/>
          <w:highlight w:val="none"/>
          <w:lang w:eastAsia="zh-CN"/>
        </w:rPr>
        <w:t>497618394</w:t>
      </w:r>
      <w:r>
        <w:rPr>
          <w:rStyle w:val="65"/>
          <w:rFonts w:hint="eastAsia" w:ascii="宋体" w:hAnsi="宋体" w:eastAsia="宋体" w:cs="宋体"/>
          <w:color w:val="auto"/>
          <w:sz w:val="22"/>
          <w:szCs w:val="22"/>
          <w:highlight w:val="none"/>
        </w:rPr>
        <w:t>@qq.com</w:t>
      </w:r>
      <w:r>
        <w:rPr>
          <w:rStyle w:val="65"/>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w:t>
      </w:r>
    </w:p>
    <w:bookmarkEnd w:id="101"/>
    <w:sectPr>
      <w:pgSz w:w="11906" w:h="16838"/>
      <w:pgMar w:top="1134" w:right="1134" w:bottom="1134" w:left="1417" w:header="851" w:footer="85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创艺简仿宋">
    <w:altName w:val="仿宋"/>
    <w:panose1 w:val="00000000000000000000"/>
    <w:charset w:val="86"/>
    <w:family w:val="auto"/>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宋体"/>
    <w:panose1 w:val="00000000000000000000"/>
    <w:charset w:val="86"/>
    <w:family w:val="auto"/>
    <w:pitch w:val="default"/>
    <w:sig w:usb0="00000000" w:usb1="00000000" w:usb2="0000001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Linotype Univers 330 Ligh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Univers LT Std 47 Cn L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Univers LT Std 57 Cn">
    <w:altName w:val="Segoe Print"/>
    <w:panose1 w:val="00000000000000000000"/>
    <w:charset w:val="00"/>
    <w:family w:val="swiss"/>
    <w:pitch w:val="default"/>
    <w:sig w:usb0="00000000" w:usb1="00000000" w:usb2="00000000" w:usb3="00000000" w:csb0="00000001" w:csb1="00000000"/>
  </w:font>
  <w:font w:name="Century Gothic">
    <w:altName w:val="NumberOnly"/>
    <w:panose1 w:val="020B0502020202020204"/>
    <w:charset w:val="00"/>
    <w:family w:val="swiss"/>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8"/>
      </w:rPr>
    </w:pPr>
    <w:r>
      <w:fldChar w:fldCharType="begin"/>
    </w:r>
    <w:r>
      <w:rPr>
        <w:rStyle w:val="58"/>
      </w:rPr>
      <w:instrText xml:space="preserve">PAGE  </w:instrText>
    </w:r>
    <w: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l6LbIBAABZAwAADgAAAGRycy9lMm9Eb2MueG1srVPNjtMwEL4j8Q6W&#10;7zRppUV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8l6LbIB&#10;AABZAwAADgAAAAAAAAABACAAAAAeAQAAZHJzL2Uyb0RvYy54bWxQSwUGAAAAAAYABgBZAQAAQgUA&#10;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6"/>
                          </w:pPr>
                          <w:r>
                            <w:fldChar w:fldCharType="begin"/>
                          </w:r>
                          <w:r>
                            <w:instrText xml:space="preserve"> PAGE  \* MERGEFORMAT </w:instrText>
                          </w:r>
                          <w:r>
                            <w:fldChar w:fldCharType="separate"/>
                          </w:r>
                          <w:r>
                            <w:rPr>
                              <w:rFonts w:hint="eastAsia"/>
                            </w:rPr>
                            <w:t>49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5X67IBAABZAwAADgAAAGRycy9lMm9Eb2MueG1srVPNjtMwEL4j8Q6W&#10;7zRptUJ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35X67IB&#10;AABZAwAADgAAAAAAAAABACAAAAAeAQAAZHJzL2Uyb0RvYy54bWxQSwUGAAAAAAYABgBZAQAAQgUA&#10;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rPr>
                        <w:rFonts w:hint="eastAsia"/>
                      </w:rPr>
                      <w:t>49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left"/>
    </w:pPr>
    <w:r>
      <w:rPr>
        <w:rFonts w:hint="eastAsia"/>
      </w:rPr>
      <w:t xml:space="preserve">温州市政府采购竞争性磋商文件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9B176"/>
    <w:multiLevelType w:val="singleLevel"/>
    <w:tmpl w:val="A4F9B176"/>
    <w:lvl w:ilvl="0" w:tentative="0">
      <w:start w:val="1"/>
      <w:numFmt w:val="decimal"/>
      <w:suff w:val="nothing"/>
      <w:lvlText w:val="%1）"/>
      <w:lvlJc w:val="left"/>
    </w:lvl>
  </w:abstractNum>
  <w:abstractNum w:abstractNumId="1">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2">
    <w:nsid w:val="C6E82396"/>
    <w:multiLevelType w:val="singleLevel"/>
    <w:tmpl w:val="C6E82396"/>
    <w:lvl w:ilvl="0" w:tentative="0">
      <w:start w:val="1"/>
      <w:numFmt w:val="decimal"/>
      <w:suff w:val="nothing"/>
      <w:lvlText w:val="%1）"/>
      <w:lvlJc w:val="left"/>
    </w:lvl>
  </w:abstractNum>
  <w:abstractNum w:abstractNumId="3">
    <w:nsid w:val="EAC07E0E"/>
    <w:multiLevelType w:val="singleLevel"/>
    <w:tmpl w:val="EAC07E0E"/>
    <w:lvl w:ilvl="0" w:tentative="0">
      <w:start w:val="1"/>
      <w:numFmt w:val="decimal"/>
      <w:suff w:val="nothing"/>
      <w:lvlText w:val="%1．"/>
      <w:lvlJc w:val="left"/>
      <w:pPr>
        <w:ind w:left="0" w:firstLine="400"/>
      </w:pPr>
      <w:rPr>
        <w:rFonts w:hint="default"/>
      </w:rPr>
    </w:lvl>
  </w:abstractNum>
  <w:abstractNum w:abstractNumId="4">
    <w:nsid w:val="00000006"/>
    <w:multiLevelType w:val="multilevel"/>
    <w:tmpl w:val="00000006"/>
    <w:lvl w:ilvl="0" w:tentative="0">
      <w:start w:val="1"/>
      <w:numFmt w:val="decimal"/>
      <w:pStyle w:val="19"/>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5"/>
      <w:numFmt w:val="decimal"/>
      <w:pStyle w:val="265"/>
      <w:lvlText w:val="%1."/>
      <w:lvlJc w:val="left"/>
      <w:pPr>
        <w:tabs>
          <w:tab w:val="left" w:pos="360"/>
        </w:tabs>
        <w:ind w:left="360" w:hanging="360"/>
      </w:pPr>
      <w:rPr>
        <w:rFonts w:hint="default"/>
      </w:rPr>
    </w:lvl>
    <w:lvl w:ilvl="1" w:tentative="0">
      <w:start w:val="0"/>
      <w:numFmt w:val="none"/>
      <w:pStyle w:val="318"/>
      <w:lvlText w:val=""/>
      <w:lvlJc w:val="left"/>
      <w:pPr>
        <w:tabs>
          <w:tab w:val="left" w:pos="360"/>
        </w:tabs>
      </w:pPr>
    </w:lvl>
    <w:lvl w:ilvl="2" w:tentative="0">
      <w:start w:val="0"/>
      <w:numFmt w:val="none"/>
      <w:pStyle w:val="256"/>
      <w:lvlText w:val=""/>
      <w:lvlJc w:val="left"/>
      <w:pPr>
        <w:tabs>
          <w:tab w:val="left" w:pos="360"/>
        </w:tabs>
      </w:pPr>
    </w:lvl>
    <w:lvl w:ilvl="3" w:tentative="0">
      <w:start w:val="0"/>
      <w:numFmt w:val="none"/>
      <w:pStyle w:val="255"/>
      <w:lvlText w:val=""/>
      <w:lvlJc w:val="left"/>
      <w:pPr>
        <w:tabs>
          <w:tab w:val="left" w:pos="360"/>
        </w:tabs>
      </w:pPr>
    </w:lvl>
    <w:lvl w:ilvl="4" w:tentative="0">
      <w:start w:val="0"/>
      <w:numFmt w:val="none"/>
      <w:pStyle w:val="254"/>
      <w:lvlText w:val=""/>
      <w:lvlJc w:val="left"/>
      <w:pPr>
        <w:tabs>
          <w:tab w:val="left" w:pos="360"/>
        </w:tabs>
      </w:pPr>
    </w:lvl>
    <w:lvl w:ilvl="5" w:tentative="0">
      <w:start w:val="0"/>
      <w:numFmt w:val="none"/>
      <w:pStyle w:val="306"/>
      <w:lvlText w:val=""/>
      <w:lvlJc w:val="left"/>
      <w:pPr>
        <w:tabs>
          <w:tab w:val="left" w:pos="360"/>
        </w:tabs>
      </w:pPr>
    </w:lvl>
    <w:lvl w:ilvl="6" w:tentative="0">
      <w:start w:val="0"/>
      <w:numFmt w:val="none"/>
      <w:pStyle w:val="385"/>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11DB309F"/>
    <w:multiLevelType w:val="multilevel"/>
    <w:tmpl w:val="11DB309F"/>
    <w:lvl w:ilvl="0" w:tentative="0">
      <w:start w:val="1"/>
      <w:numFmt w:val="chineseCountingThousand"/>
      <w:pStyle w:val="401"/>
      <w:lvlText w:val="%1、"/>
      <w:lvlJc w:val="left"/>
      <w:pPr>
        <w:ind w:left="987" w:hanging="420"/>
      </w:pPr>
      <w:rPr>
        <w:rFonts w:hint="eastAsia"/>
        <w:b/>
        <w:bCs w:val="0"/>
        <w:i w:val="0"/>
        <w:iCs w:val="0"/>
        <w:caps w:val="0"/>
        <w:smallCaps w:val="0"/>
        <w:strike w:val="0"/>
        <w:dstrike w:val="0"/>
        <w:color w:val="000000"/>
        <w:spacing w:val="0"/>
        <w:position w:val="0"/>
        <w:u w:val="none"/>
      </w:rPr>
    </w:lvl>
    <w:lvl w:ilvl="1" w:tentative="0">
      <w:start w:val="1"/>
      <w:numFmt w:val="decimal"/>
      <w:pStyle w:val="403"/>
      <w:isLgl/>
      <w:lvlText w:val="%1.%2."/>
      <w:lvlJc w:val="left"/>
      <w:pPr>
        <w:tabs>
          <w:tab w:val="left" w:pos="431"/>
        </w:tabs>
        <w:ind w:left="0" w:firstLine="0"/>
      </w:pPr>
      <w:rPr>
        <w:rFonts w:hint="eastAsia"/>
        <w:b/>
        <w:i w:val="0"/>
        <w:sz w:val="28"/>
        <w:szCs w:val="28"/>
      </w:rPr>
    </w:lvl>
    <w:lvl w:ilvl="2" w:tentative="0">
      <w:start w:val="1"/>
      <w:numFmt w:val="decimal"/>
      <w:pStyle w:val="404"/>
      <w:isLgl/>
      <w:lvlText w:val="%1.%2.%3."/>
      <w:lvlJc w:val="left"/>
      <w:pPr>
        <w:tabs>
          <w:tab w:val="left" w:pos="1565"/>
        </w:tabs>
        <w:ind w:left="1134" w:firstLine="0"/>
      </w:pPr>
      <w:rPr>
        <w:rFonts w:hint="eastAsia"/>
        <w:b/>
        <w:i w:val="0"/>
        <w:sz w:val="28"/>
        <w:szCs w:val="28"/>
      </w:rPr>
    </w:lvl>
    <w:lvl w:ilvl="3" w:tentative="0">
      <w:start w:val="1"/>
      <w:numFmt w:val="decimal"/>
      <w:isLgl/>
      <w:lvlText w:val="%1.%2.%3.%4."/>
      <w:lvlJc w:val="left"/>
      <w:pPr>
        <w:tabs>
          <w:tab w:val="left" w:pos="431"/>
        </w:tabs>
        <w:ind w:left="0" w:firstLine="0"/>
      </w:pPr>
      <w:rPr>
        <w:rFonts w:hint="eastAsia"/>
        <w:b/>
        <w:i w:val="0"/>
        <w:sz w:val="28"/>
      </w:rPr>
    </w:lvl>
    <w:lvl w:ilvl="4" w:tentative="0">
      <w:start w:val="1"/>
      <w:numFmt w:val="decimal"/>
      <w:isLgl/>
      <w:lvlText w:val="%1.%2.%3.%4.%5."/>
      <w:lvlJc w:val="left"/>
      <w:pPr>
        <w:tabs>
          <w:tab w:val="left" w:pos="431"/>
        </w:tabs>
        <w:ind w:left="0" w:firstLine="0"/>
      </w:pPr>
      <w:rPr>
        <w:rFonts w:hint="eastAsia"/>
        <w:b/>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16410696"/>
    <w:multiLevelType w:val="singleLevel"/>
    <w:tmpl w:val="16410696"/>
    <w:lvl w:ilvl="0" w:tentative="0">
      <w:start w:val="1"/>
      <w:numFmt w:val="decimal"/>
      <w:suff w:val="nothing"/>
      <w:lvlText w:val="%1）"/>
      <w:lvlJc w:val="left"/>
    </w:lvl>
  </w:abstractNum>
  <w:abstractNum w:abstractNumId="8">
    <w:nsid w:val="177D77AF"/>
    <w:multiLevelType w:val="singleLevel"/>
    <w:tmpl w:val="177D77AF"/>
    <w:lvl w:ilvl="0" w:tentative="0">
      <w:start w:val="1"/>
      <w:numFmt w:val="decimal"/>
      <w:suff w:val="nothing"/>
      <w:lvlText w:val="%1．"/>
      <w:lvlJc w:val="left"/>
      <w:pPr>
        <w:ind w:left="0" w:firstLine="400"/>
      </w:pPr>
      <w:rPr>
        <w:rFonts w:hint="default"/>
      </w:rPr>
    </w:lvl>
  </w:abstractNum>
  <w:abstractNum w:abstractNumId="9">
    <w:nsid w:val="30C31466"/>
    <w:multiLevelType w:val="singleLevel"/>
    <w:tmpl w:val="30C31466"/>
    <w:lvl w:ilvl="0" w:tentative="0">
      <w:start w:val="1"/>
      <w:numFmt w:val="decimal"/>
      <w:suff w:val="space"/>
      <w:lvlText w:val="%1."/>
      <w:lvlJc w:val="left"/>
    </w:lvl>
  </w:abstractNum>
  <w:abstractNum w:abstractNumId="10">
    <w:nsid w:val="54F403B5"/>
    <w:multiLevelType w:val="singleLevel"/>
    <w:tmpl w:val="54F403B5"/>
    <w:lvl w:ilvl="0" w:tentative="0">
      <w:start w:val="1"/>
      <w:numFmt w:val="chineseCounting"/>
      <w:suff w:val="nothing"/>
      <w:lvlText w:val="%1、"/>
      <w:lvlJc w:val="left"/>
      <w:pPr>
        <w:ind w:left="0" w:firstLine="0"/>
      </w:pPr>
    </w:lvl>
  </w:abstractNum>
  <w:abstractNum w:abstractNumId="11">
    <w:nsid w:val="557FD3DA"/>
    <w:multiLevelType w:val="singleLevel"/>
    <w:tmpl w:val="557FD3DA"/>
    <w:lvl w:ilvl="0" w:tentative="0">
      <w:start w:val="3"/>
      <w:numFmt w:val="chineseCounting"/>
      <w:suff w:val="nothing"/>
      <w:lvlText w:val="%1、"/>
      <w:lvlJc w:val="left"/>
      <w:pPr>
        <w:ind w:left="0" w:firstLine="0"/>
      </w:pPr>
    </w:lvl>
  </w:abstractNum>
  <w:abstractNum w:abstractNumId="12">
    <w:nsid w:val="5763A2D6"/>
    <w:multiLevelType w:val="singleLevel"/>
    <w:tmpl w:val="5763A2D6"/>
    <w:lvl w:ilvl="0" w:tentative="0">
      <w:start w:val="3"/>
      <w:numFmt w:val="decimal"/>
      <w:suff w:val="nothing"/>
      <w:lvlText w:val="（%1）"/>
      <w:lvlJc w:val="left"/>
    </w:lvl>
  </w:abstractNum>
  <w:abstractNum w:abstractNumId="13">
    <w:nsid w:val="59E912FC"/>
    <w:multiLevelType w:val="singleLevel"/>
    <w:tmpl w:val="59E912FC"/>
    <w:lvl w:ilvl="0" w:tentative="0">
      <w:start w:val="5"/>
      <w:numFmt w:val="chineseCounting"/>
      <w:suff w:val="nothing"/>
      <w:lvlText w:val="%1、"/>
      <w:lvlJc w:val="left"/>
      <w:rPr>
        <w:rFonts w:hint="eastAsia"/>
      </w:rPr>
    </w:lvl>
  </w:abstractNum>
  <w:abstractNum w:abstractNumId="14">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15">
    <w:nsid w:val="5D9F7323"/>
    <w:multiLevelType w:val="multilevel"/>
    <w:tmpl w:val="5D9F732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5"/>
  </w:num>
  <w:num w:numId="3">
    <w:abstractNumId w:val="6"/>
  </w:num>
  <w:num w:numId="4">
    <w:abstractNumId w:val="13"/>
  </w:num>
  <w:num w:numId="5">
    <w:abstractNumId w:val="9"/>
  </w:num>
  <w:num w:numId="6">
    <w:abstractNumId w:val="16"/>
  </w:num>
  <w:num w:numId="7">
    <w:abstractNumId w:val="1"/>
  </w:num>
  <w:num w:numId="8">
    <w:abstractNumId w:val="2"/>
    <w:lvlOverride w:ilvl="0">
      <w:startOverride w:val="1"/>
    </w:lvlOverride>
  </w:num>
  <w:num w:numId="9">
    <w:abstractNumId w:val="0"/>
    <w:lvlOverride w:ilvl="0">
      <w:startOverride w:val="1"/>
    </w:lvlOverride>
  </w:num>
  <w:num w:numId="10">
    <w:abstractNumId w:val="7"/>
    <w:lvlOverride w:ilvl="0">
      <w:startOverride w:val="1"/>
    </w:lvlOverride>
  </w:num>
  <w:num w:numId="11">
    <w:abstractNumId w:val="14"/>
  </w:num>
  <w:num w:numId="12">
    <w:abstractNumId w:val="15"/>
  </w:num>
  <w:num w:numId="13">
    <w:abstractNumId w:val="8"/>
  </w:num>
  <w:num w:numId="14">
    <w:abstractNumId w:val="3"/>
  </w:num>
  <w:num w:numId="15">
    <w:abstractNumId w:val="12"/>
  </w:num>
  <w:num w:numId="16">
    <w:abstractNumId w:val="10"/>
    <w:lvlOverride w:ilvl="0">
      <w:startOverride w:val="1"/>
    </w:lvlOverride>
  </w:num>
  <w:num w:numId="17">
    <w:abstractNumId w:val="1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DIyNmYyZTI2NGRlN2EyZjA3ZDE3NTI4OGU5ZjkifQ=="/>
  </w:docVars>
  <w:rsids>
    <w:rsidRoot w:val="00172A27"/>
    <w:rsid w:val="000020D1"/>
    <w:rsid w:val="0000469E"/>
    <w:rsid w:val="00004960"/>
    <w:rsid w:val="000100BA"/>
    <w:rsid w:val="00013ACC"/>
    <w:rsid w:val="000140A7"/>
    <w:rsid w:val="0001503C"/>
    <w:rsid w:val="000211CB"/>
    <w:rsid w:val="00021B89"/>
    <w:rsid w:val="00025364"/>
    <w:rsid w:val="00034534"/>
    <w:rsid w:val="00040B6E"/>
    <w:rsid w:val="00041F17"/>
    <w:rsid w:val="00042795"/>
    <w:rsid w:val="000429CF"/>
    <w:rsid w:val="000517F5"/>
    <w:rsid w:val="000526A1"/>
    <w:rsid w:val="000528C6"/>
    <w:rsid w:val="00052D17"/>
    <w:rsid w:val="0006026B"/>
    <w:rsid w:val="00061FD3"/>
    <w:rsid w:val="00066192"/>
    <w:rsid w:val="00067C7D"/>
    <w:rsid w:val="00071105"/>
    <w:rsid w:val="000717C3"/>
    <w:rsid w:val="000750E3"/>
    <w:rsid w:val="000765F2"/>
    <w:rsid w:val="000772F6"/>
    <w:rsid w:val="000773D1"/>
    <w:rsid w:val="00077739"/>
    <w:rsid w:val="00080B28"/>
    <w:rsid w:val="000823E2"/>
    <w:rsid w:val="00082E06"/>
    <w:rsid w:val="000910A6"/>
    <w:rsid w:val="00096BB9"/>
    <w:rsid w:val="00097751"/>
    <w:rsid w:val="000A0281"/>
    <w:rsid w:val="000A10A2"/>
    <w:rsid w:val="000A45A4"/>
    <w:rsid w:val="000A4F9A"/>
    <w:rsid w:val="000A5CCD"/>
    <w:rsid w:val="000A5CE7"/>
    <w:rsid w:val="000A5FBE"/>
    <w:rsid w:val="000A6090"/>
    <w:rsid w:val="000A7566"/>
    <w:rsid w:val="000A7835"/>
    <w:rsid w:val="000B1627"/>
    <w:rsid w:val="000B30F6"/>
    <w:rsid w:val="000B460F"/>
    <w:rsid w:val="000B4E1F"/>
    <w:rsid w:val="000B668A"/>
    <w:rsid w:val="000B75CB"/>
    <w:rsid w:val="000C0DAD"/>
    <w:rsid w:val="000C1E25"/>
    <w:rsid w:val="000C1FCD"/>
    <w:rsid w:val="000C36B8"/>
    <w:rsid w:val="000C3B95"/>
    <w:rsid w:val="000C48B6"/>
    <w:rsid w:val="000C58F2"/>
    <w:rsid w:val="000D0679"/>
    <w:rsid w:val="000D3765"/>
    <w:rsid w:val="000D6DF2"/>
    <w:rsid w:val="000E37E0"/>
    <w:rsid w:val="000E3A8A"/>
    <w:rsid w:val="000E3DDC"/>
    <w:rsid w:val="000E44B1"/>
    <w:rsid w:val="000E5247"/>
    <w:rsid w:val="000E54E8"/>
    <w:rsid w:val="000E56D0"/>
    <w:rsid w:val="000E6387"/>
    <w:rsid w:val="000E74F4"/>
    <w:rsid w:val="000F1760"/>
    <w:rsid w:val="000F31F1"/>
    <w:rsid w:val="000F3394"/>
    <w:rsid w:val="000F6E07"/>
    <w:rsid w:val="000F78C4"/>
    <w:rsid w:val="000F7B5B"/>
    <w:rsid w:val="001070BA"/>
    <w:rsid w:val="00113898"/>
    <w:rsid w:val="0011598D"/>
    <w:rsid w:val="0011601B"/>
    <w:rsid w:val="001203C5"/>
    <w:rsid w:val="00120AE6"/>
    <w:rsid w:val="00120C4F"/>
    <w:rsid w:val="00125ED0"/>
    <w:rsid w:val="00132584"/>
    <w:rsid w:val="0013313F"/>
    <w:rsid w:val="00136C72"/>
    <w:rsid w:val="00136E58"/>
    <w:rsid w:val="00136F8E"/>
    <w:rsid w:val="00137AC1"/>
    <w:rsid w:val="001402DA"/>
    <w:rsid w:val="001516AF"/>
    <w:rsid w:val="00152090"/>
    <w:rsid w:val="0015757C"/>
    <w:rsid w:val="00157A35"/>
    <w:rsid w:val="00157CE0"/>
    <w:rsid w:val="00157D81"/>
    <w:rsid w:val="00162651"/>
    <w:rsid w:val="00162E03"/>
    <w:rsid w:val="00162EA6"/>
    <w:rsid w:val="00163911"/>
    <w:rsid w:val="001641A9"/>
    <w:rsid w:val="001652BE"/>
    <w:rsid w:val="00165AEE"/>
    <w:rsid w:val="00166956"/>
    <w:rsid w:val="00170DAE"/>
    <w:rsid w:val="0017256F"/>
    <w:rsid w:val="00172A27"/>
    <w:rsid w:val="00173998"/>
    <w:rsid w:val="00180FB8"/>
    <w:rsid w:val="00181C49"/>
    <w:rsid w:val="001820F6"/>
    <w:rsid w:val="00184E8E"/>
    <w:rsid w:val="00185ECE"/>
    <w:rsid w:val="001907CE"/>
    <w:rsid w:val="001908DA"/>
    <w:rsid w:val="00190FB5"/>
    <w:rsid w:val="0019147F"/>
    <w:rsid w:val="001952CC"/>
    <w:rsid w:val="001973B3"/>
    <w:rsid w:val="001A0219"/>
    <w:rsid w:val="001A0A65"/>
    <w:rsid w:val="001A3735"/>
    <w:rsid w:val="001A5D6D"/>
    <w:rsid w:val="001A6E7D"/>
    <w:rsid w:val="001B192B"/>
    <w:rsid w:val="001B281E"/>
    <w:rsid w:val="001B4D71"/>
    <w:rsid w:val="001B5C4B"/>
    <w:rsid w:val="001B5DFA"/>
    <w:rsid w:val="001B6FE3"/>
    <w:rsid w:val="001C18E4"/>
    <w:rsid w:val="001C66E0"/>
    <w:rsid w:val="001C6714"/>
    <w:rsid w:val="001D000C"/>
    <w:rsid w:val="001D14D6"/>
    <w:rsid w:val="001D1BF1"/>
    <w:rsid w:val="001D32C3"/>
    <w:rsid w:val="001D411F"/>
    <w:rsid w:val="001D477F"/>
    <w:rsid w:val="001E1987"/>
    <w:rsid w:val="001E1ABE"/>
    <w:rsid w:val="001E3203"/>
    <w:rsid w:val="001E3E15"/>
    <w:rsid w:val="001E5266"/>
    <w:rsid w:val="001E5A33"/>
    <w:rsid w:val="001E6123"/>
    <w:rsid w:val="001F01F9"/>
    <w:rsid w:val="001F04E0"/>
    <w:rsid w:val="001F10CC"/>
    <w:rsid w:val="001F23AA"/>
    <w:rsid w:val="001F4A3F"/>
    <w:rsid w:val="001F55A7"/>
    <w:rsid w:val="00201066"/>
    <w:rsid w:val="00204093"/>
    <w:rsid w:val="00205090"/>
    <w:rsid w:val="00205A5C"/>
    <w:rsid w:val="002071D0"/>
    <w:rsid w:val="0021066E"/>
    <w:rsid w:val="002135E8"/>
    <w:rsid w:val="00215129"/>
    <w:rsid w:val="002171DA"/>
    <w:rsid w:val="00220A51"/>
    <w:rsid w:val="00222783"/>
    <w:rsid w:val="00225414"/>
    <w:rsid w:val="00225FB0"/>
    <w:rsid w:val="00231743"/>
    <w:rsid w:val="00234100"/>
    <w:rsid w:val="00234C5A"/>
    <w:rsid w:val="002361ED"/>
    <w:rsid w:val="00237F32"/>
    <w:rsid w:val="00240F90"/>
    <w:rsid w:val="00240F97"/>
    <w:rsid w:val="002449E5"/>
    <w:rsid w:val="002452A3"/>
    <w:rsid w:val="002453F2"/>
    <w:rsid w:val="00245754"/>
    <w:rsid w:val="00245E73"/>
    <w:rsid w:val="00245F1C"/>
    <w:rsid w:val="00246487"/>
    <w:rsid w:val="0024764A"/>
    <w:rsid w:val="00247DAB"/>
    <w:rsid w:val="00252334"/>
    <w:rsid w:val="00252D92"/>
    <w:rsid w:val="002550E9"/>
    <w:rsid w:val="0025523F"/>
    <w:rsid w:val="002612C9"/>
    <w:rsid w:val="00262446"/>
    <w:rsid w:val="002641BB"/>
    <w:rsid w:val="00264523"/>
    <w:rsid w:val="00264EB6"/>
    <w:rsid w:val="00264FE0"/>
    <w:rsid w:val="0026670F"/>
    <w:rsid w:val="0026681B"/>
    <w:rsid w:val="00273345"/>
    <w:rsid w:val="0027455F"/>
    <w:rsid w:val="0027583F"/>
    <w:rsid w:val="00277AE9"/>
    <w:rsid w:val="002808A3"/>
    <w:rsid w:val="00281371"/>
    <w:rsid w:val="0028173C"/>
    <w:rsid w:val="00282BF3"/>
    <w:rsid w:val="00282DEB"/>
    <w:rsid w:val="00283764"/>
    <w:rsid w:val="0028536D"/>
    <w:rsid w:val="002861AB"/>
    <w:rsid w:val="0028639F"/>
    <w:rsid w:val="0028749D"/>
    <w:rsid w:val="002A0B12"/>
    <w:rsid w:val="002A188E"/>
    <w:rsid w:val="002A3701"/>
    <w:rsid w:val="002A6CD2"/>
    <w:rsid w:val="002B03FD"/>
    <w:rsid w:val="002B0EFA"/>
    <w:rsid w:val="002B20CC"/>
    <w:rsid w:val="002B760F"/>
    <w:rsid w:val="002B7EA6"/>
    <w:rsid w:val="002C0713"/>
    <w:rsid w:val="002C0D0F"/>
    <w:rsid w:val="002C133A"/>
    <w:rsid w:val="002C1F7A"/>
    <w:rsid w:val="002C5FA2"/>
    <w:rsid w:val="002C6213"/>
    <w:rsid w:val="002C7355"/>
    <w:rsid w:val="002D0620"/>
    <w:rsid w:val="002D1508"/>
    <w:rsid w:val="002D1925"/>
    <w:rsid w:val="002D2738"/>
    <w:rsid w:val="002D36F0"/>
    <w:rsid w:val="002D62CF"/>
    <w:rsid w:val="002D634E"/>
    <w:rsid w:val="002D6D42"/>
    <w:rsid w:val="002D7636"/>
    <w:rsid w:val="002E313D"/>
    <w:rsid w:val="002E3ED6"/>
    <w:rsid w:val="002E44AF"/>
    <w:rsid w:val="002E4E17"/>
    <w:rsid w:val="002F262E"/>
    <w:rsid w:val="002F3DD5"/>
    <w:rsid w:val="002F4510"/>
    <w:rsid w:val="002F4A66"/>
    <w:rsid w:val="002F5652"/>
    <w:rsid w:val="002F5DDE"/>
    <w:rsid w:val="002F5E0B"/>
    <w:rsid w:val="002F7683"/>
    <w:rsid w:val="00300F47"/>
    <w:rsid w:val="0030180D"/>
    <w:rsid w:val="00301C70"/>
    <w:rsid w:val="00302C93"/>
    <w:rsid w:val="00303A0B"/>
    <w:rsid w:val="00312846"/>
    <w:rsid w:val="003140D4"/>
    <w:rsid w:val="00317168"/>
    <w:rsid w:val="00320364"/>
    <w:rsid w:val="00320B5F"/>
    <w:rsid w:val="00322CDA"/>
    <w:rsid w:val="00322FA0"/>
    <w:rsid w:val="00323F2D"/>
    <w:rsid w:val="00324F57"/>
    <w:rsid w:val="00330F68"/>
    <w:rsid w:val="003317B4"/>
    <w:rsid w:val="003331F4"/>
    <w:rsid w:val="003334E2"/>
    <w:rsid w:val="00333FAF"/>
    <w:rsid w:val="00334582"/>
    <w:rsid w:val="00334CA0"/>
    <w:rsid w:val="0033661D"/>
    <w:rsid w:val="00341A59"/>
    <w:rsid w:val="003440EC"/>
    <w:rsid w:val="00346936"/>
    <w:rsid w:val="0035123F"/>
    <w:rsid w:val="0035369C"/>
    <w:rsid w:val="0035432D"/>
    <w:rsid w:val="003544B5"/>
    <w:rsid w:val="00363654"/>
    <w:rsid w:val="003636A3"/>
    <w:rsid w:val="003666B1"/>
    <w:rsid w:val="00370103"/>
    <w:rsid w:val="0037030E"/>
    <w:rsid w:val="0037045B"/>
    <w:rsid w:val="00370C29"/>
    <w:rsid w:val="00374BBC"/>
    <w:rsid w:val="00375698"/>
    <w:rsid w:val="00377ED5"/>
    <w:rsid w:val="00380587"/>
    <w:rsid w:val="003857DC"/>
    <w:rsid w:val="00390EFE"/>
    <w:rsid w:val="00392D90"/>
    <w:rsid w:val="00396FBE"/>
    <w:rsid w:val="003A1A9C"/>
    <w:rsid w:val="003A3B0E"/>
    <w:rsid w:val="003A439F"/>
    <w:rsid w:val="003A460D"/>
    <w:rsid w:val="003A5C49"/>
    <w:rsid w:val="003B1F86"/>
    <w:rsid w:val="003B4250"/>
    <w:rsid w:val="003B51D1"/>
    <w:rsid w:val="003B63E2"/>
    <w:rsid w:val="003B646F"/>
    <w:rsid w:val="003B6D7D"/>
    <w:rsid w:val="003C1270"/>
    <w:rsid w:val="003C3CF2"/>
    <w:rsid w:val="003C42C7"/>
    <w:rsid w:val="003C4625"/>
    <w:rsid w:val="003D2933"/>
    <w:rsid w:val="003D2C16"/>
    <w:rsid w:val="003D3E56"/>
    <w:rsid w:val="003D427F"/>
    <w:rsid w:val="003D43D9"/>
    <w:rsid w:val="003D6276"/>
    <w:rsid w:val="003E1909"/>
    <w:rsid w:val="003E270F"/>
    <w:rsid w:val="003E29FF"/>
    <w:rsid w:val="003F05A5"/>
    <w:rsid w:val="003F1255"/>
    <w:rsid w:val="003F16D2"/>
    <w:rsid w:val="003F47BE"/>
    <w:rsid w:val="0040337C"/>
    <w:rsid w:val="00405799"/>
    <w:rsid w:val="0040676D"/>
    <w:rsid w:val="00407C6C"/>
    <w:rsid w:val="004100A0"/>
    <w:rsid w:val="00411A6E"/>
    <w:rsid w:val="004145D4"/>
    <w:rsid w:val="0042049E"/>
    <w:rsid w:val="00420711"/>
    <w:rsid w:val="0042311D"/>
    <w:rsid w:val="00425913"/>
    <w:rsid w:val="0042621A"/>
    <w:rsid w:val="00430108"/>
    <w:rsid w:val="004327BA"/>
    <w:rsid w:val="004370FA"/>
    <w:rsid w:val="0044037B"/>
    <w:rsid w:val="004412DE"/>
    <w:rsid w:val="0044262B"/>
    <w:rsid w:val="004426E2"/>
    <w:rsid w:val="004456B0"/>
    <w:rsid w:val="004501B7"/>
    <w:rsid w:val="0045042E"/>
    <w:rsid w:val="00450B0B"/>
    <w:rsid w:val="004523C0"/>
    <w:rsid w:val="004551E9"/>
    <w:rsid w:val="004558DF"/>
    <w:rsid w:val="004574C5"/>
    <w:rsid w:val="004608F5"/>
    <w:rsid w:val="00461365"/>
    <w:rsid w:val="00464929"/>
    <w:rsid w:val="00465153"/>
    <w:rsid w:val="00470107"/>
    <w:rsid w:val="0047158F"/>
    <w:rsid w:val="004751C7"/>
    <w:rsid w:val="00475493"/>
    <w:rsid w:val="0047729E"/>
    <w:rsid w:val="0048063D"/>
    <w:rsid w:val="0048110A"/>
    <w:rsid w:val="00481F74"/>
    <w:rsid w:val="00482057"/>
    <w:rsid w:val="004821A8"/>
    <w:rsid w:val="00485DA9"/>
    <w:rsid w:val="004875E8"/>
    <w:rsid w:val="00491079"/>
    <w:rsid w:val="0049219E"/>
    <w:rsid w:val="00492300"/>
    <w:rsid w:val="004956DF"/>
    <w:rsid w:val="004A1225"/>
    <w:rsid w:val="004A3332"/>
    <w:rsid w:val="004A5234"/>
    <w:rsid w:val="004A66B6"/>
    <w:rsid w:val="004B02EF"/>
    <w:rsid w:val="004B27EE"/>
    <w:rsid w:val="004B3428"/>
    <w:rsid w:val="004B5DDF"/>
    <w:rsid w:val="004B617F"/>
    <w:rsid w:val="004B6C78"/>
    <w:rsid w:val="004B7929"/>
    <w:rsid w:val="004C1B24"/>
    <w:rsid w:val="004C1D9B"/>
    <w:rsid w:val="004C2CBB"/>
    <w:rsid w:val="004C3B37"/>
    <w:rsid w:val="004C6E7E"/>
    <w:rsid w:val="004C7F81"/>
    <w:rsid w:val="004D36A4"/>
    <w:rsid w:val="004D50EE"/>
    <w:rsid w:val="004D7594"/>
    <w:rsid w:val="004E20EF"/>
    <w:rsid w:val="004E5358"/>
    <w:rsid w:val="004E5D4B"/>
    <w:rsid w:val="004F059F"/>
    <w:rsid w:val="004F0CFB"/>
    <w:rsid w:val="004F1229"/>
    <w:rsid w:val="004F246B"/>
    <w:rsid w:val="004F3130"/>
    <w:rsid w:val="004F4042"/>
    <w:rsid w:val="004F4F39"/>
    <w:rsid w:val="004F5A73"/>
    <w:rsid w:val="004F63E8"/>
    <w:rsid w:val="004F6CC0"/>
    <w:rsid w:val="00502922"/>
    <w:rsid w:val="00503750"/>
    <w:rsid w:val="00504BA1"/>
    <w:rsid w:val="00504D6A"/>
    <w:rsid w:val="005068B7"/>
    <w:rsid w:val="00506DDC"/>
    <w:rsid w:val="00510350"/>
    <w:rsid w:val="00510FD6"/>
    <w:rsid w:val="00511B93"/>
    <w:rsid w:val="00513819"/>
    <w:rsid w:val="00514650"/>
    <w:rsid w:val="00516E84"/>
    <w:rsid w:val="00520376"/>
    <w:rsid w:val="00522A5F"/>
    <w:rsid w:val="00525563"/>
    <w:rsid w:val="00526F98"/>
    <w:rsid w:val="00532726"/>
    <w:rsid w:val="00540AC5"/>
    <w:rsid w:val="00540F0D"/>
    <w:rsid w:val="00543D9A"/>
    <w:rsid w:val="00543E8A"/>
    <w:rsid w:val="00551F4A"/>
    <w:rsid w:val="00554362"/>
    <w:rsid w:val="00555D85"/>
    <w:rsid w:val="00562388"/>
    <w:rsid w:val="00564B33"/>
    <w:rsid w:val="005657AE"/>
    <w:rsid w:val="00565E06"/>
    <w:rsid w:val="00567CB7"/>
    <w:rsid w:val="005723EE"/>
    <w:rsid w:val="00572BE1"/>
    <w:rsid w:val="00572CD1"/>
    <w:rsid w:val="00573CEF"/>
    <w:rsid w:val="0057536A"/>
    <w:rsid w:val="005754DB"/>
    <w:rsid w:val="005756AB"/>
    <w:rsid w:val="005816C0"/>
    <w:rsid w:val="00582C22"/>
    <w:rsid w:val="005830B3"/>
    <w:rsid w:val="00584716"/>
    <w:rsid w:val="00584782"/>
    <w:rsid w:val="00587EB2"/>
    <w:rsid w:val="00590DE4"/>
    <w:rsid w:val="005A43B4"/>
    <w:rsid w:val="005A6404"/>
    <w:rsid w:val="005A7115"/>
    <w:rsid w:val="005B1363"/>
    <w:rsid w:val="005B1650"/>
    <w:rsid w:val="005B2C0D"/>
    <w:rsid w:val="005B3A71"/>
    <w:rsid w:val="005B3E6E"/>
    <w:rsid w:val="005B5942"/>
    <w:rsid w:val="005C2E48"/>
    <w:rsid w:val="005C37BB"/>
    <w:rsid w:val="005C39EB"/>
    <w:rsid w:val="005C4386"/>
    <w:rsid w:val="005C4976"/>
    <w:rsid w:val="005C5744"/>
    <w:rsid w:val="005C5AA5"/>
    <w:rsid w:val="005D2F4F"/>
    <w:rsid w:val="005D4DDA"/>
    <w:rsid w:val="005E1530"/>
    <w:rsid w:val="005E1B91"/>
    <w:rsid w:val="005E4DB2"/>
    <w:rsid w:val="005F0D7E"/>
    <w:rsid w:val="005F178D"/>
    <w:rsid w:val="005F240B"/>
    <w:rsid w:val="005F2CA1"/>
    <w:rsid w:val="005F5C78"/>
    <w:rsid w:val="005F683F"/>
    <w:rsid w:val="005F7E3E"/>
    <w:rsid w:val="006015D9"/>
    <w:rsid w:val="0060182B"/>
    <w:rsid w:val="00603FC8"/>
    <w:rsid w:val="0060726C"/>
    <w:rsid w:val="0061049E"/>
    <w:rsid w:val="00610FBE"/>
    <w:rsid w:val="0061145C"/>
    <w:rsid w:val="00611B3C"/>
    <w:rsid w:val="00611E6C"/>
    <w:rsid w:val="00614261"/>
    <w:rsid w:val="006148B4"/>
    <w:rsid w:val="00622B5A"/>
    <w:rsid w:val="00623821"/>
    <w:rsid w:val="006241C3"/>
    <w:rsid w:val="00624E10"/>
    <w:rsid w:val="00625905"/>
    <w:rsid w:val="00625D7D"/>
    <w:rsid w:val="00627606"/>
    <w:rsid w:val="0063156F"/>
    <w:rsid w:val="00633DC1"/>
    <w:rsid w:val="0063428C"/>
    <w:rsid w:val="00636312"/>
    <w:rsid w:val="006419C3"/>
    <w:rsid w:val="00642E64"/>
    <w:rsid w:val="00643D21"/>
    <w:rsid w:val="006443C7"/>
    <w:rsid w:val="006459F0"/>
    <w:rsid w:val="00647E53"/>
    <w:rsid w:val="006513A6"/>
    <w:rsid w:val="00653BB6"/>
    <w:rsid w:val="00655A70"/>
    <w:rsid w:val="00661E16"/>
    <w:rsid w:val="00664594"/>
    <w:rsid w:val="00664993"/>
    <w:rsid w:val="00665183"/>
    <w:rsid w:val="00667386"/>
    <w:rsid w:val="00667927"/>
    <w:rsid w:val="00670A21"/>
    <w:rsid w:val="00673E29"/>
    <w:rsid w:val="0067734C"/>
    <w:rsid w:val="0068011F"/>
    <w:rsid w:val="0068035C"/>
    <w:rsid w:val="00680FC0"/>
    <w:rsid w:val="00682CF5"/>
    <w:rsid w:val="0068353C"/>
    <w:rsid w:val="00683600"/>
    <w:rsid w:val="00686726"/>
    <w:rsid w:val="0068688C"/>
    <w:rsid w:val="006932F4"/>
    <w:rsid w:val="00694924"/>
    <w:rsid w:val="0069593E"/>
    <w:rsid w:val="006A343B"/>
    <w:rsid w:val="006B15B5"/>
    <w:rsid w:val="006B22FC"/>
    <w:rsid w:val="006B4C92"/>
    <w:rsid w:val="006B50E2"/>
    <w:rsid w:val="006B6B18"/>
    <w:rsid w:val="006C5B24"/>
    <w:rsid w:val="006C6FC8"/>
    <w:rsid w:val="006C7F73"/>
    <w:rsid w:val="006D0AD1"/>
    <w:rsid w:val="006D16A6"/>
    <w:rsid w:val="006D42FE"/>
    <w:rsid w:val="006D55EB"/>
    <w:rsid w:val="006D612A"/>
    <w:rsid w:val="006D75B7"/>
    <w:rsid w:val="006E2B22"/>
    <w:rsid w:val="006E31CA"/>
    <w:rsid w:val="006E5C15"/>
    <w:rsid w:val="006F000D"/>
    <w:rsid w:val="006F361B"/>
    <w:rsid w:val="006F3FB5"/>
    <w:rsid w:val="006F49BD"/>
    <w:rsid w:val="006F4AD3"/>
    <w:rsid w:val="00700C74"/>
    <w:rsid w:val="00705650"/>
    <w:rsid w:val="0070709C"/>
    <w:rsid w:val="007105B1"/>
    <w:rsid w:val="00710E02"/>
    <w:rsid w:val="00711DAF"/>
    <w:rsid w:val="007123A7"/>
    <w:rsid w:val="00712711"/>
    <w:rsid w:val="00712E65"/>
    <w:rsid w:val="00714E62"/>
    <w:rsid w:val="00715DD8"/>
    <w:rsid w:val="007173B9"/>
    <w:rsid w:val="00717483"/>
    <w:rsid w:val="00717501"/>
    <w:rsid w:val="007205BE"/>
    <w:rsid w:val="0072089A"/>
    <w:rsid w:val="0072278A"/>
    <w:rsid w:val="00722FCD"/>
    <w:rsid w:val="00723F9D"/>
    <w:rsid w:val="007249F8"/>
    <w:rsid w:val="00725811"/>
    <w:rsid w:val="00732D1C"/>
    <w:rsid w:val="00733B00"/>
    <w:rsid w:val="007406E2"/>
    <w:rsid w:val="00740988"/>
    <w:rsid w:val="00740A4D"/>
    <w:rsid w:val="00742FBC"/>
    <w:rsid w:val="00744010"/>
    <w:rsid w:val="00745864"/>
    <w:rsid w:val="00745BB9"/>
    <w:rsid w:val="00745FC6"/>
    <w:rsid w:val="00747DF4"/>
    <w:rsid w:val="007527BF"/>
    <w:rsid w:val="00753F3F"/>
    <w:rsid w:val="007568A1"/>
    <w:rsid w:val="0075741F"/>
    <w:rsid w:val="0076216B"/>
    <w:rsid w:val="00764A14"/>
    <w:rsid w:val="007703C6"/>
    <w:rsid w:val="007725D0"/>
    <w:rsid w:val="00774309"/>
    <w:rsid w:val="00774BAD"/>
    <w:rsid w:val="00776EDB"/>
    <w:rsid w:val="00777023"/>
    <w:rsid w:val="007778EB"/>
    <w:rsid w:val="007840CE"/>
    <w:rsid w:val="00784419"/>
    <w:rsid w:val="00790A06"/>
    <w:rsid w:val="00791336"/>
    <w:rsid w:val="007916D7"/>
    <w:rsid w:val="00792948"/>
    <w:rsid w:val="00792CDE"/>
    <w:rsid w:val="007954D8"/>
    <w:rsid w:val="007A1D41"/>
    <w:rsid w:val="007A210A"/>
    <w:rsid w:val="007A22A3"/>
    <w:rsid w:val="007A39BA"/>
    <w:rsid w:val="007A41D7"/>
    <w:rsid w:val="007A4374"/>
    <w:rsid w:val="007A464A"/>
    <w:rsid w:val="007B1683"/>
    <w:rsid w:val="007B1AB0"/>
    <w:rsid w:val="007B2CFE"/>
    <w:rsid w:val="007B338F"/>
    <w:rsid w:val="007B5423"/>
    <w:rsid w:val="007B6190"/>
    <w:rsid w:val="007B6A6A"/>
    <w:rsid w:val="007B6C9E"/>
    <w:rsid w:val="007B7415"/>
    <w:rsid w:val="007B7552"/>
    <w:rsid w:val="007B77E3"/>
    <w:rsid w:val="007B7AA3"/>
    <w:rsid w:val="007C116E"/>
    <w:rsid w:val="007C26F8"/>
    <w:rsid w:val="007C3405"/>
    <w:rsid w:val="007D02B5"/>
    <w:rsid w:val="007D0799"/>
    <w:rsid w:val="007D10AB"/>
    <w:rsid w:val="007D1D5B"/>
    <w:rsid w:val="007D3DCD"/>
    <w:rsid w:val="007D593F"/>
    <w:rsid w:val="007D5BCB"/>
    <w:rsid w:val="007D6026"/>
    <w:rsid w:val="007E069D"/>
    <w:rsid w:val="007E0983"/>
    <w:rsid w:val="007E1DC4"/>
    <w:rsid w:val="007E2F31"/>
    <w:rsid w:val="007F1E15"/>
    <w:rsid w:val="007F5396"/>
    <w:rsid w:val="007F6964"/>
    <w:rsid w:val="007F7348"/>
    <w:rsid w:val="00803D04"/>
    <w:rsid w:val="00807618"/>
    <w:rsid w:val="00807DB0"/>
    <w:rsid w:val="00810523"/>
    <w:rsid w:val="00811C8B"/>
    <w:rsid w:val="00814119"/>
    <w:rsid w:val="00814AB4"/>
    <w:rsid w:val="008154D0"/>
    <w:rsid w:val="00815C67"/>
    <w:rsid w:val="0082536B"/>
    <w:rsid w:val="00826B03"/>
    <w:rsid w:val="008307DF"/>
    <w:rsid w:val="0083175D"/>
    <w:rsid w:val="00831A2F"/>
    <w:rsid w:val="00832917"/>
    <w:rsid w:val="00833C4E"/>
    <w:rsid w:val="00835D0C"/>
    <w:rsid w:val="00835D2F"/>
    <w:rsid w:val="008369F1"/>
    <w:rsid w:val="0083710F"/>
    <w:rsid w:val="008375FF"/>
    <w:rsid w:val="008415D2"/>
    <w:rsid w:val="00843CA7"/>
    <w:rsid w:val="008442F6"/>
    <w:rsid w:val="0084548A"/>
    <w:rsid w:val="00845C32"/>
    <w:rsid w:val="0084671B"/>
    <w:rsid w:val="00851143"/>
    <w:rsid w:val="008539D7"/>
    <w:rsid w:val="00857E55"/>
    <w:rsid w:val="00860E97"/>
    <w:rsid w:val="0086117C"/>
    <w:rsid w:val="00864169"/>
    <w:rsid w:val="008653D9"/>
    <w:rsid w:val="00870DAA"/>
    <w:rsid w:val="008717EC"/>
    <w:rsid w:val="00872BA5"/>
    <w:rsid w:val="00874BD1"/>
    <w:rsid w:val="00876E97"/>
    <w:rsid w:val="00881A2F"/>
    <w:rsid w:val="008822EF"/>
    <w:rsid w:val="00882566"/>
    <w:rsid w:val="00884409"/>
    <w:rsid w:val="00887943"/>
    <w:rsid w:val="00890575"/>
    <w:rsid w:val="008923AF"/>
    <w:rsid w:val="00893B7B"/>
    <w:rsid w:val="0089458F"/>
    <w:rsid w:val="00896FA1"/>
    <w:rsid w:val="008A1014"/>
    <w:rsid w:val="008A2005"/>
    <w:rsid w:val="008A348E"/>
    <w:rsid w:val="008A3D60"/>
    <w:rsid w:val="008A4BBE"/>
    <w:rsid w:val="008A7E00"/>
    <w:rsid w:val="008B0154"/>
    <w:rsid w:val="008B114E"/>
    <w:rsid w:val="008B33C4"/>
    <w:rsid w:val="008B77A5"/>
    <w:rsid w:val="008C035F"/>
    <w:rsid w:val="008C30E1"/>
    <w:rsid w:val="008C36F6"/>
    <w:rsid w:val="008C56BE"/>
    <w:rsid w:val="008C602C"/>
    <w:rsid w:val="008C7DEF"/>
    <w:rsid w:val="008D0799"/>
    <w:rsid w:val="008D1E60"/>
    <w:rsid w:val="008D45E5"/>
    <w:rsid w:val="008D572F"/>
    <w:rsid w:val="008D6204"/>
    <w:rsid w:val="008D665F"/>
    <w:rsid w:val="008D6B3F"/>
    <w:rsid w:val="008E3C58"/>
    <w:rsid w:val="008E5336"/>
    <w:rsid w:val="008E61B7"/>
    <w:rsid w:val="008E66E7"/>
    <w:rsid w:val="008E7F0A"/>
    <w:rsid w:val="008F1D93"/>
    <w:rsid w:val="008F267D"/>
    <w:rsid w:val="008F26E7"/>
    <w:rsid w:val="008F4CF0"/>
    <w:rsid w:val="0090021D"/>
    <w:rsid w:val="00900D62"/>
    <w:rsid w:val="00904D66"/>
    <w:rsid w:val="0091292B"/>
    <w:rsid w:val="00921EBB"/>
    <w:rsid w:val="00921F47"/>
    <w:rsid w:val="0092388F"/>
    <w:rsid w:val="0092578D"/>
    <w:rsid w:val="00927B53"/>
    <w:rsid w:val="00930C30"/>
    <w:rsid w:val="009319D5"/>
    <w:rsid w:val="00931AF9"/>
    <w:rsid w:val="00932626"/>
    <w:rsid w:val="00933655"/>
    <w:rsid w:val="0093637C"/>
    <w:rsid w:val="00936A7D"/>
    <w:rsid w:val="00936FC1"/>
    <w:rsid w:val="00937D7D"/>
    <w:rsid w:val="00940B3D"/>
    <w:rsid w:val="00942007"/>
    <w:rsid w:val="0094246A"/>
    <w:rsid w:val="0094329C"/>
    <w:rsid w:val="009443A3"/>
    <w:rsid w:val="0094534C"/>
    <w:rsid w:val="0094770C"/>
    <w:rsid w:val="009607B4"/>
    <w:rsid w:val="009628EC"/>
    <w:rsid w:val="00967043"/>
    <w:rsid w:val="00967DE1"/>
    <w:rsid w:val="00972499"/>
    <w:rsid w:val="009777F6"/>
    <w:rsid w:val="00977F88"/>
    <w:rsid w:val="009801C4"/>
    <w:rsid w:val="0098645F"/>
    <w:rsid w:val="009913F0"/>
    <w:rsid w:val="00992707"/>
    <w:rsid w:val="009934FC"/>
    <w:rsid w:val="009937D6"/>
    <w:rsid w:val="009940E1"/>
    <w:rsid w:val="00996A02"/>
    <w:rsid w:val="009A0264"/>
    <w:rsid w:val="009A0BB7"/>
    <w:rsid w:val="009A11E4"/>
    <w:rsid w:val="009A1613"/>
    <w:rsid w:val="009A25CC"/>
    <w:rsid w:val="009A289A"/>
    <w:rsid w:val="009A5AD0"/>
    <w:rsid w:val="009A5B8A"/>
    <w:rsid w:val="009A6441"/>
    <w:rsid w:val="009A6530"/>
    <w:rsid w:val="009A6AB6"/>
    <w:rsid w:val="009A7560"/>
    <w:rsid w:val="009B1709"/>
    <w:rsid w:val="009B1718"/>
    <w:rsid w:val="009B2A6F"/>
    <w:rsid w:val="009B3954"/>
    <w:rsid w:val="009B45BE"/>
    <w:rsid w:val="009B6778"/>
    <w:rsid w:val="009B6ABF"/>
    <w:rsid w:val="009B6F7A"/>
    <w:rsid w:val="009C0BE2"/>
    <w:rsid w:val="009C21CC"/>
    <w:rsid w:val="009C2835"/>
    <w:rsid w:val="009C4980"/>
    <w:rsid w:val="009C4BEB"/>
    <w:rsid w:val="009C5451"/>
    <w:rsid w:val="009C6A10"/>
    <w:rsid w:val="009C6DEE"/>
    <w:rsid w:val="009D0C96"/>
    <w:rsid w:val="009D1055"/>
    <w:rsid w:val="009D3C50"/>
    <w:rsid w:val="009D50DC"/>
    <w:rsid w:val="009D5982"/>
    <w:rsid w:val="009D6637"/>
    <w:rsid w:val="009D6B48"/>
    <w:rsid w:val="009D7984"/>
    <w:rsid w:val="009E027E"/>
    <w:rsid w:val="009E2EB9"/>
    <w:rsid w:val="009E4D2A"/>
    <w:rsid w:val="009F23DE"/>
    <w:rsid w:val="009F3666"/>
    <w:rsid w:val="009F3B2E"/>
    <w:rsid w:val="009F3B69"/>
    <w:rsid w:val="009F535E"/>
    <w:rsid w:val="009F7F82"/>
    <w:rsid w:val="00A00231"/>
    <w:rsid w:val="00A019A6"/>
    <w:rsid w:val="00A01D8A"/>
    <w:rsid w:val="00A039B7"/>
    <w:rsid w:val="00A03CB3"/>
    <w:rsid w:val="00A04039"/>
    <w:rsid w:val="00A04563"/>
    <w:rsid w:val="00A05C4D"/>
    <w:rsid w:val="00A06171"/>
    <w:rsid w:val="00A069E6"/>
    <w:rsid w:val="00A06F22"/>
    <w:rsid w:val="00A074F6"/>
    <w:rsid w:val="00A1122E"/>
    <w:rsid w:val="00A118DC"/>
    <w:rsid w:val="00A11A46"/>
    <w:rsid w:val="00A135E0"/>
    <w:rsid w:val="00A15557"/>
    <w:rsid w:val="00A17A8F"/>
    <w:rsid w:val="00A207B5"/>
    <w:rsid w:val="00A24318"/>
    <w:rsid w:val="00A24BF8"/>
    <w:rsid w:val="00A250AD"/>
    <w:rsid w:val="00A25327"/>
    <w:rsid w:val="00A27ECE"/>
    <w:rsid w:val="00A322A2"/>
    <w:rsid w:val="00A32F70"/>
    <w:rsid w:val="00A336F6"/>
    <w:rsid w:val="00A40E62"/>
    <w:rsid w:val="00A41277"/>
    <w:rsid w:val="00A45EBF"/>
    <w:rsid w:val="00A51E1F"/>
    <w:rsid w:val="00A53CF7"/>
    <w:rsid w:val="00A57B31"/>
    <w:rsid w:val="00A61F6C"/>
    <w:rsid w:val="00A62852"/>
    <w:rsid w:val="00A62EB9"/>
    <w:rsid w:val="00A63FB1"/>
    <w:rsid w:val="00A6485D"/>
    <w:rsid w:val="00A67510"/>
    <w:rsid w:val="00A7049C"/>
    <w:rsid w:val="00A724F9"/>
    <w:rsid w:val="00A751B5"/>
    <w:rsid w:val="00A7683E"/>
    <w:rsid w:val="00A7712C"/>
    <w:rsid w:val="00A821EF"/>
    <w:rsid w:val="00A87A6E"/>
    <w:rsid w:val="00A91FBF"/>
    <w:rsid w:val="00A92AFD"/>
    <w:rsid w:val="00A94C0F"/>
    <w:rsid w:val="00A9690B"/>
    <w:rsid w:val="00AA137F"/>
    <w:rsid w:val="00AA7CE9"/>
    <w:rsid w:val="00AB0A9F"/>
    <w:rsid w:val="00AB0BBB"/>
    <w:rsid w:val="00AB1BAF"/>
    <w:rsid w:val="00AB2D72"/>
    <w:rsid w:val="00AB4423"/>
    <w:rsid w:val="00AB45E7"/>
    <w:rsid w:val="00AB51E5"/>
    <w:rsid w:val="00AB5391"/>
    <w:rsid w:val="00AB776C"/>
    <w:rsid w:val="00AC0197"/>
    <w:rsid w:val="00AC0D59"/>
    <w:rsid w:val="00AC368D"/>
    <w:rsid w:val="00AC4072"/>
    <w:rsid w:val="00AC4746"/>
    <w:rsid w:val="00AC5687"/>
    <w:rsid w:val="00AC5F24"/>
    <w:rsid w:val="00AC77B7"/>
    <w:rsid w:val="00AD1E77"/>
    <w:rsid w:val="00AD3036"/>
    <w:rsid w:val="00AD4B49"/>
    <w:rsid w:val="00AD6697"/>
    <w:rsid w:val="00AD74E0"/>
    <w:rsid w:val="00AD79B0"/>
    <w:rsid w:val="00AE0F47"/>
    <w:rsid w:val="00AE1831"/>
    <w:rsid w:val="00AE2B36"/>
    <w:rsid w:val="00AE4A56"/>
    <w:rsid w:val="00AE4B5A"/>
    <w:rsid w:val="00AF4EEF"/>
    <w:rsid w:val="00AF6D6A"/>
    <w:rsid w:val="00AF7C86"/>
    <w:rsid w:val="00B00E46"/>
    <w:rsid w:val="00B02C92"/>
    <w:rsid w:val="00B035C0"/>
    <w:rsid w:val="00B04FA7"/>
    <w:rsid w:val="00B06C23"/>
    <w:rsid w:val="00B0754D"/>
    <w:rsid w:val="00B078E0"/>
    <w:rsid w:val="00B14CDA"/>
    <w:rsid w:val="00B14FE4"/>
    <w:rsid w:val="00B15565"/>
    <w:rsid w:val="00B159A8"/>
    <w:rsid w:val="00B20B2D"/>
    <w:rsid w:val="00B21EED"/>
    <w:rsid w:val="00B22E12"/>
    <w:rsid w:val="00B23A3B"/>
    <w:rsid w:val="00B23D5F"/>
    <w:rsid w:val="00B2635D"/>
    <w:rsid w:val="00B265AA"/>
    <w:rsid w:val="00B26C5E"/>
    <w:rsid w:val="00B30887"/>
    <w:rsid w:val="00B312AD"/>
    <w:rsid w:val="00B33ED8"/>
    <w:rsid w:val="00B35FA3"/>
    <w:rsid w:val="00B370FE"/>
    <w:rsid w:val="00B41F38"/>
    <w:rsid w:val="00B444C0"/>
    <w:rsid w:val="00B45565"/>
    <w:rsid w:val="00B50333"/>
    <w:rsid w:val="00B5194A"/>
    <w:rsid w:val="00B5707A"/>
    <w:rsid w:val="00B5793D"/>
    <w:rsid w:val="00B62FCB"/>
    <w:rsid w:val="00B63DD3"/>
    <w:rsid w:val="00B65D01"/>
    <w:rsid w:val="00B65D90"/>
    <w:rsid w:val="00B67782"/>
    <w:rsid w:val="00B74335"/>
    <w:rsid w:val="00B754C4"/>
    <w:rsid w:val="00B75BC7"/>
    <w:rsid w:val="00B80B5C"/>
    <w:rsid w:val="00B83F89"/>
    <w:rsid w:val="00B84069"/>
    <w:rsid w:val="00B84B79"/>
    <w:rsid w:val="00B84D22"/>
    <w:rsid w:val="00B8565C"/>
    <w:rsid w:val="00B92E80"/>
    <w:rsid w:val="00B939D8"/>
    <w:rsid w:val="00B9507C"/>
    <w:rsid w:val="00B95EA4"/>
    <w:rsid w:val="00B95ECF"/>
    <w:rsid w:val="00BA16C6"/>
    <w:rsid w:val="00BA328E"/>
    <w:rsid w:val="00BA4AD8"/>
    <w:rsid w:val="00BA6683"/>
    <w:rsid w:val="00BB1A96"/>
    <w:rsid w:val="00BB299D"/>
    <w:rsid w:val="00BB3C54"/>
    <w:rsid w:val="00BB64C1"/>
    <w:rsid w:val="00BB73C4"/>
    <w:rsid w:val="00BC0D8B"/>
    <w:rsid w:val="00BC12BC"/>
    <w:rsid w:val="00BC543D"/>
    <w:rsid w:val="00BC65A3"/>
    <w:rsid w:val="00BC6892"/>
    <w:rsid w:val="00BD1280"/>
    <w:rsid w:val="00BD21F7"/>
    <w:rsid w:val="00BD31B8"/>
    <w:rsid w:val="00BD4765"/>
    <w:rsid w:val="00BD6BA5"/>
    <w:rsid w:val="00BD6FC9"/>
    <w:rsid w:val="00BD7FF9"/>
    <w:rsid w:val="00BE05C8"/>
    <w:rsid w:val="00BE0727"/>
    <w:rsid w:val="00BE29D0"/>
    <w:rsid w:val="00BE4D4D"/>
    <w:rsid w:val="00BE4FDB"/>
    <w:rsid w:val="00BE5C2C"/>
    <w:rsid w:val="00BE6386"/>
    <w:rsid w:val="00BE6423"/>
    <w:rsid w:val="00BE6441"/>
    <w:rsid w:val="00BF05CF"/>
    <w:rsid w:val="00BF0810"/>
    <w:rsid w:val="00BF1E9B"/>
    <w:rsid w:val="00BF4ED2"/>
    <w:rsid w:val="00BF525E"/>
    <w:rsid w:val="00BF7AAB"/>
    <w:rsid w:val="00C039E5"/>
    <w:rsid w:val="00C0682B"/>
    <w:rsid w:val="00C06910"/>
    <w:rsid w:val="00C077A8"/>
    <w:rsid w:val="00C116BF"/>
    <w:rsid w:val="00C12586"/>
    <w:rsid w:val="00C13916"/>
    <w:rsid w:val="00C1467F"/>
    <w:rsid w:val="00C1508F"/>
    <w:rsid w:val="00C2026E"/>
    <w:rsid w:val="00C2178D"/>
    <w:rsid w:val="00C22710"/>
    <w:rsid w:val="00C24AA2"/>
    <w:rsid w:val="00C31A8F"/>
    <w:rsid w:val="00C37C6E"/>
    <w:rsid w:val="00C42F9E"/>
    <w:rsid w:val="00C43DD2"/>
    <w:rsid w:val="00C458ED"/>
    <w:rsid w:val="00C54D62"/>
    <w:rsid w:val="00C5749C"/>
    <w:rsid w:val="00C61605"/>
    <w:rsid w:val="00C61CBD"/>
    <w:rsid w:val="00C64F3E"/>
    <w:rsid w:val="00C652B8"/>
    <w:rsid w:val="00C71351"/>
    <w:rsid w:val="00C7207C"/>
    <w:rsid w:val="00C72709"/>
    <w:rsid w:val="00C72D05"/>
    <w:rsid w:val="00C731D8"/>
    <w:rsid w:val="00C74231"/>
    <w:rsid w:val="00C75D03"/>
    <w:rsid w:val="00C77254"/>
    <w:rsid w:val="00C80944"/>
    <w:rsid w:val="00C83326"/>
    <w:rsid w:val="00C84CD5"/>
    <w:rsid w:val="00C850BE"/>
    <w:rsid w:val="00C86F88"/>
    <w:rsid w:val="00C87BBD"/>
    <w:rsid w:val="00C90266"/>
    <w:rsid w:val="00C93722"/>
    <w:rsid w:val="00C95B9B"/>
    <w:rsid w:val="00CA3651"/>
    <w:rsid w:val="00CA4352"/>
    <w:rsid w:val="00CA445C"/>
    <w:rsid w:val="00CA7BB9"/>
    <w:rsid w:val="00CB2459"/>
    <w:rsid w:val="00CB24BB"/>
    <w:rsid w:val="00CB3536"/>
    <w:rsid w:val="00CB4265"/>
    <w:rsid w:val="00CB4798"/>
    <w:rsid w:val="00CB4992"/>
    <w:rsid w:val="00CC2550"/>
    <w:rsid w:val="00CC42D2"/>
    <w:rsid w:val="00CC46CE"/>
    <w:rsid w:val="00CC4D80"/>
    <w:rsid w:val="00CD15BF"/>
    <w:rsid w:val="00CD4742"/>
    <w:rsid w:val="00CD51EE"/>
    <w:rsid w:val="00CD5845"/>
    <w:rsid w:val="00CD6F2E"/>
    <w:rsid w:val="00CE2EE3"/>
    <w:rsid w:val="00CE3202"/>
    <w:rsid w:val="00CE683A"/>
    <w:rsid w:val="00CE7AA7"/>
    <w:rsid w:val="00CE7BF5"/>
    <w:rsid w:val="00CF060E"/>
    <w:rsid w:val="00CF1A4A"/>
    <w:rsid w:val="00CF26BF"/>
    <w:rsid w:val="00CF389B"/>
    <w:rsid w:val="00CF463C"/>
    <w:rsid w:val="00CF5280"/>
    <w:rsid w:val="00CF5521"/>
    <w:rsid w:val="00CF64BA"/>
    <w:rsid w:val="00CF7E90"/>
    <w:rsid w:val="00D01268"/>
    <w:rsid w:val="00D014C4"/>
    <w:rsid w:val="00D0767B"/>
    <w:rsid w:val="00D10E31"/>
    <w:rsid w:val="00D1129A"/>
    <w:rsid w:val="00D13922"/>
    <w:rsid w:val="00D13E0F"/>
    <w:rsid w:val="00D17007"/>
    <w:rsid w:val="00D20055"/>
    <w:rsid w:val="00D23BC3"/>
    <w:rsid w:val="00D25C90"/>
    <w:rsid w:val="00D25CC0"/>
    <w:rsid w:val="00D27206"/>
    <w:rsid w:val="00D27871"/>
    <w:rsid w:val="00D307B4"/>
    <w:rsid w:val="00D30F43"/>
    <w:rsid w:val="00D32B36"/>
    <w:rsid w:val="00D33026"/>
    <w:rsid w:val="00D34258"/>
    <w:rsid w:val="00D35CC6"/>
    <w:rsid w:val="00D35E50"/>
    <w:rsid w:val="00D35FE3"/>
    <w:rsid w:val="00D37E3F"/>
    <w:rsid w:val="00D41307"/>
    <w:rsid w:val="00D4293A"/>
    <w:rsid w:val="00D42D14"/>
    <w:rsid w:val="00D47449"/>
    <w:rsid w:val="00D4755E"/>
    <w:rsid w:val="00D47910"/>
    <w:rsid w:val="00D51886"/>
    <w:rsid w:val="00D55822"/>
    <w:rsid w:val="00D6096D"/>
    <w:rsid w:val="00D615CA"/>
    <w:rsid w:val="00D6713E"/>
    <w:rsid w:val="00D671AC"/>
    <w:rsid w:val="00D7139C"/>
    <w:rsid w:val="00D72D5A"/>
    <w:rsid w:val="00D74FA8"/>
    <w:rsid w:val="00D76667"/>
    <w:rsid w:val="00D76BEB"/>
    <w:rsid w:val="00D8161F"/>
    <w:rsid w:val="00D81E5E"/>
    <w:rsid w:val="00D82179"/>
    <w:rsid w:val="00D82AC5"/>
    <w:rsid w:val="00D82FD5"/>
    <w:rsid w:val="00D91FBD"/>
    <w:rsid w:val="00D929FD"/>
    <w:rsid w:val="00D95DCC"/>
    <w:rsid w:val="00D96DE7"/>
    <w:rsid w:val="00DA04F4"/>
    <w:rsid w:val="00DA06AE"/>
    <w:rsid w:val="00DA0B4F"/>
    <w:rsid w:val="00DA0DE9"/>
    <w:rsid w:val="00DA205D"/>
    <w:rsid w:val="00DA263E"/>
    <w:rsid w:val="00DA7401"/>
    <w:rsid w:val="00DA741D"/>
    <w:rsid w:val="00DB09D1"/>
    <w:rsid w:val="00DB1366"/>
    <w:rsid w:val="00DB1C0A"/>
    <w:rsid w:val="00DC017B"/>
    <w:rsid w:val="00DC2E7E"/>
    <w:rsid w:val="00DC2FD7"/>
    <w:rsid w:val="00DC30FE"/>
    <w:rsid w:val="00DC6E00"/>
    <w:rsid w:val="00DD14D9"/>
    <w:rsid w:val="00DD1CE5"/>
    <w:rsid w:val="00DD4444"/>
    <w:rsid w:val="00DD5147"/>
    <w:rsid w:val="00DE1BE7"/>
    <w:rsid w:val="00DE48D4"/>
    <w:rsid w:val="00DE7924"/>
    <w:rsid w:val="00DF014F"/>
    <w:rsid w:val="00DF0A18"/>
    <w:rsid w:val="00DF2AB3"/>
    <w:rsid w:val="00DF3B73"/>
    <w:rsid w:val="00DF57E6"/>
    <w:rsid w:val="00E030C9"/>
    <w:rsid w:val="00E05F07"/>
    <w:rsid w:val="00E10C6F"/>
    <w:rsid w:val="00E12906"/>
    <w:rsid w:val="00E12AD2"/>
    <w:rsid w:val="00E15B0F"/>
    <w:rsid w:val="00E15FF8"/>
    <w:rsid w:val="00E171F7"/>
    <w:rsid w:val="00E172E7"/>
    <w:rsid w:val="00E202C6"/>
    <w:rsid w:val="00E20494"/>
    <w:rsid w:val="00E23410"/>
    <w:rsid w:val="00E23880"/>
    <w:rsid w:val="00E23A0A"/>
    <w:rsid w:val="00E25B77"/>
    <w:rsid w:val="00E25CB9"/>
    <w:rsid w:val="00E26005"/>
    <w:rsid w:val="00E26DBA"/>
    <w:rsid w:val="00E33246"/>
    <w:rsid w:val="00E34157"/>
    <w:rsid w:val="00E34C6C"/>
    <w:rsid w:val="00E34CCD"/>
    <w:rsid w:val="00E34CF2"/>
    <w:rsid w:val="00E34E3C"/>
    <w:rsid w:val="00E3677E"/>
    <w:rsid w:val="00E37F50"/>
    <w:rsid w:val="00E4082C"/>
    <w:rsid w:val="00E4108C"/>
    <w:rsid w:val="00E41128"/>
    <w:rsid w:val="00E41227"/>
    <w:rsid w:val="00E414B4"/>
    <w:rsid w:val="00E42ACF"/>
    <w:rsid w:val="00E42E9C"/>
    <w:rsid w:val="00E42F32"/>
    <w:rsid w:val="00E4402E"/>
    <w:rsid w:val="00E45AFA"/>
    <w:rsid w:val="00E46540"/>
    <w:rsid w:val="00E46994"/>
    <w:rsid w:val="00E46E63"/>
    <w:rsid w:val="00E503B0"/>
    <w:rsid w:val="00E52274"/>
    <w:rsid w:val="00E53E0C"/>
    <w:rsid w:val="00E550A3"/>
    <w:rsid w:val="00E5527F"/>
    <w:rsid w:val="00E572F2"/>
    <w:rsid w:val="00E64671"/>
    <w:rsid w:val="00E6517A"/>
    <w:rsid w:val="00E65CDA"/>
    <w:rsid w:val="00E65FC2"/>
    <w:rsid w:val="00E66729"/>
    <w:rsid w:val="00E66F77"/>
    <w:rsid w:val="00E671F7"/>
    <w:rsid w:val="00E70A19"/>
    <w:rsid w:val="00E7133D"/>
    <w:rsid w:val="00E74B44"/>
    <w:rsid w:val="00E756D4"/>
    <w:rsid w:val="00E75C0C"/>
    <w:rsid w:val="00E81B5B"/>
    <w:rsid w:val="00E8358F"/>
    <w:rsid w:val="00E842F5"/>
    <w:rsid w:val="00E91E5B"/>
    <w:rsid w:val="00E949B9"/>
    <w:rsid w:val="00EA4BFD"/>
    <w:rsid w:val="00EA4D43"/>
    <w:rsid w:val="00EA64CC"/>
    <w:rsid w:val="00EB0C61"/>
    <w:rsid w:val="00EB3213"/>
    <w:rsid w:val="00EB35A4"/>
    <w:rsid w:val="00EB3D98"/>
    <w:rsid w:val="00EB4DC1"/>
    <w:rsid w:val="00EB53C3"/>
    <w:rsid w:val="00EB7FC5"/>
    <w:rsid w:val="00EC0F15"/>
    <w:rsid w:val="00EC1014"/>
    <w:rsid w:val="00EC3841"/>
    <w:rsid w:val="00EC44A8"/>
    <w:rsid w:val="00EC4C0A"/>
    <w:rsid w:val="00EC5B02"/>
    <w:rsid w:val="00EC5B74"/>
    <w:rsid w:val="00EC61A3"/>
    <w:rsid w:val="00ED2F44"/>
    <w:rsid w:val="00ED5742"/>
    <w:rsid w:val="00ED59D5"/>
    <w:rsid w:val="00EE17BE"/>
    <w:rsid w:val="00EE2938"/>
    <w:rsid w:val="00EE4D4A"/>
    <w:rsid w:val="00EE5069"/>
    <w:rsid w:val="00EE54B2"/>
    <w:rsid w:val="00EE5E1C"/>
    <w:rsid w:val="00EE6590"/>
    <w:rsid w:val="00EE66B1"/>
    <w:rsid w:val="00EF77E0"/>
    <w:rsid w:val="00F02922"/>
    <w:rsid w:val="00F032A0"/>
    <w:rsid w:val="00F03BFA"/>
    <w:rsid w:val="00F0539C"/>
    <w:rsid w:val="00F054C4"/>
    <w:rsid w:val="00F06DE3"/>
    <w:rsid w:val="00F0786C"/>
    <w:rsid w:val="00F127F0"/>
    <w:rsid w:val="00F1680D"/>
    <w:rsid w:val="00F16B57"/>
    <w:rsid w:val="00F17807"/>
    <w:rsid w:val="00F17ECE"/>
    <w:rsid w:val="00F21121"/>
    <w:rsid w:val="00F2202D"/>
    <w:rsid w:val="00F27AF4"/>
    <w:rsid w:val="00F320F9"/>
    <w:rsid w:val="00F33963"/>
    <w:rsid w:val="00F366DD"/>
    <w:rsid w:val="00F37EC9"/>
    <w:rsid w:val="00F37F56"/>
    <w:rsid w:val="00F41FB4"/>
    <w:rsid w:val="00F42677"/>
    <w:rsid w:val="00F433AF"/>
    <w:rsid w:val="00F45BB9"/>
    <w:rsid w:val="00F61B83"/>
    <w:rsid w:val="00F642DD"/>
    <w:rsid w:val="00F65910"/>
    <w:rsid w:val="00F67754"/>
    <w:rsid w:val="00F701AF"/>
    <w:rsid w:val="00F726E3"/>
    <w:rsid w:val="00F72D91"/>
    <w:rsid w:val="00F7396B"/>
    <w:rsid w:val="00F75B38"/>
    <w:rsid w:val="00F75D02"/>
    <w:rsid w:val="00F76E40"/>
    <w:rsid w:val="00F815A1"/>
    <w:rsid w:val="00F8287B"/>
    <w:rsid w:val="00F85348"/>
    <w:rsid w:val="00F85C36"/>
    <w:rsid w:val="00F866C3"/>
    <w:rsid w:val="00F90209"/>
    <w:rsid w:val="00F9119F"/>
    <w:rsid w:val="00F93B86"/>
    <w:rsid w:val="00F963A6"/>
    <w:rsid w:val="00F975DA"/>
    <w:rsid w:val="00FA2EAD"/>
    <w:rsid w:val="00FA3209"/>
    <w:rsid w:val="00FA4398"/>
    <w:rsid w:val="00FA52BA"/>
    <w:rsid w:val="00FA60AA"/>
    <w:rsid w:val="00FA74B5"/>
    <w:rsid w:val="00FA75BD"/>
    <w:rsid w:val="00FA7FE1"/>
    <w:rsid w:val="00FB01E9"/>
    <w:rsid w:val="00FB0F30"/>
    <w:rsid w:val="00FB1040"/>
    <w:rsid w:val="00FB36DE"/>
    <w:rsid w:val="00FB42A5"/>
    <w:rsid w:val="00FC10E2"/>
    <w:rsid w:val="00FC1D21"/>
    <w:rsid w:val="00FC2430"/>
    <w:rsid w:val="00FC3BD6"/>
    <w:rsid w:val="00FC471F"/>
    <w:rsid w:val="00FC47B4"/>
    <w:rsid w:val="00FC553F"/>
    <w:rsid w:val="00FC555B"/>
    <w:rsid w:val="00FC5C07"/>
    <w:rsid w:val="00FD07F7"/>
    <w:rsid w:val="00FD4636"/>
    <w:rsid w:val="00FD4997"/>
    <w:rsid w:val="00FD4C7B"/>
    <w:rsid w:val="00FD5CCD"/>
    <w:rsid w:val="00FD5CF0"/>
    <w:rsid w:val="00FD6264"/>
    <w:rsid w:val="00FD67BD"/>
    <w:rsid w:val="00FE0AF8"/>
    <w:rsid w:val="00FE3141"/>
    <w:rsid w:val="00FE5B28"/>
    <w:rsid w:val="00FE6290"/>
    <w:rsid w:val="00FE69FA"/>
    <w:rsid w:val="00FF0768"/>
    <w:rsid w:val="00FF09CE"/>
    <w:rsid w:val="00FF2966"/>
    <w:rsid w:val="00FF2A9B"/>
    <w:rsid w:val="00FF5AC5"/>
    <w:rsid w:val="010E0E85"/>
    <w:rsid w:val="010F1DA1"/>
    <w:rsid w:val="011C626C"/>
    <w:rsid w:val="01444A6E"/>
    <w:rsid w:val="015B3238"/>
    <w:rsid w:val="0176597C"/>
    <w:rsid w:val="01814321"/>
    <w:rsid w:val="018B21C1"/>
    <w:rsid w:val="018F6A3E"/>
    <w:rsid w:val="01923C55"/>
    <w:rsid w:val="019271CC"/>
    <w:rsid w:val="01B34E22"/>
    <w:rsid w:val="01B47E04"/>
    <w:rsid w:val="01C24651"/>
    <w:rsid w:val="01C40DDD"/>
    <w:rsid w:val="01C5380A"/>
    <w:rsid w:val="01C761D7"/>
    <w:rsid w:val="01F87633"/>
    <w:rsid w:val="021E018C"/>
    <w:rsid w:val="024B0894"/>
    <w:rsid w:val="024B4428"/>
    <w:rsid w:val="024E71FD"/>
    <w:rsid w:val="02592BFE"/>
    <w:rsid w:val="025D08EA"/>
    <w:rsid w:val="025F28B4"/>
    <w:rsid w:val="026633D8"/>
    <w:rsid w:val="02813C31"/>
    <w:rsid w:val="02A1111E"/>
    <w:rsid w:val="02AB5498"/>
    <w:rsid w:val="02B45585"/>
    <w:rsid w:val="02BC3862"/>
    <w:rsid w:val="02D620B1"/>
    <w:rsid w:val="02E33464"/>
    <w:rsid w:val="02E76C83"/>
    <w:rsid w:val="03096EC1"/>
    <w:rsid w:val="030B2A3C"/>
    <w:rsid w:val="03167B0B"/>
    <w:rsid w:val="032B45E6"/>
    <w:rsid w:val="03305FFE"/>
    <w:rsid w:val="034F1899"/>
    <w:rsid w:val="03500649"/>
    <w:rsid w:val="035148F2"/>
    <w:rsid w:val="036327D4"/>
    <w:rsid w:val="03782633"/>
    <w:rsid w:val="037B3BA0"/>
    <w:rsid w:val="037E70EF"/>
    <w:rsid w:val="03A72764"/>
    <w:rsid w:val="03D270B5"/>
    <w:rsid w:val="03DF5C61"/>
    <w:rsid w:val="03FC4F5A"/>
    <w:rsid w:val="03FD6D49"/>
    <w:rsid w:val="04013182"/>
    <w:rsid w:val="04021749"/>
    <w:rsid w:val="041553F9"/>
    <w:rsid w:val="042F5D1F"/>
    <w:rsid w:val="043E5BE8"/>
    <w:rsid w:val="04506335"/>
    <w:rsid w:val="045D72C7"/>
    <w:rsid w:val="045E2D02"/>
    <w:rsid w:val="04622C64"/>
    <w:rsid w:val="04637138"/>
    <w:rsid w:val="047F2F94"/>
    <w:rsid w:val="048C1F56"/>
    <w:rsid w:val="049173CF"/>
    <w:rsid w:val="049727D9"/>
    <w:rsid w:val="04A14EC1"/>
    <w:rsid w:val="04A22F2C"/>
    <w:rsid w:val="04B862AB"/>
    <w:rsid w:val="04C32FE5"/>
    <w:rsid w:val="04D02B40"/>
    <w:rsid w:val="04D70530"/>
    <w:rsid w:val="04D70FCE"/>
    <w:rsid w:val="04E23328"/>
    <w:rsid w:val="04E71A2F"/>
    <w:rsid w:val="04E732F6"/>
    <w:rsid w:val="04EC2FD7"/>
    <w:rsid w:val="053B7608"/>
    <w:rsid w:val="053C79F0"/>
    <w:rsid w:val="05524952"/>
    <w:rsid w:val="055B3806"/>
    <w:rsid w:val="05860158"/>
    <w:rsid w:val="05A30D9B"/>
    <w:rsid w:val="05A56CF5"/>
    <w:rsid w:val="05AF3B52"/>
    <w:rsid w:val="05E57574"/>
    <w:rsid w:val="05ED6D79"/>
    <w:rsid w:val="05EE2C8F"/>
    <w:rsid w:val="05F81055"/>
    <w:rsid w:val="060911FE"/>
    <w:rsid w:val="061F7618"/>
    <w:rsid w:val="0620235A"/>
    <w:rsid w:val="06340450"/>
    <w:rsid w:val="065509A1"/>
    <w:rsid w:val="066B44FC"/>
    <w:rsid w:val="06710E08"/>
    <w:rsid w:val="06780BD6"/>
    <w:rsid w:val="06BD70AD"/>
    <w:rsid w:val="06CD79BD"/>
    <w:rsid w:val="06E420C0"/>
    <w:rsid w:val="06E6438F"/>
    <w:rsid w:val="06F82F14"/>
    <w:rsid w:val="06FC4B75"/>
    <w:rsid w:val="07040646"/>
    <w:rsid w:val="07066719"/>
    <w:rsid w:val="07115EB5"/>
    <w:rsid w:val="07221B9A"/>
    <w:rsid w:val="07465E59"/>
    <w:rsid w:val="07497FDB"/>
    <w:rsid w:val="077D00DC"/>
    <w:rsid w:val="079052BE"/>
    <w:rsid w:val="079A6309"/>
    <w:rsid w:val="07A1396F"/>
    <w:rsid w:val="07C961DB"/>
    <w:rsid w:val="07D813AB"/>
    <w:rsid w:val="07E21FBD"/>
    <w:rsid w:val="07E51AAD"/>
    <w:rsid w:val="07EE4D0C"/>
    <w:rsid w:val="07F42BBE"/>
    <w:rsid w:val="08105ABC"/>
    <w:rsid w:val="08173C39"/>
    <w:rsid w:val="083F6977"/>
    <w:rsid w:val="08515F3C"/>
    <w:rsid w:val="0854278F"/>
    <w:rsid w:val="086230FE"/>
    <w:rsid w:val="08634780"/>
    <w:rsid w:val="08680A79"/>
    <w:rsid w:val="08680FC0"/>
    <w:rsid w:val="086A0CF9"/>
    <w:rsid w:val="087F5A5E"/>
    <w:rsid w:val="08941636"/>
    <w:rsid w:val="0898267C"/>
    <w:rsid w:val="08B60571"/>
    <w:rsid w:val="08BB7EF3"/>
    <w:rsid w:val="08C571E9"/>
    <w:rsid w:val="08C7561E"/>
    <w:rsid w:val="08DF64FD"/>
    <w:rsid w:val="08E21B49"/>
    <w:rsid w:val="08E73869"/>
    <w:rsid w:val="08F16945"/>
    <w:rsid w:val="08F20335"/>
    <w:rsid w:val="08FE3363"/>
    <w:rsid w:val="08FF7541"/>
    <w:rsid w:val="090303BC"/>
    <w:rsid w:val="09045F63"/>
    <w:rsid w:val="09336848"/>
    <w:rsid w:val="0935611C"/>
    <w:rsid w:val="093E6CBB"/>
    <w:rsid w:val="09547108"/>
    <w:rsid w:val="097932C0"/>
    <w:rsid w:val="097A3FC6"/>
    <w:rsid w:val="097C01EF"/>
    <w:rsid w:val="0984481C"/>
    <w:rsid w:val="09872764"/>
    <w:rsid w:val="09896468"/>
    <w:rsid w:val="09A3064C"/>
    <w:rsid w:val="09A777B0"/>
    <w:rsid w:val="09B36796"/>
    <w:rsid w:val="09C01089"/>
    <w:rsid w:val="09DC3E45"/>
    <w:rsid w:val="09E916BC"/>
    <w:rsid w:val="09ED4C49"/>
    <w:rsid w:val="09F91116"/>
    <w:rsid w:val="0A544CC8"/>
    <w:rsid w:val="0A674E03"/>
    <w:rsid w:val="0A685335"/>
    <w:rsid w:val="0A717628"/>
    <w:rsid w:val="0A7E21DF"/>
    <w:rsid w:val="0A8355EC"/>
    <w:rsid w:val="0A8869D0"/>
    <w:rsid w:val="0A9633A1"/>
    <w:rsid w:val="0AA86648"/>
    <w:rsid w:val="0AAF1847"/>
    <w:rsid w:val="0ABA2D7D"/>
    <w:rsid w:val="0AC41B74"/>
    <w:rsid w:val="0AC77248"/>
    <w:rsid w:val="0ACC7324"/>
    <w:rsid w:val="0AD8714E"/>
    <w:rsid w:val="0AE166EF"/>
    <w:rsid w:val="0AF132CF"/>
    <w:rsid w:val="0AF67B2D"/>
    <w:rsid w:val="0AFE7B5A"/>
    <w:rsid w:val="0B071D3B"/>
    <w:rsid w:val="0B14447E"/>
    <w:rsid w:val="0B416FFB"/>
    <w:rsid w:val="0B46169B"/>
    <w:rsid w:val="0B470389"/>
    <w:rsid w:val="0B4D37F6"/>
    <w:rsid w:val="0B540EAA"/>
    <w:rsid w:val="0B5A4560"/>
    <w:rsid w:val="0B5D195B"/>
    <w:rsid w:val="0B5E1629"/>
    <w:rsid w:val="0B6D0D74"/>
    <w:rsid w:val="0B72274B"/>
    <w:rsid w:val="0B7F6BD1"/>
    <w:rsid w:val="0BA01E81"/>
    <w:rsid w:val="0BB93035"/>
    <w:rsid w:val="0BE12B86"/>
    <w:rsid w:val="0BE300B2"/>
    <w:rsid w:val="0BEC4CD3"/>
    <w:rsid w:val="0BFD6957"/>
    <w:rsid w:val="0C11189F"/>
    <w:rsid w:val="0C2D285A"/>
    <w:rsid w:val="0C3F5977"/>
    <w:rsid w:val="0C455461"/>
    <w:rsid w:val="0C466FEC"/>
    <w:rsid w:val="0C4850AD"/>
    <w:rsid w:val="0C567A44"/>
    <w:rsid w:val="0C5F7B86"/>
    <w:rsid w:val="0C656D19"/>
    <w:rsid w:val="0C712449"/>
    <w:rsid w:val="0C872D00"/>
    <w:rsid w:val="0C874AB1"/>
    <w:rsid w:val="0C9602C6"/>
    <w:rsid w:val="0C98355E"/>
    <w:rsid w:val="0CB755D9"/>
    <w:rsid w:val="0CC45B7A"/>
    <w:rsid w:val="0CC72A85"/>
    <w:rsid w:val="0CEE6D0E"/>
    <w:rsid w:val="0CF77927"/>
    <w:rsid w:val="0CF956B3"/>
    <w:rsid w:val="0D060307"/>
    <w:rsid w:val="0D1809B4"/>
    <w:rsid w:val="0D181FDD"/>
    <w:rsid w:val="0D1A352B"/>
    <w:rsid w:val="0D293F6D"/>
    <w:rsid w:val="0D2F406A"/>
    <w:rsid w:val="0D466B4A"/>
    <w:rsid w:val="0D53099E"/>
    <w:rsid w:val="0D5A4DF7"/>
    <w:rsid w:val="0D605CD1"/>
    <w:rsid w:val="0D7039A8"/>
    <w:rsid w:val="0D732931"/>
    <w:rsid w:val="0D7731A8"/>
    <w:rsid w:val="0D8542C2"/>
    <w:rsid w:val="0D99213B"/>
    <w:rsid w:val="0DA9425F"/>
    <w:rsid w:val="0DAE1B6A"/>
    <w:rsid w:val="0DB57E54"/>
    <w:rsid w:val="0DBE326F"/>
    <w:rsid w:val="0DCF41A4"/>
    <w:rsid w:val="0DD51C7C"/>
    <w:rsid w:val="0E1E7AC7"/>
    <w:rsid w:val="0E26051D"/>
    <w:rsid w:val="0E2A1C4C"/>
    <w:rsid w:val="0E617999"/>
    <w:rsid w:val="0E672F3A"/>
    <w:rsid w:val="0E7B053D"/>
    <w:rsid w:val="0E8E414D"/>
    <w:rsid w:val="0EA0672E"/>
    <w:rsid w:val="0EAA61D3"/>
    <w:rsid w:val="0EC02241"/>
    <w:rsid w:val="0EC046DA"/>
    <w:rsid w:val="0EC71E62"/>
    <w:rsid w:val="0EDA2205"/>
    <w:rsid w:val="0EDF2614"/>
    <w:rsid w:val="0EE02FCE"/>
    <w:rsid w:val="0EEB6487"/>
    <w:rsid w:val="0F20161D"/>
    <w:rsid w:val="0F20786F"/>
    <w:rsid w:val="0F235FDA"/>
    <w:rsid w:val="0F29159C"/>
    <w:rsid w:val="0F32477C"/>
    <w:rsid w:val="0F39623B"/>
    <w:rsid w:val="0F546B75"/>
    <w:rsid w:val="0F824210"/>
    <w:rsid w:val="0F9F0794"/>
    <w:rsid w:val="0FB35595"/>
    <w:rsid w:val="0FB35FED"/>
    <w:rsid w:val="0FBE27E2"/>
    <w:rsid w:val="0FE47865"/>
    <w:rsid w:val="0FF1075A"/>
    <w:rsid w:val="0FF2280B"/>
    <w:rsid w:val="0FFB2DDB"/>
    <w:rsid w:val="0FFC029B"/>
    <w:rsid w:val="10081EF9"/>
    <w:rsid w:val="100C7A90"/>
    <w:rsid w:val="10246B23"/>
    <w:rsid w:val="102B47B0"/>
    <w:rsid w:val="103C4234"/>
    <w:rsid w:val="10593DE8"/>
    <w:rsid w:val="105953E1"/>
    <w:rsid w:val="10611EED"/>
    <w:rsid w:val="10632882"/>
    <w:rsid w:val="10692007"/>
    <w:rsid w:val="107C6D27"/>
    <w:rsid w:val="109D1177"/>
    <w:rsid w:val="10A83A8C"/>
    <w:rsid w:val="10BF5D13"/>
    <w:rsid w:val="10C95EC0"/>
    <w:rsid w:val="10CA7DDF"/>
    <w:rsid w:val="10D56EC9"/>
    <w:rsid w:val="10DB1A50"/>
    <w:rsid w:val="10DF5386"/>
    <w:rsid w:val="10F60887"/>
    <w:rsid w:val="110B5EA0"/>
    <w:rsid w:val="113B44EC"/>
    <w:rsid w:val="11445B88"/>
    <w:rsid w:val="114E2471"/>
    <w:rsid w:val="117311E0"/>
    <w:rsid w:val="11754949"/>
    <w:rsid w:val="117B77B3"/>
    <w:rsid w:val="118C25D2"/>
    <w:rsid w:val="11915DB7"/>
    <w:rsid w:val="119360D6"/>
    <w:rsid w:val="1198193E"/>
    <w:rsid w:val="119F4501"/>
    <w:rsid w:val="11AD363C"/>
    <w:rsid w:val="11AF44AC"/>
    <w:rsid w:val="11DE5549"/>
    <w:rsid w:val="11E51394"/>
    <w:rsid w:val="11E95D4A"/>
    <w:rsid w:val="120328B4"/>
    <w:rsid w:val="12072620"/>
    <w:rsid w:val="1207521D"/>
    <w:rsid w:val="12211934"/>
    <w:rsid w:val="12434E14"/>
    <w:rsid w:val="125A20F5"/>
    <w:rsid w:val="12711568"/>
    <w:rsid w:val="12783A86"/>
    <w:rsid w:val="127E6D86"/>
    <w:rsid w:val="12816876"/>
    <w:rsid w:val="129A1939"/>
    <w:rsid w:val="12A367ED"/>
    <w:rsid w:val="12C14EC5"/>
    <w:rsid w:val="12C22387"/>
    <w:rsid w:val="12D13E2D"/>
    <w:rsid w:val="12D9220E"/>
    <w:rsid w:val="13082AF4"/>
    <w:rsid w:val="130D2041"/>
    <w:rsid w:val="131B2827"/>
    <w:rsid w:val="1331710B"/>
    <w:rsid w:val="13490DCF"/>
    <w:rsid w:val="134E68E8"/>
    <w:rsid w:val="135304A7"/>
    <w:rsid w:val="137B1B62"/>
    <w:rsid w:val="139A4463"/>
    <w:rsid w:val="13AE369B"/>
    <w:rsid w:val="13B45A37"/>
    <w:rsid w:val="13B640D4"/>
    <w:rsid w:val="13BA3DEE"/>
    <w:rsid w:val="13BB125B"/>
    <w:rsid w:val="13C06F2A"/>
    <w:rsid w:val="13C676BC"/>
    <w:rsid w:val="13F5512F"/>
    <w:rsid w:val="14071F8B"/>
    <w:rsid w:val="14316E66"/>
    <w:rsid w:val="14331E76"/>
    <w:rsid w:val="1434754B"/>
    <w:rsid w:val="144B713C"/>
    <w:rsid w:val="144E758F"/>
    <w:rsid w:val="146D5F7F"/>
    <w:rsid w:val="14736B9B"/>
    <w:rsid w:val="14850671"/>
    <w:rsid w:val="149D101A"/>
    <w:rsid w:val="14A3224E"/>
    <w:rsid w:val="14B00AF2"/>
    <w:rsid w:val="14DC2DA6"/>
    <w:rsid w:val="14DF1632"/>
    <w:rsid w:val="14E2467B"/>
    <w:rsid w:val="14E41A0F"/>
    <w:rsid w:val="14E54E9B"/>
    <w:rsid w:val="14F01823"/>
    <w:rsid w:val="14F52C04"/>
    <w:rsid w:val="150A2F86"/>
    <w:rsid w:val="150F529F"/>
    <w:rsid w:val="1524253E"/>
    <w:rsid w:val="152775D4"/>
    <w:rsid w:val="152F5B8A"/>
    <w:rsid w:val="15602773"/>
    <w:rsid w:val="157708C6"/>
    <w:rsid w:val="1582093B"/>
    <w:rsid w:val="158F12AA"/>
    <w:rsid w:val="15A903A5"/>
    <w:rsid w:val="15AC7766"/>
    <w:rsid w:val="15B8435D"/>
    <w:rsid w:val="15DD358D"/>
    <w:rsid w:val="15EF2952"/>
    <w:rsid w:val="160F7CF5"/>
    <w:rsid w:val="163B7106"/>
    <w:rsid w:val="165A5414"/>
    <w:rsid w:val="16781D3E"/>
    <w:rsid w:val="16805733"/>
    <w:rsid w:val="168E4AF4"/>
    <w:rsid w:val="16982409"/>
    <w:rsid w:val="169C37CB"/>
    <w:rsid w:val="16B07844"/>
    <w:rsid w:val="16C5421C"/>
    <w:rsid w:val="16D44DE6"/>
    <w:rsid w:val="16DB4F0E"/>
    <w:rsid w:val="16F13FCB"/>
    <w:rsid w:val="170B4961"/>
    <w:rsid w:val="17103777"/>
    <w:rsid w:val="1720040C"/>
    <w:rsid w:val="172A4801"/>
    <w:rsid w:val="17372BA0"/>
    <w:rsid w:val="17383A54"/>
    <w:rsid w:val="17405FB1"/>
    <w:rsid w:val="17457E73"/>
    <w:rsid w:val="17641D15"/>
    <w:rsid w:val="176A2BA8"/>
    <w:rsid w:val="17775EF9"/>
    <w:rsid w:val="177D5F83"/>
    <w:rsid w:val="17A26C7E"/>
    <w:rsid w:val="17A26D29"/>
    <w:rsid w:val="17C30222"/>
    <w:rsid w:val="17C8687A"/>
    <w:rsid w:val="17CC40F0"/>
    <w:rsid w:val="17D0041E"/>
    <w:rsid w:val="17F7539F"/>
    <w:rsid w:val="180551D2"/>
    <w:rsid w:val="180C06D4"/>
    <w:rsid w:val="183121A5"/>
    <w:rsid w:val="183F5A03"/>
    <w:rsid w:val="1840063A"/>
    <w:rsid w:val="18820C52"/>
    <w:rsid w:val="1889564E"/>
    <w:rsid w:val="188F3AF3"/>
    <w:rsid w:val="18960F6A"/>
    <w:rsid w:val="189C5C61"/>
    <w:rsid w:val="18B02EF0"/>
    <w:rsid w:val="18B90B18"/>
    <w:rsid w:val="18C64FE3"/>
    <w:rsid w:val="18C871B7"/>
    <w:rsid w:val="18D314AE"/>
    <w:rsid w:val="18F56002"/>
    <w:rsid w:val="18F66F2C"/>
    <w:rsid w:val="18FE633B"/>
    <w:rsid w:val="19004393"/>
    <w:rsid w:val="19046B90"/>
    <w:rsid w:val="191F46F3"/>
    <w:rsid w:val="192C43A1"/>
    <w:rsid w:val="193C7538"/>
    <w:rsid w:val="19506ED6"/>
    <w:rsid w:val="1973118E"/>
    <w:rsid w:val="19742C91"/>
    <w:rsid w:val="19747CBC"/>
    <w:rsid w:val="197B093F"/>
    <w:rsid w:val="198527A8"/>
    <w:rsid w:val="199B53A3"/>
    <w:rsid w:val="199D4525"/>
    <w:rsid w:val="19C05CD6"/>
    <w:rsid w:val="19DB2D10"/>
    <w:rsid w:val="19DB4496"/>
    <w:rsid w:val="19DD1235"/>
    <w:rsid w:val="19E415C3"/>
    <w:rsid w:val="19ED0B10"/>
    <w:rsid w:val="19F416DC"/>
    <w:rsid w:val="1A007F4F"/>
    <w:rsid w:val="1A2F6BB8"/>
    <w:rsid w:val="1A3E68F9"/>
    <w:rsid w:val="1A4E703E"/>
    <w:rsid w:val="1A5F3BE3"/>
    <w:rsid w:val="1A5F591F"/>
    <w:rsid w:val="1A617A4D"/>
    <w:rsid w:val="1A710F7F"/>
    <w:rsid w:val="1A712C0C"/>
    <w:rsid w:val="1A82318C"/>
    <w:rsid w:val="1A907657"/>
    <w:rsid w:val="1A9E0AE5"/>
    <w:rsid w:val="1AD24133"/>
    <w:rsid w:val="1AFD2812"/>
    <w:rsid w:val="1B1A1616"/>
    <w:rsid w:val="1B451064"/>
    <w:rsid w:val="1B481CDF"/>
    <w:rsid w:val="1B486183"/>
    <w:rsid w:val="1B490595"/>
    <w:rsid w:val="1B5A1DB3"/>
    <w:rsid w:val="1B5E59A7"/>
    <w:rsid w:val="1B636B19"/>
    <w:rsid w:val="1B6D5BEA"/>
    <w:rsid w:val="1B6F38C7"/>
    <w:rsid w:val="1B726EB7"/>
    <w:rsid w:val="1B81387D"/>
    <w:rsid w:val="1B862808"/>
    <w:rsid w:val="1B8A5F0A"/>
    <w:rsid w:val="1B9413C8"/>
    <w:rsid w:val="1B9C5D53"/>
    <w:rsid w:val="1B9E21F7"/>
    <w:rsid w:val="1BA161B7"/>
    <w:rsid w:val="1BA83EEF"/>
    <w:rsid w:val="1BBA200E"/>
    <w:rsid w:val="1BBF5CF1"/>
    <w:rsid w:val="1BF77953"/>
    <w:rsid w:val="1BF93F18"/>
    <w:rsid w:val="1C3F6CF1"/>
    <w:rsid w:val="1C584C52"/>
    <w:rsid w:val="1C662D65"/>
    <w:rsid w:val="1C6F4025"/>
    <w:rsid w:val="1C7A6810"/>
    <w:rsid w:val="1C827473"/>
    <w:rsid w:val="1C8A614F"/>
    <w:rsid w:val="1CA365FD"/>
    <w:rsid w:val="1CB12000"/>
    <w:rsid w:val="1CBC2927"/>
    <w:rsid w:val="1CCF5C33"/>
    <w:rsid w:val="1CD113E7"/>
    <w:rsid w:val="1CDF6673"/>
    <w:rsid w:val="1CE277EC"/>
    <w:rsid w:val="1CE70278"/>
    <w:rsid w:val="1D05152A"/>
    <w:rsid w:val="1D051823"/>
    <w:rsid w:val="1D203D04"/>
    <w:rsid w:val="1D37025D"/>
    <w:rsid w:val="1D601743"/>
    <w:rsid w:val="1D65301C"/>
    <w:rsid w:val="1D747847"/>
    <w:rsid w:val="1D7B5C46"/>
    <w:rsid w:val="1D7D7B19"/>
    <w:rsid w:val="1D881248"/>
    <w:rsid w:val="1D8F0099"/>
    <w:rsid w:val="1D920211"/>
    <w:rsid w:val="1D94136E"/>
    <w:rsid w:val="1D9C22C5"/>
    <w:rsid w:val="1DA13AFA"/>
    <w:rsid w:val="1DA9410B"/>
    <w:rsid w:val="1DAD0520"/>
    <w:rsid w:val="1DB23514"/>
    <w:rsid w:val="1DC00253"/>
    <w:rsid w:val="1DC31AF1"/>
    <w:rsid w:val="1DCA202E"/>
    <w:rsid w:val="1DE57CB9"/>
    <w:rsid w:val="1E3B0787"/>
    <w:rsid w:val="1E3D4E10"/>
    <w:rsid w:val="1E4470D6"/>
    <w:rsid w:val="1E535EBD"/>
    <w:rsid w:val="1E543091"/>
    <w:rsid w:val="1E6D560F"/>
    <w:rsid w:val="1E6F2058"/>
    <w:rsid w:val="1E7A04CB"/>
    <w:rsid w:val="1E8E2DB0"/>
    <w:rsid w:val="1E9D29DA"/>
    <w:rsid w:val="1EA2746D"/>
    <w:rsid w:val="1EB525EF"/>
    <w:rsid w:val="1EB6109D"/>
    <w:rsid w:val="1ED15537"/>
    <w:rsid w:val="1ED96B39"/>
    <w:rsid w:val="1EE01BA9"/>
    <w:rsid w:val="1EE61F3B"/>
    <w:rsid w:val="1EFA027C"/>
    <w:rsid w:val="1F1665D9"/>
    <w:rsid w:val="1F227FC8"/>
    <w:rsid w:val="1F2A132B"/>
    <w:rsid w:val="1F52137F"/>
    <w:rsid w:val="1F571EF6"/>
    <w:rsid w:val="1F6E32A4"/>
    <w:rsid w:val="1F703EFB"/>
    <w:rsid w:val="1F73636E"/>
    <w:rsid w:val="1F7D7914"/>
    <w:rsid w:val="1F8325A2"/>
    <w:rsid w:val="1F835531"/>
    <w:rsid w:val="1F8D5C4D"/>
    <w:rsid w:val="1F901EA7"/>
    <w:rsid w:val="1FAD0CAB"/>
    <w:rsid w:val="1FBD220D"/>
    <w:rsid w:val="1FDD44EC"/>
    <w:rsid w:val="1FE315A6"/>
    <w:rsid w:val="200810C6"/>
    <w:rsid w:val="200B71FE"/>
    <w:rsid w:val="202A422D"/>
    <w:rsid w:val="207B66B3"/>
    <w:rsid w:val="208F342C"/>
    <w:rsid w:val="20A26336"/>
    <w:rsid w:val="20A83220"/>
    <w:rsid w:val="20E77692"/>
    <w:rsid w:val="210406C9"/>
    <w:rsid w:val="21192CAC"/>
    <w:rsid w:val="21241474"/>
    <w:rsid w:val="2130749E"/>
    <w:rsid w:val="213B4094"/>
    <w:rsid w:val="2154055A"/>
    <w:rsid w:val="21584AE0"/>
    <w:rsid w:val="215A77B7"/>
    <w:rsid w:val="215C4736"/>
    <w:rsid w:val="215F06A9"/>
    <w:rsid w:val="21623EAE"/>
    <w:rsid w:val="21673237"/>
    <w:rsid w:val="217D660A"/>
    <w:rsid w:val="218472E2"/>
    <w:rsid w:val="218C7F8D"/>
    <w:rsid w:val="219B2BCD"/>
    <w:rsid w:val="21A46708"/>
    <w:rsid w:val="21BB5A00"/>
    <w:rsid w:val="21C34929"/>
    <w:rsid w:val="21CE2911"/>
    <w:rsid w:val="21EF55AB"/>
    <w:rsid w:val="21F209E2"/>
    <w:rsid w:val="220B649F"/>
    <w:rsid w:val="22146A1A"/>
    <w:rsid w:val="22205764"/>
    <w:rsid w:val="22235B21"/>
    <w:rsid w:val="223630DF"/>
    <w:rsid w:val="22430565"/>
    <w:rsid w:val="2252030F"/>
    <w:rsid w:val="22784F9A"/>
    <w:rsid w:val="227D579B"/>
    <w:rsid w:val="22BA0840"/>
    <w:rsid w:val="22C44C41"/>
    <w:rsid w:val="22CC31F6"/>
    <w:rsid w:val="22DB181A"/>
    <w:rsid w:val="22E04EF3"/>
    <w:rsid w:val="22E56CDD"/>
    <w:rsid w:val="22E744D4"/>
    <w:rsid w:val="22F11B81"/>
    <w:rsid w:val="230F7587"/>
    <w:rsid w:val="231C545E"/>
    <w:rsid w:val="231F27E0"/>
    <w:rsid w:val="232079E6"/>
    <w:rsid w:val="232272BA"/>
    <w:rsid w:val="232C412B"/>
    <w:rsid w:val="23447230"/>
    <w:rsid w:val="23466363"/>
    <w:rsid w:val="234E4FBC"/>
    <w:rsid w:val="23863CED"/>
    <w:rsid w:val="23875F17"/>
    <w:rsid w:val="23A10B26"/>
    <w:rsid w:val="23A2459C"/>
    <w:rsid w:val="23A8672F"/>
    <w:rsid w:val="23AA48AE"/>
    <w:rsid w:val="23AD1279"/>
    <w:rsid w:val="23B6137F"/>
    <w:rsid w:val="23B86D20"/>
    <w:rsid w:val="23EB16FF"/>
    <w:rsid w:val="240345A4"/>
    <w:rsid w:val="240E1EB6"/>
    <w:rsid w:val="241B49E1"/>
    <w:rsid w:val="242C63E4"/>
    <w:rsid w:val="24401EEB"/>
    <w:rsid w:val="24457704"/>
    <w:rsid w:val="24480FA2"/>
    <w:rsid w:val="244A727F"/>
    <w:rsid w:val="244E3033"/>
    <w:rsid w:val="244F6828"/>
    <w:rsid w:val="247054DD"/>
    <w:rsid w:val="24776664"/>
    <w:rsid w:val="249A4DCC"/>
    <w:rsid w:val="24A16546"/>
    <w:rsid w:val="24AA469D"/>
    <w:rsid w:val="24B6415E"/>
    <w:rsid w:val="24B86128"/>
    <w:rsid w:val="24BB0700"/>
    <w:rsid w:val="24D8157B"/>
    <w:rsid w:val="24E448AE"/>
    <w:rsid w:val="24E96BAB"/>
    <w:rsid w:val="24FF0E4D"/>
    <w:rsid w:val="251470D6"/>
    <w:rsid w:val="251610A0"/>
    <w:rsid w:val="25184226"/>
    <w:rsid w:val="251B0465"/>
    <w:rsid w:val="2527049C"/>
    <w:rsid w:val="252869A4"/>
    <w:rsid w:val="253C7016"/>
    <w:rsid w:val="253D2474"/>
    <w:rsid w:val="25457FB6"/>
    <w:rsid w:val="25793EDC"/>
    <w:rsid w:val="25870A1F"/>
    <w:rsid w:val="259A7A73"/>
    <w:rsid w:val="25A8619C"/>
    <w:rsid w:val="25AE615B"/>
    <w:rsid w:val="25B44F23"/>
    <w:rsid w:val="25EF7AF6"/>
    <w:rsid w:val="260C37B9"/>
    <w:rsid w:val="261B5B20"/>
    <w:rsid w:val="262F2132"/>
    <w:rsid w:val="265922A8"/>
    <w:rsid w:val="2673376C"/>
    <w:rsid w:val="267442D0"/>
    <w:rsid w:val="267812A5"/>
    <w:rsid w:val="268372E1"/>
    <w:rsid w:val="269402B1"/>
    <w:rsid w:val="26977FBF"/>
    <w:rsid w:val="26AC7DFB"/>
    <w:rsid w:val="26B36C9D"/>
    <w:rsid w:val="26BC0149"/>
    <w:rsid w:val="26BF0BCC"/>
    <w:rsid w:val="26D854EC"/>
    <w:rsid w:val="26E86A6C"/>
    <w:rsid w:val="26F01525"/>
    <w:rsid w:val="26FB2B1A"/>
    <w:rsid w:val="2702009F"/>
    <w:rsid w:val="270D75D4"/>
    <w:rsid w:val="273E6FC2"/>
    <w:rsid w:val="27466F6A"/>
    <w:rsid w:val="27484CC0"/>
    <w:rsid w:val="27772A99"/>
    <w:rsid w:val="279616DA"/>
    <w:rsid w:val="279E0C22"/>
    <w:rsid w:val="27A632E3"/>
    <w:rsid w:val="27AF1622"/>
    <w:rsid w:val="27B00B34"/>
    <w:rsid w:val="27BC5F2F"/>
    <w:rsid w:val="27BD45BB"/>
    <w:rsid w:val="27C748D4"/>
    <w:rsid w:val="27CE221E"/>
    <w:rsid w:val="27D03788"/>
    <w:rsid w:val="27D36DD5"/>
    <w:rsid w:val="27E360FC"/>
    <w:rsid w:val="281D37D1"/>
    <w:rsid w:val="282A368F"/>
    <w:rsid w:val="282B4E63"/>
    <w:rsid w:val="283346EC"/>
    <w:rsid w:val="283D2DCC"/>
    <w:rsid w:val="283E5AA6"/>
    <w:rsid w:val="286E6AFD"/>
    <w:rsid w:val="28753064"/>
    <w:rsid w:val="287C1549"/>
    <w:rsid w:val="28896243"/>
    <w:rsid w:val="288D78CB"/>
    <w:rsid w:val="288F53F1"/>
    <w:rsid w:val="28B9246E"/>
    <w:rsid w:val="28CC28F0"/>
    <w:rsid w:val="28EF553B"/>
    <w:rsid w:val="2904650E"/>
    <w:rsid w:val="291C39BD"/>
    <w:rsid w:val="291F693B"/>
    <w:rsid w:val="29276F49"/>
    <w:rsid w:val="292C29B1"/>
    <w:rsid w:val="29306555"/>
    <w:rsid w:val="293B2E83"/>
    <w:rsid w:val="294B77A1"/>
    <w:rsid w:val="29500600"/>
    <w:rsid w:val="298D105A"/>
    <w:rsid w:val="29987001"/>
    <w:rsid w:val="299B4AAA"/>
    <w:rsid w:val="29BB4803"/>
    <w:rsid w:val="29D86924"/>
    <w:rsid w:val="29E25A35"/>
    <w:rsid w:val="29E96D83"/>
    <w:rsid w:val="29F50F47"/>
    <w:rsid w:val="2A1262DA"/>
    <w:rsid w:val="2A13795C"/>
    <w:rsid w:val="2A1A5DF5"/>
    <w:rsid w:val="2A293624"/>
    <w:rsid w:val="2A4944AA"/>
    <w:rsid w:val="2A540B7F"/>
    <w:rsid w:val="2A56270F"/>
    <w:rsid w:val="2A5F7A43"/>
    <w:rsid w:val="2A6D1762"/>
    <w:rsid w:val="2A8D770F"/>
    <w:rsid w:val="2A8F0293"/>
    <w:rsid w:val="2AB7478C"/>
    <w:rsid w:val="2AC667BC"/>
    <w:rsid w:val="2ADE0A34"/>
    <w:rsid w:val="2AF70CE5"/>
    <w:rsid w:val="2B0F281A"/>
    <w:rsid w:val="2B345DDC"/>
    <w:rsid w:val="2B4C7BA5"/>
    <w:rsid w:val="2B5A2A24"/>
    <w:rsid w:val="2B632C0D"/>
    <w:rsid w:val="2B64423F"/>
    <w:rsid w:val="2B6B0546"/>
    <w:rsid w:val="2B737A3B"/>
    <w:rsid w:val="2B8B1F54"/>
    <w:rsid w:val="2BBB02AC"/>
    <w:rsid w:val="2BD440AE"/>
    <w:rsid w:val="2BD64CE6"/>
    <w:rsid w:val="2BE041B6"/>
    <w:rsid w:val="2BE25E52"/>
    <w:rsid w:val="2C1A1476"/>
    <w:rsid w:val="2C1B6F9C"/>
    <w:rsid w:val="2C33078A"/>
    <w:rsid w:val="2C3342E6"/>
    <w:rsid w:val="2C532BDA"/>
    <w:rsid w:val="2C6820E3"/>
    <w:rsid w:val="2C8D6BB3"/>
    <w:rsid w:val="2CAC3151"/>
    <w:rsid w:val="2CC36002"/>
    <w:rsid w:val="2CDA6697"/>
    <w:rsid w:val="2CFB5BBB"/>
    <w:rsid w:val="2D0975E0"/>
    <w:rsid w:val="2D0E133C"/>
    <w:rsid w:val="2D2E0549"/>
    <w:rsid w:val="2D4542D1"/>
    <w:rsid w:val="2D575A4A"/>
    <w:rsid w:val="2D5D5670"/>
    <w:rsid w:val="2D636E4D"/>
    <w:rsid w:val="2D684463"/>
    <w:rsid w:val="2D6A01DB"/>
    <w:rsid w:val="2D6C3F53"/>
    <w:rsid w:val="2D81205D"/>
    <w:rsid w:val="2D8F74B8"/>
    <w:rsid w:val="2D962D7E"/>
    <w:rsid w:val="2D964B2C"/>
    <w:rsid w:val="2D992F65"/>
    <w:rsid w:val="2D9E0C88"/>
    <w:rsid w:val="2DB142AE"/>
    <w:rsid w:val="2DB372C8"/>
    <w:rsid w:val="2DB81EEB"/>
    <w:rsid w:val="2DD809AF"/>
    <w:rsid w:val="2DD90EBD"/>
    <w:rsid w:val="2DDA3F5C"/>
    <w:rsid w:val="2DE40EE1"/>
    <w:rsid w:val="2DFA0EFD"/>
    <w:rsid w:val="2E041115"/>
    <w:rsid w:val="2E077EE1"/>
    <w:rsid w:val="2E37052D"/>
    <w:rsid w:val="2E3C1960"/>
    <w:rsid w:val="2E3E0F1F"/>
    <w:rsid w:val="2E41718E"/>
    <w:rsid w:val="2E676C46"/>
    <w:rsid w:val="2E704C40"/>
    <w:rsid w:val="2E765D8F"/>
    <w:rsid w:val="2E887C64"/>
    <w:rsid w:val="2EA24366"/>
    <w:rsid w:val="2EAA4677"/>
    <w:rsid w:val="2EB01214"/>
    <w:rsid w:val="2EB201EE"/>
    <w:rsid w:val="2EB84F76"/>
    <w:rsid w:val="2EE21389"/>
    <w:rsid w:val="2EE33C73"/>
    <w:rsid w:val="2F130DA1"/>
    <w:rsid w:val="2F135CD3"/>
    <w:rsid w:val="2F2409B5"/>
    <w:rsid w:val="2F403B19"/>
    <w:rsid w:val="2F433D54"/>
    <w:rsid w:val="2F663722"/>
    <w:rsid w:val="2F6D3A0C"/>
    <w:rsid w:val="2F724879"/>
    <w:rsid w:val="2F87429B"/>
    <w:rsid w:val="2F945655"/>
    <w:rsid w:val="2F994DA8"/>
    <w:rsid w:val="2FA33530"/>
    <w:rsid w:val="2FA8615F"/>
    <w:rsid w:val="2FAA3B85"/>
    <w:rsid w:val="2FAF3D59"/>
    <w:rsid w:val="2FBD6387"/>
    <w:rsid w:val="2FC0031A"/>
    <w:rsid w:val="2FD11702"/>
    <w:rsid w:val="2FD162F0"/>
    <w:rsid w:val="2FDA4052"/>
    <w:rsid w:val="2FDB716E"/>
    <w:rsid w:val="2FF41FDE"/>
    <w:rsid w:val="30065A96"/>
    <w:rsid w:val="300D096E"/>
    <w:rsid w:val="300F506A"/>
    <w:rsid w:val="30185CCC"/>
    <w:rsid w:val="30403A98"/>
    <w:rsid w:val="30454BCD"/>
    <w:rsid w:val="307F1BDF"/>
    <w:rsid w:val="30961DE2"/>
    <w:rsid w:val="309C4B4F"/>
    <w:rsid w:val="30A41146"/>
    <w:rsid w:val="30C16364"/>
    <w:rsid w:val="30CB0233"/>
    <w:rsid w:val="30D5114E"/>
    <w:rsid w:val="30F23939"/>
    <w:rsid w:val="30F81C5E"/>
    <w:rsid w:val="30FB5378"/>
    <w:rsid w:val="30FD217C"/>
    <w:rsid w:val="3103135B"/>
    <w:rsid w:val="31280B14"/>
    <w:rsid w:val="31470EF5"/>
    <w:rsid w:val="315F068C"/>
    <w:rsid w:val="31653193"/>
    <w:rsid w:val="316A2D28"/>
    <w:rsid w:val="3177339F"/>
    <w:rsid w:val="317D3ACC"/>
    <w:rsid w:val="317E6F03"/>
    <w:rsid w:val="317F0FFC"/>
    <w:rsid w:val="31891EB5"/>
    <w:rsid w:val="31A22367"/>
    <w:rsid w:val="31A82C5F"/>
    <w:rsid w:val="31BA68EA"/>
    <w:rsid w:val="31BE1FAB"/>
    <w:rsid w:val="31C46067"/>
    <w:rsid w:val="31D07F54"/>
    <w:rsid w:val="31D67BED"/>
    <w:rsid w:val="31D806DB"/>
    <w:rsid w:val="31D976DD"/>
    <w:rsid w:val="31DD7C00"/>
    <w:rsid w:val="31E44EE1"/>
    <w:rsid w:val="31ED2299"/>
    <w:rsid w:val="31F20FA8"/>
    <w:rsid w:val="32083630"/>
    <w:rsid w:val="32444FE9"/>
    <w:rsid w:val="324803BF"/>
    <w:rsid w:val="32543CE4"/>
    <w:rsid w:val="325B3E89"/>
    <w:rsid w:val="32614B36"/>
    <w:rsid w:val="32C4540B"/>
    <w:rsid w:val="32D06D32"/>
    <w:rsid w:val="32D548FE"/>
    <w:rsid w:val="32D61E6F"/>
    <w:rsid w:val="32DE0B4C"/>
    <w:rsid w:val="32E26E31"/>
    <w:rsid w:val="32F05970"/>
    <w:rsid w:val="330B079A"/>
    <w:rsid w:val="33341726"/>
    <w:rsid w:val="33346287"/>
    <w:rsid w:val="333656BD"/>
    <w:rsid w:val="33437E6D"/>
    <w:rsid w:val="33447C99"/>
    <w:rsid w:val="33511509"/>
    <w:rsid w:val="335B677D"/>
    <w:rsid w:val="336735B5"/>
    <w:rsid w:val="33705E1F"/>
    <w:rsid w:val="338C31D7"/>
    <w:rsid w:val="3396631E"/>
    <w:rsid w:val="33982637"/>
    <w:rsid w:val="33B977C6"/>
    <w:rsid w:val="33CE4E12"/>
    <w:rsid w:val="33D33712"/>
    <w:rsid w:val="33D91C17"/>
    <w:rsid w:val="33DC5263"/>
    <w:rsid w:val="33E412BD"/>
    <w:rsid w:val="33E50C36"/>
    <w:rsid w:val="34026E2F"/>
    <w:rsid w:val="340D76D4"/>
    <w:rsid w:val="34171988"/>
    <w:rsid w:val="341F20E9"/>
    <w:rsid w:val="342619BC"/>
    <w:rsid w:val="34310CB0"/>
    <w:rsid w:val="34474001"/>
    <w:rsid w:val="34596954"/>
    <w:rsid w:val="347F2FC4"/>
    <w:rsid w:val="34850D34"/>
    <w:rsid w:val="348A1163"/>
    <w:rsid w:val="34C22769"/>
    <w:rsid w:val="34C9495B"/>
    <w:rsid w:val="34CC1CA4"/>
    <w:rsid w:val="34D86586"/>
    <w:rsid w:val="34E0292F"/>
    <w:rsid w:val="34EA389D"/>
    <w:rsid w:val="350466DA"/>
    <w:rsid w:val="35061884"/>
    <w:rsid w:val="35155C71"/>
    <w:rsid w:val="351C7B52"/>
    <w:rsid w:val="35320D0C"/>
    <w:rsid w:val="353A5DE2"/>
    <w:rsid w:val="35607F6D"/>
    <w:rsid w:val="356566B5"/>
    <w:rsid w:val="35670FF5"/>
    <w:rsid w:val="3570151C"/>
    <w:rsid w:val="3583008C"/>
    <w:rsid w:val="358B7091"/>
    <w:rsid w:val="358C1AD1"/>
    <w:rsid w:val="358C2592"/>
    <w:rsid w:val="358D7508"/>
    <w:rsid w:val="35B53732"/>
    <w:rsid w:val="35CD57AB"/>
    <w:rsid w:val="35F24D6C"/>
    <w:rsid w:val="35F36169"/>
    <w:rsid w:val="36014CE6"/>
    <w:rsid w:val="360A255B"/>
    <w:rsid w:val="361E6861"/>
    <w:rsid w:val="36217932"/>
    <w:rsid w:val="362A675A"/>
    <w:rsid w:val="364A1DD1"/>
    <w:rsid w:val="366B11D8"/>
    <w:rsid w:val="367E6AA5"/>
    <w:rsid w:val="368500BA"/>
    <w:rsid w:val="36B50719"/>
    <w:rsid w:val="36C02C1A"/>
    <w:rsid w:val="36C37688"/>
    <w:rsid w:val="36D61BC6"/>
    <w:rsid w:val="36DE6A44"/>
    <w:rsid w:val="36FD63F6"/>
    <w:rsid w:val="37024FE0"/>
    <w:rsid w:val="37041EEB"/>
    <w:rsid w:val="370B587C"/>
    <w:rsid w:val="37107445"/>
    <w:rsid w:val="3713113F"/>
    <w:rsid w:val="3724538F"/>
    <w:rsid w:val="372C4E0C"/>
    <w:rsid w:val="373E684E"/>
    <w:rsid w:val="37415D81"/>
    <w:rsid w:val="37427AD3"/>
    <w:rsid w:val="37492420"/>
    <w:rsid w:val="375F35F1"/>
    <w:rsid w:val="377A66FD"/>
    <w:rsid w:val="378E3872"/>
    <w:rsid w:val="37905BD8"/>
    <w:rsid w:val="379D4CDE"/>
    <w:rsid w:val="37A8535D"/>
    <w:rsid w:val="37AE4605"/>
    <w:rsid w:val="37D22C05"/>
    <w:rsid w:val="37DD15AA"/>
    <w:rsid w:val="37E17ABD"/>
    <w:rsid w:val="37E672C4"/>
    <w:rsid w:val="37EC177B"/>
    <w:rsid w:val="37FB2616"/>
    <w:rsid w:val="381551E7"/>
    <w:rsid w:val="38294525"/>
    <w:rsid w:val="38392EC3"/>
    <w:rsid w:val="384D1CD2"/>
    <w:rsid w:val="38611A4F"/>
    <w:rsid w:val="3876347B"/>
    <w:rsid w:val="387F6090"/>
    <w:rsid w:val="38806B05"/>
    <w:rsid w:val="388B025C"/>
    <w:rsid w:val="38924EE1"/>
    <w:rsid w:val="38977310"/>
    <w:rsid w:val="389B393F"/>
    <w:rsid w:val="38AE0106"/>
    <w:rsid w:val="38F142D1"/>
    <w:rsid w:val="38FF35B1"/>
    <w:rsid w:val="39274AEB"/>
    <w:rsid w:val="393521E9"/>
    <w:rsid w:val="3971001E"/>
    <w:rsid w:val="397871F7"/>
    <w:rsid w:val="399A3BF6"/>
    <w:rsid w:val="399B2947"/>
    <w:rsid w:val="39A5146A"/>
    <w:rsid w:val="39B256B6"/>
    <w:rsid w:val="39C944DB"/>
    <w:rsid w:val="39CF674E"/>
    <w:rsid w:val="39E70823"/>
    <w:rsid w:val="39F50028"/>
    <w:rsid w:val="39FA478D"/>
    <w:rsid w:val="3A041314"/>
    <w:rsid w:val="3A1E4827"/>
    <w:rsid w:val="3A2A4F7A"/>
    <w:rsid w:val="3A5D29C3"/>
    <w:rsid w:val="3A725143"/>
    <w:rsid w:val="3A8E52DD"/>
    <w:rsid w:val="3A8F74D3"/>
    <w:rsid w:val="3A9453A9"/>
    <w:rsid w:val="3AB42542"/>
    <w:rsid w:val="3AC20ED6"/>
    <w:rsid w:val="3AD42938"/>
    <w:rsid w:val="3AF410E4"/>
    <w:rsid w:val="3B1139DC"/>
    <w:rsid w:val="3B201ED9"/>
    <w:rsid w:val="3B237604"/>
    <w:rsid w:val="3B2A4119"/>
    <w:rsid w:val="3B346891"/>
    <w:rsid w:val="3B3E5763"/>
    <w:rsid w:val="3B4C255B"/>
    <w:rsid w:val="3B551A93"/>
    <w:rsid w:val="3B606655"/>
    <w:rsid w:val="3B6620EF"/>
    <w:rsid w:val="3B693ABE"/>
    <w:rsid w:val="3B6A55BB"/>
    <w:rsid w:val="3B930F30"/>
    <w:rsid w:val="3BCC6D26"/>
    <w:rsid w:val="3BCD6DCC"/>
    <w:rsid w:val="3BD45336"/>
    <w:rsid w:val="3BE4333C"/>
    <w:rsid w:val="3BE9676F"/>
    <w:rsid w:val="3BED76AD"/>
    <w:rsid w:val="3BFF1AFF"/>
    <w:rsid w:val="3C05794C"/>
    <w:rsid w:val="3C1B6ADE"/>
    <w:rsid w:val="3C3F1642"/>
    <w:rsid w:val="3C4340D1"/>
    <w:rsid w:val="3C451E1C"/>
    <w:rsid w:val="3C4C0F79"/>
    <w:rsid w:val="3C4C13B1"/>
    <w:rsid w:val="3C6F136A"/>
    <w:rsid w:val="3C751EA8"/>
    <w:rsid w:val="3C8F6291"/>
    <w:rsid w:val="3C9A5CBB"/>
    <w:rsid w:val="3C9C0EE0"/>
    <w:rsid w:val="3CAA05F4"/>
    <w:rsid w:val="3CAA50D7"/>
    <w:rsid w:val="3CAF5C0A"/>
    <w:rsid w:val="3CC23CE7"/>
    <w:rsid w:val="3CC33245"/>
    <w:rsid w:val="3CD503F6"/>
    <w:rsid w:val="3CD94B9C"/>
    <w:rsid w:val="3CD967E3"/>
    <w:rsid w:val="3CE021B0"/>
    <w:rsid w:val="3CE55188"/>
    <w:rsid w:val="3D112421"/>
    <w:rsid w:val="3D42709C"/>
    <w:rsid w:val="3D4F2F4A"/>
    <w:rsid w:val="3D685D41"/>
    <w:rsid w:val="3D734BA5"/>
    <w:rsid w:val="3D783084"/>
    <w:rsid w:val="3D864BBD"/>
    <w:rsid w:val="3D8B2B66"/>
    <w:rsid w:val="3D8F26B0"/>
    <w:rsid w:val="3D913C2B"/>
    <w:rsid w:val="3DB13215"/>
    <w:rsid w:val="3DD05032"/>
    <w:rsid w:val="3DED3F4B"/>
    <w:rsid w:val="3DEE4B95"/>
    <w:rsid w:val="3DFE6F58"/>
    <w:rsid w:val="3E23240C"/>
    <w:rsid w:val="3E242CFD"/>
    <w:rsid w:val="3E2A332E"/>
    <w:rsid w:val="3E2C20D2"/>
    <w:rsid w:val="3E301C92"/>
    <w:rsid w:val="3E34580E"/>
    <w:rsid w:val="3E377C66"/>
    <w:rsid w:val="3E491747"/>
    <w:rsid w:val="3E590463"/>
    <w:rsid w:val="3E611186"/>
    <w:rsid w:val="3E6F38A3"/>
    <w:rsid w:val="3E8804C1"/>
    <w:rsid w:val="3EBA2645"/>
    <w:rsid w:val="3EBA7D64"/>
    <w:rsid w:val="3ED27815"/>
    <w:rsid w:val="3EE17BD1"/>
    <w:rsid w:val="3EF142B8"/>
    <w:rsid w:val="3EF52BFF"/>
    <w:rsid w:val="3EF73775"/>
    <w:rsid w:val="3EFC62CD"/>
    <w:rsid w:val="3EFE20B2"/>
    <w:rsid w:val="3F0739DD"/>
    <w:rsid w:val="3F147026"/>
    <w:rsid w:val="3F2301EA"/>
    <w:rsid w:val="3F2C52F0"/>
    <w:rsid w:val="3F2F0A1F"/>
    <w:rsid w:val="3F540FBA"/>
    <w:rsid w:val="3F60708E"/>
    <w:rsid w:val="3F647D81"/>
    <w:rsid w:val="3F817BE4"/>
    <w:rsid w:val="3F9A5F9A"/>
    <w:rsid w:val="3F9B5FD2"/>
    <w:rsid w:val="3FC8ED69"/>
    <w:rsid w:val="3FD31C10"/>
    <w:rsid w:val="3FE37861"/>
    <w:rsid w:val="3FF47EA1"/>
    <w:rsid w:val="3FFA045E"/>
    <w:rsid w:val="40001511"/>
    <w:rsid w:val="4004001B"/>
    <w:rsid w:val="401F09B1"/>
    <w:rsid w:val="4026570D"/>
    <w:rsid w:val="402F6716"/>
    <w:rsid w:val="40361CB7"/>
    <w:rsid w:val="403C0D10"/>
    <w:rsid w:val="404068F5"/>
    <w:rsid w:val="40482210"/>
    <w:rsid w:val="40623AEE"/>
    <w:rsid w:val="40706D55"/>
    <w:rsid w:val="40814BDA"/>
    <w:rsid w:val="409969B6"/>
    <w:rsid w:val="409E3FCC"/>
    <w:rsid w:val="40B92BAB"/>
    <w:rsid w:val="40C82CCE"/>
    <w:rsid w:val="40E90FBF"/>
    <w:rsid w:val="40F260C6"/>
    <w:rsid w:val="41072A4E"/>
    <w:rsid w:val="410A78B3"/>
    <w:rsid w:val="411865F2"/>
    <w:rsid w:val="41230A69"/>
    <w:rsid w:val="412F0A0C"/>
    <w:rsid w:val="41412BA9"/>
    <w:rsid w:val="41425B75"/>
    <w:rsid w:val="41524DB6"/>
    <w:rsid w:val="415D2552"/>
    <w:rsid w:val="41640607"/>
    <w:rsid w:val="416C3056"/>
    <w:rsid w:val="41735459"/>
    <w:rsid w:val="4180170D"/>
    <w:rsid w:val="4197455C"/>
    <w:rsid w:val="419A47A3"/>
    <w:rsid w:val="419D0727"/>
    <w:rsid w:val="41B675BA"/>
    <w:rsid w:val="41C8461F"/>
    <w:rsid w:val="41D23035"/>
    <w:rsid w:val="41DC62AA"/>
    <w:rsid w:val="41F02995"/>
    <w:rsid w:val="41F2695A"/>
    <w:rsid w:val="42026F12"/>
    <w:rsid w:val="420B3F64"/>
    <w:rsid w:val="42131DED"/>
    <w:rsid w:val="422A509B"/>
    <w:rsid w:val="42613D77"/>
    <w:rsid w:val="426421B7"/>
    <w:rsid w:val="4267663F"/>
    <w:rsid w:val="4269685C"/>
    <w:rsid w:val="4270044C"/>
    <w:rsid w:val="42725710"/>
    <w:rsid w:val="42726795"/>
    <w:rsid w:val="427E2307"/>
    <w:rsid w:val="429C5AC6"/>
    <w:rsid w:val="42A660BB"/>
    <w:rsid w:val="42CF2ADA"/>
    <w:rsid w:val="42D41156"/>
    <w:rsid w:val="42D5052E"/>
    <w:rsid w:val="42D71B61"/>
    <w:rsid w:val="42DD6902"/>
    <w:rsid w:val="42EB4958"/>
    <w:rsid w:val="42ED123B"/>
    <w:rsid w:val="42FA1F60"/>
    <w:rsid w:val="4300495F"/>
    <w:rsid w:val="43024820"/>
    <w:rsid w:val="43030A5E"/>
    <w:rsid w:val="430A1DED"/>
    <w:rsid w:val="435C0D6B"/>
    <w:rsid w:val="437370B7"/>
    <w:rsid w:val="437662E2"/>
    <w:rsid w:val="43897891"/>
    <w:rsid w:val="439509AF"/>
    <w:rsid w:val="43BE4985"/>
    <w:rsid w:val="43D45F57"/>
    <w:rsid w:val="43D83C99"/>
    <w:rsid w:val="43E621D1"/>
    <w:rsid w:val="43EE51A5"/>
    <w:rsid w:val="440D5B73"/>
    <w:rsid w:val="441354CA"/>
    <w:rsid w:val="44223166"/>
    <w:rsid w:val="4426495C"/>
    <w:rsid w:val="44281E7B"/>
    <w:rsid w:val="4435162A"/>
    <w:rsid w:val="445A2900"/>
    <w:rsid w:val="448259B3"/>
    <w:rsid w:val="448C6831"/>
    <w:rsid w:val="449E7822"/>
    <w:rsid w:val="44AB4F09"/>
    <w:rsid w:val="44BE4F4C"/>
    <w:rsid w:val="44C401EC"/>
    <w:rsid w:val="44CF5C60"/>
    <w:rsid w:val="44DD3E91"/>
    <w:rsid w:val="44DE3DAA"/>
    <w:rsid w:val="44EB3AD2"/>
    <w:rsid w:val="44F2164B"/>
    <w:rsid w:val="44F73D6C"/>
    <w:rsid w:val="44F763A1"/>
    <w:rsid w:val="44FE6A97"/>
    <w:rsid w:val="45015D08"/>
    <w:rsid w:val="45090FCD"/>
    <w:rsid w:val="450A553B"/>
    <w:rsid w:val="4510597B"/>
    <w:rsid w:val="4523136D"/>
    <w:rsid w:val="45280009"/>
    <w:rsid w:val="453572F2"/>
    <w:rsid w:val="45454D2F"/>
    <w:rsid w:val="45620AA2"/>
    <w:rsid w:val="457D002E"/>
    <w:rsid w:val="45862254"/>
    <w:rsid w:val="458A4B1F"/>
    <w:rsid w:val="459F22EB"/>
    <w:rsid w:val="45A04342"/>
    <w:rsid w:val="45AF27D7"/>
    <w:rsid w:val="45C30031"/>
    <w:rsid w:val="45F71FF0"/>
    <w:rsid w:val="46024FFD"/>
    <w:rsid w:val="46175DAE"/>
    <w:rsid w:val="461D2637"/>
    <w:rsid w:val="463D6035"/>
    <w:rsid w:val="465313B5"/>
    <w:rsid w:val="46712740"/>
    <w:rsid w:val="467D462E"/>
    <w:rsid w:val="467F03FC"/>
    <w:rsid w:val="468635AE"/>
    <w:rsid w:val="468E27CD"/>
    <w:rsid w:val="46957C1F"/>
    <w:rsid w:val="46BF08DF"/>
    <w:rsid w:val="46DF3BB7"/>
    <w:rsid w:val="46E416BF"/>
    <w:rsid w:val="46E841F3"/>
    <w:rsid w:val="46F91E7C"/>
    <w:rsid w:val="46F972FD"/>
    <w:rsid w:val="47413789"/>
    <w:rsid w:val="47486A40"/>
    <w:rsid w:val="47680E90"/>
    <w:rsid w:val="476872E3"/>
    <w:rsid w:val="47AD75EE"/>
    <w:rsid w:val="47AF7AC5"/>
    <w:rsid w:val="47F773E0"/>
    <w:rsid w:val="47FC08AC"/>
    <w:rsid w:val="47FC1AAA"/>
    <w:rsid w:val="47FD6B39"/>
    <w:rsid w:val="480513AE"/>
    <w:rsid w:val="480E5EDB"/>
    <w:rsid w:val="48171432"/>
    <w:rsid w:val="48330FF9"/>
    <w:rsid w:val="4847426C"/>
    <w:rsid w:val="48566B3C"/>
    <w:rsid w:val="486B0228"/>
    <w:rsid w:val="4876080B"/>
    <w:rsid w:val="48BF71D5"/>
    <w:rsid w:val="48E924A4"/>
    <w:rsid w:val="48F873C3"/>
    <w:rsid w:val="490A09D4"/>
    <w:rsid w:val="490A177E"/>
    <w:rsid w:val="49105E08"/>
    <w:rsid w:val="49115557"/>
    <w:rsid w:val="492C296D"/>
    <w:rsid w:val="493F3EB3"/>
    <w:rsid w:val="4951666A"/>
    <w:rsid w:val="495A0CAC"/>
    <w:rsid w:val="497C0478"/>
    <w:rsid w:val="497C0C22"/>
    <w:rsid w:val="49885819"/>
    <w:rsid w:val="4994191D"/>
    <w:rsid w:val="49BD51B8"/>
    <w:rsid w:val="49BE56DF"/>
    <w:rsid w:val="49DE2E13"/>
    <w:rsid w:val="49F27137"/>
    <w:rsid w:val="4A0929FA"/>
    <w:rsid w:val="4A0A4CCA"/>
    <w:rsid w:val="4A110D60"/>
    <w:rsid w:val="4A13120E"/>
    <w:rsid w:val="4A2072DE"/>
    <w:rsid w:val="4A210C5D"/>
    <w:rsid w:val="4A471230"/>
    <w:rsid w:val="4A4C39AD"/>
    <w:rsid w:val="4A4D6D6B"/>
    <w:rsid w:val="4A630034"/>
    <w:rsid w:val="4AA05A14"/>
    <w:rsid w:val="4AB56AE2"/>
    <w:rsid w:val="4AB65EAF"/>
    <w:rsid w:val="4ABD14F2"/>
    <w:rsid w:val="4ADB5E1D"/>
    <w:rsid w:val="4AE22767"/>
    <w:rsid w:val="4AF07B1A"/>
    <w:rsid w:val="4AF424DE"/>
    <w:rsid w:val="4AFA44F5"/>
    <w:rsid w:val="4B3734F6"/>
    <w:rsid w:val="4B3948C3"/>
    <w:rsid w:val="4B5A047D"/>
    <w:rsid w:val="4B8339CF"/>
    <w:rsid w:val="4BB943B0"/>
    <w:rsid w:val="4BBF4E98"/>
    <w:rsid w:val="4BCB7C3F"/>
    <w:rsid w:val="4BD146C5"/>
    <w:rsid w:val="4BD66AD1"/>
    <w:rsid w:val="4BE64169"/>
    <w:rsid w:val="4C0849EF"/>
    <w:rsid w:val="4C0C0983"/>
    <w:rsid w:val="4C124497"/>
    <w:rsid w:val="4C1A4723"/>
    <w:rsid w:val="4C205846"/>
    <w:rsid w:val="4C211F55"/>
    <w:rsid w:val="4C2832E3"/>
    <w:rsid w:val="4C3F7C92"/>
    <w:rsid w:val="4C451CC5"/>
    <w:rsid w:val="4C5E0D5A"/>
    <w:rsid w:val="4C7A2FF8"/>
    <w:rsid w:val="4C984E65"/>
    <w:rsid w:val="4C995F8F"/>
    <w:rsid w:val="4CB6269D"/>
    <w:rsid w:val="4CBF4276"/>
    <w:rsid w:val="4CCE5496"/>
    <w:rsid w:val="4CD03BF9"/>
    <w:rsid w:val="4CD541BE"/>
    <w:rsid w:val="4CD8358B"/>
    <w:rsid w:val="4CED68FA"/>
    <w:rsid w:val="4CF505B7"/>
    <w:rsid w:val="4CFF22DE"/>
    <w:rsid w:val="4D0C5693"/>
    <w:rsid w:val="4D477799"/>
    <w:rsid w:val="4D533A1C"/>
    <w:rsid w:val="4D626455"/>
    <w:rsid w:val="4D663E25"/>
    <w:rsid w:val="4D6D36A4"/>
    <w:rsid w:val="4D6F0072"/>
    <w:rsid w:val="4D722A68"/>
    <w:rsid w:val="4D7367E0"/>
    <w:rsid w:val="4D750476"/>
    <w:rsid w:val="4D783C1E"/>
    <w:rsid w:val="4D786A89"/>
    <w:rsid w:val="4D883B5D"/>
    <w:rsid w:val="4D9D26D1"/>
    <w:rsid w:val="4DA519D1"/>
    <w:rsid w:val="4DA63028"/>
    <w:rsid w:val="4DAB41CC"/>
    <w:rsid w:val="4DB43EA3"/>
    <w:rsid w:val="4DBD0F93"/>
    <w:rsid w:val="4DC40DEA"/>
    <w:rsid w:val="4DC572DA"/>
    <w:rsid w:val="4DC662DA"/>
    <w:rsid w:val="4DC808DA"/>
    <w:rsid w:val="4DD5419F"/>
    <w:rsid w:val="4DE374C2"/>
    <w:rsid w:val="4DE4148C"/>
    <w:rsid w:val="4E0F5A16"/>
    <w:rsid w:val="4E1577CD"/>
    <w:rsid w:val="4E1622A9"/>
    <w:rsid w:val="4E166EC4"/>
    <w:rsid w:val="4E1756EC"/>
    <w:rsid w:val="4E1B1742"/>
    <w:rsid w:val="4E2E279D"/>
    <w:rsid w:val="4E3A28AC"/>
    <w:rsid w:val="4E3D2D17"/>
    <w:rsid w:val="4E401C83"/>
    <w:rsid w:val="4E47495A"/>
    <w:rsid w:val="4E4769C9"/>
    <w:rsid w:val="4E4D6B5E"/>
    <w:rsid w:val="4E51571E"/>
    <w:rsid w:val="4E6A36FF"/>
    <w:rsid w:val="4E6F1BA8"/>
    <w:rsid w:val="4E897468"/>
    <w:rsid w:val="4E9B7300"/>
    <w:rsid w:val="4EA61CCE"/>
    <w:rsid w:val="4ED440E4"/>
    <w:rsid w:val="4EF83441"/>
    <w:rsid w:val="4EFE4FDC"/>
    <w:rsid w:val="4F133DD7"/>
    <w:rsid w:val="4F271B02"/>
    <w:rsid w:val="4F31425D"/>
    <w:rsid w:val="4F3B09F2"/>
    <w:rsid w:val="4F5C0D95"/>
    <w:rsid w:val="4F860A4D"/>
    <w:rsid w:val="4F895E47"/>
    <w:rsid w:val="4F8E64B1"/>
    <w:rsid w:val="4FA47125"/>
    <w:rsid w:val="4FC60261"/>
    <w:rsid w:val="4FC74BC1"/>
    <w:rsid w:val="4FD86DCF"/>
    <w:rsid w:val="4FD95020"/>
    <w:rsid w:val="4FE64D5A"/>
    <w:rsid w:val="4FF35B56"/>
    <w:rsid w:val="4FF67AFB"/>
    <w:rsid w:val="4FF96D27"/>
    <w:rsid w:val="50067498"/>
    <w:rsid w:val="50175C6E"/>
    <w:rsid w:val="502901B8"/>
    <w:rsid w:val="502B6476"/>
    <w:rsid w:val="503633BC"/>
    <w:rsid w:val="50564473"/>
    <w:rsid w:val="506174DA"/>
    <w:rsid w:val="50660DE9"/>
    <w:rsid w:val="50661E70"/>
    <w:rsid w:val="50A32F39"/>
    <w:rsid w:val="50A57394"/>
    <w:rsid w:val="50A86781"/>
    <w:rsid w:val="50BD3647"/>
    <w:rsid w:val="50C80C4C"/>
    <w:rsid w:val="50CF199F"/>
    <w:rsid w:val="50DD28EE"/>
    <w:rsid w:val="50E277C4"/>
    <w:rsid w:val="50F2034F"/>
    <w:rsid w:val="51112598"/>
    <w:rsid w:val="51601EA1"/>
    <w:rsid w:val="51736DAF"/>
    <w:rsid w:val="51A1768C"/>
    <w:rsid w:val="51B122AB"/>
    <w:rsid w:val="51C84229"/>
    <w:rsid w:val="51CE6421"/>
    <w:rsid w:val="51DF2696"/>
    <w:rsid w:val="51E25299"/>
    <w:rsid w:val="51EB168C"/>
    <w:rsid w:val="51EF0FDE"/>
    <w:rsid w:val="51F779E0"/>
    <w:rsid w:val="51FC2209"/>
    <w:rsid w:val="52086F9A"/>
    <w:rsid w:val="523A5B3F"/>
    <w:rsid w:val="523C3645"/>
    <w:rsid w:val="52505342"/>
    <w:rsid w:val="525560D4"/>
    <w:rsid w:val="52582329"/>
    <w:rsid w:val="5294310F"/>
    <w:rsid w:val="52993868"/>
    <w:rsid w:val="52A370AC"/>
    <w:rsid w:val="52A90561"/>
    <w:rsid w:val="52B458D1"/>
    <w:rsid w:val="52DD3B86"/>
    <w:rsid w:val="52DE0DE1"/>
    <w:rsid w:val="52E37F64"/>
    <w:rsid w:val="52E657E9"/>
    <w:rsid w:val="52FB5040"/>
    <w:rsid w:val="52FD5144"/>
    <w:rsid w:val="53013A3B"/>
    <w:rsid w:val="530421BA"/>
    <w:rsid w:val="53061753"/>
    <w:rsid w:val="53307F3E"/>
    <w:rsid w:val="53426E82"/>
    <w:rsid w:val="534558E3"/>
    <w:rsid w:val="534D60B9"/>
    <w:rsid w:val="534E34DD"/>
    <w:rsid w:val="53500453"/>
    <w:rsid w:val="535A067F"/>
    <w:rsid w:val="535B5D4C"/>
    <w:rsid w:val="538330A5"/>
    <w:rsid w:val="53947B89"/>
    <w:rsid w:val="539C13A0"/>
    <w:rsid w:val="53C34B56"/>
    <w:rsid w:val="53EF2767"/>
    <w:rsid w:val="5402441A"/>
    <w:rsid w:val="54134D92"/>
    <w:rsid w:val="54290B1F"/>
    <w:rsid w:val="543638C0"/>
    <w:rsid w:val="543A1E06"/>
    <w:rsid w:val="543E2F2F"/>
    <w:rsid w:val="544607AB"/>
    <w:rsid w:val="54461AD3"/>
    <w:rsid w:val="545C1D7C"/>
    <w:rsid w:val="5463310B"/>
    <w:rsid w:val="54813591"/>
    <w:rsid w:val="548E0FA2"/>
    <w:rsid w:val="549534E0"/>
    <w:rsid w:val="549A5EE9"/>
    <w:rsid w:val="54BC0A6D"/>
    <w:rsid w:val="54C0055D"/>
    <w:rsid w:val="54C9431E"/>
    <w:rsid w:val="54F4202D"/>
    <w:rsid w:val="54FC6190"/>
    <w:rsid w:val="55023DF2"/>
    <w:rsid w:val="550565D4"/>
    <w:rsid w:val="551E08BC"/>
    <w:rsid w:val="55210BC2"/>
    <w:rsid w:val="552E31B7"/>
    <w:rsid w:val="55426A08"/>
    <w:rsid w:val="55472A2C"/>
    <w:rsid w:val="554C0BA9"/>
    <w:rsid w:val="554E2794"/>
    <w:rsid w:val="5568105C"/>
    <w:rsid w:val="557C08CC"/>
    <w:rsid w:val="557C6727"/>
    <w:rsid w:val="559C64A6"/>
    <w:rsid w:val="55A167FB"/>
    <w:rsid w:val="55BE25C3"/>
    <w:rsid w:val="55DD3B8F"/>
    <w:rsid w:val="561E055B"/>
    <w:rsid w:val="5633291A"/>
    <w:rsid w:val="563C00B7"/>
    <w:rsid w:val="56487932"/>
    <w:rsid w:val="56925F29"/>
    <w:rsid w:val="56A209B3"/>
    <w:rsid w:val="56AC5DE0"/>
    <w:rsid w:val="56B10078"/>
    <w:rsid w:val="56B46D6B"/>
    <w:rsid w:val="56C105B6"/>
    <w:rsid w:val="56DF1104"/>
    <w:rsid w:val="56E435A4"/>
    <w:rsid w:val="570F30D6"/>
    <w:rsid w:val="571E77BD"/>
    <w:rsid w:val="57396B1E"/>
    <w:rsid w:val="57457F69"/>
    <w:rsid w:val="574C432A"/>
    <w:rsid w:val="57500559"/>
    <w:rsid w:val="576A0140"/>
    <w:rsid w:val="576C02E9"/>
    <w:rsid w:val="576F120B"/>
    <w:rsid w:val="579251E4"/>
    <w:rsid w:val="57A203EE"/>
    <w:rsid w:val="57B87779"/>
    <w:rsid w:val="57CE0AAF"/>
    <w:rsid w:val="57D00194"/>
    <w:rsid w:val="57D60E64"/>
    <w:rsid w:val="57DD29A9"/>
    <w:rsid w:val="57DE0CFA"/>
    <w:rsid w:val="57EC1C0A"/>
    <w:rsid w:val="57EF2F07"/>
    <w:rsid w:val="57F47A5E"/>
    <w:rsid w:val="57F73759"/>
    <w:rsid w:val="5805436F"/>
    <w:rsid w:val="581B28A4"/>
    <w:rsid w:val="58256929"/>
    <w:rsid w:val="58296382"/>
    <w:rsid w:val="586955B3"/>
    <w:rsid w:val="5878714E"/>
    <w:rsid w:val="58797CA9"/>
    <w:rsid w:val="5881600E"/>
    <w:rsid w:val="58835EAB"/>
    <w:rsid w:val="58845D9B"/>
    <w:rsid w:val="588673C8"/>
    <w:rsid w:val="58B303D9"/>
    <w:rsid w:val="58B71C77"/>
    <w:rsid w:val="58BB529D"/>
    <w:rsid w:val="58CC5105"/>
    <w:rsid w:val="58CD7840"/>
    <w:rsid w:val="58D94CD9"/>
    <w:rsid w:val="58DC7F4D"/>
    <w:rsid w:val="58EB7B73"/>
    <w:rsid w:val="59095948"/>
    <w:rsid w:val="59154BEF"/>
    <w:rsid w:val="591B58C0"/>
    <w:rsid w:val="59204F48"/>
    <w:rsid w:val="59210FA5"/>
    <w:rsid w:val="59234ECA"/>
    <w:rsid w:val="592B7BAA"/>
    <w:rsid w:val="5943350B"/>
    <w:rsid w:val="5943677E"/>
    <w:rsid w:val="594C3C0B"/>
    <w:rsid w:val="59541E08"/>
    <w:rsid w:val="595D3DAB"/>
    <w:rsid w:val="5966475D"/>
    <w:rsid w:val="59834A43"/>
    <w:rsid w:val="59840B1E"/>
    <w:rsid w:val="59891EB3"/>
    <w:rsid w:val="59A013B4"/>
    <w:rsid w:val="59B94D9F"/>
    <w:rsid w:val="59C15F6D"/>
    <w:rsid w:val="59D83F5E"/>
    <w:rsid w:val="59E204C4"/>
    <w:rsid w:val="59F86F12"/>
    <w:rsid w:val="5A05630E"/>
    <w:rsid w:val="5A1F3CE5"/>
    <w:rsid w:val="5A6C2FC9"/>
    <w:rsid w:val="5A6D3BE8"/>
    <w:rsid w:val="5A741170"/>
    <w:rsid w:val="5A753BEA"/>
    <w:rsid w:val="5A763D56"/>
    <w:rsid w:val="5A8123CD"/>
    <w:rsid w:val="5A822399"/>
    <w:rsid w:val="5A8E6A07"/>
    <w:rsid w:val="5A932270"/>
    <w:rsid w:val="5A93401E"/>
    <w:rsid w:val="5AA9097C"/>
    <w:rsid w:val="5AB02E22"/>
    <w:rsid w:val="5ABA5A4E"/>
    <w:rsid w:val="5AC16640"/>
    <w:rsid w:val="5ACF44C9"/>
    <w:rsid w:val="5AD05272"/>
    <w:rsid w:val="5AE00395"/>
    <w:rsid w:val="5AED2094"/>
    <w:rsid w:val="5AF251E8"/>
    <w:rsid w:val="5AF3000A"/>
    <w:rsid w:val="5AFB5EB9"/>
    <w:rsid w:val="5AFD593B"/>
    <w:rsid w:val="5B011702"/>
    <w:rsid w:val="5B081542"/>
    <w:rsid w:val="5B0D2022"/>
    <w:rsid w:val="5B157129"/>
    <w:rsid w:val="5B2A44B1"/>
    <w:rsid w:val="5B2E3EE9"/>
    <w:rsid w:val="5B6B6D49"/>
    <w:rsid w:val="5B767BC7"/>
    <w:rsid w:val="5B7F45A2"/>
    <w:rsid w:val="5B8B1196"/>
    <w:rsid w:val="5BB10BFF"/>
    <w:rsid w:val="5BB406F0"/>
    <w:rsid w:val="5BBB7CD0"/>
    <w:rsid w:val="5BC56C4F"/>
    <w:rsid w:val="5BCA019E"/>
    <w:rsid w:val="5BDB3ECE"/>
    <w:rsid w:val="5BDF1BE1"/>
    <w:rsid w:val="5BEA4111"/>
    <w:rsid w:val="5BFF437E"/>
    <w:rsid w:val="5C3D2CF7"/>
    <w:rsid w:val="5C49575C"/>
    <w:rsid w:val="5C4E59E6"/>
    <w:rsid w:val="5C556B56"/>
    <w:rsid w:val="5C5D6574"/>
    <w:rsid w:val="5C6F0602"/>
    <w:rsid w:val="5C8D77D5"/>
    <w:rsid w:val="5C9108EC"/>
    <w:rsid w:val="5C9934D4"/>
    <w:rsid w:val="5CA85C63"/>
    <w:rsid w:val="5CCA2CE3"/>
    <w:rsid w:val="5CD10E2D"/>
    <w:rsid w:val="5CE4226F"/>
    <w:rsid w:val="5D142D74"/>
    <w:rsid w:val="5D1B03DF"/>
    <w:rsid w:val="5D2126DD"/>
    <w:rsid w:val="5D215608"/>
    <w:rsid w:val="5D316B4B"/>
    <w:rsid w:val="5D3929B6"/>
    <w:rsid w:val="5D4C593F"/>
    <w:rsid w:val="5D6049FD"/>
    <w:rsid w:val="5D6B3030"/>
    <w:rsid w:val="5D6C71EA"/>
    <w:rsid w:val="5D704AEA"/>
    <w:rsid w:val="5D8F4A9F"/>
    <w:rsid w:val="5D926D65"/>
    <w:rsid w:val="5D9641A3"/>
    <w:rsid w:val="5DB06C95"/>
    <w:rsid w:val="5DB26B6E"/>
    <w:rsid w:val="5DBE7604"/>
    <w:rsid w:val="5DDC6327"/>
    <w:rsid w:val="5DDE5ADB"/>
    <w:rsid w:val="5DE93F98"/>
    <w:rsid w:val="5DFD38D9"/>
    <w:rsid w:val="5E0115B6"/>
    <w:rsid w:val="5E087E8B"/>
    <w:rsid w:val="5E102730"/>
    <w:rsid w:val="5E225DE5"/>
    <w:rsid w:val="5E36221D"/>
    <w:rsid w:val="5E373780"/>
    <w:rsid w:val="5E3C4107"/>
    <w:rsid w:val="5E4D0988"/>
    <w:rsid w:val="5E6006BB"/>
    <w:rsid w:val="5E7537A3"/>
    <w:rsid w:val="5E783C56"/>
    <w:rsid w:val="5E8C756F"/>
    <w:rsid w:val="5E9640DD"/>
    <w:rsid w:val="5EA22243"/>
    <w:rsid w:val="5ECC7AFE"/>
    <w:rsid w:val="5EF74406"/>
    <w:rsid w:val="5EF91CCF"/>
    <w:rsid w:val="5F0D61FF"/>
    <w:rsid w:val="5F1132C6"/>
    <w:rsid w:val="5F1576F7"/>
    <w:rsid w:val="5F247AFE"/>
    <w:rsid w:val="5F266F23"/>
    <w:rsid w:val="5F2E144B"/>
    <w:rsid w:val="5F36141C"/>
    <w:rsid w:val="5F3833E6"/>
    <w:rsid w:val="5F3C0F79"/>
    <w:rsid w:val="5F4B1DFD"/>
    <w:rsid w:val="5F50072F"/>
    <w:rsid w:val="5F5256CF"/>
    <w:rsid w:val="5F595338"/>
    <w:rsid w:val="5F620781"/>
    <w:rsid w:val="5F681FCF"/>
    <w:rsid w:val="5F6D308F"/>
    <w:rsid w:val="5F7408C2"/>
    <w:rsid w:val="5F857143"/>
    <w:rsid w:val="5F926F9A"/>
    <w:rsid w:val="5F97635E"/>
    <w:rsid w:val="5FAD0A58"/>
    <w:rsid w:val="5FAD7930"/>
    <w:rsid w:val="5FC44F0A"/>
    <w:rsid w:val="5FE84E0C"/>
    <w:rsid w:val="5FF52005"/>
    <w:rsid w:val="5FFC0099"/>
    <w:rsid w:val="5FFD728A"/>
    <w:rsid w:val="5FFE1493"/>
    <w:rsid w:val="60024EDF"/>
    <w:rsid w:val="60035826"/>
    <w:rsid w:val="60172C8E"/>
    <w:rsid w:val="602C4435"/>
    <w:rsid w:val="60305F12"/>
    <w:rsid w:val="6037544B"/>
    <w:rsid w:val="60387845"/>
    <w:rsid w:val="603B4F3C"/>
    <w:rsid w:val="604858AA"/>
    <w:rsid w:val="604D7821"/>
    <w:rsid w:val="60510E15"/>
    <w:rsid w:val="605152E5"/>
    <w:rsid w:val="60612463"/>
    <w:rsid w:val="60673F83"/>
    <w:rsid w:val="6070184B"/>
    <w:rsid w:val="607B3016"/>
    <w:rsid w:val="60826C80"/>
    <w:rsid w:val="60985E9A"/>
    <w:rsid w:val="60990CA7"/>
    <w:rsid w:val="60BA0BCA"/>
    <w:rsid w:val="60C110F2"/>
    <w:rsid w:val="60CB2763"/>
    <w:rsid w:val="60D842A5"/>
    <w:rsid w:val="60EB3387"/>
    <w:rsid w:val="60F021CA"/>
    <w:rsid w:val="60F375C4"/>
    <w:rsid w:val="61204131"/>
    <w:rsid w:val="61291238"/>
    <w:rsid w:val="612A2C59"/>
    <w:rsid w:val="614921AA"/>
    <w:rsid w:val="614B38A4"/>
    <w:rsid w:val="614C5F5A"/>
    <w:rsid w:val="6161292D"/>
    <w:rsid w:val="61675733"/>
    <w:rsid w:val="61695AD8"/>
    <w:rsid w:val="616C7636"/>
    <w:rsid w:val="618E3791"/>
    <w:rsid w:val="61970A79"/>
    <w:rsid w:val="619F4436"/>
    <w:rsid w:val="61A13DAA"/>
    <w:rsid w:val="61A42FB4"/>
    <w:rsid w:val="61B431F8"/>
    <w:rsid w:val="61B62255"/>
    <w:rsid w:val="61C15914"/>
    <w:rsid w:val="61E34130"/>
    <w:rsid w:val="61EC768B"/>
    <w:rsid w:val="61ED04B8"/>
    <w:rsid w:val="62031A89"/>
    <w:rsid w:val="621F0147"/>
    <w:rsid w:val="624971CC"/>
    <w:rsid w:val="625C3F01"/>
    <w:rsid w:val="628B200E"/>
    <w:rsid w:val="62D1754A"/>
    <w:rsid w:val="62D9728D"/>
    <w:rsid w:val="62EE2739"/>
    <w:rsid w:val="62FF09F6"/>
    <w:rsid w:val="63065CD5"/>
    <w:rsid w:val="630D0026"/>
    <w:rsid w:val="63193D8E"/>
    <w:rsid w:val="631F51C0"/>
    <w:rsid w:val="633F11E7"/>
    <w:rsid w:val="6346272E"/>
    <w:rsid w:val="63554566"/>
    <w:rsid w:val="63604CB9"/>
    <w:rsid w:val="636369C4"/>
    <w:rsid w:val="63755EBC"/>
    <w:rsid w:val="6377558D"/>
    <w:rsid w:val="63CA383F"/>
    <w:rsid w:val="63D86F45"/>
    <w:rsid w:val="63E00A4B"/>
    <w:rsid w:val="63E776F7"/>
    <w:rsid w:val="63EB73BE"/>
    <w:rsid w:val="640E5131"/>
    <w:rsid w:val="641F343C"/>
    <w:rsid w:val="642D505E"/>
    <w:rsid w:val="642F3009"/>
    <w:rsid w:val="64353881"/>
    <w:rsid w:val="6445282D"/>
    <w:rsid w:val="644E4B1D"/>
    <w:rsid w:val="645C048C"/>
    <w:rsid w:val="64634A61"/>
    <w:rsid w:val="646959A3"/>
    <w:rsid w:val="646C19F5"/>
    <w:rsid w:val="64702BA8"/>
    <w:rsid w:val="647E7AED"/>
    <w:rsid w:val="647F2228"/>
    <w:rsid w:val="648669A1"/>
    <w:rsid w:val="64A357A5"/>
    <w:rsid w:val="64AA7A10"/>
    <w:rsid w:val="64C50A15"/>
    <w:rsid w:val="64D2529B"/>
    <w:rsid w:val="64D414E2"/>
    <w:rsid w:val="64FF525C"/>
    <w:rsid w:val="650F4BE9"/>
    <w:rsid w:val="65110961"/>
    <w:rsid w:val="65130235"/>
    <w:rsid w:val="651D7774"/>
    <w:rsid w:val="65216FBD"/>
    <w:rsid w:val="65256EAA"/>
    <w:rsid w:val="653552FA"/>
    <w:rsid w:val="6537227D"/>
    <w:rsid w:val="65465867"/>
    <w:rsid w:val="655F0FD4"/>
    <w:rsid w:val="656377C9"/>
    <w:rsid w:val="656C745D"/>
    <w:rsid w:val="657F444F"/>
    <w:rsid w:val="65E120E1"/>
    <w:rsid w:val="65E676F8"/>
    <w:rsid w:val="65EE590B"/>
    <w:rsid w:val="66065FEC"/>
    <w:rsid w:val="660D3C09"/>
    <w:rsid w:val="6619089C"/>
    <w:rsid w:val="662950F8"/>
    <w:rsid w:val="662A0B2A"/>
    <w:rsid w:val="664553C1"/>
    <w:rsid w:val="66495ED8"/>
    <w:rsid w:val="664D7777"/>
    <w:rsid w:val="66583F8C"/>
    <w:rsid w:val="66A01F9C"/>
    <w:rsid w:val="66BD4D07"/>
    <w:rsid w:val="66DD6F3D"/>
    <w:rsid w:val="670904C3"/>
    <w:rsid w:val="6737274E"/>
    <w:rsid w:val="673E5445"/>
    <w:rsid w:val="67646976"/>
    <w:rsid w:val="676C3A08"/>
    <w:rsid w:val="67852F40"/>
    <w:rsid w:val="67912388"/>
    <w:rsid w:val="67B007D0"/>
    <w:rsid w:val="67B657F0"/>
    <w:rsid w:val="67BA56E4"/>
    <w:rsid w:val="67BD413A"/>
    <w:rsid w:val="67C972D1"/>
    <w:rsid w:val="67CA3880"/>
    <w:rsid w:val="67EE6E63"/>
    <w:rsid w:val="67FA1B80"/>
    <w:rsid w:val="680058A5"/>
    <w:rsid w:val="68175200"/>
    <w:rsid w:val="6817628E"/>
    <w:rsid w:val="681C5653"/>
    <w:rsid w:val="681E541D"/>
    <w:rsid w:val="68346C86"/>
    <w:rsid w:val="68597581"/>
    <w:rsid w:val="686C69B8"/>
    <w:rsid w:val="686F04C8"/>
    <w:rsid w:val="6876296E"/>
    <w:rsid w:val="688277EF"/>
    <w:rsid w:val="6897117D"/>
    <w:rsid w:val="689D1AB8"/>
    <w:rsid w:val="689D41B3"/>
    <w:rsid w:val="68A80483"/>
    <w:rsid w:val="68CC2AF4"/>
    <w:rsid w:val="68D95F14"/>
    <w:rsid w:val="68DA686F"/>
    <w:rsid w:val="68E97798"/>
    <w:rsid w:val="68EB6911"/>
    <w:rsid w:val="69101FC1"/>
    <w:rsid w:val="691A2D16"/>
    <w:rsid w:val="69356ED2"/>
    <w:rsid w:val="693C4BE9"/>
    <w:rsid w:val="69401815"/>
    <w:rsid w:val="695174FF"/>
    <w:rsid w:val="695426C5"/>
    <w:rsid w:val="69752D81"/>
    <w:rsid w:val="698931BC"/>
    <w:rsid w:val="6989676C"/>
    <w:rsid w:val="699D27C3"/>
    <w:rsid w:val="69A433E0"/>
    <w:rsid w:val="69AE49D0"/>
    <w:rsid w:val="69B35661"/>
    <w:rsid w:val="69C9662A"/>
    <w:rsid w:val="69D837FB"/>
    <w:rsid w:val="69D87C9F"/>
    <w:rsid w:val="69E057C4"/>
    <w:rsid w:val="69E94088"/>
    <w:rsid w:val="69EE5696"/>
    <w:rsid w:val="69F50851"/>
    <w:rsid w:val="69F93160"/>
    <w:rsid w:val="69FA5E67"/>
    <w:rsid w:val="6A097E59"/>
    <w:rsid w:val="6A332318"/>
    <w:rsid w:val="6A3603E2"/>
    <w:rsid w:val="6A4B0471"/>
    <w:rsid w:val="6A651E9E"/>
    <w:rsid w:val="6A65568E"/>
    <w:rsid w:val="6A6C412A"/>
    <w:rsid w:val="6A843983"/>
    <w:rsid w:val="6A9A589E"/>
    <w:rsid w:val="6AB66D3A"/>
    <w:rsid w:val="6ABA73A5"/>
    <w:rsid w:val="6ACF2B94"/>
    <w:rsid w:val="6ADA17F5"/>
    <w:rsid w:val="6AE07795"/>
    <w:rsid w:val="6B171F35"/>
    <w:rsid w:val="6B2D401B"/>
    <w:rsid w:val="6B315226"/>
    <w:rsid w:val="6B594E10"/>
    <w:rsid w:val="6B673089"/>
    <w:rsid w:val="6B7C62E5"/>
    <w:rsid w:val="6B8726D2"/>
    <w:rsid w:val="6B966935"/>
    <w:rsid w:val="6BAA566B"/>
    <w:rsid w:val="6BB16AFE"/>
    <w:rsid w:val="6BB9504A"/>
    <w:rsid w:val="6BC03C34"/>
    <w:rsid w:val="6BC71D79"/>
    <w:rsid w:val="6BD44496"/>
    <w:rsid w:val="6BD562A1"/>
    <w:rsid w:val="6BEB4F4D"/>
    <w:rsid w:val="6BEF1E36"/>
    <w:rsid w:val="6BF1530E"/>
    <w:rsid w:val="6BF608B1"/>
    <w:rsid w:val="6C1D408F"/>
    <w:rsid w:val="6C271AD6"/>
    <w:rsid w:val="6C354562"/>
    <w:rsid w:val="6C440309"/>
    <w:rsid w:val="6C5A0E3F"/>
    <w:rsid w:val="6C5C5A7E"/>
    <w:rsid w:val="6C635F46"/>
    <w:rsid w:val="6C6664E4"/>
    <w:rsid w:val="6C68355C"/>
    <w:rsid w:val="6C781A09"/>
    <w:rsid w:val="6C7E1F41"/>
    <w:rsid w:val="6C832144"/>
    <w:rsid w:val="6C8769E4"/>
    <w:rsid w:val="6C9205D9"/>
    <w:rsid w:val="6CAA3759"/>
    <w:rsid w:val="6CAB665B"/>
    <w:rsid w:val="6CC47E5A"/>
    <w:rsid w:val="6CC736FB"/>
    <w:rsid w:val="6CC747E5"/>
    <w:rsid w:val="6CD81D64"/>
    <w:rsid w:val="6CF1403B"/>
    <w:rsid w:val="6D0B4738"/>
    <w:rsid w:val="6D0F1C2A"/>
    <w:rsid w:val="6D2360BD"/>
    <w:rsid w:val="6D2531FB"/>
    <w:rsid w:val="6D265E01"/>
    <w:rsid w:val="6D413DAD"/>
    <w:rsid w:val="6D73410A"/>
    <w:rsid w:val="6D820C4D"/>
    <w:rsid w:val="6D8F706F"/>
    <w:rsid w:val="6DA9092F"/>
    <w:rsid w:val="6DEE7A91"/>
    <w:rsid w:val="6DF64253"/>
    <w:rsid w:val="6DFF70B6"/>
    <w:rsid w:val="6E0252EB"/>
    <w:rsid w:val="6E0B73CB"/>
    <w:rsid w:val="6E1119D2"/>
    <w:rsid w:val="6E352852"/>
    <w:rsid w:val="6E3F653F"/>
    <w:rsid w:val="6E562FDE"/>
    <w:rsid w:val="6E5A5127"/>
    <w:rsid w:val="6E66587A"/>
    <w:rsid w:val="6E71421E"/>
    <w:rsid w:val="6E723F57"/>
    <w:rsid w:val="6E815015"/>
    <w:rsid w:val="6EC151A6"/>
    <w:rsid w:val="6EC24A7A"/>
    <w:rsid w:val="6EC66036"/>
    <w:rsid w:val="6ED17667"/>
    <w:rsid w:val="6ED84BE7"/>
    <w:rsid w:val="6EEE06C9"/>
    <w:rsid w:val="6EF822A2"/>
    <w:rsid w:val="6F12155D"/>
    <w:rsid w:val="6F2A4AF9"/>
    <w:rsid w:val="6F364044"/>
    <w:rsid w:val="6F5558EE"/>
    <w:rsid w:val="6F655550"/>
    <w:rsid w:val="6F7057EC"/>
    <w:rsid w:val="6F8919DB"/>
    <w:rsid w:val="6FA11EB8"/>
    <w:rsid w:val="6FA86872"/>
    <w:rsid w:val="6FAE6EA9"/>
    <w:rsid w:val="6FB65CD3"/>
    <w:rsid w:val="6FC036A4"/>
    <w:rsid w:val="6FC443D5"/>
    <w:rsid w:val="6FE30867"/>
    <w:rsid w:val="6FE86762"/>
    <w:rsid w:val="6FFE718C"/>
    <w:rsid w:val="70082960"/>
    <w:rsid w:val="70256A72"/>
    <w:rsid w:val="702E3465"/>
    <w:rsid w:val="702E6CA0"/>
    <w:rsid w:val="702F7280"/>
    <w:rsid w:val="70473489"/>
    <w:rsid w:val="704C4F43"/>
    <w:rsid w:val="706978A3"/>
    <w:rsid w:val="70A82C64"/>
    <w:rsid w:val="70B054D2"/>
    <w:rsid w:val="70C1148D"/>
    <w:rsid w:val="70C615D7"/>
    <w:rsid w:val="70D8212E"/>
    <w:rsid w:val="70DA254F"/>
    <w:rsid w:val="70DC62B8"/>
    <w:rsid w:val="70E4170B"/>
    <w:rsid w:val="70E75A48"/>
    <w:rsid w:val="70ED2352"/>
    <w:rsid w:val="70EE1B56"/>
    <w:rsid w:val="710650F2"/>
    <w:rsid w:val="711D243B"/>
    <w:rsid w:val="711F2EC6"/>
    <w:rsid w:val="7146408D"/>
    <w:rsid w:val="715A132F"/>
    <w:rsid w:val="71713B7E"/>
    <w:rsid w:val="717A1E6F"/>
    <w:rsid w:val="717E2EDA"/>
    <w:rsid w:val="718450C3"/>
    <w:rsid w:val="71AD37BF"/>
    <w:rsid w:val="71B135F8"/>
    <w:rsid w:val="71CE09AC"/>
    <w:rsid w:val="71CF3B70"/>
    <w:rsid w:val="71D93C75"/>
    <w:rsid w:val="71DA51AC"/>
    <w:rsid w:val="71E573FD"/>
    <w:rsid w:val="71F5138A"/>
    <w:rsid w:val="720307B4"/>
    <w:rsid w:val="721750DD"/>
    <w:rsid w:val="72361A07"/>
    <w:rsid w:val="724C54C4"/>
    <w:rsid w:val="725074CA"/>
    <w:rsid w:val="7287571C"/>
    <w:rsid w:val="72893053"/>
    <w:rsid w:val="7289422C"/>
    <w:rsid w:val="72AE77EF"/>
    <w:rsid w:val="72B1794F"/>
    <w:rsid w:val="72C467E9"/>
    <w:rsid w:val="72CA2102"/>
    <w:rsid w:val="72CC09B5"/>
    <w:rsid w:val="72D03C09"/>
    <w:rsid w:val="72D2478B"/>
    <w:rsid w:val="72FC67AC"/>
    <w:rsid w:val="730E028E"/>
    <w:rsid w:val="73154211"/>
    <w:rsid w:val="731F06ED"/>
    <w:rsid w:val="73233CC3"/>
    <w:rsid w:val="73562716"/>
    <w:rsid w:val="73563369"/>
    <w:rsid w:val="736C3B18"/>
    <w:rsid w:val="738513F9"/>
    <w:rsid w:val="73902F65"/>
    <w:rsid w:val="739667AE"/>
    <w:rsid w:val="739A7DBC"/>
    <w:rsid w:val="73C37B3A"/>
    <w:rsid w:val="73D74B24"/>
    <w:rsid w:val="73DD79E2"/>
    <w:rsid w:val="740021F6"/>
    <w:rsid w:val="741E4526"/>
    <w:rsid w:val="745B7503"/>
    <w:rsid w:val="74716D26"/>
    <w:rsid w:val="74842EFD"/>
    <w:rsid w:val="749F1AE5"/>
    <w:rsid w:val="74B27FFC"/>
    <w:rsid w:val="74B310ED"/>
    <w:rsid w:val="74CE0A91"/>
    <w:rsid w:val="74D80B53"/>
    <w:rsid w:val="74EA0887"/>
    <w:rsid w:val="74EB4D2A"/>
    <w:rsid w:val="74F76CC5"/>
    <w:rsid w:val="74FA4B59"/>
    <w:rsid w:val="75103F83"/>
    <w:rsid w:val="751C35F6"/>
    <w:rsid w:val="75312CD9"/>
    <w:rsid w:val="75412B9C"/>
    <w:rsid w:val="75480616"/>
    <w:rsid w:val="755C1621"/>
    <w:rsid w:val="75696511"/>
    <w:rsid w:val="75787FC9"/>
    <w:rsid w:val="7579027F"/>
    <w:rsid w:val="758C63E9"/>
    <w:rsid w:val="75925C60"/>
    <w:rsid w:val="75A6462A"/>
    <w:rsid w:val="75B136A4"/>
    <w:rsid w:val="75B55338"/>
    <w:rsid w:val="75BA5E27"/>
    <w:rsid w:val="75C07904"/>
    <w:rsid w:val="75EA4FE2"/>
    <w:rsid w:val="75F45E61"/>
    <w:rsid w:val="75F75951"/>
    <w:rsid w:val="761E4C8C"/>
    <w:rsid w:val="76293A1D"/>
    <w:rsid w:val="763059B4"/>
    <w:rsid w:val="76323D0E"/>
    <w:rsid w:val="763E0C8B"/>
    <w:rsid w:val="763E532E"/>
    <w:rsid w:val="76426BCC"/>
    <w:rsid w:val="7668604C"/>
    <w:rsid w:val="76844875"/>
    <w:rsid w:val="76870A83"/>
    <w:rsid w:val="76927701"/>
    <w:rsid w:val="76972029"/>
    <w:rsid w:val="769A2FB0"/>
    <w:rsid w:val="76C75323"/>
    <w:rsid w:val="76C770D1"/>
    <w:rsid w:val="76CD20EF"/>
    <w:rsid w:val="76D4359C"/>
    <w:rsid w:val="76DD707F"/>
    <w:rsid w:val="76DE48C7"/>
    <w:rsid w:val="76E012A8"/>
    <w:rsid w:val="76E61D7C"/>
    <w:rsid w:val="76EC08E6"/>
    <w:rsid w:val="77087DEA"/>
    <w:rsid w:val="770B16B4"/>
    <w:rsid w:val="770E6AAE"/>
    <w:rsid w:val="771B10B2"/>
    <w:rsid w:val="77324E93"/>
    <w:rsid w:val="77347394"/>
    <w:rsid w:val="77405BD7"/>
    <w:rsid w:val="77707769"/>
    <w:rsid w:val="7771703D"/>
    <w:rsid w:val="77814308"/>
    <w:rsid w:val="778A680B"/>
    <w:rsid w:val="77A065D1"/>
    <w:rsid w:val="77B45926"/>
    <w:rsid w:val="77B91110"/>
    <w:rsid w:val="77C655DB"/>
    <w:rsid w:val="77C94015"/>
    <w:rsid w:val="77D24D10"/>
    <w:rsid w:val="77DA29A3"/>
    <w:rsid w:val="77E45A61"/>
    <w:rsid w:val="7802749A"/>
    <w:rsid w:val="7807661F"/>
    <w:rsid w:val="78114957"/>
    <w:rsid w:val="782567A5"/>
    <w:rsid w:val="783562BD"/>
    <w:rsid w:val="783F4B9C"/>
    <w:rsid w:val="78572DE9"/>
    <w:rsid w:val="785B050C"/>
    <w:rsid w:val="78677C2F"/>
    <w:rsid w:val="786A3427"/>
    <w:rsid w:val="78741052"/>
    <w:rsid w:val="7883171E"/>
    <w:rsid w:val="789D3685"/>
    <w:rsid w:val="78AC2EA9"/>
    <w:rsid w:val="78C316A9"/>
    <w:rsid w:val="78E36EC8"/>
    <w:rsid w:val="78E818E5"/>
    <w:rsid w:val="78EE0F59"/>
    <w:rsid w:val="78F426B9"/>
    <w:rsid w:val="79004B1D"/>
    <w:rsid w:val="792316FC"/>
    <w:rsid w:val="793547C6"/>
    <w:rsid w:val="794A09E1"/>
    <w:rsid w:val="794D0DBA"/>
    <w:rsid w:val="795D5278"/>
    <w:rsid w:val="7973709D"/>
    <w:rsid w:val="797F60D5"/>
    <w:rsid w:val="79856DD0"/>
    <w:rsid w:val="799139C7"/>
    <w:rsid w:val="79915775"/>
    <w:rsid w:val="7997722F"/>
    <w:rsid w:val="79A656C4"/>
    <w:rsid w:val="79AC66B8"/>
    <w:rsid w:val="79AD0E19"/>
    <w:rsid w:val="79AD5230"/>
    <w:rsid w:val="79B96B8F"/>
    <w:rsid w:val="79C16D0A"/>
    <w:rsid w:val="7A01776A"/>
    <w:rsid w:val="7A084370"/>
    <w:rsid w:val="7A0C1900"/>
    <w:rsid w:val="7A161615"/>
    <w:rsid w:val="7A396538"/>
    <w:rsid w:val="7A434E36"/>
    <w:rsid w:val="7A456C8B"/>
    <w:rsid w:val="7A4F30DE"/>
    <w:rsid w:val="7A573234"/>
    <w:rsid w:val="7A583B2A"/>
    <w:rsid w:val="7A6115EB"/>
    <w:rsid w:val="7A6C7BE6"/>
    <w:rsid w:val="7A715CD2"/>
    <w:rsid w:val="7AB71F1E"/>
    <w:rsid w:val="7AE528A2"/>
    <w:rsid w:val="7AFE2D3C"/>
    <w:rsid w:val="7B114DBF"/>
    <w:rsid w:val="7B15411D"/>
    <w:rsid w:val="7B267E4C"/>
    <w:rsid w:val="7B290338"/>
    <w:rsid w:val="7B317854"/>
    <w:rsid w:val="7B38059E"/>
    <w:rsid w:val="7B396895"/>
    <w:rsid w:val="7B5913F5"/>
    <w:rsid w:val="7B5C26B1"/>
    <w:rsid w:val="7B5D7996"/>
    <w:rsid w:val="7B603460"/>
    <w:rsid w:val="7B926A7B"/>
    <w:rsid w:val="7BAA5E37"/>
    <w:rsid w:val="7BAE0860"/>
    <w:rsid w:val="7BD24E35"/>
    <w:rsid w:val="7BD52290"/>
    <w:rsid w:val="7BDB5C77"/>
    <w:rsid w:val="7BE23A26"/>
    <w:rsid w:val="7BEB1AB4"/>
    <w:rsid w:val="7BFB4960"/>
    <w:rsid w:val="7BFB74D3"/>
    <w:rsid w:val="7C0B3F04"/>
    <w:rsid w:val="7C150C70"/>
    <w:rsid w:val="7C190EA3"/>
    <w:rsid w:val="7C2154D6"/>
    <w:rsid w:val="7C2735F3"/>
    <w:rsid w:val="7C2D09C7"/>
    <w:rsid w:val="7C2F7BF3"/>
    <w:rsid w:val="7C3B45D7"/>
    <w:rsid w:val="7C4532C1"/>
    <w:rsid w:val="7C55517F"/>
    <w:rsid w:val="7C5F5CE1"/>
    <w:rsid w:val="7C866853"/>
    <w:rsid w:val="7C872725"/>
    <w:rsid w:val="7C8A356B"/>
    <w:rsid w:val="7C9942BF"/>
    <w:rsid w:val="7C9B19EC"/>
    <w:rsid w:val="7C9B5288"/>
    <w:rsid w:val="7CA52ABC"/>
    <w:rsid w:val="7CB0040C"/>
    <w:rsid w:val="7CDC5375"/>
    <w:rsid w:val="7CE24C65"/>
    <w:rsid w:val="7CED1034"/>
    <w:rsid w:val="7CED7166"/>
    <w:rsid w:val="7CFA06DB"/>
    <w:rsid w:val="7D0270B5"/>
    <w:rsid w:val="7D075F0E"/>
    <w:rsid w:val="7D23702C"/>
    <w:rsid w:val="7D314DAB"/>
    <w:rsid w:val="7D3846C5"/>
    <w:rsid w:val="7D3A21A4"/>
    <w:rsid w:val="7D44147C"/>
    <w:rsid w:val="7D457807"/>
    <w:rsid w:val="7D676F18"/>
    <w:rsid w:val="7D6A715F"/>
    <w:rsid w:val="7D6B16D3"/>
    <w:rsid w:val="7D790677"/>
    <w:rsid w:val="7D7F51E6"/>
    <w:rsid w:val="7D8C4E8F"/>
    <w:rsid w:val="7D9D0952"/>
    <w:rsid w:val="7DAC6A53"/>
    <w:rsid w:val="7DBA67F5"/>
    <w:rsid w:val="7DBE3DB0"/>
    <w:rsid w:val="7DEC3D81"/>
    <w:rsid w:val="7DFD3EDF"/>
    <w:rsid w:val="7DFD4A68"/>
    <w:rsid w:val="7E135469"/>
    <w:rsid w:val="7E154BC6"/>
    <w:rsid w:val="7E1C2865"/>
    <w:rsid w:val="7E272796"/>
    <w:rsid w:val="7E375C98"/>
    <w:rsid w:val="7E4454AB"/>
    <w:rsid w:val="7E54062D"/>
    <w:rsid w:val="7E7044F2"/>
    <w:rsid w:val="7E843559"/>
    <w:rsid w:val="7E8458A8"/>
    <w:rsid w:val="7E966220"/>
    <w:rsid w:val="7EBA6519"/>
    <w:rsid w:val="7EC0795C"/>
    <w:rsid w:val="7EE21250"/>
    <w:rsid w:val="7F0E0B96"/>
    <w:rsid w:val="7F1056BD"/>
    <w:rsid w:val="7F1811ED"/>
    <w:rsid w:val="7F1E662F"/>
    <w:rsid w:val="7F203823"/>
    <w:rsid w:val="7F4771C2"/>
    <w:rsid w:val="7F6B1F37"/>
    <w:rsid w:val="7F7010C3"/>
    <w:rsid w:val="7F852E04"/>
    <w:rsid w:val="7F941E61"/>
    <w:rsid w:val="7FE531A4"/>
    <w:rsid w:val="7FE64A6C"/>
    <w:rsid w:val="7FEBE8D9"/>
    <w:rsid w:val="FAFE9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99"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78"/>
    <w:qFormat/>
    <w:uiPriority w:val="0"/>
    <w:pPr>
      <w:keepNext/>
      <w:jc w:val="center"/>
      <w:outlineLvl w:val="0"/>
    </w:pPr>
    <w:rPr>
      <w:rFonts w:ascii="楷体_GB2312" w:hAnsi="Tahoma" w:eastAsia="楷体_GB2312"/>
      <w:b/>
      <w:bCs/>
    </w:rPr>
  </w:style>
  <w:style w:type="paragraph" w:styleId="7">
    <w:name w:val="heading 2"/>
    <w:basedOn w:val="1"/>
    <w:next w:val="1"/>
    <w:link w:val="83"/>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120"/>
    <w:qFormat/>
    <w:uiPriority w:val="0"/>
    <w:pPr>
      <w:keepNext/>
      <w:keepLines/>
      <w:spacing w:before="260" w:after="260" w:line="415" w:lineRule="auto"/>
      <w:outlineLvl w:val="2"/>
    </w:pPr>
    <w:rPr>
      <w:b/>
      <w:bCs/>
      <w:sz w:val="32"/>
      <w:szCs w:val="32"/>
    </w:rPr>
  </w:style>
  <w:style w:type="paragraph" w:styleId="9">
    <w:name w:val="heading 4"/>
    <w:basedOn w:val="1"/>
    <w:next w:val="1"/>
    <w:link w:val="223"/>
    <w:qFormat/>
    <w:uiPriority w:val="0"/>
    <w:pPr>
      <w:keepNext/>
      <w:keepLines/>
      <w:spacing w:before="280" w:after="290" w:line="372" w:lineRule="auto"/>
      <w:outlineLvl w:val="3"/>
    </w:pPr>
    <w:rPr>
      <w:rFonts w:ascii="Cambria" w:hAnsi="Cambria"/>
      <w:b/>
      <w:bCs/>
      <w:sz w:val="28"/>
      <w:szCs w:val="28"/>
    </w:rPr>
  </w:style>
  <w:style w:type="paragraph" w:styleId="10">
    <w:name w:val="heading 5"/>
    <w:basedOn w:val="1"/>
    <w:next w:val="1"/>
    <w:link w:val="238"/>
    <w:qFormat/>
    <w:uiPriority w:val="0"/>
    <w:pPr>
      <w:keepNext/>
      <w:keepLines/>
      <w:spacing w:before="280" w:after="290" w:line="372" w:lineRule="auto"/>
      <w:outlineLvl w:val="4"/>
    </w:pPr>
    <w:rPr>
      <w:rFonts w:ascii="仿宋_GB2312" w:hAnsi="Tahoma"/>
      <w:b/>
      <w:bCs/>
      <w:sz w:val="28"/>
      <w:szCs w:val="28"/>
    </w:rPr>
  </w:style>
  <w:style w:type="paragraph" w:styleId="11">
    <w:name w:val="heading 6"/>
    <w:basedOn w:val="1"/>
    <w:next w:val="1"/>
    <w:link w:val="197"/>
    <w:qFormat/>
    <w:uiPriority w:val="0"/>
    <w:pPr>
      <w:keepNext/>
      <w:keepLines/>
      <w:spacing w:before="240" w:after="64" w:line="319" w:lineRule="auto"/>
      <w:outlineLvl w:val="5"/>
    </w:pPr>
    <w:rPr>
      <w:rFonts w:ascii="Arial" w:hAnsi="Arial" w:eastAsia="黑体"/>
      <w:b/>
      <w:bCs/>
      <w:sz w:val="24"/>
    </w:rPr>
  </w:style>
  <w:style w:type="paragraph" w:styleId="12">
    <w:name w:val="heading 7"/>
    <w:basedOn w:val="1"/>
    <w:next w:val="1"/>
    <w:link w:val="227"/>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3">
    <w:name w:val="heading 8"/>
    <w:basedOn w:val="1"/>
    <w:next w:val="1"/>
    <w:link w:val="192"/>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4">
    <w:name w:val="heading 9"/>
    <w:basedOn w:val="1"/>
    <w:next w:val="1"/>
    <w:link w:val="130"/>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6">
    <w:name w:val="Default Paragraph Font"/>
    <w:semiHidden/>
    <w:unhideWhenUsed/>
    <w:qFormat/>
    <w:uiPriority w:val="1"/>
  </w:style>
  <w:style w:type="table" w:default="1" w:styleId="54">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101"/>
    <w:qFormat/>
    <w:uiPriority w:val="0"/>
    <w:pPr>
      <w:spacing w:after="120"/>
    </w:pPr>
    <w:rPr>
      <w:rFonts w:ascii="Tahoma" w:hAnsi="Tahoma"/>
    </w:rPr>
  </w:style>
  <w:style w:type="paragraph" w:styleId="3">
    <w:name w:val="Body Text First Indent"/>
    <w:basedOn w:val="2"/>
    <w:next w:val="4"/>
    <w:link w:val="226"/>
    <w:qFormat/>
    <w:uiPriority w:val="0"/>
    <w:pPr>
      <w:autoSpaceDE w:val="0"/>
      <w:autoSpaceDN w:val="0"/>
      <w:adjustRightInd w:val="0"/>
      <w:ind w:firstLine="420" w:firstLineChars="100"/>
      <w:jc w:val="left"/>
    </w:pPr>
    <w:rPr>
      <w:rFonts w:ascii="仿宋_GB2312" w:hAnsi="Calibri"/>
      <w:b/>
      <w:kern w:val="0"/>
      <w:sz w:val="32"/>
      <w:szCs w:val="32"/>
    </w:rPr>
  </w:style>
  <w:style w:type="paragraph" w:styleId="4">
    <w:name w:val="toc 6"/>
    <w:basedOn w:val="1"/>
    <w:next w:val="1"/>
    <w:qFormat/>
    <w:uiPriority w:val="39"/>
    <w:pPr>
      <w:autoSpaceDE w:val="0"/>
      <w:autoSpaceDN w:val="0"/>
      <w:adjustRightInd w:val="0"/>
      <w:ind w:left="2100" w:leftChars="1000"/>
      <w:jc w:val="left"/>
    </w:pPr>
    <w:rPr>
      <w:kern w:val="0"/>
      <w:sz w:val="20"/>
      <w:szCs w:val="20"/>
    </w:rPr>
  </w:style>
  <w:style w:type="paragraph" w:styleId="5">
    <w:name w:val="macro"/>
    <w:link w:val="189"/>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5">
    <w:name w:val="toc 7"/>
    <w:basedOn w:val="1"/>
    <w:next w:val="1"/>
    <w:qFormat/>
    <w:uiPriority w:val="39"/>
    <w:pPr>
      <w:autoSpaceDE w:val="0"/>
      <w:autoSpaceDN w:val="0"/>
      <w:adjustRightInd w:val="0"/>
      <w:ind w:left="2520" w:leftChars="1200"/>
      <w:jc w:val="left"/>
    </w:pPr>
    <w:rPr>
      <w:kern w:val="0"/>
      <w:sz w:val="20"/>
      <w:szCs w:val="20"/>
    </w:rPr>
  </w:style>
  <w:style w:type="paragraph" w:styleId="16">
    <w:name w:val="List Number"/>
    <w:basedOn w:val="1"/>
    <w:qFormat/>
    <w:uiPriority w:val="0"/>
    <w:pPr>
      <w:tabs>
        <w:tab w:val="left" w:pos="360"/>
      </w:tabs>
      <w:ind w:left="360" w:hanging="360" w:hangingChars="200"/>
    </w:pPr>
  </w:style>
  <w:style w:type="paragraph" w:styleId="17">
    <w:name w:val="Normal Indent"/>
    <w:basedOn w:val="1"/>
    <w:link w:val="132"/>
    <w:qFormat/>
    <w:uiPriority w:val="0"/>
    <w:pPr>
      <w:adjustRightInd w:val="0"/>
      <w:spacing w:line="312" w:lineRule="atLeast"/>
      <w:ind w:firstLine="420"/>
      <w:textAlignment w:val="baseline"/>
    </w:pPr>
    <w:rPr>
      <w:kern w:val="0"/>
      <w:szCs w:val="20"/>
    </w:rPr>
  </w:style>
  <w:style w:type="paragraph" w:styleId="18">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9">
    <w:name w:val="List Bullet"/>
    <w:basedOn w:val="1"/>
    <w:qFormat/>
    <w:uiPriority w:val="0"/>
    <w:pPr>
      <w:numPr>
        <w:ilvl w:val="0"/>
        <w:numId w:val="1"/>
      </w:numPr>
      <w:tabs>
        <w:tab w:val="left" w:pos="360"/>
        <w:tab w:val="clear" w:pos="1080"/>
      </w:tabs>
    </w:pPr>
    <w:rPr>
      <w:szCs w:val="22"/>
    </w:rPr>
  </w:style>
  <w:style w:type="paragraph" w:styleId="20">
    <w:name w:val="Document Map"/>
    <w:basedOn w:val="1"/>
    <w:link w:val="113"/>
    <w:qFormat/>
    <w:uiPriority w:val="0"/>
    <w:pPr>
      <w:shd w:val="clear" w:color="auto" w:fill="000080"/>
    </w:pPr>
  </w:style>
  <w:style w:type="paragraph" w:styleId="21">
    <w:name w:val="annotation text"/>
    <w:basedOn w:val="1"/>
    <w:link w:val="209"/>
    <w:qFormat/>
    <w:uiPriority w:val="0"/>
    <w:pPr>
      <w:jc w:val="left"/>
    </w:pPr>
  </w:style>
  <w:style w:type="paragraph" w:styleId="22">
    <w:name w:val="Salutation"/>
    <w:basedOn w:val="1"/>
    <w:next w:val="1"/>
    <w:link w:val="222"/>
    <w:qFormat/>
    <w:uiPriority w:val="0"/>
    <w:pPr>
      <w:tabs>
        <w:tab w:val="left" w:pos="840"/>
      </w:tabs>
      <w:autoSpaceDE w:val="0"/>
      <w:autoSpaceDN w:val="0"/>
      <w:adjustRightInd w:val="0"/>
      <w:jc w:val="left"/>
    </w:pPr>
    <w:rPr>
      <w:kern w:val="0"/>
      <w:sz w:val="24"/>
      <w:szCs w:val="20"/>
    </w:rPr>
  </w:style>
  <w:style w:type="paragraph" w:styleId="23">
    <w:name w:val="Body Text 3"/>
    <w:basedOn w:val="1"/>
    <w:link w:val="179"/>
    <w:qFormat/>
    <w:uiPriority w:val="0"/>
    <w:pPr>
      <w:autoSpaceDE w:val="0"/>
      <w:autoSpaceDN w:val="0"/>
      <w:adjustRightInd w:val="0"/>
      <w:jc w:val="center"/>
    </w:pPr>
    <w:rPr>
      <w:kern w:val="0"/>
      <w:sz w:val="20"/>
      <w:szCs w:val="20"/>
    </w:rPr>
  </w:style>
  <w:style w:type="paragraph" w:styleId="24">
    <w:name w:val="Body Text Indent"/>
    <w:basedOn w:val="1"/>
    <w:link w:val="239"/>
    <w:qFormat/>
    <w:uiPriority w:val="0"/>
    <w:pPr>
      <w:adjustRightInd w:val="0"/>
      <w:spacing w:line="360" w:lineRule="auto"/>
      <w:ind w:firstLine="490"/>
      <w:jc w:val="left"/>
    </w:pPr>
    <w:rPr>
      <w:rFonts w:ascii="宋体" w:hAnsi="宋体"/>
      <w:sz w:val="24"/>
      <w:szCs w:val="20"/>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Plain Text"/>
    <w:basedOn w:val="1"/>
    <w:link w:val="177"/>
    <w:qFormat/>
    <w:uiPriority w:val="0"/>
    <w:rPr>
      <w:rFonts w:ascii="宋体" w:hAnsi="Courier New"/>
      <w:szCs w:val="20"/>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39"/>
    <w:pPr>
      <w:autoSpaceDE w:val="0"/>
      <w:autoSpaceDN w:val="0"/>
      <w:adjustRightInd w:val="0"/>
      <w:ind w:left="2940" w:leftChars="1400"/>
      <w:jc w:val="left"/>
    </w:pPr>
    <w:rPr>
      <w:kern w:val="0"/>
      <w:sz w:val="20"/>
      <w:szCs w:val="20"/>
    </w:rPr>
  </w:style>
  <w:style w:type="paragraph" w:styleId="33">
    <w:name w:val="Date"/>
    <w:basedOn w:val="1"/>
    <w:next w:val="1"/>
    <w:link w:val="139"/>
    <w:qFormat/>
    <w:uiPriority w:val="0"/>
    <w:pPr>
      <w:spacing w:line="440" w:lineRule="exact"/>
    </w:pPr>
    <w:rPr>
      <w:spacing w:val="12"/>
      <w:sz w:val="24"/>
      <w:szCs w:val="20"/>
    </w:rPr>
  </w:style>
  <w:style w:type="paragraph" w:styleId="34">
    <w:name w:val="Body Text Indent 2"/>
    <w:basedOn w:val="1"/>
    <w:link w:val="219"/>
    <w:qFormat/>
    <w:uiPriority w:val="0"/>
    <w:pPr>
      <w:spacing w:after="120" w:line="480" w:lineRule="auto"/>
      <w:ind w:left="420" w:leftChars="200"/>
    </w:pPr>
  </w:style>
  <w:style w:type="paragraph" w:styleId="35">
    <w:name w:val="Balloon Text"/>
    <w:basedOn w:val="1"/>
    <w:link w:val="80"/>
    <w:qFormat/>
    <w:uiPriority w:val="0"/>
    <w:rPr>
      <w:sz w:val="18"/>
      <w:szCs w:val="18"/>
    </w:rPr>
  </w:style>
  <w:style w:type="paragraph" w:styleId="36">
    <w:name w:val="footer"/>
    <w:basedOn w:val="1"/>
    <w:link w:val="92"/>
    <w:qFormat/>
    <w:uiPriority w:val="0"/>
    <w:pPr>
      <w:tabs>
        <w:tab w:val="center" w:pos="4153"/>
        <w:tab w:val="right" w:pos="8306"/>
      </w:tabs>
      <w:snapToGrid w:val="0"/>
      <w:jc w:val="left"/>
    </w:pPr>
    <w:rPr>
      <w:sz w:val="18"/>
      <w:szCs w:val="18"/>
    </w:rPr>
  </w:style>
  <w:style w:type="paragraph" w:styleId="37">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38">
    <w:name w:val="Signature"/>
    <w:basedOn w:val="1"/>
    <w:link w:val="167"/>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39">
    <w:name w:val="toc 1"/>
    <w:basedOn w:val="1"/>
    <w:next w:val="1"/>
    <w:qFormat/>
    <w:uiPriority w:val="39"/>
    <w:pPr>
      <w:spacing w:line="360" w:lineRule="exact"/>
      <w:ind w:left="718" w:hanging="718" w:hangingChars="342"/>
    </w:pPr>
    <w:rPr>
      <w:rFonts w:ascii="Arial" w:hAnsi="Arial" w:eastAsia="楷体_GB2312" w:cs="Arial"/>
    </w:rPr>
  </w:style>
  <w:style w:type="paragraph" w:styleId="40">
    <w:name w:val="toc 4"/>
    <w:basedOn w:val="1"/>
    <w:next w:val="1"/>
    <w:qFormat/>
    <w:uiPriority w:val="39"/>
    <w:pPr>
      <w:autoSpaceDE w:val="0"/>
      <w:autoSpaceDN w:val="0"/>
      <w:adjustRightInd w:val="0"/>
      <w:ind w:left="1260" w:leftChars="600"/>
      <w:jc w:val="left"/>
    </w:pPr>
    <w:rPr>
      <w:kern w:val="0"/>
      <w:sz w:val="20"/>
      <w:szCs w:val="20"/>
    </w:rPr>
  </w:style>
  <w:style w:type="paragraph" w:styleId="41">
    <w:name w:val="Subtitle"/>
    <w:basedOn w:val="1"/>
    <w:next w:val="1"/>
    <w:link w:val="199"/>
    <w:qFormat/>
    <w:uiPriority w:val="0"/>
    <w:pPr>
      <w:spacing w:before="240" w:after="60" w:line="312" w:lineRule="auto"/>
      <w:jc w:val="center"/>
      <w:outlineLvl w:val="1"/>
    </w:pPr>
    <w:rPr>
      <w:rFonts w:ascii="Cambria" w:hAnsi="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pPr>
    <w:rPr>
      <w:sz w:val="28"/>
    </w:rPr>
  </w:style>
  <w:style w:type="paragraph" w:styleId="44">
    <w:name w:val="Body Text Indent 3"/>
    <w:basedOn w:val="1"/>
    <w:link w:val="168"/>
    <w:qFormat/>
    <w:uiPriority w:val="0"/>
    <w:pPr>
      <w:spacing w:after="120"/>
      <w:ind w:left="420" w:leftChars="200"/>
    </w:pPr>
    <w:rPr>
      <w:sz w:val="16"/>
      <w:szCs w:val="16"/>
    </w:rPr>
  </w:style>
  <w:style w:type="paragraph" w:styleId="45">
    <w:name w:val="toc 2"/>
    <w:basedOn w:val="1"/>
    <w:next w:val="1"/>
    <w:qFormat/>
    <w:uiPriority w:val="39"/>
    <w:pPr>
      <w:ind w:left="420" w:leftChars="200"/>
    </w:pPr>
  </w:style>
  <w:style w:type="paragraph" w:styleId="46">
    <w:name w:val="toc 9"/>
    <w:basedOn w:val="1"/>
    <w:next w:val="1"/>
    <w:qFormat/>
    <w:uiPriority w:val="39"/>
    <w:pPr>
      <w:autoSpaceDE w:val="0"/>
      <w:autoSpaceDN w:val="0"/>
      <w:adjustRightInd w:val="0"/>
      <w:ind w:left="3360" w:leftChars="1600"/>
      <w:jc w:val="left"/>
    </w:pPr>
    <w:rPr>
      <w:kern w:val="0"/>
      <w:sz w:val="20"/>
      <w:szCs w:val="20"/>
    </w:rPr>
  </w:style>
  <w:style w:type="paragraph" w:styleId="47">
    <w:name w:val="Body Text 2"/>
    <w:basedOn w:val="1"/>
    <w:link w:val="161"/>
    <w:qFormat/>
    <w:uiPriority w:val="0"/>
    <w:pPr>
      <w:autoSpaceDE w:val="0"/>
      <w:autoSpaceDN w:val="0"/>
      <w:adjustRightInd w:val="0"/>
      <w:spacing w:after="120" w:line="480" w:lineRule="auto"/>
      <w:jc w:val="left"/>
    </w:pPr>
    <w:rPr>
      <w:kern w:val="0"/>
      <w:sz w:val="20"/>
      <w:szCs w:val="20"/>
    </w:rPr>
  </w:style>
  <w:style w:type="paragraph" w:styleId="48">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49">
    <w:name w:val="Normal (Web)"/>
    <w:basedOn w:val="1"/>
    <w:link w:val="412"/>
    <w:qFormat/>
    <w:uiPriority w:val="0"/>
    <w:pPr>
      <w:widowControl/>
      <w:spacing w:before="100" w:beforeAutospacing="1" w:after="100" w:afterAutospacing="1"/>
      <w:jc w:val="left"/>
    </w:pPr>
    <w:rPr>
      <w:rFonts w:hint="eastAsia" w:ascii="宋体" w:hAnsi="宋体"/>
      <w:color w:val="000000"/>
      <w:kern w:val="0"/>
      <w:sz w:val="24"/>
    </w:rPr>
  </w:style>
  <w:style w:type="paragraph" w:styleId="50">
    <w:name w:val="index 1"/>
    <w:basedOn w:val="1"/>
    <w:next w:val="1"/>
    <w:qFormat/>
    <w:uiPriority w:val="0"/>
    <w:pPr>
      <w:spacing w:line="220" w:lineRule="exact"/>
      <w:jc w:val="center"/>
    </w:pPr>
    <w:rPr>
      <w:rFonts w:ascii="仿宋_GB2312" w:eastAsia="仿宋_GB2312"/>
      <w:szCs w:val="21"/>
    </w:rPr>
  </w:style>
  <w:style w:type="paragraph" w:styleId="51">
    <w:name w:val="Title"/>
    <w:basedOn w:val="1"/>
    <w:link w:val="171"/>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2">
    <w:name w:val="annotation subject"/>
    <w:basedOn w:val="21"/>
    <w:next w:val="21"/>
    <w:link w:val="109"/>
    <w:qFormat/>
    <w:uiPriority w:val="0"/>
    <w:rPr>
      <w:b/>
      <w:bCs/>
    </w:rPr>
  </w:style>
  <w:style w:type="paragraph" w:styleId="53">
    <w:name w:val="Body Text First Indent 2"/>
    <w:basedOn w:val="24"/>
    <w:next w:val="1"/>
    <w:unhideWhenUsed/>
    <w:qFormat/>
    <w:uiPriority w:val="99"/>
    <w:pPr>
      <w:spacing w:after="120" w:line="240" w:lineRule="auto"/>
      <w:ind w:left="420" w:leftChars="200" w:firstLine="420"/>
    </w:pPr>
    <w:rPr>
      <w:rFonts w:cs="宋体"/>
      <w:sz w:val="21"/>
      <w:szCs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rFonts w:ascii="仿宋_GB2312" w:eastAsia="仿宋_GB2312"/>
      <w:bCs/>
      <w:sz w:val="32"/>
      <w:szCs w:val="32"/>
    </w:rPr>
  </w:style>
  <w:style w:type="character" w:styleId="58">
    <w:name w:val="page number"/>
    <w:basedOn w:val="56"/>
    <w:qFormat/>
    <w:uiPriority w:val="0"/>
  </w:style>
  <w:style w:type="character" w:styleId="59">
    <w:name w:val="FollowedHyperlink"/>
    <w:qFormat/>
    <w:uiPriority w:val="0"/>
    <w:rPr>
      <w:rFonts w:ascii="仿宋_GB2312" w:eastAsia="仿宋_GB2312"/>
      <w:b/>
      <w:color w:val="800080"/>
      <w:sz w:val="32"/>
      <w:szCs w:val="32"/>
      <w:u w:val="single"/>
    </w:rPr>
  </w:style>
  <w:style w:type="character" w:styleId="60">
    <w:name w:val="Emphasis"/>
    <w:qFormat/>
    <w:uiPriority w:val="0"/>
    <w:rPr>
      <w:i/>
      <w:iCs/>
    </w:rPr>
  </w:style>
  <w:style w:type="character" w:styleId="61">
    <w:name w:val="line number"/>
    <w:qFormat/>
    <w:uiPriority w:val="0"/>
    <w:rPr>
      <w:rFonts w:ascii="仿宋_GB2312" w:hAnsi="Tahoma" w:eastAsia="仿宋_GB2312"/>
      <w:b/>
      <w:sz w:val="32"/>
      <w:szCs w:val="32"/>
    </w:rPr>
  </w:style>
  <w:style w:type="character" w:styleId="62">
    <w:name w:val="HTML Definition"/>
    <w:unhideWhenUsed/>
    <w:qFormat/>
    <w:uiPriority w:val="99"/>
    <w:rPr>
      <w:szCs w:val="20"/>
    </w:rPr>
  </w:style>
  <w:style w:type="character" w:styleId="63">
    <w:name w:val="HTML Acronym"/>
    <w:basedOn w:val="56"/>
    <w:unhideWhenUsed/>
    <w:qFormat/>
    <w:uiPriority w:val="99"/>
  </w:style>
  <w:style w:type="character" w:styleId="64">
    <w:name w:val="HTML Variable"/>
    <w:unhideWhenUsed/>
    <w:qFormat/>
    <w:uiPriority w:val="99"/>
    <w:rPr>
      <w:szCs w:val="20"/>
    </w:rPr>
  </w:style>
  <w:style w:type="character" w:styleId="65">
    <w:name w:val="Hyperlink"/>
    <w:qFormat/>
    <w:uiPriority w:val="99"/>
    <w:rPr>
      <w:rFonts w:ascii="仿宋_GB2312" w:eastAsia="仿宋_GB2312"/>
      <w:color w:val="000000"/>
      <w:sz w:val="20"/>
      <w:szCs w:val="20"/>
      <w:u w:val="none"/>
    </w:rPr>
  </w:style>
  <w:style w:type="character" w:styleId="66">
    <w:name w:val="HTML Code"/>
    <w:unhideWhenUsed/>
    <w:qFormat/>
    <w:uiPriority w:val="99"/>
    <w:rPr>
      <w:rFonts w:hint="eastAsia" w:ascii="微软雅黑" w:hAnsi="微软雅黑" w:eastAsia="微软雅黑" w:cs="微软雅黑"/>
      <w:sz w:val="20"/>
      <w:szCs w:val="20"/>
    </w:rPr>
  </w:style>
  <w:style w:type="character" w:styleId="67">
    <w:name w:val="annotation reference"/>
    <w:qFormat/>
    <w:uiPriority w:val="99"/>
    <w:rPr>
      <w:sz w:val="21"/>
      <w:szCs w:val="21"/>
    </w:rPr>
  </w:style>
  <w:style w:type="character" w:styleId="68">
    <w:name w:val="HTML Cite"/>
    <w:qFormat/>
    <w:uiPriority w:val="0"/>
    <w:rPr>
      <w:color w:val="008000"/>
    </w:rPr>
  </w:style>
  <w:style w:type="character" w:styleId="69">
    <w:name w:val="footnote reference"/>
    <w:qFormat/>
    <w:uiPriority w:val="0"/>
    <w:rPr>
      <w:vertAlign w:val="superscript"/>
    </w:rPr>
  </w:style>
  <w:style w:type="character" w:styleId="70">
    <w:name w:val="HTML Keyboard"/>
    <w:unhideWhenUsed/>
    <w:qFormat/>
    <w:uiPriority w:val="99"/>
    <w:rPr>
      <w:rFonts w:hint="eastAsia" w:ascii="微软雅黑" w:hAnsi="微软雅黑" w:eastAsia="微软雅黑" w:cs="微软雅黑"/>
      <w:sz w:val="20"/>
      <w:szCs w:val="20"/>
    </w:rPr>
  </w:style>
  <w:style w:type="character" w:styleId="71">
    <w:name w:val="HTML Sample"/>
    <w:basedOn w:val="56"/>
    <w:unhideWhenUsed/>
    <w:qFormat/>
    <w:uiPriority w:val="99"/>
    <w:rPr>
      <w:rFonts w:hint="eastAsia" w:ascii="微软雅黑" w:hAnsi="微软雅黑" w:eastAsia="微软雅黑" w:cs="微软雅黑"/>
      <w:szCs w:val="20"/>
    </w:rPr>
  </w:style>
  <w:style w:type="paragraph" w:customStyle="1" w:styleId="72">
    <w:name w:val="表格文字"/>
    <w:basedOn w:val="30"/>
    <w:next w:val="2"/>
    <w:qFormat/>
    <w:uiPriority w:val="0"/>
    <w:pPr>
      <w:spacing w:line="420" w:lineRule="atLeast"/>
      <w:jc w:val="left"/>
    </w:pPr>
    <w:rPr>
      <w:szCs w:val="20"/>
    </w:rPr>
  </w:style>
  <w:style w:type="paragraph" w:customStyle="1" w:styleId="73">
    <w:name w:val="BodyText1I2"/>
    <w:basedOn w:val="74"/>
    <w:qFormat/>
    <w:uiPriority w:val="0"/>
    <w:pPr>
      <w:spacing w:line="520" w:lineRule="exact"/>
      <w:ind w:left="570" w:firstLine="420"/>
      <w:jc w:val="both"/>
      <w:textAlignment w:val="baseline"/>
    </w:pPr>
  </w:style>
  <w:style w:type="paragraph" w:customStyle="1" w:styleId="74">
    <w:name w:val="BodyTextIndent"/>
    <w:basedOn w:val="1"/>
    <w:qFormat/>
    <w:uiPriority w:val="0"/>
    <w:pPr>
      <w:spacing w:line="520" w:lineRule="exact"/>
      <w:ind w:left="570"/>
      <w:jc w:val="both"/>
      <w:textAlignment w:val="baseline"/>
    </w:pPr>
    <w:rPr>
      <w:rFonts w:ascii="方正仿宋简体" w:hAnsi="创艺简仿宋" w:eastAsia="方正仿宋简体"/>
      <w:sz w:val="24"/>
      <w:lang w:val="en-US" w:eastAsia="zh-CN" w:bidi="ar-SA"/>
    </w:rPr>
  </w:style>
  <w:style w:type="paragraph" w:customStyle="1" w:styleId="75">
    <w:name w:val="Body Text First Indent1"/>
    <w:basedOn w:val="2"/>
    <w:qFormat/>
    <w:uiPriority w:val="0"/>
    <w:pPr>
      <w:ind w:firstLine="420" w:firstLineChars="100"/>
    </w:pPr>
    <w:rPr>
      <w:rFonts w:hint="eastAsia"/>
      <w:sz w:val="21"/>
      <w:szCs w:val="22"/>
    </w:rPr>
  </w:style>
  <w:style w:type="character" w:customStyle="1" w:styleId="76">
    <w:name w:val="PI Char1"/>
    <w:qFormat/>
    <w:uiPriority w:val="0"/>
    <w:rPr>
      <w:rFonts w:ascii="仿宋_GB2312" w:eastAsia="宋体"/>
      <w:b/>
      <w:kern w:val="2"/>
      <w:sz w:val="24"/>
      <w:szCs w:val="24"/>
      <w:lang w:val="en-US" w:eastAsia="zh-CN" w:bidi="ar-SA"/>
    </w:rPr>
  </w:style>
  <w:style w:type="character" w:customStyle="1" w:styleId="77">
    <w:name w:val="不明显强调1"/>
    <w:qFormat/>
    <w:uiPriority w:val="0"/>
    <w:rPr>
      <w:i/>
      <w:iCs/>
      <w:color w:val="808080"/>
    </w:rPr>
  </w:style>
  <w:style w:type="character" w:customStyle="1" w:styleId="78">
    <w:name w:val="文档结构图 Char"/>
    <w:qFormat/>
    <w:uiPriority w:val="0"/>
    <w:rPr>
      <w:rFonts w:eastAsia="宋体"/>
      <w:kern w:val="2"/>
      <w:sz w:val="21"/>
      <w:szCs w:val="24"/>
      <w:lang w:val="en-US" w:eastAsia="zh-CN" w:bidi="ar-SA"/>
    </w:rPr>
  </w:style>
  <w:style w:type="character" w:customStyle="1" w:styleId="79">
    <w:name w:val="red1"/>
    <w:qFormat/>
    <w:uiPriority w:val="0"/>
    <w:rPr>
      <w:color w:val="FF0000"/>
      <w:szCs w:val="20"/>
    </w:rPr>
  </w:style>
  <w:style w:type="character" w:customStyle="1" w:styleId="80">
    <w:name w:val="批注框文本 Char"/>
    <w:link w:val="35"/>
    <w:qFormat/>
    <w:uiPriority w:val="0"/>
    <w:rPr>
      <w:kern w:val="2"/>
      <w:sz w:val="18"/>
      <w:szCs w:val="18"/>
    </w:rPr>
  </w:style>
  <w:style w:type="character" w:customStyle="1" w:styleId="81">
    <w:name w:val="正文缩进 Char1 Char"/>
    <w:qFormat/>
    <w:uiPriority w:val="0"/>
    <w:rPr>
      <w:rFonts w:ascii="仿宋_GB2312" w:eastAsia="宋体"/>
      <w:b/>
      <w:sz w:val="21"/>
      <w:szCs w:val="32"/>
      <w:lang w:val="en-US" w:eastAsia="zh-CN" w:bidi="ar-SA"/>
    </w:rPr>
  </w:style>
  <w:style w:type="character" w:customStyle="1" w:styleId="82">
    <w:name w:val="heading 6 Char1"/>
    <w:qFormat/>
    <w:uiPriority w:val="0"/>
    <w:rPr>
      <w:rFonts w:ascii="Arial" w:hAnsi="Arial" w:eastAsia="黑体"/>
      <w:b/>
      <w:kern w:val="2"/>
      <w:sz w:val="24"/>
      <w:szCs w:val="24"/>
      <w:lang w:val="en-US" w:eastAsia="zh-CN" w:bidi="ar-SA"/>
    </w:rPr>
  </w:style>
  <w:style w:type="character" w:customStyle="1" w:styleId="83">
    <w:name w:val="标题 2 Char1"/>
    <w:link w:val="7"/>
    <w:qFormat/>
    <w:uiPriority w:val="0"/>
    <w:rPr>
      <w:rFonts w:ascii="Arial" w:hAnsi="Arial" w:eastAsia="黑体"/>
      <w:b/>
      <w:bCs/>
      <w:kern w:val="2"/>
      <w:sz w:val="32"/>
      <w:szCs w:val="32"/>
    </w:rPr>
  </w:style>
  <w:style w:type="character" w:customStyle="1" w:styleId="84">
    <w:name w:val="zbggmain style9"/>
    <w:basedOn w:val="56"/>
    <w:qFormat/>
    <w:uiPriority w:val="0"/>
  </w:style>
  <w:style w:type="character" w:customStyle="1" w:styleId="85">
    <w:name w:val="pages"/>
    <w:qFormat/>
    <w:uiPriority w:val="0"/>
    <w:rPr>
      <w:color w:val="999999"/>
      <w:szCs w:val="20"/>
    </w:rPr>
  </w:style>
  <w:style w:type="character" w:customStyle="1" w:styleId="86">
    <w:name w:val="heading 3 Char2"/>
    <w:qFormat/>
    <w:uiPriority w:val="0"/>
    <w:rPr>
      <w:rFonts w:ascii="仿宋_GB2312" w:eastAsia="仿宋_GB2312"/>
      <w:b/>
      <w:bCs/>
      <w:kern w:val="2"/>
      <w:sz w:val="32"/>
      <w:szCs w:val="32"/>
    </w:rPr>
  </w:style>
  <w:style w:type="character" w:customStyle="1" w:styleId="87">
    <w:name w:val="Char Char"/>
    <w:qFormat/>
    <w:uiPriority w:val="0"/>
    <w:rPr>
      <w:rFonts w:ascii="宋体" w:hAnsi="Courier New" w:eastAsia="宋体"/>
      <w:kern w:val="2"/>
      <w:sz w:val="21"/>
      <w:lang w:val="en-US" w:eastAsia="zh-CN" w:bidi="ar-SA"/>
    </w:rPr>
  </w:style>
  <w:style w:type="character" w:customStyle="1" w:styleId="88">
    <w:name w:val="Char Char11"/>
    <w:qFormat/>
    <w:uiPriority w:val="0"/>
    <w:rPr>
      <w:rFonts w:ascii="Times New Roman" w:hAnsi="Times New Roman" w:eastAsia="宋体" w:cs="Times New Roman"/>
      <w:sz w:val="18"/>
      <w:szCs w:val="18"/>
    </w:rPr>
  </w:style>
  <w:style w:type="character" w:customStyle="1" w:styleId="89">
    <w:name w:val="heading 2 Char1"/>
    <w:qFormat/>
    <w:uiPriority w:val="0"/>
    <w:rPr>
      <w:rFonts w:ascii="Cambria" w:hAnsi="Cambria" w:eastAsia="宋体"/>
      <w:b/>
      <w:bCs/>
      <w:kern w:val="2"/>
      <w:sz w:val="32"/>
      <w:szCs w:val="32"/>
      <w:lang w:val="en-US" w:eastAsia="zh-CN" w:bidi="ar-SA"/>
    </w:rPr>
  </w:style>
  <w:style w:type="character" w:customStyle="1" w:styleId="90">
    <w:name w:val="标题 4 Char"/>
    <w:qFormat/>
    <w:uiPriority w:val="0"/>
    <w:rPr>
      <w:rFonts w:ascii="Arial" w:hAnsi="Arial" w:eastAsia="黑体"/>
      <w:b/>
      <w:bCs/>
      <w:kern w:val="2"/>
      <w:sz w:val="28"/>
      <w:szCs w:val="28"/>
      <w:lang w:val="en-US" w:eastAsia="zh-CN" w:bidi="ar-SA"/>
    </w:rPr>
  </w:style>
  <w:style w:type="character" w:customStyle="1" w:styleId="91">
    <w:name w:val="hover15"/>
    <w:qFormat/>
    <w:uiPriority w:val="0"/>
    <w:rPr>
      <w:szCs w:val="20"/>
      <w:u w:val="single"/>
    </w:rPr>
  </w:style>
  <w:style w:type="character" w:customStyle="1" w:styleId="92">
    <w:name w:val="页脚 Char1"/>
    <w:link w:val="36"/>
    <w:qFormat/>
    <w:uiPriority w:val="0"/>
    <w:rPr>
      <w:kern w:val="2"/>
      <w:sz w:val="18"/>
      <w:szCs w:val="18"/>
    </w:rPr>
  </w:style>
  <w:style w:type="character" w:customStyle="1" w:styleId="93">
    <w:name w:val="smalltxt1"/>
    <w:qFormat/>
    <w:uiPriority w:val="0"/>
    <w:rPr>
      <w:rFonts w:hint="default" w:ascii="ˎ̥" w:hAnsi="ˎ̥" w:eastAsia="仿宋_GB2312"/>
      <w:b/>
      <w:sz w:val="24"/>
      <w:szCs w:val="24"/>
    </w:rPr>
  </w:style>
  <w:style w:type="character" w:customStyle="1" w:styleId="94">
    <w:name w:val="宏文本 Char1"/>
    <w:semiHidden/>
    <w:qFormat/>
    <w:uiPriority w:val="99"/>
    <w:rPr>
      <w:rFonts w:ascii="Courier New" w:hAnsi="Courier New" w:cs="Courier New"/>
      <w:kern w:val="2"/>
      <w:sz w:val="24"/>
      <w:szCs w:val="24"/>
    </w:rPr>
  </w:style>
  <w:style w:type="character" w:customStyle="1" w:styleId="95">
    <w:name w:val="heading 5 Char2"/>
    <w:qFormat/>
    <w:uiPriority w:val="0"/>
    <w:rPr>
      <w:rFonts w:ascii="仿宋_GB2312" w:eastAsia="仿宋_GB2312"/>
      <w:b/>
      <w:bCs/>
      <w:kern w:val="2"/>
      <w:sz w:val="28"/>
      <w:szCs w:val="28"/>
    </w:rPr>
  </w:style>
  <w:style w:type="character" w:customStyle="1" w:styleId="96">
    <w:name w:val="heading 4 Char1"/>
    <w:qFormat/>
    <w:uiPriority w:val="0"/>
    <w:rPr>
      <w:rFonts w:ascii="Cambria" w:hAnsi="Cambria" w:eastAsia="宋体"/>
      <w:b/>
      <w:bCs/>
      <w:kern w:val="2"/>
      <w:sz w:val="28"/>
      <w:szCs w:val="28"/>
      <w:lang w:val="en-US" w:eastAsia="zh-CN" w:bidi="ar-SA"/>
    </w:rPr>
  </w:style>
  <w:style w:type="character" w:customStyle="1" w:styleId="97">
    <w:name w:val="Char Char1"/>
    <w:qFormat/>
    <w:uiPriority w:val="0"/>
    <w:rPr>
      <w:rFonts w:ascii="宋体" w:hAnsi="Courier New" w:eastAsia="宋体"/>
      <w:kern w:val="2"/>
      <w:sz w:val="21"/>
      <w:lang w:val="en-US" w:eastAsia="zh-CN" w:bidi="ar-SA"/>
    </w:rPr>
  </w:style>
  <w:style w:type="character" w:customStyle="1" w:styleId="98">
    <w:name w:val="heading 5 Char1"/>
    <w:qFormat/>
    <w:uiPriority w:val="0"/>
    <w:rPr>
      <w:rFonts w:ascii="仿宋_GB2312" w:eastAsia="宋体"/>
      <w:b/>
      <w:bCs/>
      <w:kern w:val="2"/>
      <w:sz w:val="28"/>
      <w:szCs w:val="28"/>
      <w:lang w:val="en-US" w:eastAsia="zh-CN" w:bidi="ar-SA"/>
    </w:rPr>
  </w:style>
  <w:style w:type="character" w:customStyle="1" w:styleId="99">
    <w:name w:val="明显引用 Char"/>
    <w:link w:val="100"/>
    <w:qFormat/>
    <w:uiPriority w:val="0"/>
    <w:rPr>
      <w:rFonts w:ascii="Calibri" w:hAnsi="Calibri"/>
      <w:b/>
      <w:bCs/>
      <w:i/>
      <w:iCs/>
      <w:color w:val="4F81BD"/>
      <w:sz w:val="32"/>
      <w:szCs w:val="32"/>
    </w:rPr>
  </w:style>
  <w:style w:type="paragraph" w:styleId="100">
    <w:name w:val="Intense Quote"/>
    <w:basedOn w:val="1"/>
    <w:next w:val="1"/>
    <w:link w:val="99"/>
    <w:qFormat/>
    <w:uiPriority w:val="0"/>
    <w:pPr>
      <w:pBdr>
        <w:bottom w:val="single" w:color="4F81BD" w:sz="4" w:space="4"/>
      </w:pBdr>
      <w:spacing w:before="200" w:after="280"/>
      <w:ind w:left="936" w:right="936"/>
    </w:pPr>
    <w:rPr>
      <w:b/>
      <w:bCs/>
      <w:i/>
      <w:iCs/>
      <w:color w:val="4F81BD"/>
      <w:kern w:val="0"/>
      <w:sz w:val="32"/>
      <w:szCs w:val="32"/>
    </w:rPr>
  </w:style>
  <w:style w:type="character" w:customStyle="1" w:styleId="101">
    <w:name w:val="正文文本 Char1"/>
    <w:link w:val="2"/>
    <w:qFormat/>
    <w:uiPriority w:val="0"/>
    <w:rPr>
      <w:rFonts w:ascii="Tahoma" w:hAnsi="Tahoma"/>
      <w:kern w:val="2"/>
      <w:sz w:val="21"/>
      <w:szCs w:val="24"/>
    </w:rPr>
  </w:style>
  <w:style w:type="character" w:customStyle="1" w:styleId="102">
    <w:name w:val="无间隔 Char"/>
    <w:link w:val="103"/>
    <w:qFormat/>
    <w:uiPriority w:val="0"/>
    <w:rPr>
      <w:sz w:val="22"/>
      <w:szCs w:val="22"/>
      <w:lang w:val="en-US" w:eastAsia="zh-CN" w:bidi="ar-SA"/>
    </w:rPr>
  </w:style>
  <w:style w:type="paragraph" w:styleId="103">
    <w:name w:val="No Spacing"/>
    <w:link w:val="102"/>
    <w:qFormat/>
    <w:uiPriority w:val="0"/>
    <w:rPr>
      <w:rFonts w:ascii="Calibri" w:hAnsi="Calibri" w:eastAsia="宋体" w:cs="Times New Roman"/>
      <w:sz w:val="22"/>
      <w:szCs w:val="22"/>
      <w:lang w:val="en-US" w:eastAsia="zh-CN" w:bidi="ar-SA"/>
    </w:rPr>
  </w:style>
  <w:style w:type="character" w:customStyle="1" w:styleId="104">
    <w:name w:val="标题 1 Char"/>
    <w:qFormat/>
    <w:uiPriority w:val="0"/>
    <w:rPr>
      <w:rFonts w:eastAsia="宋体"/>
      <w:b/>
      <w:bCs/>
      <w:kern w:val="44"/>
      <w:sz w:val="44"/>
      <w:szCs w:val="44"/>
      <w:lang w:val="en-US" w:eastAsia="zh-CN" w:bidi="ar-SA"/>
    </w:rPr>
  </w:style>
  <w:style w:type="character" w:customStyle="1" w:styleId="105">
    <w:name w:val="heading 7 Char1"/>
    <w:qFormat/>
    <w:uiPriority w:val="0"/>
    <w:rPr>
      <w:rFonts w:ascii="Arial" w:hAnsi="Arial" w:eastAsia="黑体"/>
      <w:b/>
      <w:sz w:val="21"/>
      <w:szCs w:val="21"/>
      <w:lang w:val="en-US" w:eastAsia="zh-CN" w:bidi="ar-SA"/>
    </w:rPr>
  </w:style>
  <w:style w:type="character" w:customStyle="1" w:styleId="106">
    <w:name w:val="pt141"/>
    <w:qFormat/>
    <w:uiPriority w:val="0"/>
    <w:rPr>
      <w:rFonts w:ascii="仿宋_GB2312" w:eastAsia="仿宋_GB2312"/>
      <w:b/>
      <w:color w:val="330066"/>
      <w:spacing w:val="450"/>
      <w:sz w:val="22"/>
      <w:szCs w:val="22"/>
    </w:rPr>
  </w:style>
  <w:style w:type="character" w:customStyle="1" w:styleId="107">
    <w:name w:val="明显参考1"/>
    <w:qFormat/>
    <w:uiPriority w:val="0"/>
    <w:rPr>
      <w:b/>
      <w:bCs/>
      <w:smallCaps/>
      <w:color w:val="C0504D"/>
      <w:spacing w:val="5"/>
      <w:u w:val="single"/>
    </w:rPr>
  </w:style>
  <w:style w:type="character" w:customStyle="1" w:styleId="108">
    <w:name w:val="num"/>
    <w:qFormat/>
    <w:uiPriority w:val="0"/>
    <w:rPr>
      <w:b/>
      <w:color w:val="FF7800"/>
      <w:szCs w:val="20"/>
    </w:rPr>
  </w:style>
  <w:style w:type="character" w:customStyle="1" w:styleId="109">
    <w:name w:val="批注主题 Char1"/>
    <w:link w:val="52"/>
    <w:qFormat/>
    <w:uiPriority w:val="0"/>
    <w:rPr>
      <w:b/>
      <w:bCs/>
      <w:kern w:val="2"/>
      <w:sz w:val="21"/>
      <w:szCs w:val="24"/>
    </w:rPr>
  </w:style>
  <w:style w:type="character" w:customStyle="1" w:styleId="110">
    <w:name w:val="标题 2 Char"/>
    <w:qFormat/>
    <w:uiPriority w:val="0"/>
    <w:rPr>
      <w:rFonts w:ascii="Arial" w:hAnsi="Arial" w:eastAsia="黑体"/>
      <w:b/>
      <w:bCs/>
      <w:kern w:val="2"/>
      <w:sz w:val="32"/>
      <w:szCs w:val="32"/>
      <w:lang w:val="en-US" w:eastAsia="zh-CN" w:bidi="ar-SA"/>
    </w:rPr>
  </w:style>
  <w:style w:type="character" w:customStyle="1" w:styleId="111">
    <w:name w:val="副标题 Char1"/>
    <w:qFormat/>
    <w:uiPriority w:val="11"/>
    <w:rPr>
      <w:rFonts w:ascii="Cambria" w:hAnsi="Cambria" w:cs="Times New Roman"/>
      <w:b/>
      <w:bCs/>
      <w:kern w:val="28"/>
      <w:sz w:val="32"/>
      <w:szCs w:val="32"/>
    </w:rPr>
  </w:style>
  <w:style w:type="character" w:customStyle="1" w:styleId="112">
    <w:name w:val="Plain Text Char"/>
    <w:qFormat/>
    <w:uiPriority w:val="0"/>
    <w:rPr>
      <w:rFonts w:ascii="宋体" w:hAnsi="Courier New" w:eastAsia="宋体" w:cs="Times New Roman"/>
      <w:sz w:val="21"/>
      <w:szCs w:val="21"/>
    </w:rPr>
  </w:style>
  <w:style w:type="character" w:customStyle="1" w:styleId="113">
    <w:name w:val="文档结构图 Char1"/>
    <w:link w:val="20"/>
    <w:qFormat/>
    <w:uiPriority w:val="0"/>
    <w:rPr>
      <w:kern w:val="2"/>
      <w:sz w:val="21"/>
      <w:szCs w:val="24"/>
      <w:shd w:val="clear" w:color="auto" w:fill="000080"/>
    </w:rPr>
  </w:style>
  <w:style w:type="character" w:customStyle="1" w:styleId="114">
    <w:name w:val="heading 4 Char"/>
    <w:qFormat/>
    <w:uiPriority w:val="0"/>
    <w:rPr>
      <w:rFonts w:ascii="Arial" w:hAnsi="Arial" w:eastAsia="黑体" w:cs="Times New Roman"/>
      <w:b/>
      <w:sz w:val="21"/>
      <w:szCs w:val="21"/>
    </w:rPr>
  </w:style>
  <w:style w:type="character" w:customStyle="1" w:styleId="115">
    <w:name w:val="Char Char211"/>
    <w:qFormat/>
    <w:uiPriority w:val="0"/>
    <w:rPr>
      <w:rFonts w:ascii="Times New Roman" w:hAnsi="Times New Roman" w:eastAsia="宋体" w:cs="Times New Roman"/>
      <w:b/>
      <w:bCs/>
      <w:kern w:val="44"/>
      <w:sz w:val="44"/>
      <w:szCs w:val="44"/>
    </w:rPr>
  </w:style>
  <w:style w:type="character" w:customStyle="1" w:styleId="116">
    <w:name w:val="Char Char19"/>
    <w:qFormat/>
    <w:uiPriority w:val="0"/>
    <w:rPr>
      <w:rFonts w:ascii="Cambria" w:hAnsi="Cambria" w:eastAsia="仿宋_GB2312"/>
      <w:b/>
      <w:bCs/>
      <w:kern w:val="2"/>
      <w:sz w:val="32"/>
      <w:szCs w:val="32"/>
    </w:rPr>
  </w:style>
  <w:style w:type="character" w:customStyle="1" w:styleId="117">
    <w:name w:val="input"/>
    <w:basedOn w:val="56"/>
    <w:qFormat/>
    <w:uiPriority w:val="0"/>
  </w:style>
  <w:style w:type="character" w:customStyle="1" w:styleId="118">
    <w:name w:val="Footer-Even Char1"/>
    <w:qFormat/>
    <w:uiPriority w:val="0"/>
    <w:rPr>
      <w:rFonts w:ascii="仿宋_GB2312" w:eastAsia="宋体"/>
      <w:b/>
      <w:kern w:val="2"/>
      <w:sz w:val="18"/>
      <w:szCs w:val="18"/>
      <w:lang w:val="en-US" w:eastAsia="zh-CN" w:bidi="ar-SA"/>
    </w:rPr>
  </w:style>
  <w:style w:type="character" w:customStyle="1" w:styleId="119">
    <w:name w:val="Char Char22"/>
    <w:qFormat/>
    <w:uiPriority w:val="0"/>
    <w:rPr>
      <w:rFonts w:ascii="Arial" w:hAnsi="Arial" w:eastAsia="黑体"/>
      <w:b/>
      <w:bCs/>
      <w:kern w:val="44"/>
      <w:sz w:val="30"/>
      <w:szCs w:val="44"/>
      <w:lang w:val="en-US" w:eastAsia="zh-CN" w:bidi="ar-SA"/>
    </w:rPr>
  </w:style>
  <w:style w:type="character" w:customStyle="1" w:styleId="120">
    <w:name w:val="标题 3 Char1"/>
    <w:link w:val="8"/>
    <w:qFormat/>
    <w:uiPriority w:val="0"/>
    <w:rPr>
      <w:b/>
      <w:bCs/>
      <w:kern w:val="2"/>
      <w:sz w:val="32"/>
      <w:szCs w:val="32"/>
    </w:rPr>
  </w:style>
  <w:style w:type="character" w:customStyle="1" w:styleId="121">
    <w:name w:val="Style3"/>
    <w:qFormat/>
    <w:uiPriority w:val="0"/>
    <w:rPr>
      <w:rFonts w:ascii="Calibri" w:hAnsi="宋体" w:eastAsia="宋体" w:cs="Times New Roman"/>
      <w:szCs w:val="22"/>
      <w:lang w:eastAsia="zh-CN"/>
    </w:rPr>
  </w:style>
  <w:style w:type="character" w:customStyle="1" w:styleId="122">
    <w:name w:val="Char Char20"/>
    <w:qFormat/>
    <w:uiPriority w:val="0"/>
    <w:rPr>
      <w:rFonts w:ascii="仿宋_GB2312" w:eastAsia="仿宋_GB2312"/>
      <w:b/>
      <w:bCs/>
      <w:kern w:val="44"/>
      <w:sz w:val="44"/>
      <w:szCs w:val="44"/>
    </w:rPr>
  </w:style>
  <w:style w:type="character" w:customStyle="1" w:styleId="123">
    <w:name w:val="表正文 Char2"/>
    <w:qFormat/>
    <w:uiPriority w:val="0"/>
    <w:rPr>
      <w:rFonts w:ascii="Times New Roman" w:hAnsi="Times New Roman" w:eastAsia="宋体" w:cs="Times New Roman"/>
      <w:szCs w:val="24"/>
    </w:rPr>
  </w:style>
  <w:style w:type="character" w:customStyle="1" w:styleId="124">
    <w:name w:val="批注文字 Char"/>
    <w:qFormat/>
    <w:uiPriority w:val="99"/>
    <w:rPr>
      <w:rFonts w:eastAsia="宋体"/>
      <w:kern w:val="2"/>
      <w:sz w:val="21"/>
      <w:szCs w:val="24"/>
      <w:lang w:val="en-US" w:eastAsia="zh-CN" w:bidi="ar-SA"/>
    </w:rPr>
  </w:style>
  <w:style w:type="character" w:customStyle="1" w:styleId="125">
    <w:name w:val="heading 1 Char"/>
    <w:qFormat/>
    <w:uiPriority w:val="0"/>
    <w:rPr>
      <w:rFonts w:ascii="Arial" w:hAnsi="Arial" w:eastAsia="黑体"/>
      <w:b/>
      <w:sz w:val="36"/>
      <w:szCs w:val="36"/>
    </w:rPr>
  </w:style>
  <w:style w:type="character" w:customStyle="1" w:styleId="126">
    <w:name w:val="Ò³Ã¼ Char Char1"/>
    <w:qFormat/>
    <w:uiPriority w:val="0"/>
    <w:rPr>
      <w:rFonts w:ascii="仿宋_GB2312" w:eastAsia="宋体"/>
      <w:b/>
      <w:kern w:val="2"/>
      <w:sz w:val="18"/>
      <w:szCs w:val="18"/>
      <w:lang w:val="en-US" w:eastAsia="zh-CN" w:bidi="ar-SA"/>
    </w:rPr>
  </w:style>
  <w:style w:type="character" w:customStyle="1" w:styleId="127">
    <w:name w:val="引用 Char"/>
    <w:link w:val="128"/>
    <w:qFormat/>
    <w:uiPriority w:val="0"/>
    <w:rPr>
      <w:rFonts w:ascii="Calibri" w:hAnsi="Calibri"/>
      <w:b/>
      <w:i/>
      <w:iCs/>
      <w:color w:val="000000"/>
      <w:sz w:val="32"/>
      <w:szCs w:val="32"/>
    </w:rPr>
  </w:style>
  <w:style w:type="paragraph" w:styleId="128">
    <w:name w:val="Quote"/>
    <w:basedOn w:val="1"/>
    <w:next w:val="1"/>
    <w:link w:val="127"/>
    <w:qFormat/>
    <w:uiPriority w:val="0"/>
    <w:rPr>
      <w:b/>
      <w:i/>
      <w:iCs/>
      <w:color w:val="000000"/>
      <w:kern w:val="0"/>
      <w:sz w:val="32"/>
      <w:szCs w:val="32"/>
    </w:rPr>
  </w:style>
  <w:style w:type="character" w:customStyle="1" w:styleId="129">
    <w:name w:val="heading 4 Char2"/>
    <w:qFormat/>
    <w:uiPriority w:val="0"/>
    <w:rPr>
      <w:rFonts w:ascii="Cambria" w:hAnsi="Cambria" w:eastAsia="仿宋_GB2312"/>
      <w:b/>
      <w:bCs/>
      <w:kern w:val="2"/>
      <w:sz w:val="28"/>
      <w:szCs w:val="28"/>
    </w:rPr>
  </w:style>
  <w:style w:type="character" w:customStyle="1" w:styleId="130">
    <w:name w:val="标题 9 Char"/>
    <w:link w:val="14"/>
    <w:qFormat/>
    <w:uiPriority w:val="0"/>
    <w:rPr>
      <w:rFonts w:ascii="Arial" w:hAnsi="Arial" w:eastAsia="黑体"/>
      <w:b/>
      <w:sz w:val="21"/>
      <w:szCs w:val="32"/>
    </w:rPr>
  </w:style>
  <w:style w:type="character" w:customStyle="1" w:styleId="131">
    <w:name w:val="纯文本 Char"/>
    <w:qFormat/>
    <w:uiPriority w:val="0"/>
    <w:rPr>
      <w:rFonts w:ascii="仿宋_GB2312" w:hAnsi="Wingdings" w:eastAsia="仿宋_GB2312"/>
      <w:sz w:val="21"/>
      <w:szCs w:val="21"/>
      <w:lang w:val="en-US" w:eastAsia="zh-CN" w:bidi="ar-SA"/>
    </w:rPr>
  </w:style>
  <w:style w:type="character" w:customStyle="1" w:styleId="132">
    <w:name w:val="正文缩进 Char1"/>
    <w:link w:val="17"/>
    <w:qFormat/>
    <w:uiPriority w:val="0"/>
    <w:rPr>
      <w:rFonts w:eastAsia="宋体"/>
      <w:sz w:val="21"/>
      <w:lang w:val="en-US" w:eastAsia="zh-CN" w:bidi="ar-SA"/>
    </w:rPr>
  </w:style>
  <w:style w:type="character" w:customStyle="1" w:styleId="133">
    <w:name w:val="heading 2 Char"/>
    <w:qFormat/>
    <w:uiPriority w:val="0"/>
    <w:rPr>
      <w:rFonts w:ascii="Arial" w:hAnsi="Arial" w:eastAsia="黑体" w:cs="Times New Roman"/>
      <w:b/>
      <w:sz w:val="30"/>
      <w:szCs w:val="24"/>
    </w:rPr>
  </w:style>
  <w:style w:type="character" w:customStyle="1" w:styleId="134">
    <w:name w:val="Table Text Char Char"/>
    <w:link w:val="135"/>
    <w:qFormat/>
    <w:uiPriority w:val="0"/>
    <w:rPr>
      <w:sz w:val="24"/>
    </w:rPr>
  </w:style>
  <w:style w:type="paragraph" w:customStyle="1" w:styleId="135">
    <w:name w:val="Table Text"/>
    <w:basedOn w:val="1"/>
    <w:link w:val="134"/>
    <w:qFormat/>
    <w:uiPriority w:val="0"/>
    <w:pPr>
      <w:widowControl/>
      <w:autoSpaceDE w:val="0"/>
      <w:autoSpaceDN w:val="0"/>
      <w:adjustRightInd w:val="0"/>
      <w:spacing w:before="60" w:after="60"/>
      <w:jc w:val="left"/>
    </w:pPr>
    <w:rPr>
      <w:kern w:val="0"/>
      <w:sz w:val="24"/>
      <w:szCs w:val="20"/>
    </w:rPr>
  </w:style>
  <w:style w:type="character" w:customStyle="1" w:styleId="136">
    <w:name w:val="heading 3 Char1"/>
    <w:qFormat/>
    <w:uiPriority w:val="0"/>
    <w:rPr>
      <w:rFonts w:ascii="仿宋_GB2312" w:eastAsia="宋体"/>
      <w:b/>
      <w:bCs/>
      <w:kern w:val="2"/>
      <w:sz w:val="32"/>
      <w:szCs w:val="32"/>
      <w:lang w:val="en-US" w:eastAsia="zh-CN" w:bidi="ar-SA"/>
    </w:rPr>
  </w:style>
  <w:style w:type="character" w:customStyle="1" w:styleId="137">
    <w:name w:val="font31"/>
    <w:qFormat/>
    <w:uiPriority w:val="0"/>
    <w:rPr>
      <w:rFonts w:hint="eastAsia" w:ascii="宋体" w:hAnsi="宋体" w:eastAsia="宋体" w:cs="宋体"/>
      <w:color w:val="000000"/>
      <w:sz w:val="20"/>
      <w:szCs w:val="20"/>
      <w:u w:val="none"/>
    </w:rPr>
  </w:style>
  <w:style w:type="character" w:customStyle="1" w:styleId="138">
    <w:name w:val="Char Char17"/>
    <w:qFormat/>
    <w:uiPriority w:val="0"/>
    <w:rPr>
      <w:rFonts w:ascii="Cambria" w:hAnsi="Cambria" w:eastAsia="仿宋_GB2312"/>
      <w:b/>
      <w:bCs/>
      <w:kern w:val="2"/>
      <w:sz w:val="28"/>
      <w:szCs w:val="28"/>
    </w:rPr>
  </w:style>
  <w:style w:type="character" w:customStyle="1" w:styleId="139">
    <w:name w:val="日期 Char"/>
    <w:link w:val="33"/>
    <w:qFormat/>
    <w:uiPriority w:val="0"/>
    <w:rPr>
      <w:spacing w:val="12"/>
      <w:kern w:val="2"/>
      <w:sz w:val="24"/>
    </w:rPr>
  </w:style>
  <w:style w:type="character" w:customStyle="1" w:styleId="140">
    <w:name w:val="Char Char16"/>
    <w:qFormat/>
    <w:uiPriority w:val="0"/>
    <w:rPr>
      <w:rFonts w:ascii="仿宋_GB2312" w:eastAsia="仿宋_GB2312"/>
      <w:b/>
      <w:bCs/>
      <w:kern w:val="2"/>
      <w:sz w:val="28"/>
      <w:szCs w:val="28"/>
    </w:rPr>
  </w:style>
  <w:style w:type="character" w:customStyle="1" w:styleId="141">
    <w:name w:val="me04"/>
    <w:qFormat/>
    <w:uiPriority w:val="0"/>
    <w:rPr>
      <w:rFonts w:ascii="仿宋_GB2312" w:hAnsi="Tahoma" w:eastAsia="仿宋_GB2312"/>
      <w:b/>
      <w:sz w:val="32"/>
      <w:szCs w:val="32"/>
    </w:rPr>
  </w:style>
  <w:style w:type="character" w:customStyle="1" w:styleId="142">
    <w:name w:val="明显引用 Char1"/>
    <w:qFormat/>
    <w:uiPriority w:val="99"/>
    <w:rPr>
      <w:rFonts w:ascii="Tahoma" w:hAnsi="Tahoma"/>
      <w:b/>
      <w:bCs/>
      <w:i/>
      <w:iCs/>
      <w:color w:val="4F81BD"/>
      <w:kern w:val="2"/>
      <w:sz w:val="21"/>
      <w:szCs w:val="24"/>
    </w:rPr>
  </w:style>
  <w:style w:type="character" w:customStyle="1" w:styleId="143">
    <w:name w:val="页眉 Char"/>
    <w:qFormat/>
    <w:uiPriority w:val="0"/>
    <w:rPr>
      <w:rFonts w:eastAsia="仿宋_GB2312"/>
      <w:kern w:val="2"/>
      <w:sz w:val="18"/>
      <w:szCs w:val="18"/>
      <w:lang w:val="en-US" w:eastAsia="zh-CN" w:bidi="ar-SA"/>
    </w:rPr>
  </w:style>
  <w:style w:type="character" w:customStyle="1" w:styleId="144">
    <w:name w:val="red"/>
    <w:qFormat/>
    <w:uiPriority w:val="0"/>
    <w:rPr>
      <w:color w:val="FF0000"/>
      <w:szCs w:val="20"/>
    </w:rPr>
  </w:style>
  <w:style w:type="character" w:customStyle="1" w:styleId="145">
    <w:name w:val="正文1 Char Char"/>
    <w:link w:val="146"/>
    <w:qFormat/>
    <w:uiPriority w:val="0"/>
    <w:rPr>
      <w:rFonts w:ascii="宋体" w:hAnsi="宋体" w:cs="宋体"/>
      <w:b/>
      <w:sz w:val="21"/>
      <w:szCs w:val="32"/>
    </w:rPr>
  </w:style>
  <w:style w:type="paragraph" w:customStyle="1" w:styleId="146">
    <w:name w:val="正文1"/>
    <w:basedOn w:val="1"/>
    <w:link w:val="145"/>
    <w:qFormat/>
    <w:uiPriority w:val="0"/>
    <w:pPr>
      <w:widowControl/>
      <w:spacing w:line="360" w:lineRule="auto"/>
      <w:ind w:left="360" w:firstLine="420"/>
      <w:jc w:val="left"/>
    </w:pPr>
    <w:rPr>
      <w:rFonts w:ascii="宋体" w:hAnsi="宋体"/>
      <w:b/>
      <w:kern w:val="0"/>
      <w:szCs w:val="32"/>
    </w:rPr>
  </w:style>
  <w:style w:type="character" w:customStyle="1" w:styleId="147">
    <w:name w:val="heading 1 Char2"/>
    <w:qFormat/>
    <w:uiPriority w:val="0"/>
    <w:rPr>
      <w:rFonts w:ascii="仿宋_GB2312" w:eastAsia="仿宋_GB2312"/>
      <w:b/>
      <w:bCs/>
      <w:kern w:val="44"/>
      <w:sz w:val="44"/>
      <w:szCs w:val="44"/>
    </w:rPr>
  </w:style>
  <w:style w:type="character" w:customStyle="1" w:styleId="148">
    <w:name w:val="font21"/>
    <w:qFormat/>
    <w:uiPriority w:val="0"/>
    <w:rPr>
      <w:rFonts w:hint="default" w:ascii="Times New Roman" w:hAnsi="Times New Roman" w:cs="Times New Roman"/>
      <w:color w:val="000000"/>
      <w:sz w:val="20"/>
      <w:szCs w:val="20"/>
      <w:u w:val="none"/>
    </w:rPr>
  </w:style>
  <w:style w:type="character" w:customStyle="1" w:styleId="149">
    <w:name w:val="Char Char Char1"/>
    <w:qFormat/>
    <w:uiPriority w:val="0"/>
    <w:rPr>
      <w:rFonts w:ascii="宋体" w:hAnsi="Courier New" w:eastAsia="仿宋_GB2312"/>
      <w:b/>
      <w:sz w:val="21"/>
      <w:szCs w:val="21"/>
    </w:rPr>
  </w:style>
  <w:style w:type="character" w:customStyle="1" w:styleId="150">
    <w:name w:val="页脚 Char"/>
    <w:qFormat/>
    <w:uiPriority w:val="0"/>
    <w:rPr>
      <w:rFonts w:eastAsia="仿宋_GB2312"/>
      <w:kern w:val="2"/>
      <w:sz w:val="18"/>
      <w:szCs w:val="18"/>
      <w:lang w:val="en-US" w:eastAsia="zh-CN" w:bidi="ar-SA"/>
    </w:rPr>
  </w:style>
  <w:style w:type="character" w:customStyle="1" w:styleId="151">
    <w:name w:val="正文首行缩进 Char"/>
    <w:qFormat/>
    <w:uiPriority w:val="0"/>
    <w:rPr>
      <w:rFonts w:ascii="仿宋_GB2312" w:eastAsia="宋体"/>
      <w:kern w:val="2"/>
      <w:sz w:val="21"/>
      <w:szCs w:val="24"/>
      <w:lang w:val="en-US" w:eastAsia="zh-CN" w:bidi="ar-SA"/>
    </w:rPr>
  </w:style>
  <w:style w:type="character" w:customStyle="1" w:styleId="152">
    <w:name w:val="正文文本 Char"/>
    <w:qFormat/>
    <w:uiPriority w:val="99"/>
    <w:rPr>
      <w:rFonts w:ascii="仿宋_GB2312" w:eastAsia="宋体"/>
      <w:b/>
      <w:kern w:val="2"/>
      <w:sz w:val="21"/>
      <w:szCs w:val="24"/>
      <w:lang w:val="en-US" w:eastAsia="zh-CN" w:bidi="ar-SA"/>
    </w:rPr>
  </w:style>
  <w:style w:type="character" w:customStyle="1" w:styleId="153">
    <w:name w:val="Char Char201"/>
    <w:qFormat/>
    <w:uiPriority w:val="0"/>
    <w:rPr>
      <w:rFonts w:ascii="Cambria" w:hAnsi="Cambria" w:eastAsia="宋体" w:cs="Times New Roman"/>
      <w:b/>
      <w:bCs/>
      <w:sz w:val="32"/>
      <w:szCs w:val="32"/>
    </w:rPr>
  </w:style>
  <w:style w:type="character" w:customStyle="1" w:styleId="154">
    <w:name w:val="font01"/>
    <w:qFormat/>
    <w:uiPriority w:val="0"/>
    <w:rPr>
      <w:rFonts w:hint="eastAsia" w:ascii="宋体" w:hAnsi="宋体" w:eastAsia="宋体" w:cs="宋体"/>
      <w:color w:val="000000"/>
      <w:sz w:val="22"/>
      <w:szCs w:val="22"/>
      <w:u w:val="none"/>
    </w:rPr>
  </w:style>
  <w:style w:type="character" w:customStyle="1" w:styleId="155">
    <w:name w:val="样式2 Char Char"/>
    <w:link w:val="156"/>
    <w:qFormat/>
    <w:uiPriority w:val="0"/>
    <w:rPr>
      <w:rFonts w:ascii="宋体" w:hAnsi="宋体"/>
      <w:b/>
      <w:bCs/>
      <w:kern w:val="2"/>
      <w:sz w:val="28"/>
      <w:szCs w:val="28"/>
    </w:rPr>
  </w:style>
  <w:style w:type="paragraph" w:customStyle="1" w:styleId="156">
    <w:name w:val="样式2"/>
    <w:basedOn w:val="7"/>
    <w:link w:val="155"/>
    <w:qFormat/>
    <w:uiPriority w:val="0"/>
    <w:pPr>
      <w:snapToGrid w:val="0"/>
      <w:spacing w:afterLines="50" w:line="480" w:lineRule="exact"/>
      <w:ind w:firstLine="556"/>
    </w:pPr>
    <w:rPr>
      <w:rFonts w:ascii="宋体" w:hAnsi="宋体" w:eastAsia="宋体"/>
      <w:sz w:val="28"/>
      <w:szCs w:val="28"/>
    </w:rPr>
  </w:style>
  <w:style w:type="character" w:customStyle="1" w:styleId="157">
    <w:name w:val="heading 2 Char2"/>
    <w:qFormat/>
    <w:uiPriority w:val="0"/>
    <w:rPr>
      <w:rFonts w:ascii="Cambria" w:hAnsi="Cambria" w:eastAsia="仿宋_GB2312"/>
      <w:b/>
      <w:bCs/>
      <w:kern w:val="2"/>
      <w:sz w:val="32"/>
      <w:szCs w:val="32"/>
    </w:rPr>
  </w:style>
  <w:style w:type="character" w:customStyle="1" w:styleId="158">
    <w:name w:val="Texte Char Char"/>
    <w:qFormat/>
    <w:uiPriority w:val="0"/>
    <w:rPr>
      <w:rFonts w:ascii="宋体" w:hAnsi="Courier New" w:eastAsia="宋体"/>
      <w:b/>
      <w:sz w:val="21"/>
      <w:szCs w:val="21"/>
      <w:lang w:val="en-US" w:eastAsia="zh-CN" w:bidi="ar-SA"/>
    </w:rPr>
  </w:style>
  <w:style w:type="character" w:customStyle="1" w:styleId="159">
    <w:name w:val="引用 Char1"/>
    <w:qFormat/>
    <w:uiPriority w:val="99"/>
    <w:rPr>
      <w:rFonts w:ascii="Tahoma" w:hAnsi="Tahoma"/>
      <w:i/>
      <w:iCs/>
      <w:color w:val="000000"/>
      <w:kern w:val="2"/>
      <w:sz w:val="21"/>
      <w:szCs w:val="24"/>
    </w:rPr>
  </w:style>
  <w:style w:type="character" w:customStyle="1" w:styleId="160">
    <w:name w:val="authcode"/>
    <w:basedOn w:val="56"/>
    <w:qFormat/>
    <w:uiPriority w:val="0"/>
  </w:style>
  <w:style w:type="character" w:customStyle="1" w:styleId="161">
    <w:name w:val="正文文本 2 Char"/>
    <w:basedOn w:val="56"/>
    <w:link w:val="47"/>
    <w:qFormat/>
    <w:uiPriority w:val="0"/>
  </w:style>
  <w:style w:type="character" w:customStyle="1" w:styleId="162">
    <w:name w:val="fr"/>
    <w:basedOn w:val="56"/>
    <w:qFormat/>
    <w:uiPriority w:val="0"/>
  </w:style>
  <w:style w:type="character" w:customStyle="1" w:styleId="163">
    <w:name w:val="gray6"/>
    <w:qFormat/>
    <w:uiPriority w:val="0"/>
    <w:rPr>
      <w:rFonts w:ascii="仿宋_GB2312" w:hAnsi="Tahoma" w:eastAsia="仿宋_GB2312"/>
      <w:b/>
      <w:sz w:val="32"/>
      <w:szCs w:val="32"/>
    </w:rPr>
  </w:style>
  <w:style w:type="character" w:customStyle="1" w:styleId="164">
    <w:name w:val="heading 3 Char"/>
    <w:qFormat/>
    <w:uiPriority w:val="0"/>
    <w:rPr>
      <w:rFonts w:ascii="Arial" w:hAnsi="Arial" w:eastAsia="黑体"/>
      <w:b/>
      <w:sz w:val="28"/>
      <w:szCs w:val="24"/>
    </w:rPr>
  </w:style>
  <w:style w:type="character" w:customStyle="1" w:styleId="165">
    <w:name w:val="不明显参考1"/>
    <w:qFormat/>
    <w:uiPriority w:val="0"/>
    <w:rPr>
      <w:smallCaps/>
      <w:color w:val="C0504D"/>
      <w:u w:val="single"/>
    </w:rPr>
  </w:style>
  <w:style w:type="character" w:customStyle="1" w:styleId="166">
    <w:name w:val="正文缩进 Char"/>
    <w:qFormat/>
    <w:uiPriority w:val="0"/>
    <w:rPr>
      <w:rFonts w:eastAsia="仿宋_GB2312"/>
      <w:sz w:val="21"/>
      <w:lang w:val="en-US" w:eastAsia="zh-CN" w:bidi="ar-SA"/>
    </w:rPr>
  </w:style>
  <w:style w:type="character" w:customStyle="1" w:styleId="167">
    <w:name w:val="签名 Char"/>
    <w:link w:val="38"/>
    <w:qFormat/>
    <w:uiPriority w:val="0"/>
    <w:rPr>
      <w:rFonts w:ascii="Tahoma" w:hAnsi="Tahoma" w:eastAsia="仿宋_GB2312"/>
      <w:sz w:val="24"/>
      <w:szCs w:val="20"/>
    </w:rPr>
  </w:style>
  <w:style w:type="character" w:customStyle="1" w:styleId="168">
    <w:name w:val="正文文本缩进 3 Char"/>
    <w:link w:val="44"/>
    <w:qFormat/>
    <w:uiPriority w:val="0"/>
    <w:rPr>
      <w:kern w:val="2"/>
      <w:sz w:val="16"/>
      <w:szCs w:val="16"/>
    </w:rPr>
  </w:style>
  <w:style w:type="character" w:customStyle="1" w:styleId="169">
    <w:name w:val="style41"/>
    <w:qFormat/>
    <w:uiPriority w:val="0"/>
    <w:rPr>
      <w:rFonts w:ascii="仿宋_GB2312" w:eastAsia="仿宋_GB2312"/>
      <w:b/>
      <w:color w:val="auto"/>
      <w:sz w:val="32"/>
      <w:szCs w:val="32"/>
    </w:rPr>
  </w:style>
  <w:style w:type="character" w:customStyle="1" w:styleId="170">
    <w:name w:val="dandyren_title1"/>
    <w:qFormat/>
    <w:uiPriority w:val="0"/>
    <w:rPr>
      <w:rFonts w:ascii="仿宋_GB2312" w:eastAsia="仿宋_GB2312"/>
      <w:b/>
      <w:bCs/>
      <w:color w:val="FF6633"/>
      <w:sz w:val="18"/>
      <w:szCs w:val="18"/>
    </w:rPr>
  </w:style>
  <w:style w:type="character" w:customStyle="1" w:styleId="171">
    <w:name w:val="标题 Char"/>
    <w:link w:val="51"/>
    <w:qFormat/>
    <w:uiPriority w:val="0"/>
    <w:rPr>
      <w:rFonts w:ascii="Cambria" w:hAnsi="Cambria"/>
      <w:b/>
      <w:bCs/>
      <w:sz w:val="32"/>
      <w:szCs w:val="32"/>
    </w:rPr>
  </w:style>
  <w:style w:type="character" w:customStyle="1" w:styleId="172">
    <w:name w:val="Char Char18"/>
    <w:qFormat/>
    <w:uiPriority w:val="0"/>
    <w:rPr>
      <w:rFonts w:ascii="仿宋_GB2312" w:eastAsia="仿宋_GB2312"/>
      <w:b/>
      <w:bCs/>
      <w:kern w:val="2"/>
      <w:sz w:val="32"/>
      <w:szCs w:val="32"/>
    </w:rPr>
  </w:style>
  <w:style w:type="character" w:customStyle="1" w:styleId="173">
    <w:name w:val="样式 正文文本 Char Char Char"/>
    <w:qFormat/>
    <w:uiPriority w:val="0"/>
    <w:rPr>
      <w:rFonts w:ascii="Arial" w:hAnsi="Arial" w:eastAsia="宋体"/>
      <w:color w:val="000000"/>
      <w:kern w:val="2"/>
      <w:sz w:val="21"/>
      <w:lang w:val="en-US" w:eastAsia="zh-CN" w:bidi="ar-SA"/>
    </w:rPr>
  </w:style>
  <w:style w:type="character" w:customStyle="1" w:styleId="174">
    <w:name w:val="Char Char2"/>
    <w:qFormat/>
    <w:uiPriority w:val="0"/>
    <w:rPr>
      <w:rFonts w:ascii="Arial" w:hAnsi="Arial" w:eastAsia="黑体"/>
      <w:b/>
      <w:bCs/>
      <w:kern w:val="44"/>
      <w:sz w:val="30"/>
      <w:szCs w:val="44"/>
      <w:lang w:val="en-US" w:eastAsia="zh-CN" w:bidi="ar-SA"/>
    </w:rPr>
  </w:style>
  <w:style w:type="character" w:customStyle="1" w:styleId="175">
    <w:name w:val="PI Char2"/>
    <w:qFormat/>
    <w:uiPriority w:val="0"/>
    <w:rPr>
      <w:rFonts w:ascii="仿宋_GB2312" w:eastAsia="仿宋_GB2312"/>
      <w:b/>
      <w:kern w:val="2"/>
      <w:sz w:val="24"/>
      <w:szCs w:val="24"/>
    </w:rPr>
  </w:style>
  <w:style w:type="character" w:customStyle="1" w:styleId="176">
    <w:name w:val="Ò³Ã¼ Char Char2"/>
    <w:qFormat/>
    <w:uiPriority w:val="0"/>
    <w:rPr>
      <w:rFonts w:ascii="仿宋_GB2312" w:eastAsia="仿宋_GB2312"/>
      <w:b/>
      <w:kern w:val="2"/>
      <w:sz w:val="18"/>
      <w:szCs w:val="18"/>
    </w:rPr>
  </w:style>
  <w:style w:type="character" w:customStyle="1" w:styleId="177">
    <w:name w:val="纯文本 Char1"/>
    <w:link w:val="30"/>
    <w:qFormat/>
    <w:uiPriority w:val="0"/>
    <w:rPr>
      <w:rFonts w:ascii="宋体" w:hAnsi="Courier New" w:eastAsia="宋体"/>
      <w:kern w:val="2"/>
      <w:sz w:val="21"/>
      <w:lang w:val="en-US" w:eastAsia="zh-CN" w:bidi="ar-SA"/>
    </w:rPr>
  </w:style>
  <w:style w:type="character" w:customStyle="1" w:styleId="178">
    <w:name w:val="标题 1 Char1"/>
    <w:link w:val="6"/>
    <w:qFormat/>
    <w:uiPriority w:val="0"/>
    <w:rPr>
      <w:rFonts w:ascii="楷体_GB2312" w:hAnsi="Tahoma" w:eastAsia="楷体_GB2312"/>
      <w:b/>
      <w:bCs/>
      <w:kern w:val="2"/>
      <w:sz w:val="21"/>
      <w:szCs w:val="24"/>
    </w:rPr>
  </w:style>
  <w:style w:type="character" w:customStyle="1" w:styleId="179">
    <w:name w:val="正文文本 3 Char"/>
    <w:basedOn w:val="56"/>
    <w:link w:val="23"/>
    <w:qFormat/>
    <w:uiPriority w:val="0"/>
  </w:style>
  <w:style w:type="character" w:customStyle="1" w:styleId="180">
    <w:name w:val="样式 正文文本 Char Char"/>
    <w:link w:val="181"/>
    <w:qFormat/>
    <w:uiPriority w:val="0"/>
    <w:rPr>
      <w:rFonts w:ascii="Arial" w:hAnsi="Arial" w:cs="宋体"/>
      <w:color w:val="000000"/>
      <w:kern w:val="2"/>
      <w:sz w:val="21"/>
    </w:rPr>
  </w:style>
  <w:style w:type="paragraph" w:customStyle="1" w:styleId="181">
    <w:name w:val="样式 正文文本"/>
    <w:basedOn w:val="1"/>
    <w:link w:val="180"/>
    <w:qFormat/>
    <w:uiPriority w:val="0"/>
    <w:pPr>
      <w:adjustRightInd w:val="0"/>
      <w:snapToGrid w:val="0"/>
      <w:spacing w:line="400" w:lineRule="exact"/>
      <w:ind w:firstLine="200" w:firstLineChars="200"/>
    </w:pPr>
    <w:rPr>
      <w:rFonts w:ascii="Arial" w:hAnsi="Arial"/>
      <w:color w:val="000000"/>
      <w:szCs w:val="20"/>
    </w:rPr>
  </w:style>
  <w:style w:type="character" w:customStyle="1" w:styleId="182">
    <w:name w:val="Char1"/>
    <w:qFormat/>
    <w:uiPriority w:val="0"/>
    <w:rPr>
      <w:rFonts w:ascii="宋体" w:hAnsi="宋体" w:eastAsia="宋体"/>
      <w:b/>
      <w:kern w:val="2"/>
      <w:sz w:val="24"/>
      <w:szCs w:val="24"/>
      <w:lang w:val="en-US" w:eastAsia="zh-CN" w:bidi="ar-SA"/>
    </w:rPr>
  </w:style>
  <w:style w:type="character" w:customStyle="1" w:styleId="183">
    <w:name w:val="Char Char6"/>
    <w:qFormat/>
    <w:uiPriority w:val="0"/>
    <w:rPr>
      <w:rFonts w:ascii="Times New Roman" w:hAnsi="Times New Roman" w:eastAsia="宋体" w:cs="Times New Roman"/>
      <w:szCs w:val="24"/>
    </w:rPr>
  </w:style>
  <w:style w:type="character" w:customStyle="1" w:styleId="184">
    <w:name w:val="Footer-Even Char"/>
    <w:qFormat/>
    <w:uiPriority w:val="0"/>
    <w:rPr>
      <w:rFonts w:ascii="仿宋_GB2312" w:eastAsia="仿宋_GB2312"/>
      <w:b/>
      <w:sz w:val="18"/>
      <w:szCs w:val="18"/>
    </w:rPr>
  </w:style>
  <w:style w:type="character" w:customStyle="1" w:styleId="185">
    <w:name w:val="heading 8 Char1"/>
    <w:qFormat/>
    <w:uiPriority w:val="0"/>
    <w:rPr>
      <w:rFonts w:ascii="Arial" w:hAnsi="Arial" w:eastAsia="黑体"/>
      <w:b/>
      <w:sz w:val="24"/>
      <w:szCs w:val="32"/>
      <w:lang w:val="en-US" w:eastAsia="zh-CN" w:bidi="ar-SA"/>
    </w:rPr>
  </w:style>
  <w:style w:type="character" w:customStyle="1" w:styleId="186">
    <w:name w:val="Char Char21"/>
    <w:qFormat/>
    <w:uiPriority w:val="0"/>
    <w:rPr>
      <w:rFonts w:ascii="Times New Roman" w:hAnsi="Times New Roman" w:eastAsia="宋体" w:cs="Times New Roman"/>
      <w:b/>
      <w:bCs/>
      <w:kern w:val="44"/>
      <w:sz w:val="44"/>
      <w:szCs w:val="44"/>
    </w:rPr>
  </w:style>
  <w:style w:type="character" w:customStyle="1" w:styleId="187">
    <w:name w:val="doc"/>
    <w:basedOn w:val="56"/>
    <w:qFormat/>
    <w:uiPriority w:val="0"/>
  </w:style>
  <w:style w:type="character" w:customStyle="1" w:styleId="188">
    <w:name w:val="标题 3 Char"/>
    <w:qFormat/>
    <w:uiPriority w:val="0"/>
    <w:rPr>
      <w:rFonts w:ascii="黑体" w:hAnsi="宋体" w:eastAsia="黑体"/>
      <w:bCs/>
      <w:kern w:val="2"/>
      <w:sz w:val="28"/>
      <w:szCs w:val="28"/>
      <w:lang w:val="en-US" w:eastAsia="zh-CN" w:bidi="ar-SA"/>
    </w:rPr>
  </w:style>
  <w:style w:type="character" w:customStyle="1" w:styleId="189">
    <w:name w:val="宏文本 Char"/>
    <w:link w:val="5"/>
    <w:qFormat/>
    <w:uiPriority w:val="99"/>
    <w:rPr>
      <w:rFonts w:ascii="Courier New" w:hAnsi="Courier New"/>
      <w:kern w:val="2"/>
      <w:sz w:val="24"/>
      <w:szCs w:val="24"/>
      <w:lang w:val="en-US" w:eastAsia="zh-CN" w:bidi="ar-SA"/>
    </w:rPr>
  </w:style>
  <w:style w:type="character" w:customStyle="1" w:styleId="190">
    <w:name w:val="A3"/>
    <w:qFormat/>
    <w:uiPriority w:val="0"/>
    <w:rPr>
      <w:rFonts w:ascii="ZapfDingbatsNr2EFOP-Regular" w:eastAsia="ZapfDingbatsNr2EFOP-Regular" w:cs="ZapfDingbatsNr2EFOP-Regular"/>
      <w:color w:val="211D1E"/>
      <w:sz w:val="14"/>
      <w:szCs w:val="14"/>
    </w:rPr>
  </w:style>
  <w:style w:type="character" w:customStyle="1" w:styleId="191">
    <w:name w:val="Char Char111"/>
    <w:qFormat/>
    <w:uiPriority w:val="0"/>
    <w:rPr>
      <w:rFonts w:ascii="Times New Roman" w:hAnsi="Times New Roman" w:eastAsia="宋体" w:cs="Times New Roman"/>
      <w:sz w:val="18"/>
      <w:szCs w:val="18"/>
    </w:rPr>
  </w:style>
  <w:style w:type="character" w:customStyle="1" w:styleId="192">
    <w:name w:val="标题 8 Char"/>
    <w:link w:val="13"/>
    <w:qFormat/>
    <w:uiPriority w:val="0"/>
    <w:rPr>
      <w:rFonts w:ascii="Arial" w:hAnsi="Arial" w:eastAsia="黑体"/>
      <w:b/>
      <w:sz w:val="24"/>
      <w:szCs w:val="32"/>
    </w:rPr>
  </w:style>
  <w:style w:type="character" w:customStyle="1" w:styleId="193">
    <w:name w:val="标书标题 3 Char Char Char"/>
    <w:link w:val="194"/>
    <w:qFormat/>
    <w:uiPriority w:val="0"/>
    <w:rPr>
      <w:rFonts w:ascii="Arial" w:hAnsi="Arial" w:eastAsia="仿宋_GB2312"/>
      <w:b/>
      <w:kern w:val="2"/>
      <w:sz w:val="24"/>
      <w:szCs w:val="32"/>
    </w:rPr>
  </w:style>
  <w:style w:type="paragraph" w:customStyle="1" w:styleId="194">
    <w:name w:val="标书标题 3 Char"/>
    <w:basedOn w:val="1"/>
    <w:link w:val="193"/>
    <w:qFormat/>
    <w:uiPriority w:val="0"/>
    <w:pPr>
      <w:tabs>
        <w:tab w:val="left" w:pos="720"/>
      </w:tabs>
      <w:spacing w:line="360" w:lineRule="auto"/>
      <w:outlineLvl w:val="2"/>
    </w:pPr>
    <w:rPr>
      <w:rFonts w:ascii="Arial" w:hAnsi="Arial" w:eastAsia="仿宋_GB2312"/>
      <w:b/>
      <w:sz w:val="24"/>
      <w:szCs w:val="32"/>
    </w:rPr>
  </w:style>
  <w:style w:type="character" w:customStyle="1" w:styleId="195">
    <w:name w:val="param_td1"/>
    <w:qFormat/>
    <w:uiPriority w:val="0"/>
    <w:rPr>
      <w:rFonts w:ascii="仿宋_GB2312" w:hAnsi="Tahoma" w:eastAsia="仿宋_GB2312"/>
      <w:b/>
      <w:sz w:val="32"/>
      <w:szCs w:val="32"/>
    </w:rPr>
  </w:style>
  <w:style w:type="character" w:customStyle="1" w:styleId="196">
    <w:name w:val="font161"/>
    <w:qFormat/>
    <w:uiPriority w:val="0"/>
    <w:rPr>
      <w:b/>
      <w:bCs/>
      <w:sz w:val="32"/>
      <w:szCs w:val="32"/>
    </w:rPr>
  </w:style>
  <w:style w:type="character" w:customStyle="1" w:styleId="197">
    <w:name w:val="标题 6 Char"/>
    <w:link w:val="11"/>
    <w:qFormat/>
    <w:uiPriority w:val="0"/>
    <w:rPr>
      <w:rFonts w:ascii="Arial" w:hAnsi="Arial" w:eastAsia="黑体"/>
      <w:b/>
      <w:bCs/>
      <w:kern w:val="2"/>
      <w:sz w:val="24"/>
      <w:szCs w:val="24"/>
    </w:rPr>
  </w:style>
  <w:style w:type="character" w:customStyle="1" w:styleId="198">
    <w:name w:val="font11"/>
    <w:qFormat/>
    <w:uiPriority w:val="0"/>
    <w:rPr>
      <w:rFonts w:hint="eastAsia" w:ascii="宋体" w:hAnsi="宋体" w:eastAsia="宋体" w:cs="宋体"/>
      <w:color w:val="000000"/>
      <w:sz w:val="20"/>
      <w:szCs w:val="20"/>
      <w:u w:val="none"/>
      <w:vertAlign w:val="superscript"/>
    </w:rPr>
  </w:style>
  <w:style w:type="character" w:customStyle="1" w:styleId="199">
    <w:name w:val="副标题 Char"/>
    <w:link w:val="41"/>
    <w:qFormat/>
    <w:uiPriority w:val="0"/>
    <w:rPr>
      <w:rFonts w:ascii="Cambria" w:hAnsi="Cambria"/>
      <w:b/>
      <w:bCs/>
      <w:kern w:val="28"/>
      <w:sz w:val="32"/>
      <w:szCs w:val="32"/>
    </w:rPr>
  </w:style>
  <w:style w:type="character" w:customStyle="1" w:styleId="200">
    <w:name w:val="表格 Char Char"/>
    <w:link w:val="201"/>
    <w:qFormat/>
    <w:uiPriority w:val="0"/>
    <w:rPr>
      <w:rFonts w:ascii="宋体" w:hAnsi="宋体"/>
      <w:b/>
      <w:sz w:val="32"/>
      <w:szCs w:val="32"/>
    </w:rPr>
  </w:style>
  <w:style w:type="paragraph" w:customStyle="1" w:styleId="201">
    <w:name w:val="表格"/>
    <w:basedOn w:val="1"/>
    <w:link w:val="200"/>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202">
    <w:name w:val="doc1"/>
    <w:basedOn w:val="56"/>
    <w:qFormat/>
    <w:uiPriority w:val="0"/>
  </w:style>
  <w:style w:type="character" w:customStyle="1" w:styleId="203">
    <w:name w:val="heading 1 Char1"/>
    <w:qFormat/>
    <w:uiPriority w:val="0"/>
    <w:rPr>
      <w:rFonts w:ascii="仿宋_GB2312" w:eastAsia="宋体"/>
      <w:b/>
      <w:bCs/>
      <w:kern w:val="44"/>
      <w:sz w:val="44"/>
      <w:szCs w:val="44"/>
      <w:lang w:val="en-US" w:eastAsia="zh-CN" w:bidi="ar-SA"/>
    </w:rPr>
  </w:style>
  <w:style w:type="character" w:customStyle="1" w:styleId="204">
    <w:name w:val="Char Char Char Char Char Char Char Char Char"/>
    <w:qFormat/>
    <w:uiPriority w:val="0"/>
    <w:rPr>
      <w:rFonts w:ascii="宋体" w:hAnsi="Courier New" w:eastAsia="宋体"/>
      <w:b/>
      <w:sz w:val="21"/>
      <w:szCs w:val="21"/>
      <w:lang w:val="en-US" w:eastAsia="zh-CN" w:bidi="ar-SA"/>
    </w:rPr>
  </w:style>
  <w:style w:type="character" w:customStyle="1" w:styleId="205">
    <w:name w:val="页眉 Char1"/>
    <w:link w:val="37"/>
    <w:qFormat/>
    <w:uiPriority w:val="0"/>
    <w:rPr>
      <w:kern w:val="2"/>
      <w:sz w:val="18"/>
      <w:szCs w:val="18"/>
    </w:rPr>
  </w:style>
  <w:style w:type="character" w:customStyle="1" w:styleId="206">
    <w:name w:val="正文首行缩进 Char1"/>
    <w:qFormat/>
    <w:uiPriority w:val="0"/>
    <w:rPr>
      <w:rFonts w:ascii="Tahoma" w:hAnsi="Tahoma"/>
      <w:kern w:val="2"/>
      <w:sz w:val="21"/>
      <w:szCs w:val="24"/>
    </w:rPr>
  </w:style>
  <w:style w:type="character" w:customStyle="1" w:styleId="207">
    <w:name w:val="op-map-singlepoint-info-right1"/>
    <w:basedOn w:val="56"/>
    <w:qFormat/>
    <w:uiPriority w:val="0"/>
  </w:style>
  <w:style w:type="character" w:customStyle="1" w:styleId="208">
    <w:name w:val="A6"/>
    <w:qFormat/>
    <w:uiPriority w:val="0"/>
    <w:rPr>
      <w:rFonts w:cs="Helvetica Neue"/>
      <w:color w:val="3E667A"/>
      <w:sz w:val="14"/>
      <w:szCs w:val="14"/>
    </w:rPr>
  </w:style>
  <w:style w:type="character" w:customStyle="1" w:styleId="209">
    <w:name w:val="批注文字 Char1"/>
    <w:link w:val="21"/>
    <w:qFormat/>
    <w:uiPriority w:val="0"/>
    <w:rPr>
      <w:kern w:val="2"/>
      <w:sz w:val="21"/>
      <w:szCs w:val="24"/>
    </w:rPr>
  </w:style>
  <w:style w:type="character" w:customStyle="1" w:styleId="210">
    <w:name w:val="书籍标题1"/>
    <w:qFormat/>
    <w:uiPriority w:val="0"/>
    <w:rPr>
      <w:b/>
      <w:bCs/>
      <w:smallCaps/>
      <w:spacing w:val="5"/>
    </w:rPr>
  </w:style>
  <w:style w:type="character" w:customStyle="1" w:styleId="211">
    <w:name w:val="ändrad Char"/>
    <w:qFormat/>
    <w:uiPriority w:val="0"/>
    <w:rPr>
      <w:rFonts w:ascii="仿宋_GB2312" w:eastAsia="宋体"/>
      <w:b/>
      <w:kern w:val="2"/>
      <w:sz w:val="21"/>
      <w:szCs w:val="24"/>
      <w:lang w:val="en-US" w:eastAsia="zh-CN" w:bidi="ar-SA"/>
    </w:rPr>
  </w:style>
  <w:style w:type="character" w:customStyle="1" w:styleId="212">
    <w:name w:val="正文文本缩进 2 Char"/>
    <w:qFormat/>
    <w:uiPriority w:val="0"/>
    <w:rPr>
      <w:kern w:val="2"/>
      <w:sz w:val="21"/>
      <w:szCs w:val="24"/>
    </w:rPr>
  </w:style>
  <w:style w:type="character" w:customStyle="1" w:styleId="213">
    <w:name w:val="Char Char61"/>
    <w:qFormat/>
    <w:uiPriority w:val="0"/>
    <w:rPr>
      <w:rFonts w:ascii="Times New Roman" w:hAnsi="Times New Roman" w:eastAsia="宋体" w:cs="Times New Roman"/>
      <w:szCs w:val="24"/>
    </w:rPr>
  </w:style>
  <w:style w:type="character" w:customStyle="1" w:styleId="214">
    <w:name w:val="Char Char15"/>
    <w:qFormat/>
    <w:uiPriority w:val="0"/>
    <w:rPr>
      <w:rFonts w:ascii="Arial" w:hAnsi="Arial" w:eastAsia="黑体"/>
      <w:b/>
      <w:sz w:val="24"/>
      <w:szCs w:val="24"/>
    </w:rPr>
  </w:style>
  <w:style w:type="character" w:customStyle="1" w:styleId="215">
    <w:name w:val="普通文字1 Char"/>
    <w:qFormat/>
    <w:uiPriority w:val="0"/>
    <w:rPr>
      <w:rFonts w:ascii="宋体" w:hAnsi="Courier New" w:eastAsia="宋体" w:cs="Courier New"/>
      <w:kern w:val="2"/>
      <w:sz w:val="21"/>
      <w:szCs w:val="21"/>
      <w:lang w:val="en-US" w:eastAsia="zh-CN" w:bidi="ar-SA"/>
    </w:rPr>
  </w:style>
  <w:style w:type="character" w:customStyle="1" w:styleId="216">
    <w:name w:val="Style1"/>
    <w:qFormat/>
    <w:uiPriority w:val="0"/>
    <w:rPr>
      <w:rFonts w:ascii="Calibri" w:hAnsi="宋体" w:eastAsia="宋体" w:cs="Times New Roman"/>
      <w:sz w:val="22"/>
      <w:szCs w:val="22"/>
      <w:lang w:eastAsia="zh-CN"/>
    </w:rPr>
  </w:style>
  <w:style w:type="character" w:customStyle="1" w:styleId="217">
    <w:name w:val="PI Char"/>
    <w:qFormat/>
    <w:uiPriority w:val="0"/>
    <w:rPr>
      <w:rFonts w:ascii="宋体" w:hAnsi="宋体" w:eastAsia="仿宋_GB2312"/>
      <w:b/>
      <w:sz w:val="24"/>
      <w:szCs w:val="32"/>
    </w:rPr>
  </w:style>
  <w:style w:type="character" w:customStyle="1" w:styleId="218">
    <w:name w:val="password"/>
    <w:basedOn w:val="56"/>
    <w:qFormat/>
    <w:uiPriority w:val="0"/>
  </w:style>
  <w:style w:type="character" w:customStyle="1" w:styleId="219">
    <w:name w:val="正文文本缩进 2 Char1"/>
    <w:link w:val="34"/>
    <w:qFormat/>
    <w:uiPriority w:val="0"/>
    <w:rPr>
      <w:kern w:val="2"/>
      <w:sz w:val="21"/>
      <w:szCs w:val="24"/>
    </w:rPr>
  </w:style>
  <w:style w:type="character" w:customStyle="1" w:styleId="220">
    <w:name w:val="Style2"/>
    <w:qFormat/>
    <w:uiPriority w:val="0"/>
    <w:rPr>
      <w:rFonts w:ascii="Calibri" w:hAnsi="宋体" w:eastAsia="宋体" w:cs="Times New Roman"/>
      <w:sz w:val="22"/>
      <w:szCs w:val="22"/>
      <w:lang w:eastAsia="zh-CN"/>
    </w:rPr>
  </w:style>
  <w:style w:type="character" w:customStyle="1" w:styleId="221">
    <w:name w:val="明显强调1"/>
    <w:qFormat/>
    <w:uiPriority w:val="0"/>
    <w:rPr>
      <w:b/>
      <w:bCs/>
      <w:i/>
      <w:iCs/>
      <w:color w:val="4F81BD"/>
    </w:rPr>
  </w:style>
  <w:style w:type="character" w:customStyle="1" w:styleId="222">
    <w:name w:val="称呼 Char"/>
    <w:basedOn w:val="56"/>
    <w:link w:val="22"/>
    <w:qFormat/>
    <w:uiPriority w:val="0"/>
  </w:style>
  <w:style w:type="character" w:customStyle="1" w:styleId="223">
    <w:name w:val="标题 4 Char1"/>
    <w:link w:val="9"/>
    <w:qFormat/>
    <w:uiPriority w:val="0"/>
    <w:rPr>
      <w:rFonts w:ascii="Cambria" w:hAnsi="Cambria"/>
      <w:b/>
      <w:bCs/>
      <w:kern w:val="2"/>
      <w:sz w:val="28"/>
      <w:szCs w:val="28"/>
    </w:rPr>
  </w:style>
  <w:style w:type="character" w:customStyle="1" w:styleId="224">
    <w:name w:val="标题 Char1"/>
    <w:qFormat/>
    <w:uiPriority w:val="10"/>
    <w:rPr>
      <w:rFonts w:ascii="Cambria" w:hAnsi="Cambria" w:cs="Times New Roman"/>
      <w:b/>
      <w:bCs/>
      <w:kern w:val="2"/>
      <w:sz w:val="32"/>
      <w:szCs w:val="32"/>
    </w:rPr>
  </w:style>
  <w:style w:type="character" w:customStyle="1" w:styleId="225">
    <w:name w:val="heading 9 Char1"/>
    <w:qFormat/>
    <w:uiPriority w:val="0"/>
    <w:rPr>
      <w:rFonts w:ascii="Arial" w:hAnsi="Arial" w:eastAsia="黑体"/>
      <w:b/>
      <w:sz w:val="21"/>
      <w:szCs w:val="32"/>
      <w:lang w:val="en-US" w:eastAsia="zh-CN" w:bidi="ar-SA"/>
    </w:rPr>
  </w:style>
  <w:style w:type="character" w:customStyle="1" w:styleId="226">
    <w:name w:val="正文首行缩进 Char2"/>
    <w:link w:val="3"/>
    <w:qFormat/>
    <w:uiPriority w:val="0"/>
    <w:rPr>
      <w:rFonts w:ascii="仿宋_GB2312"/>
      <w:b/>
      <w:sz w:val="32"/>
      <w:szCs w:val="32"/>
    </w:rPr>
  </w:style>
  <w:style w:type="character" w:customStyle="1" w:styleId="227">
    <w:name w:val="标题 7 Char"/>
    <w:link w:val="12"/>
    <w:qFormat/>
    <w:uiPriority w:val="0"/>
    <w:rPr>
      <w:rFonts w:ascii="Arial" w:hAnsi="Arial" w:eastAsia="黑体"/>
      <w:b/>
      <w:sz w:val="21"/>
      <w:szCs w:val="21"/>
    </w:rPr>
  </w:style>
  <w:style w:type="character" w:customStyle="1" w:styleId="228">
    <w:name w:val="style111"/>
    <w:qFormat/>
    <w:uiPriority w:val="0"/>
    <w:rPr>
      <w:sz w:val="27"/>
      <w:szCs w:val="27"/>
    </w:rPr>
  </w:style>
  <w:style w:type="character" w:customStyle="1" w:styleId="229">
    <w:name w:val="hui"/>
    <w:qFormat/>
    <w:uiPriority w:val="0"/>
    <w:rPr>
      <w:rFonts w:ascii="仿宋_GB2312" w:hAnsi="Tahoma" w:eastAsia="仿宋_GB2312"/>
      <w:b/>
      <w:sz w:val="32"/>
      <w:szCs w:val="32"/>
    </w:rPr>
  </w:style>
  <w:style w:type="character" w:customStyle="1" w:styleId="230">
    <w:name w:val="release-day"/>
    <w:qFormat/>
    <w:uiPriority w:val="0"/>
    <w:rPr>
      <w:szCs w:val="20"/>
      <w:bdr w:val="single" w:color="BDEBB0" w:sz="4" w:space="0"/>
      <w:shd w:val="clear" w:color="auto" w:fill="F5FFF1"/>
    </w:rPr>
  </w:style>
  <w:style w:type="character" w:customStyle="1" w:styleId="231">
    <w:name w:val="Ò³Ã¼ Char Char"/>
    <w:qFormat/>
    <w:uiPriority w:val="0"/>
    <w:rPr>
      <w:rFonts w:ascii="仿宋_GB2312" w:eastAsia="仿宋_GB2312"/>
      <w:b/>
      <w:sz w:val="18"/>
      <w:szCs w:val="18"/>
    </w:rPr>
  </w:style>
  <w:style w:type="character" w:customStyle="1" w:styleId="232">
    <w:name w:val="批注主题 Char"/>
    <w:qFormat/>
    <w:uiPriority w:val="0"/>
    <w:rPr>
      <w:rFonts w:eastAsia="宋体"/>
      <w:b/>
      <w:bCs/>
      <w:kern w:val="2"/>
      <w:sz w:val="21"/>
      <w:szCs w:val="24"/>
      <w:lang w:val="en-US" w:eastAsia="zh-CN" w:bidi="ar-SA"/>
    </w:rPr>
  </w:style>
  <w:style w:type="character" w:customStyle="1" w:styleId="233">
    <w:name w:val="heading 5 Char"/>
    <w:qFormat/>
    <w:uiPriority w:val="0"/>
    <w:rPr>
      <w:rFonts w:ascii="Arial" w:hAnsi="Arial" w:eastAsia="黑体"/>
      <w:b/>
      <w:sz w:val="21"/>
      <w:szCs w:val="21"/>
    </w:rPr>
  </w:style>
  <w:style w:type="character" w:customStyle="1" w:styleId="234">
    <w:name w:val="Style5"/>
    <w:qFormat/>
    <w:uiPriority w:val="0"/>
    <w:rPr>
      <w:rFonts w:ascii="Calibri" w:hAnsi="宋体" w:eastAsia="宋体" w:cs="Times New Roman"/>
      <w:sz w:val="22"/>
      <w:szCs w:val="22"/>
      <w:lang w:eastAsia="zh-CN"/>
    </w:rPr>
  </w:style>
  <w:style w:type="character" w:customStyle="1" w:styleId="235">
    <w:name w:val="样式 标题 3 + 黑体 小四 Char Char"/>
    <w:link w:val="236"/>
    <w:qFormat/>
    <w:uiPriority w:val="0"/>
    <w:rPr>
      <w:rFonts w:ascii="黑体" w:hAnsi="Arial" w:eastAsia="黑体"/>
      <w:bCs/>
      <w:sz w:val="24"/>
      <w:szCs w:val="24"/>
    </w:rPr>
  </w:style>
  <w:style w:type="paragraph" w:customStyle="1" w:styleId="236">
    <w:name w:val="样式 标题 3 + 黑体 小四"/>
    <w:basedOn w:val="8"/>
    <w:link w:val="235"/>
    <w:qFormat/>
    <w:uiPriority w:val="0"/>
    <w:pPr>
      <w:spacing w:line="413" w:lineRule="auto"/>
    </w:pPr>
    <w:rPr>
      <w:rFonts w:ascii="黑体" w:hAnsi="Arial" w:eastAsia="黑体"/>
      <w:b w:val="0"/>
      <w:kern w:val="0"/>
      <w:sz w:val="24"/>
      <w:szCs w:val="24"/>
    </w:rPr>
  </w:style>
  <w:style w:type="character" w:customStyle="1" w:styleId="237">
    <w:name w:val="style21"/>
    <w:qFormat/>
    <w:uiPriority w:val="0"/>
    <w:rPr>
      <w:rFonts w:ascii="仿宋_GB2312" w:eastAsia="仿宋_GB2312"/>
      <w:b/>
      <w:sz w:val="15"/>
      <w:szCs w:val="15"/>
    </w:rPr>
  </w:style>
  <w:style w:type="character" w:customStyle="1" w:styleId="238">
    <w:name w:val="标题 5 Char"/>
    <w:link w:val="10"/>
    <w:qFormat/>
    <w:uiPriority w:val="0"/>
    <w:rPr>
      <w:rFonts w:ascii="仿宋_GB2312" w:hAnsi="Tahoma"/>
      <w:b/>
      <w:bCs/>
      <w:kern w:val="2"/>
      <w:sz w:val="28"/>
      <w:szCs w:val="28"/>
    </w:rPr>
  </w:style>
  <w:style w:type="character" w:customStyle="1" w:styleId="239">
    <w:name w:val="正文文本缩进 Char"/>
    <w:link w:val="24"/>
    <w:qFormat/>
    <w:uiPriority w:val="0"/>
    <w:rPr>
      <w:rFonts w:ascii="宋体" w:hAnsi="宋体"/>
      <w:kern w:val="2"/>
      <w:sz w:val="24"/>
    </w:rPr>
  </w:style>
  <w:style w:type="character" w:customStyle="1" w:styleId="240">
    <w:name w:val="Heading 2 Hidden Char1 Char"/>
    <w:qFormat/>
    <w:uiPriority w:val="0"/>
    <w:rPr>
      <w:rFonts w:ascii="宋体" w:hAnsi="Times New Roman" w:eastAsia="宋体" w:cs="Times New Roman"/>
      <w:kern w:val="0"/>
      <w:sz w:val="24"/>
      <w:szCs w:val="24"/>
    </w:rPr>
  </w:style>
  <w:style w:type="character" w:customStyle="1" w:styleId="241">
    <w:name w:val="Footer-Even Char2"/>
    <w:qFormat/>
    <w:uiPriority w:val="0"/>
    <w:rPr>
      <w:rFonts w:ascii="仿宋_GB2312" w:eastAsia="仿宋_GB2312"/>
      <w:b/>
      <w:kern w:val="2"/>
      <w:sz w:val="18"/>
      <w:szCs w:val="18"/>
    </w:rPr>
  </w:style>
  <w:style w:type="character" w:customStyle="1" w:styleId="242">
    <w:name w:val="upload"/>
    <w:basedOn w:val="56"/>
    <w:qFormat/>
    <w:uiPriority w:val="0"/>
  </w:style>
  <w:style w:type="character" w:customStyle="1" w:styleId="243">
    <w:name w:val="update"/>
    <w:basedOn w:val="56"/>
    <w:qFormat/>
    <w:uiPriority w:val="0"/>
  </w:style>
  <w:style w:type="character" w:customStyle="1" w:styleId="244">
    <w:name w:val="legend"/>
    <w:qFormat/>
    <w:uiPriority w:val="0"/>
    <w:rPr>
      <w:rFonts w:ascii="Arial" w:hAnsi="Arial" w:cs="Arial"/>
      <w:b/>
      <w:color w:val="73B304"/>
      <w:sz w:val="16"/>
      <w:szCs w:val="16"/>
      <w:shd w:val="clear" w:color="auto" w:fill="FFFFFF"/>
    </w:rPr>
  </w:style>
  <w:style w:type="character" w:customStyle="1" w:styleId="245">
    <w:name w:val="hover30"/>
    <w:basedOn w:val="56"/>
    <w:qFormat/>
    <w:uiPriority w:val="0"/>
  </w:style>
  <w:style w:type="character" w:customStyle="1" w:styleId="246">
    <w:name w:val="Style4"/>
    <w:qFormat/>
    <w:uiPriority w:val="0"/>
    <w:rPr>
      <w:rFonts w:ascii="Calibri" w:hAnsi="宋体" w:eastAsia="宋体" w:cs="Times New Roman"/>
      <w:szCs w:val="22"/>
      <w:lang w:eastAsia="zh-CN"/>
    </w:rPr>
  </w:style>
  <w:style w:type="character" w:customStyle="1" w:styleId="247">
    <w:name w:val="blue1"/>
    <w:qFormat/>
    <w:uiPriority w:val="0"/>
    <w:rPr>
      <w:rFonts w:ascii="仿宋_GB2312" w:hAnsi="Tahoma" w:eastAsia="仿宋_GB2312"/>
      <w:b/>
      <w:sz w:val="32"/>
      <w:szCs w:val="32"/>
    </w:rPr>
  </w:style>
  <w:style w:type="character" w:customStyle="1" w:styleId="248">
    <w:name w:val="样式 宋体"/>
    <w:qFormat/>
    <w:uiPriority w:val="0"/>
    <w:rPr>
      <w:rFonts w:ascii="宋体" w:hAnsi="宋体" w:eastAsia="宋体"/>
      <w:b/>
      <w:sz w:val="24"/>
      <w:szCs w:val="24"/>
    </w:rPr>
  </w:style>
  <w:style w:type="paragraph" w:customStyle="1" w:styleId="249">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250">
    <w:name w:val="样式 标题 1 + 黑体 三号 非加粗 居中 段前: 6 磅 段后: 6 磅 行距: 固定值 20 磅"/>
    <w:basedOn w:val="6"/>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251">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252">
    <w:name w:val="TOC 标题1"/>
    <w:basedOn w:val="6"/>
    <w:next w:val="1"/>
    <w:qFormat/>
    <w:uiPriority w:val="0"/>
    <w:pPr>
      <w:keepLines/>
      <w:widowControl/>
      <w:spacing w:before="480" w:line="276" w:lineRule="auto"/>
      <w:jc w:val="left"/>
      <w:outlineLvl w:val="9"/>
    </w:pPr>
    <w:rPr>
      <w:rFonts w:ascii="Cambria" w:hAnsi="Cambria" w:eastAsia="宋体"/>
      <w:color w:val="365F91"/>
      <w:kern w:val="0"/>
      <w:sz w:val="28"/>
      <w:szCs w:val="28"/>
    </w:rPr>
  </w:style>
  <w:style w:type="paragraph" w:customStyle="1" w:styleId="253">
    <w:name w:val="Table Paragraph"/>
    <w:basedOn w:val="1"/>
    <w:qFormat/>
    <w:uiPriority w:val="1"/>
    <w:pPr>
      <w:autoSpaceDE w:val="0"/>
      <w:autoSpaceDN w:val="0"/>
      <w:adjustRightInd w:val="0"/>
      <w:jc w:val="left"/>
    </w:pPr>
    <w:rPr>
      <w:kern w:val="0"/>
      <w:sz w:val="24"/>
    </w:rPr>
  </w:style>
  <w:style w:type="paragraph" w:customStyle="1" w:styleId="254">
    <w:name w:val="三级条标题"/>
    <w:basedOn w:val="255"/>
    <w:next w:val="1"/>
    <w:qFormat/>
    <w:uiPriority w:val="0"/>
    <w:pPr>
      <w:numPr>
        <w:ilvl w:val="4"/>
      </w:numPr>
      <w:tabs>
        <w:tab w:val="left" w:pos="360"/>
      </w:tabs>
      <w:outlineLvl w:val="4"/>
    </w:pPr>
  </w:style>
  <w:style w:type="paragraph" w:customStyle="1" w:styleId="255">
    <w:name w:val="二级条标题"/>
    <w:basedOn w:val="256"/>
    <w:next w:val="1"/>
    <w:qFormat/>
    <w:uiPriority w:val="0"/>
    <w:pPr>
      <w:numPr>
        <w:ilvl w:val="3"/>
      </w:numPr>
      <w:tabs>
        <w:tab w:val="left" w:pos="360"/>
      </w:tabs>
      <w:outlineLvl w:val="3"/>
    </w:pPr>
  </w:style>
  <w:style w:type="paragraph" w:customStyle="1" w:styleId="256">
    <w:name w:val="一级条标题"/>
    <w:next w:val="1"/>
    <w:qFormat/>
    <w:uiPriority w:val="0"/>
    <w:pPr>
      <w:numPr>
        <w:ilvl w:val="2"/>
        <w:numId w:val="2"/>
      </w:numPr>
      <w:outlineLvl w:val="2"/>
    </w:pPr>
    <w:rPr>
      <w:rFonts w:ascii="Calibri" w:hAnsi="Calibri" w:eastAsia="黑体" w:cs="Times New Roman"/>
      <w:sz w:val="21"/>
      <w:lang w:val="en-US" w:eastAsia="zh-CN" w:bidi="ar-SA"/>
    </w:rPr>
  </w:style>
  <w:style w:type="paragraph" w:customStyle="1" w:styleId="25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58">
    <w:name w:val="正文 首行缩进:  2 字符 Char"/>
    <w:basedOn w:val="1"/>
    <w:qFormat/>
    <w:uiPriority w:val="0"/>
    <w:pPr>
      <w:spacing w:line="360" w:lineRule="auto"/>
      <w:ind w:firstLine="480"/>
    </w:pPr>
    <w:rPr>
      <w:rFonts w:cs="宋体"/>
      <w:sz w:val="24"/>
      <w:szCs w:val="20"/>
    </w:rPr>
  </w:style>
  <w:style w:type="paragraph" w:customStyle="1" w:styleId="259">
    <w:name w:val="Test2"/>
    <w:basedOn w:val="7"/>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260">
    <w:name w:val="样式 标题 2 + 居中"/>
    <w:basedOn w:val="7"/>
    <w:qFormat/>
    <w:uiPriority w:val="0"/>
    <w:pPr>
      <w:spacing w:beforeLines="50" w:beforeAutospacing="1" w:afterLines="50" w:afterAutospacing="1" w:line="360" w:lineRule="auto"/>
      <w:jc w:val="center"/>
    </w:pPr>
    <w:rPr>
      <w:rFonts w:cs="宋体"/>
      <w:szCs w:val="20"/>
    </w:rPr>
  </w:style>
  <w:style w:type="paragraph" w:customStyle="1" w:styleId="261">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62">
    <w:name w:val="Blockquote"/>
    <w:basedOn w:val="1"/>
    <w:qFormat/>
    <w:uiPriority w:val="0"/>
    <w:pPr>
      <w:autoSpaceDE w:val="0"/>
      <w:autoSpaceDN w:val="0"/>
      <w:spacing w:before="100" w:after="100"/>
      <w:ind w:left="360" w:right="360"/>
      <w:jc w:val="left"/>
    </w:pPr>
    <w:rPr>
      <w:szCs w:val="20"/>
    </w:rPr>
  </w:style>
  <w:style w:type="paragraph" w:customStyle="1" w:styleId="26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64">
    <w:name w:val="_Style 25"/>
    <w:basedOn w:val="1"/>
    <w:qFormat/>
    <w:uiPriority w:val="0"/>
  </w:style>
  <w:style w:type="paragraph" w:customStyle="1" w:styleId="265">
    <w:name w:val="前言、引言标题"/>
    <w:next w:val="1"/>
    <w:qFormat/>
    <w:uiPriority w:val="0"/>
    <w:pPr>
      <w:numPr>
        <w:ilvl w:val="0"/>
        <w:numId w:val="2"/>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66">
    <w:name w:val="样式1"/>
    <w:basedOn w:val="1"/>
    <w:next w:val="9"/>
    <w:qFormat/>
    <w:uiPriority w:val="0"/>
    <w:pPr>
      <w:spacing w:line="360" w:lineRule="auto"/>
      <w:ind w:firstLine="420" w:firstLineChars="200"/>
    </w:pPr>
    <w:rPr>
      <w:rFonts w:ascii="宋体" w:hAnsi="宋体"/>
      <w:szCs w:val="21"/>
    </w:rPr>
  </w:style>
  <w:style w:type="paragraph" w:customStyle="1" w:styleId="267">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69">
    <w:name w:val="文档正文"/>
    <w:basedOn w:val="1"/>
    <w:qFormat/>
    <w:uiPriority w:val="0"/>
    <w:pPr>
      <w:adjustRightInd w:val="0"/>
      <w:spacing w:line="300" w:lineRule="auto"/>
      <w:ind w:firstLine="567"/>
      <w:textAlignment w:val="baseline"/>
    </w:pPr>
    <w:rPr>
      <w:kern w:val="0"/>
      <w:sz w:val="24"/>
      <w:szCs w:val="20"/>
    </w:rPr>
  </w:style>
  <w:style w:type="paragraph" w:customStyle="1" w:styleId="270">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27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2">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73">
    <w:name w:val="保留正文"/>
    <w:basedOn w:val="2"/>
    <w:qFormat/>
    <w:uiPriority w:val="0"/>
    <w:pPr>
      <w:keepNext/>
      <w:spacing w:after="160"/>
    </w:pPr>
    <w:rPr>
      <w:rFonts w:ascii="仿宋_GB2312"/>
      <w:b/>
    </w:rPr>
  </w:style>
  <w:style w:type="paragraph" w:customStyle="1" w:styleId="274">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7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277">
    <w:name w:val="修订1"/>
    <w:qFormat/>
    <w:uiPriority w:val="0"/>
    <w:rPr>
      <w:rFonts w:ascii="Calibri" w:hAnsi="Calibri" w:eastAsia="宋体" w:cs="Times New Roman"/>
      <w:kern w:val="2"/>
      <w:sz w:val="21"/>
      <w:szCs w:val="24"/>
      <w:lang w:val="en-US" w:eastAsia="zh-CN" w:bidi="ar-SA"/>
    </w:rPr>
  </w:style>
  <w:style w:type="paragraph" w:customStyle="1" w:styleId="278">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79">
    <w:name w:val="样式 标题 3 + (中文) 黑体 小四 非加粗 段前: 7.8 磅 段后: 0 磅 行距: 固定值 20 磅"/>
    <w:basedOn w:val="8"/>
    <w:qFormat/>
    <w:uiPriority w:val="0"/>
    <w:pPr>
      <w:spacing w:before="0" w:after="0" w:line="400" w:lineRule="exact"/>
    </w:pPr>
    <w:rPr>
      <w:rFonts w:ascii="仿宋_GB2312" w:eastAsia="黑体" w:cs="宋体"/>
      <w:b w:val="0"/>
      <w:bCs w:val="0"/>
      <w:sz w:val="24"/>
      <w:szCs w:val="20"/>
    </w:rPr>
  </w:style>
  <w:style w:type="paragraph" w:customStyle="1" w:styleId="28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81">
    <w:name w:val="Char Char Char Char Char Char Char Char Char Char Char Char Char"/>
    <w:basedOn w:val="1"/>
    <w:qFormat/>
    <w:uiPriority w:val="0"/>
    <w:rPr>
      <w:rFonts w:ascii="Tahoma" w:hAnsi="Tahoma"/>
      <w:sz w:val="24"/>
      <w:szCs w:val="20"/>
    </w:rPr>
  </w:style>
  <w:style w:type="paragraph" w:customStyle="1" w:styleId="282">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28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4">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85">
    <w:name w:val="Char1 Char Char Char Char"/>
    <w:basedOn w:val="20"/>
    <w:qFormat/>
    <w:uiPriority w:val="0"/>
    <w:rPr>
      <w:rFonts w:ascii="Tahoma" w:hAnsi="Tahoma" w:cs="Tahoma"/>
      <w:kern w:val="0"/>
      <w:sz w:val="18"/>
    </w:rPr>
  </w:style>
  <w:style w:type="paragraph" w:customStyle="1" w:styleId="286">
    <w:name w:val="NICMAN Body Text"/>
    <w:basedOn w:val="1"/>
    <w:next w:val="2"/>
    <w:qFormat/>
    <w:uiPriority w:val="0"/>
    <w:pPr>
      <w:autoSpaceDE w:val="0"/>
      <w:autoSpaceDN w:val="0"/>
      <w:adjustRightInd w:val="0"/>
      <w:spacing w:after="120"/>
      <w:jc w:val="left"/>
    </w:pPr>
    <w:rPr>
      <w:kern w:val="0"/>
      <w:sz w:val="20"/>
      <w:szCs w:val="20"/>
    </w:rPr>
  </w:style>
  <w:style w:type="paragraph" w:customStyle="1" w:styleId="287">
    <w:name w:val="正文缩进1"/>
    <w:basedOn w:val="1"/>
    <w:qFormat/>
    <w:uiPriority w:val="0"/>
    <w:pPr>
      <w:ind w:firstLine="420"/>
    </w:pPr>
    <w:rPr>
      <w:szCs w:val="20"/>
    </w:rPr>
  </w:style>
  <w:style w:type="paragraph" w:customStyle="1" w:styleId="288">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289">
    <w:name w:val="Char Char Char"/>
    <w:basedOn w:val="1"/>
    <w:next w:val="1"/>
    <w:qFormat/>
    <w:uiPriority w:val="0"/>
    <w:pPr>
      <w:shd w:val="clear" w:color="auto" w:fill="000080"/>
    </w:pPr>
    <w:rPr>
      <w:rFonts w:ascii="Tahoma" w:hAnsi="Tahoma"/>
      <w:sz w:val="24"/>
    </w:rPr>
  </w:style>
  <w:style w:type="paragraph" w:customStyle="1" w:styleId="290">
    <w:name w:val="正文缩进1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2">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93">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294">
    <w:name w:val="Char1 Char Char Char"/>
    <w:basedOn w:val="1"/>
    <w:qFormat/>
    <w:uiPriority w:val="0"/>
    <w:rPr>
      <w:szCs w:val="20"/>
    </w:rPr>
  </w:style>
  <w:style w:type="paragraph" w:customStyle="1" w:styleId="295">
    <w:name w:val="文字"/>
    <w:basedOn w:val="1"/>
    <w:qFormat/>
    <w:uiPriority w:val="0"/>
    <w:pPr>
      <w:tabs>
        <w:tab w:val="left" w:pos="8520"/>
      </w:tabs>
      <w:spacing w:line="312" w:lineRule="auto"/>
      <w:ind w:right="-210" w:firstLine="556"/>
    </w:pPr>
    <w:rPr>
      <w:rFonts w:ascii="宋体"/>
      <w:sz w:val="28"/>
      <w:szCs w:val="20"/>
    </w:rPr>
  </w:style>
  <w:style w:type="paragraph" w:customStyle="1" w:styleId="29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7">
    <w:name w:val="列出段落1"/>
    <w:basedOn w:val="1"/>
    <w:qFormat/>
    <w:uiPriority w:val="99"/>
    <w:pPr>
      <w:ind w:firstLine="420" w:firstLineChars="200"/>
    </w:pPr>
    <w:rPr>
      <w:szCs w:val="20"/>
    </w:rPr>
  </w:style>
  <w:style w:type="paragraph" w:customStyle="1" w:styleId="29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99">
    <w:name w:val="Char"/>
    <w:basedOn w:val="1"/>
    <w:qFormat/>
    <w:uiPriority w:val="0"/>
    <w:pPr>
      <w:widowControl/>
      <w:spacing w:line="400" w:lineRule="exact"/>
      <w:jc w:val="center"/>
    </w:pPr>
    <w:rPr>
      <w:rFonts w:ascii="Verdana" w:hAnsi="Verdana"/>
      <w:kern w:val="0"/>
      <w:szCs w:val="20"/>
      <w:lang w:eastAsia="en-US"/>
    </w:rPr>
  </w:style>
  <w:style w:type="paragraph" w:customStyle="1" w:styleId="300">
    <w:name w:val="Char Char Char Char Char Char Char1"/>
    <w:basedOn w:val="1"/>
    <w:qFormat/>
    <w:uiPriority w:val="0"/>
    <w:pPr>
      <w:widowControl/>
      <w:spacing w:after="160" w:line="240" w:lineRule="exact"/>
      <w:jc w:val="left"/>
    </w:pPr>
    <w:rPr>
      <w:szCs w:val="20"/>
    </w:rPr>
  </w:style>
  <w:style w:type="paragraph" w:customStyle="1" w:styleId="30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02">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30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04">
    <w:name w:val="样式5"/>
    <w:basedOn w:val="17"/>
    <w:qFormat/>
    <w:uiPriority w:val="0"/>
    <w:pPr>
      <w:adjustRightInd/>
      <w:spacing w:line="360" w:lineRule="auto"/>
      <w:ind w:firstLine="200" w:firstLineChars="200"/>
      <w:textAlignment w:val="auto"/>
    </w:pPr>
    <w:rPr>
      <w:rFonts w:ascii="仿宋_GB2312"/>
      <w:b/>
      <w:kern w:val="2"/>
      <w:sz w:val="28"/>
      <w:szCs w:val="21"/>
    </w:rPr>
  </w:style>
  <w:style w:type="paragraph" w:customStyle="1" w:styleId="305">
    <w:name w:val="Char1 Char Char Char Char1"/>
    <w:basedOn w:val="20"/>
    <w:qFormat/>
    <w:uiPriority w:val="0"/>
    <w:rPr>
      <w:rFonts w:ascii="Tahoma" w:hAnsi="Tahoma" w:cs="Tahoma"/>
      <w:kern w:val="0"/>
      <w:sz w:val="18"/>
    </w:rPr>
  </w:style>
  <w:style w:type="paragraph" w:customStyle="1" w:styleId="306">
    <w:name w:val="四级条标题"/>
    <w:basedOn w:val="254"/>
    <w:next w:val="1"/>
    <w:qFormat/>
    <w:uiPriority w:val="0"/>
    <w:pPr>
      <w:numPr>
        <w:ilvl w:val="5"/>
      </w:numPr>
      <w:outlineLvl w:val="5"/>
    </w:pPr>
  </w:style>
  <w:style w:type="paragraph" w:customStyle="1" w:styleId="307">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08">
    <w:name w:val="Char Char Char Char Char Char Char Char Char Char Char Char Char1"/>
    <w:basedOn w:val="1"/>
    <w:qFormat/>
    <w:uiPriority w:val="0"/>
  </w:style>
  <w:style w:type="paragraph" w:customStyle="1" w:styleId="309">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10">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11">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312">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1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14">
    <w:name w:val="简单回函地址"/>
    <w:basedOn w:val="1"/>
    <w:qFormat/>
    <w:uiPriority w:val="0"/>
  </w:style>
  <w:style w:type="paragraph" w:customStyle="1" w:styleId="315">
    <w:name w:val="Char Char Char Char1"/>
    <w:basedOn w:val="1"/>
    <w:qFormat/>
    <w:uiPriority w:val="0"/>
    <w:rPr>
      <w:rFonts w:ascii="Tahoma" w:hAnsi="Tahoma"/>
      <w:sz w:val="24"/>
      <w:szCs w:val="20"/>
    </w:rPr>
  </w:style>
  <w:style w:type="paragraph" w:styleId="316">
    <w:name w:val="List Paragraph"/>
    <w:basedOn w:val="1"/>
    <w:link w:val="399"/>
    <w:qFormat/>
    <w:uiPriority w:val="0"/>
    <w:pPr>
      <w:ind w:firstLine="420" w:firstLineChars="200"/>
    </w:pPr>
  </w:style>
  <w:style w:type="paragraph" w:customStyle="1" w:styleId="317">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318">
    <w:name w:val="章标题"/>
    <w:next w:val="1"/>
    <w:qFormat/>
    <w:uiPriority w:val="0"/>
    <w:pPr>
      <w:numPr>
        <w:ilvl w:val="1"/>
        <w:numId w:val="2"/>
      </w:numPr>
      <w:spacing w:beforeLines="50" w:afterLines="50"/>
      <w:jc w:val="both"/>
      <w:outlineLvl w:val="1"/>
    </w:pPr>
    <w:rPr>
      <w:rFonts w:ascii="黑体" w:hAnsi="Calibri" w:eastAsia="黑体" w:cs="Times New Roman"/>
      <w:sz w:val="21"/>
      <w:lang w:val="en-US" w:eastAsia="zh-CN" w:bidi="ar-SA"/>
    </w:rPr>
  </w:style>
  <w:style w:type="paragraph" w:customStyle="1" w:styleId="319">
    <w:name w:val="样式 标题 3h33rd level3Heading 3 - old + 居中 左侧:  9.8 毫米 首行缩进: ...1"/>
    <w:basedOn w:val="8"/>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3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1">
    <w:name w:val="样式 标题 1Level 1Level 11h1II+IHeading1H1-Heading 1Header 1..."/>
    <w:basedOn w:val="6"/>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322">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23">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24">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25">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32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7">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32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29">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330">
    <w:name w:val="CM106"/>
    <w:basedOn w:val="331"/>
    <w:next w:val="331"/>
    <w:qFormat/>
    <w:uiPriority w:val="0"/>
    <w:rPr>
      <w:rFonts w:cs="Times New Roman"/>
      <w:color w:val="auto"/>
    </w:rPr>
  </w:style>
  <w:style w:type="paragraph" w:customStyle="1" w:styleId="3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2">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333">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4">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335">
    <w:name w:val="Char Char Char Char Char Char Char Char Char Char Char Char Char Char"/>
    <w:basedOn w:val="1"/>
    <w:qFormat/>
    <w:uiPriority w:val="0"/>
    <w:pPr>
      <w:widowControl/>
      <w:spacing w:after="160" w:line="240" w:lineRule="exact"/>
      <w:jc w:val="left"/>
    </w:pPr>
    <w:rPr>
      <w:bCs/>
    </w:rPr>
  </w:style>
  <w:style w:type="paragraph" w:customStyle="1" w:styleId="336">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37">
    <w:name w:val="_Style 33"/>
    <w:basedOn w:val="1"/>
    <w:qFormat/>
    <w:uiPriority w:val="0"/>
  </w:style>
  <w:style w:type="paragraph" w:customStyle="1" w:styleId="338">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40">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2">
    <w:name w:val="样式 四号 首行缩进:  1 厘米"/>
    <w:basedOn w:val="1"/>
    <w:qFormat/>
    <w:uiPriority w:val="0"/>
    <w:pPr>
      <w:spacing w:line="440" w:lineRule="exact"/>
      <w:ind w:firstLine="567"/>
    </w:pPr>
    <w:rPr>
      <w:rFonts w:cs="宋体"/>
      <w:sz w:val="28"/>
      <w:szCs w:val="20"/>
    </w:rPr>
  </w:style>
  <w:style w:type="paragraph" w:customStyle="1" w:styleId="3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修订11"/>
    <w:qFormat/>
    <w:uiPriority w:val="0"/>
    <w:rPr>
      <w:rFonts w:ascii="Calibri" w:hAnsi="Calibri" w:eastAsia="宋体" w:cs="Times New Roman"/>
      <w:kern w:val="2"/>
      <w:sz w:val="21"/>
      <w:szCs w:val="24"/>
      <w:lang w:val="en-US" w:eastAsia="zh-CN" w:bidi="ar-SA"/>
    </w:rPr>
  </w:style>
  <w:style w:type="paragraph" w:customStyle="1" w:styleId="34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4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8">
    <w:name w:val="纯文本1"/>
    <w:basedOn w:val="1"/>
    <w:qFormat/>
    <w:uiPriority w:val="0"/>
    <w:pPr>
      <w:adjustRightInd w:val="0"/>
      <w:snapToGrid w:val="0"/>
      <w:spacing w:line="288" w:lineRule="auto"/>
      <w:ind w:firstLine="200" w:firstLineChars="200"/>
    </w:pPr>
    <w:rPr>
      <w:rFonts w:ascii="宋体" w:hAnsi="Courier New"/>
    </w:rPr>
  </w:style>
  <w:style w:type="paragraph" w:customStyle="1" w:styleId="34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50">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351">
    <w:name w:val="Char3"/>
    <w:basedOn w:val="1"/>
    <w:qFormat/>
    <w:uiPriority w:val="0"/>
    <w:rPr>
      <w:rFonts w:ascii="Tahoma" w:hAnsi="Tahoma"/>
      <w:sz w:val="24"/>
      <w:szCs w:val="20"/>
    </w:rPr>
  </w:style>
  <w:style w:type="paragraph" w:customStyle="1" w:styleId="35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53">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54">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55">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56">
    <w:name w:val="1Text"/>
    <w:basedOn w:val="1"/>
    <w:qFormat/>
    <w:uiPriority w:val="0"/>
    <w:pPr>
      <w:spacing w:beforeLines="50" w:afterLines="50" w:line="360" w:lineRule="auto"/>
      <w:ind w:firstLine="480" w:firstLineChars="200"/>
      <w:jc w:val="left"/>
    </w:pPr>
    <w:rPr>
      <w:kern w:val="0"/>
      <w:sz w:val="24"/>
    </w:rPr>
  </w:style>
  <w:style w:type="paragraph" w:customStyle="1" w:styleId="35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58">
    <w:name w:val="样式 标题 3 + 黑体 小四 非加粗"/>
    <w:basedOn w:val="8"/>
    <w:qFormat/>
    <w:uiPriority w:val="0"/>
    <w:pPr>
      <w:spacing w:line="413" w:lineRule="auto"/>
    </w:pPr>
    <w:rPr>
      <w:rFonts w:ascii="黑体" w:hAnsi="黑体" w:eastAsia="黑体"/>
      <w:b w:val="0"/>
      <w:bCs w:val="0"/>
      <w:kern w:val="0"/>
      <w:sz w:val="24"/>
    </w:rPr>
  </w:style>
  <w:style w:type="paragraph" w:customStyle="1" w:styleId="359">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6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36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362">
    <w:name w:val="正文段"/>
    <w:basedOn w:val="1"/>
    <w:qFormat/>
    <w:uiPriority w:val="0"/>
    <w:pPr>
      <w:widowControl/>
      <w:snapToGrid w:val="0"/>
      <w:spacing w:afterLines="50"/>
      <w:ind w:firstLine="200" w:firstLineChars="200"/>
    </w:pPr>
    <w:rPr>
      <w:kern w:val="0"/>
      <w:sz w:val="24"/>
      <w:szCs w:val="20"/>
    </w:rPr>
  </w:style>
  <w:style w:type="paragraph" w:customStyle="1" w:styleId="363">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64">
    <w:name w:val="1 Char"/>
    <w:basedOn w:val="17"/>
    <w:qFormat/>
    <w:uiPriority w:val="0"/>
    <w:pPr>
      <w:adjustRightInd/>
      <w:spacing w:line="360" w:lineRule="auto"/>
      <w:ind w:firstLine="200" w:firstLineChars="200"/>
      <w:textAlignment w:val="auto"/>
    </w:pPr>
    <w:rPr>
      <w:rFonts w:ascii="仿宋_GB2312"/>
      <w:b/>
      <w:kern w:val="2"/>
      <w:szCs w:val="32"/>
    </w:rPr>
  </w:style>
  <w:style w:type="paragraph" w:customStyle="1" w:styleId="36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66">
    <w:name w:val="1"/>
    <w:basedOn w:val="1"/>
    <w:qFormat/>
    <w:uiPriority w:val="0"/>
  </w:style>
  <w:style w:type="paragraph" w:customStyle="1" w:styleId="367">
    <w:name w:val="Pa5"/>
    <w:basedOn w:val="331"/>
    <w:next w:val="331"/>
    <w:qFormat/>
    <w:uiPriority w:val="0"/>
    <w:pPr>
      <w:spacing w:after="60" w:line="161" w:lineRule="atLeast"/>
    </w:pPr>
    <w:rPr>
      <w:rFonts w:ascii="Univers LT Std 57 Cn" w:hAnsi="Univers LT Std 57 Cn" w:cs="Times New Roman"/>
      <w:color w:val="auto"/>
    </w:rPr>
  </w:style>
  <w:style w:type="paragraph" w:customStyle="1" w:styleId="3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36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0">
    <w:name w:val="招标文件－标准正文"/>
    <w:basedOn w:val="30"/>
    <w:qFormat/>
    <w:uiPriority w:val="0"/>
    <w:pPr>
      <w:spacing w:line="360" w:lineRule="auto"/>
    </w:pPr>
    <w:rPr>
      <w:rFonts w:ascii="Times New Roman" w:hAnsi="Times New Roman" w:cs="宋体"/>
      <w:color w:val="000000"/>
      <w:sz w:val="24"/>
    </w:rPr>
  </w:style>
  <w:style w:type="paragraph" w:customStyle="1" w:styleId="37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72">
    <w:name w:val="样式 标题 3 + 黑色 段前: 5 磅 段后: 5 磅 行距: 1.5 倍行距"/>
    <w:basedOn w:val="1"/>
    <w:qFormat/>
    <w:uiPriority w:val="0"/>
    <w:pPr>
      <w:ind w:left="855" w:hanging="855"/>
    </w:pPr>
    <w:rPr>
      <w:sz w:val="24"/>
      <w:szCs w:val="20"/>
    </w:rPr>
  </w:style>
  <w:style w:type="paragraph" w:customStyle="1" w:styleId="373">
    <w:name w:val="正文字缩2字"/>
    <w:basedOn w:val="1"/>
    <w:qFormat/>
    <w:uiPriority w:val="0"/>
    <w:pPr>
      <w:spacing w:before="60" w:after="60" w:line="360" w:lineRule="auto"/>
      <w:ind w:left="200" w:leftChars="200" w:firstLine="200" w:firstLineChars="200"/>
    </w:pPr>
    <w:rPr>
      <w:sz w:val="24"/>
    </w:rPr>
  </w:style>
  <w:style w:type="paragraph" w:customStyle="1" w:styleId="37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5">
    <w:name w:val="Char Char Char Char11"/>
    <w:basedOn w:val="1"/>
    <w:qFormat/>
    <w:uiPriority w:val="0"/>
    <w:rPr>
      <w:szCs w:val="20"/>
    </w:rPr>
  </w:style>
  <w:style w:type="paragraph" w:customStyle="1" w:styleId="37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77">
    <w:name w:val="Char Char Char Char Char Char"/>
    <w:basedOn w:val="1"/>
    <w:qFormat/>
    <w:uiPriority w:val="0"/>
    <w:rPr>
      <w:rFonts w:ascii="Tahoma" w:hAnsi="Tahoma"/>
      <w:sz w:val="24"/>
      <w:szCs w:val="20"/>
    </w:rPr>
  </w:style>
  <w:style w:type="paragraph" w:customStyle="1" w:styleId="37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79">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38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2">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38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84">
    <w:name w:val="blockquote"/>
    <w:basedOn w:val="1"/>
    <w:qFormat/>
    <w:uiPriority w:val="0"/>
    <w:pPr>
      <w:widowControl/>
      <w:spacing w:before="100" w:beforeAutospacing="1" w:after="100" w:afterAutospacing="1"/>
      <w:jc w:val="left"/>
    </w:pPr>
    <w:rPr>
      <w:rFonts w:ascii="宋体" w:hAnsi="宋体"/>
    </w:rPr>
  </w:style>
  <w:style w:type="paragraph" w:customStyle="1" w:styleId="385">
    <w:name w:val="五级条标题"/>
    <w:basedOn w:val="306"/>
    <w:next w:val="1"/>
    <w:qFormat/>
    <w:uiPriority w:val="0"/>
    <w:pPr>
      <w:numPr>
        <w:ilvl w:val="6"/>
      </w:numPr>
      <w:outlineLvl w:val="6"/>
    </w:pPr>
  </w:style>
  <w:style w:type="paragraph" w:customStyle="1" w:styleId="386">
    <w:name w:val="Char Char3"/>
    <w:basedOn w:val="1"/>
    <w:qFormat/>
    <w:uiPriority w:val="0"/>
    <w:rPr>
      <w:rFonts w:ascii="仿宋_GB2312" w:eastAsia="仿宋_GB2312"/>
      <w:b/>
      <w:sz w:val="32"/>
      <w:szCs w:val="32"/>
    </w:rPr>
  </w:style>
  <w:style w:type="paragraph" w:customStyle="1" w:styleId="38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38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89">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9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91">
    <w:name w:val="普通 (Web)"/>
    <w:basedOn w:val="1"/>
    <w:qFormat/>
    <w:uiPriority w:val="0"/>
    <w:pPr>
      <w:widowControl/>
      <w:spacing w:before="100" w:after="100"/>
      <w:jc w:val="left"/>
    </w:pPr>
    <w:rPr>
      <w:rFonts w:ascii="宋体" w:hAnsi="宋体"/>
      <w:kern w:val="0"/>
      <w:sz w:val="24"/>
    </w:rPr>
  </w:style>
  <w:style w:type="paragraph" w:customStyle="1" w:styleId="392">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93">
    <w:name w:val="正文－恩普"/>
    <w:basedOn w:val="17"/>
    <w:qFormat/>
    <w:uiPriority w:val="0"/>
    <w:pPr>
      <w:adjustRightInd/>
      <w:spacing w:line="360" w:lineRule="auto"/>
      <w:ind w:firstLine="200" w:firstLineChars="200"/>
      <w:textAlignment w:val="auto"/>
    </w:pPr>
    <w:rPr>
      <w:rFonts w:ascii="仿宋_GB2312"/>
      <w:b/>
      <w:kern w:val="2"/>
      <w:sz w:val="24"/>
      <w:szCs w:val="24"/>
    </w:rPr>
  </w:style>
  <w:style w:type="paragraph" w:customStyle="1" w:styleId="39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96">
    <w:name w:val="Char Char Char Char Char Char Char Char Char1 Char"/>
    <w:basedOn w:val="1"/>
    <w:qFormat/>
    <w:uiPriority w:val="0"/>
  </w:style>
  <w:style w:type="paragraph" w:customStyle="1" w:styleId="397">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customStyle="1" w:styleId="398">
    <w:name w:val="列出段落2"/>
    <w:basedOn w:val="1"/>
    <w:qFormat/>
    <w:uiPriority w:val="34"/>
    <w:pPr>
      <w:ind w:firstLine="420" w:firstLineChars="200"/>
    </w:pPr>
  </w:style>
  <w:style w:type="character" w:customStyle="1" w:styleId="399">
    <w:name w:val="列出段落 Char"/>
    <w:link w:val="316"/>
    <w:qFormat/>
    <w:uiPriority w:val="0"/>
    <w:rPr>
      <w:rFonts w:ascii="Calibri" w:hAnsi="Calibri"/>
      <w:kern w:val="2"/>
      <w:sz w:val="21"/>
      <w:szCs w:val="24"/>
    </w:rPr>
  </w:style>
  <w:style w:type="paragraph" w:customStyle="1" w:styleId="400">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01">
    <w:name w:val="怡1"/>
    <w:basedOn w:val="6"/>
    <w:qFormat/>
    <w:uiPriority w:val="0"/>
    <w:pPr>
      <w:keepLines/>
      <w:numPr>
        <w:ilvl w:val="0"/>
        <w:numId w:val="3"/>
      </w:numPr>
      <w:spacing w:before="480" w:after="480"/>
      <w:jc w:val="left"/>
    </w:pPr>
    <w:rPr>
      <w:rFonts w:ascii="Calibri" w:hAnsi="Calibri" w:eastAsia="宋体"/>
      <w:kern w:val="0"/>
      <w:sz w:val="32"/>
      <w:szCs w:val="44"/>
      <w:lang w:val="zh-CN"/>
    </w:rPr>
  </w:style>
  <w:style w:type="paragraph" w:customStyle="1" w:styleId="402">
    <w:name w:val="*正文"/>
    <w:basedOn w:val="1"/>
    <w:qFormat/>
    <w:uiPriority w:val="0"/>
    <w:pPr>
      <w:widowControl/>
      <w:spacing w:line="360" w:lineRule="auto"/>
      <w:ind w:firstLine="200" w:firstLineChars="200"/>
      <w:jc w:val="left"/>
    </w:pPr>
    <w:rPr>
      <w:rFonts w:ascii="仿宋_GB2312" w:eastAsia="仿宋_GB2312"/>
      <w:sz w:val="24"/>
      <w:szCs w:val="28"/>
      <w:lang w:val="zh-CN"/>
    </w:rPr>
  </w:style>
  <w:style w:type="paragraph" w:customStyle="1" w:styleId="403">
    <w:name w:val="怡2"/>
    <w:basedOn w:val="7"/>
    <w:next w:val="8"/>
    <w:qFormat/>
    <w:uiPriority w:val="0"/>
    <w:pPr>
      <w:numPr>
        <w:ilvl w:val="1"/>
        <w:numId w:val="3"/>
      </w:numPr>
      <w:spacing w:before="360" w:after="360" w:line="480" w:lineRule="auto"/>
      <w:jc w:val="left"/>
    </w:pPr>
    <w:rPr>
      <w:rFonts w:ascii="Cambria" w:hAnsi="Cambria" w:eastAsia="宋体"/>
      <w:kern w:val="0"/>
      <w:sz w:val="36"/>
    </w:rPr>
  </w:style>
  <w:style w:type="paragraph" w:customStyle="1" w:styleId="404">
    <w:name w:val="怡3"/>
    <w:basedOn w:val="8"/>
    <w:qFormat/>
    <w:uiPriority w:val="0"/>
    <w:pPr>
      <w:numPr>
        <w:ilvl w:val="2"/>
        <w:numId w:val="3"/>
      </w:numPr>
      <w:tabs>
        <w:tab w:val="left" w:pos="857"/>
      </w:tabs>
      <w:spacing w:before="240" w:after="240" w:line="480" w:lineRule="auto"/>
      <w:jc w:val="left"/>
    </w:pPr>
    <w:rPr>
      <w:rFonts w:ascii="宋体" w:hAnsi="宋体"/>
    </w:rPr>
  </w:style>
  <w:style w:type="paragraph" w:customStyle="1" w:styleId="405">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6">
    <w:name w:val="纯文本2"/>
    <w:basedOn w:val="405"/>
    <w:qFormat/>
    <w:uiPriority w:val="0"/>
    <w:pPr>
      <w:adjustRightInd w:val="0"/>
      <w:snapToGrid w:val="0"/>
      <w:spacing w:line="288" w:lineRule="auto"/>
      <w:ind w:firstLine="200" w:firstLineChars="200"/>
    </w:pPr>
    <w:rPr>
      <w:rFonts w:ascii="宋体" w:hAnsi="Courier New"/>
    </w:rPr>
  </w:style>
  <w:style w:type="paragraph" w:customStyle="1" w:styleId="407">
    <w:name w:val="列出段落3"/>
    <w:basedOn w:val="1"/>
    <w:qFormat/>
    <w:uiPriority w:val="99"/>
    <w:pPr>
      <w:widowControl/>
      <w:ind w:firstLine="420" w:firstLineChars="200"/>
      <w:jc w:val="left"/>
    </w:pPr>
    <w:rPr>
      <w:rFonts w:ascii="宋体" w:hAnsi="宋体" w:cs="宋体"/>
      <w:kern w:val="0"/>
      <w:sz w:val="24"/>
    </w:rPr>
  </w:style>
  <w:style w:type="paragraph" w:customStyle="1" w:styleId="408">
    <w:name w:val="List Paragraph1"/>
    <w:basedOn w:val="1"/>
    <w:qFormat/>
    <w:uiPriority w:val="34"/>
    <w:pPr>
      <w:ind w:firstLine="420" w:firstLineChars="200"/>
    </w:pPr>
    <w:rPr>
      <w:rFonts w:ascii="等线" w:hAnsi="等线"/>
    </w:rPr>
  </w:style>
  <w:style w:type="character" w:customStyle="1" w:styleId="409">
    <w:name w:val="副标题 Char4"/>
    <w:qFormat/>
    <w:uiPriority w:val="0"/>
    <w:rPr>
      <w:rFonts w:ascii="Cambria" w:hAnsi="Cambria"/>
      <w:b/>
      <w:bCs/>
      <w:kern w:val="28"/>
      <w:sz w:val="32"/>
      <w:szCs w:val="32"/>
    </w:rPr>
  </w:style>
  <w:style w:type="character" w:customStyle="1" w:styleId="410">
    <w:name w:val="正文首行缩进 Char4"/>
    <w:qFormat/>
    <w:uiPriority w:val="0"/>
    <w:rPr>
      <w:rFonts w:ascii="仿宋_GB2312"/>
      <w:b/>
      <w:sz w:val="32"/>
      <w:szCs w:val="32"/>
    </w:rPr>
  </w:style>
  <w:style w:type="character" w:customStyle="1" w:styleId="411">
    <w:name w:val="正文文本 Char2"/>
    <w:qFormat/>
    <w:uiPriority w:val="0"/>
    <w:rPr>
      <w:rFonts w:ascii="Tahoma" w:hAnsi="Tahoma"/>
      <w:kern w:val="2"/>
      <w:sz w:val="21"/>
      <w:szCs w:val="24"/>
    </w:rPr>
  </w:style>
  <w:style w:type="character" w:customStyle="1" w:styleId="412">
    <w:name w:val="普通(网站) Char"/>
    <w:link w:val="49"/>
    <w:qFormat/>
    <w:uiPriority w:val="99"/>
    <w:rPr>
      <w:rFonts w:ascii="宋体" w:hAnsi="宋体"/>
      <w:color w:val="000000"/>
      <w:sz w:val="24"/>
      <w:szCs w:val="24"/>
    </w:rPr>
  </w:style>
  <w:style w:type="paragraph" w:customStyle="1" w:styleId="413">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character" w:customStyle="1" w:styleId="414">
    <w:name w:val="纯文本 Char3"/>
    <w:qFormat/>
    <w:uiPriority w:val="0"/>
    <w:rPr>
      <w:rFonts w:ascii="宋体" w:hAnsi="Courier New" w:eastAsia="宋体"/>
      <w:kern w:val="2"/>
      <w:sz w:val="21"/>
      <w:lang w:val="en-US" w:eastAsia="zh-CN" w:bidi="ar-SA"/>
    </w:rPr>
  </w:style>
  <w:style w:type="character" w:customStyle="1" w:styleId="415">
    <w:name w:val="标题 1 Char2"/>
    <w:qFormat/>
    <w:uiPriority w:val="0"/>
    <w:rPr>
      <w:rFonts w:ascii="楷体_GB2312" w:hAnsi="Tahoma" w:eastAsia="楷体_GB2312"/>
      <w:b/>
      <w:bCs/>
      <w:kern w:val="2"/>
      <w:sz w:val="21"/>
      <w:szCs w:val="24"/>
    </w:rPr>
  </w:style>
  <w:style w:type="paragraph" w:customStyle="1" w:styleId="416">
    <w:name w:val="正文 A"/>
    <w:qFormat/>
    <w:uiPriority w:val="0"/>
    <w:pPr>
      <w:widowControl w:val="0"/>
      <w:jc w:val="both"/>
    </w:pPr>
    <w:rPr>
      <w:rFonts w:hint="eastAsia" w:ascii="Arial Unicode MS" w:hAnsi="Arial Unicode MS" w:cs="Arial Unicode MS" w:eastAsiaTheme="minorEastAsia"/>
      <w:color w:val="000000"/>
      <w:sz w:val="21"/>
      <w:szCs w:val="21"/>
      <w:u w:color="000000"/>
      <w:lang w:val="en-US" w:eastAsia="zh-CN" w:bidi="ar-SA"/>
    </w:rPr>
  </w:style>
  <w:style w:type="table" w:customStyle="1" w:styleId="417">
    <w:name w:val="Table Normal"/>
    <w:qFormat/>
    <w:uiPriority w:val="0"/>
    <w:tblPr>
      <w:tblCellMar>
        <w:top w:w="0" w:type="dxa"/>
        <w:left w:w="0" w:type="dxa"/>
        <w:bottom w:w="0" w:type="dxa"/>
        <w:right w:w="0" w:type="dxa"/>
      </w:tblCellMar>
    </w:tblPr>
  </w:style>
  <w:style w:type="character" w:customStyle="1" w:styleId="418">
    <w:name w:val="无"/>
    <w:qFormat/>
    <w:uiPriority w:val="0"/>
  </w:style>
  <w:style w:type="paragraph" w:customStyle="1" w:styleId="419">
    <w:name w:val="Plain Text"/>
    <w:basedOn w:val="1"/>
    <w:qFormat/>
    <w:uiPriority w:val="0"/>
    <w:pPr>
      <w:adjustRightInd w:val="0"/>
      <w:snapToGrid w:val="0"/>
      <w:spacing w:line="288" w:lineRule="auto"/>
      <w:ind w:firstLine="200" w:firstLineChars="200"/>
    </w:pPr>
    <w:rPr>
      <w:rFonts w:ascii="宋体" w:hAnsi="Courier New"/>
    </w:rPr>
  </w:style>
  <w:style w:type="paragraph" w:customStyle="1" w:styleId="420">
    <w:name w:val="表内文字"/>
    <w:basedOn w:val="1"/>
    <w:qFormat/>
    <w:uiPriority w:val="0"/>
    <w:pPr>
      <w:spacing w:line="500" w:lineRule="atLeast"/>
      <w:jc w:val="center"/>
    </w:pPr>
    <w:rPr>
      <w:rFonts w:ascii="Arial" w:hAnsi="Arial" w:eastAsia="楷体_GB2312"/>
      <w:sz w:val="28"/>
    </w:rPr>
  </w:style>
  <w:style w:type="paragraph" w:customStyle="1" w:styleId="421">
    <w:name w:val="xl55"/>
    <w:basedOn w:val="1"/>
    <w:qFormat/>
    <w:uiPriority w:val="0"/>
    <w:pPr>
      <w:widowControl/>
      <w:spacing w:before="100" w:beforeAutospacing="1" w:after="100" w:afterAutospacing="1"/>
      <w:jc w:val="center"/>
      <w:textAlignment w:val="center"/>
    </w:pPr>
    <w:rPr>
      <w:rFonts w:ascii="Arial Unicode MS" w:hAnsi="Arial Unicode MS" w:eastAsia="宋体"/>
      <w:color w:val="auto"/>
      <w:sz w:val="24"/>
      <w:szCs w:val="24"/>
    </w:rPr>
  </w:style>
  <w:style w:type="paragraph" w:customStyle="1" w:styleId="422">
    <w:name w:val="_Style 1"/>
    <w:basedOn w:val="1"/>
    <w:qFormat/>
    <w:uiPriority w:val="34"/>
    <w:pPr>
      <w:ind w:firstLine="420" w:firstLineChars="200"/>
    </w:pPr>
    <w:rPr>
      <w:rFonts w:ascii="Calibri" w:hAnsi="Calibri" w:eastAsia="宋体"/>
      <w:color w:val="auto"/>
      <w:kern w:val="2"/>
      <w:szCs w:val="22"/>
    </w:rPr>
  </w:style>
  <w:style w:type="character" w:customStyle="1" w:styleId="423">
    <w:name w:val="NormalCharacter"/>
    <w:qFormat/>
    <w:uiPriority w:val="0"/>
  </w:style>
  <w:style w:type="character" w:customStyle="1" w:styleId="424">
    <w:name w:val="first-child"/>
    <w:basedOn w:val="56"/>
    <w:qFormat/>
    <w:uiPriority w:val="0"/>
  </w:style>
  <w:style w:type="character" w:customStyle="1" w:styleId="425">
    <w:name w:val="first-child1"/>
    <w:basedOn w:val="56"/>
    <w:qFormat/>
    <w:uiPriority w:val="0"/>
  </w:style>
  <w:style w:type="character" w:customStyle="1" w:styleId="426">
    <w:name w:val="desc_pwj6j"/>
    <w:basedOn w:val="56"/>
    <w:qFormat/>
    <w:uiPriority w:val="0"/>
    <w:rPr>
      <w:color w:val="333333"/>
    </w:rPr>
  </w:style>
  <w:style w:type="character" w:customStyle="1" w:styleId="427">
    <w:name w:val="type_leeka"/>
    <w:basedOn w:val="56"/>
    <w:qFormat/>
    <w:uiPriority w:val="0"/>
    <w:rPr>
      <w:color w:val="999999"/>
    </w:rPr>
  </w:style>
  <w:style w:type="character" w:customStyle="1" w:styleId="428">
    <w:name w:val="font"/>
    <w:basedOn w:val="56"/>
    <w:qFormat/>
    <w:uiPriority w:val="0"/>
  </w:style>
  <w:style w:type="character" w:customStyle="1" w:styleId="429">
    <w:name w:val="laypage_curr"/>
    <w:basedOn w:val="56"/>
    <w:qFormat/>
    <w:uiPriority w:val="0"/>
    <w:rPr>
      <w:color w:val="FFFDF4"/>
      <w:sz w:val="42"/>
      <w:szCs w:val="42"/>
      <w:shd w:val="clear" w:fill="0B67A6"/>
    </w:rPr>
  </w:style>
  <w:style w:type="character" w:customStyle="1" w:styleId="430">
    <w:name w:val="active&gt;i"/>
    <w:basedOn w:val="56"/>
    <w:qFormat/>
    <w:uiPriority w:val="0"/>
  </w:style>
  <w:style w:type="character" w:customStyle="1" w:styleId="431">
    <w:name w:val="font-zyygwj"/>
    <w:basedOn w:val="56"/>
    <w:qFormat/>
    <w:uiPriority w:val="0"/>
  </w:style>
  <w:style w:type="character" w:customStyle="1" w:styleId="432">
    <w:name w:val="font-zyygwj1"/>
    <w:basedOn w:val="56"/>
    <w:qFormat/>
    <w:uiPriority w:val="0"/>
  </w:style>
  <w:style w:type="character" w:customStyle="1" w:styleId="433">
    <w:name w:val="noline"/>
    <w:basedOn w:val="56"/>
    <w:qFormat/>
    <w:uiPriority w:val="0"/>
  </w:style>
  <w:style w:type="character" w:customStyle="1" w:styleId="434">
    <w:name w:val="place"/>
    <w:basedOn w:val="56"/>
    <w:qFormat/>
    <w:uiPriority w:val="0"/>
  </w:style>
  <w:style w:type="character" w:customStyle="1" w:styleId="435">
    <w:name w:val="place1"/>
    <w:basedOn w:val="56"/>
    <w:qFormat/>
    <w:uiPriority w:val="0"/>
  </w:style>
  <w:style w:type="character" w:customStyle="1" w:styleId="436">
    <w:name w:val="place2"/>
    <w:basedOn w:val="56"/>
    <w:qFormat/>
    <w:uiPriority w:val="0"/>
    <w:rPr>
      <w:rFonts w:ascii="微软雅黑" w:hAnsi="微软雅黑" w:eastAsia="微软雅黑" w:cs="微软雅黑"/>
      <w:color w:val="888888"/>
      <w:sz w:val="25"/>
      <w:szCs w:val="25"/>
    </w:rPr>
  </w:style>
  <w:style w:type="character" w:customStyle="1" w:styleId="437">
    <w:name w:val="place3"/>
    <w:basedOn w:val="56"/>
    <w:qFormat/>
    <w:uiPriority w:val="0"/>
  </w:style>
  <w:style w:type="character" w:customStyle="1" w:styleId="438">
    <w:name w:val="bg02"/>
    <w:basedOn w:val="56"/>
    <w:qFormat/>
    <w:uiPriority w:val="0"/>
  </w:style>
  <w:style w:type="character" w:customStyle="1" w:styleId="439">
    <w:name w:val="on5"/>
    <w:basedOn w:val="56"/>
    <w:qFormat/>
    <w:uiPriority w:val="0"/>
    <w:rPr>
      <w:color w:val="FFFFFF"/>
      <w:shd w:val="clear" w:fill="0B67A6"/>
    </w:rPr>
  </w:style>
  <w:style w:type="character" w:customStyle="1" w:styleId="440">
    <w:name w:val="on6"/>
    <w:basedOn w:val="56"/>
    <w:qFormat/>
    <w:uiPriority w:val="0"/>
    <w:rPr>
      <w:b/>
      <w:bCs/>
      <w:color w:val="015293"/>
    </w:rPr>
  </w:style>
  <w:style w:type="character" w:customStyle="1" w:styleId="441">
    <w:name w:val="tabg"/>
    <w:basedOn w:val="56"/>
    <w:qFormat/>
    <w:uiPriority w:val="0"/>
    <w:rPr>
      <w:color w:val="FFFFFF"/>
      <w:sz w:val="27"/>
      <w:szCs w:val="27"/>
    </w:rPr>
  </w:style>
  <w:style w:type="character" w:customStyle="1" w:styleId="442">
    <w:name w:val="bg01"/>
    <w:basedOn w:val="56"/>
    <w:qFormat/>
    <w:uiPriority w:val="0"/>
  </w:style>
  <w:style w:type="character" w:customStyle="1" w:styleId="443">
    <w:name w:val="font_gjgzk"/>
    <w:basedOn w:val="56"/>
    <w:qFormat/>
    <w:uiPriority w:val="0"/>
  </w:style>
  <w:style w:type="character" w:customStyle="1" w:styleId="444">
    <w:name w:val="font1"/>
    <w:basedOn w:val="56"/>
    <w:qFormat/>
    <w:uiPriority w:val="0"/>
  </w:style>
  <w:style w:type="character" w:customStyle="1" w:styleId="445">
    <w:name w:val="on4"/>
    <w:basedOn w:val="56"/>
    <w:qFormat/>
    <w:uiPriority w:val="0"/>
    <w:rPr>
      <w:color w:val="FFFFFF"/>
      <w:shd w:val="clear" w:fill="0B67A6"/>
    </w:rPr>
  </w:style>
  <w:style w:type="character" w:customStyle="1" w:styleId="446">
    <w:name w:val="hover14"/>
    <w:basedOn w:val="56"/>
    <w:qFormat/>
    <w:uiPriority w:val="0"/>
    <w:rPr>
      <w:color w:val="025291"/>
    </w:rPr>
  </w:style>
  <w:style w:type="character" w:customStyle="1" w:styleId="447">
    <w:name w:val="on"/>
    <w:basedOn w:val="56"/>
    <w:qFormat/>
    <w:uiPriority w:val="0"/>
    <w:rPr>
      <w:b/>
      <w:bCs/>
      <w:color w:val="015293"/>
    </w:rPr>
  </w:style>
  <w:style w:type="character" w:customStyle="1" w:styleId="448">
    <w:name w:val="on1"/>
    <w:basedOn w:val="56"/>
    <w:qFormat/>
    <w:uiPriority w:val="0"/>
    <w:rPr>
      <w:color w:val="FFFFFF"/>
      <w:shd w:val="clear" w:fill="0B67A6"/>
    </w:rPr>
  </w:style>
  <w:style w:type="character" w:customStyle="1" w:styleId="449">
    <w:name w:val="hover"/>
    <w:basedOn w:val="56"/>
    <w:qFormat/>
    <w:uiPriority w:val="0"/>
    <w:rPr>
      <w:color w:val="02529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19320</Words>
  <Characters>20862</Characters>
  <Lines>342</Lines>
  <Paragraphs>96</Paragraphs>
  <TotalTime>22</TotalTime>
  <ScaleCrop>false</ScaleCrop>
  <LinksUpToDate>false</LinksUpToDate>
  <CharactersWithSpaces>21189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2021-02-10T21:47:00Z</dcterms:created>
  <dc:creator>can</dc:creator>
  <cp:lastModifiedBy>86136</cp:lastModifiedBy>
  <cp:lastPrinted>2024-11-15T17:21:00Z</cp:lastPrinted>
  <dcterms:modified xsi:type="dcterms:W3CDTF">2024-12-18T15:08:05Z</dcterms:modified>
  <dc:title>温州市政府集中采购</dc:title>
  <cp:revision>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27D2FF76576C42EBBA5658A2F57932A1_13</vt:lpwstr>
  </property>
</Properties>
</file>