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pStyle w:val="968"/>
        <w:spacing w:line="760" w:lineRule="exact"/>
        <w:rPr>
          <w:rFonts w:ascii="宋体" w:eastAsia="宋体"/>
          <w:color w:val="auto"/>
          <w:sz w:val="72"/>
          <w:szCs w:val="72"/>
        </w:rPr>
      </w:pPr>
    </w:p>
    <w:p>
      <w:pPr>
        <w:pStyle w:val="24"/>
        <w:jc w:val="center"/>
        <w:rPr>
          <w:rFonts w:hAnsi="宋体" w:cs="宋体"/>
          <w:b/>
          <w:bCs/>
          <w:color w:val="auto"/>
          <w:sz w:val="48"/>
          <w:szCs w:val="48"/>
          <w:lang w:val="en-US"/>
        </w:rPr>
      </w:pPr>
      <w:r>
        <w:rPr>
          <w:rFonts w:hint="eastAsia" w:hAnsi="宋体" w:cs="宋体"/>
          <w:b/>
          <w:bCs/>
          <w:color w:val="auto"/>
          <w:sz w:val="52"/>
          <w:szCs w:val="52"/>
          <w:lang w:val="en-US"/>
        </w:rPr>
        <w:t>萧山区潮文化Power“街头旋律”文艺点亮计划项目</w:t>
      </w:r>
      <w:bookmarkStart w:id="381" w:name="_GoBack"/>
      <w:bookmarkEnd w:id="381"/>
    </w:p>
    <w:p>
      <w:pPr>
        <w:pStyle w:val="24"/>
        <w:jc w:val="center"/>
        <w:rPr>
          <w:rFonts w:hAnsi="宋体" w:cs="宋体"/>
          <w:b/>
          <w:bCs/>
          <w:color w:val="auto"/>
          <w:sz w:val="48"/>
          <w:szCs w:val="48"/>
          <w:lang w:val="en-US"/>
        </w:rPr>
      </w:pPr>
    </w:p>
    <w:p>
      <w:pPr>
        <w:adjustRightInd/>
        <w:spacing w:line="360" w:lineRule="auto"/>
        <w:rPr>
          <w:rFonts w:ascii="宋体" w:hAnsi="宋体" w:cs="宋体"/>
          <w:b/>
          <w:bCs/>
          <w:color w:val="auto"/>
          <w:sz w:val="72"/>
          <w:szCs w:val="72"/>
        </w:rPr>
      </w:pPr>
    </w:p>
    <w:p>
      <w:pPr>
        <w:adjustRightInd/>
        <w:jc w:val="center"/>
        <w:rPr>
          <w:rFonts w:ascii="宋体" w:hAnsi="宋体" w:cs="宋体"/>
          <w:b/>
          <w:bCs/>
          <w:color w:val="auto"/>
          <w:sz w:val="72"/>
          <w:szCs w:val="72"/>
        </w:rPr>
      </w:pPr>
      <w:r>
        <w:rPr>
          <w:rFonts w:hint="eastAsia" w:ascii="宋体" w:hAnsi="宋体" w:cs="宋体"/>
          <w:b/>
          <w:bCs/>
          <w:color w:val="auto"/>
          <w:sz w:val="72"/>
          <w:szCs w:val="72"/>
        </w:rPr>
        <w:t>公开竞争</w:t>
      </w:r>
    </w:p>
    <w:p>
      <w:pPr>
        <w:pStyle w:val="26"/>
        <w:spacing w:line="240" w:lineRule="auto"/>
        <w:ind w:firstLine="0" w:firstLineChars="0"/>
        <w:jc w:val="center"/>
        <w:rPr>
          <w:rFonts w:cs="宋体"/>
          <w:b/>
          <w:bCs/>
          <w:color w:val="auto"/>
          <w:sz w:val="56"/>
          <w:szCs w:val="56"/>
        </w:rPr>
      </w:pPr>
      <w:r>
        <w:rPr>
          <w:rFonts w:hint="eastAsia" w:cs="宋体"/>
          <w:b/>
          <w:bCs/>
          <w:color w:val="auto"/>
          <w:sz w:val="56"/>
          <w:szCs w:val="56"/>
        </w:rPr>
        <w:t>（电子交易文件）</w:t>
      </w:r>
    </w:p>
    <w:p>
      <w:pPr>
        <w:adjustRightInd/>
        <w:spacing w:line="360" w:lineRule="auto"/>
        <w:jc w:val="center"/>
        <w:rPr>
          <w:rFonts w:ascii="宋体" w:hAnsi="宋体" w:cs="宋体"/>
          <w:b/>
          <w:color w:val="auto"/>
          <w:sz w:val="44"/>
          <w:szCs w:val="44"/>
        </w:rPr>
      </w:pPr>
    </w:p>
    <w:p>
      <w:pPr>
        <w:snapToGrid w:val="0"/>
        <w:spacing w:line="360" w:lineRule="auto"/>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rPr>
        <w:t>交易编号：BWZBDL2024-</w:t>
      </w:r>
      <w:r>
        <w:rPr>
          <w:rFonts w:hint="eastAsia" w:ascii="宋体" w:hAnsi="宋体" w:cs="宋体"/>
          <w:b/>
          <w:bCs/>
          <w:color w:val="auto"/>
          <w:sz w:val="30"/>
          <w:szCs w:val="30"/>
          <w:lang w:val="en-US" w:eastAsia="zh-CN"/>
        </w:rPr>
        <w:t>184</w:t>
      </w:r>
    </w:p>
    <w:p>
      <w:pPr>
        <w:adjustRightInd/>
        <w:spacing w:line="360" w:lineRule="auto"/>
        <w:rPr>
          <w:rFonts w:ascii="宋体" w:hAnsi="宋体" w:cs="宋体"/>
          <w:color w:val="auto"/>
          <w:sz w:val="28"/>
          <w:szCs w:val="20"/>
        </w:rPr>
      </w:pPr>
    </w:p>
    <w:p>
      <w:pPr>
        <w:spacing w:line="360" w:lineRule="auto"/>
        <w:rPr>
          <w:rFonts w:ascii="宋体" w:hAnsi="宋体" w:cs="宋体"/>
          <w:b/>
          <w:color w:val="auto"/>
          <w:sz w:val="44"/>
          <w:szCs w:val="44"/>
        </w:rPr>
      </w:pPr>
    </w:p>
    <w:p>
      <w:pPr>
        <w:pStyle w:val="62"/>
        <w:ind w:firstLine="420"/>
        <w:rPr>
          <w:rFonts w:cs="宋体"/>
          <w:color w:val="auto"/>
        </w:rPr>
      </w:pPr>
    </w:p>
    <w:p>
      <w:pPr>
        <w:pStyle w:val="83"/>
        <w:rPr>
          <w:rFonts w:cs="宋体"/>
          <w:color w:val="auto"/>
        </w:rPr>
      </w:pPr>
    </w:p>
    <w:p>
      <w:pPr>
        <w:pStyle w:val="83"/>
        <w:rPr>
          <w:rFonts w:cs="宋体"/>
          <w:color w:val="auto"/>
        </w:rPr>
      </w:pPr>
    </w:p>
    <w:p>
      <w:pPr>
        <w:spacing w:line="360" w:lineRule="auto"/>
        <w:ind w:firstLine="842" w:firstLineChars="262"/>
        <w:rPr>
          <w:rFonts w:ascii="宋体" w:hAnsi="宋体" w:cs="宋体"/>
          <w:b/>
          <w:color w:val="auto"/>
          <w:sz w:val="32"/>
          <w:szCs w:val="30"/>
        </w:rPr>
      </w:pPr>
    </w:p>
    <w:p>
      <w:pPr>
        <w:spacing w:line="360" w:lineRule="auto"/>
        <w:ind w:firstLine="842" w:firstLineChars="262"/>
        <w:rPr>
          <w:rFonts w:ascii="宋体" w:hAnsi="宋体" w:cs="宋体"/>
          <w:b/>
          <w:color w:val="auto"/>
          <w:spacing w:val="-20"/>
          <w:sz w:val="32"/>
          <w:szCs w:val="30"/>
        </w:rPr>
      </w:pPr>
      <w:r>
        <w:rPr>
          <w:rFonts w:hint="eastAsia" w:ascii="宋体" w:hAnsi="宋体" w:cs="宋体"/>
          <w:b/>
          <w:color w:val="auto"/>
          <w:sz w:val="32"/>
          <w:szCs w:val="30"/>
        </w:rPr>
        <w:t>交易发起人：中共杭州市萧山区委宣传部</w:t>
      </w:r>
    </w:p>
    <w:p>
      <w:pPr>
        <w:spacing w:line="360" w:lineRule="auto"/>
        <w:jc w:val="center"/>
        <w:rPr>
          <w:rFonts w:ascii="宋体" w:hAnsi="宋体" w:cs="宋体"/>
          <w:b/>
          <w:color w:val="auto"/>
          <w:sz w:val="32"/>
          <w:szCs w:val="32"/>
        </w:rPr>
      </w:pPr>
      <w:r>
        <w:rPr>
          <w:rFonts w:hint="eastAsia" w:ascii="宋体" w:hAnsi="宋体" w:cs="宋体"/>
          <w:b/>
          <w:color w:val="auto"/>
          <w:sz w:val="32"/>
          <w:szCs w:val="30"/>
        </w:rPr>
        <w:t>代理机构：杭州博望建设工程招标投标代理有限公司</w:t>
      </w:r>
    </w:p>
    <w:p>
      <w:pPr>
        <w:snapToGrid w:val="0"/>
        <w:spacing w:line="360" w:lineRule="auto"/>
        <w:jc w:val="center"/>
        <w:rPr>
          <w:rFonts w:ascii="宋体" w:hAnsi="宋体" w:cs="宋体"/>
          <w:b/>
          <w:color w:val="auto"/>
          <w:sz w:val="32"/>
          <w:szCs w:val="32"/>
        </w:rPr>
      </w:pPr>
      <w:r>
        <w:rPr>
          <w:rFonts w:hint="eastAsia" w:ascii="宋体" w:hAnsi="宋体" w:cs="宋体"/>
          <w:b/>
          <w:color w:val="auto"/>
          <w:sz w:val="32"/>
          <w:szCs w:val="32"/>
        </w:rPr>
        <w:t>二〇二四年七月</w:t>
      </w:r>
      <w:r>
        <w:rPr>
          <w:rFonts w:hint="eastAsia" w:ascii="宋体" w:hAnsi="宋体" w:cs="宋体"/>
          <w:b/>
          <w:color w:val="auto"/>
          <w:sz w:val="32"/>
          <w:szCs w:val="32"/>
          <w:lang w:val="en-US" w:eastAsia="zh-CN"/>
        </w:rPr>
        <w:t>二十二</w:t>
      </w:r>
      <w:r>
        <w:rPr>
          <w:rFonts w:hint="eastAsia" w:ascii="宋体" w:hAnsi="宋体" w:cs="宋体"/>
          <w:b/>
          <w:color w:val="auto"/>
          <w:sz w:val="32"/>
          <w:szCs w:val="32"/>
        </w:rPr>
        <w:t>日</w:t>
      </w:r>
    </w:p>
    <w:p>
      <w:pPr>
        <w:pStyle w:val="24"/>
        <w:rPr>
          <w:rFonts w:hAnsi="宋体" w:cs="宋体"/>
          <w:color w:val="auto"/>
        </w:rPr>
      </w:pPr>
    </w:p>
    <w:p>
      <w:pPr>
        <w:pStyle w:val="25"/>
        <w:rPr>
          <w:rFonts w:hAnsi="宋体" w:cs="宋体"/>
          <w:color w:val="auto"/>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rPr>
          <w:rFonts w:ascii="宋体" w:hAnsi="宋体" w:cs="宋体"/>
          <w:color w:val="auto"/>
        </w:rPr>
      </w:pPr>
    </w:p>
    <w:p>
      <w:pPr>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交易公告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响应人须知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交易需求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交易办法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0" w:name="_Hlt91233176"/>
      <w:bookmarkEnd w:id="0"/>
      <w:bookmarkStart w:id="1"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2" w:name="第一部分"/>
      <w:r>
        <w:rPr>
          <w:rFonts w:hint="eastAsia" w:ascii="宋体" w:hAnsi="宋体" w:cs="宋体"/>
          <w:b/>
          <w:color w:val="auto"/>
          <w:sz w:val="36"/>
          <w:szCs w:val="36"/>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rPr>
        <w:t>第一部分 交易公告</w:t>
      </w:r>
    </w:p>
    <w:p>
      <w:pPr>
        <w:spacing w:line="360" w:lineRule="auto"/>
        <w:rPr>
          <w:rFonts w:ascii="宋体" w:hAnsi="宋体" w:cs="宋体"/>
          <w:b/>
          <w:color w:val="auto"/>
          <w:sz w:val="24"/>
        </w:rPr>
      </w:pPr>
      <w:r>
        <w:rPr>
          <w:rFonts w:hint="eastAsia" w:ascii="宋体" w:hAnsi="宋体" w:cs="宋体"/>
          <w:b/>
          <w:color w:val="auto"/>
          <w:sz w:val="24"/>
        </w:rPr>
        <w:t>一、基本情况</w:t>
      </w:r>
    </w:p>
    <w:p>
      <w:pPr>
        <w:spacing w:line="360" w:lineRule="auto"/>
        <w:ind w:firstLine="482" w:firstLineChars="200"/>
        <w:rPr>
          <w:rFonts w:hint="default" w:ascii="宋体" w:hAnsi="宋体" w:eastAsia="宋体" w:cs="宋体"/>
          <w:bCs/>
          <w:color w:val="auto"/>
          <w:sz w:val="24"/>
          <w:lang w:val="en-US" w:eastAsia="zh-CN"/>
        </w:rPr>
      </w:pPr>
      <w:r>
        <w:rPr>
          <w:rFonts w:hint="eastAsia" w:ascii="宋体" w:hAnsi="宋体" w:cs="宋体"/>
          <w:b/>
          <w:color w:val="auto"/>
          <w:sz w:val="24"/>
        </w:rPr>
        <w:t>交易编号：</w:t>
      </w:r>
      <w:r>
        <w:rPr>
          <w:rFonts w:hint="eastAsia" w:ascii="宋体" w:hAnsi="宋体" w:cs="宋体"/>
          <w:bCs/>
          <w:color w:val="auto"/>
          <w:sz w:val="24"/>
        </w:rPr>
        <w:t>BWZBDL2024-</w:t>
      </w:r>
      <w:r>
        <w:rPr>
          <w:rFonts w:hint="eastAsia" w:ascii="宋体" w:hAnsi="宋体" w:cs="宋体"/>
          <w:bCs/>
          <w:color w:val="auto"/>
          <w:sz w:val="24"/>
          <w:lang w:val="en-US" w:eastAsia="zh-CN"/>
        </w:rPr>
        <w:t>184</w:t>
      </w:r>
    </w:p>
    <w:p>
      <w:pPr>
        <w:spacing w:line="360" w:lineRule="auto"/>
        <w:ind w:firstLine="482" w:firstLineChars="200"/>
        <w:rPr>
          <w:rFonts w:ascii="宋体" w:hAnsi="宋体" w:cs="宋体"/>
          <w:color w:val="auto"/>
          <w:sz w:val="24"/>
          <w:szCs w:val="28"/>
        </w:rPr>
      </w:pPr>
      <w:r>
        <w:rPr>
          <w:rFonts w:hint="eastAsia" w:ascii="宋体" w:hAnsi="宋体" w:cs="宋体"/>
          <w:b/>
          <w:color w:val="auto"/>
          <w:sz w:val="24"/>
        </w:rPr>
        <w:t>交易名称：</w:t>
      </w:r>
      <w:r>
        <w:rPr>
          <w:rFonts w:hint="eastAsia" w:ascii="宋体" w:hAnsi="宋体" w:cs="宋体"/>
          <w:bCs/>
          <w:color w:val="auto"/>
          <w:sz w:val="24"/>
        </w:rPr>
        <w:t>萧山区潮文化Power“街头旋律”文艺点亮计划项目</w:t>
      </w:r>
    </w:p>
    <w:p>
      <w:pPr>
        <w:spacing w:line="360" w:lineRule="auto"/>
        <w:ind w:firstLine="482" w:firstLineChars="200"/>
        <w:rPr>
          <w:rFonts w:ascii="宋体" w:hAnsi="宋体" w:cs="宋体"/>
          <w:color w:val="auto"/>
          <w:sz w:val="24"/>
        </w:rPr>
      </w:pPr>
      <w:r>
        <w:rPr>
          <w:rFonts w:hint="eastAsia" w:ascii="宋体" w:hAnsi="宋体" w:cs="宋体"/>
          <w:b/>
          <w:color w:val="auto"/>
          <w:sz w:val="24"/>
        </w:rPr>
        <w:t>预算金额：</w:t>
      </w:r>
      <w:r>
        <w:rPr>
          <w:rFonts w:hint="eastAsia" w:ascii="宋体" w:hAnsi="宋体" w:cs="宋体"/>
          <w:bCs/>
          <w:color w:val="auto"/>
          <w:sz w:val="24"/>
        </w:rPr>
        <w:t>231000.00元</w:t>
      </w:r>
    </w:p>
    <w:p>
      <w:pPr>
        <w:spacing w:line="360" w:lineRule="auto"/>
        <w:ind w:firstLine="482" w:firstLineChars="200"/>
        <w:rPr>
          <w:rFonts w:ascii="宋体" w:hAnsi="宋体" w:cs="宋体"/>
          <w:bCs/>
          <w:color w:val="auto"/>
          <w:sz w:val="24"/>
        </w:rPr>
      </w:pPr>
      <w:r>
        <w:rPr>
          <w:rFonts w:hint="eastAsia" w:ascii="宋体" w:hAnsi="宋体" w:cs="宋体"/>
          <w:b/>
          <w:color w:val="auto"/>
          <w:sz w:val="24"/>
        </w:rPr>
        <w:t>最高限价：</w:t>
      </w:r>
      <w:r>
        <w:rPr>
          <w:rFonts w:hint="eastAsia" w:ascii="宋体" w:hAnsi="宋体" w:cs="宋体"/>
          <w:bCs/>
          <w:color w:val="auto"/>
          <w:sz w:val="24"/>
        </w:rPr>
        <w:t>231000.00元</w:t>
      </w:r>
    </w:p>
    <w:p>
      <w:pPr>
        <w:spacing w:line="360" w:lineRule="auto"/>
        <w:ind w:firstLine="482" w:firstLineChars="200"/>
        <w:rPr>
          <w:rFonts w:ascii="宋体" w:hAnsi="宋体" w:cs="宋体"/>
          <w:color w:val="auto"/>
          <w:sz w:val="24"/>
        </w:rPr>
      </w:pPr>
      <w:r>
        <w:rPr>
          <w:rFonts w:hint="eastAsia" w:ascii="宋体" w:hAnsi="宋体" w:cs="宋体"/>
          <w:b/>
          <w:color w:val="auto"/>
          <w:sz w:val="24"/>
        </w:rPr>
        <w:t>交易需求：</w:t>
      </w:r>
      <w:r>
        <w:rPr>
          <w:rFonts w:hint="eastAsia" w:ascii="宋体" w:hAnsi="宋体" w:cs="宋体"/>
          <w:bCs/>
          <w:color w:val="auto"/>
          <w:sz w:val="24"/>
        </w:rPr>
        <w:t>萧山区潮文化Power“街头旋律”文艺点亮计划，</w:t>
      </w:r>
      <w:r>
        <w:rPr>
          <w:rFonts w:hint="eastAsia" w:ascii="宋体" w:hAnsi="宋体" w:cs="宋体"/>
          <w:color w:val="auto"/>
          <w:sz w:val="24"/>
        </w:rPr>
        <w:t>1项，详见交易需求。</w:t>
      </w:r>
    </w:p>
    <w:p>
      <w:pPr>
        <w:pStyle w:val="16"/>
        <w:spacing w:line="360" w:lineRule="auto"/>
        <w:ind w:firstLine="482" w:firstLineChars="200"/>
        <w:rPr>
          <w:rFonts w:hAnsi="宋体" w:cs="宋体"/>
          <w:color w:val="auto"/>
        </w:rPr>
      </w:pPr>
      <w:r>
        <w:rPr>
          <w:rFonts w:hint="eastAsia" w:hAnsi="宋体" w:cs="宋体"/>
          <w:b/>
          <w:color w:val="auto"/>
          <w:sz w:val="24"/>
          <w:szCs w:val="18"/>
        </w:rPr>
        <w:t>合同履约期限：</w:t>
      </w:r>
      <w:r>
        <w:rPr>
          <w:rFonts w:hint="eastAsia" w:hAnsi="宋体" w:cs="宋体"/>
          <w:color w:val="auto"/>
          <w:sz w:val="24"/>
          <w:szCs w:val="28"/>
        </w:rPr>
        <w:t>详见公开竞争文件</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本项目接受联合体投标：</w:t>
      </w:r>
      <w:r>
        <w:rPr>
          <w:rFonts w:hint="eastAsia" w:ascii="宋体" w:hAnsi="宋体" w:cs="宋体"/>
          <w:bCs/>
          <w:color w:val="auto"/>
          <w:sz w:val="24"/>
        </w:rPr>
        <w:t>（  ）是；（√）否。</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pacing w:line="360" w:lineRule="auto"/>
        <w:ind w:firstLine="480" w:firstLineChars="200"/>
        <w:rPr>
          <w:rFonts w:ascii="宋体" w:hAnsi="宋体" w:cs="宋体"/>
          <w:color w:val="auto"/>
          <w:sz w:val="24"/>
        </w:rPr>
      </w:pPr>
      <w:r>
        <w:rPr>
          <w:rFonts w:hint="eastAsia" w:ascii="宋体" w:hAnsi="宋体" w:cs="宋体"/>
          <w:color w:val="auto"/>
          <w:sz w:val="24"/>
        </w:rPr>
        <w:t>2、具有良好的商业信誉和健全的财务会计制度；</w:t>
      </w:r>
    </w:p>
    <w:p>
      <w:pPr>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pacing w:line="360" w:lineRule="auto"/>
        <w:ind w:firstLine="480" w:firstLineChars="200"/>
        <w:rPr>
          <w:rFonts w:ascii="宋体" w:hAnsi="宋体" w:cs="宋体"/>
          <w:color w:val="auto"/>
          <w:sz w:val="24"/>
        </w:rPr>
      </w:pPr>
      <w:r>
        <w:rPr>
          <w:rFonts w:hint="eastAsia" w:ascii="宋体" w:hAnsi="宋体" w:cs="宋体"/>
          <w:color w:val="auto"/>
          <w:sz w:val="24"/>
        </w:rPr>
        <w:t>5、参加交易活动前三年内，在经营活动中没有重大违法记录；</w:t>
      </w:r>
    </w:p>
    <w:p>
      <w:pPr>
        <w:spacing w:line="360" w:lineRule="auto"/>
        <w:ind w:firstLine="480" w:firstLineChars="200"/>
        <w:rPr>
          <w:rFonts w:ascii="宋体" w:hAnsi="宋体" w:cs="宋体"/>
          <w:color w:val="auto"/>
          <w:sz w:val="24"/>
        </w:rPr>
      </w:pPr>
      <w:r>
        <w:rPr>
          <w:rFonts w:hint="eastAsia" w:ascii="宋体" w:hAnsi="宋体" w:cs="宋体"/>
          <w:color w:val="auto"/>
          <w:sz w:val="24"/>
        </w:rPr>
        <w:t>6、法律、行政法规规定的其他条件；</w:t>
      </w:r>
    </w:p>
    <w:p>
      <w:pPr>
        <w:pStyle w:val="25"/>
        <w:ind w:firstLine="480" w:firstLineChars="200"/>
        <w:rPr>
          <w:rFonts w:hAnsi="宋体" w:cs="宋体"/>
          <w:color w:val="auto"/>
          <w:lang w:val="en-US"/>
        </w:rPr>
      </w:pPr>
      <w:r>
        <w:rPr>
          <w:rFonts w:hint="eastAsia" w:hAnsi="宋体" w:cs="宋体"/>
          <w:color w:val="auto"/>
        </w:rPr>
        <w:t>7、本项目的特定资格要求：</w:t>
      </w:r>
      <w:r>
        <w:rPr>
          <w:rFonts w:hint="eastAsia" w:hAnsi="宋体" w:cs="宋体"/>
          <w:color w:val="auto"/>
          <w:lang w:val="en-US"/>
        </w:rPr>
        <w:t>无；</w:t>
      </w:r>
    </w:p>
    <w:p>
      <w:pPr>
        <w:pStyle w:val="25"/>
        <w:ind w:firstLine="480" w:firstLineChars="200"/>
        <w:rPr>
          <w:rFonts w:hAnsi="宋体" w:cs="宋体"/>
          <w:color w:val="auto"/>
          <w:lang w:val="en-US"/>
        </w:rPr>
      </w:pPr>
      <w:r>
        <w:rPr>
          <w:rFonts w:hint="eastAsia" w:hAnsi="宋体" w:cs="宋体"/>
          <w:color w:val="auto"/>
          <w:lang w:val="en-US"/>
        </w:rPr>
        <w:t>8、</w:t>
      </w:r>
      <w:r>
        <w:rPr>
          <w:rFonts w:hint="eastAsia" w:hAnsi="宋体" w:cs="宋体"/>
          <w:color w:val="auto"/>
        </w:rPr>
        <w:t>本项目不接受联合体参与（潜在响应人能独立完成本项目）。</w:t>
      </w:r>
    </w:p>
    <w:p>
      <w:pPr>
        <w:spacing w:line="360" w:lineRule="auto"/>
        <w:rPr>
          <w:rFonts w:ascii="宋体" w:hAnsi="宋体" w:cs="宋体"/>
          <w:b/>
          <w:color w:val="auto"/>
          <w:sz w:val="24"/>
        </w:rPr>
      </w:pPr>
      <w:r>
        <w:rPr>
          <w:rFonts w:hint="eastAsia" w:ascii="宋体" w:hAnsi="宋体" w:cs="宋体"/>
          <w:b/>
          <w:color w:val="auto"/>
          <w:sz w:val="24"/>
        </w:rPr>
        <w:t xml:space="preserve">三、获取公开竞争文件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2024年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响应人登录政采云平台https://www.zcygov.cn/在线申请获取公开竞争文件（进入“项目采购”应用，在获取采购文件菜单中选择项目，申请获取公开竞争文件）。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0</w:t>
      </w:r>
    </w:p>
    <w:p>
      <w:pPr>
        <w:spacing w:line="360" w:lineRule="auto"/>
        <w:rPr>
          <w:rFonts w:ascii="宋体" w:hAnsi="宋体" w:cs="宋体"/>
          <w:b/>
          <w:color w:val="auto"/>
          <w:sz w:val="24"/>
        </w:rPr>
      </w:pPr>
      <w:r>
        <w:rPr>
          <w:rFonts w:hint="eastAsia" w:ascii="宋体" w:hAnsi="宋体" w:cs="宋体"/>
          <w:b/>
          <w:color w:val="auto"/>
          <w:sz w:val="24"/>
        </w:rPr>
        <w:t>四、提交响应文件截止时间、交易时间和地点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提交响应文件截止时间：</w:t>
      </w:r>
      <w:r>
        <w:rPr>
          <w:rFonts w:hint="eastAsia" w:ascii="宋体" w:hAnsi="宋体" w:cs="宋体"/>
          <w:color w:val="auto"/>
          <w:sz w:val="24"/>
          <w:u w:val="single"/>
        </w:rPr>
        <w:t>2024年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政采云平台（https://www.zcygov.cn/）</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交易时间：</w:t>
      </w:r>
      <w:r>
        <w:rPr>
          <w:rFonts w:hint="eastAsia" w:ascii="宋体" w:hAnsi="宋体" w:cs="宋体"/>
          <w:color w:val="auto"/>
          <w:sz w:val="24"/>
          <w:u w:val="single"/>
        </w:rPr>
        <w:t>2024年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b/>
          <w:color w:val="auto"/>
          <w:sz w:val="24"/>
        </w:rPr>
      </w:pPr>
      <w:r>
        <w:rPr>
          <w:rFonts w:hint="eastAsia" w:ascii="宋体" w:hAnsi="宋体" w:cs="宋体"/>
          <w:b/>
          <w:color w:val="auto"/>
          <w:sz w:val="24"/>
        </w:rPr>
        <w:t>五、其他补充事宜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ascii="宋体" w:hAnsi="宋体" w:cs="宋体"/>
          <w:color w:val="auto"/>
          <w:sz w:val="24"/>
        </w:rPr>
      </w:pPr>
      <w:r>
        <w:rPr>
          <w:rFonts w:hint="eastAsia" w:ascii="宋体" w:hAnsi="宋体" w:cs="宋体"/>
          <w:color w:val="auto"/>
          <w:sz w:val="24"/>
        </w:rPr>
        <w:t>2、其他事项：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公开竞争文件的获取：使用账号登录或者使用CA登录政采云平台；进入“项目采购”应用，在获取采购文件菜单中选择项目，获取公开竞争文件；④响应文件的制作：在“政采云电子交易客户端”中完成“填写基本信息”“导入响应文件”“标书关联”“标书检查”“电子签名”“生成电子标书”等操作；⑤交易发起人、代理机构将依托政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政府采购云平台；⑨响应文件的解密：响应人按照平台提示和公开竞争文件的规定在半小时内完成在线解密。通过“政府采购云平台”上传递交的响应文件无法按时解密，视为响应文件撤回；⑩具体操作指南：详见政采云平台“服务中心-帮助文档-项目采购-操作流程-电子招投标-政府采购项目电子交易管理操作指南-供应商”。</w:t>
      </w:r>
    </w:p>
    <w:p>
      <w:pPr>
        <w:spacing w:line="360" w:lineRule="auto"/>
        <w:ind w:firstLine="480" w:firstLineChars="200"/>
        <w:rPr>
          <w:rFonts w:ascii="宋体" w:hAnsi="宋体" w:cs="宋体"/>
          <w:b/>
          <w:color w:val="auto"/>
          <w:sz w:val="24"/>
        </w:rPr>
      </w:pPr>
      <w:r>
        <w:rPr>
          <w:rFonts w:hint="eastAsia" w:ascii="宋体" w:hAnsi="宋体" w:cs="宋体"/>
          <w:color w:val="auto"/>
          <w:sz w:val="24"/>
        </w:rPr>
        <w:t>若有违反公平竞争审查的可向中共杭州市萧山区委宣传部提出异议。</w:t>
      </w:r>
    </w:p>
    <w:p>
      <w:pPr>
        <w:spacing w:line="360" w:lineRule="auto"/>
        <w:rPr>
          <w:rFonts w:ascii="宋体" w:hAnsi="宋体" w:cs="宋体"/>
          <w:b/>
          <w:color w:val="auto"/>
          <w:sz w:val="24"/>
        </w:rPr>
      </w:pPr>
      <w:r>
        <w:rPr>
          <w:rFonts w:hint="eastAsia" w:ascii="宋体" w:hAnsi="宋体" w:cs="宋体"/>
          <w:b/>
          <w:color w:val="auto"/>
          <w:sz w:val="24"/>
        </w:rPr>
        <w:t>六、对本次交易提出异议、投诉，请按以下方式联系</w:t>
      </w:r>
    </w:p>
    <w:p>
      <w:pPr>
        <w:widowControl/>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1、交易发起人信息</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名称：中共杭州市萧山区委宣传部</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地址：杭州市萧山区金城路685号</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项目联系人（询问）：靳登匀</w:t>
      </w:r>
    </w:p>
    <w:p>
      <w:pPr>
        <w:spacing w:line="360" w:lineRule="auto"/>
        <w:ind w:firstLine="480" w:firstLineChars="200"/>
        <w:rPr>
          <w:rFonts w:ascii="宋体" w:hAnsi="宋体" w:cs="宋体"/>
          <w:color w:val="auto"/>
          <w:sz w:val="24"/>
        </w:rPr>
      </w:pPr>
      <w:r>
        <w:rPr>
          <w:rFonts w:hint="eastAsia" w:ascii="宋体" w:hAnsi="宋体" w:cs="宋体"/>
          <w:color w:val="auto"/>
          <w:sz w:val="24"/>
        </w:rPr>
        <w:t>项目联系方式（询问）：0571-89618281</w:t>
      </w:r>
    </w:p>
    <w:p>
      <w:pPr>
        <w:numPr>
          <w:ilvl w:val="0"/>
          <w:numId w:val="1"/>
        </w:numPr>
        <w:spacing w:line="360" w:lineRule="auto"/>
        <w:ind w:firstLine="480" w:firstLineChars="200"/>
        <w:jc w:val="left"/>
        <w:rPr>
          <w:color w:val="auto"/>
        </w:rPr>
      </w:pPr>
      <w:r>
        <w:rPr>
          <w:rFonts w:hint="eastAsia" w:ascii="宋体" w:hAnsi="宋体" w:cs="宋体"/>
          <w:color w:val="auto"/>
          <w:sz w:val="24"/>
          <w:szCs w:val="28"/>
        </w:rPr>
        <w:t>代理机构信息</w:t>
      </w:r>
    </w:p>
    <w:p>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名称：杭州博望建设工程招标投标代理有限公司</w:t>
      </w:r>
    </w:p>
    <w:p>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地址：杭州市萧山区金城路433号天汇园一幢A座5楼</w:t>
      </w:r>
    </w:p>
    <w:p>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项目联系人（询问）：赵鑫华</w:t>
      </w:r>
    </w:p>
    <w:p>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项目联系方式（询问）：0571-83881208</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br w:type="page"/>
      </w:r>
      <w:r>
        <w:rPr>
          <w:rFonts w:hint="eastAsia" w:ascii="宋体" w:hAnsi="宋体" w:cs="宋体"/>
          <w:b/>
          <w:color w:val="auto"/>
          <w:sz w:val="36"/>
          <w:szCs w:val="20"/>
        </w:rPr>
        <w:t>第二部分</w:t>
      </w:r>
      <w:bookmarkEnd w:id="7"/>
      <w:r>
        <w:rPr>
          <w:rFonts w:hint="eastAsia" w:ascii="宋体" w:hAnsi="宋体" w:cs="宋体"/>
          <w:b/>
          <w:color w:val="auto"/>
          <w:sz w:val="36"/>
          <w:szCs w:val="20"/>
        </w:rPr>
        <w:t xml:space="preserve"> 响应人须知</w:t>
      </w:r>
      <w:bookmarkEnd w:id="8"/>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3"/>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rPr>
            </w:pPr>
            <w:r>
              <w:rPr>
                <w:rFonts w:hint="eastAsia" w:ascii="宋体" w:hAnsi="宋体" w:cs="宋体"/>
                <w:bCs/>
                <w:color w:val="auto"/>
                <w:sz w:val="24"/>
              </w:rPr>
              <w:t>（  ）</w:t>
            </w:r>
            <w:r>
              <w:rPr>
                <w:rFonts w:hint="eastAsia" w:ascii="宋体" w:hAnsi="宋体" w:cs="宋体"/>
                <w:color w:val="auto"/>
                <w:kern w:val="0"/>
                <w:sz w:val="24"/>
              </w:rPr>
              <w:t>A货物类</w:t>
            </w:r>
            <w:r>
              <w:rPr>
                <w:rFonts w:hint="eastAsia" w:ascii="宋体" w:hAnsi="宋体" w:cs="宋体"/>
                <w:color w:val="auto"/>
                <w:sz w:val="24"/>
              </w:rPr>
              <w:t>。</w:t>
            </w:r>
          </w:p>
          <w:p>
            <w:pPr>
              <w:rPr>
                <w:rFonts w:ascii="宋体" w:hAnsi="宋体" w:cs="宋体"/>
                <w:color w:val="auto"/>
                <w:sz w:val="24"/>
              </w:rPr>
            </w:pPr>
            <w:r>
              <w:rPr>
                <w:rFonts w:hint="eastAsia" w:ascii="宋体" w:hAnsi="宋体" w:cs="宋体"/>
                <w:bCs/>
                <w:color w:val="auto"/>
                <w:sz w:val="24"/>
              </w:rPr>
              <w:t>（√）</w:t>
            </w:r>
            <w:r>
              <w:rPr>
                <w:rFonts w:hint="eastAsia" w:ascii="宋体" w:hAnsi="宋体" w:cs="宋体"/>
                <w:color w:val="auto"/>
                <w:kern w:val="0"/>
                <w:sz w:val="24"/>
              </w:rPr>
              <w:t>B服务类</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4"/>
              </w:rPr>
            </w:pPr>
          </w:p>
          <w:p>
            <w:pPr>
              <w:snapToGrid w:val="0"/>
              <w:jc w:val="center"/>
              <w:rPr>
                <w:rFonts w:ascii="宋体" w:hAnsi="宋体" w:cs="宋体"/>
                <w:color w:val="auto"/>
                <w:sz w:val="24"/>
              </w:rPr>
            </w:pPr>
          </w:p>
          <w:p>
            <w:pPr>
              <w:snapToGrid w:val="0"/>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rPr>
            </w:pPr>
            <w:r>
              <w:rPr>
                <w:rFonts w:hint="eastAsia" w:ascii="宋体" w:hAnsi="宋体" w:cs="宋体"/>
                <w:bCs/>
                <w:color w:val="auto"/>
                <w:sz w:val="24"/>
              </w:rPr>
              <w:t>（  ）</w:t>
            </w:r>
            <w:r>
              <w:rPr>
                <w:rFonts w:hint="eastAsia" w:ascii="宋体" w:hAnsi="宋体" w:cs="宋体"/>
                <w:color w:val="auto"/>
                <w:kern w:val="0"/>
                <w:sz w:val="24"/>
              </w:rPr>
              <w:t>A适用</w:t>
            </w:r>
            <w:r>
              <w:rPr>
                <w:rFonts w:hint="eastAsia" w:ascii="宋体" w:hAnsi="宋体" w:cs="宋体"/>
                <w:color w:val="auto"/>
                <w:sz w:val="24"/>
              </w:rPr>
              <w:t>。</w:t>
            </w:r>
          </w:p>
          <w:p>
            <w:pPr>
              <w:rPr>
                <w:rFonts w:ascii="宋体" w:hAnsi="宋体" w:cs="宋体"/>
                <w:color w:val="auto"/>
                <w:kern w:val="0"/>
                <w:sz w:val="24"/>
              </w:rPr>
            </w:pPr>
            <w:r>
              <w:rPr>
                <w:rFonts w:hint="eastAsia" w:ascii="宋体" w:hAnsi="宋体" w:cs="宋体"/>
                <w:bCs/>
                <w:color w:val="auto"/>
                <w:sz w:val="24"/>
              </w:rPr>
              <w:t>（√）</w:t>
            </w:r>
            <w:r>
              <w:rPr>
                <w:rFonts w:hint="eastAsia" w:ascii="宋体" w:hAnsi="宋体" w:cs="宋体"/>
                <w:color w:val="auto"/>
                <w:kern w:val="0"/>
                <w:sz w:val="24"/>
              </w:rPr>
              <w:t>B不适用</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rPr>
            </w:pPr>
            <w:r>
              <w:rPr>
                <w:rFonts w:hint="eastAsia" w:ascii="宋体" w:hAnsi="宋体" w:cs="宋体"/>
                <w:bCs/>
                <w:color w:val="auto"/>
                <w:sz w:val="24"/>
              </w:rPr>
              <w:t>（√）</w:t>
            </w:r>
            <w:r>
              <w:rPr>
                <w:rFonts w:hint="eastAsia" w:ascii="宋体" w:hAnsi="宋体" w:cs="宋体"/>
                <w:color w:val="auto"/>
                <w:sz w:val="24"/>
                <w:szCs w:val="32"/>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rPr>
            </w:pPr>
            <w:r>
              <w:rPr>
                <w:rFonts w:hint="eastAsia" w:ascii="宋体" w:hAnsi="宋体" w:cs="宋体"/>
                <w:bCs/>
                <w:color w:val="auto"/>
                <w:sz w:val="24"/>
              </w:rPr>
              <w:t>（√）</w:t>
            </w:r>
            <w:r>
              <w:rPr>
                <w:rFonts w:hint="eastAsia" w:ascii="宋体" w:hAnsi="宋体" w:cs="宋体"/>
                <w:bCs/>
                <w:color w:val="auto"/>
                <w:kern w:val="0"/>
                <w:sz w:val="24"/>
              </w:rPr>
              <w:t>B</w:t>
            </w:r>
            <w:r>
              <w:rPr>
                <w:rFonts w:hint="eastAsia" w:ascii="宋体" w:hAnsi="宋体" w:cs="宋体"/>
                <w:bCs/>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szCs w:val="20"/>
              </w:rPr>
            </w:pPr>
            <w:r>
              <w:rPr>
                <w:rFonts w:hint="eastAsia" w:ascii="宋体" w:hAnsi="宋体" w:cs="宋体"/>
                <w:bCs/>
                <w:color w:val="auto"/>
                <w:sz w:val="24"/>
              </w:rPr>
              <w:t>（√）</w:t>
            </w:r>
            <w:r>
              <w:rPr>
                <w:rFonts w:hint="eastAsia" w:ascii="宋体" w:hAnsi="宋体" w:cs="宋体"/>
                <w:bCs/>
                <w:color w:val="auto"/>
                <w:kern w:val="0"/>
                <w:sz w:val="24"/>
              </w:rPr>
              <w:t>A</w:t>
            </w:r>
            <w:r>
              <w:rPr>
                <w:rFonts w:hint="eastAsia" w:ascii="宋体" w:hAnsi="宋体" w:cs="宋体"/>
                <w:bCs/>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rPr>
            </w:pPr>
            <w:r>
              <w:rPr>
                <w:rFonts w:hint="eastAsia" w:ascii="宋体" w:hAnsi="宋体" w:cs="宋体"/>
                <w:bCs/>
                <w:color w:val="auto"/>
                <w:sz w:val="24"/>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宋体" w:hAnsi="宋体" w:cs="宋体"/>
                <w:color w:val="auto"/>
                <w:sz w:val="24"/>
              </w:rPr>
            </w:pPr>
            <w:r>
              <w:rPr>
                <w:rFonts w:hint="eastAsia" w:ascii="宋体" w:hAnsi="宋体" w:cs="宋体"/>
                <w:color w:val="auto"/>
                <w:sz w:val="24"/>
              </w:rPr>
              <w:t>（√）A不组织。</w:t>
            </w:r>
          </w:p>
          <w:p>
            <w:pPr>
              <w:snapToGrid w:val="0"/>
              <w:spacing w:line="400" w:lineRule="exact"/>
              <w:rPr>
                <w:rFonts w:ascii="宋体" w:hAnsi="宋体" w:cs="宋体"/>
                <w:color w:val="auto"/>
              </w:rPr>
            </w:pPr>
            <w:r>
              <w:rPr>
                <w:rFonts w:hint="eastAsia" w:ascii="宋体" w:hAnsi="宋体" w:cs="宋体"/>
                <w:color w:val="auto"/>
                <w:sz w:val="24"/>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rPr>
            </w:pPr>
            <w:r>
              <w:rPr>
                <w:rFonts w:hint="eastAsia" w:ascii="宋体" w:hAnsi="宋体" w:cs="宋体"/>
                <w:color w:val="auto"/>
                <w:sz w:val="24"/>
              </w:rPr>
              <w:t>（1）资格证明文件：见公开竞争文件第二部分10.1。</w:t>
            </w:r>
          </w:p>
          <w:p>
            <w:pPr>
              <w:rPr>
                <w:rFonts w:ascii="宋体" w:hAnsi="宋体" w:cs="宋体"/>
                <w:snapToGrid w:val="0"/>
                <w:color w:val="auto"/>
                <w:kern w:val="0"/>
                <w:szCs w:val="21"/>
              </w:rPr>
            </w:pPr>
            <w:r>
              <w:rPr>
                <w:rFonts w:hint="eastAsia" w:ascii="宋体" w:hAnsi="宋体" w:cs="宋体"/>
                <w:color w:val="auto"/>
                <w:kern w:val="0"/>
                <w:sz w:val="24"/>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color w:val="auto"/>
                <w:sz w:val="24"/>
              </w:rPr>
            </w:pPr>
            <w:r>
              <w:rPr>
                <w:rFonts w:hint="eastAsia" w:ascii="宋体" w:hAnsi="宋体" w:cs="宋体"/>
                <w:b/>
                <w:color w:val="auto"/>
                <w:sz w:val="24"/>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auto"/>
                <w:kern w:val="0"/>
                <w:sz w:val="24"/>
                <w:lang w:val="zh-CN"/>
              </w:rPr>
            </w:pPr>
            <w:r>
              <w:rPr>
                <w:rFonts w:hint="eastAsia" w:ascii="宋体" w:hAnsi="宋体" w:cs="宋体"/>
                <w:bCs/>
                <w:color w:val="auto"/>
                <w:kern w:val="0"/>
                <w:sz w:val="24"/>
                <w:lang w:val="zh-CN"/>
              </w:rPr>
              <w:t>有关本项目实施所需的所有费用（含税费）均计入报价。</w:t>
            </w:r>
            <w:r>
              <w:rPr>
                <w:rFonts w:hint="eastAsia" w:ascii="宋体" w:hAnsi="宋体" w:cs="宋体"/>
                <w:bCs/>
                <w:color w:val="auto"/>
                <w:kern w:val="0"/>
                <w:sz w:val="24"/>
              </w:rPr>
              <w:t>交易一览表（报价表）是报价的唯一载体</w:t>
            </w:r>
            <w:r>
              <w:rPr>
                <w:rFonts w:hint="eastAsia" w:ascii="宋体" w:hAnsi="宋体" w:cs="宋体"/>
                <w:bCs/>
                <w:color w:val="auto"/>
                <w:kern w:val="0"/>
                <w:sz w:val="24"/>
                <w:lang w:val="zh-CN"/>
              </w:rPr>
              <w:t>。响应文件中价格全部采用人民币报价。公开竞争文件未列明，而响应人认为必需的费用也需列入报价。</w:t>
            </w:r>
          </w:p>
          <w:p>
            <w:pPr>
              <w:rPr>
                <w:rFonts w:ascii="宋体" w:hAnsi="宋体" w:cs="宋体"/>
                <w:bCs/>
                <w:color w:val="auto"/>
                <w:kern w:val="0"/>
                <w:sz w:val="24"/>
                <w:lang w:val="zh-CN"/>
              </w:rPr>
            </w:pPr>
            <w:r>
              <w:rPr>
                <w:rFonts w:hint="eastAsia" w:ascii="宋体" w:hAnsi="宋体" w:cs="宋体"/>
                <w:bCs/>
                <w:color w:val="auto"/>
                <w:kern w:val="0"/>
                <w:sz w:val="24"/>
                <w:lang w:val="zh-CN"/>
              </w:rPr>
              <w:t>交易报价出现下列情形的，交易无效：</w:t>
            </w:r>
          </w:p>
          <w:p>
            <w:pPr>
              <w:ind w:firstLine="480" w:firstLineChars="200"/>
              <w:rPr>
                <w:rFonts w:ascii="宋体" w:hAnsi="宋体" w:cs="宋体"/>
                <w:bCs/>
                <w:color w:val="auto"/>
                <w:kern w:val="0"/>
                <w:sz w:val="24"/>
                <w:lang w:val="zh-CN"/>
              </w:rPr>
            </w:pPr>
            <w:r>
              <w:rPr>
                <w:rFonts w:hint="eastAsia" w:ascii="宋体" w:hAnsi="宋体" w:cs="宋体"/>
                <w:bCs/>
                <w:color w:val="auto"/>
                <w:kern w:val="0"/>
                <w:sz w:val="24"/>
                <w:lang w:val="zh-CN"/>
              </w:rPr>
              <w:t>响应文件出现不是唯一的、有选择性交易报价的；</w:t>
            </w:r>
          </w:p>
          <w:p>
            <w:pPr>
              <w:ind w:firstLine="480" w:firstLineChars="200"/>
              <w:rPr>
                <w:rFonts w:ascii="宋体" w:hAnsi="宋体" w:cs="宋体"/>
                <w:bCs/>
                <w:color w:val="auto"/>
                <w:kern w:val="0"/>
                <w:sz w:val="24"/>
                <w:lang w:val="zh-CN"/>
              </w:rPr>
            </w:pPr>
            <w:r>
              <w:rPr>
                <w:rFonts w:hint="eastAsia" w:ascii="宋体" w:hAnsi="宋体" w:cs="宋体"/>
                <w:bCs/>
                <w:color w:val="auto"/>
                <w:kern w:val="0"/>
                <w:sz w:val="24"/>
                <w:lang w:val="zh-CN"/>
              </w:rPr>
              <w:t>交易报价超过公开竞争文件中规定的预算金额或者最高限价的；</w:t>
            </w:r>
          </w:p>
          <w:p>
            <w:pPr>
              <w:ind w:firstLine="480" w:firstLineChars="200"/>
              <w:rPr>
                <w:rFonts w:ascii="宋体" w:hAnsi="宋体" w:cs="宋体"/>
                <w:bCs/>
                <w:color w:val="auto"/>
                <w:kern w:val="0"/>
                <w:sz w:val="24"/>
              </w:rPr>
            </w:pPr>
            <w:r>
              <w:rPr>
                <w:rFonts w:hint="eastAsia" w:ascii="宋体" w:hAnsi="宋体" w:cs="宋体"/>
                <w:bCs/>
                <w:color w:val="auto"/>
                <w:kern w:val="0"/>
                <w:sz w:val="24"/>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ascii="宋体" w:hAnsi="宋体" w:cs="宋体"/>
                <w:color w:val="auto"/>
                <w:kern w:val="0"/>
                <w:sz w:val="24"/>
                <w:lang w:val="zh-CN"/>
              </w:rPr>
            </w:pPr>
            <w:r>
              <w:rPr>
                <w:rFonts w:hint="eastAsia" w:ascii="宋体" w:hAnsi="宋体" w:cs="宋体"/>
                <w:bCs/>
                <w:color w:val="auto"/>
                <w:kern w:val="0"/>
                <w:sz w:val="24"/>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4"/>
              <w:ind w:hanging="4"/>
              <w:rPr>
                <w:rFonts w:hAnsi="宋体" w:cs="宋体"/>
                <w:color w:val="auto"/>
                <w:kern w:val="28"/>
                <w:sz w:val="24"/>
                <w:szCs w:val="24"/>
              </w:rPr>
            </w:pPr>
            <w:r>
              <w:rPr>
                <w:rFonts w:hint="eastAsia" w:hAnsi="宋体" w:cs="宋体"/>
                <w:color w:val="auto"/>
                <w:kern w:val="28"/>
                <w:sz w:val="24"/>
                <w:szCs w:val="24"/>
              </w:rPr>
              <w:t>备份文件是否收取：不收取。</w:t>
            </w:r>
          </w:p>
          <w:p>
            <w:pPr>
              <w:pStyle w:val="34"/>
              <w:ind w:hanging="4"/>
              <w:rPr>
                <w:rFonts w:hAnsi="宋体" w:cs="宋体"/>
                <w:color w:val="auto"/>
                <w:kern w:val="28"/>
                <w:sz w:val="24"/>
                <w:szCs w:val="24"/>
              </w:rPr>
            </w:pPr>
            <w:r>
              <w:rPr>
                <w:rFonts w:hint="eastAsia" w:hAnsi="宋体" w:cs="宋体"/>
                <w:b/>
                <w:color w:val="auto"/>
                <w:sz w:val="24"/>
              </w:rPr>
              <w:t>成交单位在成交后提供纸质响应文件一正二副。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代理机构代理</w:t>
            </w:r>
          </w:p>
          <w:p>
            <w:pPr>
              <w:snapToGrid w:val="0"/>
              <w:jc w:val="center"/>
              <w:rPr>
                <w:rFonts w:ascii="宋体" w:hAnsi="宋体" w:cs="宋体"/>
                <w:b/>
                <w:color w:val="auto"/>
                <w:sz w:val="24"/>
              </w:rPr>
            </w:pPr>
            <w:r>
              <w:rPr>
                <w:rFonts w:hint="eastAsia" w:ascii="宋体" w:hAnsi="宋体" w:cs="宋体"/>
                <w:b/>
                <w:color w:val="auto"/>
                <w:sz w:val="24"/>
              </w:rPr>
              <w:t>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lang w:val="zh-CN"/>
              </w:rPr>
            </w:pPr>
            <w:r>
              <w:rPr>
                <w:rFonts w:hint="eastAsia" w:ascii="宋体" w:hAnsi="宋体" w:cs="宋体"/>
                <w:bCs/>
                <w:color w:val="auto"/>
                <w:kern w:val="0"/>
                <w:sz w:val="24"/>
                <w:lang w:val="zh-CN"/>
              </w:rPr>
              <w:t>本项目采购代理费由</w:t>
            </w:r>
            <w:r>
              <w:rPr>
                <w:rFonts w:hint="eastAsia" w:ascii="宋体" w:hAnsi="宋体" w:cs="宋体"/>
                <w:bCs/>
                <w:color w:val="auto"/>
                <w:kern w:val="0"/>
                <w:sz w:val="24"/>
              </w:rPr>
              <w:t>成交人</w:t>
            </w:r>
            <w:r>
              <w:rPr>
                <w:rFonts w:hint="eastAsia" w:ascii="宋体" w:hAnsi="宋体" w:cs="宋体"/>
                <w:bCs/>
                <w:color w:val="auto"/>
                <w:kern w:val="0"/>
                <w:sz w:val="24"/>
                <w:lang w:val="zh-CN"/>
              </w:rPr>
              <w:t>支付，按国家发展计划委员会的计价格[2002]1980号文件收费标准下浮30%结算收取(单项不足2000.00元的，按2000.00元计)；代理费用按实际中标价结算费用。</w:t>
            </w:r>
          </w:p>
          <w:p>
            <w:pPr>
              <w:snapToGrid w:val="0"/>
              <w:rPr>
                <w:rFonts w:ascii="宋体" w:hAnsi="宋体" w:cs="宋体"/>
                <w:bCs/>
                <w:color w:val="auto"/>
                <w:kern w:val="0"/>
                <w:sz w:val="24"/>
                <w:lang w:val="zh-CN"/>
              </w:rPr>
            </w:pPr>
            <w:r>
              <w:rPr>
                <w:rFonts w:hint="eastAsia" w:ascii="宋体" w:hAnsi="宋体" w:cs="宋体"/>
                <w:bCs/>
                <w:color w:val="auto"/>
                <w:kern w:val="0"/>
                <w:sz w:val="24"/>
                <w:lang w:val="zh-CN"/>
              </w:rPr>
              <w:t>服务费缴纳账号：</w:t>
            </w:r>
          </w:p>
          <w:p>
            <w:pPr>
              <w:snapToGrid w:val="0"/>
              <w:rPr>
                <w:rFonts w:ascii="宋体" w:hAnsi="宋体" w:cs="宋体"/>
                <w:bCs/>
                <w:color w:val="auto"/>
                <w:kern w:val="0"/>
                <w:sz w:val="24"/>
                <w:lang w:val="zh-CN"/>
              </w:rPr>
            </w:pPr>
            <w:r>
              <w:rPr>
                <w:rFonts w:hint="eastAsia" w:ascii="宋体" w:hAnsi="宋体" w:cs="宋体"/>
                <w:bCs/>
                <w:color w:val="auto"/>
                <w:kern w:val="0"/>
                <w:sz w:val="24"/>
                <w:lang w:val="zh-CN"/>
              </w:rPr>
              <w:t>开户银行：上海浦东发展银行萧山支行</w:t>
            </w:r>
          </w:p>
          <w:p>
            <w:pPr>
              <w:snapToGrid w:val="0"/>
              <w:rPr>
                <w:rFonts w:ascii="宋体" w:hAnsi="宋体" w:cs="宋体"/>
                <w:bCs/>
                <w:color w:val="auto"/>
                <w:kern w:val="0"/>
                <w:sz w:val="24"/>
                <w:lang w:val="zh-CN"/>
              </w:rPr>
            </w:pPr>
            <w:r>
              <w:rPr>
                <w:rFonts w:hint="eastAsia" w:ascii="宋体" w:hAnsi="宋体" w:cs="宋体"/>
                <w:bCs/>
                <w:color w:val="auto"/>
                <w:kern w:val="0"/>
                <w:sz w:val="24"/>
                <w:lang w:val="zh-CN"/>
              </w:rPr>
              <w:t>账户名称：杭州博望建设工程招标投标代理有限公司</w:t>
            </w:r>
          </w:p>
          <w:p>
            <w:pPr>
              <w:snapToGrid w:val="0"/>
              <w:rPr>
                <w:rFonts w:ascii="宋体" w:hAnsi="宋体" w:cs="宋体"/>
                <w:bCs/>
                <w:color w:val="auto"/>
                <w:kern w:val="0"/>
                <w:sz w:val="24"/>
              </w:rPr>
            </w:pPr>
            <w:r>
              <w:rPr>
                <w:rFonts w:hint="eastAsia" w:ascii="宋体" w:hAnsi="宋体" w:cs="宋体"/>
                <w:bCs/>
                <w:color w:val="auto"/>
                <w:kern w:val="0"/>
                <w:sz w:val="24"/>
                <w:lang w:val="zh-CN"/>
              </w:rPr>
              <w:t>银行账号：95070154740001005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color w:val="auto"/>
                <w:sz w:val="24"/>
              </w:rPr>
            </w:pPr>
            <w:r>
              <w:rPr>
                <w:rFonts w:hint="eastAsia" w:ascii="宋体" w:hAnsi="宋体" w:cs="宋体"/>
                <w:bCs/>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rPr>
            </w:pPr>
            <w:r>
              <w:rPr>
                <w:rFonts w:hint="eastAsia" w:ascii="宋体" w:hAnsi="宋体" w:cs="宋体"/>
                <w:bCs/>
                <w:color w:val="auto"/>
                <w:kern w:val="0"/>
                <w:sz w:val="24"/>
              </w:rPr>
              <w:t>履约保证金：不收取。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rPr>
            </w:pPr>
            <w:r>
              <w:rPr>
                <w:rFonts w:hint="eastAsia" w:ascii="宋体" w:hAnsi="宋体" w:cs="宋体"/>
                <w:bCs/>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rPr>
            </w:pPr>
            <w:r>
              <w:rPr>
                <w:rFonts w:hint="eastAsia" w:ascii="宋体" w:hAnsi="宋体" w:cs="宋体"/>
                <w:bCs/>
                <w:color w:val="auto"/>
                <w:kern w:val="0"/>
                <w:sz w:val="24"/>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rPr>
            </w:pPr>
            <w:r>
              <w:rPr>
                <w:rFonts w:hint="eastAsia" w:ascii="宋体" w:hAnsi="宋体" w:cs="宋体"/>
                <w:bCs/>
                <w:color w:val="auto"/>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500" w:lineRule="exact"/>
              <w:rPr>
                <w:rFonts w:ascii="宋体" w:hAnsi="宋体" w:cs="宋体"/>
                <w:color w:val="auto"/>
                <w:sz w:val="24"/>
              </w:rPr>
            </w:pPr>
            <w:r>
              <w:rPr>
                <w:rFonts w:hint="eastAsia" w:ascii="宋体" w:hAnsi="宋体" w:cs="宋体"/>
                <w:color w:val="auto"/>
                <w:sz w:val="24"/>
              </w:rPr>
              <w:t>代理机构异议接收人：</w:t>
            </w:r>
            <w:r>
              <w:rPr>
                <w:rFonts w:hint="eastAsia" w:ascii="宋体" w:hAnsi="宋体" w:cs="宋体"/>
                <w:color w:val="auto"/>
                <w:sz w:val="24"/>
                <w:u w:val="single"/>
              </w:rPr>
              <w:t>高华萍</w:t>
            </w:r>
            <w:r>
              <w:rPr>
                <w:rFonts w:hint="eastAsia" w:ascii="宋体" w:hAnsi="宋体" w:cs="宋体"/>
                <w:color w:val="auto"/>
                <w:sz w:val="24"/>
              </w:rPr>
              <w:t xml:space="preserve"> 联系方式：</w:t>
            </w:r>
            <w:r>
              <w:rPr>
                <w:rFonts w:hint="eastAsia" w:ascii="宋体" w:hAnsi="宋体" w:cs="宋体"/>
                <w:color w:val="auto"/>
                <w:sz w:val="24"/>
                <w:u w:val="single"/>
              </w:rPr>
              <w:t>0571-83881218</w:t>
            </w:r>
          </w:p>
          <w:p>
            <w:pPr>
              <w:snapToGrid w:val="0"/>
              <w:spacing w:line="500" w:lineRule="exact"/>
              <w:rPr>
                <w:rFonts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杭州市萧山区金城路433号天汇园一幢A座5楼</w:t>
            </w:r>
          </w:p>
          <w:p>
            <w:pPr>
              <w:snapToGrid w:val="0"/>
              <w:spacing w:line="500" w:lineRule="exact"/>
              <w:rPr>
                <w:rFonts w:ascii="宋体" w:hAnsi="宋体" w:cs="宋体"/>
                <w:b/>
                <w:color w:val="auto"/>
                <w:sz w:val="24"/>
              </w:rPr>
            </w:pPr>
            <w:r>
              <w:rPr>
                <w:rFonts w:hint="eastAsia" w:ascii="宋体" w:hAnsi="宋体" w:cs="宋体"/>
                <w:b/>
                <w:color w:val="auto"/>
                <w:sz w:val="24"/>
              </w:rPr>
              <w:t>如通过邮箱方式发送异议，须提交符合法规及公开竞争文件要求的异议文件（参考附件2），盖章扫描后发送，异议的受理按答复主体划分以交易发起人或代理机构邮箱回复确认受理为准。</w:t>
            </w:r>
          </w:p>
          <w:p>
            <w:pPr>
              <w:snapToGrid w:val="0"/>
              <w:spacing w:line="400" w:lineRule="exact"/>
              <w:rPr>
                <w:rFonts w:ascii="宋体" w:hAnsi="宋体" w:cs="宋体"/>
                <w:color w:val="auto"/>
                <w:sz w:val="24"/>
              </w:rPr>
            </w:pPr>
            <w:r>
              <w:rPr>
                <w:rFonts w:hint="eastAsia" w:ascii="宋体" w:hAnsi="宋体" w:cs="宋体"/>
                <w:color w:val="auto"/>
                <w:sz w:val="24"/>
              </w:rPr>
              <w:t>本项目涉及资格条件、交易需求、评分办法及交易过程中有关现场考察或开标前答疑会事项由交易发起人进行答复。</w:t>
            </w:r>
          </w:p>
          <w:p>
            <w:pPr>
              <w:pStyle w:val="34"/>
              <w:spacing w:line="400" w:lineRule="exact"/>
              <w:ind w:hanging="4"/>
              <w:rPr>
                <w:rFonts w:hAnsi="宋体" w:cs="宋体"/>
                <w:color w:val="auto"/>
                <w:sz w:val="24"/>
              </w:rPr>
            </w:pPr>
            <w:r>
              <w:rPr>
                <w:rFonts w:hint="eastAsia" w:hAnsi="宋体" w:cs="宋体"/>
                <w:color w:val="auto"/>
                <w:sz w:val="24"/>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rPr>
            </w:pPr>
            <w:r>
              <w:rPr>
                <w:rFonts w:hint="eastAsia" w:ascii="宋体" w:hAnsi="宋体" w:cs="宋体"/>
                <w:color w:val="auto"/>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rPr>
            </w:pPr>
            <w:r>
              <w:rPr>
                <w:rFonts w:hint="eastAsia" w:ascii="宋体" w:hAnsi="宋体" w:cs="宋体"/>
                <w:b/>
                <w:color w:val="auto"/>
                <w:sz w:val="24"/>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rPr>
      </w:pPr>
    </w:p>
    <w:bookmarkEnd w:id="9"/>
    <w:p>
      <w:pPr>
        <w:rPr>
          <w:rFonts w:ascii="宋体" w:hAnsi="宋体" w:cs="宋体"/>
          <w:b/>
          <w:color w:val="auto"/>
          <w:sz w:val="32"/>
          <w:szCs w:val="20"/>
        </w:rPr>
      </w:pPr>
      <w:bookmarkStart w:id="10" w:name="_Toc164416483"/>
      <w:bookmarkStart w:id="11" w:name="第三部分"/>
      <w:r>
        <w:rPr>
          <w:rFonts w:hint="eastAsia" w:ascii="宋体" w:hAnsi="宋体" w:cs="宋体"/>
          <w:b/>
          <w:color w:val="auto"/>
          <w:sz w:val="32"/>
          <w:szCs w:val="20"/>
        </w:rPr>
        <w:br w:type="page"/>
      </w:r>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pPr>
        <w:snapToGrid w:val="0"/>
        <w:spacing w:line="460" w:lineRule="exact"/>
        <w:jc w:val="left"/>
        <w:outlineLvl w:val="1"/>
        <w:rPr>
          <w:rFonts w:ascii="宋体" w:hAnsi="宋体" w:cs="宋体"/>
          <w:b/>
          <w:color w:val="auto"/>
          <w:sz w:val="24"/>
        </w:rPr>
      </w:pPr>
      <w:r>
        <w:rPr>
          <w:rFonts w:hint="eastAsia" w:ascii="宋体" w:hAnsi="宋体" w:cs="宋体"/>
          <w:b/>
          <w:color w:val="auto"/>
          <w:sz w:val="24"/>
        </w:rPr>
        <w:t>1.适用范围</w:t>
      </w:r>
    </w:p>
    <w:p>
      <w:pPr>
        <w:snapToGrid w:val="0"/>
        <w:spacing w:line="460" w:lineRule="exact"/>
        <w:ind w:firstLine="420" w:firstLineChars="175"/>
        <w:jc w:val="left"/>
        <w:rPr>
          <w:rFonts w:ascii="宋体" w:hAnsi="宋体" w:cs="宋体"/>
          <w:color w:val="auto"/>
          <w:sz w:val="24"/>
        </w:rPr>
      </w:pPr>
      <w:r>
        <w:rPr>
          <w:rFonts w:hint="eastAsia" w:ascii="宋体" w:hAnsi="宋体" w:cs="宋体"/>
          <w:color w:val="auto"/>
          <w:sz w:val="24"/>
        </w:rPr>
        <w:t>本公开竞争文件适用于该项目的交易、响应、评审、资格审查及信用信息查询、评审、定标、合同、验收等行为（法律、法规另有规定的，从其规定）。</w:t>
      </w:r>
    </w:p>
    <w:p>
      <w:pPr>
        <w:adjustRightInd/>
        <w:spacing w:line="460" w:lineRule="exact"/>
        <w:outlineLvl w:val="0"/>
        <w:rPr>
          <w:rFonts w:ascii="宋体" w:hAnsi="宋体" w:cs="宋体"/>
          <w:b/>
          <w:color w:val="auto"/>
          <w:sz w:val="24"/>
        </w:rPr>
      </w:pPr>
      <w:r>
        <w:rPr>
          <w:rFonts w:hint="eastAsia" w:ascii="宋体" w:hAnsi="宋体" w:cs="宋体"/>
          <w:b/>
          <w:color w:val="auto"/>
          <w:sz w:val="24"/>
        </w:rPr>
        <w:t>2.定义</w:t>
      </w:r>
    </w:p>
    <w:p>
      <w:pPr>
        <w:spacing w:line="460" w:lineRule="exact"/>
        <w:ind w:firstLine="420" w:firstLineChars="175"/>
        <w:rPr>
          <w:rFonts w:ascii="宋体" w:hAnsi="宋体" w:cs="宋体"/>
          <w:color w:val="auto"/>
          <w:sz w:val="24"/>
        </w:rPr>
      </w:pPr>
      <w:r>
        <w:rPr>
          <w:rFonts w:hint="eastAsia" w:ascii="宋体" w:hAnsi="宋体" w:cs="宋体"/>
          <w:color w:val="auto"/>
          <w:sz w:val="24"/>
        </w:rPr>
        <w:t>2.1“交易发起人”系指交易公告中载明的本项目的交易发起人。</w:t>
      </w:r>
    </w:p>
    <w:p>
      <w:pPr>
        <w:spacing w:line="460" w:lineRule="exact"/>
        <w:ind w:firstLine="420" w:firstLineChars="175"/>
        <w:rPr>
          <w:rFonts w:ascii="宋体" w:hAnsi="宋体" w:cs="宋体"/>
          <w:color w:val="auto"/>
          <w:sz w:val="24"/>
        </w:rPr>
      </w:pPr>
      <w:r>
        <w:rPr>
          <w:rFonts w:hint="eastAsia" w:ascii="宋体" w:hAnsi="宋体" w:cs="宋体"/>
          <w:color w:val="auto"/>
          <w:sz w:val="24"/>
        </w:rPr>
        <w:t>2.2“代理机构”系指交易公告中载明的本项目的代理机构。</w:t>
      </w:r>
    </w:p>
    <w:p>
      <w:pPr>
        <w:spacing w:line="460" w:lineRule="exact"/>
        <w:ind w:firstLine="420" w:firstLineChars="175"/>
        <w:rPr>
          <w:rFonts w:ascii="宋体" w:hAnsi="宋体" w:cs="宋体"/>
          <w:color w:val="auto"/>
          <w:sz w:val="24"/>
        </w:rPr>
      </w:pPr>
      <w:r>
        <w:rPr>
          <w:rFonts w:hint="eastAsia" w:ascii="宋体" w:hAnsi="宋体" w:cs="宋体"/>
          <w:color w:val="auto"/>
          <w:sz w:val="24"/>
        </w:rPr>
        <w:t>2.3“响应人”系指是指响应招标、参加投标竞争的法人、其他组织或者自然人。</w:t>
      </w:r>
    </w:p>
    <w:p>
      <w:pPr>
        <w:spacing w:line="460" w:lineRule="exact"/>
        <w:ind w:firstLine="420" w:firstLineChars="175"/>
        <w:rPr>
          <w:rFonts w:ascii="宋体" w:hAnsi="宋体" w:cs="宋体"/>
          <w:color w:val="auto"/>
          <w:sz w:val="24"/>
        </w:rPr>
      </w:pPr>
      <w:r>
        <w:rPr>
          <w:rFonts w:hint="eastAsia" w:ascii="宋体" w:hAnsi="宋体" w:cs="宋体"/>
          <w:color w:val="auto"/>
          <w:sz w:val="24"/>
        </w:rPr>
        <w:t>2.4“负责人”系指法人企业的法定负责人，或其他组织为法律、行政法规规定代表单位行使职权的主要负责人，或自然人本人。</w:t>
      </w:r>
    </w:p>
    <w:p>
      <w:pPr>
        <w:spacing w:line="460" w:lineRule="exact"/>
        <w:ind w:firstLine="420" w:firstLineChars="175"/>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ascii="宋体" w:hAnsi="宋体" w:cs="宋体"/>
          <w:color w:val="auto"/>
          <w:sz w:val="24"/>
        </w:rPr>
      </w:pPr>
      <w:r>
        <w:rPr>
          <w:rFonts w:hint="eastAsia" w:ascii="宋体" w:hAnsi="宋体" w:cs="宋体"/>
          <w:color w:val="auto"/>
          <w:sz w:val="24"/>
        </w:rPr>
        <w:t>2.6“电子交易平台”是指本项目交易活动所依托的政府采购云平台（https://www.zcygov.cn/）。</w:t>
      </w:r>
    </w:p>
    <w:p>
      <w:pPr>
        <w:spacing w:line="460" w:lineRule="exact"/>
        <w:ind w:firstLine="420" w:firstLineChars="175"/>
        <w:rPr>
          <w:rFonts w:ascii="宋体" w:hAnsi="宋体" w:cs="宋体"/>
          <w:color w:val="auto"/>
          <w:sz w:val="24"/>
        </w:rPr>
      </w:pPr>
      <w:r>
        <w:rPr>
          <w:rFonts w:hint="eastAsia" w:ascii="宋体" w:hAnsi="宋体" w:cs="宋体"/>
          <w:color w:val="auto"/>
          <w:sz w:val="24"/>
        </w:rPr>
        <w:t>2.7“▲” 系指实质性要求条款，“（</w:t>
      </w:r>
      <w:r>
        <w:rPr>
          <w:rFonts w:hint="eastAsia" w:ascii="宋体" w:hAnsi="宋体" w:cs="宋体"/>
          <w:bCs/>
          <w:color w:val="auto"/>
          <w:sz w:val="24"/>
        </w:rPr>
        <w:t>√</w:t>
      </w:r>
      <w:r>
        <w:rPr>
          <w:rFonts w:hint="eastAsia" w:ascii="宋体" w:hAnsi="宋体" w:cs="宋体"/>
          <w:color w:val="auto"/>
          <w:sz w:val="24"/>
        </w:rPr>
        <w:t>）” 系指适用本项目的要求，“（  ）”系指不适用本项目的要求。</w:t>
      </w:r>
    </w:p>
    <w:p>
      <w:pPr>
        <w:spacing w:line="460" w:lineRule="exact"/>
        <w:rPr>
          <w:rFonts w:ascii="宋体" w:hAnsi="宋体" w:cs="宋体"/>
          <w:b/>
          <w:color w:val="auto"/>
          <w:sz w:val="24"/>
        </w:rPr>
      </w:pPr>
      <w:r>
        <w:rPr>
          <w:rFonts w:hint="eastAsia" w:ascii="宋体" w:hAnsi="宋体" w:cs="宋体"/>
          <w:b/>
          <w:color w:val="auto"/>
          <w:sz w:val="24"/>
        </w:rPr>
        <w:t>3.异议、投诉</w:t>
      </w:r>
    </w:p>
    <w:p>
      <w:pPr>
        <w:autoSpaceDE w:val="0"/>
        <w:autoSpaceDN w:val="0"/>
        <w:spacing w:line="460" w:lineRule="exact"/>
        <w:ind w:firstLine="420" w:firstLineChars="175"/>
        <w:jc w:val="left"/>
        <w:rPr>
          <w:rFonts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kern w:val="0"/>
          <w:sz w:val="24"/>
          <w:lang w:val="zh-CN"/>
        </w:rPr>
        <w:t>.1响应人异议</w:t>
      </w:r>
    </w:p>
    <w:p>
      <w:pPr>
        <w:autoSpaceDE w:val="0"/>
        <w:autoSpaceDN w:val="0"/>
        <w:spacing w:line="460" w:lineRule="exact"/>
        <w:ind w:firstLine="420" w:firstLineChars="175"/>
        <w:jc w:val="left"/>
        <w:rPr>
          <w:rFonts w:ascii="宋体" w:hAnsi="宋体" w:cs="宋体"/>
          <w:color w:val="auto"/>
          <w:kern w:val="0"/>
          <w:sz w:val="24"/>
          <w:lang w:val="zh-CN"/>
        </w:rPr>
      </w:pPr>
      <w:r>
        <w:rPr>
          <w:rFonts w:hint="eastAsia" w:ascii="宋体" w:hAnsi="宋体" w:cs="宋体"/>
          <w:color w:val="auto"/>
          <w:kern w:val="0"/>
          <w:sz w:val="24"/>
          <w:lang w:val="zh-CN"/>
        </w:rPr>
        <w:t>响应人对</w:t>
      </w:r>
      <w:r>
        <w:rPr>
          <w:rFonts w:hint="eastAsia" w:ascii="宋体" w:hAnsi="宋体" w:cs="宋体"/>
          <w:color w:val="auto"/>
          <w:kern w:val="0"/>
          <w:sz w:val="24"/>
        </w:rPr>
        <w:t>交易</w:t>
      </w:r>
      <w:r>
        <w:rPr>
          <w:rFonts w:hint="eastAsia" w:ascii="宋体" w:hAnsi="宋体" w:cs="宋体"/>
          <w:color w:val="auto"/>
          <w:kern w:val="0"/>
          <w:sz w:val="24"/>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kern w:val="0"/>
          <w:sz w:val="24"/>
          <w:lang w:val="zh-CN"/>
        </w:rPr>
        <w:t>.2响应人异议</w:t>
      </w:r>
    </w:p>
    <w:p>
      <w:pPr>
        <w:pStyle w:val="34"/>
        <w:spacing w:line="460" w:lineRule="exact"/>
        <w:ind w:firstLine="420" w:firstLineChars="175"/>
        <w:rPr>
          <w:rFonts w:hAnsi="宋体" w:cs="宋体"/>
          <w:color w:val="auto"/>
          <w:sz w:val="24"/>
        </w:rPr>
      </w:pPr>
      <w:r>
        <w:rPr>
          <w:rFonts w:hint="eastAsia" w:hAnsi="宋体" w:cs="宋体"/>
          <w:color w:val="auto"/>
          <w:kern w:val="0"/>
          <w:sz w:val="24"/>
        </w:rPr>
        <w:t>3</w:t>
      </w:r>
      <w:r>
        <w:rPr>
          <w:rFonts w:hint="eastAsia" w:hAnsi="宋体" w:cs="宋体"/>
          <w:color w:val="auto"/>
          <w:kern w:val="0"/>
          <w:sz w:val="24"/>
          <w:lang w:val="zh-CN"/>
        </w:rPr>
        <w:t>.2</w:t>
      </w:r>
      <w:r>
        <w:rPr>
          <w:rFonts w:hint="eastAsia" w:hAnsi="宋体" w:cs="宋体"/>
          <w:color w:val="auto"/>
          <w:sz w:val="24"/>
        </w:rPr>
        <w:t>.1提出</w:t>
      </w:r>
      <w:r>
        <w:rPr>
          <w:rFonts w:hint="eastAsia" w:hAnsi="宋体" w:cs="宋体"/>
          <w:color w:val="auto"/>
          <w:kern w:val="0"/>
          <w:sz w:val="24"/>
          <w:lang w:val="zh-CN"/>
        </w:rPr>
        <w:t>异议</w:t>
      </w:r>
      <w:r>
        <w:rPr>
          <w:rFonts w:hint="eastAsia" w:hAnsi="宋体" w:cs="宋体"/>
          <w:color w:val="auto"/>
          <w:sz w:val="24"/>
        </w:rPr>
        <w:t>的响应人应当是参与所质</w:t>
      </w:r>
      <w:r>
        <w:rPr>
          <w:rFonts w:hint="eastAsia" w:hAnsi="宋体" w:cs="宋体"/>
          <w:color w:val="auto"/>
          <w:kern w:val="0"/>
          <w:sz w:val="24"/>
          <w:lang w:val="zh-CN"/>
        </w:rPr>
        <w:t>异议</w:t>
      </w:r>
      <w:r>
        <w:rPr>
          <w:rFonts w:hint="eastAsia" w:hAnsi="宋体" w:cs="宋体"/>
          <w:color w:val="auto"/>
          <w:sz w:val="24"/>
        </w:rPr>
        <w:t>项目交易活动的响应人。潜在响应人已依法获取其可</w:t>
      </w:r>
      <w:r>
        <w:rPr>
          <w:rFonts w:hint="eastAsia" w:hAnsi="宋体" w:cs="宋体"/>
          <w:color w:val="auto"/>
          <w:kern w:val="0"/>
          <w:sz w:val="24"/>
          <w:lang w:val="zh-CN"/>
        </w:rPr>
        <w:t>异议</w:t>
      </w:r>
      <w:r>
        <w:rPr>
          <w:rFonts w:hint="eastAsia" w:hAnsi="宋体" w:cs="宋体"/>
          <w:color w:val="auto"/>
          <w:sz w:val="24"/>
        </w:rPr>
        <w:t>的公开竞争文件的，可以对该文件提出</w:t>
      </w:r>
      <w:r>
        <w:rPr>
          <w:rFonts w:hint="eastAsia" w:hAnsi="宋体" w:cs="宋体"/>
          <w:color w:val="auto"/>
          <w:kern w:val="0"/>
          <w:sz w:val="24"/>
          <w:lang w:val="zh-CN"/>
        </w:rPr>
        <w:t>异议</w:t>
      </w:r>
      <w:r>
        <w:rPr>
          <w:rFonts w:hint="eastAsia" w:hAnsi="宋体" w:cs="宋体"/>
          <w:color w:val="auto"/>
          <w:sz w:val="24"/>
        </w:rPr>
        <w:t>。</w:t>
      </w:r>
    </w:p>
    <w:p>
      <w:pPr>
        <w:pStyle w:val="34"/>
        <w:spacing w:line="460" w:lineRule="exact"/>
        <w:ind w:firstLine="420" w:firstLineChars="175"/>
        <w:rPr>
          <w:rFonts w:hAnsi="宋体" w:cs="宋体"/>
          <w:color w:val="auto"/>
          <w:sz w:val="24"/>
        </w:rPr>
      </w:pPr>
      <w:r>
        <w:rPr>
          <w:rFonts w:hint="eastAsia" w:hAnsi="宋体" w:cs="宋体"/>
          <w:color w:val="auto"/>
          <w:kern w:val="0"/>
          <w:sz w:val="24"/>
        </w:rPr>
        <w:t>3</w:t>
      </w:r>
      <w:r>
        <w:rPr>
          <w:rFonts w:hint="eastAsia" w:hAnsi="宋体" w:cs="宋体"/>
          <w:color w:val="auto"/>
          <w:kern w:val="0"/>
          <w:sz w:val="24"/>
          <w:lang w:val="zh-CN"/>
        </w:rPr>
        <w:t>.2</w:t>
      </w:r>
      <w:r>
        <w:rPr>
          <w:rFonts w:hint="eastAsia" w:hAnsi="宋体" w:cs="宋体"/>
          <w:color w:val="auto"/>
          <w:sz w:val="24"/>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lang w:val="zh-CN"/>
        </w:rPr>
        <w:t>异议</w:t>
      </w:r>
      <w:r>
        <w:rPr>
          <w:rFonts w:hint="eastAsia" w:hAnsi="宋体" w:cs="宋体"/>
          <w:color w:val="auto"/>
          <w:sz w:val="24"/>
        </w:rPr>
        <w:t>，否则，交易发起人或者代理机构不予受理：</w:t>
      </w:r>
    </w:p>
    <w:p>
      <w:pPr>
        <w:pStyle w:val="34"/>
        <w:spacing w:line="460" w:lineRule="exact"/>
        <w:ind w:firstLine="420" w:firstLineChars="175"/>
        <w:rPr>
          <w:rFonts w:hAnsi="宋体" w:cs="宋体"/>
          <w:color w:val="auto"/>
          <w:sz w:val="24"/>
        </w:rPr>
      </w:pPr>
      <w:r>
        <w:rPr>
          <w:rFonts w:hint="eastAsia" w:hAnsi="宋体" w:cs="宋体"/>
          <w:color w:val="auto"/>
          <w:sz w:val="24"/>
        </w:rPr>
        <w:t>3.2.2.1对交易过程提出</w:t>
      </w:r>
      <w:r>
        <w:rPr>
          <w:rFonts w:hint="eastAsia" w:hAnsi="宋体" w:cs="宋体"/>
          <w:color w:val="auto"/>
          <w:kern w:val="0"/>
          <w:sz w:val="24"/>
          <w:lang w:val="zh-CN"/>
        </w:rPr>
        <w:t>异议</w:t>
      </w:r>
      <w:r>
        <w:rPr>
          <w:rFonts w:hint="eastAsia" w:hAnsi="宋体" w:cs="宋体"/>
          <w:color w:val="auto"/>
          <w:sz w:val="24"/>
        </w:rPr>
        <w:t>的，</w:t>
      </w:r>
      <w:r>
        <w:rPr>
          <w:rFonts w:hint="eastAsia" w:hAnsi="宋体" w:cs="宋体"/>
          <w:color w:val="auto"/>
          <w:kern w:val="0"/>
          <w:sz w:val="24"/>
          <w:lang w:val="zh-CN"/>
        </w:rPr>
        <w:t>异议</w:t>
      </w:r>
      <w:r>
        <w:rPr>
          <w:rFonts w:hint="eastAsia" w:hAnsi="宋体" w:cs="宋体"/>
          <w:color w:val="auto"/>
          <w:sz w:val="24"/>
        </w:rPr>
        <w:t>期限为各交易程序环节结束之日起计算。对同一交易程序环节的</w:t>
      </w:r>
      <w:r>
        <w:rPr>
          <w:rFonts w:hint="eastAsia" w:hAnsi="宋体" w:cs="宋体"/>
          <w:color w:val="auto"/>
          <w:kern w:val="0"/>
          <w:sz w:val="24"/>
          <w:lang w:val="zh-CN"/>
        </w:rPr>
        <w:t>异议</w:t>
      </w:r>
      <w:r>
        <w:rPr>
          <w:rFonts w:hint="eastAsia" w:hAnsi="宋体" w:cs="宋体"/>
          <w:color w:val="auto"/>
          <w:sz w:val="24"/>
        </w:rPr>
        <w:t>，响应人须一次性提出。</w:t>
      </w:r>
    </w:p>
    <w:p>
      <w:pPr>
        <w:pStyle w:val="34"/>
        <w:spacing w:line="460" w:lineRule="exact"/>
        <w:ind w:firstLine="420" w:firstLineChars="175"/>
        <w:rPr>
          <w:rFonts w:hAnsi="宋体" w:cs="宋体"/>
          <w:color w:val="auto"/>
          <w:kern w:val="0"/>
          <w:sz w:val="24"/>
          <w:lang w:val="zh-CN"/>
        </w:rPr>
      </w:pPr>
      <w:r>
        <w:rPr>
          <w:rFonts w:hint="eastAsia" w:hAnsi="宋体" w:cs="宋体"/>
          <w:color w:val="auto"/>
          <w:kern w:val="0"/>
          <w:sz w:val="24"/>
        </w:rPr>
        <w:t>3</w:t>
      </w:r>
      <w:r>
        <w:rPr>
          <w:rFonts w:hint="eastAsia" w:hAnsi="宋体" w:cs="宋体"/>
          <w:color w:val="auto"/>
          <w:kern w:val="0"/>
          <w:sz w:val="24"/>
          <w:lang w:val="zh-CN"/>
        </w:rPr>
        <w:t>.2.3</w:t>
      </w:r>
      <w:r>
        <w:rPr>
          <w:rFonts w:hint="eastAsia" w:hAnsi="宋体" w:cs="宋体"/>
          <w:color w:val="auto"/>
          <w:sz w:val="24"/>
        </w:rPr>
        <w:t>响应人提出</w:t>
      </w:r>
      <w:r>
        <w:rPr>
          <w:rFonts w:hint="eastAsia" w:hAnsi="宋体" w:cs="宋体"/>
          <w:color w:val="auto"/>
          <w:kern w:val="0"/>
          <w:sz w:val="24"/>
          <w:lang w:val="zh-CN"/>
        </w:rPr>
        <w:t>异议</w:t>
      </w:r>
      <w:r>
        <w:rPr>
          <w:rFonts w:hint="eastAsia" w:hAnsi="宋体" w:cs="宋体"/>
          <w:color w:val="auto"/>
          <w:sz w:val="24"/>
        </w:rPr>
        <w:t>应当提交</w:t>
      </w:r>
      <w:r>
        <w:rPr>
          <w:rFonts w:hint="eastAsia" w:hAnsi="宋体" w:cs="宋体"/>
          <w:color w:val="auto"/>
          <w:kern w:val="0"/>
          <w:sz w:val="24"/>
          <w:lang w:val="zh-CN"/>
        </w:rPr>
        <w:t>异议</w:t>
      </w:r>
      <w:r>
        <w:rPr>
          <w:rFonts w:hint="eastAsia" w:hAnsi="宋体" w:cs="宋体"/>
          <w:color w:val="auto"/>
          <w:sz w:val="24"/>
        </w:rPr>
        <w:t>函和必要的证明材料。</w:t>
      </w:r>
      <w:r>
        <w:rPr>
          <w:rFonts w:hint="eastAsia" w:hAnsi="宋体" w:cs="宋体"/>
          <w:color w:val="auto"/>
          <w:kern w:val="0"/>
          <w:sz w:val="24"/>
          <w:lang w:val="zh-CN"/>
        </w:rPr>
        <w:t>异议</w:t>
      </w:r>
      <w:r>
        <w:rPr>
          <w:rFonts w:hint="eastAsia" w:hAnsi="宋体" w:cs="宋体"/>
          <w:color w:val="auto"/>
          <w:sz w:val="24"/>
        </w:rPr>
        <w:t>函应当包括下列内容：</w:t>
      </w:r>
    </w:p>
    <w:p>
      <w:pPr>
        <w:pStyle w:val="34"/>
        <w:spacing w:line="460" w:lineRule="exact"/>
        <w:ind w:firstLine="420" w:firstLineChars="175"/>
        <w:rPr>
          <w:rFonts w:hAnsi="宋体" w:cs="宋体"/>
          <w:color w:val="auto"/>
          <w:kern w:val="0"/>
          <w:sz w:val="24"/>
          <w:lang w:val="zh-CN"/>
        </w:rPr>
      </w:pPr>
      <w:r>
        <w:rPr>
          <w:rFonts w:hint="eastAsia" w:hAnsi="宋体" w:cs="宋体"/>
          <w:color w:val="auto"/>
          <w:kern w:val="0"/>
          <w:sz w:val="24"/>
        </w:rPr>
        <w:t>3</w:t>
      </w:r>
      <w:r>
        <w:rPr>
          <w:rFonts w:hint="eastAsia" w:hAnsi="宋体" w:cs="宋体"/>
          <w:color w:val="auto"/>
          <w:kern w:val="0"/>
          <w:sz w:val="24"/>
          <w:lang w:val="zh-CN"/>
        </w:rPr>
        <w:t>.2.3.1响应人的姓名或者名称、地址、邮编、联系人及联系电话；</w:t>
      </w:r>
    </w:p>
    <w:p>
      <w:pPr>
        <w:pStyle w:val="34"/>
        <w:spacing w:line="460" w:lineRule="exact"/>
        <w:ind w:firstLine="420" w:firstLineChars="175"/>
        <w:rPr>
          <w:rFonts w:hAnsi="宋体" w:cs="宋体"/>
          <w:color w:val="auto"/>
          <w:kern w:val="0"/>
          <w:sz w:val="24"/>
          <w:lang w:val="zh-CN"/>
        </w:rPr>
      </w:pPr>
      <w:r>
        <w:rPr>
          <w:rFonts w:hint="eastAsia" w:hAnsi="宋体" w:cs="宋体"/>
          <w:color w:val="auto"/>
          <w:kern w:val="0"/>
          <w:sz w:val="24"/>
        </w:rPr>
        <w:t>3</w:t>
      </w:r>
      <w:r>
        <w:rPr>
          <w:rFonts w:hint="eastAsia" w:hAnsi="宋体" w:cs="宋体"/>
          <w:color w:val="auto"/>
          <w:kern w:val="0"/>
          <w:sz w:val="24"/>
          <w:lang w:val="zh-CN"/>
        </w:rPr>
        <w:t>.2.3.2异议项目的名称、编号；</w:t>
      </w:r>
    </w:p>
    <w:p>
      <w:pPr>
        <w:pStyle w:val="34"/>
        <w:spacing w:line="460" w:lineRule="exact"/>
        <w:ind w:firstLine="420" w:firstLineChars="175"/>
        <w:rPr>
          <w:rFonts w:hAnsi="宋体" w:cs="宋体"/>
          <w:color w:val="auto"/>
          <w:kern w:val="0"/>
          <w:sz w:val="24"/>
          <w:lang w:val="zh-CN"/>
        </w:rPr>
      </w:pPr>
      <w:r>
        <w:rPr>
          <w:rFonts w:hint="eastAsia" w:hAnsi="宋体" w:cs="宋体"/>
          <w:color w:val="auto"/>
          <w:kern w:val="0"/>
          <w:sz w:val="24"/>
        </w:rPr>
        <w:t>3</w:t>
      </w:r>
      <w:r>
        <w:rPr>
          <w:rFonts w:hint="eastAsia" w:hAnsi="宋体" w:cs="宋体"/>
          <w:color w:val="auto"/>
          <w:kern w:val="0"/>
          <w:sz w:val="24"/>
          <w:lang w:val="zh-CN"/>
        </w:rPr>
        <w:t>.2.3.3具体、明确的异议事项和与异议事项相关的请求；</w:t>
      </w:r>
    </w:p>
    <w:p>
      <w:pPr>
        <w:pStyle w:val="34"/>
        <w:spacing w:line="460" w:lineRule="exact"/>
        <w:ind w:firstLine="420" w:firstLineChars="175"/>
        <w:rPr>
          <w:rFonts w:hAnsi="宋体" w:cs="宋体"/>
          <w:color w:val="auto"/>
          <w:kern w:val="0"/>
          <w:sz w:val="24"/>
          <w:lang w:val="zh-CN"/>
        </w:rPr>
      </w:pPr>
      <w:r>
        <w:rPr>
          <w:rFonts w:hint="eastAsia" w:hAnsi="宋体" w:cs="宋体"/>
          <w:color w:val="auto"/>
          <w:kern w:val="0"/>
          <w:sz w:val="24"/>
        </w:rPr>
        <w:t>3</w:t>
      </w:r>
      <w:r>
        <w:rPr>
          <w:rFonts w:hint="eastAsia" w:hAnsi="宋体" w:cs="宋体"/>
          <w:color w:val="auto"/>
          <w:kern w:val="0"/>
          <w:sz w:val="24"/>
          <w:lang w:val="zh-CN"/>
        </w:rPr>
        <w:t>.2.3.4事实依据；</w:t>
      </w:r>
    </w:p>
    <w:p>
      <w:pPr>
        <w:pStyle w:val="34"/>
        <w:spacing w:line="460" w:lineRule="exact"/>
        <w:ind w:firstLine="420" w:firstLineChars="175"/>
        <w:rPr>
          <w:rFonts w:hAnsi="宋体" w:cs="宋体"/>
          <w:color w:val="auto"/>
          <w:kern w:val="0"/>
          <w:sz w:val="24"/>
          <w:lang w:val="zh-CN"/>
        </w:rPr>
      </w:pPr>
      <w:r>
        <w:rPr>
          <w:rFonts w:hint="eastAsia" w:hAnsi="宋体" w:cs="宋体"/>
          <w:color w:val="auto"/>
          <w:kern w:val="0"/>
          <w:sz w:val="24"/>
        </w:rPr>
        <w:t>3</w:t>
      </w:r>
      <w:r>
        <w:rPr>
          <w:rFonts w:hint="eastAsia" w:hAnsi="宋体" w:cs="宋体"/>
          <w:color w:val="auto"/>
          <w:kern w:val="0"/>
          <w:sz w:val="24"/>
          <w:lang w:val="zh-CN"/>
        </w:rPr>
        <w:t>.2.3.5必要的法律依据；</w:t>
      </w:r>
    </w:p>
    <w:p>
      <w:pPr>
        <w:pStyle w:val="34"/>
        <w:spacing w:line="460" w:lineRule="exact"/>
        <w:ind w:firstLine="420" w:firstLineChars="175"/>
        <w:rPr>
          <w:rFonts w:hAnsi="宋体" w:cs="宋体"/>
          <w:color w:val="auto"/>
          <w:kern w:val="0"/>
          <w:sz w:val="24"/>
          <w:lang w:val="zh-CN"/>
        </w:rPr>
      </w:pPr>
      <w:r>
        <w:rPr>
          <w:rFonts w:hint="eastAsia" w:hAnsi="宋体" w:cs="宋体"/>
          <w:color w:val="auto"/>
          <w:kern w:val="0"/>
          <w:sz w:val="24"/>
        </w:rPr>
        <w:t>3</w:t>
      </w:r>
      <w:r>
        <w:rPr>
          <w:rFonts w:hint="eastAsia" w:hAnsi="宋体" w:cs="宋体"/>
          <w:color w:val="auto"/>
          <w:kern w:val="0"/>
          <w:sz w:val="24"/>
          <w:lang w:val="zh-CN"/>
        </w:rPr>
        <w:t>.2.3.6提出异议的日期。</w:t>
      </w:r>
    </w:p>
    <w:p>
      <w:pPr>
        <w:pStyle w:val="892"/>
        <w:shd w:val="clear" w:color="auto" w:fill="FFFFFF"/>
        <w:snapToGrid w:val="0"/>
        <w:spacing w:after="240" w:afterAutospacing="0" w:line="460" w:lineRule="exact"/>
        <w:ind w:firstLine="420" w:firstLineChars="175"/>
        <w:contextualSpacing/>
        <w:rPr>
          <w:color w:val="auto"/>
        </w:rPr>
      </w:pPr>
      <w:r>
        <w:rPr>
          <w:rFonts w:hint="eastAsia"/>
          <w:color w:val="auto"/>
        </w:rPr>
        <w:t>响应人提交的</w:t>
      </w:r>
      <w:r>
        <w:rPr>
          <w:rFonts w:hint="eastAsia"/>
          <w:color w:val="auto"/>
          <w:lang w:val="zh-CN"/>
        </w:rPr>
        <w:t>异议</w:t>
      </w:r>
      <w:r>
        <w:rPr>
          <w:rFonts w:hint="eastAsia"/>
          <w:color w:val="auto"/>
        </w:rPr>
        <w:t>函需一式三份。响应人为自然人的，应当由本人签字；响应人为法人或者其他组织的，应当由法定代表人、主要负责人，或者其授权代表签字或者盖章，并加盖公章。</w:t>
      </w:r>
    </w:p>
    <w:p>
      <w:pPr>
        <w:pStyle w:val="892"/>
        <w:shd w:val="clear" w:color="auto" w:fill="FFFFFF"/>
        <w:snapToGrid w:val="0"/>
        <w:spacing w:after="240" w:afterAutospacing="0" w:line="460" w:lineRule="exact"/>
        <w:ind w:firstLine="420" w:firstLineChars="175"/>
        <w:contextualSpacing/>
        <w:rPr>
          <w:color w:val="auto"/>
        </w:rPr>
      </w:pPr>
      <w:r>
        <w:rPr>
          <w:rFonts w:hint="eastAsia"/>
          <w:color w:val="auto"/>
          <w:lang w:val="zh-CN"/>
        </w:rPr>
        <w:t>异议</w:t>
      </w:r>
      <w:r>
        <w:rPr>
          <w:rFonts w:hint="eastAsia"/>
          <w:color w:val="auto"/>
        </w:rPr>
        <w:t>函范本及制作说明详见附件1。</w:t>
      </w:r>
    </w:p>
    <w:p>
      <w:pPr>
        <w:pStyle w:val="892"/>
        <w:shd w:val="clear" w:color="auto" w:fill="FFFFFF"/>
        <w:snapToGrid w:val="0"/>
        <w:spacing w:after="240" w:afterAutospacing="0" w:line="460" w:lineRule="exact"/>
        <w:ind w:firstLine="420" w:firstLineChars="175"/>
        <w:contextualSpacing/>
        <w:rPr>
          <w:color w:val="auto"/>
        </w:rPr>
      </w:pPr>
      <w:r>
        <w:rPr>
          <w:rFonts w:hint="eastAsia"/>
          <w:color w:val="auto"/>
        </w:rPr>
        <w:t>3</w:t>
      </w:r>
      <w:r>
        <w:rPr>
          <w:rFonts w:hint="eastAsia"/>
          <w:color w:val="auto"/>
          <w:lang w:val="zh-CN"/>
        </w:rPr>
        <w:t>.2</w:t>
      </w:r>
      <w:r>
        <w:rPr>
          <w:rFonts w:hint="eastAsia"/>
          <w:color w:val="auto"/>
        </w:rPr>
        <w:t>.4交易发起人或者代理机构应当在收到响应人的书面异议后3日内作出答复，并以书面形式通知异议响应人和其他与异议处理结果有利害关系的交易当事人，但答复的内容不得涉及商业秘密。</w:t>
      </w:r>
    </w:p>
    <w:p>
      <w:pPr>
        <w:pStyle w:val="892"/>
        <w:shd w:val="clear" w:color="auto" w:fill="FFFFFF"/>
        <w:snapToGrid w:val="0"/>
        <w:spacing w:after="240" w:afterAutospacing="0" w:line="460" w:lineRule="exact"/>
        <w:ind w:firstLine="420" w:firstLineChars="175"/>
        <w:contextualSpacing/>
        <w:rPr>
          <w:color w:val="auto"/>
        </w:rPr>
      </w:pPr>
      <w:r>
        <w:rPr>
          <w:rFonts w:hint="eastAsia"/>
          <w:color w:val="auto"/>
        </w:rPr>
        <w:t>3</w:t>
      </w:r>
      <w:r>
        <w:rPr>
          <w:rFonts w:hint="eastAsia"/>
          <w:color w:val="auto"/>
          <w:lang w:val="zh-CN"/>
        </w:rPr>
        <w:t>.2</w:t>
      </w:r>
      <w:r>
        <w:rPr>
          <w:rFonts w:hint="eastAsia"/>
          <w:color w:val="auto"/>
        </w:rPr>
        <w:t>.5询问或者异议事项可能影响交易结果的，交易发起人应当暂停签订合同，已经签订合同的，应当中止履行合同。</w:t>
      </w:r>
    </w:p>
    <w:p>
      <w:pPr>
        <w:pStyle w:val="892"/>
        <w:shd w:val="clear" w:color="auto" w:fill="FFFFFF"/>
        <w:snapToGrid w:val="0"/>
        <w:spacing w:after="240" w:afterAutospacing="0" w:line="460" w:lineRule="exact"/>
        <w:ind w:firstLine="420" w:firstLineChars="175"/>
        <w:contextualSpacing/>
        <w:rPr>
          <w:color w:val="auto"/>
          <w:lang w:val="zh-CN"/>
        </w:rPr>
      </w:pPr>
      <w:r>
        <w:rPr>
          <w:rFonts w:hint="eastAsia"/>
          <w:color w:val="auto"/>
        </w:rPr>
        <w:t>3</w:t>
      </w:r>
      <w:r>
        <w:rPr>
          <w:rFonts w:hint="eastAsia"/>
          <w:color w:val="auto"/>
          <w:lang w:val="zh-CN"/>
        </w:rPr>
        <w:t>.3响应人投诉</w:t>
      </w:r>
    </w:p>
    <w:p>
      <w:pPr>
        <w:pStyle w:val="892"/>
        <w:shd w:val="clear" w:color="auto" w:fill="FFFFFF"/>
        <w:snapToGrid w:val="0"/>
        <w:spacing w:after="240" w:afterAutospacing="0" w:line="460" w:lineRule="exact"/>
        <w:ind w:firstLine="420" w:firstLineChars="175"/>
        <w:contextualSpacing/>
        <w:rPr>
          <w:color w:val="auto"/>
        </w:rPr>
      </w:pPr>
      <w:r>
        <w:rPr>
          <w:rFonts w:hint="eastAsia"/>
          <w:color w:val="auto"/>
        </w:rPr>
        <w:t>3.3.1</w:t>
      </w:r>
      <w:r>
        <w:rPr>
          <w:rFonts w:hint="eastAsia"/>
          <w:color w:val="auto"/>
          <w:lang w:val="zh-CN"/>
        </w:rPr>
        <w:t>异议</w:t>
      </w:r>
      <w:r>
        <w:rPr>
          <w:rFonts w:hint="eastAsia"/>
          <w:color w:val="auto"/>
        </w:rPr>
        <w:t>响应人对交易发起人、代理机构的答复不满意或者交易发起人、代理机构未在规定的时间内作出答复的，可以在答复期满后10日内向基层监督机构部门提出投诉。</w:t>
      </w:r>
    </w:p>
    <w:p>
      <w:pPr>
        <w:pStyle w:val="892"/>
        <w:shd w:val="clear" w:color="auto" w:fill="FFFFFF"/>
        <w:snapToGrid w:val="0"/>
        <w:spacing w:after="240" w:afterAutospacing="0" w:line="460" w:lineRule="exact"/>
        <w:ind w:firstLine="420" w:firstLineChars="175"/>
        <w:contextualSpacing/>
        <w:rPr>
          <w:color w:val="auto"/>
        </w:rPr>
      </w:pPr>
      <w:r>
        <w:rPr>
          <w:rFonts w:hint="eastAsia"/>
          <w:color w:val="auto"/>
        </w:rPr>
        <w:t>3.3.</w:t>
      </w:r>
      <w:r>
        <w:rPr>
          <w:rFonts w:hint="eastAsia"/>
          <w:color w:val="auto"/>
          <w:lang w:val="zh-CN"/>
        </w:rPr>
        <w:t>2</w:t>
      </w:r>
      <w:r>
        <w:rPr>
          <w:rFonts w:hint="eastAsia"/>
          <w:color w:val="auto"/>
        </w:rPr>
        <w:t>响应人投诉的事项不得超出已</w:t>
      </w:r>
      <w:r>
        <w:rPr>
          <w:rFonts w:hint="eastAsia"/>
          <w:color w:val="auto"/>
          <w:lang w:val="zh-CN"/>
        </w:rPr>
        <w:t>异议</w:t>
      </w:r>
      <w:r>
        <w:rPr>
          <w:rFonts w:hint="eastAsia"/>
          <w:color w:val="auto"/>
        </w:rPr>
        <w:t>事项的范围，基于</w:t>
      </w:r>
      <w:r>
        <w:rPr>
          <w:rFonts w:hint="eastAsia"/>
          <w:color w:val="auto"/>
          <w:lang w:val="zh-CN"/>
        </w:rPr>
        <w:t>异议</w:t>
      </w:r>
      <w:r>
        <w:rPr>
          <w:rFonts w:hint="eastAsia"/>
          <w:color w:val="auto"/>
        </w:rPr>
        <w:t>答复内容提出的投诉事项除外。</w:t>
      </w:r>
    </w:p>
    <w:p>
      <w:pPr>
        <w:pStyle w:val="892"/>
        <w:shd w:val="clear" w:color="auto" w:fill="FFFFFF"/>
        <w:snapToGrid w:val="0"/>
        <w:spacing w:after="240" w:afterAutospacing="0" w:line="460" w:lineRule="exact"/>
        <w:ind w:firstLine="420" w:firstLineChars="175"/>
        <w:contextualSpacing/>
        <w:rPr>
          <w:color w:val="auto"/>
        </w:rPr>
      </w:pPr>
      <w:r>
        <w:rPr>
          <w:rFonts w:hint="eastAsia"/>
          <w:color w:val="auto"/>
        </w:rPr>
        <w:t>3.3.3响应人投诉应当有明确的请求和必要的证明材料。</w:t>
      </w:r>
    </w:p>
    <w:p>
      <w:pPr>
        <w:pStyle w:val="892"/>
        <w:shd w:val="clear" w:color="auto" w:fill="FFFFFF"/>
        <w:snapToGrid w:val="0"/>
        <w:spacing w:after="240" w:afterAutospacing="0" w:line="460" w:lineRule="exact"/>
        <w:ind w:firstLine="420" w:firstLineChars="175"/>
        <w:contextualSpacing/>
        <w:rPr>
          <w:color w:val="auto"/>
        </w:rPr>
      </w:pPr>
      <w:r>
        <w:rPr>
          <w:rFonts w:hint="eastAsia"/>
          <w:color w:val="auto"/>
        </w:rPr>
        <w:t>3.3.4以联合体形式参加交易活动的，其投诉应当由组成联合体的所有响应人共同提出。</w:t>
      </w:r>
    </w:p>
    <w:p>
      <w:pPr>
        <w:pStyle w:val="892"/>
        <w:shd w:val="clear" w:color="auto" w:fill="FFFFFF"/>
        <w:snapToGrid w:val="0"/>
        <w:spacing w:after="240" w:afterAutospacing="0" w:line="460" w:lineRule="exact"/>
        <w:ind w:firstLine="420" w:firstLineChars="175"/>
        <w:contextualSpacing/>
        <w:rPr>
          <w:color w:val="auto"/>
        </w:rPr>
      </w:pPr>
      <w:r>
        <w:rPr>
          <w:rFonts w:hint="eastAsia"/>
          <w:color w:val="auto"/>
        </w:rPr>
        <w:t>投诉书范本及制作说明详见附件2。</w:t>
      </w:r>
    </w:p>
    <w:p>
      <w:pPr>
        <w:pStyle w:val="135"/>
        <w:snapToGrid w:val="0"/>
        <w:spacing w:before="0" w:line="460" w:lineRule="exact"/>
        <w:ind w:firstLine="360"/>
        <w:rPr>
          <w:rFonts w:ascii="宋体" w:hAnsi="宋体" w:cs="宋体"/>
          <w:color w:val="auto"/>
          <w:sz w:val="18"/>
          <w:szCs w:val="18"/>
        </w:rPr>
      </w:pPr>
    </w:p>
    <w:p>
      <w:pPr>
        <w:adjustRightInd/>
        <w:spacing w:line="460" w:lineRule="exact"/>
        <w:jc w:val="center"/>
        <w:outlineLvl w:val="0"/>
        <w:rPr>
          <w:rFonts w:ascii="宋体" w:hAnsi="宋体" w:cs="宋体"/>
          <w:b/>
          <w:color w:val="auto"/>
          <w:sz w:val="32"/>
          <w:szCs w:val="20"/>
        </w:rPr>
      </w:pPr>
      <w:r>
        <w:rPr>
          <w:rFonts w:hint="eastAsia" w:ascii="宋体" w:hAnsi="宋体" w:cs="宋体"/>
          <w:b/>
          <w:color w:val="auto"/>
          <w:sz w:val="32"/>
          <w:szCs w:val="20"/>
        </w:rPr>
        <w:t>二、公开竞争文件的构成、澄清、修改</w:t>
      </w:r>
    </w:p>
    <w:p>
      <w:pPr>
        <w:pStyle w:val="34"/>
        <w:spacing w:line="460" w:lineRule="exact"/>
        <w:rPr>
          <w:rFonts w:hAnsi="宋体" w:cs="宋体"/>
          <w:b/>
          <w:color w:val="auto"/>
          <w:sz w:val="24"/>
          <w:szCs w:val="24"/>
        </w:rPr>
      </w:pPr>
      <w:r>
        <w:rPr>
          <w:rFonts w:hint="eastAsia" w:hAnsi="宋体" w:cs="宋体"/>
          <w:b/>
          <w:color w:val="auto"/>
          <w:sz w:val="24"/>
          <w:szCs w:val="24"/>
        </w:rPr>
        <w:t>4．公开竞争文件的构成</w:t>
      </w:r>
    </w:p>
    <w:p>
      <w:pPr>
        <w:pStyle w:val="34"/>
        <w:spacing w:line="460" w:lineRule="exact"/>
        <w:ind w:firstLine="480" w:firstLineChars="200"/>
        <w:rPr>
          <w:rFonts w:hAnsi="宋体" w:cs="宋体"/>
          <w:color w:val="auto"/>
          <w:sz w:val="24"/>
          <w:szCs w:val="24"/>
        </w:rPr>
      </w:pPr>
      <w:r>
        <w:rPr>
          <w:rFonts w:hint="eastAsia" w:hAnsi="宋体" w:cs="宋体"/>
          <w:color w:val="auto"/>
          <w:sz w:val="24"/>
          <w:szCs w:val="24"/>
        </w:rPr>
        <w:t>4.1公开竞争文件包括下列文件及附件：</w:t>
      </w:r>
    </w:p>
    <w:p>
      <w:pPr>
        <w:pStyle w:val="34"/>
        <w:tabs>
          <w:tab w:val="left" w:pos="840"/>
        </w:tabs>
        <w:spacing w:line="460" w:lineRule="exact"/>
        <w:ind w:firstLine="960" w:firstLineChars="400"/>
        <w:rPr>
          <w:rFonts w:hAnsi="宋体" w:cs="宋体"/>
          <w:color w:val="auto"/>
          <w:sz w:val="24"/>
          <w:szCs w:val="24"/>
        </w:rPr>
      </w:pPr>
      <w:r>
        <w:rPr>
          <w:rFonts w:hint="eastAsia" w:hAnsi="宋体" w:cs="宋体"/>
          <w:color w:val="auto"/>
          <w:sz w:val="24"/>
          <w:szCs w:val="24"/>
        </w:rPr>
        <w:t>4.1.1交易公告；</w:t>
      </w:r>
    </w:p>
    <w:p>
      <w:pPr>
        <w:pStyle w:val="34"/>
        <w:tabs>
          <w:tab w:val="left" w:pos="840"/>
        </w:tabs>
        <w:spacing w:line="460" w:lineRule="exact"/>
        <w:ind w:firstLine="960" w:firstLineChars="400"/>
        <w:rPr>
          <w:rFonts w:hAnsi="宋体" w:cs="宋体"/>
          <w:color w:val="auto"/>
          <w:sz w:val="24"/>
          <w:szCs w:val="24"/>
        </w:rPr>
      </w:pPr>
      <w:r>
        <w:rPr>
          <w:rFonts w:hint="eastAsia" w:hAnsi="宋体" w:cs="宋体"/>
          <w:color w:val="auto"/>
          <w:sz w:val="24"/>
          <w:szCs w:val="24"/>
        </w:rPr>
        <w:t>4.1.2响应人须知；</w:t>
      </w:r>
    </w:p>
    <w:p>
      <w:pPr>
        <w:pStyle w:val="34"/>
        <w:tabs>
          <w:tab w:val="left" w:pos="840"/>
        </w:tabs>
        <w:spacing w:line="460" w:lineRule="exact"/>
        <w:ind w:firstLine="960" w:firstLineChars="400"/>
        <w:rPr>
          <w:rFonts w:hAnsi="宋体" w:cs="宋体"/>
          <w:color w:val="auto"/>
          <w:sz w:val="24"/>
          <w:szCs w:val="24"/>
        </w:rPr>
      </w:pPr>
      <w:r>
        <w:rPr>
          <w:rFonts w:hint="eastAsia" w:hAnsi="宋体" w:cs="宋体"/>
          <w:color w:val="auto"/>
          <w:sz w:val="24"/>
          <w:szCs w:val="24"/>
        </w:rPr>
        <w:t>4.1.3交易需求；</w:t>
      </w:r>
    </w:p>
    <w:p>
      <w:pPr>
        <w:pStyle w:val="34"/>
        <w:tabs>
          <w:tab w:val="left" w:pos="840"/>
        </w:tabs>
        <w:spacing w:line="460" w:lineRule="exact"/>
        <w:ind w:firstLine="960" w:firstLineChars="400"/>
        <w:rPr>
          <w:rFonts w:hAnsi="宋体" w:cs="宋体"/>
          <w:color w:val="auto"/>
          <w:sz w:val="24"/>
          <w:szCs w:val="24"/>
        </w:rPr>
      </w:pPr>
      <w:r>
        <w:rPr>
          <w:rFonts w:hint="eastAsia" w:hAnsi="宋体" w:cs="宋体"/>
          <w:color w:val="auto"/>
          <w:sz w:val="24"/>
          <w:szCs w:val="24"/>
        </w:rPr>
        <w:t>4.1.4交易办法；</w:t>
      </w:r>
    </w:p>
    <w:p>
      <w:pPr>
        <w:pStyle w:val="34"/>
        <w:tabs>
          <w:tab w:val="left" w:pos="840"/>
        </w:tabs>
        <w:spacing w:line="460" w:lineRule="exact"/>
        <w:ind w:firstLine="960" w:firstLineChars="400"/>
        <w:rPr>
          <w:rFonts w:hAnsi="宋体" w:cs="宋体"/>
          <w:color w:val="auto"/>
          <w:sz w:val="24"/>
          <w:szCs w:val="24"/>
        </w:rPr>
      </w:pPr>
      <w:r>
        <w:rPr>
          <w:rFonts w:hint="eastAsia" w:hAnsi="宋体" w:cs="宋体"/>
          <w:color w:val="auto"/>
          <w:sz w:val="24"/>
          <w:szCs w:val="24"/>
        </w:rPr>
        <w:t>4.1.5拟签订的合同文本；</w:t>
      </w:r>
    </w:p>
    <w:p>
      <w:pPr>
        <w:pStyle w:val="34"/>
        <w:tabs>
          <w:tab w:val="left" w:pos="840"/>
        </w:tabs>
        <w:spacing w:line="460" w:lineRule="exact"/>
        <w:ind w:firstLine="960" w:firstLineChars="400"/>
        <w:rPr>
          <w:rFonts w:hAnsi="宋体" w:cs="宋体"/>
          <w:color w:val="auto"/>
          <w:sz w:val="24"/>
          <w:szCs w:val="24"/>
        </w:rPr>
      </w:pPr>
      <w:r>
        <w:rPr>
          <w:rFonts w:hint="eastAsia" w:hAnsi="宋体" w:cs="宋体"/>
          <w:color w:val="auto"/>
          <w:sz w:val="24"/>
        </w:rPr>
        <w:t>4.1.6</w:t>
      </w:r>
      <w:r>
        <w:rPr>
          <w:rFonts w:hint="eastAsia" w:hAnsi="宋体" w:cs="宋体"/>
          <w:color w:val="auto"/>
          <w:sz w:val="24"/>
          <w:szCs w:val="24"/>
        </w:rPr>
        <w:t>应提交的有关格式范例。</w:t>
      </w:r>
    </w:p>
    <w:p>
      <w:pPr>
        <w:spacing w:line="460" w:lineRule="exact"/>
        <w:ind w:firstLine="480" w:firstLineChars="200"/>
        <w:rPr>
          <w:rFonts w:ascii="宋体" w:hAnsi="宋体" w:cs="宋体"/>
          <w:color w:val="auto"/>
          <w:sz w:val="24"/>
        </w:rPr>
      </w:pPr>
      <w:r>
        <w:rPr>
          <w:rFonts w:hint="eastAsia" w:ascii="宋体" w:hAnsi="宋体" w:cs="宋体"/>
          <w:color w:val="auto"/>
          <w:sz w:val="24"/>
        </w:rPr>
        <w:t>4.2与本项目有关的</w:t>
      </w:r>
      <w:r>
        <w:rPr>
          <w:rFonts w:hint="eastAsia" w:ascii="宋体" w:hAnsi="宋体" w:cs="宋体"/>
          <w:bCs/>
          <w:color w:val="auto"/>
          <w:sz w:val="24"/>
        </w:rPr>
        <w:t>澄清或者修改的内容为公开竞争文件的组成部分</w:t>
      </w:r>
      <w:r>
        <w:rPr>
          <w:rFonts w:hint="eastAsia" w:ascii="宋体" w:hAnsi="宋体" w:cs="宋体"/>
          <w:color w:val="auto"/>
          <w:sz w:val="24"/>
        </w:rPr>
        <w:t>。</w:t>
      </w:r>
    </w:p>
    <w:p>
      <w:pPr>
        <w:pStyle w:val="34"/>
        <w:spacing w:line="460" w:lineRule="exact"/>
        <w:rPr>
          <w:rFonts w:hAnsi="宋体" w:cs="宋体"/>
          <w:b/>
          <w:color w:val="auto"/>
          <w:sz w:val="24"/>
          <w:szCs w:val="24"/>
        </w:rPr>
      </w:pPr>
      <w:r>
        <w:rPr>
          <w:rFonts w:hint="eastAsia" w:hAnsi="宋体" w:cs="宋体"/>
          <w:b/>
          <w:color w:val="auto"/>
          <w:sz w:val="24"/>
          <w:szCs w:val="24"/>
        </w:rPr>
        <w:t>5.公开竞争文件的澄清、修改</w:t>
      </w:r>
    </w:p>
    <w:p>
      <w:pPr>
        <w:pStyle w:val="135"/>
        <w:snapToGrid w:val="0"/>
        <w:spacing w:before="0" w:line="460" w:lineRule="exact"/>
        <w:ind w:firstLine="480"/>
        <w:rPr>
          <w:rFonts w:ascii="宋体" w:hAnsi="宋体" w:cs="宋体"/>
          <w:color w:val="auto"/>
        </w:rPr>
      </w:pPr>
      <w:r>
        <w:rPr>
          <w:rFonts w:hint="eastAsia" w:ascii="宋体" w:hAnsi="宋体" w:cs="宋体"/>
          <w:color w:val="auto"/>
        </w:rPr>
        <w:t>5.1已获取公开竞争文件的潜在响应人，若有问题需要澄清，应于响应截止时间前，以书面形式向代理机构提出。</w:t>
      </w:r>
    </w:p>
    <w:p>
      <w:pPr>
        <w:pStyle w:val="135"/>
        <w:snapToGrid w:val="0"/>
        <w:spacing w:before="0" w:line="460" w:lineRule="exact"/>
        <w:ind w:firstLine="480"/>
        <w:rPr>
          <w:rFonts w:ascii="宋体" w:hAnsi="宋体" w:cs="宋体"/>
          <w:color w:val="auto"/>
        </w:rPr>
      </w:pPr>
      <w:r>
        <w:rPr>
          <w:rFonts w:hint="eastAsia" w:ascii="宋体" w:hAnsi="宋体" w:cs="宋体"/>
          <w:color w:val="auto"/>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ascii="宋体" w:hAnsi="宋体" w:cs="宋体"/>
          <w:b/>
          <w:color w:val="auto"/>
          <w:sz w:val="30"/>
          <w:szCs w:val="20"/>
        </w:rPr>
      </w:pPr>
    </w:p>
    <w:p>
      <w:pPr>
        <w:adjustRightInd/>
        <w:spacing w:line="460" w:lineRule="exact"/>
        <w:jc w:val="center"/>
        <w:outlineLvl w:val="0"/>
        <w:rPr>
          <w:rFonts w:ascii="宋体" w:hAnsi="宋体" w:cs="宋体"/>
          <w:b/>
          <w:color w:val="auto"/>
          <w:sz w:val="30"/>
          <w:szCs w:val="20"/>
        </w:rPr>
      </w:pPr>
      <w:r>
        <w:rPr>
          <w:rFonts w:hint="eastAsia" w:ascii="宋体" w:hAnsi="宋体" w:cs="宋体"/>
          <w:b/>
          <w:color w:val="auto"/>
          <w:sz w:val="30"/>
          <w:szCs w:val="20"/>
        </w:rPr>
        <w:t>三、响应</w:t>
      </w:r>
    </w:p>
    <w:p>
      <w:pPr>
        <w:pStyle w:val="34"/>
        <w:spacing w:line="460" w:lineRule="exact"/>
        <w:rPr>
          <w:rFonts w:hAnsi="宋体" w:cs="宋体"/>
          <w:b/>
          <w:color w:val="auto"/>
          <w:sz w:val="24"/>
          <w:szCs w:val="24"/>
        </w:rPr>
      </w:pPr>
      <w:r>
        <w:rPr>
          <w:rFonts w:hint="eastAsia" w:hAnsi="宋体" w:cs="宋体"/>
          <w:b/>
          <w:color w:val="auto"/>
          <w:sz w:val="24"/>
          <w:szCs w:val="24"/>
        </w:rPr>
        <w:t>6.公开竞争文件的获取</w:t>
      </w:r>
    </w:p>
    <w:p>
      <w:pPr>
        <w:spacing w:line="460" w:lineRule="exact"/>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详见交易公告中获取公开竞争文件的时间期限、地点、方式及公开竞争文件售价。</w:t>
      </w:r>
    </w:p>
    <w:p>
      <w:pPr>
        <w:pStyle w:val="34"/>
        <w:spacing w:line="460" w:lineRule="exact"/>
        <w:rPr>
          <w:rFonts w:hAnsi="宋体" w:cs="宋体"/>
          <w:b/>
          <w:color w:val="auto"/>
          <w:sz w:val="24"/>
          <w:szCs w:val="24"/>
        </w:rPr>
      </w:pPr>
      <w:r>
        <w:rPr>
          <w:rFonts w:hint="eastAsia" w:hAnsi="宋体" w:cs="宋体"/>
          <w:b/>
          <w:color w:val="auto"/>
          <w:sz w:val="24"/>
          <w:szCs w:val="24"/>
        </w:rPr>
        <w:t>7.交易前答疑会或现场考察</w:t>
      </w:r>
    </w:p>
    <w:p>
      <w:pPr>
        <w:pStyle w:val="34"/>
        <w:spacing w:line="460" w:lineRule="exact"/>
        <w:ind w:firstLine="480" w:firstLineChars="200"/>
        <w:rPr>
          <w:rFonts w:hAnsi="宋体" w:cs="宋体"/>
          <w:color w:val="auto"/>
          <w:sz w:val="24"/>
          <w:szCs w:val="24"/>
        </w:rPr>
      </w:pPr>
      <w:r>
        <w:rPr>
          <w:rFonts w:hint="eastAsia" w:hAnsi="宋体" w:cs="宋体"/>
          <w:color w:val="auto"/>
          <w:sz w:val="24"/>
          <w:szCs w:val="24"/>
        </w:rPr>
        <w:t>交易发起人组织潜在响应人现场考察或者召开交易前答疑会的，潜在响应人按第二部分响应人须知前附表的规定参加现场考察或者开标前答疑会。</w:t>
      </w:r>
    </w:p>
    <w:p>
      <w:pPr>
        <w:pStyle w:val="34"/>
        <w:spacing w:line="460" w:lineRule="exact"/>
        <w:rPr>
          <w:rFonts w:hAnsi="宋体" w:cs="宋体"/>
          <w:b/>
          <w:color w:val="auto"/>
          <w:szCs w:val="24"/>
        </w:rPr>
      </w:pPr>
      <w:r>
        <w:rPr>
          <w:rFonts w:hint="eastAsia" w:hAnsi="宋体" w:cs="宋体"/>
          <w:b/>
          <w:color w:val="auto"/>
          <w:kern w:val="28"/>
          <w:sz w:val="24"/>
          <w:szCs w:val="24"/>
        </w:rPr>
        <w:t>8.交易保证金</w:t>
      </w:r>
    </w:p>
    <w:p>
      <w:pPr>
        <w:pStyle w:val="16"/>
        <w:spacing w:line="460" w:lineRule="exact"/>
        <w:ind w:firstLine="470" w:firstLineChars="196"/>
        <w:rPr>
          <w:rFonts w:hAnsi="宋体" w:cs="宋体"/>
          <w:color w:val="auto"/>
          <w:sz w:val="24"/>
        </w:rPr>
      </w:pPr>
      <w:r>
        <w:rPr>
          <w:rFonts w:hint="eastAsia" w:hAnsi="宋体" w:cs="宋体"/>
          <w:color w:val="auto"/>
          <w:sz w:val="24"/>
        </w:rPr>
        <w:t>本项目不需缴纳交易保证金。</w:t>
      </w:r>
    </w:p>
    <w:p>
      <w:pPr>
        <w:pStyle w:val="34"/>
        <w:spacing w:line="460" w:lineRule="exact"/>
        <w:rPr>
          <w:rFonts w:hAnsi="宋体" w:cs="宋体"/>
          <w:b/>
          <w:color w:val="auto"/>
          <w:sz w:val="24"/>
          <w:szCs w:val="24"/>
        </w:rPr>
      </w:pPr>
      <w:r>
        <w:rPr>
          <w:rFonts w:hint="eastAsia" w:hAnsi="宋体" w:cs="宋体"/>
          <w:b/>
          <w:color w:val="auto"/>
          <w:sz w:val="24"/>
          <w:szCs w:val="24"/>
        </w:rPr>
        <w:t>9.响应文件的语言</w:t>
      </w:r>
    </w:p>
    <w:p>
      <w:pPr>
        <w:autoSpaceDE w:val="0"/>
        <w:autoSpaceDN w:val="0"/>
        <w:spacing w:line="460" w:lineRule="exact"/>
        <w:ind w:firstLine="480" w:firstLineChars="200"/>
        <w:rPr>
          <w:rFonts w:ascii="宋体" w:hAnsi="宋体" w:cs="宋体"/>
          <w:color w:val="auto"/>
          <w:sz w:val="24"/>
          <w:lang w:val="zh-CN"/>
        </w:rPr>
      </w:pPr>
      <w:r>
        <w:rPr>
          <w:rFonts w:hint="eastAsia" w:ascii="宋体" w:hAnsi="宋体" w:cs="宋体"/>
          <w:color w:val="auto"/>
          <w:sz w:val="24"/>
        </w:rPr>
        <w:t>响应文件及响应人与交易有关的来往通知、函件和文件均应使用中文。</w:t>
      </w:r>
    </w:p>
    <w:p>
      <w:pPr>
        <w:pStyle w:val="34"/>
        <w:spacing w:line="460" w:lineRule="exact"/>
        <w:rPr>
          <w:rFonts w:hAnsi="宋体" w:cs="宋体"/>
          <w:b/>
          <w:color w:val="auto"/>
          <w:sz w:val="24"/>
          <w:szCs w:val="24"/>
        </w:rPr>
      </w:pPr>
      <w:r>
        <w:rPr>
          <w:rFonts w:hint="eastAsia" w:hAnsi="宋体" w:cs="宋体"/>
          <w:b/>
          <w:color w:val="auto"/>
          <w:sz w:val="24"/>
          <w:szCs w:val="24"/>
        </w:rPr>
        <w:t>10.响应文件的组成</w:t>
      </w:r>
    </w:p>
    <w:p>
      <w:pPr>
        <w:snapToGrid w:val="0"/>
        <w:spacing w:line="460" w:lineRule="exact"/>
        <w:ind w:firstLine="482" w:firstLineChars="200"/>
        <w:rPr>
          <w:rFonts w:ascii="宋体" w:hAnsi="宋体" w:cs="宋体"/>
          <w:color w:val="auto"/>
          <w:sz w:val="24"/>
        </w:rPr>
      </w:pPr>
      <w:r>
        <w:rPr>
          <w:rFonts w:hint="eastAsia" w:ascii="宋体" w:hAnsi="宋体" w:cs="宋体"/>
          <w:b/>
          <w:bCs/>
          <w:color w:val="auto"/>
          <w:sz w:val="24"/>
        </w:rPr>
        <w:t>10.1</w:t>
      </w:r>
      <w:r>
        <w:rPr>
          <w:rFonts w:hint="eastAsia" w:ascii="宋体" w:hAnsi="宋体" w:cs="宋体"/>
          <w:b/>
          <w:color w:val="auto"/>
          <w:sz w:val="24"/>
        </w:rPr>
        <w:t>资格文件</w:t>
      </w:r>
      <w:r>
        <w:rPr>
          <w:rFonts w:hint="eastAsia" w:ascii="宋体" w:hAnsi="宋体" w:cs="宋体"/>
          <w:b/>
          <w:bCs/>
          <w:color w:val="auto"/>
          <w:sz w:val="24"/>
        </w:rPr>
        <w:t>：</w:t>
      </w:r>
    </w:p>
    <w:p>
      <w:pPr>
        <w:snapToGrid w:val="0"/>
        <w:spacing w:line="460" w:lineRule="exact"/>
        <w:ind w:firstLine="960" w:firstLineChars="400"/>
        <w:rPr>
          <w:rFonts w:ascii="宋体" w:hAnsi="宋体" w:cs="宋体"/>
          <w:color w:val="auto"/>
          <w:sz w:val="24"/>
        </w:rPr>
      </w:pPr>
      <w:r>
        <w:rPr>
          <w:rFonts w:hint="eastAsia" w:ascii="宋体" w:hAnsi="宋体" w:cs="宋体"/>
          <w:color w:val="auto"/>
          <w:sz w:val="24"/>
        </w:rPr>
        <w:t>10.1.1符合参加交易活动应当具备的一般条件的承诺函；</w:t>
      </w:r>
    </w:p>
    <w:p>
      <w:pPr>
        <w:snapToGrid w:val="0"/>
        <w:spacing w:line="460" w:lineRule="exact"/>
        <w:ind w:firstLine="960" w:firstLineChars="400"/>
        <w:rPr>
          <w:rFonts w:ascii="宋体" w:hAnsi="宋体" w:cs="宋体"/>
          <w:color w:val="auto"/>
          <w:sz w:val="24"/>
        </w:rPr>
      </w:pPr>
      <w:r>
        <w:rPr>
          <w:rFonts w:hint="eastAsia" w:ascii="宋体" w:hAnsi="宋体" w:cs="宋体"/>
          <w:color w:val="auto"/>
          <w:sz w:val="24"/>
        </w:rPr>
        <w:t>10.1.2本项目的特定资格要求。</w:t>
      </w:r>
    </w:p>
    <w:p>
      <w:pPr>
        <w:snapToGrid w:val="0"/>
        <w:spacing w:line="460" w:lineRule="exact"/>
        <w:ind w:firstLine="482" w:firstLineChars="200"/>
        <w:rPr>
          <w:rFonts w:ascii="宋体" w:hAnsi="宋体" w:cs="宋体"/>
          <w:b/>
          <w:bCs/>
          <w:color w:val="auto"/>
          <w:sz w:val="24"/>
          <w:lang w:val="zh-CN"/>
        </w:rPr>
      </w:pPr>
      <w:r>
        <w:rPr>
          <w:rFonts w:hint="eastAsia" w:ascii="宋体" w:hAnsi="宋体" w:cs="宋体"/>
          <w:b/>
          <w:bCs/>
          <w:color w:val="auto"/>
          <w:sz w:val="24"/>
          <w:lang w:val="zh-CN"/>
        </w:rPr>
        <w:t>1</w:t>
      </w:r>
      <w:r>
        <w:rPr>
          <w:rFonts w:hint="eastAsia" w:ascii="宋体" w:hAnsi="宋体" w:cs="宋体"/>
          <w:b/>
          <w:bCs/>
          <w:color w:val="auto"/>
          <w:sz w:val="24"/>
        </w:rPr>
        <w:t>0</w:t>
      </w:r>
      <w:r>
        <w:rPr>
          <w:rFonts w:hint="eastAsia" w:ascii="宋体" w:hAnsi="宋体" w:cs="宋体"/>
          <w:b/>
          <w:bCs/>
          <w:color w:val="auto"/>
          <w:sz w:val="24"/>
          <w:lang w:val="zh-CN"/>
        </w:rPr>
        <w:t>.</w:t>
      </w:r>
      <w:r>
        <w:rPr>
          <w:rFonts w:hint="eastAsia" w:ascii="宋体" w:hAnsi="宋体" w:cs="宋体"/>
          <w:b/>
          <w:bCs/>
          <w:color w:val="auto"/>
          <w:sz w:val="24"/>
        </w:rPr>
        <w:t>2商务技术</w:t>
      </w:r>
      <w:r>
        <w:rPr>
          <w:rFonts w:hint="eastAsia" w:ascii="宋体" w:hAnsi="宋体" w:cs="宋体"/>
          <w:b/>
          <w:bCs/>
          <w:color w:val="auto"/>
          <w:sz w:val="24"/>
          <w:lang w:val="zh-CN"/>
        </w:rPr>
        <w:t>文件：</w:t>
      </w:r>
    </w:p>
    <w:p>
      <w:pPr>
        <w:snapToGrid w:val="0"/>
        <w:spacing w:line="460" w:lineRule="exact"/>
        <w:ind w:firstLine="960" w:firstLineChars="400"/>
        <w:rPr>
          <w:rFonts w:ascii="宋体" w:hAnsi="宋体" w:cs="宋体"/>
          <w:color w:val="auto"/>
          <w:sz w:val="24"/>
        </w:rPr>
      </w:pPr>
      <w:r>
        <w:rPr>
          <w:rFonts w:hint="eastAsia" w:ascii="宋体" w:hAnsi="宋体" w:cs="宋体"/>
          <w:color w:val="auto"/>
          <w:sz w:val="24"/>
        </w:rPr>
        <w:t>10.2.1交易函；</w:t>
      </w:r>
    </w:p>
    <w:p>
      <w:pPr>
        <w:snapToGrid w:val="0"/>
        <w:spacing w:line="460" w:lineRule="exact"/>
        <w:ind w:firstLine="960" w:firstLineChars="400"/>
        <w:rPr>
          <w:rFonts w:ascii="宋体" w:hAnsi="宋体" w:cs="宋体"/>
          <w:color w:val="auto"/>
          <w:sz w:val="24"/>
        </w:rPr>
      </w:pPr>
      <w:r>
        <w:rPr>
          <w:rFonts w:hint="eastAsia" w:ascii="宋体" w:hAnsi="宋体" w:cs="宋体"/>
          <w:color w:val="auto"/>
          <w:sz w:val="24"/>
        </w:rPr>
        <w:t>10.2.2授权委托书或法定代表人（单位负责人、自然人本人）身份证明；</w:t>
      </w:r>
    </w:p>
    <w:p>
      <w:pPr>
        <w:snapToGrid w:val="0"/>
        <w:spacing w:line="460" w:lineRule="exact"/>
        <w:ind w:firstLine="960" w:firstLineChars="400"/>
        <w:rPr>
          <w:rFonts w:ascii="宋体" w:hAnsi="宋体" w:cs="宋体"/>
          <w:color w:val="auto"/>
          <w:sz w:val="24"/>
        </w:rPr>
      </w:pPr>
      <w:r>
        <w:rPr>
          <w:rFonts w:hint="eastAsia" w:ascii="宋体" w:hAnsi="宋体" w:cs="宋体"/>
          <w:color w:val="auto"/>
          <w:sz w:val="24"/>
        </w:rPr>
        <w:t>10.2.3营业执照；</w:t>
      </w:r>
    </w:p>
    <w:p>
      <w:pPr>
        <w:snapToGrid w:val="0"/>
        <w:spacing w:line="460" w:lineRule="exact"/>
        <w:ind w:firstLine="960" w:firstLineChars="400"/>
        <w:rPr>
          <w:rFonts w:ascii="宋体" w:hAnsi="宋体" w:cs="宋体"/>
          <w:color w:val="auto"/>
          <w:sz w:val="24"/>
        </w:rPr>
      </w:pPr>
      <w:r>
        <w:rPr>
          <w:rFonts w:hint="eastAsia" w:ascii="宋体" w:hAnsi="宋体" w:cs="宋体"/>
          <w:color w:val="auto"/>
          <w:sz w:val="24"/>
        </w:rPr>
        <w:t>10.2.4符合性审查资料；</w:t>
      </w:r>
    </w:p>
    <w:p>
      <w:pPr>
        <w:snapToGrid w:val="0"/>
        <w:spacing w:line="460" w:lineRule="exact"/>
        <w:ind w:firstLine="960" w:firstLineChars="400"/>
        <w:rPr>
          <w:rFonts w:ascii="宋体" w:hAnsi="宋体" w:cs="宋体"/>
          <w:color w:val="auto"/>
          <w:sz w:val="24"/>
        </w:rPr>
      </w:pPr>
      <w:r>
        <w:rPr>
          <w:rFonts w:hint="eastAsia" w:ascii="宋体" w:hAnsi="宋体" w:cs="宋体"/>
          <w:color w:val="auto"/>
          <w:sz w:val="24"/>
        </w:rPr>
        <w:t>10.2.5评审标准相应的商务技术资料；</w:t>
      </w:r>
    </w:p>
    <w:p>
      <w:pPr>
        <w:snapToGrid w:val="0"/>
        <w:spacing w:line="460" w:lineRule="exact"/>
        <w:ind w:firstLine="960" w:firstLineChars="400"/>
        <w:rPr>
          <w:rFonts w:ascii="宋体" w:hAnsi="宋体" w:cs="宋体"/>
          <w:color w:val="auto"/>
          <w:sz w:val="24"/>
        </w:rPr>
      </w:pPr>
      <w:r>
        <w:rPr>
          <w:rFonts w:hint="eastAsia" w:ascii="宋体" w:hAnsi="宋体" w:cs="宋体"/>
          <w:color w:val="auto"/>
          <w:sz w:val="24"/>
        </w:rPr>
        <w:t>10.2.6商务技术偏离表；</w:t>
      </w:r>
    </w:p>
    <w:p>
      <w:pPr>
        <w:snapToGrid w:val="0"/>
        <w:spacing w:line="460" w:lineRule="exact"/>
        <w:ind w:firstLine="960" w:firstLineChars="400"/>
        <w:rPr>
          <w:rFonts w:ascii="宋体" w:hAnsi="宋体" w:cs="宋体"/>
          <w:color w:val="auto"/>
          <w:sz w:val="24"/>
        </w:rPr>
      </w:pPr>
      <w:r>
        <w:rPr>
          <w:rFonts w:hint="eastAsia" w:ascii="宋体" w:hAnsi="宋体" w:cs="宋体"/>
          <w:color w:val="auto"/>
          <w:sz w:val="24"/>
        </w:rPr>
        <w:t>10.2.7</w:t>
      </w:r>
      <w:r>
        <w:rPr>
          <w:rFonts w:hint="eastAsia" w:ascii="宋体" w:hAnsi="宋体" w:cs="宋体"/>
          <w:color w:val="auto"/>
          <w:sz w:val="24"/>
          <w:lang w:val="zh-CN"/>
        </w:rPr>
        <w:t>响应人廉洁自律承诺书。</w:t>
      </w:r>
    </w:p>
    <w:p>
      <w:pPr>
        <w:snapToGrid w:val="0"/>
        <w:spacing w:line="460" w:lineRule="exact"/>
        <w:ind w:firstLine="482" w:firstLineChars="200"/>
        <w:rPr>
          <w:rFonts w:ascii="宋体" w:hAnsi="宋体" w:cs="宋体"/>
          <w:b/>
          <w:bCs/>
          <w:color w:val="auto"/>
          <w:sz w:val="24"/>
          <w:u w:val="single"/>
          <w:lang w:val="zh-CN"/>
        </w:rPr>
      </w:pPr>
      <w:r>
        <w:rPr>
          <w:rFonts w:hint="eastAsia" w:ascii="宋体" w:hAnsi="宋体" w:cs="宋体"/>
          <w:b/>
          <w:bCs/>
          <w:color w:val="auto"/>
          <w:kern w:val="0"/>
          <w:sz w:val="24"/>
          <w:lang w:val="zh-CN"/>
        </w:rPr>
        <w:t>1</w:t>
      </w:r>
      <w:r>
        <w:rPr>
          <w:rFonts w:hint="eastAsia" w:ascii="宋体" w:hAnsi="宋体" w:cs="宋体"/>
          <w:b/>
          <w:bCs/>
          <w:color w:val="auto"/>
          <w:kern w:val="0"/>
          <w:sz w:val="24"/>
        </w:rPr>
        <w:t>0</w:t>
      </w:r>
      <w:r>
        <w:rPr>
          <w:rFonts w:hint="eastAsia" w:ascii="宋体" w:hAnsi="宋体" w:cs="宋体"/>
          <w:b/>
          <w:bCs/>
          <w:color w:val="auto"/>
          <w:kern w:val="0"/>
          <w:sz w:val="24"/>
          <w:lang w:val="zh-CN"/>
        </w:rPr>
        <w:t>.</w:t>
      </w:r>
      <w:r>
        <w:rPr>
          <w:rFonts w:hint="eastAsia" w:ascii="宋体" w:hAnsi="宋体" w:cs="宋体"/>
          <w:b/>
          <w:bCs/>
          <w:color w:val="auto"/>
          <w:kern w:val="0"/>
          <w:sz w:val="24"/>
        </w:rPr>
        <w:t>3</w:t>
      </w:r>
      <w:r>
        <w:rPr>
          <w:rFonts w:hint="eastAsia" w:ascii="宋体" w:hAnsi="宋体" w:cs="宋体"/>
          <w:b/>
          <w:bCs/>
          <w:color w:val="auto"/>
          <w:sz w:val="24"/>
        </w:rPr>
        <w:t>报价文件：</w:t>
      </w:r>
    </w:p>
    <w:p>
      <w:pPr>
        <w:snapToGrid w:val="0"/>
        <w:spacing w:line="460" w:lineRule="exact"/>
        <w:ind w:firstLine="960" w:firstLineChars="400"/>
        <w:rPr>
          <w:rFonts w:ascii="宋体" w:hAnsi="宋体" w:cs="宋体"/>
          <w:color w:val="auto"/>
          <w:sz w:val="24"/>
        </w:rPr>
      </w:pPr>
      <w:r>
        <w:rPr>
          <w:rFonts w:hint="eastAsia" w:ascii="宋体" w:hAnsi="宋体" w:cs="宋体"/>
          <w:color w:val="auto"/>
          <w:sz w:val="24"/>
        </w:rPr>
        <w:t>10.3.1交易一览表（报价表）。</w:t>
      </w:r>
    </w:p>
    <w:p>
      <w:pPr>
        <w:spacing w:line="460" w:lineRule="exact"/>
        <w:ind w:firstLine="723" w:firstLineChars="300"/>
        <w:rPr>
          <w:rFonts w:ascii="宋体" w:hAnsi="宋体" w:cs="宋体"/>
          <w:b/>
          <w:color w:val="auto"/>
          <w:sz w:val="24"/>
        </w:rPr>
      </w:pPr>
      <w:r>
        <w:rPr>
          <w:rFonts w:hint="eastAsia" w:ascii="宋体" w:hAnsi="宋体" w:cs="宋体"/>
          <w:b/>
          <w:color w:val="auto"/>
          <w:sz w:val="24"/>
        </w:rPr>
        <w:t>响应文件含有交易发起人不能接受的附加条件的，交易无效；</w:t>
      </w:r>
    </w:p>
    <w:p>
      <w:pPr>
        <w:spacing w:line="460" w:lineRule="exact"/>
        <w:ind w:firstLine="723" w:firstLineChars="300"/>
        <w:rPr>
          <w:rFonts w:ascii="宋体" w:hAnsi="宋体" w:cs="宋体"/>
          <w:b/>
          <w:color w:val="auto"/>
          <w:sz w:val="24"/>
          <w:szCs w:val="21"/>
        </w:rPr>
      </w:pPr>
      <w:r>
        <w:rPr>
          <w:rFonts w:hint="eastAsia" w:ascii="宋体" w:hAnsi="宋体" w:cs="宋体"/>
          <w:b/>
          <w:color w:val="auto"/>
          <w:sz w:val="24"/>
        </w:rPr>
        <w:t>响应人提供虚假材料投标的，交易无效。</w:t>
      </w:r>
    </w:p>
    <w:p>
      <w:pPr>
        <w:pStyle w:val="135"/>
        <w:snapToGrid w:val="0"/>
        <w:spacing w:before="0" w:line="460" w:lineRule="exact"/>
        <w:ind w:firstLine="0" w:firstLineChars="0"/>
        <w:outlineLvl w:val="0"/>
        <w:rPr>
          <w:rFonts w:ascii="宋体" w:hAnsi="宋体" w:cs="宋体"/>
          <w:b/>
          <w:color w:val="auto"/>
          <w:szCs w:val="24"/>
        </w:rPr>
      </w:pPr>
      <w:r>
        <w:rPr>
          <w:rFonts w:hint="eastAsia" w:ascii="宋体" w:hAnsi="宋体" w:cs="宋体"/>
          <w:b/>
          <w:color w:val="auto"/>
          <w:szCs w:val="24"/>
        </w:rPr>
        <w:t>11</w:t>
      </w:r>
      <w:r>
        <w:rPr>
          <w:rFonts w:hint="eastAsia" w:ascii="宋体" w:hAnsi="宋体" w:cs="宋体"/>
          <w:b/>
          <w:color w:val="auto"/>
          <w:kern w:val="0"/>
          <w:szCs w:val="24"/>
          <w:lang w:val="zh-CN"/>
        </w:rPr>
        <w:t>.</w:t>
      </w:r>
      <w:r>
        <w:rPr>
          <w:rFonts w:hint="eastAsia" w:ascii="宋体" w:hAnsi="宋体" w:cs="宋体"/>
          <w:b/>
          <w:color w:val="auto"/>
          <w:szCs w:val="24"/>
        </w:rPr>
        <w:t>响应文件的编制</w:t>
      </w:r>
    </w:p>
    <w:p>
      <w:pPr>
        <w:spacing w:line="460" w:lineRule="exact"/>
        <w:ind w:firstLine="480" w:firstLineChars="200"/>
        <w:rPr>
          <w:rFonts w:ascii="宋体" w:hAnsi="宋体" w:cs="宋体"/>
          <w:b/>
          <w:color w:val="auto"/>
          <w:sz w:val="24"/>
        </w:rPr>
      </w:pPr>
      <w:r>
        <w:rPr>
          <w:rFonts w:hint="eastAsia" w:ascii="宋体" w:hAnsi="宋体" w:cs="宋体"/>
          <w:color w:val="auto"/>
          <w:kern w:val="0"/>
          <w:sz w:val="24"/>
          <w:lang w:val="zh-CN"/>
        </w:rPr>
        <w:t>1</w:t>
      </w:r>
      <w:r>
        <w:rPr>
          <w:rFonts w:hint="eastAsia" w:ascii="宋体" w:hAnsi="宋体" w:cs="宋体"/>
          <w:color w:val="auto"/>
          <w:kern w:val="0"/>
          <w:sz w:val="24"/>
        </w:rPr>
        <w:t>1</w:t>
      </w:r>
      <w:r>
        <w:rPr>
          <w:rFonts w:hint="eastAsia" w:ascii="宋体" w:hAnsi="宋体" w:cs="宋体"/>
          <w:color w:val="auto"/>
          <w:kern w:val="0"/>
          <w:sz w:val="24"/>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1</w:t>
      </w:r>
      <w:r>
        <w:rPr>
          <w:rFonts w:hint="eastAsia" w:ascii="宋体" w:hAnsi="宋体" w:cs="宋体"/>
          <w:color w:val="auto"/>
          <w:kern w:val="0"/>
          <w:sz w:val="24"/>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1</w:t>
      </w:r>
      <w:r>
        <w:rPr>
          <w:rFonts w:hint="eastAsia" w:ascii="宋体" w:hAnsi="宋体" w:cs="宋体"/>
          <w:color w:val="auto"/>
          <w:kern w:val="0"/>
          <w:sz w:val="24"/>
          <w:lang w:val="zh-CN"/>
        </w:rPr>
        <w:t>.3使用“政采云电子交易客户端”需要提前申领CA数字证书，申领流程请自行前往“浙江政府采购网-下载专区-电子交易客户端-CA驱动和申领流程”进行查阅。</w:t>
      </w:r>
    </w:p>
    <w:p>
      <w:pPr>
        <w:snapToGrid w:val="0"/>
        <w:spacing w:line="460" w:lineRule="exact"/>
        <w:rPr>
          <w:rFonts w:ascii="宋体" w:hAnsi="宋体" w:cs="宋体"/>
          <w:b/>
          <w:color w:val="auto"/>
          <w:sz w:val="24"/>
        </w:rPr>
      </w:pPr>
      <w:r>
        <w:rPr>
          <w:rFonts w:hint="eastAsia" w:ascii="宋体" w:hAnsi="宋体" w:cs="宋体"/>
          <w:b/>
          <w:color w:val="auto"/>
          <w:sz w:val="24"/>
        </w:rPr>
        <w:t>12.响应文件的签署、盖章</w:t>
      </w:r>
    </w:p>
    <w:p>
      <w:pPr>
        <w:pStyle w:val="135"/>
        <w:snapToGrid w:val="0"/>
        <w:spacing w:before="0" w:line="460" w:lineRule="exact"/>
        <w:ind w:firstLine="480"/>
        <w:rPr>
          <w:rFonts w:ascii="宋体" w:hAnsi="宋体" w:cs="宋体"/>
          <w:b/>
          <w:color w:val="auto"/>
        </w:rPr>
      </w:pPr>
      <w:r>
        <w:rPr>
          <w:rFonts w:hint="eastAsia" w:ascii="宋体" w:hAnsi="宋体" w:cs="宋体"/>
          <w:color w:val="auto"/>
          <w:szCs w:val="24"/>
        </w:rPr>
        <w:t>12.1响应文件按照公开竞争文件第六部分格式要</w:t>
      </w:r>
      <w:r>
        <w:rPr>
          <w:rFonts w:hint="eastAsia" w:ascii="宋体" w:hAnsi="宋体" w:cs="宋体"/>
          <w:color w:val="auto"/>
        </w:rPr>
        <w:t>求进行签署、盖章。</w:t>
      </w:r>
      <w:r>
        <w:rPr>
          <w:rFonts w:hint="eastAsia" w:ascii="宋体" w:hAnsi="宋体" w:cs="宋体"/>
          <w:b/>
          <w:color w:val="auto"/>
        </w:rPr>
        <w:t>▲响应人的响应文件未按照公开竞争文件要求签署、盖章的，其交易无效</w:t>
      </w:r>
      <w:r>
        <w:rPr>
          <w:rFonts w:hint="eastAsia" w:ascii="宋体" w:hAnsi="宋体" w:cs="宋体"/>
          <w:color w:val="auto"/>
          <w:szCs w:val="24"/>
        </w:rPr>
        <w:t>。</w:t>
      </w:r>
    </w:p>
    <w:p>
      <w:pPr>
        <w:pStyle w:val="135"/>
        <w:snapToGrid w:val="0"/>
        <w:spacing w:before="0" w:line="460" w:lineRule="exact"/>
        <w:ind w:firstLine="480"/>
        <w:rPr>
          <w:rFonts w:ascii="宋体" w:hAnsi="宋体" w:cs="宋体"/>
          <w:color w:val="auto"/>
        </w:rPr>
      </w:pPr>
      <w:r>
        <w:rPr>
          <w:rFonts w:hint="eastAsia" w:ascii="宋体" w:hAnsi="宋体" w:cs="宋体"/>
          <w:color w:val="auto"/>
        </w:rPr>
        <w:t>12.2为确保网上操作合法、有效和安全，响应人应当在响应截止时间前完成在“政府采购云平台”的身份认证，确保在电子投标过程中能够对相关数据电文进行加密和使用电子签名。</w:t>
      </w:r>
    </w:p>
    <w:p>
      <w:pPr>
        <w:pStyle w:val="135"/>
        <w:snapToGrid w:val="0"/>
        <w:spacing w:before="0" w:line="460" w:lineRule="exact"/>
        <w:ind w:firstLine="480"/>
        <w:rPr>
          <w:rFonts w:ascii="宋体" w:hAnsi="宋体" w:cs="宋体"/>
          <w:color w:val="auto"/>
          <w:szCs w:val="24"/>
        </w:rPr>
      </w:pPr>
      <w:r>
        <w:rPr>
          <w:rFonts w:hint="eastAsia" w:ascii="宋体" w:hAnsi="宋体" w:cs="宋体"/>
          <w:color w:val="auto"/>
        </w:rPr>
        <w:t>12.3公开竞争文件对响应文件签署、盖章的要求适用于电子签名。</w:t>
      </w:r>
    </w:p>
    <w:p>
      <w:pPr>
        <w:pStyle w:val="135"/>
        <w:spacing w:before="0" w:line="460" w:lineRule="exact"/>
        <w:ind w:firstLine="0" w:firstLineChars="0"/>
        <w:rPr>
          <w:rFonts w:ascii="宋体" w:hAnsi="宋体" w:cs="宋体"/>
          <w:b/>
          <w:color w:val="auto"/>
          <w:szCs w:val="24"/>
        </w:rPr>
      </w:pPr>
      <w:r>
        <w:rPr>
          <w:rFonts w:hint="eastAsia" w:ascii="宋体" w:hAnsi="宋体" w:cs="宋体"/>
          <w:b/>
          <w:color w:val="auto"/>
          <w:szCs w:val="24"/>
        </w:rPr>
        <w:t>13.响应文件的提交、补充、修改、撤回</w:t>
      </w:r>
    </w:p>
    <w:p>
      <w:pPr>
        <w:pStyle w:val="135"/>
        <w:spacing w:line="460" w:lineRule="exact"/>
        <w:ind w:firstLine="480"/>
        <w:rPr>
          <w:rFonts w:ascii="宋体" w:hAnsi="宋体" w:cs="宋体"/>
          <w:color w:val="auto"/>
          <w:szCs w:val="24"/>
        </w:rPr>
      </w:pPr>
      <w:r>
        <w:rPr>
          <w:rFonts w:hint="eastAsia" w:ascii="宋体" w:hAnsi="宋体" w:cs="宋体"/>
          <w:color w:val="auto"/>
          <w:szCs w:val="24"/>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35"/>
        <w:spacing w:before="0" w:line="460" w:lineRule="exact"/>
        <w:ind w:firstLine="480"/>
        <w:rPr>
          <w:rFonts w:ascii="宋体" w:hAnsi="宋体" w:cs="宋体"/>
          <w:color w:val="auto"/>
          <w:szCs w:val="24"/>
        </w:rPr>
      </w:pPr>
      <w:r>
        <w:rPr>
          <w:rFonts w:hint="eastAsia" w:ascii="宋体" w:hAnsi="宋体" w:cs="宋体"/>
          <w:color w:val="auto"/>
          <w:szCs w:val="24"/>
        </w:rPr>
        <w:t>13.2电子交易平台收到响应文件，将妥善保存并即时向响应人发出确认回执通知。在响应截止时间前，除响应人补充、修改或者撤回响应文件外，任何单位和个人不得解密或提取响应文件。</w:t>
      </w:r>
    </w:p>
    <w:p>
      <w:pPr>
        <w:pStyle w:val="135"/>
        <w:spacing w:before="0" w:line="460" w:lineRule="exact"/>
        <w:ind w:firstLine="480"/>
        <w:rPr>
          <w:rFonts w:ascii="宋体" w:hAnsi="宋体" w:cs="宋体"/>
          <w:color w:val="auto"/>
          <w:szCs w:val="24"/>
        </w:rPr>
      </w:pPr>
      <w:r>
        <w:rPr>
          <w:rFonts w:hint="eastAsia" w:ascii="宋体" w:hAnsi="宋体" w:cs="宋体"/>
          <w:color w:val="auto"/>
          <w:szCs w:val="24"/>
        </w:rPr>
        <w:t>13.3交易发起人、代理机构可以视情况延长响应文件提交的截止时间。在上述情况下，代理机构与响应人以前在投标截止期方面的全部权利、责任和义务，将适用于延长至新的投标截止期。</w:t>
      </w:r>
    </w:p>
    <w:p>
      <w:pPr>
        <w:pStyle w:val="34"/>
        <w:numPr>
          <w:ilvl w:val="0"/>
          <w:numId w:val="2"/>
        </w:numPr>
        <w:spacing w:line="460" w:lineRule="exact"/>
        <w:rPr>
          <w:rFonts w:hAnsi="宋体" w:cs="宋体"/>
          <w:b/>
          <w:color w:val="auto"/>
          <w:sz w:val="24"/>
          <w:szCs w:val="24"/>
        </w:rPr>
      </w:pPr>
      <w:r>
        <w:rPr>
          <w:rFonts w:hint="eastAsia" w:hAnsi="宋体" w:cs="宋体"/>
          <w:b/>
          <w:color w:val="auto"/>
          <w:sz w:val="24"/>
          <w:szCs w:val="24"/>
        </w:rPr>
        <w:t>备份响应文件</w:t>
      </w:r>
    </w:p>
    <w:p>
      <w:pPr>
        <w:pStyle w:val="34"/>
        <w:spacing w:line="460" w:lineRule="exact"/>
        <w:ind w:firstLine="480" w:firstLineChars="200"/>
        <w:rPr>
          <w:rFonts w:hAnsi="宋体" w:cs="宋体"/>
          <w:b/>
          <w:color w:val="auto"/>
          <w:sz w:val="24"/>
          <w:szCs w:val="24"/>
        </w:rPr>
      </w:pPr>
      <w:r>
        <w:rPr>
          <w:rFonts w:hint="eastAsia" w:hAnsi="宋体" w:cs="宋体"/>
          <w:color w:val="auto"/>
          <w:kern w:val="28"/>
          <w:sz w:val="24"/>
          <w:szCs w:val="24"/>
        </w:rPr>
        <w:t>不收取备份响应文件。</w:t>
      </w:r>
    </w:p>
    <w:p>
      <w:pPr>
        <w:pStyle w:val="135"/>
        <w:spacing w:before="0" w:line="460" w:lineRule="exact"/>
        <w:ind w:firstLine="0" w:firstLineChars="0"/>
        <w:rPr>
          <w:rFonts w:ascii="宋体" w:hAnsi="宋体" w:cs="宋体"/>
          <w:b/>
          <w:color w:val="auto"/>
          <w:szCs w:val="24"/>
        </w:rPr>
      </w:pPr>
      <w:r>
        <w:rPr>
          <w:rFonts w:hint="eastAsia" w:ascii="宋体" w:hAnsi="宋体" w:cs="宋体"/>
          <w:b/>
          <w:color w:val="auto"/>
          <w:szCs w:val="24"/>
        </w:rPr>
        <w:t>15.响应文件的无效处理</w:t>
      </w:r>
    </w:p>
    <w:p>
      <w:pPr>
        <w:pStyle w:val="26"/>
        <w:spacing w:line="460" w:lineRule="exact"/>
        <w:rPr>
          <w:rFonts w:cs="宋体"/>
          <w:color w:val="auto"/>
          <w:szCs w:val="21"/>
        </w:rPr>
      </w:pPr>
      <w:r>
        <w:rPr>
          <w:rFonts w:hint="eastAsia" w:cs="宋体"/>
          <w:color w:val="auto"/>
          <w:szCs w:val="21"/>
        </w:rPr>
        <w:t>有公开竞争文件第四部分</w:t>
      </w:r>
      <w:r>
        <w:rPr>
          <w:rFonts w:hint="eastAsia" w:cs="宋体"/>
          <w:color w:val="auto"/>
        </w:rPr>
        <w:t>4.2规定</w:t>
      </w:r>
      <w:r>
        <w:rPr>
          <w:rFonts w:hint="eastAsia" w:cs="宋体"/>
          <w:color w:val="auto"/>
          <w:szCs w:val="21"/>
        </w:rPr>
        <w:t>的情形之一的，交易无效：</w:t>
      </w:r>
    </w:p>
    <w:p>
      <w:pPr>
        <w:pStyle w:val="135"/>
        <w:spacing w:before="0" w:line="460" w:lineRule="exact"/>
        <w:ind w:firstLine="0" w:firstLineChars="0"/>
        <w:rPr>
          <w:rFonts w:ascii="宋体" w:hAnsi="宋体" w:cs="宋体"/>
          <w:b/>
          <w:color w:val="auto"/>
          <w:szCs w:val="24"/>
        </w:rPr>
      </w:pPr>
      <w:r>
        <w:rPr>
          <w:rFonts w:hint="eastAsia" w:ascii="宋体" w:hAnsi="宋体" w:cs="宋体"/>
          <w:b/>
          <w:color w:val="auto"/>
          <w:szCs w:val="24"/>
        </w:rPr>
        <w:t>16.交易有效期</w:t>
      </w:r>
    </w:p>
    <w:p>
      <w:pPr>
        <w:spacing w:line="460" w:lineRule="exact"/>
        <w:ind w:firstLine="480" w:firstLineChars="200"/>
        <w:rPr>
          <w:rFonts w:ascii="宋体" w:hAnsi="宋体" w:cs="宋体"/>
          <w:b/>
          <w:color w:val="auto"/>
          <w:sz w:val="24"/>
          <w:szCs w:val="21"/>
        </w:rPr>
      </w:pPr>
      <w:r>
        <w:rPr>
          <w:rFonts w:hint="eastAsia" w:ascii="宋体" w:hAnsi="宋体" w:cs="宋体"/>
          <w:color w:val="auto"/>
          <w:sz w:val="24"/>
          <w:szCs w:val="20"/>
        </w:rPr>
        <w:t>16.1交易有效期为从提交响应文件的截止之日起90天。▲</w:t>
      </w:r>
      <w:r>
        <w:rPr>
          <w:rFonts w:hint="eastAsia" w:ascii="宋体" w:hAnsi="宋体" w:cs="宋体"/>
          <w:b/>
          <w:color w:val="auto"/>
          <w:sz w:val="24"/>
          <w:szCs w:val="20"/>
        </w:rPr>
        <w:t>响应人的响应文件中承</w:t>
      </w:r>
      <w:r>
        <w:rPr>
          <w:rFonts w:hint="eastAsia" w:ascii="宋体" w:hAnsi="宋体" w:cs="宋体"/>
          <w:b/>
          <w:color w:val="auto"/>
          <w:sz w:val="24"/>
          <w:szCs w:val="21"/>
        </w:rPr>
        <w:t>诺的交易有效期少于公开竞争文件中载明的交易有效期的，交易无效。</w:t>
      </w:r>
    </w:p>
    <w:p>
      <w:pPr>
        <w:pStyle w:val="135"/>
        <w:spacing w:before="0" w:line="460" w:lineRule="exact"/>
        <w:ind w:firstLine="480"/>
        <w:rPr>
          <w:rFonts w:ascii="宋体" w:hAnsi="宋体" w:cs="宋体"/>
          <w:color w:val="auto"/>
        </w:rPr>
      </w:pPr>
      <w:r>
        <w:rPr>
          <w:rFonts w:hint="eastAsia" w:ascii="宋体" w:hAnsi="宋体" w:cs="宋体"/>
          <w:color w:val="auto"/>
        </w:rPr>
        <w:t>16.2响应文件合格投递后，自投标截止日期起，在交易有效期内有效。</w:t>
      </w:r>
    </w:p>
    <w:p>
      <w:pPr>
        <w:pStyle w:val="135"/>
        <w:spacing w:before="0" w:line="460" w:lineRule="exact"/>
        <w:ind w:firstLine="480"/>
        <w:rPr>
          <w:rFonts w:ascii="宋体" w:hAnsi="宋体" w:cs="宋体"/>
          <w:color w:val="auto"/>
        </w:rPr>
      </w:pPr>
      <w:r>
        <w:rPr>
          <w:rFonts w:hint="eastAsia" w:ascii="宋体" w:hAnsi="宋体" w:cs="宋体"/>
          <w:color w:val="auto"/>
        </w:rPr>
        <w:t>16.3在原定交易有效期满之前，如果出现特殊情况，代理机构可以以书面形式通知响应人延长交易有效期。响应人同意延长的，不得要求或被允许修改其响应文件，响应人拒绝延长的，其交易无效。</w:t>
      </w:r>
    </w:p>
    <w:p>
      <w:pPr>
        <w:pStyle w:val="135"/>
        <w:spacing w:before="0" w:line="460" w:lineRule="exact"/>
        <w:ind w:firstLine="643"/>
        <w:rPr>
          <w:rFonts w:ascii="宋体" w:hAnsi="宋体" w:cs="宋体"/>
          <w:b/>
          <w:color w:val="auto"/>
          <w:sz w:val="32"/>
        </w:rPr>
      </w:pPr>
    </w:p>
    <w:p>
      <w:pPr>
        <w:pStyle w:val="135"/>
        <w:spacing w:before="0" w:line="460" w:lineRule="exact"/>
        <w:ind w:firstLine="0" w:firstLineChars="0"/>
        <w:jc w:val="center"/>
        <w:rPr>
          <w:rFonts w:ascii="宋体" w:hAnsi="宋体" w:cs="宋体"/>
          <w:b/>
          <w:color w:val="auto"/>
          <w:sz w:val="32"/>
        </w:rPr>
      </w:pPr>
      <w:r>
        <w:rPr>
          <w:rFonts w:hint="eastAsia" w:ascii="宋体" w:hAnsi="宋体" w:cs="宋体"/>
          <w:b/>
          <w:color w:val="auto"/>
          <w:sz w:val="32"/>
        </w:rPr>
        <w:t>四、交易、资格审查</w:t>
      </w:r>
    </w:p>
    <w:p>
      <w:pPr>
        <w:pStyle w:val="560"/>
        <w:spacing w:before="0" w:line="460" w:lineRule="exact"/>
        <w:ind w:left="0" w:firstLine="0"/>
        <w:contextualSpacing/>
        <w:rPr>
          <w:rFonts w:ascii="宋体" w:hAnsi="宋体" w:cs="宋体"/>
          <w:b/>
          <w:color w:val="auto"/>
          <w:kern w:val="2"/>
          <w:sz w:val="24"/>
          <w:szCs w:val="24"/>
        </w:rPr>
      </w:pPr>
      <w:r>
        <w:rPr>
          <w:rFonts w:hint="eastAsia" w:ascii="宋体" w:hAnsi="宋体" w:cs="宋体"/>
          <w:b/>
          <w:color w:val="auto"/>
          <w:kern w:val="2"/>
          <w:sz w:val="24"/>
          <w:szCs w:val="24"/>
        </w:rPr>
        <w:t xml:space="preserve">17.交易 </w:t>
      </w:r>
    </w:p>
    <w:p>
      <w:pPr>
        <w:pStyle w:val="560"/>
        <w:spacing w:before="0" w:line="460" w:lineRule="exact"/>
        <w:ind w:left="0" w:firstLine="420" w:firstLineChars="175"/>
        <w:contextualSpacing/>
        <w:rPr>
          <w:rFonts w:ascii="宋体" w:hAnsi="宋体" w:cs="宋体"/>
          <w:color w:val="auto"/>
          <w:sz w:val="24"/>
        </w:rPr>
      </w:pPr>
      <w:r>
        <w:rPr>
          <w:rFonts w:hint="eastAsia" w:ascii="宋体" w:hAnsi="宋体" w:cs="宋体"/>
          <w:color w:val="auto"/>
          <w:sz w:val="24"/>
        </w:rPr>
        <w:t>17.1代理机构按照公开竞争文件规定的时间通过电子交易平台组织开标，所有响应人均应当准时在线参加。响应人不足3家的，不得开标。</w:t>
      </w:r>
    </w:p>
    <w:p>
      <w:pPr>
        <w:pStyle w:val="560"/>
        <w:spacing w:before="0" w:line="460" w:lineRule="exact"/>
        <w:ind w:left="0" w:firstLine="420" w:firstLineChars="175"/>
        <w:contextualSpacing/>
        <w:rPr>
          <w:rFonts w:ascii="宋体" w:hAnsi="宋体" w:cs="宋体"/>
          <w:color w:val="auto"/>
          <w:sz w:val="24"/>
        </w:rPr>
      </w:pPr>
      <w:r>
        <w:rPr>
          <w:rFonts w:hint="eastAsia" w:ascii="宋体" w:hAnsi="宋体" w:cs="宋体"/>
          <w:color w:val="auto"/>
          <w:sz w:val="24"/>
        </w:rPr>
        <w:t>17.2交易时，电子交易平台按交易时间自动提取所有响应文件。代理机构依托电子交易平台发起开始解密指令，响应人按照平台提示和公开竞争文件的规定在半小时内完成在线解密。</w:t>
      </w:r>
    </w:p>
    <w:p>
      <w:pPr>
        <w:pStyle w:val="560"/>
        <w:spacing w:before="0" w:line="460" w:lineRule="exact"/>
        <w:ind w:left="0" w:firstLine="420" w:firstLineChars="175"/>
        <w:contextualSpacing/>
        <w:rPr>
          <w:rFonts w:ascii="宋体" w:hAnsi="宋体" w:cs="宋体"/>
          <w:color w:val="auto"/>
          <w:sz w:val="24"/>
        </w:rPr>
      </w:pPr>
      <w:r>
        <w:rPr>
          <w:rFonts w:hint="eastAsia" w:ascii="宋体" w:hAnsi="宋体" w:cs="宋体"/>
          <w:color w:val="auto"/>
          <w:sz w:val="24"/>
        </w:rPr>
        <w:t>17.3响应文件未按时解密，视为响应文件撤回。</w:t>
      </w:r>
    </w:p>
    <w:p>
      <w:pPr>
        <w:pStyle w:val="26"/>
        <w:spacing w:line="460" w:lineRule="exact"/>
        <w:ind w:left="479" w:hanging="479" w:hangingChars="199"/>
        <w:rPr>
          <w:rFonts w:cs="宋体"/>
          <w:b/>
          <w:color w:val="auto"/>
        </w:rPr>
      </w:pPr>
      <w:r>
        <w:rPr>
          <w:rFonts w:hint="eastAsia" w:cs="宋体"/>
          <w:b/>
          <w:color w:val="auto"/>
        </w:rPr>
        <w:t>18、资格审查</w:t>
      </w:r>
    </w:p>
    <w:p>
      <w:pPr>
        <w:pStyle w:val="135"/>
        <w:spacing w:before="0" w:line="460" w:lineRule="exact"/>
        <w:ind w:firstLine="480"/>
        <w:rPr>
          <w:rFonts w:ascii="宋体" w:hAnsi="宋体" w:cs="宋体"/>
          <w:color w:val="auto"/>
          <w:kern w:val="0"/>
          <w:szCs w:val="24"/>
        </w:rPr>
      </w:pPr>
      <w:r>
        <w:rPr>
          <w:rFonts w:hint="eastAsia" w:ascii="宋体" w:hAnsi="宋体" w:cs="宋体"/>
          <w:color w:val="auto"/>
          <w:kern w:val="0"/>
          <w:szCs w:val="24"/>
        </w:rPr>
        <w:t>18.1交易后，交易发起人或代理机构将依法对响应人的资格进行审查。</w:t>
      </w:r>
    </w:p>
    <w:p>
      <w:pPr>
        <w:snapToGrid w:val="0"/>
        <w:spacing w:line="460" w:lineRule="exact"/>
        <w:ind w:firstLine="480" w:firstLineChars="200"/>
        <w:rPr>
          <w:rFonts w:ascii="宋体" w:hAnsi="宋体" w:cs="宋体"/>
          <w:color w:val="auto"/>
          <w:sz w:val="24"/>
        </w:rPr>
      </w:pPr>
      <w:r>
        <w:rPr>
          <w:rFonts w:hint="eastAsia" w:ascii="宋体" w:hAnsi="宋体" w:cs="宋体"/>
          <w:color w:val="auto"/>
          <w:kern w:val="0"/>
          <w:sz w:val="24"/>
        </w:rPr>
        <w:t>18.2</w:t>
      </w:r>
      <w:r>
        <w:rPr>
          <w:rFonts w:hint="eastAsia" w:ascii="宋体" w:hAnsi="宋体" w:cs="宋体"/>
          <w:color w:val="auto"/>
          <w:sz w:val="24"/>
        </w:rPr>
        <w:t>交易发起人或代理机构依据法律法规和公开竞争文件的规定，对响应人的基本资格条件、特定资格条件进行审查。</w:t>
      </w:r>
    </w:p>
    <w:p>
      <w:pPr>
        <w:pStyle w:val="135"/>
        <w:spacing w:before="0" w:line="460" w:lineRule="exact"/>
        <w:ind w:firstLine="480"/>
        <w:rPr>
          <w:rFonts w:ascii="宋体" w:hAnsi="宋体" w:cs="宋体"/>
          <w:color w:val="auto"/>
        </w:rPr>
      </w:pPr>
      <w:r>
        <w:rPr>
          <w:rFonts w:hint="eastAsia" w:ascii="宋体" w:hAnsi="宋体" w:cs="宋体"/>
          <w:color w:val="auto"/>
          <w:kern w:val="0"/>
          <w:szCs w:val="24"/>
        </w:rPr>
        <w:t>18.3响应人未按照公开竞争文件要求提供与</w:t>
      </w:r>
      <w:r>
        <w:rPr>
          <w:rFonts w:hint="eastAsia" w:ascii="宋体" w:hAnsi="宋体" w:cs="宋体"/>
          <w:color w:val="auto"/>
        </w:rPr>
        <w:t>基本资格条件、特定资格条件相应的</w:t>
      </w:r>
      <w:r>
        <w:rPr>
          <w:rFonts w:hint="eastAsia" w:ascii="宋体" w:hAnsi="宋体" w:cs="宋体"/>
          <w:color w:val="auto"/>
          <w:kern w:val="0"/>
          <w:szCs w:val="24"/>
        </w:rPr>
        <w:t>有效资格证明材料的，视为</w:t>
      </w:r>
      <w:r>
        <w:rPr>
          <w:rFonts w:hint="eastAsia" w:ascii="宋体" w:hAnsi="宋体" w:cs="宋体"/>
          <w:color w:val="auto"/>
        </w:rPr>
        <w:t>响应人不具备公开竞争文件中规定的资格要求，其交易无效。</w:t>
      </w:r>
    </w:p>
    <w:p>
      <w:pPr>
        <w:pStyle w:val="135"/>
        <w:spacing w:before="0" w:line="460" w:lineRule="exact"/>
        <w:ind w:firstLine="480"/>
        <w:rPr>
          <w:rFonts w:ascii="宋体" w:hAnsi="宋体" w:cs="宋体"/>
          <w:color w:val="auto"/>
        </w:rPr>
      </w:pPr>
      <w:r>
        <w:rPr>
          <w:rFonts w:hint="eastAsia" w:ascii="宋体" w:hAnsi="宋体" w:cs="宋体"/>
          <w:color w:val="auto"/>
          <w:kern w:val="0"/>
          <w:szCs w:val="24"/>
        </w:rPr>
        <w:t>18.</w:t>
      </w:r>
      <w:r>
        <w:rPr>
          <w:rFonts w:hint="eastAsia" w:ascii="宋体" w:hAnsi="宋体" w:cs="宋体"/>
          <w:color w:val="auto"/>
        </w:rPr>
        <w:t>4对未通过资格审查的响应人，交易发起人或代理机构告知其未通过的原因。</w:t>
      </w:r>
    </w:p>
    <w:p>
      <w:pPr>
        <w:pStyle w:val="135"/>
        <w:spacing w:before="0" w:line="460" w:lineRule="exact"/>
        <w:ind w:firstLine="480"/>
        <w:rPr>
          <w:rFonts w:ascii="宋体" w:hAnsi="宋体" w:cs="宋体"/>
          <w:color w:val="auto"/>
        </w:rPr>
      </w:pPr>
      <w:r>
        <w:rPr>
          <w:rFonts w:hint="eastAsia" w:ascii="宋体" w:hAnsi="宋体" w:cs="宋体"/>
          <w:color w:val="auto"/>
          <w:kern w:val="0"/>
          <w:szCs w:val="24"/>
        </w:rPr>
        <w:t>18.</w:t>
      </w:r>
      <w:r>
        <w:rPr>
          <w:rFonts w:hint="eastAsia" w:ascii="宋体" w:hAnsi="宋体" w:cs="宋体"/>
          <w:color w:val="auto"/>
        </w:rPr>
        <w:t>5合格响应人不足3家的，不再评标。</w:t>
      </w:r>
    </w:p>
    <w:p>
      <w:pPr>
        <w:pStyle w:val="135"/>
        <w:spacing w:before="0" w:line="460" w:lineRule="exact"/>
        <w:ind w:firstLine="0" w:firstLineChars="0"/>
        <w:rPr>
          <w:rFonts w:ascii="宋体" w:hAnsi="宋体" w:cs="宋体"/>
          <w:color w:val="auto"/>
          <w:kern w:val="0"/>
          <w:szCs w:val="24"/>
        </w:rPr>
      </w:pPr>
    </w:p>
    <w:p>
      <w:pPr>
        <w:snapToGrid w:val="0"/>
        <w:spacing w:line="460" w:lineRule="exact"/>
        <w:jc w:val="center"/>
        <w:outlineLvl w:val="0"/>
        <w:rPr>
          <w:rFonts w:ascii="宋体" w:hAnsi="宋体" w:cs="宋体"/>
          <w:b/>
          <w:color w:val="auto"/>
          <w:sz w:val="36"/>
          <w:szCs w:val="36"/>
        </w:rPr>
      </w:pPr>
      <w:r>
        <w:rPr>
          <w:rFonts w:hint="eastAsia" w:ascii="宋体" w:hAnsi="宋体" w:cs="宋体"/>
          <w:b/>
          <w:color w:val="auto"/>
          <w:sz w:val="36"/>
          <w:szCs w:val="36"/>
        </w:rPr>
        <w:t>五、评审</w:t>
      </w:r>
    </w:p>
    <w:p>
      <w:pPr>
        <w:spacing w:line="460" w:lineRule="exact"/>
        <w:rPr>
          <w:rFonts w:ascii="宋体" w:hAnsi="宋体" w:cs="宋体"/>
          <w:color w:val="auto"/>
          <w:sz w:val="24"/>
        </w:rPr>
      </w:pPr>
      <w:bookmarkStart w:id="12" w:name="_Toc91899903"/>
      <w:r>
        <w:rPr>
          <w:rFonts w:hint="eastAsia" w:ascii="宋体" w:hAnsi="宋体" w:cs="宋体"/>
          <w:b/>
          <w:color w:val="auto"/>
          <w:sz w:val="24"/>
        </w:rPr>
        <w:t>19.</w:t>
      </w:r>
      <w:r>
        <w:rPr>
          <w:rFonts w:hint="eastAsia" w:ascii="宋体" w:hAnsi="宋体" w:cs="宋体"/>
          <w:color w:val="auto"/>
          <w:sz w:val="24"/>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pPr>
        <w:spacing w:line="460" w:lineRule="exact"/>
        <w:rPr>
          <w:rFonts w:ascii="宋体" w:hAnsi="宋体" w:cs="宋体"/>
          <w:b/>
          <w:color w:val="auto"/>
          <w:sz w:val="24"/>
        </w:rPr>
      </w:pPr>
      <w:r>
        <w:rPr>
          <w:rFonts w:hint="eastAsia" w:ascii="宋体" w:hAnsi="宋体" w:cs="宋体"/>
          <w:b/>
          <w:color w:val="auto"/>
          <w:sz w:val="24"/>
        </w:rPr>
        <w:t>详见公开竞争文件第四部分交易办法。</w:t>
      </w:r>
    </w:p>
    <w:p>
      <w:pPr>
        <w:spacing w:line="460" w:lineRule="exact"/>
        <w:rPr>
          <w:rFonts w:ascii="宋体" w:hAnsi="宋体" w:cs="宋体"/>
          <w:b/>
          <w:color w:val="auto"/>
          <w:sz w:val="24"/>
        </w:rPr>
      </w:pPr>
    </w:p>
    <w:p>
      <w:pPr>
        <w:snapToGrid w:val="0"/>
        <w:spacing w:line="460" w:lineRule="exact"/>
        <w:jc w:val="center"/>
        <w:outlineLvl w:val="0"/>
        <w:rPr>
          <w:rFonts w:ascii="宋体" w:hAnsi="宋体" w:cs="宋体"/>
          <w:b/>
          <w:color w:val="auto"/>
          <w:sz w:val="36"/>
          <w:szCs w:val="36"/>
        </w:rPr>
      </w:pPr>
      <w:r>
        <w:rPr>
          <w:rFonts w:hint="eastAsia" w:ascii="宋体" w:hAnsi="宋体" w:cs="宋体"/>
          <w:b/>
          <w:color w:val="auto"/>
          <w:sz w:val="36"/>
          <w:szCs w:val="36"/>
        </w:rPr>
        <w:t>六、定标</w:t>
      </w:r>
    </w:p>
    <w:p>
      <w:pPr>
        <w:pStyle w:val="26"/>
        <w:spacing w:line="460" w:lineRule="exact"/>
        <w:ind w:left="479" w:hanging="479" w:hangingChars="199"/>
        <w:rPr>
          <w:rFonts w:cs="宋体"/>
          <w:b/>
          <w:color w:val="auto"/>
        </w:rPr>
      </w:pPr>
      <w:r>
        <w:rPr>
          <w:rFonts w:hint="eastAsia" w:cs="宋体"/>
          <w:b/>
          <w:color w:val="auto"/>
        </w:rPr>
        <w:t>20.确定成交响应人</w:t>
      </w:r>
    </w:p>
    <w:p>
      <w:pPr>
        <w:pStyle w:val="135"/>
        <w:snapToGrid w:val="0"/>
        <w:spacing w:before="0" w:line="460" w:lineRule="exact"/>
        <w:ind w:firstLine="480"/>
        <w:rPr>
          <w:rFonts w:ascii="宋体" w:hAnsi="宋体" w:cs="宋体"/>
          <w:b/>
          <w:color w:val="auto"/>
          <w:szCs w:val="24"/>
        </w:rPr>
      </w:pPr>
      <w:r>
        <w:rPr>
          <w:rFonts w:hint="eastAsia" w:ascii="宋体" w:hAnsi="宋体" w:cs="宋体"/>
          <w:color w:val="auto"/>
          <w:szCs w:val="24"/>
        </w:rPr>
        <w:t>交易发起人将自收到评审报告之日起5个工作日内通过电子交易平台在评审报告推荐的成交候选人中按顺序确定成交响应人。</w:t>
      </w:r>
    </w:p>
    <w:p>
      <w:pPr>
        <w:pStyle w:val="135"/>
        <w:snapToGrid w:val="0"/>
        <w:spacing w:before="0" w:line="460" w:lineRule="exact"/>
        <w:ind w:firstLine="0" w:firstLineChars="0"/>
        <w:rPr>
          <w:rFonts w:ascii="宋体" w:hAnsi="宋体" w:cs="宋体"/>
          <w:b/>
          <w:color w:val="auto"/>
          <w:szCs w:val="24"/>
        </w:rPr>
      </w:pPr>
      <w:r>
        <w:rPr>
          <w:rFonts w:hint="eastAsia" w:ascii="宋体" w:hAnsi="宋体" w:cs="宋体"/>
          <w:b/>
          <w:color w:val="auto"/>
          <w:szCs w:val="24"/>
        </w:rPr>
        <w:t>21.成交通知与成交结果公告</w:t>
      </w:r>
    </w:p>
    <w:p>
      <w:pPr>
        <w:widowControl/>
        <w:shd w:val="clear" w:color="auto" w:fill="FFFFFF"/>
        <w:spacing w:line="460" w:lineRule="exact"/>
        <w:ind w:firstLine="480"/>
        <w:jc w:val="left"/>
        <w:rPr>
          <w:rFonts w:ascii="宋体" w:hAnsi="宋体" w:cs="宋体"/>
          <w:color w:val="auto"/>
          <w:sz w:val="24"/>
        </w:rPr>
      </w:pPr>
      <w:r>
        <w:rPr>
          <w:rFonts w:hint="eastAsia" w:ascii="宋体" w:hAnsi="宋体" w:cs="宋体"/>
          <w:color w:val="auto"/>
          <w:sz w:val="24"/>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ascii="宋体" w:hAnsi="宋体" w:cs="宋体"/>
          <w:color w:val="auto"/>
          <w:sz w:val="24"/>
        </w:rPr>
      </w:pPr>
      <w:r>
        <w:rPr>
          <w:rFonts w:hint="eastAsia" w:ascii="宋体" w:hAnsi="宋体" w:cs="宋体"/>
          <w:color w:val="auto"/>
          <w:sz w:val="24"/>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ascii="宋体" w:hAnsi="宋体" w:cs="宋体"/>
          <w:b/>
          <w:color w:val="auto"/>
          <w:sz w:val="32"/>
        </w:rPr>
      </w:pPr>
    </w:p>
    <w:p>
      <w:pPr>
        <w:snapToGrid w:val="0"/>
        <w:spacing w:line="460" w:lineRule="exact"/>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6"/>
        <w:spacing w:line="460" w:lineRule="exact"/>
        <w:ind w:left="479" w:hanging="479" w:hangingChars="199"/>
        <w:rPr>
          <w:rFonts w:cs="宋体"/>
          <w:b/>
          <w:color w:val="auto"/>
        </w:rPr>
      </w:pPr>
      <w:r>
        <w:rPr>
          <w:rFonts w:hint="eastAsia" w:cs="宋体"/>
          <w:b/>
          <w:color w:val="auto"/>
        </w:rPr>
        <w:t>22.</w:t>
      </w:r>
      <w:r>
        <w:rPr>
          <w:rFonts w:hint="eastAsia" w:cs="宋体"/>
          <w:color w:val="auto"/>
        </w:rPr>
        <w:t>合同主要条款详见第五部分拟签订的合同文本。</w:t>
      </w:r>
    </w:p>
    <w:p>
      <w:pPr>
        <w:pStyle w:val="26"/>
        <w:spacing w:line="460" w:lineRule="exact"/>
        <w:ind w:left="479" w:hanging="479" w:hangingChars="199"/>
        <w:rPr>
          <w:rFonts w:cs="宋体"/>
          <w:b/>
          <w:color w:val="auto"/>
        </w:rPr>
      </w:pPr>
      <w:r>
        <w:rPr>
          <w:rFonts w:hint="eastAsia" w:cs="宋体"/>
          <w:b/>
          <w:color w:val="auto"/>
        </w:rPr>
        <w:t>23.合同的签订</w:t>
      </w:r>
    </w:p>
    <w:p>
      <w:pPr>
        <w:widowControl/>
        <w:shd w:val="clear" w:color="auto" w:fill="FFFFFF"/>
        <w:spacing w:line="460" w:lineRule="exact"/>
        <w:ind w:firstLine="480"/>
        <w:jc w:val="left"/>
        <w:rPr>
          <w:rFonts w:ascii="宋体" w:hAnsi="宋体" w:cs="宋体"/>
          <w:color w:val="auto"/>
          <w:kern w:val="0"/>
          <w:sz w:val="24"/>
        </w:rPr>
      </w:pPr>
      <w:r>
        <w:rPr>
          <w:rFonts w:hint="eastAsia" w:ascii="宋体" w:hAnsi="宋体" w:cs="宋体"/>
          <w:color w:val="auto"/>
          <w:sz w:val="24"/>
        </w:rPr>
        <w:t>23.1</w:t>
      </w:r>
      <w:r>
        <w:rPr>
          <w:rFonts w:hint="eastAsia" w:ascii="宋体" w:hAnsi="宋体" w:cs="宋体"/>
          <w:color w:val="auto"/>
          <w:kern w:val="0"/>
          <w:sz w:val="24"/>
        </w:rPr>
        <w:t xml:space="preserve"> 交易发起人与成交人应当通过电子交易平台在成交通知书发出之日起三十日内，按照公开竞争文件确定的事项签订书面合同。</w:t>
      </w:r>
    </w:p>
    <w:p>
      <w:pPr>
        <w:pStyle w:val="135"/>
        <w:snapToGrid w:val="0"/>
        <w:spacing w:before="0" w:line="460" w:lineRule="exact"/>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5"/>
        <w:snapToGrid w:val="0"/>
        <w:spacing w:before="0" w:line="460" w:lineRule="exact"/>
        <w:ind w:firstLine="480"/>
        <w:rPr>
          <w:rFonts w:ascii="宋体" w:hAnsi="宋体" w:cs="宋体"/>
          <w:color w:val="auto"/>
        </w:rPr>
      </w:pPr>
      <w:r>
        <w:rPr>
          <w:rFonts w:hint="eastAsia" w:ascii="宋体" w:hAnsi="宋体" w:cs="宋体"/>
          <w:color w:val="auto"/>
        </w:rPr>
        <w:t>23.3如签订合同并生效后，响应人无故拒绝或延期，除按照合同条款处理外，列入不良行为记录一次，并给予通报。</w:t>
      </w:r>
    </w:p>
    <w:p>
      <w:pPr>
        <w:pStyle w:val="135"/>
        <w:snapToGrid w:val="0"/>
        <w:spacing w:before="0" w:line="460" w:lineRule="exact"/>
        <w:ind w:firstLine="480"/>
        <w:rPr>
          <w:rFonts w:ascii="宋体" w:hAnsi="宋体" w:cs="宋体"/>
          <w:color w:val="auto"/>
        </w:rPr>
      </w:pPr>
      <w:r>
        <w:rPr>
          <w:rFonts w:hint="eastAsia" w:ascii="宋体" w:hAnsi="宋体" w:cs="宋体"/>
          <w:color w:val="auto"/>
        </w:rPr>
        <w:t>23.4成交响应人拒绝与交易发起人签订合同的，交易发起人可以按照评审报告推荐的</w:t>
      </w:r>
      <w:r>
        <w:rPr>
          <w:rFonts w:hint="eastAsia" w:ascii="宋体" w:hAnsi="宋体" w:cs="宋体"/>
          <w:color w:val="auto"/>
          <w:kern w:val="0"/>
        </w:rPr>
        <w:t>成交</w:t>
      </w:r>
      <w:r>
        <w:rPr>
          <w:rFonts w:hint="eastAsia" w:ascii="宋体" w:hAnsi="宋体" w:cs="宋体"/>
          <w:color w:val="auto"/>
        </w:rPr>
        <w:t>或者成交候选人名单排序，确定下一候选人为成交响应人，也可以重新开展交易活动。</w:t>
      </w:r>
    </w:p>
    <w:p>
      <w:pPr>
        <w:pStyle w:val="135"/>
        <w:snapToGrid w:val="0"/>
        <w:spacing w:before="0" w:after="120" w:line="460" w:lineRule="exact"/>
        <w:ind w:firstLine="480"/>
        <w:rPr>
          <w:rFonts w:ascii="宋体" w:hAnsi="宋体" w:cs="宋体"/>
          <w:color w:val="auto"/>
        </w:rPr>
      </w:pPr>
      <w:r>
        <w:rPr>
          <w:rFonts w:hint="eastAsia" w:ascii="宋体" w:hAnsi="宋体" w:cs="宋体"/>
          <w:color w:val="auto"/>
        </w:rPr>
        <w:t>23.5书面合同由交易发起人与成交响应人根据公开竞争文件、响应文件等内容签订合同。</w:t>
      </w:r>
    </w:p>
    <w:p>
      <w:pPr>
        <w:pStyle w:val="26"/>
        <w:spacing w:line="460" w:lineRule="exact"/>
        <w:ind w:left="479" w:hanging="479" w:hangingChars="199"/>
        <w:rPr>
          <w:rFonts w:cs="宋体"/>
          <w:b/>
          <w:color w:val="auto"/>
        </w:rPr>
      </w:pPr>
      <w:r>
        <w:rPr>
          <w:rFonts w:hint="eastAsia" w:cs="宋体"/>
          <w:b/>
          <w:color w:val="auto"/>
        </w:rPr>
        <w:t>24.履约保证金：</w:t>
      </w:r>
      <w:r>
        <w:rPr>
          <w:rFonts w:hint="eastAsia" w:cs="宋体"/>
          <w:bCs/>
          <w:color w:val="auto"/>
        </w:rPr>
        <w:t>不收取。</w:t>
      </w:r>
    </w:p>
    <w:p>
      <w:pPr>
        <w:snapToGrid w:val="0"/>
        <w:spacing w:line="460" w:lineRule="exact"/>
        <w:ind w:firstLine="3357" w:firstLineChars="1045"/>
        <w:rPr>
          <w:rFonts w:ascii="宋体" w:hAnsi="宋体" w:cs="宋体"/>
          <w:b/>
          <w:color w:val="auto"/>
          <w:sz w:val="32"/>
        </w:rPr>
      </w:pPr>
    </w:p>
    <w:p>
      <w:pPr>
        <w:snapToGrid w:val="0"/>
        <w:spacing w:line="460" w:lineRule="exact"/>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5"/>
        <w:snapToGrid w:val="0"/>
        <w:spacing w:before="0" w:line="460" w:lineRule="exact"/>
        <w:ind w:firstLine="0" w:firstLineChars="0"/>
        <w:rPr>
          <w:rFonts w:ascii="宋体" w:hAnsi="宋体" w:cs="宋体"/>
          <w:color w:val="auto"/>
        </w:rPr>
      </w:pPr>
      <w:r>
        <w:rPr>
          <w:rFonts w:hint="eastAsia" w:ascii="宋体" w:hAnsi="宋体" w:cs="宋体"/>
          <w:b/>
          <w:bCs/>
          <w:color w:val="auto"/>
        </w:rPr>
        <w:t>2</w:t>
      </w:r>
      <w:r>
        <w:rPr>
          <w:rFonts w:hint="eastAsia" w:ascii="宋体" w:hAnsi="宋体" w:cs="宋体"/>
          <w:b/>
          <w:color w:val="auto"/>
          <w:szCs w:val="24"/>
        </w:rPr>
        <w:t>5.电子交易活动的中止。</w:t>
      </w:r>
      <w:r>
        <w:rPr>
          <w:rFonts w:hint="eastAsia" w:ascii="宋体" w:hAnsi="宋体" w:cs="宋体"/>
          <w:bCs/>
          <w:color w:val="auto"/>
          <w:szCs w:val="24"/>
        </w:rPr>
        <w:t>交易</w:t>
      </w:r>
      <w:r>
        <w:rPr>
          <w:rFonts w:hint="eastAsia" w:ascii="宋体" w:hAnsi="宋体" w:cs="宋体"/>
          <w:color w:val="auto"/>
        </w:rPr>
        <w:t>过程中出现以下情形，导致电子交易平台无法正常运行，或者无法保证电子交易的公平、公正和安全时，代理机构可中止电子交易活动：</w:t>
      </w:r>
    </w:p>
    <w:p>
      <w:pPr>
        <w:pStyle w:val="135"/>
        <w:snapToGrid w:val="0"/>
        <w:spacing w:before="0" w:line="460" w:lineRule="exact"/>
        <w:ind w:firstLine="480"/>
        <w:rPr>
          <w:rFonts w:ascii="宋体" w:hAnsi="宋体" w:cs="宋体"/>
          <w:color w:val="auto"/>
        </w:rPr>
      </w:pPr>
      <w:r>
        <w:rPr>
          <w:rFonts w:hint="eastAsia" w:ascii="宋体" w:hAnsi="宋体" w:cs="宋体"/>
          <w:color w:val="auto"/>
        </w:rPr>
        <w:t xml:space="preserve">25.1电子交易平台发生故障而无法登录访问的； </w:t>
      </w:r>
    </w:p>
    <w:p>
      <w:pPr>
        <w:pStyle w:val="135"/>
        <w:snapToGrid w:val="0"/>
        <w:spacing w:before="0" w:line="460" w:lineRule="exact"/>
        <w:ind w:firstLine="480"/>
        <w:rPr>
          <w:rFonts w:ascii="宋体" w:hAnsi="宋体" w:cs="宋体"/>
          <w:color w:val="auto"/>
        </w:rPr>
      </w:pPr>
      <w:r>
        <w:rPr>
          <w:rFonts w:hint="eastAsia" w:ascii="宋体" w:hAnsi="宋体" w:cs="宋体"/>
          <w:color w:val="auto"/>
        </w:rPr>
        <w:t>25.2电子交易平台应用或数据库出现错误，不能进行正常操作的；</w:t>
      </w:r>
    </w:p>
    <w:p>
      <w:pPr>
        <w:pStyle w:val="135"/>
        <w:snapToGrid w:val="0"/>
        <w:spacing w:before="0" w:line="460" w:lineRule="exact"/>
        <w:ind w:firstLine="480"/>
        <w:rPr>
          <w:rFonts w:ascii="宋体" w:hAnsi="宋体" w:cs="宋体"/>
          <w:color w:val="auto"/>
        </w:rPr>
      </w:pPr>
      <w:r>
        <w:rPr>
          <w:rFonts w:hint="eastAsia" w:ascii="宋体" w:hAnsi="宋体" w:cs="宋体"/>
          <w:color w:val="auto"/>
        </w:rPr>
        <w:t>25.3电子交易平台发现严重安全漏洞，有潜在泄密危险的；</w:t>
      </w:r>
    </w:p>
    <w:p>
      <w:pPr>
        <w:pStyle w:val="135"/>
        <w:snapToGrid w:val="0"/>
        <w:spacing w:before="0" w:line="460" w:lineRule="exact"/>
        <w:ind w:firstLine="480"/>
        <w:rPr>
          <w:rFonts w:ascii="宋体" w:hAnsi="宋体" w:cs="宋体"/>
          <w:color w:val="auto"/>
        </w:rPr>
      </w:pPr>
      <w:r>
        <w:rPr>
          <w:rFonts w:hint="eastAsia" w:ascii="宋体" w:hAnsi="宋体" w:cs="宋体"/>
          <w:color w:val="auto"/>
        </w:rPr>
        <w:t xml:space="preserve">25.4病毒发作导致不能进行正常操作的； </w:t>
      </w:r>
    </w:p>
    <w:p>
      <w:pPr>
        <w:pStyle w:val="135"/>
        <w:snapToGrid w:val="0"/>
        <w:spacing w:before="0" w:line="460" w:lineRule="exact"/>
        <w:ind w:firstLine="480"/>
        <w:rPr>
          <w:rFonts w:ascii="宋体" w:hAnsi="宋体" w:cs="宋体"/>
          <w:color w:val="auto"/>
        </w:rPr>
      </w:pPr>
      <w:r>
        <w:rPr>
          <w:rFonts w:hint="eastAsia" w:ascii="宋体" w:hAnsi="宋体" w:cs="宋体"/>
          <w:color w:val="auto"/>
        </w:rPr>
        <w:t>25.5其他无法保证电子交易的公平、公正和安全的情况。</w:t>
      </w:r>
    </w:p>
    <w:p>
      <w:pPr>
        <w:pStyle w:val="135"/>
        <w:snapToGrid w:val="0"/>
        <w:spacing w:before="0" w:line="460" w:lineRule="exact"/>
        <w:ind w:firstLine="0" w:firstLineChars="0"/>
        <w:rPr>
          <w:rFonts w:ascii="宋体" w:hAnsi="宋体" w:cs="宋体"/>
          <w:color w:val="auto"/>
        </w:rPr>
      </w:pPr>
      <w:r>
        <w:rPr>
          <w:rFonts w:hint="eastAsia" w:ascii="宋体" w:hAnsi="宋体" w:cs="宋体"/>
          <w:b/>
          <w:bCs/>
          <w:color w:val="auto"/>
        </w:rPr>
        <w:t>26.</w:t>
      </w:r>
      <w:r>
        <w:rPr>
          <w:rFonts w:hint="eastAsia" w:ascii="宋体" w:hAnsi="宋体" w:cs="宋体"/>
          <w:color w:val="auto"/>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6"/>
        <w:spacing w:line="460" w:lineRule="exact"/>
        <w:ind w:firstLine="0" w:firstLineChars="0"/>
        <w:rPr>
          <w:rFonts w:cs="宋体"/>
          <w:b/>
          <w:color w:val="auto"/>
        </w:rPr>
      </w:pPr>
      <w:r>
        <w:rPr>
          <w:rFonts w:hint="eastAsia" w:cs="宋体"/>
          <w:b/>
          <w:color w:val="auto"/>
        </w:rPr>
        <w:t>27.验收</w:t>
      </w:r>
    </w:p>
    <w:p>
      <w:pPr>
        <w:tabs>
          <w:tab w:val="left" w:pos="0"/>
        </w:tabs>
        <w:spacing w:line="460" w:lineRule="exact"/>
        <w:ind w:firstLine="480"/>
        <w:jc w:val="left"/>
        <w:rPr>
          <w:rFonts w:ascii="宋体" w:hAnsi="宋体" w:cs="宋体"/>
          <w:color w:val="auto"/>
          <w:kern w:val="0"/>
          <w:sz w:val="24"/>
        </w:rPr>
      </w:pPr>
      <w:r>
        <w:rPr>
          <w:rFonts w:hint="eastAsia" w:ascii="宋体" w:hAnsi="宋体" w:cs="宋体"/>
          <w:color w:val="auto"/>
          <w:kern w:val="0"/>
          <w:sz w:val="24"/>
        </w:rPr>
        <w:t>27.1交易发起人应当组织对响应人履约的验收。</w:t>
      </w:r>
    </w:p>
    <w:bookmarkEnd w:id="10"/>
    <w:bookmarkEnd w:id="11"/>
    <w:bookmarkEnd w:id="12"/>
    <w:p>
      <w:pPr>
        <w:rPr>
          <w:rFonts w:ascii="宋体" w:hAnsi="宋体" w:cs="宋体"/>
          <w:b/>
          <w:color w:val="auto"/>
          <w:sz w:val="36"/>
          <w:szCs w:val="36"/>
        </w:rPr>
      </w:pPr>
      <w:bookmarkStart w:id="13" w:name="第四部分"/>
      <w:r>
        <w:rPr>
          <w:rFonts w:hint="eastAsia" w:ascii="宋体" w:hAnsi="宋体" w:cs="宋体"/>
          <w:b/>
          <w:color w:val="auto"/>
          <w:sz w:val="36"/>
          <w:szCs w:val="36"/>
        </w:rPr>
        <w:br w:type="page"/>
      </w:r>
    </w:p>
    <w:p>
      <w:pPr>
        <w:jc w:val="center"/>
        <w:rPr>
          <w:rFonts w:ascii="宋体" w:hAnsi="宋体" w:cs="宋体"/>
          <w:b/>
          <w:color w:val="auto"/>
          <w:sz w:val="36"/>
          <w:szCs w:val="36"/>
        </w:rPr>
      </w:pPr>
      <w:r>
        <w:rPr>
          <w:rFonts w:hint="eastAsia" w:ascii="宋体" w:hAnsi="宋体" w:cs="宋体"/>
          <w:b/>
          <w:color w:val="auto"/>
          <w:sz w:val="36"/>
          <w:szCs w:val="36"/>
        </w:rPr>
        <w:t>第三部分   交易需求</w:t>
      </w: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属于实质性要求条款的，请用符号“▲”标明，否则属于非实质性要求。</w:t>
      </w:r>
    </w:p>
    <w:p>
      <w:pPr>
        <w:spacing w:line="360" w:lineRule="auto"/>
        <w:jc w:val="center"/>
        <w:rPr>
          <w:rFonts w:ascii="宋体" w:hAnsi="宋体" w:cs="宋体"/>
          <w:b/>
          <w:color w:val="auto"/>
          <w:sz w:val="28"/>
          <w:szCs w:val="28"/>
        </w:rPr>
      </w:pPr>
      <w:r>
        <w:rPr>
          <w:rFonts w:hint="eastAsia" w:ascii="宋体" w:hAnsi="宋体" w:cs="宋体"/>
          <w:b/>
          <w:color w:val="auto"/>
          <w:sz w:val="28"/>
          <w:szCs w:val="28"/>
        </w:rPr>
        <w:t>一、交易一览表</w:t>
      </w:r>
    </w:p>
    <w:p>
      <w:pPr>
        <w:spacing w:after="120"/>
        <w:ind w:firstLine="480" w:firstLineChars="200"/>
        <w:rPr>
          <w:rFonts w:ascii="宋体" w:hAnsi="宋体" w:cs="宋体"/>
          <w:color w:val="auto"/>
        </w:rPr>
      </w:pPr>
      <w:r>
        <w:rPr>
          <w:rFonts w:hint="eastAsia" w:ascii="宋体" w:hAnsi="宋体" w:cs="宋体"/>
          <w:color w:val="auto"/>
          <w:sz w:val="24"/>
        </w:rPr>
        <w:t>标项：1</w:t>
      </w:r>
    </w:p>
    <w:tbl>
      <w:tblPr>
        <w:tblStyle w:val="63"/>
        <w:tblW w:w="9027" w:type="dxa"/>
        <w:jc w:val="center"/>
        <w:tblLayout w:type="fixed"/>
        <w:tblCellMar>
          <w:top w:w="0" w:type="dxa"/>
          <w:left w:w="0" w:type="dxa"/>
          <w:bottom w:w="0" w:type="dxa"/>
          <w:right w:w="0" w:type="dxa"/>
        </w:tblCellMar>
      </w:tblPr>
      <w:tblGrid>
        <w:gridCol w:w="624"/>
        <w:gridCol w:w="3990"/>
        <w:gridCol w:w="1880"/>
        <w:gridCol w:w="880"/>
        <w:gridCol w:w="926"/>
        <w:gridCol w:w="727"/>
      </w:tblGrid>
      <w:tr>
        <w:tblPrEx>
          <w:tblCellMar>
            <w:top w:w="0" w:type="dxa"/>
            <w:left w:w="0" w:type="dxa"/>
            <w:bottom w:w="0" w:type="dxa"/>
            <w:right w:w="0" w:type="dxa"/>
          </w:tblCellMar>
        </w:tblPrEx>
        <w:trPr>
          <w:cantSplit/>
          <w:trHeight w:val="90"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序号</w:t>
            </w:r>
          </w:p>
        </w:tc>
        <w:tc>
          <w:tcPr>
            <w:tcW w:w="39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名称</w:t>
            </w: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具体服务要求</w:t>
            </w:r>
          </w:p>
        </w:tc>
        <w:tc>
          <w:tcPr>
            <w:tcW w:w="8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单位</w:t>
            </w:r>
          </w:p>
        </w:tc>
        <w:tc>
          <w:tcPr>
            <w:tcW w:w="9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数量</w:t>
            </w:r>
          </w:p>
        </w:tc>
        <w:tc>
          <w:tcPr>
            <w:tcW w:w="7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备注</w:t>
            </w:r>
          </w:p>
        </w:tc>
      </w:tr>
      <w:tr>
        <w:tblPrEx>
          <w:tblCellMar>
            <w:top w:w="0" w:type="dxa"/>
            <w:left w:w="0" w:type="dxa"/>
            <w:bottom w:w="0" w:type="dxa"/>
            <w:right w:w="0" w:type="dxa"/>
          </w:tblCellMar>
        </w:tblPrEx>
        <w:trPr>
          <w:cantSplit/>
          <w:trHeight w:val="585"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1</w:t>
            </w:r>
          </w:p>
        </w:tc>
        <w:tc>
          <w:tcPr>
            <w:tcW w:w="39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萧山区潮文化Power“街头旋律”文艺点亮计划项目</w:t>
            </w: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详见交易需求</w:t>
            </w:r>
          </w:p>
        </w:tc>
        <w:tc>
          <w:tcPr>
            <w:tcW w:w="8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项</w:t>
            </w:r>
          </w:p>
        </w:tc>
        <w:tc>
          <w:tcPr>
            <w:tcW w:w="9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1</w:t>
            </w:r>
          </w:p>
        </w:tc>
        <w:tc>
          <w:tcPr>
            <w:tcW w:w="727"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rPr>
            </w:pPr>
          </w:p>
        </w:tc>
      </w:tr>
    </w:tbl>
    <w:p>
      <w:pPr>
        <w:spacing w:line="360" w:lineRule="auto"/>
        <w:ind w:firstLine="482" w:firstLineChars="200"/>
        <w:rPr>
          <w:rFonts w:ascii="宋体" w:hAnsi="宋体" w:cs="宋体"/>
          <w:b/>
          <w:color w:val="auto"/>
          <w:sz w:val="24"/>
        </w:rPr>
      </w:pPr>
    </w:p>
    <w:p>
      <w:pPr>
        <w:spacing w:line="360" w:lineRule="auto"/>
        <w:jc w:val="center"/>
        <w:rPr>
          <w:rFonts w:ascii="宋体" w:hAnsi="宋体" w:cs="宋体"/>
          <w:b/>
          <w:color w:val="auto"/>
          <w:sz w:val="28"/>
          <w:szCs w:val="28"/>
        </w:rPr>
      </w:pPr>
      <w:r>
        <w:rPr>
          <w:rFonts w:hint="eastAsia" w:ascii="宋体" w:hAnsi="宋体" w:cs="宋体"/>
          <w:b/>
          <w:color w:val="auto"/>
          <w:sz w:val="28"/>
          <w:szCs w:val="28"/>
        </w:rPr>
        <w:t>二、交易需求</w:t>
      </w:r>
    </w:p>
    <w:p>
      <w:pPr>
        <w:spacing w:line="360" w:lineRule="auto"/>
        <w:rPr>
          <w:rFonts w:ascii="宋体" w:hAnsi="宋体" w:cs="宋体"/>
          <w:b/>
          <w:bCs/>
          <w:color w:val="auto"/>
          <w:sz w:val="24"/>
        </w:rPr>
      </w:pPr>
      <w:r>
        <w:rPr>
          <w:rFonts w:hint="eastAsia" w:ascii="宋体" w:hAnsi="宋体" w:cs="宋体"/>
          <w:b/>
          <w:bCs/>
          <w:color w:val="auto"/>
          <w:sz w:val="24"/>
        </w:rPr>
        <w:t>1、技术需求</w:t>
      </w:r>
    </w:p>
    <w:p>
      <w:pPr>
        <w:spacing w:line="360" w:lineRule="auto"/>
        <w:rPr>
          <w:rFonts w:ascii="宋体" w:hAnsi="宋体" w:cs="宋体"/>
          <w:b/>
          <w:bCs/>
          <w:color w:val="auto"/>
          <w:sz w:val="24"/>
        </w:rPr>
      </w:pPr>
      <w:r>
        <w:rPr>
          <w:rFonts w:hint="eastAsia" w:ascii="宋体" w:hAnsi="宋体" w:cs="宋体"/>
          <w:b/>
          <w:bCs/>
          <w:color w:val="auto"/>
          <w:sz w:val="24"/>
        </w:rPr>
        <w:t>一、项目概况</w:t>
      </w:r>
    </w:p>
    <w:p>
      <w:pPr>
        <w:spacing w:line="360" w:lineRule="auto"/>
        <w:ind w:firstLine="480" w:firstLineChars="200"/>
        <w:rPr>
          <w:rFonts w:ascii="宋体" w:hAnsi="宋体" w:cs="宋体"/>
          <w:color w:val="auto"/>
          <w:sz w:val="24"/>
        </w:rPr>
      </w:pPr>
      <w:r>
        <w:rPr>
          <w:rFonts w:hint="eastAsia" w:ascii="宋体" w:hAnsi="宋体" w:cs="宋体"/>
          <w:color w:val="auto"/>
          <w:sz w:val="24"/>
        </w:rPr>
        <w:t>1、为进一步丰富市民群众的文化获得感，拟开展萧山区潮文化Power“街头旋律”文艺点亮计划。核心为规范街头艺术家表演，丰富</w:t>
      </w:r>
      <w:r>
        <w:rPr>
          <w:rFonts w:hint="eastAsia" w:ascii="宋体" w:hAnsi="宋体" w:cs="宋体"/>
          <w:color w:val="auto"/>
          <w:sz w:val="24"/>
          <w:lang w:eastAsia="zh-CN"/>
        </w:rPr>
        <w:t>市民</w:t>
      </w:r>
      <w:r>
        <w:rPr>
          <w:rFonts w:hint="eastAsia" w:ascii="宋体" w:hAnsi="宋体" w:cs="宋体"/>
          <w:color w:val="auto"/>
          <w:sz w:val="24"/>
        </w:rPr>
        <w:t>群众文化获得感。计划建立1套萧山街头艺术家体系，在萧山区范围内设置首批6个街头艺术家表演点，以音乐阐释萧山文化的多元包容，展现萧山幸福生活气象，充分展示萧山音乐文化建设成果，推动萧山文化IP出圈。</w:t>
      </w:r>
    </w:p>
    <w:p>
      <w:pPr>
        <w:spacing w:line="360" w:lineRule="auto"/>
        <w:ind w:firstLine="480" w:firstLineChars="200"/>
        <w:rPr>
          <w:rFonts w:ascii="宋体" w:hAnsi="宋体" w:cs="宋体"/>
          <w:color w:val="auto"/>
          <w:sz w:val="24"/>
        </w:rPr>
      </w:pPr>
      <w:r>
        <w:rPr>
          <w:rFonts w:hint="eastAsia" w:ascii="宋体" w:hAnsi="宋体" w:cs="宋体"/>
          <w:color w:val="auto"/>
          <w:sz w:val="24"/>
        </w:rPr>
        <w:t>2、服务期限：合同签订之日起，共6个月。</w:t>
      </w:r>
    </w:p>
    <w:p>
      <w:pPr>
        <w:spacing w:line="360" w:lineRule="auto"/>
        <w:rPr>
          <w:rFonts w:ascii="宋体" w:hAnsi="宋体" w:cs="宋体"/>
          <w:b/>
          <w:bCs/>
          <w:color w:val="auto"/>
          <w:sz w:val="24"/>
        </w:rPr>
      </w:pPr>
      <w:r>
        <w:rPr>
          <w:rFonts w:hint="eastAsia" w:ascii="宋体" w:hAnsi="宋体" w:cs="宋体"/>
          <w:b/>
          <w:bCs/>
          <w:color w:val="auto"/>
          <w:sz w:val="24"/>
        </w:rPr>
        <w:t>二、活动方案</w:t>
      </w:r>
    </w:p>
    <w:p>
      <w:pPr>
        <w:spacing w:line="360" w:lineRule="auto"/>
        <w:ind w:firstLine="480" w:firstLineChars="200"/>
        <w:rPr>
          <w:rFonts w:ascii="宋体" w:hAnsi="宋体" w:cs="宋体"/>
          <w:color w:val="auto"/>
          <w:sz w:val="24"/>
        </w:rPr>
      </w:pPr>
      <w:r>
        <w:rPr>
          <w:rFonts w:hint="eastAsia" w:ascii="宋体" w:hAnsi="宋体" w:cs="宋体"/>
          <w:color w:val="auto"/>
          <w:sz w:val="24"/>
        </w:rPr>
        <w:t>根据项目需求策划活动总体方案，包括不同于其他街头演出的具有一定创新性的和强互动性的街头音乐活动形式方案、根据活动形式定制的街头艺术家征集方案、合理有效的宣传方案等；</w:t>
      </w:r>
    </w:p>
    <w:p>
      <w:pPr>
        <w:spacing w:line="360" w:lineRule="auto"/>
        <w:rPr>
          <w:rFonts w:ascii="宋体" w:hAnsi="宋体" w:cs="宋体"/>
          <w:b/>
          <w:bCs/>
          <w:color w:val="auto"/>
          <w:sz w:val="24"/>
        </w:rPr>
      </w:pPr>
      <w:r>
        <w:rPr>
          <w:rFonts w:hint="eastAsia" w:ascii="宋体" w:hAnsi="宋体" w:cs="宋体"/>
          <w:b/>
          <w:bCs/>
          <w:color w:val="auto"/>
          <w:sz w:val="24"/>
        </w:rPr>
        <w:t>三、项目要求</w:t>
      </w:r>
    </w:p>
    <w:p>
      <w:pPr>
        <w:spacing w:line="360" w:lineRule="auto"/>
        <w:ind w:firstLine="480" w:firstLineChars="200"/>
        <w:rPr>
          <w:rFonts w:ascii="宋体" w:hAnsi="宋体" w:cs="宋体"/>
          <w:color w:val="auto"/>
          <w:sz w:val="24"/>
        </w:rPr>
      </w:pPr>
      <w:r>
        <w:rPr>
          <w:rFonts w:hint="eastAsia" w:ascii="宋体" w:hAnsi="宋体" w:cs="宋体"/>
          <w:color w:val="auto"/>
          <w:sz w:val="24"/>
        </w:rPr>
        <w:t>（一）建立街头艺术家选拔及认证体系、演艺体系等，严格把关规范街头演艺内容，呈现高质量高水准的街头表演。具体规划包括建立街头艺术家选拔及认证体系、建立街头艺术家库、建立萧山街头艺术家宣传平台等。</w:t>
      </w:r>
    </w:p>
    <w:p>
      <w:pPr>
        <w:spacing w:line="360" w:lineRule="auto"/>
        <w:ind w:firstLine="480" w:firstLineChars="200"/>
        <w:rPr>
          <w:rFonts w:ascii="宋体" w:hAnsi="宋体" w:cs="宋体"/>
          <w:color w:val="auto"/>
          <w:sz w:val="24"/>
        </w:rPr>
      </w:pPr>
      <w:r>
        <w:rPr>
          <w:rFonts w:hint="eastAsia" w:ascii="宋体" w:hAnsi="宋体" w:cs="宋体"/>
          <w:color w:val="auto"/>
          <w:sz w:val="24"/>
        </w:rPr>
        <w:t>（二）要求设计制作每个点位搭建相关物料，制作海报，易拉宝，工作证等相关物料，日常协调安排街头艺术家定时演出，对各个点位进行日常的管理，对点位相关音响设备，物料等进行定期维护。音响等设备由点位相关方提供。招标方将负责协调和确定以下6个点位：（根据实际情况可能调整点位）</w:t>
      </w:r>
    </w:p>
    <w:p>
      <w:pPr>
        <w:spacing w:line="360" w:lineRule="auto"/>
        <w:ind w:firstLine="480" w:firstLineChars="200"/>
        <w:rPr>
          <w:rFonts w:ascii="宋体" w:hAnsi="宋体" w:cs="宋体"/>
          <w:color w:val="auto"/>
          <w:sz w:val="24"/>
        </w:rPr>
      </w:pPr>
      <w:r>
        <w:rPr>
          <w:rFonts w:hint="eastAsia" w:ascii="宋体" w:hAnsi="宋体" w:cs="宋体"/>
          <w:color w:val="auto"/>
          <w:sz w:val="24"/>
        </w:rPr>
        <w:t>1.钱江世纪公园中央大草坪；</w:t>
      </w:r>
    </w:p>
    <w:p>
      <w:pPr>
        <w:spacing w:line="360" w:lineRule="auto"/>
        <w:ind w:firstLine="480" w:firstLineChars="200"/>
        <w:rPr>
          <w:rFonts w:ascii="宋体" w:hAnsi="宋体" w:cs="宋体"/>
          <w:color w:val="auto"/>
          <w:sz w:val="24"/>
        </w:rPr>
      </w:pPr>
      <w:r>
        <w:rPr>
          <w:rFonts w:hint="eastAsia" w:ascii="宋体" w:hAnsi="宋体" w:cs="宋体"/>
          <w:color w:val="auto"/>
          <w:sz w:val="24"/>
        </w:rPr>
        <w:t>2.湘湖雅韵公园中心广场；</w:t>
      </w:r>
    </w:p>
    <w:p>
      <w:pPr>
        <w:spacing w:line="360" w:lineRule="auto"/>
        <w:ind w:firstLine="480" w:firstLineChars="200"/>
        <w:rPr>
          <w:rFonts w:ascii="宋体" w:hAnsi="宋体" w:cs="宋体"/>
          <w:color w:val="auto"/>
          <w:sz w:val="24"/>
        </w:rPr>
      </w:pPr>
      <w:r>
        <w:rPr>
          <w:rFonts w:hint="eastAsia" w:ascii="宋体" w:hAnsi="宋体" w:cs="宋体"/>
          <w:color w:val="auto"/>
          <w:sz w:val="24"/>
        </w:rPr>
        <w:t>3.萧山宝龙广场1号门外广场；</w:t>
      </w:r>
    </w:p>
    <w:p>
      <w:pPr>
        <w:spacing w:line="360" w:lineRule="auto"/>
        <w:ind w:firstLine="480" w:firstLineChars="200"/>
        <w:rPr>
          <w:rFonts w:ascii="宋体" w:hAnsi="宋体" w:cs="宋体"/>
          <w:color w:val="auto"/>
          <w:sz w:val="24"/>
        </w:rPr>
      </w:pPr>
      <w:r>
        <w:rPr>
          <w:rFonts w:hint="eastAsia" w:ascii="宋体" w:hAnsi="宋体" w:cs="宋体"/>
          <w:color w:val="auto"/>
          <w:sz w:val="24"/>
        </w:rPr>
        <w:t>4.萧山万象汇潮音广场；</w:t>
      </w:r>
    </w:p>
    <w:p>
      <w:pPr>
        <w:spacing w:line="360" w:lineRule="auto"/>
        <w:ind w:firstLine="480" w:firstLineChars="200"/>
        <w:rPr>
          <w:rFonts w:ascii="宋体" w:hAnsi="宋体" w:cs="宋体"/>
          <w:color w:val="auto"/>
          <w:sz w:val="24"/>
        </w:rPr>
      </w:pPr>
      <w:r>
        <w:rPr>
          <w:rFonts w:hint="eastAsia" w:ascii="宋体" w:hAnsi="宋体" w:cs="宋体"/>
          <w:color w:val="auto"/>
          <w:sz w:val="24"/>
        </w:rPr>
        <w:t>5.北塘河步行道；</w:t>
      </w:r>
    </w:p>
    <w:p>
      <w:pPr>
        <w:spacing w:line="360" w:lineRule="auto"/>
        <w:ind w:firstLine="480" w:firstLineChars="200"/>
        <w:rPr>
          <w:rFonts w:ascii="宋体" w:hAnsi="宋体" w:cs="宋体"/>
          <w:color w:val="auto"/>
          <w:sz w:val="24"/>
        </w:rPr>
      </w:pPr>
      <w:r>
        <w:rPr>
          <w:rFonts w:hint="eastAsia" w:ascii="宋体" w:hAnsi="宋体" w:cs="宋体"/>
          <w:color w:val="auto"/>
          <w:sz w:val="24"/>
        </w:rPr>
        <w:t>6.杭州南站西广场；</w:t>
      </w:r>
    </w:p>
    <w:p>
      <w:pPr>
        <w:spacing w:line="360" w:lineRule="auto"/>
        <w:rPr>
          <w:rFonts w:ascii="宋体" w:hAnsi="宋体" w:cs="宋体"/>
          <w:b/>
          <w:bCs/>
          <w:color w:val="auto"/>
          <w:sz w:val="24"/>
        </w:rPr>
      </w:pPr>
      <w:r>
        <w:rPr>
          <w:rFonts w:hint="eastAsia" w:ascii="宋体" w:hAnsi="宋体" w:cs="宋体"/>
          <w:b/>
          <w:bCs/>
          <w:color w:val="auto"/>
          <w:sz w:val="24"/>
        </w:rPr>
        <w:t>2、商务需求</w:t>
      </w:r>
    </w:p>
    <w:p>
      <w:pPr>
        <w:spacing w:line="360" w:lineRule="auto"/>
        <w:ind w:firstLine="480" w:firstLineChars="200"/>
        <w:rPr>
          <w:rFonts w:ascii="宋体" w:hAnsi="宋体" w:cs="宋体"/>
          <w:color w:val="auto"/>
          <w:sz w:val="24"/>
        </w:rPr>
      </w:pPr>
      <w:r>
        <w:rPr>
          <w:rFonts w:hint="eastAsia" w:ascii="宋体" w:hAnsi="宋体" w:cs="宋体"/>
          <w:color w:val="auto"/>
          <w:sz w:val="24"/>
        </w:rPr>
        <w:t>付款方式：合同签订后支付合同价的60%作为预付款，项目完成且无质量服务问题后，支付剩余款项。</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注：公开竞争文件中打▲内容为实质性要求，不允许有负偏离，否则将以涉及无效响应条款作无效响应。</w:t>
      </w:r>
    </w:p>
    <w:p>
      <w:pPr>
        <w:rPr>
          <w:rFonts w:ascii="宋体" w:hAnsi="宋体" w:cs="宋体"/>
          <w:b/>
          <w:color w:val="auto"/>
          <w:sz w:val="36"/>
          <w:szCs w:val="36"/>
        </w:rPr>
      </w:pPr>
      <w:r>
        <w:rPr>
          <w:rFonts w:hint="eastAsia" w:ascii="宋体" w:hAnsi="宋体" w:cs="宋体"/>
          <w:b/>
          <w:color w:val="auto"/>
          <w:sz w:val="36"/>
          <w:szCs w:val="36"/>
        </w:rPr>
        <w:br w:type="page"/>
      </w:r>
    </w:p>
    <w:p>
      <w:pPr>
        <w:ind w:firstLine="2530" w:firstLineChars="700"/>
        <w:jc w:val="left"/>
        <w:rPr>
          <w:rFonts w:ascii="宋体" w:hAnsi="宋体" w:cs="宋体"/>
          <w:b/>
          <w:color w:val="auto"/>
          <w:sz w:val="36"/>
          <w:szCs w:val="36"/>
        </w:rPr>
      </w:pPr>
      <w:r>
        <w:rPr>
          <w:rFonts w:hint="eastAsia" w:ascii="宋体" w:hAnsi="宋体" w:cs="宋体"/>
          <w:b/>
          <w:color w:val="auto"/>
          <w:sz w:val="36"/>
          <w:szCs w:val="36"/>
        </w:rPr>
        <w:t xml:space="preserve">第四部分   </w:t>
      </w:r>
      <w:bookmarkStart w:id="14" w:name="_Toc184308067"/>
      <w:bookmarkEnd w:id="14"/>
      <w:bookmarkStart w:id="15" w:name="_Toc184314411"/>
      <w:bookmarkEnd w:id="15"/>
      <w:bookmarkStart w:id="16" w:name="_Toc184310311"/>
      <w:bookmarkEnd w:id="16"/>
      <w:bookmarkStart w:id="17" w:name="_Toc184312112"/>
      <w:bookmarkEnd w:id="17"/>
      <w:bookmarkStart w:id="18" w:name="_Toc184313254"/>
      <w:bookmarkEnd w:id="18"/>
      <w:bookmarkStart w:id="19" w:name="_Toc184310276"/>
      <w:bookmarkEnd w:id="19"/>
      <w:bookmarkStart w:id="20" w:name="_Toc184313257"/>
      <w:bookmarkEnd w:id="20"/>
      <w:bookmarkStart w:id="21" w:name="_Toc184314429"/>
      <w:bookmarkEnd w:id="21"/>
      <w:bookmarkStart w:id="22" w:name="_Toc184314445"/>
      <w:bookmarkEnd w:id="22"/>
      <w:bookmarkStart w:id="23" w:name="_Toc184312100"/>
      <w:bookmarkEnd w:id="23"/>
      <w:bookmarkStart w:id="24" w:name="_Toc184310296"/>
      <w:bookmarkEnd w:id="24"/>
      <w:bookmarkStart w:id="25" w:name="_Toc184313262"/>
      <w:bookmarkEnd w:id="25"/>
      <w:bookmarkStart w:id="26" w:name="_Toc184313242"/>
      <w:bookmarkEnd w:id="26"/>
      <w:bookmarkStart w:id="27" w:name="_Toc184308090"/>
      <w:bookmarkEnd w:id="27"/>
      <w:bookmarkStart w:id="28" w:name="_Toc184312084"/>
      <w:bookmarkEnd w:id="28"/>
      <w:bookmarkStart w:id="29" w:name="_Toc184310297"/>
      <w:bookmarkEnd w:id="29"/>
      <w:bookmarkStart w:id="30" w:name="_Toc184312091"/>
      <w:bookmarkEnd w:id="30"/>
      <w:bookmarkStart w:id="31" w:name="_Toc184313266"/>
      <w:bookmarkEnd w:id="31"/>
      <w:bookmarkStart w:id="32" w:name="_Toc184310303"/>
      <w:bookmarkEnd w:id="32"/>
      <w:bookmarkStart w:id="33" w:name="_Toc184310329"/>
      <w:bookmarkEnd w:id="33"/>
      <w:bookmarkStart w:id="34" w:name="_Toc184308050"/>
      <w:bookmarkEnd w:id="34"/>
      <w:bookmarkStart w:id="35" w:name="_Toc184308057"/>
      <w:bookmarkEnd w:id="35"/>
      <w:bookmarkStart w:id="36" w:name="_Toc184310298"/>
      <w:bookmarkEnd w:id="36"/>
      <w:bookmarkStart w:id="37" w:name="_Toc184312082"/>
      <w:bookmarkEnd w:id="37"/>
      <w:bookmarkStart w:id="38" w:name="_Toc184313302"/>
      <w:bookmarkEnd w:id="38"/>
      <w:bookmarkStart w:id="39" w:name="_Toc184313268"/>
      <w:bookmarkEnd w:id="39"/>
      <w:bookmarkStart w:id="40" w:name="_Toc184308082"/>
      <w:bookmarkEnd w:id="40"/>
      <w:bookmarkStart w:id="41" w:name="_Toc184314433"/>
      <w:bookmarkEnd w:id="41"/>
      <w:bookmarkStart w:id="42" w:name="_Toc184314426"/>
      <w:bookmarkEnd w:id="42"/>
      <w:bookmarkStart w:id="43" w:name="_Toc184314457"/>
      <w:bookmarkEnd w:id="43"/>
      <w:bookmarkStart w:id="44" w:name="_Toc184313252"/>
      <w:bookmarkEnd w:id="44"/>
      <w:bookmarkStart w:id="45" w:name="_Toc184308108"/>
      <w:bookmarkEnd w:id="45"/>
      <w:bookmarkStart w:id="46" w:name="_Toc184308068"/>
      <w:bookmarkEnd w:id="46"/>
      <w:bookmarkStart w:id="47" w:name="_Toc184308065"/>
      <w:bookmarkEnd w:id="47"/>
      <w:bookmarkStart w:id="48" w:name="_Toc184314471"/>
      <w:bookmarkEnd w:id="48"/>
      <w:bookmarkStart w:id="49" w:name="_Toc184314414"/>
      <w:bookmarkEnd w:id="49"/>
      <w:bookmarkStart w:id="50" w:name="_Toc184313282"/>
      <w:bookmarkEnd w:id="50"/>
      <w:bookmarkStart w:id="51" w:name="_Toc184310307"/>
      <w:bookmarkEnd w:id="51"/>
      <w:bookmarkStart w:id="52" w:name="_Toc184314441"/>
      <w:bookmarkEnd w:id="52"/>
      <w:bookmarkStart w:id="53" w:name="_Toc184308075"/>
      <w:bookmarkEnd w:id="53"/>
      <w:bookmarkStart w:id="54" w:name="_Toc184310323"/>
      <w:bookmarkEnd w:id="54"/>
      <w:bookmarkStart w:id="55" w:name="_Toc184312099"/>
      <w:bookmarkEnd w:id="55"/>
      <w:bookmarkStart w:id="56" w:name="_Toc184313299"/>
      <w:bookmarkEnd w:id="56"/>
      <w:bookmarkStart w:id="57" w:name="_Toc184312118"/>
      <w:bookmarkEnd w:id="57"/>
      <w:bookmarkStart w:id="58" w:name="_Toc184312086"/>
      <w:bookmarkEnd w:id="58"/>
      <w:bookmarkStart w:id="59" w:name="_Toc184313263"/>
      <w:bookmarkEnd w:id="59"/>
      <w:bookmarkStart w:id="60" w:name="_Toc184310328"/>
      <w:bookmarkEnd w:id="60"/>
      <w:bookmarkStart w:id="61" w:name="_Toc184308101"/>
      <w:bookmarkEnd w:id="61"/>
      <w:bookmarkStart w:id="62" w:name="_Toc184313269"/>
      <w:bookmarkEnd w:id="62"/>
      <w:bookmarkStart w:id="63" w:name="_Toc184314454"/>
      <w:bookmarkEnd w:id="63"/>
      <w:bookmarkStart w:id="64" w:name="_Toc184308062"/>
      <w:bookmarkEnd w:id="64"/>
      <w:bookmarkStart w:id="65" w:name="_Toc184314476"/>
      <w:bookmarkEnd w:id="65"/>
      <w:bookmarkStart w:id="66" w:name="_Toc184313249"/>
      <w:bookmarkEnd w:id="66"/>
      <w:bookmarkStart w:id="67" w:name="_Toc184314463"/>
      <w:bookmarkEnd w:id="67"/>
      <w:bookmarkStart w:id="68" w:name="_Toc184312079"/>
      <w:bookmarkEnd w:id="68"/>
      <w:bookmarkStart w:id="69" w:name="_Toc184313291"/>
      <w:bookmarkEnd w:id="69"/>
      <w:bookmarkStart w:id="70" w:name="_Toc184312111"/>
      <w:bookmarkEnd w:id="70"/>
      <w:bookmarkStart w:id="71" w:name="_Toc184314479"/>
      <w:bookmarkEnd w:id="71"/>
      <w:bookmarkStart w:id="72" w:name="_Toc184314450"/>
      <w:bookmarkEnd w:id="72"/>
      <w:bookmarkStart w:id="73" w:name="_Toc184308093"/>
      <w:bookmarkEnd w:id="73"/>
      <w:bookmarkStart w:id="74" w:name="_Toc184312103"/>
      <w:bookmarkEnd w:id="74"/>
      <w:bookmarkStart w:id="75" w:name="_Toc184312101"/>
      <w:bookmarkEnd w:id="75"/>
      <w:bookmarkStart w:id="76" w:name="_Toc184314456"/>
      <w:bookmarkEnd w:id="76"/>
      <w:bookmarkStart w:id="77" w:name="_Toc184310344"/>
      <w:bookmarkEnd w:id="77"/>
      <w:bookmarkStart w:id="78" w:name="_Toc184314434"/>
      <w:bookmarkEnd w:id="78"/>
      <w:bookmarkStart w:id="79" w:name="_Toc184312110"/>
      <w:bookmarkEnd w:id="79"/>
      <w:bookmarkStart w:id="80" w:name="_Toc184313275"/>
      <w:bookmarkEnd w:id="80"/>
      <w:bookmarkStart w:id="81" w:name="_Toc184314415"/>
      <w:bookmarkEnd w:id="81"/>
      <w:bookmarkStart w:id="82" w:name="_Toc184310282"/>
      <w:bookmarkEnd w:id="82"/>
      <w:bookmarkStart w:id="83" w:name="_Toc184313309"/>
      <w:bookmarkEnd w:id="83"/>
      <w:bookmarkStart w:id="84" w:name="_Toc184312085"/>
      <w:bookmarkEnd w:id="84"/>
      <w:bookmarkStart w:id="85" w:name="_Toc184310286"/>
      <w:bookmarkEnd w:id="85"/>
      <w:bookmarkStart w:id="86" w:name="_Toc184308080"/>
      <w:bookmarkEnd w:id="86"/>
      <w:bookmarkStart w:id="87" w:name="_Toc184313310"/>
      <w:bookmarkEnd w:id="87"/>
      <w:bookmarkStart w:id="88" w:name="_Toc184310305"/>
      <w:bookmarkEnd w:id="88"/>
      <w:bookmarkStart w:id="89" w:name="_Toc184313279"/>
      <w:bookmarkEnd w:id="89"/>
      <w:bookmarkStart w:id="90" w:name="_Toc184314448"/>
      <w:bookmarkEnd w:id="90"/>
      <w:bookmarkStart w:id="91" w:name="_Toc184313255"/>
      <w:bookmarkEnd w:id="91"/>
      <w:bookmarkStart w:id="92" w:name="_Toc184313253"/>
      <w:bookmarkEnd w:id="92"/>
      <w:bookmarkStart w:id="93" w:name="_Toc184312114"/>
      <w:bookmarkEnd w:id="93"/>
      <w:bookmarkStart w:id="94" w:name="_Toc184313293"/>
      <w:bookmarkEnd w:id="94"/>
      <w:bookmarkStart w:id="95" w:name="_Toc184308099"/>
      <w:bookmarkEnd w:id="95"/>
      <w:bookmarkStart w:id="96" w:name="_Toc184310295"/>
      <w:bookmarkEnd w:id="96"/>
      <w:bookmarkStart w:id="97" w:name="_Toc184308079"/>
      <w:bookmarkEnd w:id="97"/>
      <w:bookmarkStart w:id="98" w:name="_Toc184308086"/>
      <w:bookmarkEnd w:id="98"/>
      <w:bookmarkStart w:id="99" w:name="_Toc184308107"/>
      <w:bookmarkEnd w:id="99"/>
      <w:bookmarkStart w:id="100" w:name="_Toc184312089"/>
      <w:bookmarkEnd w:id="100"/>
      <w:bookmarkStart w:id="101" w:name="_Toc184313289"/>
      <w:bookmarkEnd w:id="101"/>
      <w:bookmarkStart w:id="102" w:name="_Toc184312072"/>
      <w:bookmarkEnd w:id="102"/>
      <w:bookmarkStart w:id="103" w:name="_Toc184314461"/>
      <w:bookmarkEnd w:id="103"/>
      <w:bookmarkStart w:id="104" w:name="_Toc184308066"/>
      <w:bookmarkEnd w:id="104"/>
      <w:bookmarkStart w:id="105" w:name="_Toc184312135"/>
      <w:bookmarkEnd w:id="105"/>
      <w:bookmarkStart w:id="106" w:name="_Toc184313303"/>
      <w:bookmarkEnd w:id="106"/>
      <w:bookmarkStart w:id="107" w:name="_Toc184310275"/>
      <w:bookmarkEnd w:id="107"/>
      <w:bookmarkStart w:id="108" w:name="_Toc184308097"/>
      <w:bookmarkEnd w:id="108"/>
      <w:bookmarkStart w:id="109" w:name="_Toc184310342"/>
      <w:bookmarkEnd w:id="109"/>
      <w:bookmarkStart w:id="110" w:name="_Toc184308087"/>
      <w:bookmarkEnd w:id="110"/>
      <w:bookmarkStart w:id="111" w:name="_Toc184313258"/>
      <w:bookmarkEnd w:id="111"/>
      <w:bookmarkStart w:id="112" w:name="_Toc184308039"/>
      <w:bookmarkEnd w:id="112"/>
      <w:bookmarkStart w:id="113" w:name="_Toc184312126"/>
      <w:bookmarkEnd w:id="113"/>
      <w:bookmarkStart w:id="114" w:name="_Toc184310327"/>
      <w:bookmarkEnd w:id="114"/>
      <w:bookmarkStart w:id="115" w:name="_Toc184314427"/>
      <w:bookmarkEnd w:id="115"/>
      <w:bookmarkStart w:id="116" w:name="_Toc184310285"/>
      <w:bookmarkEnd w:id="116"/>
      <w:bookmarkStart w:id="117" w:name="_Toc184313296"/>
      <w:bookmarkEnd w:id="117"/>
      <w:bookmarkStart w:id="118" w:name="_Toc184314467"/>
      <w:bookmarkEnd w:id="118"/>
      <w:bookmarkStart w:id="119" w:name="_Toc184313290"/>
      <w:bookmarkEnd w:id="119"/>
      <w:bookmarkStart w:id="120" w:name="_Toc184308037"/>
      <w:bookmarkEnd w:id="120"/>
      <w:bookmarkStart w:id="121" w:name="_Toc184308046"/>
      <w:bookmarkEnd w:id="121"/>
      <w:bookmarkStart w:id="122" w:name="_Toc184314462"/>
      <w:bookmarkEnd w:id="122"/>
      <w:bookmarkStart w:id="123" w:name="_Toc184310290"/>
      <w:bookmarkEnd w:id="123"/>
      <w:bookmarkStart w:id="124" w:name="_Toc184312121"/>
      <w:bookmarkEnd w:id="124"/>
      <w:bookmarkStart w:id="125" w:name="_Toc184308073"/>
      <w:bookmarkEnd w:id="125"/>
      <w:bookmarkStart w:id="126" w:name="_Toc184314422"/>
      <w:bookmarkEnd w:id="126"/>
      <w:bookmarkStart w:id="127" w:name="_Toc184310326"/>
      <w:bookmarkEnd w:id="127"/>
      <w:bookmarkStart w:id="128" w:name="_Toc184314432"/>
      <w:bookmarkEnd w:id="128"/>
      <w:bookmarkStart w:id="129" w:name="_Toc184312088"/>
      <w:bookmarkEnd w:id="129"/>
      <w:bookmarkStart w:id="130" w:name="_Toc184308059"/>
      <w:bookmarkEnd w:id="130"/>
      <w:bookmarkStart w:id="131" w:name="_Toc184310319"/>
      <w:bookmarkEnd w:id="131"/>
      <w:bookmarkStart w:id="132" w:name="_Toc184313286"/>
      <w:bookmarkEnd w:id="132"/>
      <w:bookmarkStart w:id="133" w:name="_Toc184310343"/>
      <w:bookmarkEnd w:id="133"/>
      <w:bookmarkStart w:id="134" w:name="_Toc184312104"/>
      <w:bookmarkEnd w:id="134"/>
      <w:bookmarkStart w:id="135" w:name="_Toc184313264"/>
      <w:bookmarkEnd w:id="135"/>
      <w:bookmarkStart w:id="136" w:name="_Toc184314412"/>
      <w:bookmarkEnd w:id="136"/>
      <w:bookmarkStart w:id="137" w:name="_Toc184313292"/>
      <w:bookmarkEnd w:id="137"/>
      <w:bookmarkStart w:id="138" w:name="_Toc184308069"/>
      <w:bookmarkEnd w:id="138"/>
      <w:bookmarkStart w:id="139" w:name="_Toc184310273"/>
      <w:bookmarkEnd w:id="139"/>
      <w:bookmarkStart w:id="140" w:name="_Toc184310304"/>
      <w:bookmarkEnd w:id="140"/>
      <w:bookmarkStart w:id="141" w:name="_Toc184313260"/>
      <w:bookmarkEnd w:id="141"/>
      <w:bookmarkStart w:id="142" w:name="_Toc184312137"/>
      <w:bookmarkEnd w:id="142"/>
      <w:bookmarkStart w:id="143" w:name="_Toc184308071"/>
      <w:bookmarkEnd w:id="143"/>
      <w:bookmarkStart w:id="144" w:name="_Toc184308049"/>
      <w:bookmarkEnd w:id="144"/>
      <w:bookmarkStart w:id="145" w:name="_Toc184314469"/>
      <w:bookmarkEnd w:id="145"/>
      <w:bookmarkStart w:id="146" w:name="_Toc184308043"/>
      <w:bookmarkEnd w:id="146"/>
      <w:bookmarkStart w:id="147" w:name="_Toc184314477"/>
      <w:bookmarkEnd w:id="147"/>
      <w:bookmarkStart w:id="148" w:name="_Toc184314478"/>
      <w:bookmarkEnd w:id="148"/>
      <w:bookmarkStart w:id="149" w:name="_Toc184313250"/>
      <w:bookmarkEnd w:id="149"/>
      <w:bookmarkStart w:id="150" w:name="_Toc184310316"/>
      <w:bookmarkEnd w:id="150"/>
      <w:bookmarkStart w:id="151" w:name="_Toc184310322"/>
      <w:bookmarkEnd w:id="151"/>
      <w:bookmarkStart w:id="152" w:name="_Toc184310277"/>
      <w:bookmarkEnd w:id="152"/>
      <w:bookmarkStart w:id="153" w:name="_Toc184310330"/>
      <w:bookmarkEnd w:id="153"/>
      <w:bookmarkStart w:id="154" w:name="_Toc184310306"/>
      <w:bookmarkEnd w:id="154"/>
      <w:bookmarkStart w:id="155" w:name="_Toc184308044"/>
      <w:bookmarkEnd w:id="155"/>
      <w:bookmarkStart w:id="156" w:name="_Toc184313304"/>
      <w:bookmarkEnd w:id="156"/>
      <w:bookmarkStart w:id="157" w:name="_Toc184312102"/>
      <w:bookmarkEnd w:id="157"/>
      <w:bookmarkStart w:id="158" w:name="_Toc184310272"/>
      <w:bookmarkEnd w:id="158"/>
      <w:bookmarkStart w:id="159" w:name="_Toc184313241"/>
      <w:bookmarkEnd w:id="159"/>
      <w:bookmarkStart w:id="160" w:name="_Toc184308105"/>
      <w:bookmarkEnd w:id="160"/>
      <w:bookmarkStart w:id="161" w:name="_Toc184314465"/>
      <w:bookmarkEnd w:id="161"/>
      <w:bookmarkStart w:id="162" w:name="_Toc184312094"/>
      <w:bookmarkEnd w:id="162"/>
      <w:bookmarkStart w:id="163" w:name="_Toc184308074"/>
      <w:bookmarkEnd w:id="163"/>
      <w:bookmarkStart w:id="164" w:name="_Toc184312123"/>
      <w:bookmarkEnd w:id="164"/>
      <w:bookmarkStart w:id="165" w:name="_Toc184313239"/>
      <w:bookmarkEnd w:id="165"/>
      <w:bookmarkStart w:id="166" w:name="_Toc184312071"/>
      <w:bookmarkEnd w:id="166"/>
      <w:bookmarkStart w:id="167" w:name="_Toc184308058"/>
      <w:bookmarkEnd w:id="167"/>
      <w:bookmarkStart w:id="168" w:name="_Toc184308103"/>
      <w:bookmarkEnd w:id="168"/>
      <w:bookmarkStart w:id="169" w:name="_Toc184308096"/>
      <w:bookmarkEnd w:id="169"/>
      <w:bookmarkStart w:id="170" w:name="_Toc184314444"/>
      <w:bookmarkEnd w:id="170"/>
      <w:bookmarkStart w:id="171" w:name="_Toc184312077"/>
      <w:bookmarkEnd w:id="171"/>
      <w:bookmarkStart w:id="172" w:name="_Toc184313251"/>
      <w:bookmarkEnd w:id="172"/>
      <w:bookmarkStart w:id="173" w:name="_Toc184310321"/>
      <w:bookmarkEnd w:id="173"/>
      <w:bookmarkStart w:id="174" w:name="_Toc184314472"/>
      <w:bookmarkEnd w:id="174"/>
      <w:bookmarkStart w:id="175" w:name="_Toc184310338"/>
      <w:bookmarkEnd w:id="175"/>
      <w:bookmarkStart w:id="176" w:name="_Toc184314410"/>
      <w:bookmarkEnd w:id="176"/>
      <w:bookmarkStart w:id="177" w:name="_Toc184310341"/>
      <w:bookmarkEnd w:id="177"/>
      <w:bookmarkStart w:id="178" w:name="_Toc184308076"/>
      <w:bookmarkEnd w:id="178"/>
      <w:bookmarkStart w:id="179" w:name="_Toc184308094"/>
      <w:bookmarkEnd w:id="179"/>
      <w:bookmarkStart w:id="180" w:name="_Toc184310315"/>
      <w:bookmarkEnd w:id="180"/>
      <w:bookmarkStart w:id="181" w:name="_Toc184310318"/>
      <w:bookmarkEnd w:id="181"/>
      <w:bookmarkStart w:id="182" w:name="_Toc184308047"/>
      <w:bookmarkEnd w:id="182"/>
      <w:bookmarkStart w:id="183" w:name="_Toc184314453"/>
      <w:bookmarkEnd w:id="183"/>
      <w:bookmarkStart w:id="184" w:name="_Toc184314438"/>
      <w:bookmarkEnd w:id="184"/>
      <w:bookmarkStart w:id="185" w:name="_Toc184312073"/>
      <w:bookmarkEnd w:id="185"/>
      <w:bookmarkStart w:id="186" w:name="_Toc184312095"/>
      <w:bookmarkEnd w:id="186"/>
      <w:bookmarkStart w:id="187" w:name="_Toc184313305"/>
      <w:bookmarkEnd w:id="187"/>
      <w:bookmarkStart w:id="188" w:name="_Toc184313265"/>
      <w:bookmarkEnd w:id="188"/>
      <w:bookmarkStart w:id="189" w:name="_Toc184310340"/>
      <w:bookmarkEnd w:id="189"/>
      <w:bookmarkStart w:id="190" w:name="_Toc184314430"/>
      <w:bookmarkEnd w:id="190"/>
      <w:bookmarkStart w:id="191" w:name="_Toc184312090"/>
      <w:bookmarkEnd w:id="191"/>
      <w:bookmarkStart w:id="192" w:name="_Toc184313240"/>
      <w:bookmarkEnd w:id="192"/>
      <w:bookmarkStart w:id="193" w:name="_Toc184314424"/>
      <w:bookmarkEnd w:id="193"/>
      <w:bookmarkStart w:id="194" w:name="_Toc184308084"/>
      <w:bookmarkEnd w:id="194"/>
      <w:bookmarkStart w:id="195" w:name="_Toc184308064"/>
      <w:bookmarkEnd w:id="195"/>
      <w:bookmarkStart w:id="196" w:name="_Toc184308098"/>
      <w:bookmarkEnd w:id="196"/>
      <w:bookmarkStart w:id="197" w:name="_Toc184310332"/>
      <w:bookmarkEnd w:id="197"/>
      <w:bookmarkStart w:id="198" w:name="_Toc184312131"/>
      <w:bookmarkEnd w:id="198"/>
      <w:bookmarkStart w:id="199" w:name="_Toc184314437"/>
      <w:bookmarkEnd w:id="199"/>
      <w:bookmarkStart w:id="200" w:name="_Toc184308077"/>
      <w:bookmarkEnd w:id="200"/>
      <w:bookmarkStart w:id="201" w:name="_Toc184310289"/>
      <w:bookmarkEnd w:id="201"/>
      <w:bookmarkStart w:id="202" w:name="_Toc184314458"/>
      <w:bookmarkEnd w:id="202"/>
      <w:bookmarkStart w:id="203" w:name="_Toc184310287"/>
      <w:bookmarkEnd w:id="203"/>
      <w:bookmarkStart w:id="204" w:name="_Toc184313247"/>
      <w:bookmarkEnd w:id="204"/>
      <w:bookmarkStart w:id="205" w:name="_Toc184312116"/>
      <w:bookmarkEnd w:id="205"/>
      <w:bookmarkStart w:id="206" w:name="_Toc184314446"/>
      <w:bookmarkEnd w:id="206"/>
      <w:bookmarkStart w:id="207" w:name="_Toc184313245"/>
      <w:bookmarkEnd w:id="207"/>
      <w:bookmarkStart w:id="208" w:name="_Toc184313281"/>
      <w:bookmarkEnd w:id="208"/>
      <w:bookmarkStart w:id="209" w:name="_Toc184312133"/>
      <w:bookmarkEnd w:id="209"/>
      <w:bookmarkStart w:id="210" w:name="_Toc184310339"/>
      <w:bookmarkEnd w:id="210"/>
      <w:bookmarkStart w:id="211" w:name="_Toc184312120"/>
      <w:bookmarkEnd w:id="211"/>
      <w:bookmarkStart w:id="212" w:name="_Toc184313288"/>
      <w:bookmarkEnd w:id="212"/>
      <w:bookmarkStart w:id="213" w:name="_Toc184313298"/>
      <w:bookmarkEnd w:id="213"/>
      <w:bookmarkStart w:id="214" w:name="_Toc184308102"/>
      <w:bookmarkEnd w:id="214"/>
      <w:bookmarkStart w:id="215" w:name="_Toc184310293"/>
      <w:bookmarkEnd w:id="215"/>
      <w:bookmarkStart w:id="216" w:name="_Toc184308053"/>
      <w:bookmarkEnd w:id="216"/>
      <w:bookmarkStart w:id="217" w:name="_Toc184314413"/>
      <w:bookmarkEnd w:id="217"/>
      <w:bookmarkStart w:id="218" w:name="_Toc184312092"/>
      <w:bookmarkEnd w:id="218"/>
      <w:bookmarkStart w:id="219" w:name="_Toc184314416"/>
      <w:bookmarkEnd w:id="219"/>
      <w:bookmarkStart w:id="220" w:name="_Toc184310331"/>
      <w:bookmarkEnd w:id="220"/>
      <w:bookmarkStart w:id="221" w:name="_Toc184310336"/>
      <w:bookmarkEnd w:id="221"/>
      <w:bookmarkStart w:id="222" w:name="_Toc184314419"/>
      <w:bookmarkEnd w:id="222"/>
      <w:bookmarkStart w:id="223" w:name="_Toc184312107"/>
      <w:bookmarkEnd w:id="223"/>
      <w:bookmarkStart w:id="224" w:name="_Toc184308054"/>
      <w:bookmarkEnd w:id="224"/>
      <w:bookmarkStart w:id="225" w:name="_Toc184310317"/>
      <w:bookmarkEnd w:id="225"/>
      <w:bookmarkStart w:id="226" w:name="_Toc184314470"/>
      <w:bookmarkEnd w:id="226"/>
      <w:bookmarkStart w:id="227" w:name="_Toc184308048"/>
      <w:bookmarkEnd w:id="227"/>
      <w:bookmarkStart w:id="228" w:name="_Toc184314436"/>
      <w:bookmarkEnd w:id="228"/>
      <w:bookmarkStart w:id="229" w:name="_Toc184314421"/>
      <w:bookmarkEnd w:id="229"/>
      <w:bookmarkStart w:id="230" w:name="_Toc184308083"/>
      <w:bookmarkEnd w:id="230"/>
      <w:bookmarkStart w:id="231" w:name="_Toc184308089"/>
      <w:bookmarkEnd w:id="231"/>
      <w:bookmarkStart w:id="232" w:name="_Toc184314451"/>
      <w:bookmarkEnd w:id="232"/>
      <w:bookmarkStart w:id="233" w:name="_Toc184310299"/>
      <w:bookmarkEnd w:id="233"/>
      <w:bookmarkStart w:id="234" w:name="_Toc184314425"/>
      <w:bookmarkEnd w:id="234"/>
      <w:bookmarkStart w:id="235" w:name="_Toc184308081"/>
      <w:bookmarkEnd w:id="235"/>
      <w:bookmarkStart w:id="236" w:name="_Toc184312115"/>
      <w:bookmarkEnd w:id="236"/>
      <w:bookmarkStart w:id="237" w:name="_Toc184308052"/>
      <w:bookmarkEnd w:id="237"/>
      <w:bookmarkStart w:id="238" w:name="_Toc184314460"/>
      <w:bookmarkEnd w:id="238"/>
      <w:bookmarkStart w:id="239" w:name="_Toc184314480"/>
      <w:bookmarkEnd w:id="239"/>
      <w:bookmarkStart w:id="240" w:name="_Toc184312081"/>
      <w:bookmarkEnd w:id="240"/>
      <w:bookmarkStart w:id="241" w:name="_Toc184310333"/>
      <w:bookmarkEnd w:id="241"/>
      <w:bookmarkStart w:id="242" w:name="_Toc184313283"/>
      <w:bookmarkEnd w:id="242"/>
      <w:bookmarkStart w:id="243" w:name="_Toc184308055"/>
      <w:bookmarkEnd w:id="243"/>
      <w:bookmarkStart w:id="244" w:name="_Toc184314473"/>
      <w:bookmarkEnd w:id="244"/>
      <w:bookmarkStart w:id="245" w:name="_Toc184310280"/>
      <w:bookmarkEnd w:id="245"/>
      <w:bookmarkStart w:id="246" w:name="_Toc184314468"/>
      <w:bookmarkEnd w:id="246"/>
      <w:bookmarkStart w:id="247" w:name="_Toc184312074"/>
      <w:bookmarkEnd w:id="247"/>
      <w:bookmarkStart w:id="248" w:name="_Toc184313267"/>
      <w:bookmarkEnd w:id="248"/>
      <w:bookmarkStart w:id="249" w:name="_Toc184312132"/>
      <w:bookmarkEnd w:id="249"/>
      <w:bookmarkStart w:id="250" w:name="_Toc184313285"/>
      <w:bookmarkEnd w:id="250"/>
      <w:bookmarkStart w:id="251" w:name="_Toc184313287"/>
      <w:bookmarkEnd w:id="251"/>
      <w:bookmarkStart w:id="252" w:name="_Toc184313272"/>
      <w:bookmarkEnd w:id="252"/>
      <w:bookmarkStart w:id="253" w:name="_Toc184313246"/>
      <w:bookmarkEnd w:id="253"/>
      <w:bookmarkStart w:id="254" w:name="_Toc184313308"/>
      <w:bookmarkEnd w:id="254"/>
      <w:bookmarkStart w:id="255" w:name="_Toc184312124"/>
      <w:bookmarkEnd w:id="255"/>
      <w:bookmarkStart w:id="256" w:name="_Toc184313307"/>
      <w:bookmarkEnd w:id="256"/>
      <w:bookmarkStart w:id="257" w:name="_Toc184314481"/>
      <w:bookmarkEnd w:id="257"/>
      <w:bookmarkStart w:id="258" w:name="_Toc184312080"/>
      <w:bookmarkEnd w:id="258"/>
      <w:bookmarkStart w:id="259" w:name="_Toc184312117"/>
      <w:bookmarkEnd w:id="259"/>
      <w:bookmarkStart w:id="260" w:name="_Toc184310274"/>
      <w:bookmarkEnd w:id="260"/>
      <w:bookmarkStart w:id="261" w:name="_Toc184312083"/>
      <w:bookmarkEnd w:id="261"/>
      <w:bookmarkStart w:id="262" w:name="_Toc184308038"/>
      <w:bookmarkEnd w:id="262"/>
      <w:bookmarkStart w:id="263" w:name="_Toc184314455"/>
      <w:bookmarkEnd w:id="263"/>
      <w:bookmarkStart w:id="264" w:name="_Toc184314423"/>
      <w:bookmarkEnd w:id="264"/>
      <w:bookmarkStart w:id="265" w:name="_Toc184312127"/>
      <w:bookmarkEnd w:id="265"/>
      <w:bookmarkStart w:id="266" w:name="_Toc184310324"/>
      <w:bookmarkEnd w:id="266"/>
      <w:bookmarkStart w:id="267" w:name="_Toc184313280"/>
      <w:bookmarkEnd w:id="267"/>
      <w:bookmarkStart w:id="268" w:name="_Toc184310302"/>
      <w:bookmarkEnd w:id="268"/>
      <w:bookmarkStart w:id="269" w:name="_Toc184313295"/>
      <w:bookmarkEnd w:id="269"/>
      <w:bookmarkStart w:id="270" w:name="_Toc184310284"/>
      <w:bookmarkEnd w:id="270"/>
      <w:bookmarkStart w:id="271" w:name="_Toc184314440"/>
      <w:bookmarkEnd w:id="271"/>
      <w:bookmarkStart w:id="272" w:name="_Toc184308051"/>
      <w:bookmarkEnd w:id="272"/>
      <w:bookmarkStart w:id="273" w:name="_Toc184314474"/>
      <w:bookmarkEnd w:id="273"/>
      <w:bookmarkStart w:id="274" w:name="_Toc184314443"/>
      <w:bookmarkEnd w:id="274"/>
      <w:bookmarkStart w:id="275" w:name="_Toc184314452"/>
      <w:bookmarkEnd w:id="275"/>
      <w:bookmarkStart w:id="276" w:name="_Toc184314418"/>
      <w:bookmarkEnd w:id="276"/>
      <w:bookmarkStart w:id="277" w:name="_Toc184308100"/>
      <w:bookmarkEnd w:id="277"/>
      <w:bookmarkStart w:id="278" w:name="_Toc184313274"/>
      <w:bookmarkEnd w:id="278"/>
      <w:bookmarkStart w:id="279" w:name="_Toc184308063"/>
      <w:bookmarkEnd w:id="279"/>
      <w:bookmarkStart w:id="280" w:name="_Toc184310279"/>
      <w:bookmarkEnd w:id="280"/>
      <w:bookmarkStart w:id="281" w:name="_Toc184313256"/>
      <w:bookmarkEnd w:id="281"/>
      <w:bookmarkStart w:id="282" w:name="_Toc184313284"/>
      <w:bookmarkEnd w:id="282"/>
      <w:bookmarkStart w:id="283" w:name="_Toc184308056"/>
      <w:bookmarkEnd w:id="283"/>
      <w:bookmarkStart w:id="284" w:name="_Toc184312069"/>
      <w:bookmarkEnd w:id="284"/>
      <w:bookmarkStart w:id="285" w:name="_Toc184313261"/>
      <w:bookmarkEnd w:id="285"/>
      <w:bookmarkStart w:id="286" w:name="_Toc184313270"/>
      <w:bookmarkEnd w:id="286"/>
      <w:bookmarkStart w:id="287" w:name="_Toc184314475"/>
      <w:bookmarkEnd w:id="287"/>
      <w:bookmarkStart w:id="288" w:name="_Toc184312078"/>
      <w:bookmarkEnd w:id="288"/>
      <w:bookmarkStart w:id="289" w:name="_Toc184310309"/>
      <w:bookmarkEnd w:id="289"/>
      <w:bookmarkStart w:id="290" w:name="_Toc184313300"/>
      <w:bookmarkEnd w:id="290"/>
      <w:bookmarkStart w:id="291" w:name="_Toc184310335"/>
      <w:bookmarkEnd w:id="291"/>
      <w:bookmarkStart w:id="292" w:name="_Toc184310294"/>
      <w:bookmarkEnd w:id="292"/>
      <w:bookmarkStart w:id="293" w:name="_Toc184313278"/>
      <w:bookmarkEnd w:id="293"/>
      <w:bookmarkStart w:id="294" w:name="_Toc184308078"/>
      <w:bookmarkEnd w:id="294"/>
      <w:bookmarkStart w:id="295" w:name="_Toc184313271"/>
      <w:bookmarkEnd w:id="295"/>
      <w:bookmarkStart w:id="296" w:name="_Toc184310292"/>
      <w:bookmarkEnd w:id="296"/>
      <w:bookmarkStart w:id="297" w:name="_Toc184308036"/>
      <w:bookmarkEnd w:id="297"/>
      <w:bookmarkStart w:id="298" w:name="_Toc184313243"/>
      <w:bookmarkEnd w:id="298"/>
      <w:bookmarkStart w:id="299" w:name="_Toc184313294"/>
      <w:bookmarkEnd w:id="299"/>
      <w:bookmarkStart w:id="300" w:name="_Toc184312075"/>
      <w:bookmarkEnd w:id="300"/>
      <w:bookmarkStart w:id="301" w:name="_Toc184312122"/>
      <w:bookmarkEnd w:id="301"/>
      <w:bookmarkStart w:id="302" w:name="_Toc184308041"/>
      <w:bookmarkEnd w:id="302"/>
      <w:bookmarkStart w:id="303" w:name="_Toc184308042"/>
      <w:bookmarkEnd w:id="303"/>
      <w:bookmarkStart w:id="304" w:name="_Toc184312106"/>
      <w:bookmarkEnd w:id="304"/>
      <w:bookmarkStart w:id="305" w:name="_Toc184310320"/>
      <w:bookmarkEnd w:id="305"/>
      <w:bookmarkStart w:id="306" w:name="_Toc184310314"/>
      <w:bookmarkEnd w:id="306"/>
      <w:bookmarkStart w:id="307" w:name="_Toc184310300"/>
      <w:bookmarkEnd w:id="307"/>
      <w:bookmarkStart w:id="308" w:name="_Toc184313306"/>
      <w:bookmarkEnd w:id="308"/>
      <w:bookmarkStart w:id="309" w:name="_Toc184312105"/>
      <w:bookmarkEnd w:id="309"/>
      <w:bookmarkStart w:id="310" w:name="_Toc184310337"/>
      <w:bookmarkEnd w:id="310"/>
      <w:bookmarkStart w:id="311" w:name="_Toc184308061"/>
      <w:bookmarkEnd w:id="311"/>
      <w:bookmarkStart w:id="312" w:name="_Toc184312070"/>
      <w:bookmarkEnd w:id="312"/>
      <w:bookmarkStart w:id="313" w:name="_Toc184308106"/>
      <w:bookmarkEnd w:id="313"/>
      <w:bookmarkStart w:id="314" w:name="_Toc184313248"/>
      <w:bookmarkEnd w:id="314"/>
      <w:bookmarkStart w:id="315" w:name="_Toc184313277"/>
      <w:bookmarkEnd w:id="315"/>
      <w:bookmarkStart w:id="316" w:name="_Toc184308040"/>
      <w:bookmarkEnd w:id="316"/>
      <w:bookmarkStart w:id="317" w:name="_Toc184312109"/>
      <w:bookmarkEnd w:id="317"/>
      <w:bookmarkStart w:id="318" w:name="_Toc184314420"/>
      <w:bookmarkEnd w:id="318"/>
      <w:bookmarkStart w:id="319" w:name="_Toc184312096"/>
      <w:bookmarkEnd w:id="319"/>
      <w:bookmarkStart w:id="320" w:name="_Toc184313259"/>
      <w:bookmarkEnd w:id="320"/>
      <w:bookmarkStart w:id="321" w:name="_Toc184314447"/>
      <w:bookmarkEnd w:id="321"/>
      <w:bookmarkStart w:id="322" w:name="_Toc184308070"/>
      <w:bookmarkEnd w:id="322"/>
      <w:bookmarkStart w:id="323" w:name="_Toc184314431"/>
      <w:bookmarkEnd w:id="323"/>
      <w:bookmarkStart w:id="324" w:name="_Toc184314417"/>
      <w:bookmarkEnd w:id="324"/>
      <w:bookmarkStart w:id="325" w:name="_Toc184310283"/>
      <w:bookmarkEnd w:id="325"/>
      <w:bookmarkStart w:id="326" w:name="_Toc184313273"/>
      <w:bookmarkEnd w:id="326"/>
      <w:bookmarkStart w:id="327" w:name="_Toc184314466"/>
      <w:bookmarkEnd w:id="327"/>
      <w:bookmarkStart w:id="328" w:name="_Toc184310301"/>
      <w:bookmarkEnd w:id="328"/>
      <w:bookmarkStart w:id="329" w:name="_Toc184312129"/>
      <w:bookmarkEnd w:id="329"/>
      <w:bookmarkStart w:id="330" w:name="_Toc184308045"/>
      <w:bookmarkEnd w:id="330"/>
      <w:bookmarkStart w:id="331" w:name="_Toc184310312"/>
      <w:bookmarkEnd w:id="331"/>
      <w:bookmarkStart w:id="332" w:name="_Toc184314442"/>
      <w:bookmarkEnd w:id="332"/>
      <w:bookmarkStart w:id="333" w:name="_Toc184308060"/>
      <w:bookmarkEnd w:id="333"/>
      <w:bookmarkStart w:id="334" w:name="_Toc184314428"/>
      <w:bookmarkEnd w:id="334"/>
      <w:bookmarkStart w:id="335" w:name="_Toc184310288"/>
      <w:bookmarkEnd w:id="335"/>
      <w:bookmarkStart w:id="336" w:name="_Toc184312093"/>
      <w:bookmarkEnd w:id="336"/>
      <w:bookmarkStart w:id="337" w:name="_Toc184308088"/>
      <w:bookmarkEnd w:id="337"/>
      <w:bookmarkStart w:id="338" w:name="_Toc184313301"/>
      <w:bookmarkEnd w:id="338"/>
      <w:bookmarkStart w:id="339" w:name="_Toc184310334"/>
      <w:bookmarkEnd w:id="339"/>
      <w:bookmarkStart w:id="340" w:name="_Toc184310325"/>
      <w:bookmarkEnd w:id="340"/>
      <w:bookmarkStart w:id="341" w:name="_Toc184312076"/>
      <w:bookmarkEnd w:id="341"/>
      <w:bookmarkStart w:id="342" w:name="_Toc184312139"/>
      <w:bookmarkEnd w:id="342"/>
      <w:bookmarkStart w:id="343" w:name="_Toc184310308"/>
      <w:bookmarkEnd w:id="343"/>
      <w:bookmarkStart w:id="344" w:name="_Toc184308104"/>
      <w:bookmarkEnd w:id="344"/>
      <w:bookmarkStart w:id="345" w:name="_Toc184308085"/>
      <w:bookmarkEnd w:id="345"/>
      <w:bookmarkStart w:id="346" w:name="_Toc184312134"/>
      <w:bookmarkEnd w:id="346"/>
      <w:bookmarkStart w:id="347" w:name="_Toc184310278"/>
      <w:bookmarkEnd w:id="347"/>
      <w:bookmarkStart w:id="348" w:name="_Toc184310281"/>
      <w:bookmarkEnd w:id="348"/>
      <w:bookmarkStart w:id="349" w:name="_Toc184310310"/>
      <w:bookmarkEnd w:id="349"/>
      <w:bookmarkStart w:id="350" w:name="_Toc184310291"/>
      <w:bookmarkEnd w:id="350"/>
      <w:bookmarkStart w:id="351" w:name="_Toc184314464"/>
      <w:bookmarkEnd w:id="351"/>
      <w:bookmarkStart w:id="352" w:name="_Toc184313297"/>
      <w:bookmarkEnd w:id="352"/>
      <w:bookmarkStart w:id="353" w:name="_Toc184312130"/>
      <w:bookmarkEnd w:id="353"/>
      <w:bookmarkStart w:id="354" w:name="_Toc184312097"/>
      <w:bookmarkEnd w:id="354"/>
      <w:bookmarkStart w:id="355" w:name="_Toc184308072"/>
      <w:bookmarkEnd w:id="355"/>
      <w:bookmarkStart w:id="356" w:name="_Toc184312108"/>
      <w:bookmarkEnd w:id="356"/>
      <w:bookmarkStart w:id="357" w:name="_Toc184308091"/>
      <w:bookmarkEnd w:id="357"/>
      <w:bookmarkStart w:id="358" w:name="_Toc184312067"/>
      <w:bookmarkEnd w:id="358"/>
      <w:bookmarkStart w:id="359" w:name="_Toc184313276"/>
      <w:bookmarkEnd w:id="359"/>
      <w:bookmarkStart w:id="360" w:name="_Toc184313238"/>
      <w:bookmarkEnd w:id="360"/>
      <w:bookmarkStart w:id="361" w:name="_Toc184314459"/>
      <w:bookmarkEnd w:id="361"/>
      <w:bookmarkStart w:id="362" w:name="_Toc184314439"/>
      <w:bookmarkEnd w:id="362"/>
      <w:bookmarkStart w:id="363" w:name="_Toc184312068"/>
      <w:bookmarkEnd w:id="363"/>
      <w:bookmarkStart w:id="364" w:name="_Toc184312138"/>
      <w:bookmarkEnd w:id="364"/>
      <w:bookmarkStart w:id="365" w:name="_Toc184312098"/>
      <w:bookmarkEnd w:id="365"/>
      <w:bookmarkStart w:id="366" w:name="_Toc184314435"/>
      <w:bookmarkEnd w:id="366"/>
      <w:bookmarkStart w:id="367" w:name="_Toc184308095"/>
      <w:bookmarkEnd w:id="367"/>
      <w:bookmarkStart w:id="368" w:name="_Toc184312128"/>
      <w:bookmarkEnd w:id="368"/>
      <w:bookmarkStart w:id="369" w:name="_Toc184313244"/>
      <w:bookmarkEnd w:id="369"/>
      <w:bookmarkStart w:id="370" w:name="_Toc184312136"/>
      <w:bookmarkEnd w:id="370"/>
      <w:bookmarkStart w:id="371" w:name="_Toc184308092"/>
      <w:bookmarkEnd w:id="371"/>
      <w:bookmarkStart w:id="372" w:name="_Toc184312119"/>
      <w:bookmarkEnd w:id="372"/>
      <w:bookmarkStart w:id="373" w:name="_Toc184312087"/>
      <w:bookmarkEnd w:id="373"/>
      <w:bookmarkStart w:id="374" w:name="_Toc184312125"/>
      <w:bookmarkEnd w:id="374"/>
      <w:bookmarkStart w:id="375" w:name="_Toc184314449"/>
      <w:bookmarkEnd w:id="375"/>
      <w:bookmarkStart w:id="376" w:name="_Toc184312113"/>
      <w:bookmarkEnd w:id="376"/>
      <w:bookmarkStart w:id="377" w:name="_Toc184310313"/>
      <w:bookmarkEnd w:id="377"/>
      <w:bookmarkStart w:id="378" w:name="_Toc184314482"/>
      <w:bookmarkEnd w:id="378"/>
      <w:r>
        <w:rPr>
          <w:rFonts w:hint="eastAsia" w:ascii="宋体" w:hAnsi="宋体" w:cs="宋体"/>
          <w:b/>
          <w:color w:val="auto"/>
          <w:sz w:val="36"/>
          <w:szCs w:val="36"/>
        </w:rPr>
        <w:t>交易办法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交易办法前附表</w:t>
      </w:r>
    </w:p>
    <w:p>
      <w:pPr>
        <w:widowControl/>
        <w:spacing w:line="360" w:lineRule="auto"/>
        <w:rPr>
          <w:rFonts w:ascii="宋体" w:hAnsi="宋体" w:cs="宋体"/>
          <w:b/>
          <w:bCs/>
          <w:color w:val="auto"/>
          <w:sz w:val="24"/>
        </w:rPr>
      </w:pPr>
      <w:r>
        <w:rPr>
          <w:rFonts w:hint="eastAsia" w:ascii="宋体" w:hAnsi="宋体" w:cs="宋体"/>
          <w:b/>
          <w:bCs/>
          <w:color w:val="auto"/>
          <w:sz w:val="24"/>
        </w:rPr>
        <w:t>1、商务技术部分（80分）：</w:t>
      </w:r>
    </w:p>
    <w:tbl>
      <w:tblPr>
        <w:tblStyle w:val="63"/>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7701"/>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1182" w:type="dxa"/>
            <w:shd w:val="clear" w:color="auto" w:fill="auto"/>
            <w:vAlign w:val="center"/>
          </w:tcPr>
          <w:p>
            <w:pPr>
              <w:jc w:val="center"/>
              <w:rPr>
                <w:b/>
                <w:bCs/>
                <w:color w:val="auto"/>
                <w:sz w:val="24"/>
              </w:rPr>
            </w:pPr>
            <w:r>
              <w:rPr>
                <w:rFonts w:hint="eastAsia"/>
                <w:b/>
                <w:bCs/>
                <w:color w:val="auto"/>
                <w:sz w:val="24"/>
              </w:rPr>
              <w:t>评分内容</w:t>
            </w:r>
          </w:p>
        </w:tc>
        <w:tc>
          <w:tcPr>
            <w:tcW w:w="7701" w:type="dxa"/>
            <w:shd w:val="clear" w:color="auto" w:fill="auto"/>
            <w:vAlign w:val="center"/>
          </w:tcPr>
          <w:p>
            <w:pPr>
              <w:jc w:val="center"/>
              <w:rPr>
                <w:b/>
                <w:bCs/>
                <w:color w:val="auto"/>
                <w:sz w:val="24"/>
              </w:rPr>
            </w:pPr>
            <w:r>
              <w:rPr>
                <w:rFonts w:hint="eastAsia"/>
                <w:b/>
                <w:bCs/>
                <w:color w:val="auto"/>
                <w:sz w:val="24"/>
              </w:rPr>
              <w:t>评审细则</w:t>
            </w:r>
          </w:p>
        </w:tc>
        <w:tc>
          <w:tcPr>
            <w:tcW w:w="876" w:type="dxa"/>
            <w:shd w:val="clear" w:color="auto" w:fill="auto"/>
            <w:vAlign w:val="center"/>
          </w:tcPr>
          <w:p>
            <w:pPr>
              <w:jc w:val="center"/>
              <w:rPr>
                <w:b/>
                <w:bCs/>
                <w:color w:val="auto"/>
                <w:sz w:val="24"/>
              </w:rPr>
            </w:pPr>
            <w:r>
              <w:rPr>
                <w:rFonts w:hint="eastAsia"/>
                <w:b/>
                <w:bCs/>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82" w:type="dxa"/>
            <w:shd w:val="clear" w:color="auto" w:fill="auto"/>
            <w:vAlign w:val="center"/>
          </w:tcPr>
          <w:p>
            <w:pPr>
              <w:jc w:val="center"/>
              <w:rPr>
                <w:color w:val="auto"/>
                <w:sz w:val="24"/>
              </w:rPr>
            </w:pPr>
            <w:r>
              <w:rPr>
                <w:rFonts w:hint="eastAsia"/>
                <w:color w:val="auto"/>
                <w:sz w:val="24"/>
              </w:rPr>
              <w:t>企业业绩</w:t>
            </w:r>
          </w:p>
        </w:tc>
        <w:tc>
          <w:tcPr>
            <w:tcW w:w="7701" w:type="dxa"/>
            <w:shd w:val="clear" w:color="auto" w:fill="auto"/>
            <w:vAlign w:val="center"/>
          </w:tcPr>
          <w:p>
            <w:pPr>
              <w:rPr>
                <w:color w:val="auto"/>
                <w:sz w:val="24"/>
              </w:rPr>
            </w:pPr>
            <w:r>
              <w:rPr>
                <w:rFonts w:hint="eastAsia"/>
                <w:color w:val="auto"/>
                <w:sz w:val="24"/>
              </w:rPr>
              <w:t>响应人提供自2021年</w:t>
            </w:r>
            <w:r>
              <w:rPr>
                <w:color w:val="auto"/>
                <w:sz w:val="24"/>
              </w:rPr>
              <w:t>1</w:t>
            </w:r>
            <w:r>
              <w:rPr>
                <w:rFonts w:hint="eastAsia"/>
                <w:color w:val="auto"/>
                <w:sz w:val="24"/>
              </w:rPr>
              <w:t>月1日起具有组织举办过户外音乐类活动项目业绩的每个得1分，最高得5分。</w:t>
            </w:r>
          </w:p>
          <w:p>
            <w:pPr>
              <w:rPr>
                <w:color w:val="auto"/>
                <w:sz w:val="24"/>
              </w:rPr>
            </w:pPr>
            <w:r>
              <w:rPr>
                <w:rFonts w:hint="eastAsia" w:ascii="宋体" w:hAnsi="宋体"/>
                <w:b/>
                <w:bCs/>
                <w:color w:val="auto"/>
                <w:sz w:val="24"/>
              </w:rPr>
              <w:t>注：时间以具体举办时间为准，提供合同扫描件，未提供不得分。</w:t>
            </w:r>
          </w:p>
        </w:tc>
        <w:tc>
          <w:tcPr>
            <w:tcW w:w="876" w:type="dxa"/>
            <w:shd w:val="clear" w:color="auto" w:fill="auto"/>
            <w:vAlign w:val="center"/>
          </w:tcPr>
          <w:p>
            <w:pPr>
              <w:jc w:val="center"/>
              <w:rPr>
                <w:color w:val="auto"/>
                <w:sz w:val="24"/>
              </w:rPr>
            </w:pPr>
            <w:r>
              <w:rPr>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82" w:type="dxa"/>
            <w:shd w:val="clear" w:color="auto" w:fill="auto"/>
            <w:vAlign w:val="center"/>
          </w:tcPr>
          <w:p>
            <w:pPr>
              <w:jc w:val="center"/>
              <w:rPr>
                <w:color w:val="auto"/>
                <w:sz w:val="24"/>
              </w:rPr>
            </w:pPr>
            <w:r>
              <w:rPr>
                <w:rFonts w:hint="eastAsia"/>
                <w:color w:val="auto"/>
                <w:sz w:val="24"/>
              </w:rPr>
              <w:t>项目负责人实力</w:t>
            </w:r>
          </w:p>
        </w:tc>
        <w:tc>
          <w:tcPr>
            <w:tcW w:w="7701" w:type="dxa"/>
            <w:shd w:val="clear" w:color="auto" w:fill="auto"/>
            <w:vAlign w:val="center"/>
          </w:tcPr>
          <w:p>
            <w:pPr>
              <w:rPr>
                <w:color w:val="auto"/>
                <w:sz w:val="24"/>
              </w:rPr>
            </w:pPr>
            <w:r>
              <w:rPr>
                <w:rFonts w:hint="eastAsia" w:ascii="宋体" w:hAnsi="宋体"/>
                <w:color w:val="auto"/>
                <w:sz w:val="24"/>
              </w:rPr>
              <w:t>项目负责人曾组织过大型音乐活动的每个得1分,最高得5分。</w:t>
            </w:r>
            <w:r>
              <w:rPr>
                <w:rFonts w:hint="eastAsia" w:ascii="宋体" w:hAnsi="宋体"/>
                <w:color w:val="auto"/>
                <w:sz w:val="24"/>
              </w:rPr>
              <w:br w:type="textWrapping"/>
            </w:r>
            <w:r>
              <w:rPr>
                <w:rFonts w:hint="eastAsia" w:ascii="宋体" w:hAnsi="宋体"/>
                <w:b/>
                <w:bCs/>
                <w:color w:val="auto"/>
                <w:sz w:val="24"/>
              </w:rPr>
              <w:t>注：需提供项目合同以及其他可以证明其资料、经验的相关证明材料，须提供扫描件，未提供不得分。</w:t>
            </w:r>
          </w:p>
        </w:tc>
        <w:tc>
          <w:tcPr>
            <w:tcW w:w="876" w:type="dxa"/>
            <w:shd w:val="clear" w:color="auto" w:fill="auto"/>
            <w:vAlign w:val="center"/>
          </w:tcPr>
          <w:p>
            <w:pPr>
              <w:jc w:val="center"/>
              <w:rPr>
                <w:color w:val="auto"/>
                <w:sz w:val="24"/>
              </w:rPr>
            </w:pPr>
            <w:r>
              <w:rPr>
                <w:rFonts w:hint="eastAsia"/>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82" w:type="dxa"/>
            <w:shd w:val="clear" w:color="auto" w:fill="auto"/>
            <w:vAlign w:val="center"/>
          </w:tcPr>
          <w:p>
            <w:pPr>
              <w:jc w:val="center"/>
              <w:rPr>
                <w:color w:val="auto"/>
                <w:sz w:val="24"/>
              </w:rPr>
            </w:pPr>
            <w:r>
              <w:rPr>
                <w:rFonts w:hint="eastAsia"/>
                <w:color w:val="auto"/>
                <w:sz w:val="24"/>
              </w:rPr>
              <w:t>团队成员配备</w:t>
            </w:r>
          </w:p>
        </w:tc>
        <w:tc>
          <w:tcPr>
            <w:tcW w:w="7701" w:type="dxa"/>
            <w:shd w:val="clear" w:color="auto" w:fill="auto"/>
            <w:vAlign w:val="center"/>
          </w:tcPr>
          <w:p>
            <w:pPr>
              <w:rPr>
                <w:color w:val="auto"/>
                <w:sz w:val="24"/>
              </w:rPr>
            </w:pPr>
            <w:r>
              <w:rPr>
                <w:rFonts w:hint="eastAsia"/>
                <w:color w:val="auto"/>
                <w:sz w:val="24"/>
              </w:rPr>
              <w:t>项目负责人曾获得过音乐类相关奖项，市级奖项每个得1分，省级奖每个项得2分，国家级奖项每个得3分，最高得5分。</w:t>
            </w:r>
            <w:r>
              <w:rPr>
                <w:rFonts w:hint="eastAsia"/>
                <w:color w:val="auto"/>
                <w:sz w:val="24"/>
              </w:rPr>
              <w:br w:type="textWrapping"/>
            </w:r>
            <w:r>
              <w:rPr>
                <w:rFonts w:hint="eastAsia"/>
                <w:b/>
                <w:bCs/>
                <w:color w:val="auto"/>
                <w:sz w:val="24"/>
              </w:rPr>
              <w:t>注：需提供证书扫描件或其他证明材料，未提供不得分。</w:t>
            </w:r>
          </w:p>
        </w:tc>
        <w:tc>
          <w:tcPr>
            <w:tcW w:w="876" w:type="dxa"/>
            <w:shd w:val="clear" w:color="auto" w:fill="auto"/>
            <w:vAlign w:val="center"/>
          </w:tcPr>
          <w:p>
            <w:pPr>
              <w:jc w:val="center"/>
              <w:rPr>
                <w:color w:val="auto"/>
                <w:sz w:val="24"/>
              </w:rPr>
            </w:pPr>
            <w:r>
              <w:rPr>
                <w:rFonts w:hint="eastAsia"/>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182" w:type="dxa"/>
            <w:vMerge w:val="restart"/>
            <w:shd w:val="clear" w:color="auto" w:fill="auto"/>
            <w:vAlign w:val="center"/>
          </w:tcPr>
          <w:p>
            <w:pPr>
              <w:jc w:val="center"/>
              <w:rPr>
                <w:color w:val="auto"/>
                <w:sz w:val="24"/>
              </w:rPr>
            </w:pPr>
            <w:r>
              <w:rPr>
                <w:rFonts w:hint="eastAsia"/>
                <w:color w:val="auto"/>
                <w:sz w:val="24"/>
              </w:rPr>
              <w:t>街头艺术家阵容</w:t>
            </w:r>
          </w:p>
        </w:tc>
        <w:tc>
          <w:tcPr>
            <w:tcW w:w="7701" w:type="dxa"/>
            <w:shd w:val="clear" w:color="auto" w:fill="auto"/>
            <w:vAlign w:val="center"/>
          </w:tcPr>
          <w:p>
            <w:pPr>
              <w:rPr>
                <w:color w:val="auto"/>
                <w:sz w:val="24"/>
              </w:rPr>
            </w:pPr>
            <w:r>
              <w:rPr>
                <w:rFonts w:hint="eastAsia"/>
                <w:color w:val="auto"/>
                <w:sz w:val="24"/>
              </w:rPr>
              <w:t>响应人结合本项目特色进行合理的演出内容规划并安排街头演出艺术家，规划的街头演出艺术家名单不少于50人，得5分，不符合则不得分。</w:t>
            </w:r>
          </w:p>
        </w:tc>
        <w:tc>
          <w:tcPr>
            <w:tcW w:w="876" w:type="dxa"/>
            <w:shd w:val="clear" w:color="auto" w:fill="auto"/>
            <w:vAlign w:val="center"/>
          </w:tcPr>
          <w:p>
            <w:pPr>
              <w:jc w:val="center"/>
              <w:rPr>
                <w:color w:val="auto"/>
                <w:sz w:val="24"/>
              </w:rPr>
            </w:pPr>
            <w:r>
              <w:rPr>
                <w:rFonts w:hint="eastAsia"/>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82" w:type="dxa"/>
            <w:vMerge w:val="continue"/>
            <w:shd w:val="clear" w:color="auto" w:fill="auto"/>
            <w:vAlign w:val="center"/>
          </w:tcPr>
          <w:p>
            <w:pPr>
              <w:jc w:val="center"/>
              <w:rPr>
                <w:color w:val="auto"/>
                <w:sz w:val="24"/>
              </w:rPr>
            </w:pPr>
          </w:p>
        </w:tc>
        <w:tc>
          <w:tcPr>
            <w:tcW w:w="7701" w:type="dxa"/>
            <w:shd w:val="clear" w:color="auto" w:fill="auto"/>
            <w:vAlign w:val="center"/>
          </w:tcPr>
          <w:p>
            <w:pPr>
              <w:rPr>
                <w:color w:val="auto"/>
                <w:sz w:val="24"/>
              </w:rPr>
            </w:pPr>
            <w:r>
              <w:rPr>
                <w:rFonts w:hint="eastAsia"/>
                <w:color w:val="auto"/>
                <w:sz w:val="24"/>
              </w:rPr>
              <w:t>响应人结合本项目特色对演出艺术家在具有较高影响力的知名社交平台粉丝数进行划分，包含1组具有100万及以上粉丝嘉宾得5分，包含</w:t>
            </w:r>
            <w:r>
              <w:rPr>
                <w:color w:val="auto"/>
                <w:sz w:val="24"/>
              </w:rPr>
              <w:t>1</w:t>
            </w:r>
            <w:r>
              <w:rPr>
                <w:rFonts w:hint="eastAsia"/>
                <w:color w:val="auto"/>
                <w:sz w:val="24"/>
              </w:rPr>
              <w:t>组具有50万及以上粉丝嘉宾得3分，最高得5分。</w:t>
            </w:r>
          </w:p>
        </w:tc>
        <w:tc>
          <w:tcPr>
            <w:tcW w:w="876" w:type="dxa"/>
            <w:shd w:val="clear" w:color="auto" w:fill="auto"/>
            <w:vAlign w:val="center"/>
          </w:tcPr>
          <w:p>
            <w:pPr>
              <w:jc w:val="center"/>
              <w:rPr>
                <w:color w:val="auto"/>
                <w:sz w:val="24"/>
              </w:rPr>
            </w:pPr>
            <w:r>
              <w:rPr>
                <w:rFonts w:hint="eastAsia"/>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82" w:type="dxa"/>
            <w:vMerge w:val="restart"/>
            <w:shd w:val="clear" w:color="auto" w:fill="auto"/>
            <w:vAlign w:val="center"/>
          </w:tcPr>
          <w:p>
            <w:pPr>
              <w:jc w:val="center"/>
              <w:rPr>
                <w:color w:val="auto"/>
                <w:sz w:val="24"/>
              </w:rPr>
            </w:pPr>
            <w:r>
              <w:rPr>
                <w:rFonts w:hint="eastAsia"/>
                <w:color w:val="auto"/>
                <w:sz w:val="24"/>
              </w:rPr>
              <w:t>项目实施方案</w:t>
            </w:r>
          </w:p>
        </w:tc>
        <w:tc>
          <w:tcPr>
            <w:tcW w:w="7701" w:type="dxa"/>
            <w:shd w:val="clear" w:color="auto" w:fill="auto"/>
            <w:vAlign w:val="center"/>
          </w:tcPr>
          <w:p>
            <w:pPr>
              <w:rPr>
                <w:color w:val="auto"/>
                <w:sz w:val="24"/>
              </w:rPr>
            </w:pPr>
            <w:r>
              <w:rPr>
                <w:rFonts w:hint="eastAsia"/>
                <w:color w:val="auto"/>
                <w:sz w:val="24"/>
              </w:rPr>
              <w:t>根据项目需求策划活动总体方案，包括不同于其他街头活动的具有一定创新性的和强互动性的街头演出形式方案、根据活动形式，场地特点定制的街头艺术家阵容方案。</w:t>
            </w:r>
            <w:r>
              <w:rPr>
                <w:rFonts w:hint="eastAsia"/>
                <w:color w:val="auto"/>
                <w:sz w:val="24"/>
              </w:rPr>
              <w:br w:type="textWrapping"/>
            </w:r>
            <w:r>
              <w:rPr>
                <w:rFonts w:hint="eastAsia"/>
                <w:color w:val="auto"/>
                <w:sz w:val="24"/>
              </w:rPr>
              <w:t>对项目需求准确把握，方案设计创新程度高，方案配置合理的得6-10分；</w:t>
            </w:r>
            <w:r>
              <w:rPr>
                <w:rFonts w:hint="eastAsia"/>
                <w:color w:val="auto"/>
                <w:sz w:val="24"/>
              </w:rPr>
              <w:br w:type="textWrapping"/>
            </w:r>
            <w:r>
              <w:rPr>
                <w:rFonts w:hint="eastAsia"/>
                <w:color w:val="auto"/>
                <w:sz w:val="24"/>
              </w:rPr>
              <w:t>对项目需求有一定把握，方案设计较为创新，方案配置较为合理的得3-6分；</w:t>
            </w:r>
            <w:r>
              <w:rPr>
                <w:rFonts w:hint="eastAsia"/>
                <w:color w:val="auto"/>
                <w:sz w:val="24"/>
              </w:rPr>
              <w:br w:type="textWrapping"/>
            </w:r>
            <w:r>
              <w:rPr>
                <w:rFonts w:hint="eastAsia"/>
                <w:color w:val="auto"/>
                <w:sz w:val="24"/>
              </w:rPr>
              <w:t>对项目需求把握一般，方案设计不具备创新性，配置不合理的得0-3分。</w:t>
            </w:r>
          </w:p>
        </w:tc>
        <w:tc>
          <w:tcPr>
            <w:tcW w:w="876" w:type="dxa"/>
            <w:shd w:val="clear" w:color="auto" w:fill="auto"/>
            <w:vAlign w:val="center"/>
          </w:tcPr>
          <w:p>
            <w:pPr>
              <w:jc w:val="center"/>
              <w:rPr>
                <w:color w:val="auto"/>
                <w:sz w:val="24"/>
              </w:rPr>
            </w:pPr>
            <w:r>
              <w:rPr>
                <w:rFonts w:hint="eastAsia"/>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182" w:type="dxa"/>
            <w:vMerge w:val="continue"/>
            <w:vAlign w:val="center"/>
          </w:tcPr>
          <w:p>
            <w:pPr>
              <w:jc w:val="center"/>
              <w:rPr>
                <w:color w:val="auto"/>
                <w:sz w:val="24"/>
              </w:rPr>
            </w:pPr>
          </w:p>
        </w:tc>
        <w:tc>
          <w:tcPr>
            <w:tcW w:w="7701" w:type="dxa"/>
            <w:shd w:val="clear" w:color="auto" w:fill="auto"/>
            <w:vAlign w:val="center"/>
          </w:tcPr>
          <w:p>
            <w:pPr>
              <w:rPr>
                <w:color w:val="auto"/>
                <w:sz w:val="24"/>
              </w:rPr>
            </w:pPr>
            <w:r>
              <w:rPr>
                <w:rFonts w:hint="eastAsia"/>
                <w:color w:val="auto"/>
                <w:sz w:val="24"/>
              </w:rPr>
              <w:t>响应人项目实施方案的深度，以及组织实施方案的科学性、合理性、规范性和可操作性，以及组织机构、工作程序和步骤、管理和协调方法、关键步骤的思路和要点等进行综合评分。</w:t>
            </w:r>
            <w:r>
              <w:rPr>
                <w:rFonts w:hint="eastAsia"/>
                <w:color w:val="auto"/>
                <w:sz w:val="24"/>
              </w:rPr>
              <w:br w:type="textWrapping"/>
            </w:r>
            <w:r>
              <w:rPr>
                <w:rFonts w:hint="eastAsia"/>
                <w:color w:val="auto"/>
                <w:sz w:val="24"/>
              </w:rPr>
              <w:t>项目实施方案科学、合理、规范、可操作性高的得6-10分；</w:t>
            </w:r>
            <w:r>
              <w:rPr>
                <w:rFonts w:hint="eastAsia"/>
                <w:color w:val="auto"/>
                <w:sz w:val="24"/>
              </w:rPr>
              <w:br w:type="textWrapping"/>
            </w:r>
            <w:r>
              <w:rPr>
                <w:rFonts w:hint="eastAsia"/>
                <w:color w:val="auto"/>
                <w:sz w:val="24"/>
              </w:rPr>
              <w:t>项目实施方案较为科学、合理、规范、可操作的得3-6分。</w:t>
            </w:r>
          </w:p>
          <w:p>
            <w:pPr>
              <w:rPr>
                <w:color w:val="auto"/>
                <w:sz w:val="24"/>
              </w:rPr>
            </w:pPr>
            <w:r>
              <w:rPr>
                <w:rFonts w:hint="eastAsia"/>
                <w:color w:val="auto"/>
                <w:sz w:val="24"/>
              </w:rPr>
              <w:t>项目实施方案可行性一般的得0-3分。</w:t>
            </w:r>
          </w:p>
        </w:tc>
        <w:tc>
          <w:tcPr>
            <w:tcW w:w="876" w:type="dxa"/>
            <w:shd w:val="clear" w:color="auto" w:fill="auto"/>
            <w:vAlign w:val="center"/>
          </w:tcPr>
          <w:p>
            <w:pPr>
              <w:jc w:val="center"/>
              <w:rPr>
                <w:color w:val="auto"/>
                <w:sz w:val="24"/>
              </w:rPr>
            </w:pPr>
            <w:r>
              <w:rPr>
                <w:rFonts w:hint="eastAsia"/>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182" w:type="dxa"/>
            <w:vMerge w:val="continue"/>
            <w:vAlign w:val="center"/>
          </w:tcPr>
          <w:p>
            <w:pPr>
              <w:jc w:val="center"/>
              <w:rPr>
                <w:color w:val="auto"/>
                <w:sz w:val="24"/>
              </w:rPr>
            </w:pPr>
          </w:p>
        </w:tc>
        <w:tc>
          <w:tcPr>
            <w:tcW w:w="7701" w:type="dxa"/>
            <w:shd w:val="clear" w:color="auto" w:fill="auto"/>
            <w:vAlign w:val="center"/>
          </w:tcPr>
          <w:p>
            <w:pPr>
              <w:rPr>
                <w:color w:val="auto"/>
                <w:sz w:val="24"/>
              </w:rPr>
            </w:pPr>
            <w:r>
              <w:rPr>
                <w:rFonts w:hint="eastAsia"/>
                <w:color w:val="auto"/>
                <w:sz w:val="24"/>
              </w:rPr>
              <w:t>活动现场服务布置及方案：</w:t>
            </w:r>
            <w:r>
              <w:rPr>
                <w:rFonts w:hint="eastAsia"/>
                <w:color w:val="auto"/>
                <w:sz w:val="24"/>
              </w:rPr>
              <w:br w:type="textWrapping"/>
            </w:r>
            <w:r>
              <w:rPr>
                <w:rFonts w:hint="eastAsia"/>
                <w:color w:val="auto"/>
                <w:sz w:val="24"/>
              </w:rPr>
              <w:t>响应人对活动现场的平面规划图、平面设计、物料设计等各项方案，内容丰富专业详细，切实可行的得6-</w:t>
            </w:r>
            <w:r>
              <w:rPr>
                <w:color w:val="auto"/>
                <w:sz w:val="24"/>
              </w:rPr>
              <w:t>10</w:t>
            </w:r>
            <w:r>
              <w:rPr>
                <w:rFonts w:hint="eastAsia"/>
                <w:color w:val="auto"/>
                <w:sz w:val="24"/>
              </w:rPr>
              <w:t>分；</w:t>
            </w:r>
          </w:p>
          <w:p>
            <w:pPr>
              <w:rPr>
                <w:color w:val="auto"/>
                <w:sz w:val="24"/>
              </w:rPr>
            </w:pPr>
            <w:r>
              <w:rPr>
                <w:rFonts w:hint="eastAsia"/>
                <w:color w:val="auto"/>
                <w:sz w:val="24"/>
              </w:rPr>
              <w:t>响应人对活动现场的平面规划图、平面设计、物料设计等各项方案，内容较为丰富专业详细，切实可行的得3-</w:t>
            </w:r>
            <w:r>
              <w:rPr>
                <w:color w:val="auto"/>
                <w:sz w:val="24"/>
              </w:rPr>
              <w:t>6</w:t>
            </w:r>
            <w:r>
              <w:rPr>
                <w:rFonts w:hint="eastAsia"/>
                <w:color w:val="auto"/>
                <w:sz w:val="24"/>
              </w:rPr>
              <w:t>分；</w:t>
            </w:r>
            <w:r>
              <w:rPr>
                <w:rFonts w:hint="eastAsia"/>
                <w:color w:val="auto"/>
                <w:sz w:val="24"/>
              </w:rPr>
              <w:br w:type="textWrapping"/>
            </w:r>
            <w:r>
              <w:rPr>
                <w:rFonts w:hint="eastAsia"/>
                <w:color w:val="auto"/>
                <w:sz w:val="24"/>
              </w:rPr>
              <w:t>方案可行性一般的得</w:t>
            </w:r>
            <w:r>
              <w:rPr>
                <w:color w:val="auto"/>
                <w:sz w:val="24"/>
              </w:rPr>
              <w:t>0</w:t>
            </w:r>
            <w:r>
              <w:rPr>
                <w:rFonts w:hint="eastAsia"/>
                <w:color w:val="auto"/>
                <w:sz w:val="24"/>
              </w:rPr>
              <w:t>-3分。</w:t>
            </w:r>
          </w:p>
        </w:tc>
        <w:tc>
          <w:tcPr>
            <w:tcW w:w="876" w:type="dxa"/>
            <w:shd w:val="clear" w:color="auto" w:fill="auto"/>
            <w:vAlign w:val="center"/>
          </w:tcPr>
          <w:p>
            <w:pPr>
              <w:jc w:val="center"/>
              <w:rPr>
                <w:color w:val="auto"/>
                <w:sz w:val="24"/>
              </w:rPr>
            </w:pPr>
            <w:r>
              <w:rPr>
                <w:rFonts w:hint="eastAsia"/>
                <w:color w:val="auto"/>
                <w:sz w:val="24"/>
              </w:rPr>
              <w:t>1</w:t>
            </w:r>
            <w:r>
              <w:rPr>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82" w:type="dxa"/>
            <w:shd w:val="clear" w:color="auto" w:fill="auto"/>
            <w:vAlign w:val="center"/>
          </w:tcPr>
          <w:p>
            <w:pPr>
              <w:jc w:val="center"/>
              <w:rPr>
                <w:color w:val="auto"/>
                <w:sz w:val="24"/>
              </w:rPr>
            </w:pPr>
            <w:r>
              <w:rPr>
                <w:rFonts w:hint="eastAsia"/>
                <w:color w:val="auto"/>
                <w:sz w:val="24"/>
              </w:rPr>
              <w:t>宣传推广方案</w:t>
            </w:r>
          </w:p>
        </w:tc>
        <w:tc>
          <w:tcPr>
            <w:tcW w:w="7701" w:type="dxa"/>
            <w:shd w:val="clear" w:color="auto" w:fill="auto"/>
            <w:vAlign w:val="center"/>
          </w:tcPr>
          <w:p>
            <w:pPr>
              <w:rPr>
                <w:color w:val="auto"/>
                <w:sz w:val="24"/>
              </w:rPr>
            </w:pPr>
            <w:r>
              <w:rPr>
                <w:rFonts w:hint="eastAsia"/>
                <w:color w:val="auto"/>
                <w:sz w:val="24"/>
              </w:rPr>
              <w:t>国家级、省市级、全国知名门户、行业主流媒体累计发布≥50篇次，具有较高知名度的自媒体平台进行专题宣传报道。</w:t>
            </w:r>
          </w:p>
          <w:p>
            <w:pPr>
              <w:rPr>
                <w:color w:val="auto"/>
                <w:sz w:val="24"/>
              </w:rPr>
            </w:pPr>
            <w:r>
              <w:rPr>
                <w:rFonts w:hint="eastAsia"/>
                <w:color w:val="auto"/>
                <w:sz w:val="24"/>
              </w:rPr>
              <w:t>建立合理可行的宣传方案的得6-10分；</w:t>
            </w:r>
            <w:r>
              <w:rPr>
                <w:rFonts w:hint="eastAsia"/>
                <w:color w:val="auto"/>
                <w:sz w:val="24"/>
              </w:rPr>
              <w:br w:type="textWrapping"/>
            </w:r>
            <w:r>
              <w:rPr>
                <w:rFonts w:hint="eastAsia"/>
                <w:color w:val="auto"/>
                <w:sz w:val="24"/>
              </w:rPr>
              <w:t>建立较为合理可行的宣传方案的得3-6分；</w:t>
            </w:r>
            <w:r>
              <w:rPr>
                <w:rFonts w:hint="eastAsia"/>
                <w:color w:val="auto"/>
                <w:sz w:val="24"/>
              </w:rPr>
              <w:br w:type="textWrapping"/>
            </w:r>
            <w:r>
              <w:rPr>
                <w:rFonts w:hint="eastAsia"/>
                <w:color w:val="auto"/>
                <w:sz w:val="24"/>
              </w:rPr>
              <w:t>建立的宣传方案针对性不强的得0-3分。</w:t>
            </w:r>
          </w:p>
        </w:tc>
        <w:tc>
          <w:tcPr>
            <w:tcW w:w="876" w:type="dxa"/>
            <w:shd w:val="clear" w:color="auto" w:fill="auto"/>
            <w:vAlign w:val="center"/>
          </w:tcPr>
          <w:p>
            <w:pPr>
              <w:jc w:val="center"/>
              <w:rPr>
                <w:color w:val="auto"/>
                <w:sz w:val="24"/>
              </w:rPr>
            </w:pPr>
            <w:r>
              <w:rPr>
                <w:rFonts w:hint="eastAsia"/>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182" w:type="dxa"/>
            <w:shd w:val="clear" w:color="auto" w:fill="auto"/>
            <w:vAlign w:val="center"/>
          </w:tcPr>
          <w:p>
            <w:pPr>
              <w:jc w:val="center"/>
              <w:rPr>
                <w:color w:val="auto"/>
                <w:sz w:val="24"/>
              </w:rPr>
            </w:pPr>
            <w:r>
              <w:rPr>
                <w:rFonts w:hint="eastAsia"/>
                <w:color w:val="auto"/>
                <w:sz w:val="24"/>
              </w:rPr>
              <w:t>应急方案</w:t>
            </w:r>
          </w:p>
        </w:tc>
        <w:tc>
          <w:tcPr>
            <w:tcW w:w="7701" w:type="dxa"/>
            <w:shd w:val="clear" w:color="auto" w:fill="auto"/>
            <w:vAlign w:val="center"/>
          </w:tcPr>
          <w:p>
            <w:pPr>
              <w:rPr>
                <w:color w:val="auto"/>
                <w:sz w:val="24"/>
              </w:rPr>
            </w:pPr>
            <w:r>
              <w:rPr>
                <w:rFonts w:hint="eastAsia"/>
                <w:color w:val="auto"/>
                <w:sz w:val="24"/>
              </w:rPr>
              <w:t>根据响应人针对活动现场应急突发事情的响应及处理方案进行评价：对服务过程中各节点可能出现的突发事件有事先预估评判,并制定相应的突发事件防控措施,有相应的人力、物力投入安排,能够避免突发事件能及时有效处理的得6-10分；</w:t>
            </w:r>
            <w:r>
              <w:rPr>
                <w:rFonts w:hint="eastAsia"/>
                <w:color w:val="auto"/>
                <w:sz w:val="24"/>
              </w:rPr>
              <w:br w:type="textWrapping"/>
            </w:r>
            <w:r>
              <w:rPr>
                <w:rFonts w:hint="eastAsia"/>
                <w:color w:val="auto"/>
                <w:sz w:val="24"/>
              </w:rPr>
              <w:t>能提出在服务过程中可能出现的突发事件，制定的防控措施基本有效的得3-6分；</w:t>
            </w:r>
            <w:r>
              <w:rPr>
                <w:rFonts w:hint="eastAsia"/>
                <w:color w:val="auto"/>
                <w:sz w:val="24"/>
              </w:rPr>
              <w:br w:type="textWrapping"/>
            </w:r>
            <w:r>
              <w:rPr>
                <w:rFonts w:hint="eastAsia"/>
                <w:color w:val="auto"/>
                <w:sz w:val="24"/>
              </w:rPr>
              <w:t>有提出服务过程中可能出现的突发事件,但制定的突发事件防控措施较为简单得0-3分。</w:t>
            </w:r>
          </w:p>
        </w:tc>
        <w:tc>
          <w:tcPr>
            <w:tcW w:w="876" w:type="dxa"/>
            <w:shd w:val="clear" w:color="auto" w:fill="auto"/>
            <w:vAlign w:val="center"/>
          </w:tcPr>
          <w:p>
            <w:pPr>
              <w:jc w:val="center"/>
              <w:rPr>
                <w:color w:val="auto"/>
                <w:sz w:val="24"/>
              </w:rPr>
            </w:pPr>
            <w:r>
              <w:rPr>
                <w:rFonts w:hint="eastAsia"/>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82" w:type="dxa"/>
            <w:shd w:val="clear" w:color="auto" w:fill="auto"/>
            <w:vAlign w:val="center"/>
          </w:tcPr>
          <w:p>
            <w:pPr>
              <w:jc w:val="center"/>
              <w:rPr>
                <w:color w:val="auto"/>
                <w:sz w:val="24"/>
              </w:rPr>
            </w:pPr>
            <w:r>
              <w:rPr>
                <w:rFonts w:hint="eastAsia"/>
                <w:color w:val="auto"/>
                <w:sz w:val="24"/>
              </w:rPr>
              <w:t>其他增值服务</w:t>
            </w:r>
          </w:p>
        </w:tc>
        <w:tc>
          <w:tcPr>
            <w:tcW w:w="7701" w:type="dxa"/>
            <w:shd w:val="clear" w:color="auto" w:fill="auto"/>
            <w:vAlign w:val="center"/>
          </w:tcPr>
          <w:p>
            <w:pPr>
              <w:rPr>
                <w:color w:val="auto"/>
                <w:sz w:val="24"/>
              </w:rPr>
            </w:pPr>
            <w:r>
              <w:rPr>
                <w:rFonts w:hint="eastAsia"/>
                <w:color w:val="auto"/>
                <w:sz w:val="24"/>
              </w:rPr>
              <w:t>根据响应人为本次活动提供的其他配套增值服务进行综合评审。</w:t>
            </w:r>
          </w:p>
        </w:tc>
        <w:tc>
          <w:tcPr>
            <w:tcW w:w="876" w:type="dxa"/>
            <w:shd w:val="clear" w:color="auto" w:fill="auto"/>
            <w:vAlign w:val="center"/>
          </w:tcPr>
          <w:p>
            <w:pPr>
              <w:jc w:val="center"/>
              <w:rPr>
                <w:color w:val="auto"/>
                <w:sz w:val="24"/>
              </w:rPr>
            </w:pPr>
            <w:r>
              <w:rPr>
                <w:rFonts w:hint="eastAsia"/>
                <w:color w:val="auto"/>
                <w:sz w:val="24"/>
              </w:rPr>
              <w:t>5</w:t>
            </w:r>
          </w:p>
        </w:tc>
      </w:tr>
    </w:tbl>
    <w:p>
      <w:pPr>
        <w:widowControl/>
        <w:spacing w:line="360" w:lineRule="auto"/>
        <w:ind w:firstLine="482" w:firstLineChars="200"/>
        <w:rPr>
          <w:rFonts w:ascii="宋体" w:hAnsi="宋体" w:cs="宋体"/>
          <w:color w:val="auto"/>
          <w:sz w:val="24"/>
        </w:rPr>
      </w:pPr>
      <w:r>
        <w:rPr>
          <w:rFonts w:hint="eastAsia" w:ascii="宋体" w:hAnsi="宋体" w:cs="宋体"/>
          <w:b/>
          <w:color w:val="auto"/>
          <w:sz w:val="24"/>
        </w:rPr>
        <w:t>备注：</w:t>
      </w:r>
      <w:r>
        <w:rPr>
          <w:rFonts w:hint="eastAsia" w:ascii="宋体" w:hAnsi="宋体" w:cs="宋体"/>
          <w:color w:val="auto"/>
          <w:sz w:val="24"/>
        </w:rPr>
        <w:t>1、评分条款中涉及的业绩、荣誉、人员、社保等分公司均有效。</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3、供应商编制响应文件（商务技术文件部分）时，建议按此目录（序号和内容）提供评标标准相应的商务技术资料。</w:t>
      </w:r>
    </w:p>
    <w:p>
      <w:pPr>
        <w:spacing w:line="360" w:lineRule="auto"/>
        <w:rPr>
          <w:rFonts w:ascii="宋体" w:hAnsi="宋体" w:cs="宋体"/>
          <w:b/>
          <w:bCs/>
          <w:color w:val="auto"/>
          <w:sz w:val="32"/>
        </w:rPr>
      </w:pPr>
      <w:r>
        <w:rPr>
          <w:rFonts w:hint="eastAsia" w:ascii="宋体" w:hAnsi="宋体" w:cs="宋体"/>
          <w:b/>
          <w:bCs/>
          <w:color w:val="auto"/>
          <w:sz w:val="24"/>
        </w:rPr>
        <w:t>2、价格分（20分）：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310" w:type="dxa"/>
            <w:vAlign w:val="center"/>
          </w:tcPr>
          <w:p>
            <w:pPr>
              <w:adjustRightInd/>
              <w:jc w:val="center"/>
              <w:rPr>
                <w:rFonts w:ascii="宋体" w:hAnsi="宋体" w:cs="宋体"/>
                <w:color w:val="auto"/>
                <w:sz w:val="24"/>
              </w:rPr>
            </w:pPr>
            <w:r>
              <w:rPr>
                <w:rFonts w:hint="eastAsia" w:ascii="宋体" w:hAnsi="宋体" w:cs="宋体"/>
                <w:color w:val="auto"/>
                <w:sz w:val="24"/>
              </w:rPr>
              <w:t>价格权值</w:t>
            </w:r>
          </w:p>
        </w:tc>
        <w:tc>
          <w:tcPr>
            <w:tcW w:w="6704" w:type="dxa"/>
            <w:vAlign w:val="center"/>
          </w:tcPr>
          <w:p>
            <w:pPr>
              <w:adjustRightInd/>
              <w:jc w:val="center"/>
              <w:rPr>
                <w:rFonts w:ascii="宋体" w:hAnsi="宋体" w:cs="宋体"/>
                <w:color w:val="auto"/>
                <w:sz w:val="24"/>
              </w:rPr>
            </w:pPr>
            <w:r>
              <w:rPr>
                <w:rFonts w:hint="eastAsia" w:ascii="宋体" w:hAnsi="宋体" w:cs="宋体"/>
                <w:color w:val="auto"/>
                <w:sz w:val="24"/>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310" w:type="dxa"/>
            <w:vAlign w:val="center"/>
          </w:tcPr>
          <w:p>
            <w:pPr>
              <w:adjustRightInd/>
              <w:jc w:val="center"/>
              <w:rPr>
                <w:rFonts w:ascii="宋体" w:hAnsi="宋体" w:cs="宋体"/>
                <w:color w:val="auto"/>
                <w:sz w:val="24"/>
              </w:rPr>
            </w:pPr>
            <w:r>
              <w:rPr>
                <w:rFonts w:hint="eastAsia" w:ascii="宋体" w:hAnsi="宋体" w:cs="宋体"/>
                <w:color w:val="auto"/>
                <w:sz w:val="24"/>
              </w:rPr>
              <w:t>价格权值=0.20</w:t>
            </w:r>
          </w:p>
        </w:tc>
        <w:tc>
          <w:tcPr>
            <w:tcW w:w="6704" w:type="dxa"/>
            <w:vAlign w:val="center"/>
          </w:tcPr>
          <w:p>
            <w:pPr>
              <w:adjustRightInd/>
              <w:jc w:val="left"/>
              <w:rPr>
                <w:rFonts w:ascii="宋体" w:hAnsi="宋体" w:cs="宋体"/>
                <w:color w:val="auto"/>
                <w:sz w:val="24"/>
              </w:rPr>
            </w:pPr>
            <w:r>
              <w:rPr>
                <w:rFonts w:hint="eastAsia" w:ascii="宋体" w:hAnsi="宋体" w:cs="宋体"/>
                <w:color w:val="auto"/>
                <w:sz w:val="24"/>
              </w:rPr>
              <w:t>最低有效响应价格为评标基准价</w:t>
            </w:r>
          </w:p>
          <w:p>
            <w:pPr>
              <w:adjustRightInd/>
              <w:jc w:val="left"/>
              <w:rPr>
                <w:rFonts w:ascii="宋体" w:hAnsi="宋体" w:cs="宋体"/>
                <w:color w:val="auto"/>
                <w:sz w:val="24"/>
              </w:rPr>
            </w:pPr>
            <w:r>
              <w:rPr>
                <w:rFonts w:hint="eastAsia" w:ascii="宋体" w:hAnsi="宋体" w:cs="宋体"/>
                <w:color w:val="auto"/>
                <w:sz w:val="24"/>
              </w:rPr>
              <w:t>响应报价得分=(评标基准价／响应报价)×价格权值×100</w:t>
            </w:r>
          </w:p>
          <w:p>
            <w:pPr>
              <w:adjustRightInd/>
              <w:jc w:val="left"/>
              <w:rPr>
                <w:rFonts w:ascii="宋体" w:hAnsi="宋体" w:cs="宋体"/>
                <w:color w:val="auto"/>
                <w:sz w:val="24"/>
              </w:rPr>
            </w:pPr>
            <w:r>
              <w:rPr>
                <w:rFonts w:hint="eastAsia" w:ascii="宋体" w:hAnsi="宋体" w:cs="宋体"/>
                <w:color w:val="auto"/>
                <w:sz w:val="24"/>
              </w:rPr>
              <w:t>（计算得分保留小数点后2位）</w:t>
            </w:r>
          </w:p>
        </w:tc>
      </w:tr>
    </w:tbl>
    <w:p>
      <w:pPr>
        <w:rPr>
          <w:rFonts w:ascii="宋体" w:hAnsi="宋体" w:cs="宋体"/>
          <w:b/>
          <w:color w:val="auto"/>
          <w:sz w:val="32"/>
        </w:rPr>
      </w:pPr>
    </w:p>
    <w:p>
      <w:pPr>
        <w:rPr>
          <w:rFonts w:ascii="宋体" w:hAnsi="宋体" w:cs="宋体"/>
          <w:b/>
          <w:color w:val="auto"/>
          <w:sz w:val="28"/>
          <w:szCs w:val="28"/>
        </w:rPr>
      </w:pPr>
      <w:r>
        <w:rPr>
          <w:rFonts w:hint="eastAsia" w:ascii="宋体" w:hAnsi="宋体" w:cs="宋体"/>
          <w:b/>
          <w:color w:val="auto"/>
          <w:sz w:val="28"/>
          <w:szCs w:val="28"/>
        </w:rPr>
        <w:br w:type="page"/>
      </w:r>
    </w:p>
    <w:p>
      <w:pPr>
        <w:ind w:firstLine="281" w:firstLineChars="100"/>
        <w:rPr>
          <w:rFonts w:ascii="宋体" w:hAnsi="宋体" w:cs="宋体"/>
          <w:b/>
          <w:color w:val="auto"/>
          <w:sz w:val="28"/>
          <w:szCs w:val="28"/>
        </w:rPr>
      </w:pPr>
      <w:r>
        <w:rPr>
          <w:rFonts w:hint="eastAsia" w:ascii="宋体" w:hAnsi="宋体" w:cs="宋体"/>
          <w:b/>
          <w:color w:val="auto"/>
          <w:sz w:val="28"/>
          <w:szCs w:val="28"/>
        </w:rPr>
        <w:t>一、交易方法</w:t>
      </w:r>
    </w:p>
    <w:p>
      <w:pPr>
        <w:adjustRightInd/>
        <w:spacing w:line="570" w:lineRule="exact"/>
        <w:ind w:firstLine="482" w:firstLineChars="200"/>
        <w:rPr>
          <w:rFonts w:ascii="宋体" w:hAnsi="宋体" w:cs="宋体"/>
          <w:color w:val="auto"/>
          <w:kern w:val="0"/>
          <w:sz w:val="24"/>
        </w:rPr>
      </w:pPr>
      <w:r>
        <w:rPr>
          <w:rFonts w:hint="eastAsia" w:ascii="宋体" w:hAnsi="宋体" w:cs="宋体"/>
          <w:b/>
          <w:color w:val="auto"/>
          <w:kern w:val="0"/>
          <w:sz w:val="24"/>
        </w:rPr>
        <w:t>1.本项目采用综合评估法。</w:t>
      </w:r>
      <w:r>
        <w:rPr>
          <w:rFonts w:hint="eastAsia" w:ascii="宋体" w:hAnsi="宋体" w:cs="宋体"/>
          <w:color w:val="auto"/>
          <w:kern w:val="0"/>
          <w:sz w:val="24"/>
        </w:rPr>
        <w:t>综合评估法，是指响应文件满足公开竞争文件全部实质性要求，且按照评审因素的量化指标评审得分最高的响应人为成交候选人的评标方法。</w:t>
      </w:r>
    </w:p>
    <w:p>
      <w:pPr>
        <w:snapToGrid w:val="0"/>
        <w:spacing w:line="570" w:lineRule="exact"/>
        <w:rPr>
          <w:rFonts w:ascii="宋体" w:hAnsi="宋体" w:cs="宋体"/>
          <w:b/>
          <w:color w:val="auto"/>
          <w:sz w:val="28"/>
          <w:szCs w:val="28"/>
        </w:rPr>
      </w:pPr>
      <w:r>
        <w:rPr>
          <w:rFonts w:hint="eastAsia" w:ascii="宋体" w:hAnsi="宋体" w:cs="宋体"/>
          <w:b/>
          <w:color w:val="auto"/>
          <w:sz w:val="28"/>
          <w:szCs w:val="28"/>
        </w:rPr>
        <w:t>二、交易标准</w:t>
      </w:r>
    </w:p>
    <w:p>
      <w:pPr>
        <w:spacing w:line="570" w:lineRule="exact"/>
        <w:ind w:firstLine="472" w:firstLineChars="196"/>
        <w:rPr>
          <w:rFonts w:ascii="宋体" w:hAnsi="宋体" w:cs="宋体"/>
          <w:b/>
          <w:color w:val="auto"/>
          <w:sz w:val="24"/>
        </w:rPr>
      </w:pPr>
      <w:r>
        <w:rPr>
          <w:rFonts w:hint="eastAsia" w:ascii="宋体" w:hAnsi="宋体" w:cs="宋体"/>
          <w:b/>
          <w:color w:val="auto"/>
          <w:sz w:val="24"/>
        </w:rPr>
        <w:t>2.评标标准：</w:t>
      </w:r>
      <w:r>
        <w:rPr>
          <w:rFonts w:hint="eastAsia" w:ascii="宋体" w:hAnsi="宋体" w:cs="宋体"/>
          <w:color w:val="auto"/>
          <w:kern w:val="0"/>
          <w:sz w:val="24"/>
        </w:rPr>
        <w:t>见交易办法前附表。</w:t>
      </w:r>
    </w:p>
    <w:p>
      <w:pPr>
        <w:snapToGrid w:val="0"/>
        <w:spacing w:line="570" w:lineRule="exact"/>
        <w:rPr>
          <w:rFonts w:ascii="宋体" w:hAnsi="宋体" w:cs="宋体"/>
          <w:b/>
          <w:color w:val="auto"/>
          <w:sz w:val="28"/>
          <w:szCs w:val="28"/>
        </w:rPr>
      </w:pPr>
      <w:r>
        <w:rPr>
          <w:rFonts w:hint="eastAsia" w:ascii="宋体" w:hAnsi="宋体" w:cs="宋体"/>
          <w:b/>
          <w:color w:val="auto"/>
          <w:sz w:val="28"/>
          <w:szCs w:val="28"/>
        </w:rPr>
        <w:t>三、交易程序</w:t>
      </w:r>
    </w:p>
    <w:bookmarkEnd w:id="13"/>
    <w:p>
      <w:pPr>
        <w:spacing w:line="570" w:lineRule="exact"/>
        <w:ind w:firstLine="472" w:firstLineChars="196"/>
        <w:rPr>
          <w:rFonts w:ascii="宋体" w:hAnsi="宋体" w:cs="宋体"/>
          <w:color w:val="auto"/>
          <w:kern w:val="0"/>
          <w:sz w:val="24"/>
        </w:rPr>
      </w:pPr>
      <w:bookmarkStart w:id="379" w:name="第五部分"/>
      <w:bookmarkStart w:id="380" w:name="_Toc86217003"/>
      <w:r>
        <w:rPr>
          <w:rFonts w:hint="eastAsia" w:ascii="宋体" w:hAnsi="宋体" w:cs="宋体"/>
          <w:b/>
          <w:color w:val="auto"/>
          <w:kern w:val="0"/>
          <w:sz w:val="24"/>
        </w:rPr>
        <w:t>3.1符合性审查。</w:t>
      </w:r>
      <w:r>
        <w:rPr>
          <w:rFonts w:hint="eastAsia" w:ascii="宋体" w:hAnsi="宋体" w:cs="宋体"/>
          <w:color w:val="auto"/>
          <w:kern w:val="0"/>
          <w:sz w:val="24"/>
        </w:rPr>
        <w:t>评审委员会应当对符合资格的响应人的响应文件进行符合性审查，以确定其是否满足公开竞争文件的实质性要求。不满足公开竞争文件的实质性要求的，交易无效。</w:t>
      </w:r>
    </w:p>
    <w:p>
      <w:pPr>
        <w:spacing w:line="570" w:lineRule="exact"/>
        <w:ind w:firstLine="472" w:firstLineChars="196"/>
        <w:rPr>
          <w:rFonts w:ascii="宋体" w:hAnsi="宋体" w:cs="宋体"/>
          <w:color w:val="auto"/>
          <w:kern w:val="0"/>
          <w:sz w:val="24"/>
        </w:rPr>
      </w:pPr>
      <w:r>
        <w:rPr>
          <w:rFonts w:hint="eastAsia" w:ascii="宋体" w:hAnsi="宋体" w:cs="宋体"/>
          <w:b/>
          <w:color w:val="auto"/>
          <w:kern w:val="0"/>
          <w:sz w:val="24"/>
        </w:rPr>
        <w:t>3.2比较与评价。</w:t>
      </w:r>
      <w:r>
        <w:rPr>
          <w:rFonts w:hint="eastAsia" w:ascii="宋体" w:hAnsi="宋体" w:cs="宋体"/>
          <w:color w:val="auto"/>
          <w:kern w:val="0"/>
          <w:sz w:val="24"/>
        </w:rPr>
        <w:t>评审委员会应当按照公开竞争文件中规定的评标方法和标准，对符合性审查合格的响应文件进行商务和技术评估，综合比较与评价。</w:t>
      </w:r>
    </w:p>
    <w:p>
      <w:pPr>
        <w:spacing w:line="570" w:lineRule="exact"/>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评审委员会各成员应当独立对每个响应人的商务和技术文件进行评价，并汇总商务技术得分情况。</w:t>
      </w:r>
    </w:p>
    <w:p>
      <w:pPr>
        <w:spacing w:line="570" w:lineRule="exact"/>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5"/>
        <w:spacing w:before="0" w:line="570" w:lineRule="exact"/>
        <w:ind w:firstLine="508" w:firstLineChars="212"/>
        <w:rPr>
          <w:rFonts w:ascii="宋体" w:hAnsi="宋体" w:cs="宋体"/>
          <w:color w:val="auto"/>
          <w:kern w:val="0"/>
        </w:rPr>
      </w:pPr>
      <w:r>
        <w:rPr>
          <w:rFonts w:hint="eastAsia" w:ascii="宋体" w:hAnsi="宋体" w:cs="宋体"/>
          <w:color w:val="auto"/>
          <w:kern w:val="0"/>
        </w:rPr>
        <w:t>3.4.1响应文件报价出现前后不一致的，按照下列规定修正：</w:t>
      </w:r>
    </w:p>
    <w:p>
      <w:pPr>
        <w:pStyle w:val="135"/>
        <w:spacing w:before="0" w:line="570" w:lineRule="exact"/>
        <w:ind w:firstLine="480"/>
        <w:rPr>
          <w:rFonts w:ascii="宋体" w:hAnsi="宋体" w:cs="宋体"/>
          <w:color w:val="auto"/>
          <w:kern w:val="0"/>
          <w:szCs w:val="24"/>
        </w:rPr>
      </w:pPr>
      <w:r>
        <w:rPr>
          <w:rFonts w:hint="eastAsia" w:ascii="宋体" w:hAnsi="宋体" w:cs="宋体"/>
          <w:color w:val="auto"/>
          <w:kern w:val="0"/>
          <w:szCs w:val="24"/>
        </w:rPr>
        <w:t>3.4.1.1响应文件中交易一览表(报价表)内容与响应文件中相应内容不一致的，以交易一览表(报价表)为准；</w:t>
      </w:r>
    </w:p>
    <w:p>
      <w:pPr>
        <w:pStyle w:val="135"/>
        <w:spacing w:before="0" w:line="570" w:lineRule="exact"/>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5"/>
        <w:spacing w:before="0" w:line="570" w:lineRule="exact"/>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3.4.1.3单价金额小数点或者百分比有明显错位的，以交易一览表的总价为准，并修改单价；</w:t>
      </w:r>
    </w:p>
    <w:p>
      <w:pPr>
        <w:pStyle w:val="135"/>
        <w:spacing w:before="0" w:line="570" w:lineRule="exact"/>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5"/>
        <w:spacing w:before="0" w:line="570" w:lineRule="exact"/>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w:t>
      </w:r>
    </w:p>
    <w:p>
      <w:pPr>
        <w:snapToGrid w:val="0"/>
        <w:spacing w:line="570" w:lineRule="exact"/>
        <w:ind w:firstLine="480" w:firstLineChars="200"/>
        <w:jc w:val="left"/>
        <w:rPr>
          <w:rFonts w:ascii="宋体" w:hAnsi="宋体" w:cs="宋体"/>
          <w:color w:val="auto"/>
          <w:kern w:val="0"/>
          <w:sz w:val="24"/>
        </w:rPr>
      </w:pPr>
      <w:r>
        <w:rPr>
          <w:rFonts w:hint="eastAsia" w:ascii="宋体" w:hAnsi="宋体" w:cs="宋体"/>
          <w:color w:val="auto"/>
          <w:kern w:val="0"/>
          <w:sz w:val="24"/>
        </w:rPr>
        <w:t>3.4.2响应文件出现不是唯一的、有选择性交易报价的，交易无效。</w:t>
      </w:r>
    </w:p>
    <w:p>
      <w:pPr>
        <w:snapToGrid w:val="0"/>
        <w:spacing w:line="570" w:lineRule="exact"/>
        <w:ind w:firstLine="480" w:firstLineChars="200"/>
        <w:jc w:val="left"/>
        <w:rPr>
          <w:rFonts w:ascii="宋体" w:hAnsi="宋体" w:cs="宋体"/>
          <w:color w:val="auto"/>
          <w:kern w:val="0"/>
          <w:sz w:val="24"/>
        </w:rPr>
      </w:pPr>
      <w:r>
        <w:rPr>
          <w:rFonts w:hint="eastAsia" w:ascii="宋体" w:hAnsi="宋体" w:cs="宋体"/>
          <w:color w:val="auto"/>
          <w:kern w:val="0"/>
          <w:sz w:val="24"/>
        </w:rPr>
        <w:t>3.4.3交易报价超过公开竞争文件中规定的预算金额或者最高限价的，交易无效。</w:t>
      </w:r>
    </w:p>
    <w:p>
      <w:pPr>
        <w:pStyle w:val="135"/>
        <w:spacing w:before="0" w:line="570" w:lineRule="exact"/>
        <w:ind w:firstLine="480"/>
        <w:rPr>
          <w:rFonts w:ascii="宋体" w:hAnsi="宋体" w:cs="宋体"/>
          <w:color w:val="auto"/>
          <w:kern w:val="0"/>
          <w:szCs w:val="24"/>
        </w:rPr>
      </w:pPr>
      <w:r>
        <w:rPr>
          <w:rFonts w:hint="eastAsia" w:ascii="宋体" w:hAnsi="宋体" w:cs="宋体"/>
          <w:color w:val="auto"/>
          <w:kern w:val="0"/>
          <w:szCs w:val="24"/>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pPr>
        <w:spacing w:line="570" w:lineRule="exact"/>
        <w:ind w:firstLine="472" w:firstLineChars="196"/>
        <w:rPr>
          <w:rFonts w:ascii="宋体" w:hAnsi="宋体" w:cs="宋体"/>
          <w:color w:val="auto"/>
          <w:kern w:val="0"/>
          <w:sz w:val="24"/>
        </w:rPr>
      </w:pPr>
      <w:r>
        <w:rPr>
          <w:rFonts w:hint="eastAsia" w:ascii="宋体" w:hAnsi="宋体" w:cs="宋体"/>
          <w:b/>
          <w:color w:val="auto"/>
          <w:kern w:val="0"/>
          <w:sz w:val="24"/>
        </w:rPr>
        <w:t>3.6编写评审报告。</w:t>
      </w:r>
      <w:r>
        <w:rPr>
          <w:rFonts w:hint="eastAsia" w:ascii="宋体" w:hAnsi="宋体" w:cs="宋体"/>
          <w:color w:val="auto"/>
          <w:kern w:val="0"/>
          <w:sz w:val="24"/>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ascii="宋体" w:hAnsi="宋体" w:cs="宋体"/>
          <w:b/>
          <w:color w:val="auto"/>
          <w:sz w:val="28"/>
          <w:szCs w:val="28"/>
        </w:rPr>
      </w:pPr>
      <w:r>
        <w:rPr>
          <w:rFonts w:hint="eastAsia" w:ascii="宋体" w:hAnsi="宋体" w:cs="宋体"/>
          <w:b/>
          <w:color w:val="auto"/>
          <w:sz w:val="28"/>
          <w:szCs w:val="28"/>
        </w:rPr>
        <w:t>四、评标中的其他事项</w:t>
      </w:r>
    </w:p>
    <w:p>
      <w:pPr>
        <w:pStyle w:val="135"/>
        <w:spacing w:before="0" w:line="570" w:lineRule="exact"/>
        <w:ind w:firstLine="472" w:firstLineChars="196"/>
        <w:rPr>
          <w:rFonts w:ascii="宋体" w:hAnsi="宋体" w:cs="宋体"/>
          <w:color w:val="auto"/>
          <w:kern w:val="0"/>
          <w:szCs w:val="24"/>
        </w:rPr>
      </w:pPr>
      <w:r>
        <w:rPr>
          <w:rFonts w:hint="eastAsia" w:ascii="宋体" w:hAnsi="宋体" w:cs="宋体"/>
          <w:b/>
          <w:color w:val="auto"/>
          <w:kern w:val="0"/>
          <w:szCs w:val="24"/>
        </w:rPr>
        <w:t>4.1响应人澄清、说明或者补正。</w:t>
      </w:r>
      <w:r>
        <w:rPr>
          <w:rFonts w:hint="eastAsia" w:ascii="宋体" w:hAnsi="宋体" w:cs="宋体"/>
          <w:color w:val="auto"/>
          <w:kern w:val="0"/>
          <w:szCs w:val="24"/>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26"/>
        <w:spacing w:line="570" w:lineRule="exact"/>
        <w:ind w:left="954" w:leftChars="226" w:hanging="479" w:firstLineChars="0"/>
        <w:rPr>
          <w:rFonts w:cs="宋体"/>
          <w:color w:val="auto"/>
          <w:szCs w:val="21"/>
        </w:rPr>
      </w:pPr>
      <w:r>
        <w:rPr>
          <w:rFonts w:hint="eastAsia" w:cs="宋体"/>
          <w:b/>
          <w:color w:val="auto"/>
          <w:kern w:val="0"/>
        </w:rPr>
        <w:t>4.2交易无效。</w:t>
      </w:r>
      <w:r>
        <w:rPr>
          <w:rFonts w:hint="eastAsia" w:cs="宋体"/>
          <w:color w:val="auto"/>
          <w:szCs w:val="21"/>
        </w:rPr>
        <w:t>有下列情形之一的，交易无效：</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4.2.1响应人不具备公开竞争文件中规定的资格要求的（响应人未提供有效的资格文件的，视为响应人不具备公开竞争文件中规定的资格要求）；</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4.2.2响应文件未按照公开竞争文件要求签署、盖章的；</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4.2.3响应文件含有交易发起人不能接受的附加条件的；</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4.2.4响应文件中承诺的交易有效期少于公开竞争文件中载明的交易有效期的；</w:t>
      </w:r>
    </w:p>
    <w:p>
      <w:pPr>
        <w:snapToGrid w:val="0"/>
        <w:spacing w:line="570" w:lineRule="exact"/>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4.2.5响应文件出现不是唯一的、有选择性交易报价的；</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4.2.6交易报价超过公开竞争文件中规定的预算金额或者最高限价的；</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4.2.8响应人对根据修正原则修正后的报价不确认的；</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4.2.9响应人提供虚假材料投标的；</w:t>
      </w:r>
    </w:p>
    <w:p>
      <w:pPr>
        <w:spacing w:line="570" w:lineRule="exact"/>
        <w:ind w:firstLine="240" w:firstLineChars="100"/>
        <w:rPr>
          <w:rFonts w:ascii="宋体" w:hAnsi="宋体" w:cs="宋体"/>
          <w:color w:val="auto"/>
          <w:kern w:val="0"/>
          <w:sz w:val="24"/>
        </w:rPr>
      </w:pPr>
      <w:r>
        <w:rPr>
          <w:rFonts w:hint="eastAsia" w:ascii="宋体" w:hAnsi="宋体" w:cs="宋体"/>
          <w:color w:val="auto"/>
          <w:kern w:val="0"/>
          <w:sz w:val="24"/>
        </w:rPr>
        <w:t xml:space="preserve">  4.2.10响应人有恶意串通、妨碍其他响应人的竞争行为、损害交易发起人或者其他响应人的合法权益情形的；</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4.2.11响应人未在电子交易平台传输递交响应文件的，交易无效；</w:t>
      </w:r>
    </w:p>
    <w:p>
      <w:pPr>
        <w:pStyle w:val="3"/>
        <w:spacing w:line="570" w:lineRule="exact"/>
        <w:ind w:left="862" w:leftChars="205"/>
        <w:rPr>
          <w:rFonts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4.2.12响应文件不满足公开竞争文件的其它实质性要求的；</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4.2.13法律、法规、规章（适用本市的）及省级以上规范性文件（适用本市的）规定的其他无效情形。</w:t>
      </w:r>
    </w:p>
    <w:p>
      <w:pPr>
        <w:pStyle w:val="26"/>
        <w:snapToGrid w:val="0"/>
        <w:spacing w:line="570" w:lineRule="exact"/>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根据《中华人民共和国政府采购法》第三十六条之规定，在交易过程中，出现下列情形之一的，应予废标：</w:t>
      </w:r>
    </w:p>
    <w:p>
      <w:pPr>
        <w:pStyle w:val="26"/>
        <w:snapToGrid w:val="0"/>
        <w:spacing w:line="570" w:lineRule="exact"/>
        <w:rPr>
          <w:rFonts w:cs="宋体"/>
          <w:color w:val="auto"/>
        </w:rPr>
      </w:pPr>
      <w:r>
        <w:rPr>
          <w:rFonts w:hint="eastAsia" w:cs="宋体"/>
          <w:color w:val="auto"/>
        </w:rPr>
        <w:t>5.1符合专业条件的响应人或者对公开竞争文件作实质响应的响应人不足3家的；</w:t>
      </w:r>
    </w:p>
    <w:p>
      <w:pPr>
        <w:pStyle w:val="26"/>
        <w:snapToGrid w:val="0"/>
        <w:spacing w:line="570" w:lineRule="exact"/>
        <w:rPr>
          <w:rFonts w:cs="宋体"/>
          <w:color w:val="auto"/>
        </w:rPr>
      </w:pPr>
      <w:r>
        <w:rPr>
          <w:rFonts w:hint="eastAsia" w:cs="宋体"/>
          <w:color w:val="auto"/>
        </w:rPr>
        <w:t>5.2出现影响采购公正的违法、违规行为的；</w:t>
      </w:r>
    </w:p>
    <w:p>
      <w:pPr>
        <w:pStyle w:val="26"/>
        <w:snapToGrid w:val="0"/>
        <w:spacing w:line="570" w:lineRule="exact"/>
        <w:rPr>
          <w:rFonts w:cs="宋体"/>
          <w:color w:val="auto"/>
        </w:rPr>
      </w:pPr>
      <w:r>
        <w:rPr>
          <w:rFonts w:hint="eastAsia" w:cs="宋体"/>
          <w:color w:val="auto"/>
        </w:rPr>
        <w:t>5.3响应人的报价均超过了采购预算，交易发起人不能支付的；</w:t>
      </w:r>
    </w:p>
    <w:p>
      <w:pPr>
        <w:pStyle w:val="26"/>
        <w:snapToGrid w:val="0"/>
        <w:spacing w:line="570" w:lineRule="exact"/>
        <w:rPr>
          <w:rFonts w:cs="宋体"/>
          <w:color w:val="auto"/>
        </w:rPr>
      </w:pPr>
      <w:r>
        <w:rPr>
          <w:rFonts w:hint="eastAsia" w:cs="宋体"/>
          <w:color w:val="auto"/>
        </w:rPr>
        <w:t>5.4因重大变故，采购任务取消的。</w:t>
      </w:r>
    </w:p>
    <w:p>
      <w:pPr>
        <w:pStyle w:val="26"/>
        <w:snapToGrid w:val="0"/>
        <w:spacing w:line="570" w:lineRule="exact"/>
        <w:rPr>
          <w:rFonts w:cs="宋体"/>
          <w:color w:val="auto"/>
        </w:rPr>
      </w:pPr>
      <w:r>
        <w:rPr>
          <w:rFonts w:hint="eastAsia" w:cs="宋体"/>
          <w:color w:val="auto"/>
        </w:rPr>
        <w:t>废标后，代理机构应当将废标理由通知所有响应人。</w:t>
      </w:r>
    </w:p>
    <w:p>
      <w:pPr>
        <w:pStyle w:val="26"/>
        <w:snapToGrid w:val="0"/>
        <w:spacing w:line="570" w:lineRule="exact"/>
        <w:ind w:firstLine="590" w:firstLineChars="245"/>
        <w:rPr>
          <w:rFonts w:cs="宋体"/>
          <w:color w:val="auto"/>
        </w:rPr>
      </w:pPr>
      <w:r>
        <w:rPr>
          <w:rFonts w:hint="eastAsia" w:cs="宋体"/>
          <w:b/>
          <w:color w:val="auto"/>
        </w:rPr>
        <w:t>6.修改公开竞争文件，重新组织交易活动。</w:t>
      </w:r>
      <w:r>
        <w:rPr>
          <w:rFonts w:hint="eastAsia" w:cs="宋体"/>
          <w:color w:val="auto"/>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26"/>
        <w:snapToGrid w:val="0"/>
        <w:spacing w:line="570" w:lineRule="exact"/>
        <w:ind w:firstLine="590" w:firstLineChars="245"/>
        <w:rPr>
          <w:rFonts w:cs="宋体"/>
          <w:color w:val="auto"/>
        </w:rPr>
      </w:pPr>
      <w:r>
        <w:rPr>
          <w:rFonts w:hint="eastAsia" w:cs="宋体"/>
          <w:b/>
          <w:color w:val="auto"/>
          <w:kern w:val="0"/>
        </w:rPr>
        <w:t>7.重新开展交易。</w:t>
      </w:r>
      <w:r>
        <w:rPr>
          <w:rFonts w:hint="eastAsia" w:cs="宋体"/>
          <w:color w:val="auto"/>
        </w:rPr>
        <w:t>影响或者可能影响</w:t>
      </w:r>
      <w:r>
        <w:rPr>
          <w:rFonts w:hint="eastAsia" w:cs="宋体"/>
          <w:color w:val="auto"/>
          <w:kern w:val="0"/>
        </w:rPr>
        <w:t>成交</w:t>
      </w:r>
      <w:r>
        <w:rPr>
          <w:rFonts w:hint="eastAsia" w:cs="宋体"/>
          <w:color w:val="auto"/>
        </w:rPr>
        <w:t>、成交结果的，依照下列规定处理：</w:t>
      </w:r>
    </w:p>
    <w:p>
      <w:pPr>
        <w:pStyle w:val="26"/>
        <w:snapToGrid w:val="0"/>
        <w:spacing w:line="570" w:lineRule="exact"/>
        <w:ind w:firstLine="600" w:firstLineChars="250"/>
        <w:rPr>
          <w:rFonts w:cs="宋体"/>
          <w:color w:val="auto"/>
        </w:rPr>
      </w:pPr>
      <w:r>
        <w:rPr>
          <w:rFonts w:hint="eastAsia" w:cs="宋体"/>
          <w:color w:val="auto"/>
        </w:rPr>
        <w:t>7.1未确定</w:t>
      </w:r>
      <w:r>
        <w:rPr>
          <w:rFonts w:hint="eastAsia" w:cs="宋体"/>
          <w:color w:val="auto"/>
          <w:kern w:val="0"/>
        </w:rPr>
        <w:t>成交</w:t>
      </w:r>
      <w:r>
        <w:rPr>
          <w:rFonts w:hint="eastAsia" w:cs="宋体"/>
          <w:color w:val="auto"/>
        </w:rPr>
        <w:t>或者成交人的，终止本次交易活动，重新开展交易活动。</w:t>
      </w:r>
    </w:p>
    <w:p>
      <w:pPr>
        <w:pStyle w:val="26"/>
        <w:snapToGrid w:val="0"/>
        <w:spacing w:line="570" w:lineRule="exact"/>
        <w:ind w:firstLine="600" w:firstLineChars="250"/>
        <w:rPr>
          <w:rFonts w:cs="宋体"/>
          <w:color w:val="auto"/>
        </w:rPr>
      </w:pPr>
      <w:r>
        <w:rPr>
          <w:rFonts w:hint="eastAsia" w:cs="宋体"/>
          <w:color w:val="auto"/>
        </w:rPr>
        <w:t>7.2已确定</w:t>
      </w:r>
      <w:r>
        <w:rPr>
          <w:rFonts w:hint="eastAsia" w:cs="宋体"/>
          <w:color w:val="auto"/>
          <w:kern w:val="0"/>
        </w:rPr>
        <w:t>成交</w:t>
      </w:r>
      <w:r>
        <w:rPr>
          <w:rFonts w:hint="eastAsia" w:cs="宋体"/>
          <w:color w:val="auto"/>
        </w:rPr>
        <w:t>或者成交人但尚未签订合同的，</w:t>
      </w:r>
      <w:r>
        <w:rPr>
          <w:rFonts w:hint="eastAsia" w:cs="宋体"/>
          <w:color w:val="auto"/>
          <w:kern w:val="0"/>
        </w:rPr>
        <w:t>成交</w:t>
      </w:r>
      <w:r>
        <w:rPr>
          <w:rFonts w:hint="eastAsia" w:cs="宋体"/>
          <w:color w:val="auto"/>
        </w:rPr>
        <w:t>或者成交结果无效，从合格的</w:t>
      </w:r>
      <w:r>
        <w:rPr>
          <w:rFonts w:hint="eastAsia" w:cs="宋体"/>
          <w:color w:val="auto"/>
          <w:kern w:val="0"/>
        </w:rPr>
        <w:t>成交</w:t>
      </w:r>
      <w:r>
        <w:rPr>
          <w:rFonts w:hint="eastAsia" w:cs="宋体"/>
          <w:color w:val="auto"/>
        </w:rPr>
        <w:t>或者成交候选人中另行确定</w:t>
      </w:r>
      <w:r>
        <w:rPr>
          <w:rFonts w:hint="eastAsia" w:cs="宋体"/>
          <w:color w:val="auto"/>
          <w:kern w:val="0"/>
        </w:rPr>
        <w:t>成交</w:t>
      </w:r>
      <w:r>
        <w:rPr>
          <w:rFonts w:hint="eastAsia" w:cs="宋体"/>
          <w:color w:val="auto"/>
        </w:rPr>
        <w:t>或者成交人；没有合格的</w:t>
      </w:r>
      <w:r>
        <w:rPr>
          <w:rFonts w:hint="eastAsia" w:cs="宋体"/>
          <w:color w:val="auto"/>
          <w:kern w:val="0"/>
        </w:rPr>
        <w:t>成交</w:t>
      </w:r>
      <w:r>
        <w:rPr>
          <w:rFonts w:hint="eastAsia" w:cs="宋体"/>
          <w:color w:val="auto"/>
        </w:rPr>
        <w:t>或者成交候选人的，重新开展交易活动。</w:t>
      </w:r>
    </w:p>
    <w:p>
      <w:pPr>
        <w:pStyle w:val="26"/>
        <w:snapToGrid w:val="0"/>
        <w:spacing w:line="570" w:lineRule="exact"/>
        <w:ind w:firstLine="600" w:firstLineChars="250"/>
        <w:rPr>
          <w:rFonts w:cs="宋体"/>
          <w:color w:val="auto"/>
        </w:rPr>
      </w:pPr>
      <w:r>
        <w:rPr>
          <w:rFonts w:hint="eastAsia" w:cs="宋体"/>
          <w:color w:val="auto"/>
        </w:rPr>
        <w:t>7.3书面合同已签订但尚未履行的，撤销合同，从合格的</w:t>
      </w:r>
      <w:r>
        <w:rPr>
          <w:rFonts w:hint="eastAsia" w:cs="宋体"/>
          <w:color w:val="auto"/>
          <w:kern w:val="0"/>
        </w:rPr>
        <w:t>成交</w:t>
      </w:r>
      <w:r>
        <w:rPr>
          <w:rFonts w:hint="eastAsia" w:cs="宋体"/>
          <w:color w:val="auto"/>
        </w:rPr>
        <w:t>或者成交候选人中另行确定</w:t>
      </w:r>
      <w:r>
        <w:rPr>
          <w:rFonts w:hint="eastAsia" w:cs="宋体"/>
          <w:color w:val="auto"/>
          <w:kern w:val="0"/>
        </w:rPr>
        <w:t>成交</w:t>
      </w:r>
      <w:r>
        <w:rPr>
          <w:rFonts w:hint="eastAsia" w:cs="宋体"/>
          <w:color w:val="auto"/>
        </w:rPr>
        <w:t>或者成交人；没有合格的</w:t>
      </w:r>
      <w:r>
        <w:rPr>
          <w:rFonts w:hint="eastAsia" w:cs="宋体"/>
          <w:color w:val="auto"/>
          <w:kern w:val="0"/>
        </w:rPr>
        <w:t>成交</w:t>
      </w:r>
      <w:r>
        <w:rPr>
          <w:rFonts w:hint="eastAsia" w:cs="宋体"/>
          <w:color w:val="auto"/>
        </w:rPr>
        <w:t>或者成交候选人的，重新开展交易活动。</w:t>
      </w:r>
    </w:p>
    <w:p>
      <w:pPr>
        <w:pStyle w:val="26"/>
        <w:snapToGrid w:val="0"/>
        <w:spacing w:line="570" w:lineRule="exact"/>
        <w:rPr>
          <w:rFonts w:cs="宋体"/>
          <w:color w:val="auto"/>
        </w:rPr>
      </w:pPr>
      <w:r>
        <w:rPr>
          <w:rFonts w:hint="eastAsia" w:cs="宋体"/>
          <w:color w:val="auto"/>
        </w:rPr>
        <w:t>7.4书面合同已经履行，给交易发起人、响应人造成损失的，由责任人承担赔偿责任。</w:t>
      </w:r>
    </w:p>
    <w:p>
      <w:pPr>
        <w:pStyle w:val="26"/>
        <w:snapToGrid w:val="0"/>
        <w:spacing w:line="570" w:lineRule="exact"/>
        <w:rPr>
          <w:rFonts w:cs="宋体"/>
          <w:color w:val="auto"/>
        </w:rPr>
      </w:pPr>
      <w:r>
        <w:rPr>
          <w:rFonts w:hint="eastAsia" w:cs="宋体"/>
          <w:color w:val="auto"/>
        </w:rPr>
        <w:t>7.5交易当事人有其他违反政府采购法</w:t>
      </w:r>
      <w:r>
        <w:rPr>
          <w:rFonts w:hint="eastAsia" w:cs="宋体"/>
          <w:color w:val="auto"/>
          <w:kern w:val="0"/>
        </w:rPr>
        <w:t>或者政府采购法实施条例等法律法规规定</w:t>
      </w:r>
      <w:r>
        <w:rPr>
          <w:rFonts w:hint="eastAsia" w:cs="宋体"/>
          <w:color w:val="auto"/>
        </w:rPr>
        <w:t>的行为，经改正后仍然影响或者可能影响</w:t>
      </w:r>
      <w:r>
        <w:rPr>
          <w:rFonts w:hint="eastAsia" w:cs="宋体"/>
          <w:color w:val="auto"/>
          <w:kern w:val="0"/>
        </w:rPr>
        <w:t>成交</w:t>
      </w:r>
      <w:r>
        <w:rPr>
          <w:rFonts w:hint="eastAsia" w:cs="宋体"/>
          <w:color w:val="auto"/>
        </w:rPr>
        <w:t>、成交结果或者依法被认定为</w:t>
      </w:r>
      <w:r>
        <w:rPr>
          <w:rFonts w:hint="eastAsia" w:cs="宋体"/>
          <w:color w:val="auto"/>
          <w:kern w:val="0"/>
        </w:rPr>
        <w:t>成交</w:t>
      </w:r>
      <w:r>
        <w:rPr>
          <w:rFonts w:hint="eastAsia" w:cs="宋体"/>
          <w:color w:val="auto"/>
        </w:rPr>
        <w:t>、成交无效的，依照7.1-7.4规定处理。</w:t>
      </w:r>
    </w:p>
    <w:p>
      <w:pPr>
        <w:pStyle w:val="26"/>
        <w:snapToGrid w:val="0"/>
        <w:spacing w:line="360" w:lineRule="auto"/>
        <w:rPr>
          <w:rFonts w:cs="宋体"/>
          <w:color w:val="auto"/>
        </w:rPr>
      </w:pPr>
      <w:r>
        <w:rPr>
          <w:rFonts w:hint="eastAsia" w:cs="宋体"/>
          <w:color w:val="auto"/>
        </w:rPr>
        <w:t xml:space="preserve"> </w:t>
      </w:r>
    </w:p>
    <w:p>
      <w:pPr>
        <w:pStyle w:val="16"/>
        <w:rPr>
          <w:rFonts w:hAnsi="宋体" w:cs="宋体"/>
          <w:color w:val="auto"/>
        </w:rPr>
      </w:pPr>
    </w:p>
    <w:p>
      <w:pPr>
        <w:rPr>
          <w:rFonts w:ascii="宋体" w:hAnsi="宋体" w:cs="宋体"/>
          <w:color w:val="auto"/>
        </w:rPr>
      </w:pPr>
    </w:p>
    <w:p>
      <w:pPr>
        <w:rPr>
          <w:rFonts w:ascii="宋体" w:hAnsi="宋体" w:cs="宋体"/>
          <w:b/>
          <w:color w:val="auto"/>
          <w:sz w:val="36"/>
          <w:szCs w:val="36"/>
        </w:rPr>
      </w:pPr>
      <w:r>
        <w:rPr>
          <w:rFonts w:hint="eastAsia" w:ascii="宋体" w:hAnsi="宋体" w:cs="宋体"/>
          <w:b/>
          <w:color w:val="auto"/>
          <w:sz w:val="36"/>
          <w:szCs w:val="36"/>
        </w:rPr>
        <w:br w:type="page"/>
      </w:r>
    </w:p>
    <w:p>
      <w:pPr>
        <w:spacing w:line="360" w:lineRule="auto"/>
        <w:ind w:left="718" w:leftChars="342" w:firstLine="119" w:firstLineChars="33"/>
        <w:jc w:val="center"/>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pStyle w:val="26"/>
        <w:snapToGrid w:val="0"/>
        <w:spacing w:line="360" w:lineRule="auto"/>
        <w:rPr>
          <w:rFonts w:cs="宋体"/>
          <w:color w:val="auto"/>
        </w:rPr>
      </w:pPr>
      <w:r>
        <w:rPr>
          <w:rFonts w:hint="eastAsia" w:cs="宋体"/>
          <w:color w:val="auto"/>
        </w:rPr>
        <w:t>合同编号：</w:t>
      </w:r>
    </w:p>
    <w:p>
      <w:pPr>
        <w:pStyle w:val="26"/>
        <w:snapToGrid w:val="0"/>
        <w:spacing w:line="360" w:lineRule="auto"/>
        <w:rPr>
          <w:rFonts w:cs="宋体"/>
          <w:color w:val="auto"/>
        </w:rPr>
      </w:pPr>
      <w:r>
        <w:rPr>
          <w:rFonts w:hint="eastAsia" w:cs="宋体"/>
          <w:color w:val="auto"/>
        </w:rPr>
        <w:t>签订地点：                                 签订时间：2024年  月  日</w:t>
      </w:r>
    </w:p>
    <w:p>
      <w:pPr>
        <w:pStyle w:val="26"/>
        <w:snapToGrid w:val="0"/>
        <w:spacing w:line="360" w:lineRule="auto"/>
        <w:rPr>
          <w:rFonts w:cs="宋体"/>
          <w:color w:val="auto"/>
        </w:rPr>
      </w:pPr>
      <w:r>
        <w:rPr>
          <w:rFonts w:hint="eastAsia" w:cs="宋体"/>
          <w:color w:val="auto"/>
        </w:rPr>
        <w:t>项目名称：</w:t>
      </w:r>
    </w:p>
    <w:p>
      <w:pPr>
        <w:pStyle w:val="26"/>
        <w:snapToGrid w:val="0"/>
        <w:spacing w:line="360" w:lineRule="auto"/>
        <w:rPr>
          <w:rFonts w:cs="宋体"/>
          <w:color w:val="auto"/>
        </w:rPr>
      </w:pPr>
      <w:r>
        <w:rPr>
          <w:rFonts w:hint="eastAsia" w:cs="宋体"/>
          <w:color w:val="auto"/>
        </w:rPr>
        <w:t xml:space="preserve">甲方（需方）：                                     </w:t>
      </w:r>
    </w:p>
    <w:p>
      <w:pPr>
        <w:pStyle w:val="26"/>
        <w:snapToGrid w:val="0"/>
        <w:spacing w:line="360" w:lineRule="auto"/>
        <w:rPr>
          <w:rFonts w:cs="宋体"/>
          <w:color w:val="auto"/>
        </w:rPr>
      </w:pPr>
      <w:r>
        <w:rPr>
          <w:rFonts w:hint="eastAsia" w:cs="宋体"/>
          <w:color w:val="auto"/>
        </w:rPr>
        <w:t xml:space="preserve">乙方（供方）：                                     </w:t>
      </w:r>
    </w:p>
    <w:p>
      <w:pPr>
        <w:pStyle w:val="26"/>
        <w:snapToGrid w:val="0"/>
        <w:spacing w:line="360" w:lineRule="auto"/>
        <w:rPr>
          <w:rFonts w:cs="宋体"/>
          <w:color w:val="auto"/>
        </w:rPr>
      </w:pPr>
      <w:r>
        <w:rPr>
          <w:rFonts w:hint="eastAsia" w:cs="宋体"/>
          <w:color w:val="auto"/>
        </w:rPr>
        <w:t>供、需双方根据</w:t>
      </w:r>
      <w:r>
        <w:rPr>
          <w:rFonts w:hint="eastAsia" w:cs="宋体"/>
          <w:bCs/>
          <w:color w:val="auto"/>
          <w:u w:val="single"/>
        </w:rPr>
        <w:t xml:space="preserve">                      项目</w:t>
      </w:r>
      <w:r>
        <w:rPr>
          <w:rFonts w:hint="eastAsia" w:cs="宋体"/>
          <w:color w:val="auto"/>
        </w:rPr>
        <w:t>（交易编号  -  -   ）成交结果和公开竞争文件的要求，并经双方协调一致，订立本合同。</w:t>
      </w:r>
    </w:p>
    <w:p>
      <w:pPr>
        <w:pStyle w:val="26"/>
        <w:snapToGrid w:val="0"/>
        <w:spacing w:line="360" w:lineRule="auto"/>
        <w:rPr>
          <w:rFonts w:cs="宋体"/>
          <w:color w:val="auto"/>
        </w:rPr>
      </w:pPr>
      <w:r>
        <w:rPr>
          <w:rFonts w:hint="eastAsia" w:cs="宋体"/>
          <w:color w:val="auto"/>
        </w:rPr>
        <w:t>一、合同文件：</w:t>
      </w:r>
    </w:p>
    <w:p>
      <w:pPr>
        <w:pStyle w:val="26"/>
        <w:snapToGrid w:val="0"/>
        <w:spacing w:line="360" w:lineRule="auto"/>
        <w:rPr>
          <w:rFonts w:cs="宋体"/>
          <w:color w:val="auto"/>
        </w:rPr>
      </w:pPr>
      <w:r>
        <w:rPr>
          <w:rFonts w:hint="eastAsia" w:cs="宋体"/>
          <w:color w:val="auto"/>
        </w:rPr>
        <w:t>1、合同条款。</w:t>
      </w:r>
    </w:p>
    <w:p>
      <w:pPr>
        <w:pStyle w:val="26"/>
        <w:snapToGrid w:val="0"/>
        <w:spacing w:line="360" w:lineRule="auto"/>
        <w:rPr>
          <w:rFonts w:cs="宋体"/>
          <w:color w:val="auto"/>
        </w:rPr>
      </w:pPr>
      <w:r>
        <w:rPr>
          <w:rFonts w:hint="eastAsia" w:cs="宋体"/>
          <w:color w:val="auto"/>
        </w:rPr>
        <w:t>2、成交通知书。</w:t>
      </w:r>
    </w:p>
    <w:p>
      <w:pPr>
        <w:pStyle w:val="26"/>
        <w:snapToGrid w:val="0"/>
        <w:spacing w:line="360" w:lineRule="auto"/>
        <w:rPr>
          <w:rFonts w:cs="宋体"/>
          <w:color w:val="auto"/>
        </w:rPr>
      </w:pPr>
      <w:r>
        <w:rPr>
          <w:rFonts w:hint="eastAsia" w:cs="宋体"/>
          <w:color w:val="auto"/>
        </w:rPr>
        <w:t>3、公开竞争文件。</w:t>
      </w:r>
    </w:p>
    <w:p>
      <w:pPr>
        <w:pStyle w:val="26"/>
        <w:snapToGrid w:val="0"/>
        <w:spacing w:line="360" w:lineRule="auto"/>
        <w:rPr>
          <w:rFonts w:cs="宋体"/>
          <w:color w:val="auto"/>
        </w:rPr>
      </w:pPr>
      <w:r>
        <w:rPr>
          <w:rFonts w:hint="eastAsia" w:cs="宋体"/>
          <w:color w:val="auto"/>
        </w:rPr>
        <w:t>4、更正公告。</w:t>
      </w:r>
    </w:p>
    <w:p>
      <w:pPr>
        <w:pStyle w:val="26"/>
        <w:snapToGrid w:val="0"/>
        <w:spacing w:line="360" w:lineRule="auto"/>
        <w:rPr>
          <w:rFonts w:cs="宋体"/>
          <w:color w:val="auto"/>
        </w:rPr>
      </w:pPr>
      <w:r>
        <w:rPr>
          <w:rFonts w:hint="eastAsia" w:cs="宋体"/>
          <w:color w:val="auto"/>
        </w:rPr>
        <w:t>5、成交单位响应文件。</w:t>
      </w:r>
    </w:p>
    <w:p>
      <w:pPr>
        <w:pStyle w:val="26"/>
        <w:snapToGrid w:val="0"/>
        <w:spacing w:line="360" w:lineRule="auto"/>
        <w:rPr>
          <w:rFonts w:cs="宋体"/>
          <w:color w:val="auto"/>
        </w:rPr>
      </w:pPr>
      <w:r>
        <w:rPr>
          <w:rFonts w:hint="eastAsia" w:cs="宋体"/>
          <w:color w:val="auto"/>
        </w:rPr>
        <w:t>6、其他。</w:t>
      </w:r>
    </w:p>
    <w:p>
      <w:pPr>
        <w:pStyle w:val="26"/>
        <w:snapToGrid w:val="0"/>
        <w:spacing w:line="360" w:lineRule="auto"/>
        <w:rPr>
          <w:rFonts w:cs="宋体"/>
          <w:color w:val="auto"/>
        </w:rPr>
      </w:pPr>
      <w:r>
        <w:rPr>
          <w:rFonts w:hint="eastAsia" w:cs="宋体"/>
          <w:color w:val="auto"/>
        </w:rPr>
        <w:t>二、合同金额: 本合同金额为（大写）</w:t>
      </w:r>
      <w:r>
        <w:rPr>
          <w:rFonts w:hint="eastAsia" w:cs="宋体"/>
          <w:color w:val="auto"/>
          <w:u w:val="single"/>
        </w:rPr>
        <w:t>　　　　</w:t>
      </w:r>
      <w:r>
        <w:rPr>
          <w:rFonts w:hint="eastAsia" w:cs="宋体"/>
          <w:color w:val="auto"/>
        </w:rPr>
        <w:t>元（￥</w:t>
      </w:r>
      <w:r>
        <w:rPr>
          <w:rFonts w:hint="eastAsia" w:cs="宋体"/>
          <w:color w:val="auto"/>
          <w:u w:val="single"/>
        </w:rPr>
        <w:t>　　　　</w:t>
      </w:r>
      <w:r>
        <w:rPr>
          <w:rFonts w:hint="eastAsia" w:cs="宋体"/>
          <w:color w:val="auto"/>
        </w:rPr>
        <w:t>元）人民币。</w:t>
      </w:r>
    </w:p>
    <w:p>
      <w:pPr>
        <w:pStyle w:val="26"/>
        <w:snapToGrid w:val="0"/>
        <w:spacing w:line="360" w:lineRule="auto"/>
        <w:rPr>
          <w:rFonts w:cs="宋体"/>
          <w:color w:val="auto"/>
        </w:rPr>
      </w:pPr>
      <w:r>
        <w:rPr>
          <w:rFonts w:hint="eastAsia" w:cs="宋体"/>
          <w:color w:val="auto"/>
        </w:rPr>
        <w:t>附：</w:t>
      </w:r>
    </w:p>
    <w:p>
      <w:pPr>
        <w:pStyle w:val="26"/>
        <w:snapToGrid w:val="0"/>
        <w:spacing w:line="360" w:lineRule="auto"/>
        <w:rPr>
          <w:rFonts w:cs="宋体"/>
          <w:color w:val="auto"/>
        </w:rPr>
      </w:pPr>
      <w:r>
        <w:rPr>
          <w:rFonts w:hint="eastAsia" w:cs="宋体"/>
          <w:color w:val="auto"/>
        </w:rPr>
        <w:t>《项目清单内容》</w:t>
      </w:r>
    </w:p>
    <w:tbl>
      <w:tblPr>
        <w:tblStyle w:val="63"/>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项目</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数量</w:t>
            </w: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pStyle w:val="26"/>
        <w:snapToGrid w:val="0"/>
        <w:spacing w:line="360" w:lineRule="auto"/>
        <w:rPr>
          <w:rFonts w:cs="宋体"/>
          <w:color w:val="auto"/>
        </w:rPr>
      </w:pPr>
      <w:r>
        <w:rPr>
          <w:rFonts w:hint="eastAsia" w:cs="宋体"/>
          <w:color w:val="auto"/>
        </w:rPr>
        <w:t>三、技术资料</w:t>
      </w:r>
    </w:p>
    <w:p>
      <w:pPr>
        <w:pStyle w:val="26"/>
        <w:snapToGrid w:val="0"/>
        <w:spacing w:line="360" w:lineRule="auto"/>
        <w:rPr>
          <w:rFonts w:cs="宋体"/>
          <w:color w:val="auto"/>
        </w:rPr>
      </w:pPr>
      <w:r>
        <w:rPr>
          <w:rFonts w:hint="eastAsia" w:cs="宋体"/>
          <w:color w:val="auto"/>
        </w:rPr>
        <w:t>1.乙方应按公开竞争文件规定的时间向甲方提供有关技术资料。</w:t>
      </w:r>
    </w:p>
    <w:p>
      <w:pPr>
        <w:pStyle w:val="26"/>
        <w:snapToGrid w:val="0"/>
        <w:spacing w:line="360" w:lineRule="auto"/>
        <w:rPr>
          <w:rFonts w:cs="宋体"/>
          <w:color w:val="auto"/>
        </w:rPr>
      </w:pPr>
      <w:r>
        <w:rPr>
          <w:rFonts w:hint="eastAsia" w:cs="宋体"/>
          <w:color w:val="auto"/>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6"/>
        <w:snapToGrid w:val="0"/>
        <w:spacing w:line="360" w:lineRule="auto"/>
        <w:rPr>
          <w:rFonts w:cs="宋体"/>
          <w:color w:val="auto"/>
        </w:rPr>
      </w:pPr>
      <w:r>
        <w:rPr>
          <w:rFonts w:hint="eastAsia" w:cs="宋体"/>
          <w:color w:val="auto"/>
        </w:rPr>
        <w:t>四、转包或分包</w:t>
      </w:r>
    </w:p>
    <w:p>
      <w:pPr>
        <w:pStyle w:val="26"/>
        <w:snapToGrid w:val="0"/>
        <w:spacing w:line="360" w:lineRule="auto"/>
        <w:rPr>
          <w:rFonts w:cs="宋体"/>
          <w:color w:val="auto"/>
        </w:rPr>
      </w:pPr>
      <w:r>
        <w:rPr>
          <w:rFonts w:hint="eastAsia" w:cs="宋体"/>
          <w:color w:val="auto"/>
        </w:rPr>
        <w:t>1.本合同范围的服务，应由乙方直接提供，乙方不得将本合同范围的服务全部或部分分包给他人供应；</w:t>
      </w:r>
    </w:p>
    <w:p>
      <w:pPr>
        <w:pStyle w:val="26"/>
        <w:snapToGrid w:val="0"/>
        <w:spacing w:line="360" w:lineRule="auto"/>
        <w:rPr>
          <w:rFonts w:cs="宋体"/>
          <w:color w:val="auto"/>
        </w:rPr>
      </w:pPr>
      <w:r>
        <w:rPr>
          <w:rFonts w:hint="eastAsia" w:cs="宋体"/>
          <w:color w:val="auto"/>
        </w:rPr>
        <w:t>2.如有转让和未经甲方同意的分包行为，甲方有权解除合同，追究乙方的违约责任。</w:t>
      </w:r>
    </w:p>
    <w:p>
      <w:pPr>
        <w:pStyle w:val="26"/>
        <w:snapToGrid w:val="0"/>
        <w:spacing w:line="360" w:lineRule="auto"/>
        <w:rPr>
          <w:rFonts w:cs="宋体"/>
          <w:color w:val="auto"/>
        </w:rPr>
      </w:pPr>
      <w:r>
        <w:rPr>
          <w:rFonts w:hint="eastAsia" w:cs="宋体"/>
          <w:color w:val="auto"/>
        </w:rPr>
        <w:t>五、服务质量保证期</w:t>
      </w:r>
    </w:p>
    <w:p>
      <w:pPr>
        <w:pStyle w:val="26"/>
        <w:snapToGrid w:val="0"/>
        <w:spacing w:line="360" w:lineRule="auto"/>
        <w:rPr>
          <w:rFonts w:cs="宋体"/>
          <w:color w:val="auto"/>
        </w:rPr>
      </w:pPr>
      <w:r>
        <w:rPr>
          <w:rFonts w:hint="eastAsia" w:cs="宋体"/>
          <w:color w:val="auto"/>
        </w:rPr>
        <w:t>1. 服务时间：</w:t>
      </w:r>
    </w:p>
    <w:p>
      <w:pPr>
        <w:pStyle w:val="26"/>
        <w:snapToGrid w:val="0"/>
        <w:spacing w:line="360" w:lineRule="auto"/>
        <w:rPr>
          <w:rFonts w:cs="宋体"/>
          <w:color w:val="auto"/>
        </w:rPr>
      </w:pPr>
      <w:r>
        <w:rPr>
          <w:rFonts w:hint="eastAsia" w:cs="宋体"/>
          <w:color w:val="auto"/>
        </w:rPr>
        <w:t>六、合同履行时间、履行方式及履行地点</w:t>
      </w:r>
    </w:p>
    <w:p>
      <w:pPr>
        <w:pStyle w:val="26"/>
        <w:snapToGrid w:val="0"/>
        <w:spacing w:line="360" w:lineRule="auto"/>
        <w:rPr>
          <w:rFonts w:cs="宋体"/>
          <w:color w:val="auto"/>
        </w:rPr>
      </w:pPr>
      <w:r>
        <w:rPr>
          <w:rFonts w:hint="eastAsia" w:cs="宋体"/>
          <w:color w:val="auto"/>
        </w:rPr>
        <w:t>1. 履行时间：</w:t>
      </w:r>
    </w:p>
    <w:p>
      <w:pPr>
        <w:pStyle w:val="26"/>
        <w:snapToGrid w:val="0"/>
        <w:spacing w:line="360" w:lineRule="auto"/>
        <w:rPr>
          <w:rFonts w:cs="宋体"/>
          <w:color w:val="auto"/>
        </w:rPr>
      </w:pPr>
      <w:r>
        <w:rPr>
          <w:rFonts w:hint="eastAsia" w:cs="宋体"/>
          <w:color w:val="auto"/>
        </w:rPr>
        <w:t>2. 履行方式：按合同履行。</w:t>
      </w:r>
    </w:p>
    <w:p>
      <w:pPr>
        <w:pStyle w:val="26"/>
        <w:snapToGrid w:val="0"/>
        <w:spacing w:line="360" w:lineRule="auto"/>
        <w:rPr>
          <w:rFonts w:cs="宋体"/>
          <w:color w:val="auto"/>
        </w:rPr>
      </w:pPr>
      <w:r>
        <w:rPr>
          <w:rFonts w:hint="eastAsia" w:cs="宋体"/>
          <w:color w:val="auto"/>
        </w:rPr>
        <w:t>3. 履行地点：甲方指定地点内。</w:t>
      </w:r>
    </w:p>
    <w:p>
      <w:pPr>
        <w:pStyle w:val="26"/>
        <w:snapToGrid w:val="0"/>
        <w:spacing w:line="360" w:lineRule="auto"/>
        <w:rPr>
          <w:rFonts w:cs="宋体"/>
          <w:color w:val="auto"/>
        </w:rPr>
      </w:pPr>
      <w:r>
        <w:rPr>
          <w:rFonts w:hint="eastAsia" w:cs="宋体"/>
          <w:color w:val="auto"/>
        </w:rPr>
        <w:t>七、款项支付</w:t>
      </w:r>
    </w:p>
    <w:p>
      <w:pPr>
        <w:pStyle w:val="26"/>
        <w:snapToGrid w:val="0"/>
        <w:spacing w:line="360" w:lineRule="auto"/>
        <w:rPr>
          <w:rFonts w:cs="宋体"/>
          <w:color w:val="auto"/>
        </w:rPr>
      </w:pPr>
      <w:r>
        <w:rPr>
          <w:rFonts w:hint="eastAsia" w:cs="宋体"/>
          <w:color w:val="auto"/>
        </w:rPr>
        <w:t xml:space="preserve">本合同签订执行之日起十个工作日内，一次性支付。 </w:t>
      </w:r>
    </w:p>
    <w:p>
      <w:pPr>
        <w:pStyle w:val="26"/>
        <w:snapToGrid w:val="0"/>
        <w:spacing w:line="360" w:lineRule="auto"/>
        <w:rPr>
          <w:rFonts w:cs="宋体"/>
          <w:color w:val="auto"/>
        </w:rPr>
      </w:pPr>
      <w:r>
        <w:rPr>
          <w:rFonts w:hint="eastAsia" w:cs="宋体"/>
          <w:color w:val="auto"/>
        </w:rPr>
        <w:t>八、税费</w:t>
      </w:r>
    </w:p>
    <w:p>
      <w:pPr>
        <w:pStyle w:val="26"/>
        <w:snapToGrid w:val="0"/>
        <w:spacing w:line="360" w:lineRule="auto"/>
        <w:rPr>
          <w:rFonts w:cs="宋体"/>
          <w:color w:val="auto"/>
        </w:rPr>
      </w:pPr>
      <w:r>
        <w:rPr>
          <w:rFonts w:hint="eastAsia" w:cs="宋体"/>
          <w:color w:val="auto"/>
        </w:rPr>
        <w:t>本合同执行中相关的一切税费均由乙方负担。</w:t>
      </w:r>
    </w:p>
    <w:p>
      <w:pPr>
        <w:pStyle w:val="26"/>
        <w:snapToGrid w:val="0"/>
        <w:spacing w:line="360" w:lineRule="auto"/>
        <w:rPr>
          <w:rFonts w:cs="宋体"/>
          <w:color w:val="auto"/>
        </w:rPr>
      </w:pPr>
      <w:r>
        <w:rPr>
          <w:rFonts w:hint="eastAsia" w:cs="宋体"/>
          <w:color w:val="auto"/>
        </w:rPr>
        <w:t>九、质量保证及后续服务</w:t>
      </w:r>
    </w:p>
    <w:p>
      <w:pPr>
        <w:pStyle w:val="26"/>
        <w:snapToGrid w:val="0"/>
        <w:spacing w:line="360" w:lineRule="auto"/>
        <w:rPr>
          <w:rFonts w:cs="宋体"/>
          <w:color w:val="auto"/>
        </w:rPr>
      </w:pPr>
      <w:r>
        <w:rPr>
          <w:rFonts w:hint="eastAsia" w:cs="宋体"/>
          <w:color w:val="auto"/>
        </w:rPr>
        <w:t>1. 乙方应按公开竞争文件规定向甲方提供服务。</w:t>
      </w:r>
    </w:p>
    <w:p>
      <w:pPr>
        <w:pStyle w:val="26"/>
        <w:snapToGrid w:val="0"/>
        <w:spacing w:line="360" w:lineRule="auto"/>
        <w:rPr>
          <w:rFonts w:cs="宋体"/>
          <w:color w:val="auto"/>
        </w:rPr>
      </w:pPr>
      <w:r>
        <w:rPr>
          <w:rFonts w:hint="eastAsia" w:cs="宋体"/>
          <w:color w:val="auto"/>
        </w:rPr>
        <w:t>2. 乙方提供的服务发生问题或产出重大不良影响的，除按结算条款扣除结算金额外，乙方应负责免费提供后续善后服务，同时承担相应责任。</w:t>
      </w:r>
    </w:p>
    <w:p>
      <w:pPr>
        <w:pStyle w:val="26"/>
        <w:snapToGrid w:val="0"/>
        <w:spacing w:line="360" w:lineRule="auto"/>
        <w:rPr>
          <w:rFonts w:cs="宋体"/>
          <w:color w:val="auto"/>
        </w:rPr>
      </w:pPr>
      <w:r>
        <w:rPr>
          <w:rFonts w:hint="eastAsia" w:cs="宋体"/>
          <w:color w:val="auto"/>
        </w:rPr>
        <w:t>十、违约责任</w:t>
      </w:r>
    </w:p>
    <w:p>
      <w:pPr>
        <w:pStyle w:val="26"/>
        <w:snapToGrid w:val="0"/>
        <w:spacing w:line="360" w:lineRule="auto"/>
        <w:rPr>
          <w:rFonts w:cs="宋体"/>
          <w:color w:val="auto"/>
        </w:rPr>
      </w:pPr>
      <w:r>
        <w:rPr>
          <w:rFonts w:hint="eastAsia" w:cs="宋体"/>
          <w:color w:val="auto"/>
        </w:rPr>
        <w:t>1.甲方无正当理由拒绝接收服务的，甲方向乙方偿付合同款项百分之五作为违约金。</w:t>
      </w:r>
    </w:p>
    <w:p>
      <w:pPr>
        <w:pStyle w:val="26"/>
        <w:snapToGrid w:val="0"/>
        <w:spacing w:line="360" w:lineRule="auto"/>
        <w:rPr>
          <w:rFonts w:cs="宋体"/>
          <w:color w:val="auto"/>
        </w:rPr>
      </w:pPr>
      <w:r>
        <w:rPr>
          <w:rFonts w:hint="eastAsia" w:cs="宋体"/>
          <w:color w:val="auto"/>
        </w:rPr>
        <w:t>2.乙方未能如期提供服务的，每日向甲方支付合同款项的千分之六作为违约金。乙方超过约定日期10个工作日仍不能提供服务的，甲方可解除本合同，追究乙赔偿责任。</w:t>
      </w:r>
    </w:p>
    <w:p>
      <w:pPr>
        <w:pStyle w:val="26"/>
        <w:snapToGrid w:val="0"/>
        <w:spacing w:line="360" w:lineRule="auto"/>
        <w:rPr>
          <w:rFonts w:cs="宋体"/>
          <w:color w:val="auto"/>
        </w:rPr>
      </w:pPr>
      <w:r>
        <w:rPr>
          <w:rFonts w:hint="eastAsia" w:cs="宋体"/>
          <w:color w:val="auto"/>
        </w:rPr>
        <w:t>3.如发现乙方违反公开竞争文件、响应文件和合同的有关规定，甲方有权根据约定和《杭州市政府采购响应人合同履行和售后服务考核暂行办法》，对乙方进行处罚，并有权提前终止合同。</w:t>
      </w:r>
    </w:p>
    <w:p>
      <w:pPr>
        <w:pStyle w:val="26"/>
        <w:snapToGrid w:val="0"/>
        <w:spacing w:line="360" w:lineRule="auto"/>
        <w:rPr>
          <w:rFonts w:cs="宋体"/>
          <w:color w:val="auto"/>
        </w:rPr>
      </w:pPr>
      <w:r>
        <w:rPr>
          <w:rFonts w:hint="eastAsia" w:cs="宋体"/>
          <w:color w:val="auto"/>
        </w:rPr>
        <w:t>十一、争议的解决</w:t>
      </w:r>
    </w:p>
    <w:p>
      <w:pPr>
        <w:pStyle w:val="26"/>
        <w:snapToGrid w:val="0"/>
        <w:spacing w:line="360" w:lineRule="auto"/>
        <w:rPr>
          <w:rFonts w:cs="宋体"/>
          <w:color w:val="auto"/>
        </w:rPr>
      </w:pPr>
      <w:r>
        <w:rPr>
          <w:rFonts w:hint="eastAsia" w:cs="宋体"/>
          <w:color w:val="auto"/>
        </w:rPr>
        <w:t>因本合同引起的或与本合同有关的任何争议，合同双方应首先通过协商解决，达成书面协议，如协商不成，可选择下列</w:t>
      </w:r>
      <w:r>
        <w:rPr>
          <w:rFonts w:hint="eastAsia" w:cs="宋体"/>
          <w:color w:val="auto"/>
          <w:u w:val="single"/>
        </w:rPr>
        <w:t xml:space="preserve"> （2） </w:t>
      </w:r>
      <w:r>
        <w:rPr>
          <w:rFonts w:hint="eastAsia" w:cs="宋体"/>
          <w:color w:val="auto"/>
        </w:rPr>
        <w:t>方式解决。</w:t>
      </w:r>
    </w:p>
    <w:p>
      <w:pPr>
        <w:pStyle w:val="26"/>
        <w:snapToGrid w:val="0"/>
        <w:spacing w:line="360" w:lineRule="auto"/>
        <w:rPr>
          <w:rFonts w:cs="宋体"/>
          <w:color w:val="auto"/>
        </w:rPr>
      </w:pPr>
      <w:r>
        <w:rPr>
          <w:rFonts w:hint="eastAsia" w:cs="宋体"/>
          <w:color w:val="auto"/>
        </w:rPr>
        <w:t>（1）提请杭州仲裁委员会按照该会仲裁规则进行仲裁，仲裁裁决是终局的，对合同双方均有约束力。</w:t>
      </w:r>
    </w:p>
    <w:p>
      <w:pPr>
        <w:pStyle w:val="26"/>
        <w:snapToGrid w:val="0"/>
        <w:spacing w:line="360" w:lineRule="auto"/>
        <w:rPr>
          <w:rFonts w:cs="宋体"/>
          <w:color w:val="auto"/>
        </w:rPr>
      </w:pPr>
      <w:r>
        <w:rPr>
          <w:rFonts w:hint="eastAsia" w:cs="宋体"/>
          <w:color w:val="auto"/>
        </w:rPr>
        <w:t>（2）向有管辖权的人民法院提起诉讼。</w:t>
      </w:r>
    </w:p>
    <w:p>
      <w:pPr>
        <w:pStyle w:val="26"/>
        <w:snapToGrid w:val="0"/>
        <w:spacing w:line="360" w:lineRule="auto"/>
        <w:rPr>
          <w:rFonts w:cs="宋体"/>
          <w:color w:val="auto"/>
        </w:rPr>
      </w:pPr>
      <w:r>
        <w:rPr>
          <w:rFonts w:hint="eastAsia" w:cs="宋体"/>
          <w:color w:val="auto"/>
        </w:rPr>
        <w:t>十二、合同生效</w:t>
      </w:r>
    </w:p>
    <w:p>
      <w:pPr>
        <w:pStyle w:val="26"/>
        <w:snapToGrid w:val="0"/>
        <w:spacing w:line="360" w:lineRule="auto"/>
        <w:rPr>
          <w:rFonts w:cs="宋体"/>
          <w:color w:val="auto"/>
        </w:rPr>
      </w:pPr>
      <w:r>
        <w:rPr>
          <w:rFonts w:hint="eastAsia" w:cs="宋体"/>
          <w:color w:val="auto"/>
        </w:rPr>
        <w:t>1.成交方持成交通知书作为与需方签订合同的凭证。</w:t>
      </w:r>
    </w:p>
    <w:p>
      <w:pPr>
        <w:pStyle w:val="26"/>
        <w:snapToGrid w:val="0"/>
        <w:spacing w:line="360" w:lineRule="auto"/>
        <w:rPr>
          <w:rFonts w:cs="宋体"/>
          <w:color w:val="auto"/>
        </w:rPr>
      </w:pPr>
      <w:r>
        <w:rPr>
          <w:rFonts w:hint="eastAsia" w:cs="宋体"/>
          <w:color w:val="auto"/>
        </w:rPr>
        <w:t>2.本合同经需、供双方法定代表人或其授权委托人签字并加盖单位公章后生效。</w:t>
      </w:r>
    </w:p>
    <w:p>
      <w:pPr>
        <w:pStyle w:val="26"/>
        <w:snapToGrid w:val="0"/>
        <w:spacing w:line="360" w:lineRule="auto"/>
        <w:rPr>
          <w:rFonts w:cs="宋体"/>
          <w:color w:val="auto"/>
        </w:rPr>
      </w:pPr>
    </w:p>
    <w:p>
      <w:pPr>
        <w:pStyle w:val="26"/>
        <w:snapToGrid w:val="0"/>
        <w:spacing w:line="360" w:lineRule="auto"/>
        <w:rPr>
          <w:rFonts w:cs="宋体"/>
          <w:color w:val="auto"/>
        </w:rPr>
      </w:pPr>
      <w:r>
        <w:rPr>
          <w:rFonts w:hint="eastAsia" w:cs="宋体"/>
          <w:color w:val="auto"/>
        </w:rPr>
        <w:t>需方（盖章）：                     供方（盖章）：</w:t>
      </w:r>
    </w:p>
    <w:p>
      <w:pPr>
        <w:pStyle w:val="26"/>
        <w:snapToGrid w:val="0"/>
        <w:spacing w:line="360" w:lineRule="auto"/>
        <w:rPr>
          <w:rFonts w:cs="宋体"/>
          <w:color w:val="auto"/>
        </w:rPr>
      </w:pPr>
      <w:r>
        <w:rPr>
          <w:rFonts w:hint="eastAsia" w:cs="宋体"/>
          <w:color w:val="auto"/>
        </w:rPr>
        <w:t>地址：                             地址：</w:t>
      </w:r>
    </w:p>
    <w:p>
      <w:pPr>
        <w:pStyle w:val="26"/>
        <w:snapToGrid w:val="0"/>
        <w:spacing w:line="360" w:lineRule="auto"/>
        <w:rPr>
          <w:rFonts w:cs="宋体"/>
          <w:color w:val="auto"/>
        </w:rPr>
      </w:pPr>
      <w:r>
        <w:rPr>
          <w:rFonts w:hint="eastAsia" w:cs="宋体"/>
          <w:color w:val="auto"/>
        </w:rPr>
        <w:t>法定代表人（或委托代理人）签名：   法定代表人（或委托代理人）签名：</w:t>
      </w:r>
    </w:p>
    <w:p>
      <w:pPr>
        <w:pStyle w:val="26"/>
        <w:snapToGrid w:val="0"/>
        <w:spacing w:line="360" w:lineRule="auto"/>
        <w:rPr>
          <w:rFonts w:cs="宋体"/>
          <w:color w:val="auto"/>
        </w:rPr>
      </w:pPr>
      <w:r>
        <w:rPr>
          <w:rFonts w:hint="eastAsia" w:cs="宋体"/>
          <w:color w:val="auto"/>
        </w:rPr>
        <w:t>联系电话：                         联系电话：</w:t>
      </w:r>
    </w:p>
    <w:p>
      <w:pPr>
        <w:pStyle w:val="26"/>
        <w:snapToGrid w:val="0"/>
        <w:spacing w:line="360" w:lineRule="auto"/>
        <w:rPr>
          <w:rFonts w:cs="宋体"/>
          <w:color w:val="auto"/>
        </w:rPr>
      </w:pPr>
      <w:r>
        <w:rPr>
          <w:rFonts w:hint="eastAsia" w:cs="宋体"/>
          <w:color w:val="auto"/>
        </w:rPr>
        <w:t>邮政编码：                         邮政编码：</w:t>
      </w:r>
    </w:p>
    <w:p>
      <w:pPr>
        <w:pStyle w:val="26"/>
        <w:snapToGrid w:val="0"/>
        <w:spacing w:line="360" w:lineRule="auto"/>
        <w:rPr>
          <w:rFonts w:cs="宋体"/>
          <w:color w:val="auto"/>
        </w:rPr>
      </w:pPr>
      <w:r>
        <w:rPr>
          <w:rFonts w:hint="eastAsia" w:cs="宋体"/>
          <w:color w:val="auto"/>
        </w:rPr>
        <w:t xml:space="preserve">开户银行：                         开户银行：      </w:t>
      </w:r>
    </w:p>
    <w:p>
      <w:pPr>
        <w:pStyle w:val="26"/>
        <w:snapToGrid w:val="0"/>
        <w:spacing w:line="360" w:lineRule="auto"/>
        <w:rPr>
          <w:rFonts w:cs="宋体"/>
          <w:color w:val="auto"/>
        </w:rPr>
      </w:pPr>
      <w:r>
        <w:rPr>
          <w:rFonts w:hint="eastAsia" w:cs="宋体"/>
          <w:color w:val="auto"/>
        </w:rPr>
        <w:t>帐号：                             帐号：</w:t>
      </w:r>
    </w:p>
    <w:p>
      <w:pPr>
        <w:rPr>
          <w:rFonts w:ascii="宋体" w:hAnsi="宋体" w:cs="宋体"/>
          <w:color w:val="auto"/>
          <w:sz w:val="24"/>
        </w:rPr>
      </w:pPr>
      <w:r>
        <w:rPr>
          <w:rFonts w:hint="eastAsia" w:ascii="宋体" w:hAnsi="宋体" w:cs="宋体"/>
          <w:color w:val="auto"/>
          <w:sz w:val="24"/>
        </w:rPr>
        <w:br w:type="page"/>
      </w:r>
    </w:p>
    <w:p>
      <w:pPr>
        <w:rPr>
          <w:rFonts w:ascii="宋体" w:hAnsi="宋体" w:cs="宋体"/>
          <w:color w:val="auto"/>
        </w:rPr>
      </w:pPr>
    </w:p>
    <w:p>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79"/>
      <w:r>
        <w:rPr>
          <w:rFonts w:hint="eastAsia" w:ascii="宋体" w:hAnsi="宋体" w:cs="宋体"/>
          <w:b/>
          <w:color w:val="auto"/>
          <w:sz w:val="36"/>
          <w:szCs w:val="20"/>
        </w:rPr>
        <w:t xml:space="preserve"> </w:t>
      </w:r>
      <w:bookmarkEnd w:id="380"/>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（1）符合参加交易活动应当具备的一般条件的承诺函…………………（页码）</w:t>
      </w:r>
    </w:p>
    <w:p>
      <w:pPr>
        <w:snapToGrid w:val="0"/>
        <w:spacing w:line="360" w:lineRule="auto"/>
        <w:rPr>
          <w:rFonts w:ascii="宋体" w:hAnsi="宋体" w:cs="宋体"/>
          <w:color w:val="auto"/>
          <w:sz w:val="24"/>
        </w:rPr>
      </w:pPr>
      <w:r>
        <w:rPr>
          <w:rFonts w:hint="eastAsia" w:ascii="宋体" w:hAnsi="宋体" w:cs="宋体"/>
          <w:color w:val="auto"/>
          <w:sz w:val="24"/>
        </w:rPr>
        <w:t>（2）本项目的特定资格要求………………………………………………（页码）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符合参加交易活动应当具备的一般条件的承诺函</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u w:val="single"/>
        </w:rPr>
      </w:pPr>
      <w:r>
        <w:rPr>
          <w:rFonts w:hint="eastAsia" w:ascii="宋体" w:hAnsi="宋体" w:cs="宋体"/>
          <w:color w:val="auto"/>
          <w:sz w:val="24"/>
          <w:u w:val="single"/>
        </w:rPr>
        <w:t>（交易发起人）、（代理机构）：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（项目名称）【交易编号：    】</w:t>
      </w:r>
      <w:r>
        <w:rPr>
          <w:rFonts w:hint="eastAsia" w:ascii="宋体" w:hAnsi="宋体" w:cs="宋体"/>
          <w:color w:val="auto"/>
          <w:sz w:val="24"/>
        </w:rPr>
        <w:t>交易活动，郑重承诺：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（一）具备以下条件：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5、参加交易活动前三年内，在经营活动中没有重大违法记录；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5520" w:firstLineChars="2300"/>
        <w:rPr>
          <w:rFonts w:ascii="宋体" w:hAnsi="宋体" w:cs="宋体"/>
          <w:color w:val="auto"/>
          <w:kern w:val="0"/>
          <w:sz w:val="24"/>
          <w:lang w:val="zh-CN"/>
        </w:rPr>
      </w:pPr>
    </w:p>
    <w:p>
      <w:pPr>
        <w:snapToGrid w:val="0"/>
        <w:spacing w:line="360" w:lineRule="auto"/>
        <w:ind w:firstLine="5520" w:firstLineChars="2300"/>
        <w:rPr>
          <w:rFonts w:ascii="宋体" w:hAnsi="宋体" w:cs="宋体"/>
          <w:color w:val="auto"/>
          <w:kern w:val="0"/>
          <w:sz w:val="24"/>
          <w:lang w:val="zh-CN"/>
        </w:rPr>
      </w:pPr>
    </w:p>
    <w:p>
      <w:pPr>
        <w:snapToGrid w:val="0"/>
        <w:spacing w:line="360" w:lineRule="auto"/>
        <w:ind w:firstLine="5520" w:firstLineChars="2300"/>
        <w:rPr>
          <w:rFonts w:ascii="宋体" w:hAnsi="宋体" w:cs="宋体"/>
          <w:color w:val="auto"/>
          <w:kern w:val="0"/>
          <w:sz w:val="24"/>
          <w:lang w:val="zh-CN"/>
        </w:rPr>
      </w:pP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响应人名称(电子签名)：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b/>
          <w:color w:val="auto"/>
          <w:kern w:val="0"/>
          <w:sz w:val="32"/>
          <w:szCs w:val="32"/>
        </w:rPr>
      </w:pPr>
      <w:r>
        <w:rPr>
          <w:rFonts w:hint="eastAsia" w:ascii="宋体" w:hAnsi="宋体" w:cs="宋体"/>
          <w:b/>
          <w:color w:val="auto"/>
          <w:kern w:val="0"/>
          <w:sz w:val="32"/>
          <w:szCs w:val="32"/>
        </w:rPr>
        <w:br w:type="page"/>
      </w: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二、本项目的特定资格要求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（根据交易公告本项目的特定资格要求提供相应的材料；未要求的，无需提供）</w:t>
      </w:r>
    </w:p>
    <w:p>
      <w:pPr>
        <w:spacing w:line="360" w:lineRule="auto"/>
        <w:jc w:val="center"/>
        <w:rPr>
          <w:rFonts w:ascii="宋体" w:hAnsi="宋体" w:cs="宋体"/>
          <w:color w:val="auto"/>
          <w:kern w:val="0"/>
          <w:sz w:val="24"/>
          <w:lang w:val="zh-CN"/>
        </w:rPr>
      </w:pPr>
    </w:p>
    <w:p>
      <w:pPr>
        <w:widowControl/>
        <w:spacing w:line="360" w:lineRule="auto"/>
        <w:ind w:left="15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pacing w:line="360" w:lineRule="auto"/>
        <w:jc w:val="center"/>
        <w:outlineLvl w:val="0"/>
        <w:rPr>
          <w:rFonts w:ascii="宋体" w:hAnsi="宋体" w:cs="宋体"/>
          <w:b/>
          <w:color w:val="auto"/>
          <w:kern w:val="0"/>
          <w:sz w:val="36"/>
          <w:szCs w:val="36"/>
        </w:rPr>
      </w:pPr>
    </w:p>
    <w:p>
      <w:pPr>
        <w:snapToGrid w:val="0"/>
        <w:spacing w:line="360" w:lineRule="auto"/>
        <w:ind w:right="480"/>
        <w:jc w:val="center"/>
        <w:rPr>
          <w:rFonts w:ascii="宋体" w:hAnsi="宋体" w:cs="宋体"/>
          <w:b/>
          <w:color w:val="auto"/>
          <w:kern w:val="0"/>
          <w:sz w:val="32"/>
          <w:szCs w:val="32"/>
        </w:rPr>
      </w:pPr>
    </w:p>
    <w:p>
      <w:pPr>
        <w:spacing w:line="360" w:lineRule="auto"/>
        <w:jc w:val="center"/>
        <w:outlineLvl w:val="0"/>
        <w:rPr>
          <w:rFonts w:ascii="宋体" w:hAnsi="宋体" w:cs="宋体"/>
          <w:b/>
          <w:color w:val="auto"/>
          <w:kern w:val="0"/>
          <w:sz w:val="36"/>
          <w:szCs w:val="36"/>
        </w:rPr>
      </w:pPr>
    </w:p>
    <w:p>
      <w:pPr>
        <w:snapToGrid w:val="0"/>
        <w:spacing w:line="360" w:lineRule="auto"/>
        <w:ind w:right="480"/>
        <w:jc w:val="center"/>
        <w:rPr>
          <w:rFonts w:ascii="宋体" w:hAnsi="宋体" w:cs="宋体"/>
          <w:b/>
          <w:color w:val="auto"/>
          <w:kern w:val="0"/>
          <w:sz w:val="32"/>
          <w:szCs w:val="32"/>
        </w:rPr>
      </w:pPr>
    </w:p>
    <w:p>
      <w:pPr>
        <w:spacing w:line="360" w:lineRule="auto"/>
        <w:jc w:val="center"/>
        <w:outlineLvl w:val="0"/>
        <w:rPr>
          <w:rFonts w:ascii="宋体" w:hAnsi="宋体" w:cs="宋体"/>
          <w:b/>
          <w:color w:val="auto"/>
          <w:kern w:val="0"/>
          <w:sz w:val="36"/>
          <w:szCs w:val="36"/>
        </w:rPr>
      </w:pPr>
    </w:p>
    <w:p>
      <w:pPr>
        <w:rPr>
          <w:rFonts w:ascii="宋体" w:hAnsi="宋体" w:cs="宋体"/>
          <w:b/>
          <w:color w:val="auto"/>
          <w:kern w:val="0"/>
          <w:sz w:val="36"/>
          <w:szCs w:val="36"/>
        </w:rPr>
      </w:pPr>
      <w:r>
        <w:rPr>
          <w:rFonts w:hint="eastAsia" w:ascii="宋体" w:hAnsi="宋体" w:cs="宋体"/>
          <w:b/>
          <w:color w:val="auto"/>
          <w:kern w:val="0"/>
          <w:sz w:val="36"/>
          <w:szCs w:val="36"/>
        </w:rPr>
        <w:br w:type="page"/>
      </w:r>
    </w:p>
    <w:p>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jc w:val="distribute"/>
        <w:rPr>
          <w:rFonts w:ascii="宋体" w:hAnsi="宋体" w:cs="宋体"/>
          <w:color w:val="auto"/>
        </w:rPr>
      </w:pPr>
      <w:r>
        <w:rPr>
          <w:rFonts w:hint="eastAsia" w:ascii="宋体" w:hAnsi="宋体" w:cs="宋体"/>
          <w:color w:val="auto"/>
          <w:sz w:val="24"/>
        </w:rPr>
        <w:t>（1）交易函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firstLine="480" w:firstLineChars="200"/>
        <w:jc w:val="distribute"/>
        <w:rPr>
          <w:rFonts w:ascii="宋体" w:hAnsi="宋体" w:cs="宋体"/>
          <w:color w:val="auto"/>
          <w:sz w:val="24"/>
        </w:rPr>
      </w:pPr>
      <w:r>
        <w:rPr>
          <w:rFonts w:hint="eastAsia" w:ascii="宋体" w:hAnsi="宋体" w:cs="宋体"/>
          <w:color w:val="auto"/>
          <w:sz w:val="24"/>
        </w:rPr>
        <w:t>（3）营业执照</w:t>
      </w:r>
      <w:r>
        <w:rPr>
          <w:rFonts w:hint="eastAsia" w:ascii="宋体" w:hAnsi="宋体" w:cs="宋体"/>
          <w:color w:val="auto"/>
        </w:rPr>
        <w:t>………………………………………………………………………………（页码）</w:t>
      </w:r>
    </w:p>
    <w:p>
      <w:pPr>
        <w:snapToGrid w:val="0"/>
        <w:spacing w:line="360" w:lineRule="auto"/>
        <w:ind w:firstLine="480" w:firstLineChars="200"/>
        <w:jc w:val="distribute"/>
        <w:rPr>
          <w:rFonts w:ascii="宋体" w:hAnsi="宋体" w:cs="宋体"/>
          <w:color w:val="auto"/>
        </w:rPr>
      </w:pPr>
      <w:r>
        <w:rPr>
          <w:rFonts w:hint="eastAsia" w:ascii="宋体" w:hAnsi="宋体" w:cs="宋体"/>
          <w:color w:val="auto"/>
          <w:sz w:val="24"/>
        </w:rPr>
        <w:t>（4）符合性审查资料</w:t>
      </w:r>
      <w:r>
        <w:rPr>
          <w:rFonts w:hint="eastAsia" w:ascii="宋体" w:hAnsi="宋体" w:cs="宋体"/>
          <w:color w:val="auto"/>
        </w:rPr>
        <w:t>………………………………………………………………………（页码）</w:t>
      </w:r>
    </w:p>
    <w:p>
      <w:pPr>
        <w:snapToGrid w:val="0"/>
        <w:spacing w:line="360" w:lineRule="auto"/>
        <w:ind w:firstLine="480" w:firstLineChars="200"/>
        <w:jc w:val="distribute"/>
        <w:rPr>
          <w:rFonts w:ascii="宋体" w:hAnsi="宋体" w:cs="宋体"/>
          <w:color w:val="auto"/>
          <w:sz w:val="24"/>
        </w:rPr>
      </w:pPr>
      <w:r>
        <w:rPr>
          <w:rFonts w:hint="eastAsia" w:ascii="宋体" w:hAnsi="宋体" w:cs="宋体"/>
          <w:color w:val="auto"/>
          <w:sz w:val="24"/>
        </w:rPr>
        <w:t>（5）评审标准相应的商务技术资料</w:t>
      </w:r>
      <w:r>
        <w:rPr>
          <w:rFonts w:hint="eastAsia" w:ascii="宋体" w:hAnsi="宋体" w:cs="宋体"/>
          <w:color w:val="auto"/>
        </w:rPr>
        <w:t>……………………………………………………（页码）</w:t>
      </w:r>
    </w:p>
    <w:p>
      <w:pPr>
        <w:snapToGrid w:val="0"/>
        <w:spacing w:line="360" w:lineRule="auto"/>
        <w:ind w:firstLine="480" w:firstLineChars="200"/>
        <w:jc w:val="distribute"/>
        <w:rPr>
          <w:rFonts w:ascii="宋体" w:hAnsi="宋体" w:cs="宋体"/>
          <w:color w:val="auto"/>
          <w:sz w:val="24"/>
        </w:rPr>
      </w:pPr>
      <w:r>
        <w:rPr>
          <w:rFonts w:hint="eastAsia" w:ascii="宋体" w:hAnsi="宋体" w:cs="宋体"/>
          <w:color w:val="auto"/>
          <w:sz w:val="24"/>
        </w:rPr>
        <w:t>（6）商务技术偏离表</w:t>
      </w:r>
      <w:r>
        <w:rPr>
          <w:rFonts w:hint="eastAsia" w:ascii="宋体" w:hAnsi="宋体" w:cs="宋体"/>
          <w:color w:val="auto"/>
        </w:rPr>
        <w:t>………………………………………………………………………（页码）</w:t>
      </w:r>
    </w:p>
    <w:p>
      <w:pPr>
        <w:snapToGrid w:val="0"/>
        <w:spacing w:line="360" w:lineRule="auto"/>
        <w:ind w:left="479" w:leftChars="228"/>
        <w:jc w:val="distribute"/>
        <w:rPr>
          <w:rFonts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val="zh-CN"/>
        </w:rPr>
        <w:t>响应人廉洁自律承诺书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rPr>
          <w:rFonts w:ascii="宋体" w:hAnsi="宋体" w:cs="宋体"/>
          <w:color w:val="auto"/>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rPr>
          <w:rFonts w:ascii="宋体" w:hAnsi="宋体" w:cs="宋体"/>
          <w:b/>
          <w:color w:val="auto"/>
          <w:kern w:val="0"/>
          <w:sz w:val="32"/>
          <w:szCs w:val="32"/>
        </w:rPr>
      </w:pPr>
      <w:r>
        <w:rPr>
          <w:rFonts w:hint="eastAsia"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一、交易函</w:t>
      </w:r>
    </w:p>
    <w:p>
      <w:pPr>
        <w:snapToGrid w:val="0"/>
        <w:spacing w:line="360" w:lineRule="auto"/>
        <w:rPr>
          <w:rFonts w:ascii="宋体" w:hAnsi="宋体" w:cs="宋体"/>
          <w:color w:val="auto"/>
          <w:sz w:val="24"/>
          <w:u w:val="single"/>
        </w:rPr>
      </w:pPr>
      <w:r>
        <w:rPr>
          <w:rFonts w:hint="eastAsia" w:ascii="宋体" w:hAnsi="宋体" w:cs="宋体"/>
          <w:color w:val="auto"/>
          <w:sz w:val="24"/>
          <w:u w:val="single"/>
        </w:rPr>
        <w:t>（交易发起人）、（代理机构）：</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（项目名称）【交易编号：        】</w:t>
      </w:r>
      <w:r>
        <w:rPr>
          <w:rFonts w:hint="eastAsia" w:ascii="宋体" w:hAnsi="宋体" w:cs="宋体"/>
          <w:color w:val="auto"/>
          <w:sz w:val="24"/>
        </w:rPr>
        <w:t>招标的有关活动，并对此项目进行投标。为此：</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1、我方承诺交易有效期从提交响应文件的截止之日起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本响应文件在交易有效期满之前均具有约束力。</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2、我方的响应文件包括以下内容：</w:t>
      </w:r>
    </w:p>
    <w:p>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2.1.2本项目的特定资格要求（如果有）。</w:t>
      </w:r>
    </w:p>
    <w:p>
      <w:pPr>
        <w:snapToGrid w:val="0"/>
        <w:spacing w:line="440" w:lineRule="exact"/>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2.2.1交易函；</w:t>
      </w:r>
      <w:r>
        <w:rPr>
          <w:rFonts w:hint="eastAsia" w:ascii="宋体" w:hAnsi="宋体" w:cs="宋体"/>
          <w:color w:val="auto"/>
          <w:sz w:val="24"/>
          <w:lang w:val="zh-CN"/>
        </w:rPr>
        <w:t xml:space="preserve"> </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2.2.3营业执照；</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2.2.4符合性审查资料；</w:t>
      </w:r>
    </w:p>
    <w:p>
      <w:pPr>
        <w:snapToGrid w:val="0"/>
        <w:spacing w:line="440" w:lineRule="exact"/>
        <w:ind w:left="420" w:leftChars="200" w:firstLine="480" w:firstLineChars="200"/>
        <w:rPr>
          <w:rFonts w:ascii="宋体" w:hAnsi="宋体" w:cs="宋体"/>
          <w:color w:val="auto"/>
        </w:rPr>
      </w:pPr>
      <w:r>
        <w:rPr>
          <w:rFonts w:hint="eastAsia" w:ascii="宋体" w:hAnsi="宋体" w:cs="宋体"/>
          <w:color w:val="auto"/>
          <w:sz w:val="24"/>
        </w:rPr>
        <w:t>2.2.5评审标准相应的商务技术资料；</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2.2.6商务技术偏离表；</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2.2.7</w:t>
      </w:r>
      <w:r>
        <w:rPr>
          <w:rFonts w:hint="eastAsia" w:ascii="宋体" w:hAnsi="宋体" w:cs="宋体"/>
          <w:color w:val="auto"/>
          <w:sz w:val="24"/>
          <w:lang w:val="zh-CN"/>
        </w:rPr>
        <w:t>响应人廉洁自律承诺书。</w:t>
      </w:r>
    </w:p>
    <w:p>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2.3.1交易一览表（报价表）。</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3、我方承诺除商务技术偏离表列出的偏离外，我方响应公开竞争文件的全部要求。</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4、如我方成交，我方承诺：</w:t>
      </w:r>
    </w:p>
    <w:p>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 xml:space="preserve">4.1在收到成交通知书后，在成交通知书规定的期限内与你方签订合同； </w:t>
      </w:r>
    </w:p>
    <w:p>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 xml:space="preserve">4.3按照公开竞争文件要求提交履约保证金； </w:t>
      </w:r>
    </w:p>
    <w:p>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440" w:lineRule="exact"/>
        <w:ind w:firstLine="3600" w:firstLineChars="1500"/>
        <w:rPr>
          <w:rFonts w:ascii="宋体" w:hAnsi="宋体" w:cs="宋体"/>
          <w:color w:val="auto"/>
          <w:sz w:val="24"/>
        </w:rPr>
      </w:pPr>
      <w:r>
        <w:rPr>
          <w:rFonts w:hint="eastAsia" w:ascii="宋体" w:hAnsi="宋体" w:cs="宋体"/>
          <w:color w:val="auto"/>
          <w:sz w:val="24"/>
        </w:rPr>
        <w:t xml:space="preserve">响应人名称（电子签名）：                          </w:t>
      </w:r>
    </w:p>
    <w:p>
      <w:pPr>
        <w:spacing w:line="440" w:lineRule="exact"/>
        <w:jc w:val="center"/>
        <w:rPr>
          <w:rFonts w:ascii="宋体" w:hAnsi="宋体" w:cs="宋体"/>
          <w:color w:val="auto"/>
          <w:kern w:val="0"/>
          <w:sz w:val="24"/>
          <w:u w:val="single"/>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color w:val="auto"/>
          <w:sz w:val="24"/>
        </w:rPr>
        <w:t>注：按本格式和要求提供。</w:t>
      </w:r>
    </w:p>
    <w:p>
      <w:pPr>
        <w:pStyle w:val="24"/>
        <w:rPr>
          <w:rFonts w:hAnsi="宋体" w:cs="宋体"/>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u w:val="single"/>
        </w:rPr>
        <w:t>（交易发起人）、（代理机构）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rPr>
        <w:t>（项目名称）【交易编号：       】</w:t>
      </w:r>
      <w:r>
        <w:rPr>
          <w:rFonts w:hint="eastAsia" w:ascii="宋体" w:hAnsi="宋体" w:cs="宋体"/>
          <w:color w:val="auto"/>
          <w:kern w:val="0"/>
          <w:sz w:val="24"/>
          <w:lang w:val="zh-CN"/>
        </w:rPr>
        <w:t>交易项目的一切事项，其法律后果由我方承担。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响应人名称(电子签名)：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lang w:val="zh-CN"/>
        </w:rPr>
      </w:pPr>
      <w:r>
        <w:rPr>
          <w:rFonts w:hint="eastAsia" w:ascii="宋体" w:hAnsi="宋体" w:cs="宋体"/>
          <w:b/>
          <w:color w:val="auto"/>
          <w:kern w:val="0"/>
          <w:sz w:val="32"/>
          <w:szCs w:val="32"/>
          <w:lang w:val="zh-CN"/>
        </w:rPr>
        <w:t xml:space="preserve">    </w:t>
      </w: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的身份证明（适用于法定代表人、单位负责人或者自然人本人代表响应人参加投标）</w:t>
      </w:r>
    </w:p>
    <w:p>
      <w:pPr>
        <w:pStyle w:val="153"/>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3"/>
              <w:adjustRightInd w:val="0"/>
              <w:spacing w:line="360" w:lineRule="auto"/>
              <w:rPr>
                <w:rFonts w:hAnsi="宋体" w:cs="宋体"/>
                <w:bCs/>
                <w:color w:val="auto"/>
                <w:sz w:val="24"/>
              </w:rPr>
            </w:pPr>
            <w:r>
              <w:rPr>
                <w:rFonts w:hint="eastAsia" w:hAnsi="宋体" w:cs="宋体"/>
                <w:bCs/>
                <w:color w:val="auto"/>
                <w:sz w:val="24"/>
              </w:rPr>
              <w:t>正面：                                 反面：</w:t>
            </w:r>
          </w:p>
          <w:p>
            <w:pPr>
              <w:pStyle w:val="153"/>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响应人名称(电子签名)：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三、营业执照</w:t>
      </w:r>
    </w:p>
    <w:p>
      <w:pPr>
        <w:jc w:val="center"/>
        <w:rPr>
          <w:rFonts w:ascii="宋体" w:hAnsi="宋体" w:cs="宋体"/>
          <w:b/>
          <w:color w:val="auto"/>
          <w:kern w:val="0"/>
          <w:sz w:val="32"/>
          <w:szCs w:val="32"/>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3"/>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p>
    <w:p>
      <w:pPr>
        <w:snapToGrid w:val="0"/>
        <w:spacing w:line="360" w:lineRule="auto"/>
        <w:ind w:firstLine="576"/>
        <w:jc w:val="center"/>
        <w:rPr>
          <w:rFonts w:ascii="宋体" w:hAnsi="宋体" w:cs="宋体"/>
          <w:color w:val="auto"/>
          <w:kern w:val="0"/>
          <w:sz w:val="24"/>
          <w:lang w:val="zh-CN"/>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响应人名称(电子签名)：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397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356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响应文件中的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3976" w:type="dxa"/>
            <w:vAlign w:val="center"/>
          </w:tcPr>
          <w:p>
            <w:pPr>
              <w:spacing w:line="360" w:lineRule="auto"/>
              <w:jc w:val="center"/>
              <w:rPr>
                <w:rFonts w:ascii="宋体" w:hAnsi="宋体" w:cs="宋体"/>
                <w:color w:val="auto"/>
                <w:sz w:val="24"/>
              </w:rPr>
            </w:pPr>
            <w:r>
              <w:rPr>
                <w:rFonts w:hint="eastAsia" w:ascii="宋体" w:hAnsi="宋体" w:cs="宋体"/>
                <w:color w:val="auto"/>
                <w:sz w:val="24"/>
              </w:rPr>
              <w:t>响应文件按照公开竞争文件要求签署、盖章。</w:t>
            </w:r>
          </w:p>
        </w:tc>
        <w:tc>
          <w:tcPr>
            <w:tcW w:w="3566" w:type="dxa"/>
            <w:vAlign w:val="center"/>
          </w:tcPr>
          <w:p>
            <w:pPr>
              <w:jc w:val="center"/>
              <w:rPr>
                <w:rFonts w:ascii="宋体" w:hAnsi="宋体" w:cs="宋体"/>
                <w:color w:val="auto"/>
                <w:sz w:val="24"/>
              </w:rPr>
            </w:pPr>
            <w:r>
              <w:rPr>
                <w:rFonts w:hint="eastAsia" w:ascii="宋体" w:hAnsi="宋体" w:cs="宋体"/>
                <w:color w:val="auto"/>
                <w:sz w:val="24"/>
              </w:rPr>
              <w:t>需要使用电子签名或者签字盖章的响应文件的组成部分</w:t>
            </w:r>
          </w:p>
        </w:tc>
        <w:tc>
          <w:tcPr>
            <w:tcW w:w="1418" w:type="dxa"/>
            <w:vAlign w:val="center"/>
          </w:tcPr>
          <w:p>
            <w:pPr>
              <w:jc w:val="center"/>
              <w:rPr>
                <w:rFonts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见响应文件</w:t>
            </w:r>
          </w:p>
          <w:p>
            <w:pPr>
              <w:jc w:val="cente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3976" w:type="dxa"/>
            <w:vAlign w:val="center"/>
          </w:tcPr>
          <w:p>
            <w:pPr>
              <w:spacing w:line="360" w:lineRule="auto"/>
              <w:jc w:val="center"/>
              <w:rPr>
                <w:rFonts w:ascii="宋体" w:hAnsi="宋体" w:cs="宋体"/>
                <w:color w:val="auto"/>
                <w:sz w:val="24"/>
              </w:rPr>
            </w:pPr>
            <w:r>
              <w:rPr>
                <w:rFonts w:hint="eastAsia" w:ascii="宋体" w:hAnsi="宋体" w:cs="宋体"/>
                <w:color w:val="auto"/>
                <w:sz w:val="24"/>
              </w:rPr>
              <w:t>响应文件中承诺的交易有效期不少于公开竞争文件中载明的交易有效期。</w:t>
            </w:r>
          </w:p>
        </w:tc>
        <w:tc>
          <w:tcPr>
            <w:tcW w:w="3566" w:type="dxa"/>
            <w:vAlign w:val="center"/>
          </w:tcPr>
          <w:p>
            <w:pPr>
              <w:jc w:val="center"/>
              <w:rPr>
                <w:rFonts w:ascii="宋体" w:hAnsi="宋体" w:cs="宋体"/>
                <w:color w:val="auto"/>
                <w:sz w:val="24"/>
              </w:rPr>
            </w:pPr>
            <w:r>
              <w:rPr>
                <w:rFonts w:hint="eastAsia" w:ascii="宋体" w:hAnsi="宋体" w:cs="宋体"/>
                <w:color w:val="auto"/>
                <w:sz w:val="24"/>
              </w:rPr>
              <w:t>交易函</w:t>
            </w:r>
          </w:p>
        </w:tc>
        <w:tc>
          <w:tcPr>
            <w:tcW w:w="1418" w:type="dxa"/>
            <w:vAlign w:val="center"/>
          </w:tcPr>
          <w:p>
            <w:pPr>
              <w:jc w:val="cente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3976" w:type="dxa"/>
            <w:vAlign w:val="center"/>
          </w:tcPr>
          <w:p>
            <w:pPr>
              <w:spacing w:line="360" w:lineRule="auto"/>
              <w:jc w:val="center"/>
              <w:rPr>
                <w:rFonts w:ascii="宋体" w:hAnsi="宋体" w:cs="宋体"/>
                <w:color w:val="auto"/>
                <w:sz w:val="24"/>
              </w:rPr>
            </w:pPr>
            <w:r>
              <w:rPr>
                <w:rFonts w:hint="eastAsia" w:ascii="宋体" w:hAnsi="宋体" w:cs="宋体"/>
                <w:color w:val="auto"/>
                <w:sz w:val="24"/>
              </w:rPr>
              <w:t>响应文件满足公开竞争文件的其它实质性要求。</w:t>
            </w:r>
          </w:p>
        </w:tc>
        <w:tc>
          <w:tcPr>
            <w:tcW w:w="3566" w:type="dxa"/>
            <w:vAlign w:val="center"/>
          </w:tcPr>
          <w:p>
            <w:pPr>
              <w:jc w:val="center"/>
              <w:rPr>
                <w:rFonts w:ascii="宋体" w:hAnsi="宋体" w:cs="宋体"/>
                <w:color w:val="auto"/>
                <w:sz w:val="24"/>
              </w:rPr>
            </w:pPr>
            <w:r>
              <w:rPr>
                <w:rFonts w:hint="eastAsia" w:ascii="宋体" w:hAnsi="宋体" w:cs="宋体"/>
                <w:color w:val="auto"/>
                <w:kern w:val="0"/>
                <w:sz w:val="24"/>
              </w:rPr>
              <w:t>公开竞争文件其它实质性要求相应的材料（“▲” 系指实质性要求条款，公开竞争文件无其它实质性要求的，无需提供）</w:t>
            </w:r>
          </w:p>
        </w:tc>
        <w:tc>
          <w:tcPr>
            <w:tcW w:w="1418" w:type="dxa"/>
            <w:vAlign w:val="center"/>
          </w:tcPr>
          <w:p>
            <w:pPr>
              <w:jc w:val="cente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五、评审标准相应的商务技术资料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（按公开竞争文件第四部分交易办法前附表中“响应文件中评审标准相应的商务技术资料目录”提供资料。）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25"/>
        <w:rPr>
          <w:rFonts w:hAnsi="宋体" w:cs="宋体"/>
          <w:b/>
          <w:color w:val="auto"/>
          <w:kern w:val="0"/>
          <w:sz w:val="32"/>
          <w:szCs w:val="32"/>
        </w:rPr>
      </w:pPr>
    </w:p>
    <w:p>
      <w:pPr>
        <w:pStyle w:val="52"/>
        <w:rPr>
          <w:rFonts w:ascii="宋体" w:hAnsi="宋体" w:cs="宋体"/>
          <w:color w:val="auto"/>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pacing w:line="360" w:lineRule="auto"/>
        <w:ind w:right="420"/>
        <w:jc w:val="center"/>
        <w:rPr>
          <w:rFonts w:ascii="宋体" w:hAnsi="宋体" w:cs="宋体"/>
          <w:b/>
          <w:color w:val="auto"/>
          <w:kern w:val="0"/>
          <w:sz w:val="32"/>
          <w:szCs w:val="32"/>
        </w:rPr>
      </w:pPr>
      <w:r>
        <w:rPr>
          <w:rFonts w:hint="eastAsia" w:ascii="宋体" w:hAnsi="宋体" w:cs="宋体"/>
          <w:b/>
          <w:color w:val="auto"/>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公开竞争文件章节及具体内容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响应文件章节及具体内容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响应人保证：除商务技术偏离表列出的偏离外，响应人响应公开竞争文件的全部要求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rPr>
          <w:rFonts w:ascii="宋体" w:hAnsi="宋体" w:cs="宋体"/>
          <w:b/>
          <w:bCs/>
          <w:color w:val="auto"/>
          <w:sz w:val="32"/>
          <w:szCs w:val="32"/>
        </w:rPr>
      </w:pPr>
      <w:r>
        <w:rPr>
          <w:rFonts w:hint="eastAsia" w:ascii="宋体" w:hAnsi="宋体" w:cs="宋体"/>
          <w:b/>
          <w:bCs/>
          <w:color w:val="auto"/>
          <w:sz w:val="32"/>
          <w:szCs w:val="32"/>
        </w:rPr>
        <w:br w:type="page"/>
      </w:r>
    </w:p>
    <w:p>
      <w:pPr>
        <w:jc w:val="center"/>
        <w:rPr>
          <w:rFonts w:ascii="宋体" w:hAnsi="宋体" w:cs="宋体"/>
          <w:b/>
          <w:color w:val="auto"/>
          <w:kern w:val="0"/>
          <w:sz w:val="32"/>
          <w:szCs w:val="32"/>
        </w:rPr>
      </w:pPr>
      <w:r>
        <w:rPr>
          <w:rFonts w:hint="eastAsia" w:ascii="宋体" w:hAnsi="宋体" w:cs="宋体"/>
          <w:b/>
          <w:bCs/>
          <w:color w:val="auto"/>
          <w:sz w:val="32"/>
          <w:szCs w:val="32"/>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响应人廉洁自律承诺书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u w:val="single"/>
        </w:rPr>
        <w:t>（交易发起人）、（代理机构）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w:t>
      </w:r>
      <w:r>
        <w:rPr>
          <w:rFonts w:hint="eastAsia" w:ascii="宋体" w:hAnsi="宋体" w:cs="宋体"/>
          <w:color w:val="auto"/>
          <w:kern w:val="0"/>
          <w:sz w:val="24"/>
        </w:rPr>
        <w:t>成交</w:t>
      </w:r>
      <w:r>
        <w:rPr>
          <w:rFonts w:hint="eastAsia" w:ascii="宋体" w:hAnsi="宋体" w:cs="宋体"/>
          <w:color w:val="auto"/>
          <w:kern w:val="0"/>
          <w:sz w:val="24"/>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w:t>
      </w:r>
      <w:r>
        <w:rPr>
          <w:rFonts w:hint="eastAsia" w:ascii="宋体" w:hAnsi="宋体" w:cs="宋体"/>
          <w:color w:val="auto"/>
          <w:kern w:val="0"/>
          <w:sz w:val="24"/>
        </w:rPr>
        <w:t>成交</w:t>
      </w:r>
      <w:r>
        <w:rPr>
          <w:rFonts w:hint="eastAsia" w:ascii="宋体" w:hAnsi="宋体" w:cs="宋体"/>
          <w:color w:val="auto"/>
          <w:kern w:val="0"/>
          <w:sz w:val="24"/>
          <w:lang w:val="zh-CN"/>
        </w:rPr>
        <w:t>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响应人名称（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footerReference r:id="rId8" w:type="first"/>
          <w:footerReference r:id="rId7" w:type="default"/>
          <w:pgSz w:w="11906" w:h="16838"/>
          <w:pgMar w:top="1276" w:right="1418" w:bottom="1247" w:left="1418" w:header="851" w:footer="992" w:gutter="0"/>
          <w:pgNumType w:start="2"/>
          <w:cols w:space="720" w:num="1"/>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（1）交易一览表（报价表）………………………………………………………（页码）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一、交易一览表（报价表）</w:t>
      </w:r>
    </w:p>
    <w:p>
      <w:pPr>
        <w:snapToGrid w:val="0"/>
        <w:spacing w:line="360" w:lineRule="auto"/>
        <w:rPr>
          <w:rFonts w:ascii="宋体" w:hAnsi="宋体" w:cs="宋体"/>
          <w:color w:val="auto"/>
          <w:kern w:val="0"/>
          <w:sz w:val="24"/>
        </w:rPr>
      </w:pPr>
      <w:r>
        <w:rPr>
          <w:rFonts w:hint="eastAsia" w:ascii="宋体" w:hAnsi="宋体" w:cs="宋体"/>
          <w:color w:val="auto"/>
          <w:sz w:val="24"/>
          <w:u w:val="single"/>
        </w:rPr>
        <w:t>（交易发起人）、（代理机构）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u w:val="single"/>
        </w:rPr>
        <w:t>（项目名称）</w:t>
      </w:r>
      <w:r>
        <w:rPr>
          <w:rFonts w:hint="eastAsia" w:ascii="宋体" w:hAnsi="宋体" w:cs="宋体"/>
          <w:color w:val="auto"/>
          <w:kern w:val="0"/>
          <w:sz w:val="24"/>
          <w:u w:val="single"/>
          <w:lang w:val="zh-CN"/>
        </w:rPr>
        <w:t>【交易编号：</w:t>
      </w:r>
      <w:r>
        <w:rPr>
          <w:rFonts w:hint="eastAsia" w:ascii="宋体" w:hAnsi="宋体" w:cs="宋体"/>
          <w:color w:val="auto"/>
          <w:sz w:val="24"/>
          <w:u w:val="single"/>
        </w:rPr>
        <w:t xml:space="preserve">          】</w:t>
      </w:r>
      <w:r>
        <w:rPr>
          <w:rFonts w:hint="eastAsia" w:ascii="宋体" w:hAnsi="宋体" w:cs="宋体"/>
          <w:color w:val="auto"/>
          <w:sz w:val="24"/>
        </w:rPr>
        <w:t>的实施</w:t>
      </w:r>
      <w:r>
        <w:rPr>
          <w:rFonts w:hint="eastAsia" w:ascii="宋体" w:hAnsi="宋体" w:cs="宋体"/>
          <w:color w:val="auto"/>
          <w:kern w:val="0"/>
          <w:sz w:val="24"/>
          <w:lang w:val="zh-CN"/>
        </w:rPr>
        <w:t>。</w:t>
      </w:r>
    </w:p>
    <w:p>
      <w:pPr>
        <w:snapToGrid w:val="0"/>
        <w:spacing w:line="360" w:lineRule="auto"/>
        <w:ind w:left="480"/>
        <w:jc w:val="center"/>
        <w:rPr>
          <w:rFonts w:ascii="宋体" w:hAnsi="宋体" w:cs="宋体"/>
          <w:b/>
          <w:color w:val="auto"/>
          <w:kern w:val="0"/>
          <w:sz w:val="24"/>
          <w:lang w:val="zh-CN"/>
        </w:rPr>
      </w:pPr>
      <w:r>
        <w:rPr>
          <w:rFonts w:hint="eastAsia" w:ascii="宋体" w:hAnsi="宋体" w:cs="宋体"/>
          <w:b/>
          <w:color w:val="auto"/>
          <w:kern w:val="0"/>
          <w:sz w:val="24"/>
          <w:lang w:val="zh-CN"/>
        </w:rPr>
        <w:t>交易一览表（报价表）(单位均为人民币元)</w:t>
      </w:r>
    </w:p>
    <w:tbl>
      <w:tblPr>
        <w:tblStyle w:val="63"/>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1586"/>
        <w:gridCol w:w="3968"/>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序号</w:t>
            </w:r>
          </w:p>
        </w:tc>
        <w:tc>
          <w:tcPr>
            <w:tcW w:w="25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名称</w:t>
            </w:r>
          </w:p>
        </w:tc>
        <w:tc>
          <w:tcPr>
            <w:tcW w:w="22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品牌（如果有）</w:t>
            </w:r>
          </w:p>
        </w:tc>
        <w:tc>
          <w:tcPr>
            <w:tcW w:w="15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规格型号（或具体服务）</w:t>
            </w:r>
          </w:p>
        </w:tc>
        <w:tc>
          <w:tcPr>
            <w:tcW w:w="3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1</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2</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3</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4</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5</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auto"/>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6</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auto"/>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7</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auto"/>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投标报价（小写）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投标报价（大写）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bl>
    <w:p>
      <w:pPr>
        <w:snapToGrid w:val="0"/>
        <w:spacing w:line="360" w:lineRule="auto"/>
        <w:ind w:left="480"/>
        <w:rPr>
          <w:rFonts w:ascii="宋体" w:hAnsi="宋体" w:cs="宋体"/>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1、响应人需按本表格式填写，不得自行更改。</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交易发起人将以合同形式有偿取得货物或服务，不接受响应人给予的赠品、回扣或者与交易无关的其他商品、服务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响应文件含有交易发起人不能接受的附加条件的，交易无效</w:t>
      </w:r>
      <w:r>
        <w:rPr>
          <w:rFonts w:hint="eastAsia" w:ascii="宋体" w:hAnsi="宋体" w:cs="宋体"/>
          <w:b/>
          <w:color w:val="auto"/>
          <w:kern w:val="0"/>
          <w:sz w:val="24"/>
          <w:lang w:val="zh-CN"/>
        </w:rPr>
        <w:t>；交易内容未包含在《交易一览表（报价表）》名称栏中，响应人不能作出合理解释的，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响应文件含有交易发起人不能接受的附加条件的，交易无效。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4、特别提示：代理机构将对项目名称和项目编号，成交响应人名称、地址和</w:t>
      </w:r>
      <w:r>
        <w:rPr>
          <w:rFonts w:hint="eastAsia" w:ascii="宋体" w:hAnsi="宋体" w:cs="宋体"/>
          <w:color w:val="auto"/>
          <w:kern w:val="0"/>
          <w:sz w:val="24"/>
        </w:rPr>
        <w:t>成交</w:t>
      </w:r>
      <w:r>
        <w:rPr>
          <w:rFonts w:hint="eastAsia" w:ascii="宋体" w:hAnsi="宋体" w:cs="宋体"/>
          <w:color w:val="auto"/>
          <w:kern w:val="0"/>
          <w:sz w:val="24"/>
          <w:lang w:val="zh-CN"/>
        </w:rPr>
        <w:t>金额等予以公示。</w:t>
      </w:r>
    </w:p>
    <w:p>
      <w:pPr>
        <w:spacing w:line="360" w:lineRule="auto"/>
        <w:ind w:firstLine="482" w:firstLineChars="200"/>
        <w:rPr>
          <w:rFonts w:ascii="宋体" w:hAnsi="宋体" w:cs="宋体"/>
          <w:b/>
          <w:color w:val="auto"/>
          <w:kern w:val="0"/>
          <w:sz w:val="24"/>
        </w:rPr>
      </w:pPr>
    </w:p>
    <w:p>
      <w:pPr>
        <w:autoSpaceDE w:val="0"/>
        <w:autoSpaceDN w:val="0"/>
        <w:spacing w:line="360" w:lineRule="auto"/>
        <w:ind w:left="2" w:leftChars="1" w:right="1120" w:firstLine="7680" w:firstLineChars="3200"/>
        <w:jc w:val="left"/>
        <w:rPr>
          <w:rFonts w:ascii="宋体" w:hAnsi="宋体" w:cs="宋体"/>
          <w:color w:val="auto"/>
          <w:kern w:val="0"/>
          <w:sz w:val="24"/>
          <w:lang w:val="zh-CN"/>
        </w:rPr>
      </w:pPr>
      <w:r>
        <w:rPr>
          <w:rFonts w:hint="eastAsia" w:ascii="宋体" w:hAnsi="宋体" w:cs="宋体"/>
          <w:color w:val="auto"/>
          <w:kern w:val="0"/>
          <w:sz w:val="24"/>
          <w:lang w:val="zh-CN"/>
        </w:rPr>
        <w:t>响应人名称（</w:t>
      </w:r>
      <w:r>
        <w:rPr>
          <w:rFonts w:hint="eastAsia" w:ascii="宋体" w:hAnsi="宋体" w:cs="宋体"/>
          <w:color w:val="auto"/>
          <w:sz w:val="24"/>
        </w:rPr>
        <w:t>电子签名</w:t>
      </w:r>
      <w:r>
        <w:rPr>
          <w:rFonts w:hint="eastAsia" w:ascii="宋体" w:hAnsi="宋体" w:cs="宋体"/>
          <w:color w:val="auto"/>
          <w:kern w:val="0"/>
          <w:sz w:val="24"/>
          <w:lang w:val="zh-CN"/>
        </w:rPr>
        <w:t>）：</w:t>
      </w:r>
    </w:p>
    <w:p>
      <w:pPr>
        <w:autoSpaceDE w:val="0"/>
        <w:autoSpaceDN w:val="0"/>
        <w:spacing w:line="360" w:lineRule="auto"/>
        <w:ind w:left="2" w:leftChars="1" w:right="1120" w:firstLine="7680" w:firstLineChars="3200"/>
        <w:jc w:val="left"/>
        <w:rPr>
          <w:rFonts w:ascii="宋体" w:hAnsi="宋体" w:cs="宋体"/>
          <w:color w:val="auto"/>
          <w:sz w:val="32"/>
          <w:szCs w:val="32"/>
        </w:rPr>
        <w:sectPr>
          <w:pgSz w:w="16838" w:h="11906" w:orient="landscape"/>
          <w:pgMar w:top="1418" w:right="1247" w:bottom="1418" w:left="1276" w:header="851" w:footer="992" w:gutter="0"/>
          <w:cols w:space="720" w:num="1"/>
          <w:titlePg/>
          <w:docGrid w:linePitch="312" w:charSpace="0"/>
        </w:sect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附件1：</w:t>
      </w:r>
      <w:r>
        <w:rPr>
          <w:rFonts w:hint="eastAsia" w:ascii="宋体" w:hAnsi="宋体" w:cs="宋体"/>
          <w:b/>
          <w:color w:val="auto"/>
          <w:spacing w:val="6"/>
          <w:sz w:val="32"/>
          <w:szCs w:val="32"/>
          <w:lang w:val="zh-CN"/>
        </w:rPr>
        <w:t>异议</w:t>
      </w:r>
      <w:r>
        <w:rPr>
          <w:rFonts w:hint="eastAsia" w:ascii="宋体" w:hAnsi="宋体" w:cs="宋体"/>
          <w:b/>
          <w:color w:val="auto"/>
          <w:spacing w:val="6"/>
          <w:sz w:val="32"/>
          <w:szCs w:val="32"/>
        </w:rPr>
        <w:t>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异议函范本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一、异议响应人基本信息</w:t>
      </w:r>
    </w:p>
    <w:p>
      <w:pPr>
        <w:snapToGrid w:val="0"/>
        <w:spacing w:line="360" w:lineRule="auto"/>
        <w:rPr>
          <w:rFonts w:ascii="宋体" w:hAnsi="宋体" w:cs="宋体"/>
          <w:color w:val="auto"/>
          <w:sz w:val="24"/>
          <w:u w:val="dotted"/>
        </w:rPr>
      </w:pPr>
      <w:r>
        <w:rPr>
          <w:rFonts w:hint="eastAsia" w:ascii="宋体" w:hAnsi="宋体" w:cs="宋体"/>
          <w:color w:val="auto"/>
          <w:sz w:val="24"/>
        </w:rPr>
        <w:t>异议响应人：</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二、异议项目基本情况</w:t>
      </w:r>
    </w:p>
    <w:p>
      <w:pPr>
        <w:snapToGrid w:val="0"/>
        <w:spacing w:line="360" w:lineRule="auto"/>
        <w:rPr>
          <w:rFonts w:ascii="宋体" w:hAnsi="宋体" w:cs="宋体"/>
          <w:color w:val="auto"/>
          <w:sz w:val="24"/>
        </w:rPr>
      </w:pPr>
      <w:r>
        <w:rPr>
          <w:rFonts w:hint="eastAsia" w:ascii="宋体" w:hAnsi="宋体" w:cs="宋体"/>
          <w:color w:val="auto"/>
          <w:sz w:val="24"/>
        </w:rPr>
        <w:t>异议项目的名称：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异议项目的编号：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交易发起人名称：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公开竞争文件获取日期：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三、异议事项具体内容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异议事项1：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异议事项2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四、与异议事项相关的异议请求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异议函制作说明：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1.响应人提出异议时，应提交异议函和必要的证明材料。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2.异议响应人若委托代理人进行异议的，异议函应按要求列明“授权代表”的有关内容，并在附件中提交由异议</w:t>
      </w:r>
      <w:r>
        <w:rPr>
          <w:rFonts w:hint="eastAsia" w:ascii="宋体" w:hAnsi="宋体" w:cs="宋体"/>
          <w:color w:val="auto"/>
          <w:kern w:val="0"/>
          <w:sz w:val="24"/>
        </w:rPr>
        <w:t>响应人签署的授权委托书。授权委托书应载明代理人的姓名或者名称、代理事项、具体权限、期限和相关事项。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3.异议响应人若对项目的某一分包进行异议，异议函中应列明具体分包号。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4.异议函的异议事项应具体、明确，并有必要的事实依据和法律依据。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5.异议函的异议请求应与异议事项相关。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相关响应人：</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交易名称：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交易编号：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交易发起人名称：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公开竞争文件公告: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成交结果公告: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三、异议基本情况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提出异议，异议事项为：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交易发起人/代理机构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日,就异议事项作出了答复/没有在法定期限内作出答复。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4.投诉书应简要列明异议事项，异议函、异议答复等作为附件材料提供。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left"/>
        <w:rPr>
          <w:rFonts w:ascii="宋体" w:hAnsi="宋体" w:cs="宋体"/>
          <w:b/>
          <w:color w:val="auto"/>
          <w:spacing w:val="6"/>
          <w:sz w:val="32"/>
          <w:szCs w:val="32"/>
        </w:rPr>
      </w:pPr>
    </w:p>
    <w:p>
      <w:pPr>
        <w:autoSpaceDE w:val="0"/>
        <w:autoSpaceDN w:val="0"/>
        <w:jc w:val="left"/>
        <w:rPr>
          <w:rFonts w:ascii="宋体" w:hAnsi="宋体" w:cs="宋体"/>
          <w:b/>
          <w:color w:val="auto"/>
          <w:spacing w:val="6"/>
          <w:sz w:val="32"/>
          <w:szCs w:val="32"/>
        </w:rPr>
      </w:pPr>
      <w:r>
        <w:rPr>
          <w:rFonts w:hint="eastAsia" w:ascii="宋体" w:hAnsi="宋体" w:cs="宋体"/>
          <w:b/>
          <w:color w:val="auto"/>
          <w:spacing w:val="6"/>
          <w:sz w:val="32"/>
          <w:szCs w:val="32"/>
        </w:rPr>
        <w:t>附件3：</w:t>
      </w:r>
    </w:p>
    <w:p>
      <w:pPr>
        <w:autoSpaceDE w:val="0"/>
        <w:autoSpaceDN w:val="0"/>
        <w:jc w:val="center"/>
        <w:rPr>
          <w:rFonts w:ascii="宋体" w:hAnsi="宋体" w:cs="宋体"/>
          <w:b/>
          <w:bCs/>
          <w:color w:val="auto"/>
          <w:sz w:val="32"/>
          <w:szCs w:val="32"/>
        </w:rPr>
      </w:pPr>
    </w:p>
    <w:p>
      <w:pPr>
        <w:autoSpaceDE w:val="0"/>
        <w:autoSpaceDN w:val="0"/>
        <w:jc w:val="center"/>
        <w:rPr>
          <w:rFonts w:ascii="宋体" w:hAnsi="宋体" w:cs="宋体"/>
          <w:b/>
          <w:bCs/>
          <w:color w:val="auto"/>
          <w:sz w:val="32"/>
          <w:szCs w:val="32"/>
        </w:rPr>
      </w:pP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（交易发起人）、（代理机构）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(响应人全称)是中华人民共和国依法登记注册的合法企业，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u w:val="single"/>
        </w:rPr>
        <w:t>（项目名称）项目【交易编号：      ）】</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供应商（法定名称章）：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rPr>
        <w:t>供应商法定名称章（印模）                供应商“XX专用章”（印模）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B0604020202020204"/>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20B0602020204020303"/>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Microsoft YaHei UI"/>
    <w:panose1 w:val="020B0604020202020204"/>
    <w:charset w:val="00"/>
    <w:family w:val="roman"/>
    <w:pitch w:val="default"/>
    <w:sig w:usb0="00000000" w:usb1="00000000" w:usb2="00000000" w:usb3="00000000" w:csb0="00040001" w:csb1="00000000"/>
  </w:font>
  <w:font w:name="幼圆">
    <w:altName w:val="宋体"/>
    <w:panose1 w:val="020B0604020202020204"/>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Times New Roman"/>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DejaVu Math TeX Gyre"/>
    <w:panose1 w:val="00000000000000000000"/>
    <w:charset w:val="00"/>
    <w:family w:val="auto"/>
    <w:pitch w:val="default"/>
    <w:sig w:usb0="00000000" w:usb1="00000000" w:usb2="00000000" w:usb3="00000000" w:csb0="0000019F" w:csb1="00000000"/>
  </w:font>
  <w:font w:name="Cumberland">
    <w:altName w:val="Microsoft YaHei UI"/>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Microsoft YaHei UI"/>
    <w:panose1 w:val="020B0604020202020204"/>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DejaVu Math TeX Gyre">
    <w:panose1 w:val="02000503000000000000"/>
    <w:charset w:val="00"/>
    <w:family w:val="auto"/>
    <w:pitch w:val="default"/>
    <w:sig w:usb0="A10000EF" w:usb1="4201F9EE" w:usb2="02000000" w:usb3="00000000" w:csb0="60000193" w:csb1="0DD4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39595"/>
    <w:multiLevelType w:val="singleLevel"/>
    <w:tmpl w:val="B4939595"/>
    <w:lvl w:ilvl="0" w:tentative="0">
      <w:start w:val="2"/>
      <w:numFmt w:val="decimal"/>
      <w:suff w:val="nothing"/>
      <w:lvlText w:val="%1、"/>
      <w:lvlJc w:val="left"/>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d8052e8a-e8f4-4169-8ff9-1624ea20412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F57"/>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DE9"/>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C06"/>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FFD"/>
    <w:rsid w:val="0025631F"/>
    <w:rsid w:val="00256986"/>
    <w:rsid w:val="00256D61"/>
    <w:rsid w:val="00256E23"/>
    <w:rsid w:val="00257246"/>
    <w:rsid w:val="00257438"/>
    <w:rsid w:val="002579B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57B"/>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8B6"/>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829"/>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1EF"/>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AED"/>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BF"/>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875"/>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6CB"/>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05E"/>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81E"/>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038"/>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A2D"/>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E02"/>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8D6"/>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2BCF"/>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49"/>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DD6"/>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E2F"/>
    <w:rsid w:val="00B12082"/>
    <w:rsid w:val="00B1210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AEE"/>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7AD"/>
    <w:rsid w:val="00B70200"/>
    <w:rsid w:val="00B702D7"/>
    <w:rsid w:val="00B70389"/>
    <w:rsid w:val="00B70E01"/>
    <w:rsid w:val="00B7299C"/>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D03"/>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2B6"/>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340"/>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C5C"/>
    <w:rsid w:val="00D85FDE"/>
    <w:rsid w:val="00D8665E"/>
    <w:rsid w:val="00D8699B"/>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2D8A"/>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2B5"/>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F29A7"/>
    <w:rsid w:val="025F0711"/>
    <w:rsid w:val="02644317"/>
    <w:rsid w:val="026B2E25"/>
    <w:rsid w:val="02824D4D"/>
    <w:rsid w:val="02BE3979"/>
    <w:rsid w:val="02DC4B10"/>
    <w:rsid w:val="02DD76CE"/>
    <w:rsid w:val="02EC7FDE"/>
    <w:rsid w:val="02F36323"/>
    <w:rsid w:val="02F5619C"/>
    <w:rsid w:val="0326446A"/>
    <w:rsid w:val="032D5555"/>
    <w:rsid w:val="036634D2"/>
    <w:rsid w:val="038A68D9"/>
    <w:rsid w:val="03DD35E4"/>
    <w:rsid w:val="03F1522C"/>
    <w:rsid w:val="04076900"/>
    <w:rsid w:val="041A5A3B"/>
    <w:rsid w:val="042311BA"/>
    <w:rsid w:val="042B157A"/>
    <w:rsid w:val="048F763B"/>
    <w:rsid w:val="049F330E"/>
    <w:rsid w:val="04AA775C"/>
    <w:rsid w:val="04AF1889"/>
    <w:rsid w:val="04B85F11"/>
    <w:rsid w:val="04EE3F9B"/>
    <w:rsid w:val="04F66F48"/>
    <w:rsid w:val="050E687E"/>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245D42"/>
    <w:rsid w:val="07264C62"/>
    <w:rsid w:val="072F6604"/>
    <w:rsid w:val="0779354C"/>
    <w:rsid w:val="077F0C95"/>
    <w:rsid w:val="07B14EE3"/>
    <w:rsid w:val="07C300BD"/>
    <w:rsid w:val="07FE18F3"/>
    <w:rsid w:val="08061376"/>
    <w:rsid w:val="080976BA"/>
    <w:rsid w:val="0829543C"/>
    <w:rsid w:val="08452D77"/>
    <w:rsid w:val="086401F8"/>
    <w:rsid w:val="08751CAA"/>
    <w:rsid w:val="0876556A"/>
    <w:rsid w:val="087E4C40"/>
    <w:rsid w:val="08A53637"/>
    <w:rsid w:val="08A871D0"/>
    <w:rsid w:val="08D66AD6"/>
    <w:rsid w:val="08DA33A3"/>
    <w:rsid w:val="08E80F13"/>
    <w:rsid w:val="092612F3"/>
    <w:rsid w:val="092748F4"/>
    <w:rsid w:val="09335624"/>
    <w:rsid w:val="0944690F"/>
    <w:rsid w:val="09535675"/>
    <w:rsid w:val="095F057D"/>
    <w:rsid w:val="09642282"/>
    <w:rsid w:val="09733572"/>
    <w:rsid w:val="09772C16"/>
    <w:rsid w:val="098353B5"/>
    <w:rsid w:val="09A92330"/>
    <w:rsid w:val="09B06B87"/>
    <w:rsid w:val="09BF1ED3"/>
    <w:rsid w:val="09C13146"/>
    <w:rsid w:val="09C861C4"/>
    <w:rsid w:val="09E04166"/>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AA14DE"/>
    <w:rsid w:val="0BF6188C"/>
    <w:rsid w:val="0BF73C91"/>
    <w:rsid w:val="0BFE1A8B"/>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07043"/>
    <w:rsid w:val="0D4A7419"/>
    <w:rsid w:val="0D557DAE"/>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D0089"/>
    <w:rsid w:val="0EA028E3"/>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220A8"/>
    <w:rsid w:val="0FBF3FD2"/>
    <w:rsid w:val="0FBF7FF3"/>
    <w:rsid w:val="0FCF1C32"/>
    <w:rsid w:val="0FDA406B"/>
    <w:rsid w:val="0FFC3E38"/>
    <w:rsid w:val="10156805"/>
    <w:rsid w:val="10646583"/>
    <w:rsid w:val="107D4B15"/>
    <w:rsid w:val="10841832"/>
    <w:rsid w:val="108A3C80"/>
    <w:rsid w:val="10C26171"/>
    <w:rsid w:val="10DC700E"/>
    <w:rsid w:val="10F33360"/>
    <w:rsid w:val="10F4083A"/>
    <w:rsid w:val="10FC16EA"/>
    <w:rsid w:val="110F1D40"/>
    <w:rsid w:val="11266F33"/>
    <w:rsid w:val="118963A1"/>
    <w:rsid w:val="11C6522A"/>
    <w:rsid w:val="11E104CC"/>
    <w:rsid w:val="11E20309"/>
    <w:rsid w:val="12255233"/>
    <w:rsid w:val="122D652B"/>
    <w:rsid w:val="12530213"/>
    <w:rsid w:val="127723A9"/>
    <w:rsid w:val="12862074"/>
    <w:rsid w:val="12883966"/>
    <w:rsid w:val="12973475"/>
    <w:rsid w:val="129E45B4"/>
    <w:rsid w:val="12A842B2"/>
    <w:rsid w:val="12D21374"/>
    <w:rsid w:val="12D81596"/>
    <w:rsid w:val="12DE40F1"/>
    <w:rsid w:val="13072A44"/>
    <w:rsid w:val="131A1B7F"/>
    <w:rsid w:val="13474EA5"/>
    <w:rsid w:val="135F4BE2"/>
    <w:rsid w:val="13913864"/>
    <w:rsid w:val="139B1A0A"/>
    <w:rsid w:val="139B5BDE"/>
    <w:rsid w:val="139D25C7"/>
    <w:rsid w:val="13BF3CE4"/>
    <w:rsid w:val="13C827E4"/>
    <w:rsid w:val="140F0A5D"/>
    <w:rsid w:val="141008D8"/>
    <w:rsid w:val="14125FE6"/>
    <w:rsid w:val="142B70E5"/>
    <w:rsid w:val="143D3969"/>
    <w:rsid w:val="14500381"/>
    <w:rsid w:val="146D271E"/>
    <w:rsid w:val="14982588"/>
    <w:rsid w:val="149A5AD9"/>
    <w:rsid w:val="14A7619D"/>
    <w:rsid w:val="14D214EA"/>
    <w:rsid w:val="14F25B02"/>
    <w:rsid w:val="150536C3"/>
    <w:rsid w:val="150C1963"/>
    <w:rsid w:val="151447A0"/>
    <w:rsid w:val="154A6454"/>
    <w:rsid w:val="15762120"/>
    <w:rsid w:val="15844A86"/>
    <w:rsid w:val="15F56AC3"/>
    <w:rsid w:val="1608540D"/>
    <w:rsid w:val="16204A74"/>
    <w:rsid w:val="165C0D8B"/>
    <w:rsid w:val="166C515D"/>
    <w:rsid w:val="16A8729C"/>
    <w:rsid w:val="16B33777"/>
    <w:rsid w:val="16BC70A7"/>
    <w:rsid w:val="16C6339E"/>
    <w:rsid w:val="16C730F7"/>
    <w:rsid w:val="16D6012D"/>
    <w:rsid w:val="16FE2244"/>
    <w:rsid w:val="172F2D79"/>
    <w:rsid w:val="17352718"/>
    <w:rsid w:val="17557BEF"/>
    <w:rsid w:val="176D1E2A"/>
    <w:rsid w:val="17852075"/>
    <w:rsid w:val="17A05FFC"/>
    <w:rsid w:val="17D349C1"/>
    <w:rsid w:val="17E066D8"/>
    <w:rsid w:val="1830729E"/>
    <w:rsid w:val="18394486"/>
    <w:rsid w:val="185134E3"/>
    <w:rsid w:val="1870062C"/>
    <w:rsid w:val="18817102"/>
    <w:rsid w:val="18830A15"/>
    <w:rsid w:val="18852B28"/>
    <w:rsid w:val="188B5321"/>
    <w:rsid w:val="18C776A6"/>
    <w:rsid w:val="18EE574D"/>
    <w:rsid w:val="19341F4D"/>
    <w:rsid w:val="197524E7"/>
    <w:rsid w:val="19761DA4"/>
    <w:rsid w:val="19932372"/>
    <w:rsid w:val="19A07A88"/>
    <w:rsid w:val="19A20DD5"/>
    <w:rsid w:val="19AE03F1"/>
    <w:rsid w:val="19D16EBE"/>
    <w:rsid w:val="19DD4CB9"/>
    <w:rsid w:val="19F636A6"/>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056AC"/>
    <w:rsid w:val="1B825FBC"/>
    <w:rsid w:val="1BA209CF"/>
    <w:rsid w:val="1BB4777D"/>
    <w:rsid w:val="1BD75AB8"/>
    <w:rsid w:val="1BE22A26"/>
    <w:rsid w:val="1C0459C2"/>
    <w:rsid w:val="1C1B3B4A"/>
    <w:rsid w:val="1C537570"/>
    <w:rsid w:val="1C88086E"/>
    <w:rsid w:val="1CA045EE"/>
    <w:rsid w:val="1CC47A8B"/>
    <w:rsid w:val="1D266CE1"/>
    <w:rsid w:val="1D3963AF"/>
    <w:rsid w:val="1D6A673C"/>
    <w:rsid w:val="1D9247AE"/>
    <w:rsid w:val="1D941CBA"/>
    <w:rsid w:val="1DB567EC"/>
    <w:rsid w:val="1DEC22C4"/>
    <w:rsid w:val="1DF51A98"/>
    <w:rsid w:val="1E3D060F"/>
    <w:rsid w:val="1E3F7D2E"/>
    <w:rsid w:val="1E4134E4"/>
    <w:rsid w:val="1E5062B3"/>
    <w:rsid w:val="1E523514"/>
    <w:rsid w:val="1E714A66"/>
    <w:rsid w:val="1E730E11"/>
    <w:rsid w:val="1E802593"/>
    <w:rsid w:val="1E881A8A"/>
    <w:rsid w:val="1E8B6156"/>
    <w:rsid w:val="1EA703CC"/>
    <w:rsid w:val="1EB7330C"/>
    <w:rsid w:val="1F0A0FF3"/>
    <w:rsid w:val="1F5771FF"/>
    <w:rsid w:val="1F7A0CD5"/>
    <w:rsid w:val="1FD20D1E"/>
    <w:rsid w:val="1FE868A9"/>
    <w:rsid w:val="20034907"/>
    <w:rsid w:val="20173E4B"/>
    <w:rsid w:val="204E48BC"/>
    <w:rsid w:val="208921B3"/>
    <w:rsid w:val="2093370A"/>
    <w:rsid w:val="20973DEB"/>
    <w:rsid w:val="20A21E92"/>
    <w:rsid w:val="20B26522"/>
    <w:rsid w:val="20B34C6B"/>
    <w:rsid w:val="20B44310"/>
    <w:rsid w:val="20C506F5"/>
    <w:rsid w:val="20DF1008"/>
    <w:rsid w:val="20EE2FE4"/>
    <w:rsid w:val="20FE3A4A"/>
    <w:rsid w:val="211116EB"/>
    <w:rsid w:val="211E01F0"/>
    <w:rsid w:val="212D6D8F"/>
    <w:rsid w:val="216133FC"/>
    <w:rsid w:val="218944CA"/>
    <w:rsid w:val="21D56769"/>
    <w:rsid w:val="21D62C50"/>
    <w:rsid w:val="21E52EF3"/>
    <w:rsid w:val="21FB5D7B"/>
    <w:rsid w:val="220B1C3D"/>
    <w:rsid w:val="221D1D20"/>
    <w:rsid w:val="22334A87"/>
    <w:rsid w:val="22B61EBB"/>
    <w:rsid w:val="22B83BEE"/>
    <w:rsid w:val="22BE6801"/>
    <w:rsid w:val="22C04C60"/>
    <w:rsid w:val="22E03145"/>
    <w:rsid w:val="23003BD5"/>
    <w:rsid w:val="23113F1A"/>
    <w:rsid w:val="233500BF"/>
    <w:rsid w:val="23377FF7"/>
    <w:rsid w:val="233E0F44"/>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07BED"/>
    <w:rsid w:val="24D663E6"/>
    <w:rsid w:val="24D77F2B"/>
    <w:rsid w:val="254F52B1"/>
    <w:rsid w:val="2587768C"/>
    <w:rsid w:val="258B00E2"/>
    <w:rsid w:val="25A34E23"/>
    <w:rsid w:val="25A917A6"/>
    <w:rsid w:val="25BE27CC"/>
    <w:rsid w:val="25E92F53"/>
    <w:rsid w:val="25F66E05"/>
    <w:rsid w:val="25F74A5C"/>
    <w:rsid w:val="2628662C"/>
    <w:rsid w:val="262D45DE"/>
    <w:rsid w:val="266E6AE8"/>
    <w:rsid w:val="267E09C1"/>
    <w:rsid w:val="268611AF"/>
    <w:rsid w:val="26871DC8"/>
    <w:rsid w:val="26A53EF9"/>
    <w:rsid w:val="26A6481F"/>
    <w:rsid w:val="26A94201"/>
    <w:rsid w:val="26AC274F"/>
    <w:rsid w:val="270377E9"/>
    <w:rsid w:val="27044A29"/>
    <w:rsid w:val="271D34C8"/>
    <w:rsid w:val="272F6449"/>
    <w:rsid w:val="274C4FBA"/>
    <w:rsid w:val="276142BF"/>
    <w:rsid w:val="27783712"/>
    <w:rsid w:val="27907362"/>
    <w:rsid w:val="279B7084"/>
    <w:rsid w:val="27A02A0E"/>
    <w:rsid w:val="28333E1D"/>
    <w:rsid w:val="28454BD6"/>
    <w:rsid w:val="28455253"/>
    <w:rsid w:val="28551971"/>
    <w:rsid w:val="285B1C53"/>
    <w:rsid w:val="289F7086"/>
    <w:rsid w:val="28C32028"/>
    <w:rsid w:val="28CC490F"/>
    <w:rsid w:val="28DE40AA"/>
    <w:rsid w:val="29345E77"/>
    <w:rsid w:val="29453CBE"/>
    <w:rsid w:val="294C65AD"/>
    <w:rsid w:val="294E3480"/>
    <w:rsid w:val="297C731B"/>
    <w:rsid w:val="29806583"/>
    <w:rsid w:val="298B3C4C"/>
    <w:rsid w:val="29C934BB"/>
    <w:rsid w:val="29F26D24"/>
    <w:rsid w:val="2A15033F"/>
    <w:rsid w:val="2A1662C1"/>
    <w:rsid w:val="2A1C7367"/>
    <w:rsid w:val="2A2815FA"/>
    <w:rsid w:val="2A6D6092"/>
    <w:rsid w:val="2A7D76B4"/>
    <w:rsid w:val="2A830ABD"/>
    <w:rsid w:val="2AD8021A"/>
    <w:rsid w:val="2AEE1B3B"/>
    <w:rsid w:val="2AF47F2E"/>
    <w:rsid w:val="2B437463"/>
    <w:rsid w:val="2B7807EE"/>
    <w:rsid w:val="2B8C47CE"/>
    <w:rsid w:val="2BA50BF7"/>
    <w:rsid w:val="2BBF00EC"/>
    <w:rsid w:val="2BC37CFD"/>
    <w:rsid w:val="2BD5237F"/>
    <w:rsid w:val="2BE536CE"/>
    <w:rsid w:val="2BE758D9"/>
    <w:rsid w:val="2BEA7DD3"/>
    <w:rsid w:val="2C09049E"/>
    <w:rsid w:val="2C0A653C"/>
    <w:rsid w:val="2C191F85"/>
    <w:rsid w:val="2C361C61"/>
    <w:rsid w:val="2C8C4873"/>
    <w:rsid w:val="2C994A93"/>
    <w:rsid w:val="2CD908CA"/>
    <w:rsid w:val="2CE82D6F"/>
    <w:rsid w:val="2D2216DE"/>
    <w:rsid w:val="2D343236"/>
    <w:rsid w:val="2D956040"/>
    <w:rsid w:val="2DC53663"/>
    <w:rsid w:val="2DD15014"/>
    <w:rsid w:val="2DF72DE4"/>
    <w:rsid w:val="2E0220AF"/>
    <w:rsid w:val="2E4B082A"/>
    <w:rsid w:val="2E5D4E86"/>
    <w:rsid w:val="2E5D790B"/>
    <w:rsid w:val="2E776A61"/>
    <w:rsid w:val="2E9A3C18"/>
    <w:rsid w:val="2EBB0FEE"/>
    <w:rsid w:val="2EC63002"/>
    <w:rsid w:val="2ECB46DA"/>
    <w:rsid w:val="2F064D1A"/>
    <w:rsid w:val="2F0A6B38"/>
    <w:rsid w:val="2F0E78D3"/>
    <w:rsid w:val="2F4703A3"/>
    <w:rsid w:val="2F946CCB"/>
    <w:rsid w:val="2FD25781"/>
    <w:rsid w:val="2FDE33BA"/>
    <w:rsid w:val="2FF346DE"/>
    <w:rsid w:val="2FFB7730"/>
    <w:rsid w:val="2FFD7934"/>
    <w:rsid w:val="30201A01"/>
    <w:rsid w:val="30733ACD"/>
    <w:rsid w:val="308C3862"/>
    <w:rsid w:val="309379D8"/>
    <w:rsid w:val="309B6899"/>
    <w:rsid w:val="30A270F7"/>
    <w:rsid w:val="30C4123F"/>
    <w:rsid w:val="30DF1478"/>
    <w:rsid w:val="30EA055D"/>
    <w:rsid w:val="30EC586F"/>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7C2"/>
    <w:rsid w:val="33263B3F"/>
    <w:rsid w:val="336963EB"/>
    <w:rsid w:val="33816EEB"/>
    <w:rsid w:val="338863E7"/>
    <w:rsid w:val="33EB55CD"/>
    <w:rsid w:val="33EC4C02"/>
    <w:rsid w:val="340D2360"/>
    <w:rsid w:val="3410665D"/>
    <w:rsid w:val="34211214"/>
    <w:rsid w:val="342E63AB"/>
    <w:rsid w:val="34433534"/>
    <w:rsid w:val="347B5D1E"/>
    <w:rsid w:val="34950E68"/>
    <w:rsid w:val="34986E94"/>
    <w:rsid w:val="34AF62C9"/>
    <w:rsid w:val="34AF7E44"/>
    <w:rsid w:val="34CB4388"/>
    <w:rsid w:val="34FA6E12"/>
    <w:rsid w:val="354D7158"/>
    <w:rsid w:val="358D5588"/>
    <w:rsid w:val="36136070"/>
    <w:rsid w:val="363A3B40"/>
    <w:rsid w:val="365302AE"/>
    <w:rsid w:val="36607A0A"/>
    <w:rsid w:val="366E227C"/>
    <w:rsid w:val="366F2E0D"/>
    <w:rsid w:val="367B6A5C"/>
    <w:rsid w:val="36A74ADA"/>
    <w:rsid w:val="36AD60D5"/>
    <w:rsid w:val="36B224F9"/>
    <w:rsid w:val="36BB6998"/>
    <w:rsid w:val="36EC0CC9"/>
    <w:rsid w:val="37390A8E"/>
    <w:rsid w:val="373F410B"/>
    <w:rsid w:val="37550FFC"/>
    <w:rsid w:val="3756404C"/>
    <w:rsid w:val="376A0174"/>
    <w:rsid w:val="378C13F6"/>
    <w:rsid w:val="37BD1A5A"/>
    <w:rsid w:val="37E16E9C"/>
    <w:rsid w:val="37EE7094"/>
    <w:rsid w:val="38296C89"/>
    <w:rsid w:val="383002EB"/>
    <w:rsid w:val="38586797"/>
    <w:rsid w:val="388843DC"/>
    <w:rsid w:val="38BC0149"/>
    <w:rsid w:val="38D87D1C"/>
    <w:rsid w:val="38DE6D4B"/>
    <w:rsid w:val="39097066"/>
    <w:rsid w:val="391F535F"/>
    <w:rsid w:val="392E73EA"/>
    <w:rsid w:val="39636459"/>
    <w:rsid w:val="396B7F6C"/>
    <w:rsid w:val="399C14F7"/>
    <w:rsid w:val="39B417A9"/>
    <w:rsid w:val="39D11B36"/>
    <w:rsid w:val="39F5707E"/>
    <w:rsid w:val="39FC5695"/>
    <w:rsid w:val="3A006D8E"/>
    <w:rsid w:val="3A165B33"/>
    <w:rsid w:val="3A3651E5"/>
    <w:rsid w:val="3A463592"/>
    <w:rsid w:val="3A4E2342"/>
    <w:rsid w:val="3A744481"/>
    <w:rsid w:val="3A8C7BEF"/>
    <w:rsid w:val="3A906246"/>
    <w:rsid w:val="3AB92FEC"/>
    <w:rsid w:val="3B2349B7"/>
    <w:rsid w:val="3B4677B8"/>
    <w:rsid w:val="3B616CFF"/>
    <w:rsid w:val="3B6259F6"/>
    <w:rsid w:val="3B894B0B"/>
    <w:rsid w:val="3B976654"/>
    <w:rsid w:val="3B9B68EE"/>
    <w:rsid w:val="3BC01EFC"/>
    <w:rsid w:val="3BC52CC1"/>
    <w:rsid w:val="3BCA786A"/>
    <w:rsid w:val="3BCD4238"/>
    <w:rsid w:val="3BD06659"/>
    <w:rsid w:val="3BD31E2F"/>
    <w:rsid w:val="3BF15831"/>
    <w:rsid w:val="3C105946"/>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01AAA"/>
    <w:rsid w:val="3D7E0A99"/>
    <w:rsid w:val="3D8734BB"/>
    <w:rsid w:val="3D9A11D4"/>
    <w:rsid w:val="3DA16D89"/>
    <w:rsid w:val="3DA364BE"/>
    <w:rsid w:val="3DA475D8"/>
    <w:rsid w:val="3DB67810"/>
    <w:rsid w:val="3DD50C8A"/>
    <w:rsid w:val="3DE041CB"/>
    <w:rsid w:val="3E0D48F6"/>
    <w:rsid w:val="3E1868B4"/>
    <w:rsid w:val="3E1D2DF9"/>
    <w:rsid w:val="3E295268"/>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19356B"/>
    <w:rsid w:val="401E1828"/>
    <w:rsid w:val="40592157"/>
    <w:rsid w:val="406E1CAE"/>
    <w:rsid w:val="40937DD1"/>
    <w:rsid w:val="40A0133A"/>
    <w:rsid w:val="40C31A53"/>
    <w:rsid w:val="40F33AA5"/>
    <w:rsid w:val="40F92A66"/>
    <w:rsid w:val="40FF545D"/>
    <w:rsid w:val="410067C8"/>
    <w:rsid w:val="413C45E3"/>
    <w:rsid w:val="4147433B"/>
    <w:rsid w:val="418F0D2A"/>
    <w:rsid w:val="419500D6"/>
    <w:rsid w:val="41D01505"/>
    <w:rsid w:val="4238518B"/>
    <w:rsid w:val="42474939"/>
    <w:rsid w:val="424C3C57"/>
    <w:rsid w:val="42613FF3"/>
    <w:rsid w:val="42660D96"/>
    <w:rsid w:val="42713B9D"/>
    <w:rsid w:val="428667D2"/>
    <w:rsid w:val="42C70E89"/>
    <w:rsid w:val="42CD1CE0"/>
    <w:rsid w:val="42D53E10"/>
    <w:rsid w:val="42E1381E"/>
    <w:rsid w:val="42ED6459"/>
    <w:rsid w:val="42FE58DD"/>
    <w:rsid w:val="43174B3D"/>
    <w:rsid w:val="433F0E43"/>
    <w:rsid w:val="434B790E"/>
    <w:rsid w:val="4360274F"/>
    <w:rsid w:val="43977AB6"/>
    <w:rsid w:val="43A17EE9"/>
    <w:rsid w:val="43A3342B"/>
    <w:rsid w:val="43C77C27"/>
    <w:rsid w:val="43DA0BC1"/>
    <w:rsid w:val="43DE09EE"/>
    <w:rsid w:val="44002FAD"/>
    <w:rsid w:val="4430589B"/>
    <w:rsid w:val="44356927"/>
    <w:rsid w:val="448F5620"/>
    <w:rsid w:val="449101DD"/>
    <w:rsid w:val="449D00C3"/>
    <w:rsid w:val="44AB0DC9"/>
    <w:rsid w:val="44DE1391"/>
    <w:rsid w:val="44E72961"/>
    <w:rsid w:val="451B225C"/>
    <w:rsid w:val="452410C9"/>
    <w:rsid w:val="452B71EC"/>
    <w:rsid w:val="452E1696"/>
    <w:rsid w:val="45317DFB"/>
    <w:rsid w:val="456D3CE4"/>
    <w:rsid w:val="4579042C"/>
    <w:rsid w:val="457E4BFD"/>
    <w:rsid w:val="457F0571"/>
    <w:rsid w:val="45851176"/>
    <w:rsid w:val="45853C91"/>
    <w:rsid w:val="458A2D71"/>
    <w:rsid w:val="45C63B94"/>
    <w:rsid w:val="45E83F3B"/>
    <w:rsid w:val="45F134FD"/>
    <w:rsid w:val="460E7DA5"/>
    <w:rsid w:val="461B579A"/>
    <w:rsid w:val="46422483"/>
    <w:rsid w:val="4659254A"/>
    <w:rsid w:val="465B0637"/>
    <w:rsid w:val="465E3F0D"/>
    <w:rsid w:val="466A16E6"/>
    <w:rsid w:val="46791209"/>
    <w:rsid w:val="46893F2B"/>
    <w:rsid w:val="46C4686E"/>
    <w:rsid w:val="46EC6103"/>
    <w:rsid w:val="472A3E43"/>
    <w:rsid w:val="47391126"/>
    <w:rsid w:val="473D0E4D"/>
    <w:rsid w:val="477B778F"/>
    <w:rsid w:val="478203EC"/>
    <w:rsid w:val="478464A5"/>
    <w:rsid w:val="47B025FA"/>
    <w:rsid w:val="47EC7057"/>
    <w:rsid w:val="48010DED"/>
    <w:rsid w:val="4809698F"/>
    <w:rsid w:val="48097DF4"/>
    <w:rsid w:val="480C2553"/>
    <w:rsid w:val="4811697D"/>
    <w:rsid w:val="485765F3"/>
    <w:rsid w:val="487A3E25"/>
    <w:rsid w:val="487B0FC2"/>
    <w:rsid w:val="48833F78"/>
    <w:rsid w:val="488B5503"/>
    <w:rsid w:val="488B752C"/>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70CA5"/>
    <w:rsid w:val="496F77D7"/>
    <w:rsid w:val="497654FD"/>
    <w:rsid w:val="498F505D"/>
    <w:rsid w:val="49B64211"/>
    <w:rsid w:val="49F6167F"/>
    <w:rsid w:val="4A064FA0"/>
    <w:rsid w:val="4A16615C"/>
    <w:rsid w:val="4A4424D7"/>
    <w:rsid w:val="4A493572"/>
    <w:rsid w:val="4A6E0CA4"/>
    <w:rsid w:val="4A706C8D"/>
    <w:rsid w:val="4A83134F"/>
    <w:rsid w:val="4AB82D0F"/>
    <w:rsid w:val="4AEB7664"/>
    <w:rsid w:val="4AFD7C19"/>
    <w:rsid w:val="4B0567D1"/>
    <w:rsid w:val="4B236AAE"/>
    <w:rsid w:val="4B555D27"/>
    <w:rsid w:val="4B707271"/>
    <w:rsid w:val="4B9739F7"/>
    <w:rsid w:val="4B974368"/>
    <w:rsid w:val="4B9A6B21"/>
    <w:rsid w:val="4B9C1FA2"/>
    <w:rsid w:val="4BA71552"/>
    <w:rsid w:val="4BE96C25"/>
    <w:rsid w:val="4BEE2503"/>
    <w:rsid w:val="4C245A30"/>
    <w:rsid w:val="4C4B7296"/>
    <w:rsid w:val="4C5D53ED"/>
    <w:rsid w:val="4C676029"/>
    <w:rsid w:val="4C860134"/>
    <w:rsid w:val="4CAF7256"/>
    <w:rsid w:val="4CB6685F"/>
    <w:rsid w:val="4CC367FE"/>
    <w:rsid w:val="4D077F3C"/>
    <w:rsid w:val="4D123355"/>
    <w:rsid w:val="4D213B0B"/>
    <w:rsid w:val="4D2A3B31"/>
    <w:rsid w:val="4D312C52"/>
    <w:rsid w:val="4D4B0F25"/>
    <w:rsid w:val="4D905305"/>
    <w:rsid w:val="4D964A72"/>
    <w:rsid w:val="4D9C1254"/>
    <w:rsid w:val="4DA1334D"/>
    <w:rsid w:val="4E28004A"/>
    <w:rsid w:val="4E526455"/>
    <w:rsid w:val="4E793892"/>
    <w:rsid w:val="4E7FF489"/>
    <w:rsid w:val="4E800872"/>
    <w:rsid w:val="4E9532A8"/>
    <w:rsid w:val="4E9A20A5"/>
    <w:rsid w:val="4EC569ED"/>
    <w:rsid w:val="4ED50EA1"/>
    <w:rsid w:val="4EEC050C"/>
    <w:rsid w:val="4EF833C6"/>
    <w:rsid w:val="4F104EC3"/>
    <w:rsid w:val="4F47354A"/>
    <w:rsid w:val="4F911C54"/>
    <w:rsid w:val="4FA803CF"/>
    <w:rsid w:val="4FE625E0"/>
    <w:rsid w:val="4FED5402"/>
    <w:rsid w:val="5021480F"/>
    <w:rsid w:val="505D15FC"/>
    <w:rsid w:val="5062551B"/>
    <w:rsid w:val="50755E1B"/>
    <w:rsid w:val="50962ECB"/>
    <w:rsid w:val="50A42E38"/>
    <w:rsid w:val="50A4577F"/>
    <w:rsid w:val="50B73D1F"/>
    <w:rsid w:val="50BD5BC9"/>
    <w:rsid w:val="50C11EEE"/>
    <w:rsid w:val="50D73351"/>
    <w:rsid w:val="50E97CFC"/>
    <w:rsid w:val="50F1399D"/>
    <w:rsid w:val="50FA4028"/>
    <w:rsid w:val="50FE434C"/>
    <w:rsid w:val="510D65B7"/>
    <w:rsid w:val="511157AB"/>
    <w:rsid w:val="512561C9"/>
    <w:rsid w:val="5142540C"/>
    <w:rsid w:val="518832C8"/>
    <w:rsid w:val="51A0432A"/>
    <w:rsid w:val="51A86090"/>
    <w:rsid w:val="51B7396D"/>
    <w:rsid w:val="51F4743E"/>
    <w:rsid w:val="520C0436"/>
    <w:rsid w:val="522E4CC3"/>
    <w:rsid w:val="5244713B"/>
    <w:rsid w:val="52615633"/>
    <w:rsid w:val="526A04DD"/>
    <w:rsid w:val="52707BDA"/>
    <w:rsid w:val="52977FD4"/>
    <w:rsid w:val="52A25790"/>
    <w:rsid w:val="52A96B6F"/>
    <w:rsid w:val="52B45975"/>
    <w:rsid w:val="52D94AA4"/>
    <w:rsid w:val="52DC40B5"/>
    <w:rsid w:val="52EA3A62"/>
    <w:rsid w:val="52F50BB8"/>
    <w:rsid w:val="53097272"/>
    <w:rsid w:val="53544462"/>
    <w:rsid w:val="53674107"/>
    <w:rsid w:val="53676980"/>
    <w:rsid w:val="53960CB2"/>
    <w:rsid w:val="5397158E"/>
    <w:rsid w:val="53D42C20"/>
    <w:rsid w:val="54013861"/>
    <w:rsid w:val="54391CAF"/>
    <w:rsid w:val="54430D88"/>
    <w:rsid w:val="54487265"/>
    <w:rsid w:val="544D6070"/>
    <w:rsid w:val="5455279C"/>
    <w:rsid w:val="545B4ECF"/>
    <w:rsid w:val="545E594E"/>
    <w:rsid w:val="54604504"/>
    <w:rsid w:val="54605E1E"/>
    <w:rsid w:val="549A28A4"/>
    <w:rsid w:val="54B3506A"/>
    <w:rsid w:val="54CA0D16"/>
    <w:rsid w:val="54DD4057"/>
    <w:rsid w:val="54E7490F"/>
    <w:rsid w:val="54F008F6"/>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C29B6"/>
    <w:rsid w:val="55DD4241"/>
    <w:rsid w:val="55F16964"/>
    <w:rsid w:val="55FA20BB"/>
    <w:rsid w:val="561C1BE8"/>
    <w:rsid w:val="5622136D"/>
    <w:rsid w:val="566B6D1E"/>
    <w:rsid w:val="56935E37"/>
    <w:rsid w:val="569E129D"/>
    <w:rsid w:val="56AF5191"/>
    <w:rsid w:val="56C76EC1"/>
    <w:rsid w:val="56F8624A"/>
    <w:rsid w:val="57032A2C"/>
    <w:rsid w:val="570F5219"/>
    <w:rsid w:val="571A09A6"/>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307B25"/>
    <w:rsid w:val="593A05F7"/>
    <w:rsid w:val="595E1678"/>
    <w:rsid w:val="596D5BD4"/>
    <w:rsid w:val="597E3DD8"/>
    <w:rsid w:val="59AB1AC0"/>
    <w:rsid w:val="59B31026"/>
    <w:rsid w:val="59F80043"/>
    <w:rsid w:val="5A09252F"/>
    <w:rsid w:val="5A0B2778"/>
    <w:rsid w:val="5A2A7C7B"/>
    <w:rsid w:val="5A3E2560"/>
    <w:rsid w:val="5A5D3B6E"/>
    <w:rsid w:val="5A637A76"/>
    <w:rsid w:val="5A686384"/>
    <w:rsid w:val="5A6D33BA"/>
    <w:rsid w:val="5A792B1F"/>
    <w:rsid w:val="5A874767"/>
    <w:rsid w:val="5AA85BE2"/>
    <w:rsid w:val="5AAD6F28"/>
    <w:rsid w:val="5AD63A24"/>
    <w:rsid w:val="5AE51FB6"/>
    <w:rsid w:val="5AEC4DFF"/>
    <w:rsid w:val="5B2E1A1D"/>
    <w:rsid w:val="5B843A1C"/>
    <w:rsid w:val="5B873E3F"/>
    <w:rsid w:val="5C02690E"/>
    <w:rsid w:val="5C196DA7"/>
    <w:rsid w:val="5C225659"/>
    <w:rsid w:val="5C2A048C"/>
    <w:rsid w:val="5C35640B"/>
    <w:rsid w:val="5C7422AE"/>
    <w:rsid w:val="5C80234E"/>
    <w:rsid w:val="5C8A680C"/>
    <w:rsid w:val="5CA32C2B"/>
    <w:rsid w:val="5CE45C2B"/>
    <w:rsid w:val="5CEB387F"/>
    <w:rsid w:val="5CF15F09"/>
    <w:rsid w:val="5D0C4701"/>
    <w:rsid w:val="5D0F0395"/>
    <w:rsid w:val="5D221076"/>
    <w:rsid w:val="5D397964"/>
    <w:rsid w:val="5D551783"/>
    <w:rsid w:val="5D5A391C"/>
    <w:rsid w:val="5D5F10C0"/>
    <w:rsid w:val="5D891B7B"/>
    <w:rsid w:val="5D8A5E82"/>
    <w:rsid w:val="5D930F65"/>
    <w:rsid w:val="5D945FAA"/>
    <w:rsid w:val="5DAD38EE"/>
    <w:rsid w:val="5E006862"/>
    <w:rsid w:val="5E0207B9"/>
    <w:rsid w:val="5E093CEF"/>
    <w:rsid w:val="5E1259C7"/>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922932"/>
    <w:rsid w:val="5FCC5339"/>
    <w:rsid w:val="5FE34A5B"/>
    <w:rsid w:val="5FFE1E36"/>
    <w:rsid w:val="60172C7B"/>
    <w:rsid w:val="60232584"/>
    <w:rsid w:val="60305BC5"/>
    <w:rsid w:val="605864BB"/>
    <w:rsid w:val="607330CE"/>
    <w:rsid w:val="60825176"/>
    <w:rsid w:val="60873AD9"/>
    <w:rsid w:val="609F2AC4"/>
    <w:rsid w:val="60C413D5"/>
    <w:rsid w:val="60FA2EE8"/>
    <w:rsid w:val="61054A27"/>
    <w:rsid w:val="610A52BC"/>
    <w:rsid w:val="611D2366"/>
    <w:rsid w:val="61421856"/>
    <w:rsid w:val="615227C4"/>
    <w:rsid w:val="61654E3F"/>
    <w:rsid w:val="6182292A"/>
    <w:rsid w:val="618B5F69"/>
    <w:rsid w:val="61985864"/>
    <w:rsid w:val="619F7F92"/>
    <w:rsid w:val="61BB155E"/>
    <w:rsid w:val="61BD2EFD"/>
    <w:rsid w:val="61F94C26"/>
    <w:rsid w:val="62000E56"/>
    <w:rsid w:val="62240E2C"/>
    <w:rsid w:val="62244584"/>
    <w:rsid w:val="624F3E49"/>
    <w:rsid w:val="62632286"/>
    <w:rsid w:val="62775066"/>
    <w:rsid w:val="62885958"/>
    <w:rsid w:val="628903DB"/>
    <w:rsid w:val="62C860CC"/>
    <w:rsid w:val="62D64142"/>
    <w:rsid w:val="62F40B65"/>
    <w:rsid w:val="62FC2CFE"/>
    <w:rsid w:val="63024505"/>
    <w:rsid w:val="63540CCD"/>
    <w:rsid w:val="635B1DB5"/>
    <w:rsid w:val="636C2F45"/>
    <w:rsid w:val="63711FED"/>
    <w:rsid w:val="63880DDC"/>
    <w:rsid w:val="63885935"/>
    <w:rsid w:val="638D750D"/>
    <w:rsid w:val="639F201C"/>
    <w:rsid w:val="63AC52D2"/>
    <w:rsid w:val="63AC6CC0"/>
    <w:rsid w:val="63B048E8"/>
    <w:rsid w:val="64055776"/>
    <w:rsid w:val="64175397"/>
    <w:rsid w:val="64240056"/>
    <w:rsid w:val="643E143A"/>
    <w:rsid w:val="64467090"/>
    <w:rsid w:val="644A0C02"/>
    <w:rsid w:val="648B6EEF"/>
    <w:rsid w:val="64C158BF"/>
    <w:rsid w:val="64CE2EAA"/>
    <w:rsid w:val="65092215"/>
    <w:rsid w:val="653C3090"/>
    <w:rsid w:val="65667DE5"/>
    <w:rsid w:val="65854376"/>
    <w:rsid w:val="658767BE"/>
    <w:rsid w:val="65882CD5"/>
    <w:rsid w:val="65892531"/>
    <w:rsid w:val="65896749"/>
    <w:rsid w:val="65E616BA"/>
    <w:rsid w:val="66153939"/>
    <w:rsid w:val="66195831"/>
    <w:rsid w:val="662E75B1"/>
    <w:rsid w:val="66342C2E"/>
    <w:rsid w:val="663E784C"/>
    <w:rsid w:val="66551A38"/>
    <w:rsid w:val="666D1F69"/>
    <w:rsid w:val="667133EA"/>
    <w:rsid w:val="668B6A45"/>
    <w:rsid w:val="66DE04FB"/>
    <w:rsid w:val="66F85C8F"/>
    <w:rsid w:val="671E7365"/>
    <w:rsid w:val="672F3F24"/>
    <w:rsid w:val="673E055F"/>
    <w:rsid w:val="67551CE3"/>
    <w:rsid w:val="6778637C"/>
    <w:rsid w:val="67A22552"/>
    <w:rsid w:val="67A530AB"/>
    <w:rsid w:val="67B22DCC"/>
    <w:rsid w:val="67BE71AA"/>
    <w:rsid w:val="67D90273"/>
    <w:rsid w:val="67DE5875"/>
    <w:rsid w:val="67E55852"/>
    <w:rsid w:val="67EB1AB4"/>
    <w:rsid w:val="67FA1285"/>
    <w:rsid w:val="68551F4F"/>
    <w:rsid w:val="685D6D2A"/>
    <w:rsid w:val="68647B92"/>
    <w:rsid w:val="687C10C9"/>
    <w:rsid w:val="68840C16"/>
    <w:rsid w:val="68876EFB"/>
    <w:rsid w:val="68884654"/>
    <w:rsid w:val="689F444F"/>
    <w:rsid w:val="68B96DBB"/>
    <w:rsid w:val="68CA2805"/>
    <w:rsid w:val="68E85AE5"/>
    <w:rsid w:val="68E937A3"/>
    <w:rsid w:val="69351A7B"/>
    <w:rsid w:val="693E15D3"/>
    <w:rsid w:val="69627681"/>
    <w:rsid w:val="6977531D"/>
    <w:rsid w:val="69B51747"/>
    <w:rsid w:val="69BD5BBB"/>
    <w:rsid w:val="69CC2BFF"/>
    <w:rsid w:val="69D327F2"/>
    <w:rsid w:val="69D54940"/>
    <w:rsid w:val="69FD14B4"/>
    <w:rsid w:val="69FD55B8"/>
    <w:rsid w:val="6A0B1C62"/>
    <w:rsid w:val="6A0C584D"/>
    <w:rsid w:val="6A0D3F4C"/>
    <w:rsid w:val="6A2406C8"/>
    <w:rsid w:val="6A4B328A"/>
    <w:rsid w:val="6A4B36BE"/>
    <w:rsid w:val="6A8F2B46"/>
    <w:rsid w:val="6AB20DE6"/>
    <w:rsid w:val="6ABA3454"/>
    <w:rsid w:val="6ADC5EF8"/>
    <w:rsid w:val="6ADE0BD1"/>
    <w:rsid w:val="6AE2497F"/>
    <w:rsid w:val="6AE96859"/>
    <w:rsid w:val="6B147746"/>
    <w:rsid w:val="6B24787C"/>
    <w:rsid w:val="6B573233"/>
    <w:rsid w:val="6B5B6274"/>
    <w:rsid w:val="6B694FD4"/>
    <w:rsid w:val="6B710BD6"/>
    <w:rsid w:val="6B935D53"/>
    <w:rsid w:val="6BF112ED"/>
    <w:rsid w:val="6C196F71"/>
    <w:rsid w:val="6C226FCB"/>
    <w:rsid w:val="6C31226F"/>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24BDB"/>
    <w:rsid w:val="6DD41A5B"/>
    <w:rsid w:val="6DF43C2E"/>
    <w:rsid w:val="6DF51CA3"/>
    <w:rsid w:val="6E8335BD"/>
    <w:rsid w:val="6E8E12EF"/>
    <w:rsid w:val="6E9045AA"/>
    <w:rsid w:val="6E972936"/>
    <w:rsid w:val="6EB74327"/>
    <w:rsid w:val="6EC91D52"/>
    <w:rsid w:val="6ED446C5"/>
    <w:rsid w:val="6EFAB8F2"/>
    <w:rsid w:val="6F184A18"/>
    <w:rsid w:val="6F2A7D94"/>
    <w:rsid w:val="6F802313"/>
    <w:rsid w:val="6F8331F1"/>
    <w:rsid w:val="6FAE1A09"/>
    <w:rsid w:val="6FD75BF8"/>
    <w:rsid w:val="6FEF3B3E"/>
    <w:rsid w:val="704B46B5"/>
    <w:rsid w:val="707723D0"/>
    <w:rsid w:val="70DB77AC"/>
    <w:rsid w:val="70F5661B"/>
    <w:rsid w:val="70FF0D7D"/>
    <w:rsid w:val="71360107"/>
    <w:rsid w:val="713B688E"/>
    <w:rsid w:val="71575908"/>
    <w:rsid w:val="7167149E"/>
    <w:rsid w:val="7183561A"/>
    <w:rsid w:val="71BE6408"/>
    <w:rsid w:val="71D43752"/>
    <w:rsid w:val="71D7083C"/>
    <w:rsid w:val="71E8414B"/>
    <w:rsid w:val="71F1796A"/>
    <w:rsid w:val="720846CC"/>
    <w:rsid w:val="72154626"/>
    <w:rsid w:val="72202699"/>
    <w:rsid w:val="72262B5D"/>
    <w:rsid w:val="72283FF7"/>
    <w:rsid w:val="722E7212"/>
    <w:rsid w:val="723A0474"/>
    <w:rsid w:val="72531F1A"/>
    <w:rsid w:val="725923E4"/>
    <w:rsid w:val="72681F93"/>
    <w:rsid w:val="72864BF7"/>
    <w:rsid w:val="729023FC"/>
    <w:rsid w:val="729F57F1"/>
    <w:rsid w:val="733470C6"/>
    <w:rsid w:val="73533CC2"/>
    <w:rsid w:val="73C0646E"/>
    <w:rsid w:val="742222F5"/>
    <w:rsid w:val="742348D0"/>
    <w:rsid w:val="74476126"/>
    <w:rsid w:val="745E5F99"/>
    <w:rsid w:val="74624977"/>
    <w:rsid w:val="74694588"/>
    <w:rsid w:val="74706664"/>
    <w:rsid w:val="7475702A"/>
    <w:rsid w:val="747679B0"/>
    <w:rsid w:val="747F3682"/>
    <w:rsid w:val="749C4185"/>
    <w:rsid w:val="74A73931"/>
    <w:rsid w:val="74BE006A"/>
    <w:rsid w:val="74DE0EF4"/>
    <w:rsid w:val="74EB0BAE"/>
    <w:rsid w:val="75067759"/>
    <w:rsid w:val="752E6DCD"/>
    <w:rsid w:val="7551380D"/>
    <w:rsid w:val="75600BE5"/>
    <w:rsid w:val="7564475C"/>
    <w:rsid w:val="75834A5C"/>
    <w:rsid w:val="7583797F"/>
    <w:rsid w:val="759E2239"/>
    <w:rsid w:val="75D20F1D"/>
    <w:rsid w:val="75DA2C18"/>
    <w:rsid w:val="75F54412"/>
    <w:rsid w:val="761969BC"/>
    <w:rsid w:val="761D08E0"/>
    <w:rsid w:val="76374196"/>
    <w:rsid w:val="76400B70"/>
    <w:rsid w:val="765D347C"/>
    <w:rsid w:val="76826699"/>
    <w:rsid w:val="76C87133"/>
    <w:rsid w:val="76CD08D5"/>
    <w:rsid w:val="76DB4B92"/>
    <w:rsid w:val="76E55F22"/>
    <w:rsid w:val="76FF4961"/>
    <w:rsid w:val="77052AA4"/>
    <w:rsid w:val="77136511"/>
    <w:rsid w:val="77340A39"/>
    <w:rsid w:val="77351FD0"/>
    <w:rsid w:val="77472422"/>
    <w:rsid w:val="776D6785"/>
    <w:rsid w:val="777F31F2"/>
    <w:rsid w:val="77BC4C63"/>
    <w:rsid w:val="77D1700D"/>
    <w:rsid w:val="77E4568D"/>
    <w:rsid w:val="77EC04CC"/>
    <w:rsid w:val="78006A23"/>
    <w:rsid w:val="780833DE"/>
    <w:rsid w:val="78140026"/>
    <w:rsid w:val="781B5927"/>
    <w:rsid w:val="78775729"/>
    <w:rsid w:val="78A42DB0"/>
    <w:rsid w:val="78A656AB"/>
    <w:rsid w:val="78B2245C"/>
    <w:rsid w:val="78E172CC"/>
    <w:rsid w:val="78EA1D1F"/>
    <w:rsid w:val="7904172F"/>
    <w:rsid w:val="79062AD2"/>
    <w:rsid w:val="790F7E27"/>
    <w:rsid w:val="792A231A"/>
    <w:rsid w:val="79316829"/>
    <w:rsid w:val="79342ECD"/>
    <w:rsid w:val="79404FE3"/>
    <w:rsid w:val="797C7409"/>
    <w:rsid w:val="797E66A9"/>
    <w:rsid w:val="7994526A"/>
    <w:rsid w:val="79A97383"/>
    <w:rsid w:val="79E27E8B"/>
    <w:rsid w:val="79E961DE"/>
    <w:rsid w:val="79F850CE"/>
    <w:rsid w:val="79FC52E4"/>
    <w:rsid w:val="79FD443C"/>
    <w:rsid w:val="7A1D1975"/>
    <w:rsid w:val="7A3902E6"/>
    <w:rsid w:val="7A3E5150"/>
    <w:rsid w:val="7A4670D6"/>
    <w:rsid w:val="7A534B63"/>
    <w:rsid w:val="7A615382"/>
    <w:rsid w:val="7A653600"/>
    <w:rsid w:val="7A67303B"/>
    <w:rsid w:val="7AAB1D04"/>
    <w:rsid w:val="7ABA4368"/>
    <w:rsid w:val="7AD05746"/>
    <w:rsid w:val="7AEC549C"/>
    <w:rsid w:val="7AF15C81"/>
    <w:rsid w:val="7B226FCC"/>
    <w:rsid w:val="7B257FFD"/>
    <w:rsid w:val="7B343476"/>
    <w:rsid w:val="7B5A2978"/>
    <w:rsid w:val="7B5A7E4C"/>
    <w:rsid w:val="7B667AF9"/>
    <w:rsid w:val="7B7468F8"/>
    <w:rsid w:val="7BE64CF7"/>
    <w:rsid w:val="7BEE0103"/>
    <w:rsid w:val="7BFDC276"/>
    <w:rsid w:val="7C0A0FE4"/>
    <w:rsid w:val="7C254906"/>
    <w:rsid w:val="7C5022FF"/>
    <w:rsid w:val="7C590818"/>
    <w:rsid w:val="7C6E0182"/>
    <w:rsid w:val="7C7C10F6"/>
    <w:rsid w:val="7C7E090C"/>
    <w:rsid w:val="7C853BEA"/>
    <w:rsid w:val="7C881368"/>
    <w:rsid w:val="7CE27788"/>
    <w:rsid w:val="7D0357E5"/>
    <w:rsid w:val="7D0C32F1"/>
    <w:rsid w:val="7D0F408D"/>
    <w:rsid w:val="7D491C6C"/>
    <w:rsid w:val="7D5429C0"/>
    <w:rsid w:val="7D6E6D43"/>
    <w:rsid w:val="7D7069D2"/>
    <w:rsid w:val="7D894AA5"/>
    <w:rsid w:val="7DAD6DD7"/>
    <w:rsid w:val="7DB57A34"/>
    <w:rsid w:val="7DDB10A1"/>
    <w:rsid w:val="7DE60973"/>
    <w:rsid w:val="7DEF0916"/>
    <w:rsid w:val="7DFBCFF0"/>
    <w:rsid w:val="7E08295B"/>
    <w:rsid w:val="7E1E5218"/>
    <w:rsid w:val="7E7514D4"/>
    <w:rsid w:val="7E9A4E1F"/>
    <w:rsid w:val="7EA7723A"/>
    <w:rsid w:val="7EB659FE"/>
    <w:rsid w:val="7EBC6AFC"/>
    <w:rsid w:val="7EF56FBB"/>
    <w:rsid w:val="7EFC38CE"/>
    <w:rsid w:val="7F067E4D"/>
    <w:rsid w:val="7F0768EB"/>
    <w:rsid w:val="7F143BEC"/>
    <w:rsid w:val="7F3FAE5C"/>
    <w:rsid w:val="7F6137FA"/>
    <w:rsid w:val="7F715AF2"/>
    <w:rsid w:val="7F7373F1"/>
    <w:rsid w:val="7F793597"/>
    <w:rsid w:val="7F886E69"/>
    <w:rsid w:val="7FAF770E"/>
    <w:rsid w:val="7FCF2D12"/>
    <w:rsid w:val="7FFA1DC8"/>
    <w:rsid w:val="BB7FA927"/>
    <w:rsid w:val="EDF7AD86"/>
    <w:rsid w:val="EE2EECD3"/>
    <w:rsid w:val="F5FFD31F"/>
    <w:rsid w:val="FE72C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4"/>
    <w:qFormat/>
    <w:uiPriority w:val="0"/>
    <w:pPr>
      <w:ind w:firstLine="420"/>
    </w:pPr>
    <w:rPr>
      <w:rFonts w:hAnsi="Calibri" w:cs="Times New Roman"/>
      <w:snapToGrid/>
      <w:szCs w:val="20"/>
    </w:rPr>
  </w:style>
  <w:style w:type="paragraph" w:styleId="26">
    <w:name w:val="Body Text Indent"/>
    <w:basedOn w:val="1"/>
    <w:next w:val="16"/>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0"/>
    <w:qFormat/>
    <w:uiPriority w:val="0"/>
    <w:rPr>
      <w:b/>
      <w:bCs/>
    </w:rPr>
  </w:style>
  <w:style w:type="paragraph" w:styleId="62">
    <w:name w:val="Body Text First Indent 2"/>
    <w:basedOn w:val="26"/>
    <w:next w:val="1"/>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1">
    <w:name w:val="Default"/>
    <w:next w:val="82"/>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3">
    <w:name w:val="[Normal]"/>
    <w:qFormat/>
    <w:uiPriority w:val="0"/>
    <w:rPr>
      <w:rFonts w:ascii="宋体" w:hAnsi="宋体" w:eastAsia="宋体" w:cs="Times New Roman"/>
      <w:sz w:val="24"/>
      <w:lang w:val="zh-CN" w:eastAsia="zh-CN" w:bidi="ar-SA"/>
    </w:rPr>
  </w:style>
  <w:style w:type="paragraph" w:styleId="84">
    <w:name w:val="List Paragraph"/>
    <w:basedOn w:val="1"/>
    <w:qFormat/>
    <w:uiPriority w:val="34"/>
    <w:pPr>
      <w:spacing w:line="360" w:lineRule="auto"/>
      <w:ind w:firstLine="200" w:firstLineChars="200"/>
    </w:pPr>
    <w:rPr>
      <w:rFonts w:eastAsia="楷体_GB2312" w:cs="Lucida Sans"/>
      <w:sz w:val="24"/>
    </w:rPr>
  </w:style>
  <w:style w:type="paragraph" w:customStyle="1" w:styleId="85">
    <w:name w:val="正文文本首行缩进 21"/>
    <w:basedOn w:val="26"/>
    <w:qFormat/>
    <w:uiPriority w:val="99"/>
    <w:pPr>
      <w:spacing w:line="200" w:lineRule="atLeast"/>
      <w:ind w:firstLine="420"/>
    </w:pPr>
    <w:rPr>
      <w:rFonts w:hAnsi="Courier New"/>
      <w:spacing w:val="-4"/>
      <w:sz w:val="1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7"/>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1"/>
    <w:qFormat/>
    <w:uiPriority w:val="0"/>
    <w:rPr>
      <w:rFonts w:ascii="仿宋_GB2312" w:eastAsia="仿宋_GB2312" w:cs="仿宋_GB2312"/>
      <w:color w:val="000000"/>
      <w:sz w:val="24"/>
      <w:szCs w:val="24"/>
      <w:lang w:val="en-US" w:eastAsia="zh-CN" w:bidi="ar-SA"/>
    </w:rPr>
  </w:style>
  <w:style w:type="paragraph" w:customStyle="1" w:styleId="23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4"/>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8"/>
    <w:qFormat/>
    <w:uiPriority w:val="0"/>
    <w:rPr>
      <w:rFonts w:ascii="黑体" w:hAnsi="Courier New" w:eastAsia="黑体"/>
    </w:rPr>
  </w:style>
  <w:style w:type="character" w:customStyle="1" w:styleId="305">
    <w:name w:val="正文文本 2 字符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qFormat/>
    <w:uiPriority w:val="0"/>
    <w:rPr>
      <w:kern w:val="2"/>
      <w:sz w:val="21"/>
      <w:szCs w:val="24"/>
    </w:rPr>
  </w:style>
  <w:style w:type="character" w:customStyle="1" w:styleId="348">
    <w:name w:val="签名 字符"/>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8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next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1"/>
    <w:next w:val="81"/>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1"/>
    <w:next w:val="81"/>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4"/>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9"/>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4"/>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Body text|1"/>
    <w:basedOn w:val="1"/>
    <w:qFormat/>
    <w:uiPriority w:val="0"/>
    <w:pPr>
      <w:spacing w:line="391" w:lineRule="auto"/>
      <w:ind w:firstLine="400"/>
    </w:pPr>
    <w:rPr>
      <w:rFonts w:ascii="宋体" w:hAnsi="宋体" w:cs="宋体"/>
      <w:lang w:val="zh-TW" w:eastAsia="zh-TW" w:bidi="zh-TW"/>
    </w:rPr>
  </w:style>
  <w:style w:type="character" w:customStyle="1" w:styleId="967">
    <w:name w:val="font101"/>
    <w:basedOn w:val="70"/>
    <w:qFormat/>
    <w:uiPriority w:val="0"/>
    <w:rPr>
      <w:rFonts w:hint="eastAsia" w:ascii="宋体" w:hAnsi="宋体" w:eastAsia="宋体" w:cs="宋体"/>
      <w:color w:val="FF0000"/>
      <w:sz w:val="20"/>
      <w:szCs w:val="20"/>
      <w:u w:val="none"/>
    </w:rPr>
  </w:style>
  <w:style w:type="paragraph" w:customStyle="1" w:styleId="968">
    <w:name w:val="封面编号"/>
    <w:basedOn w:val="1"/>
    <w:qFormat/>
    <w:uiPriority w:val="0"/>
    <w:pPr>
      <w:spacing w:line="360" w:lineRule="auto"/>
      <w:jc w:val="center"/>
    </w:pPr>
    <w:rPr>
      <w:rFonts w:ascii="黑体" w:hAnsi="宋体" w:eastAsia="黑体" w:cs="宋体"/>
      <w:b/>
      <w:bCs/>
      <w:sz w:val="38"/>
      <w:szCs w:val="20"/>
    </w:rPr>
  </w:style>
  <w:style w:type="table" w:customStyle="1" w:styleId="969">
    <w:name w:val="Table Normal"/>
    <w:semiHidden/>
    <w:unhideWhenUsed/>
    <w:qFormat/>
    <w:uiPriority w:val="0"/>
    <w:tblPr>
      <w:tblCellMar>
        <w:top w:w="0" w:type="dxa"/>
        <w:left w:w="0" w:type="dxa"/>
        <w:bottom w:w="0" w:type="dxa"/>
        <w:right w:w="0" w:type="dxa"/>
      </w:tblCellMar>
    </w:tblPr>
  </w:style>
  <w:style w:type="character" w:customStyle="1" w:styleId="970">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1">
    <w:name w:val="Char13"/>
    <w:basedOn w:val="1"/>
    <w:qFormat/>
    <w:uiPriority w:val="0"/>
    <w:pPr>
      <w:tabs>
        <w:tab w:val="left" w:pos="432"/>
      </w:tabs>
      <w:adjustRightInd/>
      <w:ind w:left="432" w:hanging="432"/>
    </w:pPr>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42</Pages>
  <Words>16843</Words>
  <Characters>17851</Characters>
  <Lines>158</Lines>
  <Paragraphs>44</Paragraphs>
  <TotalTime>1</TotalTime>
  <ScaleCrop>false</ScaleCrop>
  <LinksUpToDate>false</LinksUpToDate>
  <CharactersWithSpaces>21273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DELL</cp:lastModifiedBy>
  <cp:lastPrinted>2021-12-28T11:06:00Z</cp:lastPrinted>
  <dcterms:modified xsi:type="dcterms:W3CDTF">2024-07-22T00:31:54Z</dcterms:modified>
  <dc:title>杭州市市民卡扩大发卡工程</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AA37EEB84CB64BF094D4200BDA030949_13</vt:lpwstr>
  </property>
  <property fmtid="{D5CDD505-2E9C-101B-9397-08002B2CF9AE}" pid="5" name="commondata">
    <vt:lpwstr>eyJoZGlkIjoiMzdkYTNjODAzOWEyZTBjZWI2OWE0Y2U2MTNhOGNiNmUifQ==</vt:lpwstr>
  </property>
</Properties>
</file>