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68"/>
        <w:spacing w:line="760" w:lineRule="exact"/>
        <w:rPr>
          <w:rFonts w:ascii="宋体" w:eastAsia="宋体"/>
          <w:color w:val="auto"/>
          <w:sz w:val="72"/>
          <w:szCs w:val="72"/>
          <w:highlight w:val="none"/>
        </w:rPr>
      </w:pPr>
    </w:p>
    <w:p>
      <w:pPr>
        <w:pStyle w:val="25"/>
        <w:jc w:val="center"/>
        <w:rPr>
          <w:rFonts w:hint="eastAsia" w:hAnsi="宋体" w:cs="宋体"/>
          <w:b/>
          <w:bCs/>
          <w:color w:val="auto"/>
          <w:sz w:val="48"/>
          <w:szCs w:val="48"/>
          <w:highlight w:val="none"/>
          <w:lang w:val="en-US" w:eastAsia="zh-CN"/>
        </w:rPr>
      </w:pPr>
      <w:r>
        <w:rPr>
          <w:rFonts w:hint="eastAsia" w:hAnsi="宋体" w:cs="宋体"/>
          <w:b/>
          <w:bCs/>
          <w:color w:val="auto"/>
          <w:sz w:val="44"/>
          <w:szCs w:val="44"/>
          <w:highlight w:val="none"/>
          <w:lang w:val="en-US" w:eastAsia="zh-CN"/>
        </w:rPr>
        <w:t>2024年杭州萧山通惠物业管理有限公司疗休养服务采购项目</w:t>
      </w:r>
    </w:p>
    <w:p>
      <w:pPr>
        <w:pStyle w:val="25"/>
        <w:jc w:val="center"/>
        <w:rPr>
          <w:rFonts w:hAnsi="宋体" w:cs="宋体"/>
          <w:b/>
          <w:bCs/>
          <w:color w:val="auto"/>
          <w:sz w:val="52"/>
          <w:szCs w:val="52"/>
          <w:highlight w:val="none"/>
          <w:lang w:val="en-US"/>
        </w:rPr>
      </w:pPr>
      <w:bookmarkStart w:id="384" w:name="_GoBack"/>
      <w:bookmarkEnd w:id="384"/>
    </w:p>
    <w:p>
      <w:pPr>
        <w:pStyle w:val="80"/>
        <w:rPr>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pStyle w:val="27"/>
        <w:spacing w:line="240" w:lineRule="auto"/>
        <w:ind w:firstLine="0" w:firstLineChars="0"/>
        <w:jc w:val="center"/>
        <w:rPr>
          <w:rFonts w:cs="宋体"/>
          <w:b/>
          <w:bCs/>
          <w:color w:val="auto"/>
          <w:sz w:val="56"/>
          <w:szCs w:val="56"/>
          <w:highlight w:val="none"/>
        </w:rPr>
      </w:pPr>
      <w:r>
        <w:rPr>
          <w:rFonts w:hint="eastAsia" w:cs="宋体"/>
          <w:b/>
          <w:bCs/>
          <w:color w:val="auto"/>
          <w:sz w:val="56"/>
          <w:szCs w:val="56"/>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w:t>
      </w:r>
      <w:r>
        <w:rPr>
          <w:rFonts w:hint="eastAsia" w:ascii="宋体" w:hAnsi="宋体" w:cs="宋体"/>
          <w:b/>
          <w:color w:val="auto"/>
          <w:sz w:val="32"/>
          <w:szCs w:val="32"/>
          <w:highlight w:val="none"/>
        </w:rPr>
        <w:t>BWZBDL2024-</w:t>
      </w:r>
      <w:r>
        <w:rPr>
          <w:rFonts w:hint="eastAsia" w:ascii="宋体" w:hAnsi="宋体" w:cs="宋体"/>
          <w:b/>
          <w:color w:val="auto"/>
          <w:sz w:val="32"/>
          <w:szCs w:val="32"/>
          <w:highlight w:val="none"/>
          <w:lang w:val="en-US" w:eastAsia="zh-CN"/>
        </w:rPr>
        <w:t>135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3"/>
        <w:rPr>
          <w:rFonts w:cs="宋体"/>
          <w:color w:val="auto"/>
          <w:highlight w:val="none"/>
        </w:rPr>
      </w:pPr>
    </w:p>
    <w:p>
      <w:pPr>
        <w:pStyle w:val="83"/>
        <w:rPr>
          <w:rFonts w:cs="宋体"/>
          <w:color w:val="auto"/>
          <w:highlight w:val="none"/>
        </w:rPr>
      </w:pPr>
    </w:p>
    <w:p>
      <w:pPr>
        <w:spacing w:line="360" w:lineRule="auto"/>
        <w:ind w:firstLine="842" w:firstLineChars="262"/>
        <w:rPr>
          <w:rFonts w:ascii="宋体" w:hAnsi="宋体" w:cs="宋体"/>
          <w:b/>
          <w:color w:val="auto"/>
          <w:spacing w:val="0"/>
          <w:sz w:val="32"/>
          <w:szCs w:val="30"/>
          <w:highlight w:val="none"/>
        </w:rPr>
      </w:pPr>
      <w:r>
        <w:rPr>
          <w:rFonts w:hint="eastAsia" w:ascii="宋体" w:hAnsi="宋体" w:cs="宋体"/>
          <w:b/>
          <w:color w:val="auto"/>
          <w:spacing w:val="0"/>
          <w:sz w:val="32"/>
          <w:szCs w:val="30"/>
          <w:highlight w:val="none"/>
        </w:rPr>
        <w:t>交易发起人：</w:t>
      </w:r>
      <w:r>
        <w:rPr>
          <w:rFonts w:hint="eastAsia" w:ascii="宋体" w:hAnsi="宋体" w:cs="宋体"/>
          <w:b/>
          <w:color w:val="auto"/>
          <w:spacing w:val="0"/>
          <w:kern w:val="2"/>
          <w:sz w:val="32"/>
          <w:szCs w:val="30"/>
          <w:highlight w:val="none"/>
          <w:lang w:eastAsia="zh-CN"/>
        </w:rPr>
        <w:t>杭州萧山通惠物业管理有限公司</w:t>
      </w:r>
    </w:p>
    <w:p>
      <w:pPr>
        <w:spacing w:line="360" w:lineRule="auto"/>
        <w:jc w:val="center"/>
        <w:rPr>
          <w:rFonts w:ascii="宋体" w:hAnsi="宋体" w:cs="宋体"/>
          <w:b/>
          <w:color w:val="auto"/>
          <w:spacing w:val="0"/>
          <w:sz w:val="32"/>
          <w:szCs w:val="32"/>
          <w:highlight w:val="none"/>
        </w:rPr>
      </w:pPr>
      <w:r>
        <w:rPr>
          <w:rFonts w:hint="eastAsia" w:ascii="宋体" w:hAnsi="宋体" w:cs="宋体"/>
          <w:b/>
          <w:color w:val="auto"/>
          <w:spacing w:val="0"/>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十八</w:t>
      </w:r>
      <w:r>
        <w:rPr>
          <w:rFonts w:hint="eastAsia" w:ascii="宋体" w:hAnsi="宋体" w:cs="宋体"/>
          <w:b/>
          <w:color w:val="auto"/>
          <w:sz w:val="32"/>
          <w:szCs w:val="32"/>
          <w:highlight w:val="none"/>
        </w:rPr>
        <w:t>日</w:t>
      </w:r>
    </w:p>
    <w:p>
      <w:pPr>
        <w:pStyle w:val="25"/>
        <w:rPr>
          <w:rFonts w:hAnsi="宋体" w:cs="宋体"/>
          <w:color w:val="auto"/>
          <w:highlight w:val="none"/>
        </w:rPr>
      </w:pPr>
    </w:p>
    <w:p>
      <w:pPr>
        <w:pStyle w:val="26"/>
        <w:rPr>
          <w:rFonts w:hAnsi="宋体" w:cs="宋体"/>
          <w:color w:val="auto"/>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rPr>
          <w:color w:val="auto"/>
          <w:highlight w:val="none"/>
        </w:rPr>
      </w:pPr>
    </w:p>
    <w:p>
      <w:pPr>
        <w:pStyle w:val="52"/>
        <w:rPr>
          <w:rFonts w:ascii="宋体" w:hAnsi="宋体" w:cs="宋体"/>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w:t>
      </w:r>
      <w:r>
        <w:rPr>
          <w:rFonts w:hint="eastAsia" w:ascii="宋体" w:hAnsi="宋体" w:cs="宋体"/>
          <w:bCs/>
          <w:color w:val="auto"/>
          <w:sz w:val="24"/>
          <w:highlight w:val="none"/>
          <w:lang w:val="en-US" w:eastAsia="zh-CN"/>
        </w:rPr>
        <w:t>135</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u w:val="none"/>
          <w:lang w:eastAsia="zh-CN"/>
        </w:rPr>
        <w:t>2024年杭州萧山通惠物业管理有限公司疗休养服务采购项目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b w:val="0"/>
          <w:bCs/>
          <w:color w:val="auto"/>
          <w:sz w:val="24"/>
          <w:highlight w:val="none"/>
          <w:u w:val="none"/>
          <w:lang w:val="en-US" w:eastAsia="zh-CN"/>
        </w:rPr>
        <w:t>13.80</w:t>
      </w:r>
      <w:r>
        <w:rPr>
          <w:rFonts w:hint="eastAsia" w:ascii="宋体" w:hAnsi="宋体" w:cs="宋体"/>
          <w:b w:val="0"/>
          <w:bCs/>
          <w:color w:val="auto"/>
          <w:sz w:val="24"/>
          <w:szCs w:val="28"/>
          <w:highlight w:val="none"/>
          <w:u w:val="none"/>
          <w:lang w:val="en-US" w:eastAsia="zh-CN"/>
        </w:rPr>
        <w:t>万</w:t>
      </w:r>
      <w:r>
        <w:rPr>
          <w:rFonts w:hint="eastAsia" w:ascii="宋体" w:hAnsi="宋体" w:eastAsia="宋体" w:cs="宋体"/>
          <w:b w:val="0"/>
          <w:bCs/>
          <w:color w:val="auto"/>
          <w:sz w:val="24"/>
          <w:szCs w:val="24"/>
          <w:highlight w:val="none"/>
          <w:u w:val="none"/>
          <w:lang w:eastAsia="zh-CN"/>
        </w:rPr>
        <w:t>元</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eastAsia="宋体" w:cs="宋体"/>
          <w:color w:val="auto"/>
          <w:sz w:val="24"/>
          <w:highlight w:val="none"/>
        </w:rPr>
        <w:t>3000.00元/人次（单价）</w:t>
      </w:r>
    </w:p>
    <w:p>
      <w:pPr>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 w:val="0"/>
          <w:bCs/>
          <w:color w:val="auto"/>
          <w:sz w:val="24"/>
          <w:highlight w:val="none"/>
          <w:u w:val="none"/>
          <w:lang w:eastAsia="zh-CN"/>
        </w:rPr>
        <w:t>2024年杭州萧山通惠物业管理有限公司疗休养服务</w:t>
      </w:r>
      <w:r>
        <w:rPr>
          <w:rFonts w:hint="eastAsia" w:hAnsi="宋体" w:cs="宋体"/>
          <w:color w:val="auto"/>
          <w:sz w:val="24"/>
          <w:highlight w:val="none"/>
        </w:rPr>
        <w:t>，详见交易需求。</w:t>
      </w:r>
    </w:p>
    <w:p>
      <w:pPr>
        <w:pStyle w:val="17"/>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26"/>
        <w:ind w:firstLine="480" w:firstLineChars="200"/>
        <w:rPr>
          <w:rFonts w:hAnsi="宋体" w:cs="宋体"/>
          <w:color w:val="auto"/>
          <w:highlight w:val="none"/>
          <w:lang w:val="en-US"/>
        </w:rPr>
      </w:pPr>
      <w:r>
        <w:rPr>
          <w:rFonts w:hint="eastAsia" w:hAnsi="宋体" w:cs="宋体"/>
          <w:color w:val="auto"/>
          <w:highlight w:val="none"/>
        </w:rPr>
        <w:t>7、本项目的特定资格要求：具有旅行社业务经营许可证</w:t>
      </w:r>
      <w:r>
        <w:rPr>
          <w:rFonts w:hint="eastAsia" w:hAnsi="宋体" w:cs="宋体"/>
          <w:color w:val="auto"/>
          <w:highlight w:val="none"/>
          <w:lang w:val="en-US"/>
        </w:rPr>
        <w:t>；</w:t>
      </w:r>
    </w:p>
    <w:p>
      <w:pPr>
        <w:pStyle w:val="26"/>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响应人登录政采云平台https://www.zcygov.cn/在线申请获取公开竞争文件（进入“项目采购”应用，在获取采购文件菜单中选择项目，申请获取公开竞争文件）。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szCs w:val="28"/>
          <w:highlight w:val="none"/>
          <w:lang w:eastAsia="zh-CN"/>
        </w:rPr>
        <w:t>杭州萧山通惠物业管理有限公司</w:t>
      </w:r>
    </w:p>
    <w:p>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09"/>
      <w:bookmarkStart w:id="11" w:name="_Toc28359086"/>
      <w:r>
        <w:rPr>
          <w:rFonts w:hint="eastAsia" w:ascii="宋体" w:hAnsi="宋体" w:eastAsia="宋体" w:cs="宋体"/>
          <w:color w:val="auto"/>
          <w:sz w:val="24"/>
          <w:highlight w:val="none"/>
        </w:rPr>
        <w:t>地址：萧山区北干街道北干一苑79幢2楼</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陈工</w:t>
      </w:r>
    </w:p>
    <w:p>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项目联系方式（询问）：0571-</w:t>
      </w:r>
      <w:r>
        <w:rPr>
          <w:rFonts w:hint="eastAsia" w:ascii="宋体" w:hAnsi="宋体" w:eastAsia="宋体" w:cs="宋体"/>
          <w:color w:val="auto"/>
          <w:sz w:val="24"/>
          <w:highlight w:val="none"/>
          <w:lang w:val="en-US" w:eastAsia="zh-CN"/>
        </w:rPr>
        <w:t>82701686</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0</w:t>
      </w:r>
      <w:r>
        <w:rPr>
          <w:rFonts w:hint="eastAsia" w:ascii="宋体" w:hAnsi="宋体" w:cs="宋体"/>
          <w:color w:val="auto"/>
          <w:sz w:val="24"/>
          <w:szCs w:val="28"/>
          <w:highlight w:val="none"/>
        </w:rPr>
        <w:t>8</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color w:val="auto"/>
                <w:highlight w:val="none"/>
              </w:rPr>
            </w:pPr>
            <w:r>
              <w:rPr>
                <w:rFonts w:hint="eastAsia" w:ascii="宋体" w:hAnsi="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（√）A不组织。</w:t>
            </w:r>
          </w:p>
          <w:p>
            <w:pPr>
              <w:snapToGrid w:val="0"/>
              <w:spacing w:line="400" w:lineRule="exact"/>
              <w:rPr>
                <w:color w:val="auto"/>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2"/>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2"/>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代理机构代理</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lang w:val="zh-CN"/>
              </w:rPr>
              <w:t>本项目采购代理费由</w:t>
            </w:r>
            <w:r>
              <w:rPr>
                <w:rFonts w:hint="eastAsia" w:ascii="宋体" w:hAnsi="宋体" w:cs="宋体"/>
                <w:bCs/>
                <w:color w:val="auto"/>
                <w:kern w:val="0"/>
                <w:sz w:val="24"/>
                <w:highlight w:val="none"/>
                <w:lang w:val="en-US" w:eastAsia="zh-CN"/>
              </w:rPr>
              <w:t>交易发起人</w:t>
            </w:r>
            <w:r>
              <w:rPr>
                <w:rFonts w:hint="eastAsia" w:ascii="宋体" w:hAnsi="宋体" w:cs="宋体"/>
                <w:bCs/>
                <w:color w:val="auto"/>
                <w:kern w:val="0"/>
                <w:sz w:val="24"/>
                <w:highlight w:val="none"/>
                <w:lang w:val="zh-CN"/>
              </w:rPr>
              <w:t>支付</w:t>
            </w:r>
            <w:r>
              <w:rPr>
                <w:rFonts w:hint="eastAsia" w:ascii="宋体" w:hAnsi="宋体" w:cs="宋体"/>
                <w:bCs/>
                <w:color w:val="auto"/>
                <w:kern w:val="0"/>
                <w:sz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异议接收人及</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u w:val="none"/>
              </w:rPr>
            </w:pPr>
            <w:r>
              <w:rPr>
                <w:rFonts w:hint="eastAsia" w:ascii="宋体" w:hAnsi="宋体" w:cs="宋体"/>
                <w:color w:val="auto"/>
                <w:sz w:val="24"/>
                <w:highlight w:val="none"/>
                <w:u w:val="none"/>
              </w:rPr>
              <w:t>代理机构异议接收人：高华萍</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联系方式：0571-83881208</w:t>
            </w:r>
          </w:p>
          <w:p>
            <w:pPr>
              <w:snapToGrid w:val="0"/>
              <w:rPr>
                <w:rFonts w:ascii="宋体" w:hAnsi="宋体" w:cs="宋体"/>
                <w:color w:val="auto"/>
                <w:sz w:val="24"/>
                <w:highlight w:val="none"/>
                <w:u w:val="none"/>
              </w:rPr>
            </w:pPr>
            <w:r>
              <w:rPr>
                <w:rFonts w:hint="eastAsia" w:ascii="宋体" w:hAnsi="宋体" w:cs="宋体"/>
                <w:color w:val="auto"/>
                <w:sz w:val="24"/>
                <w:highlight w:val="none"/>
                <w:u w:val="none"/>
              </w:rPr>
              <w:t>地址：杭州市萧山区金城路433号天汇园一幢A座5楼</w:t>
            </w:r>
          </w:p>
          <w:p>
            <w:pPr>
              <w:snapToGrid w:val="0"/>
              <w:rPr>
                <w:rFonts w:ascii="宋体" w:hAnsi="宋体" w:cs="宋体"/>
                <w:color w:val="auto"/>
                <w:sz w:val="24"/>
                <w:highlight w:val="none"/>
                <w:u w:val="none"/>
              </w:rPr>
            </w:pPr>
            <w:r>
              <w:rPr>
                <w:rFonts w:hint="eastAsia" w:ascii="宋体" w:hAnsi="宋体" w:cs="宋体"/>
                <w:color w:val="auto"/>
                <w:sz w:val="24"/>
                <w:highlight w:val="none"/>
                <w:u w:val="none"/>
              </w:rPr>
              <w:t>邮箱：751200605@qq.com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u w:val="none"/>
              </w:rPr>
              <w:t>如通过邮箱方式发送异议，须</w:t>
            </w:r>
            <w:r>
              <w:rPr>
                <w:rFonts w:hint="eastAsia" w:ascii="宋体" w:hAnsi="宋体" w:cs="宋体"/>
                <w:b/>
                <w:color w:val="auto"/>
                <w:sz w:val="24"/>
                <w:highlight w:val="none"/>
              </w:rPr>
              <w:t>提交符合法规及公开竞争文件要求的异议文件（参考附件2），盖章扫描后发送，异议的受理按答复主体划分以交易发起人或代理机构邮箱回复确认受理为准。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2"/>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2.3“响应人”系指是指响应招标、参加投标竞争的法人、其他组织或者自然人。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2.6“电子交易平台”是指本项目交易活动所依托的政府采购云平台（https://www.zcygov.cn/）。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2"/>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2"/>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2"/>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响应人提交的</w:t>
      </w:r>
      <w:r>
        <w:rPr>
          <w:rFonts w:hint="eastAsia"/>
          <w:color w:val="auto"/>
          <w:highlight w:val="none"/>
          <w:lang w:val="zh-CN"/>
        </w:rPr>
        <w:t>异议</w:t>
      </w:r>
      <w:r>
        <w:rPr>
          <w:rFonts w:hint="eastAsia"/>
          <w:color w:val="auto"/>
          <w:highlight w:val="none"/>
        </w:rPr>
        <w:t>函需一式三份。响应人为自然人的，应当由本人签字；响应人为法人或者其他组织的，应当由法定代表人、主要负责人，或者其授权代表签字或者盖章，并加盖公章。</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lang w:val="zh-CN"/>
        </w:rPr>
        <w:t>异议</w:t>
      </w:r>
      <w:r>
        <w:rPr>
          <w:rFonts w:hint="eastAsia"/>
          <w:color w:val="auto"/>
          <w:highlight w:val="none"/>
        </w:rPr>
        <w:t>函范本及制作说明详见附件1。</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.4交易发起人或者代理机构应当在收到响应人的书面异议后3日内作出答复，并以书面形式通知异议响应人和其他与异议处理结果有利害关系的交易当事人，但答复的内容不得涉及商业秘密。</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.5询问或者异议事项可能影响交易结果的，交易发起人应当暂停签订合同，已经签订合同的，应当中止履行合同。</w:t>
      </w:r>
    </w:p>
    <w:p>
      <w:pPr>
        <w:pStyle w:val="892"/>
        <w:shd w:val="clear" w:color="auto" w:fill="FFFFFF"/>
        <w:snapToGrid w:val="0"/>
        <w:spacing w:after="240" w:afterAutospacing="0" w:line="460" w:lineRule="exact"/>
        <w:ind w:firstLine="420" w:firstLineChars="175"/>
        <w:contextualSpacing/>
        <w:rPr>
          <w:color w:val="auto"/>
          <w:highlight w:val="none"/>
          <w:lang w:val="zh-CN"/>
        </w:rPr>
      </w:pPr>
      <w:r>
        <w:rPr>
          <w:rFonts w:hint="eastAsia"/>
          <w:color w:val="auto"/>
          <w:highlight w:val="none"/>
        </w:rPr>
        <w:t>3</w:t>
      </w:r>
      <w:r>
        <w:rPr>
          <w:rFonts w:hint="eastAsia"/>
          <w:color w:val="auto"/>
          <w:highlight w:val="none"/>
          <w:lang w:val="zh-CN"/>
        </w:rPr>
        <w:t>.3响应人投诉</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3.3.1</w:t>
      </w:r>
      <w:r>
        <w:rPr>
          <w:rFonts w:hint="eastAsia"/>
          <w:color w:val="auto"/>
          <w:highlight w:val="none"/>
          <w:lang w:val="zh-CN"/>
        </w:rPr>
        <w:t>异议</w:t>
      </w:r>
      <w:r>
        <w:rPr>
          <w:rFonts w:hint="eastAsia"/>
          <w:color w:val="auto"/>
          <w:highlight w:val="none"/>
        </w:rPr>
        <w:t>响应人对交易发起人、代理机构的答复不满意或者交易发起人、代理机构未在规定的时间内作出答复的，可以在答复期满后10日内向基层监督机构部门提出投诉。</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响应人投诉的事项不得超出已</w:t>
      </w:r>
      <w:r>
        <w:rPr>
          <w:rFonts w:hint="eastAsia"/>
          <w:color w:val="auto"/>
          <w:highlight w:val="none"/>
          <w:lang w:val="zh-CN"/>
        </w:rPr>
        <w:t>异议</w:t>
      </w:r>
      <w:r>
        <w:rPr>
          <w:rFonts w:hint="eastAsia"/>
          <w:color w:val="auto"/>
          <w:highlight w:val="none"/>
        </w:rPr>
        <w:t>事项的范围，基于</w:t>
      </w:r>
      <w:r>
        <w:rPr>
          <w:rFonts w:hint="eastAsia"/>
          <w:color w:val="auto"/>
          <w:highlight w:val="none"/>
          <w:lang w:val="zh-CN"/>
        </w:rPr>
        <w:t>异议</w:t>
      </w:r>
      <w:r>
        <w:rPr>
          <w:rFonts w:hint="eastAsia"/>
          <w:color w:val="auto"/>
          <w:highlight w:val="none"/>
        </w:rPr>
        <w:t>答复内容提出的投诉事项除外。</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3.3.3响应人投诉应当有明确的请求和必要的证明材料。</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3.3.4以联合体形式参加交易活动的，其投诉应当由组成联合体的所有响应人共同提出。</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投诉书范本及制作说明详见附件2。</w:t>
      </w:r>
    </w:p>
    <w:p>
      <w:pPr>
        <w:pStyle w:val="135"/>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2"/>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2"/>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2"/>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7"/>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10.1资格文件</w:t>
      </w:r>
      <w:r>
        <w:rPr>
          <w:rFonts w:hint="eastAsia" w:ascii="宋体" w:hAnsi="宋体" w:eastAsia="宋体" w:cs="宋体"/>
          <w:b/>
          <w:color w:val="auto"/>
          <w:sz w:val="24"/>
          <w:highlight w:val="none"/>
          <w:lang w:eastAsia="zh-CN"/>
        </w:rPr>
        <w:t>：</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10.3.1交易一览表（报价表）</w:t>
      </w:r>
      <w:r>
        <w:rPr>
          <w:rFonts w:hint="eastAsia" w:ascii="宋体" w:hAnsi="宋体" w:cs="宋体"/>
          <w:color w:val="auto"/>
          <w:sz w:val="24"/>
          <w:highlight w:val="none"/>
          <w:lang w:val="en-US" w:eastAsia="zh-CN"/>
        </w:rPr>
        <w:t>。</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5"/>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5"/>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12.2为确保网上操作合法、有效和安全，响应人应当在响应截止时间前完成在“政府采购云平台”的身份认证，确保在电子投标过程中能够对相关数据电文进行加密和使用电子签名。</w:t>
      </w:r>
    </w:p>
    <w:p>
      <w:pPr>
        <w:pStyle w:val="135"/>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5"/>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2"/>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2"/>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7"/>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5"/>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5"/>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5"/>
        <w:spacing w:before="0" w:line="460" w:lineRule="exact"/>
        <w:ind w:firstLine="643"/>
        <w:rPr>
          <w:rFonts w:ascii="宋体" w:hAnsi="宋体" w:cs="宋体"/>
          <w:b/>
          <w:color w:val="auto"/>
          <w:sz w:val="32"/>
          <w:highlight w:val="none"/>
        </w:rPr>
      </w:pPr>
    </w:p>
    <w:p>
      <w:pPr>
        <w:pStyle w:val="135"/>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0"/>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7"/>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5"/>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35"/>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7"/>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5"/>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5"/>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7"/>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35"/>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5"/>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7"/>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不收取。</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3"/>
        <w:tblW w:w="9027" w:type="dxa"/>
        <w:jc w:val="center"/>
        <w:tblLayout w:type="fixed"/>
        <w:tblCellMar>
          <w:top w:w="0" w:type="dxa"/>
          <w:left w:w="0" w:type="dxa"/>
          <w:bottom w:w="0" w:type="dxa"/>
          <w:right w:w="0" w:type="dxa"/>
        </w:tblCellMar>
      </w:tblPr>
      <w:tblGrid>
        <w:gridCol w:w="624"/>
        <w:gridCol w:w="4484"/>
        <w:gridCol w:w="1812"/>
        <w:gridCol w:w="732"/>
        <w:gridCol w:w="648"/>
        <w:gridCol w:w="727"/>
      </w:tblGrid>
      <w:tr>
        <w:tblPrEx>
          <w:tblCellMar>
            <w:top w:w="0" w:type="dxa"/>
            <w:left w:w="0" w:type="dxa"/>
            <w:bottom w:w="0" w:type="dxa"/>
            <w:right w:w="0" w:type="dxa"/>
          </w:tblCellMar>
        </w:tblPrEx>
        <w:trPr>
          <w:cantSplit/>
          <w:trHeight w:val="528"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44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6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850"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4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lang w:val="en-US" w:eastAsia="zh-CN"/>
              </w:rPr>
              <w:t>2024年杭州萧山通惠物业管理有限公司疗休养服务采购项目</w:t>
            </w:r>
          </w:p>
        </w:tc>
        <w:tc>
          <w:tcPr>
            <w:tcW w:w="18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人次</w:t>
            </w:r>
          </w:p>
        </w:tc>
        <w:tc>
          <w:tcPr>
            <w:tcW w:w="6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46</w:t>
            </w:r>
          </w:p>
        </w:tc>
        <w:tc>
          <w:tcPr>
            <w:tcW w:w="727"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numPr>
          <w:ilvl w:val="0"/>
          <w:numId w:val="0"/>
        </w:numPr>
        <w:spacing w:line="360" w:lineRule="auto"/>
        <w:jc w:val="center"/>
        <w:rPr>
          <w:rFonts w:hint="eastAsia" w:ascii="宋体" w:hAnsi="宋体" w:cs="宋体"/>
          <w:b/>
          <w:color w:val="auto"/>
          <w:sz w:val="28"/>
          <w:szCs w:val="28"/>
          <w:highlight w:val="none"/>
          <w:lang w:eastAsia="zh-CN"/>
        </w:rPr>
      </w:pPr>
    </w:p>
    <w:p>
      <w:pPr>
        <w:numPr>
          <w:ilvl w:val="0"/>
          <w:numId w:val="0"/>
        </w:num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二、</w:t>
      </w:r>
      <w:r>
        <w:rPr>
          <w:rFonts w:hint="eastAsia" w:ascii="宋体" w:hAnsi="宋体" w:cs="宋体"/>
          <w:b/>
          <w:color w:val="auto"/>
          <w:sz w:val="28"/>
          <w:szCs w:val="28"/>
          <w:highlight w:val="none"/>
        </w:rPr>
        <w:t>交易需求</w:t>
      </w:r>
    </w:p>
    <w:p>
      <w:pPr>
        <w:keepNext w:val="0"/>
        <w:keepLines w:val="0"/>
        <w:pageBreakBefore w:val="0"/>
        <w:widowControl/>
        <w:kinsoku/>
        <w:wordWrap/>
        <w:overflowPunct/>
        <w:topLinePunct w:val="0"/>
        <w:autoSpaceDE/>
        <w:autoSpaceDN/>
        <w:bidi w:val="0"/>
        <w:snapToGrid/>
        <w:spacing w:line="348"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（一）项目服务要求：</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需在</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中提供具体行程、出行方式、就餐标准等具体明细，投标报价根据要求提供每人次的单价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本项目按每人次单价报价</w:t>
      </w:r>
      <w:r>
        <w:rPr>
          <w:rFonts w:hint="eastAsia" w:ascii="宋体" w:hAnsi="宋体" w:cs="宋体"/>
          <w:b/>
          <w:bCs/>
          <w:color w:val="auto"/>
          <w:kern w:val="0"/>
          <w:sz w:val="24"/>
          <w:szCs w:val="24"/>
          <w:highlight w:val="none"/>
          <w:lang w:val="en-US" w:eastAsia="zh-CN"/>
        </w:rPr>
        <w:t>，各条线路单价统一</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单价</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综合考虑后的统一单价，不得再有淡季旺季的价格区别。无论</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在何时出团，均以投标单价为结算依据。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应允许中标后任何线路因报名人数不足或者不可抗力因素的不成团，不成团线路</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不承担任何责任。若遇政策变动，临时取消出行计划，</w:t>
      </w:r>
      <w:r>
        <w:rPr>
          <w:rFonts w:hint="eastAsia" w:ascii="宋体" w:hAnsi="宋体" w:eastAsia="宋体" w:cs="宋体"/>
          <w:color w:val="auto"/>
          <w:kern w:val="0"/>
          <w:sz w:val="24"/>
          <w:szCs w:val="24"/>
          <w:highlight w:val="none"/>
          <w:lang w:val="en-US" w:eastAsia="zh-CN"/>
        </w:rPr>
        <w:t>不视作违反合同，</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lang w:val="en-US" w:eastAsia="zh-CN"/>
        </w:rPr>
        <w:t>应</w:t>
      </w:r>
      <w:r>
        <w:rPr>
          <w:rFonts w:hint="eastAsia" w:ascii="宋体" w:hAnsi="宋体" w:eastAsia="宋体" w:cs="宋体"/>
          <w:color w:val="auto"/>
          <w:kern w:val="0"/>
          <w:sz w:val="24"/>
          <w:szCs w:val="24"/>
          <w:highlight w:val="none"/>
        </w:rPr>
        <w:t>无条件服从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rPr>
        <w:t>承担</w:t>
      </w:r>
      <w:r>
        <w:rPr>
          <w:rFonts w:hint="eastAsia" w:ascii="宋体" w:hAnsi="宋体" w:eastAsia="宋体" w:cs="宋体"/>
          <w:color w:val="auto"/>
          <w:kern w:val="0"/>
          <w:sz w:val="24"/>
          <w:szCs w:val="24"/>
          <w:highlight w:val="none"/>
          <w:lang w:val="en-US" w:eastAsia="zh-CN"/>
        </w:rPr>
        <w:t>相应</w:t>
      </w:r>
      <w:r>
        <w:rPr>
          <w:rFonts w:hint="eastAsia" w:ascii="宋体" w:hAnsi="宋体" w:eastAsia="宋体" w:cs="宋体"/>
          <w:color w:val="auto"/>
          <w:kern w:val="0"/>
          <w:sz w:val="24"/>
          <w:szCs w:val="24"/>
          <w:highlight w:val="none"/>
        </w:rPr>
        <w:t>风险</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（二）质量标准</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GB/T15971—1995 导游服务质量</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GB/16153—1996 饭店（餐厅）卫生标准 </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GB/T19004.2—1994 质量管理和质量体系要素 第二部分：服务指南（idt ISO 9004—2：1991）</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LB/T 002—1995 旅游汽车服务质量</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GB/T15971 导游人员的基本素质及服务</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以上标准若有最新标准，按最新标准执行。</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（三）服务范围</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职工疗休养项目，服务期限为合同生效之日起至202</w:t>
      </w: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snapToGrid w:val="0"/>
          <w:color w:val="auto"/>
          <w:kern w:val="28"/>
          <w:sz w:val="24"/>
          <w:szCs w:val="24"/>
          <w:highlight w:val="none"/>
        </w:rPr>
        <w:t>年12月31日。</w:t>
      </w:r>
      <w:r>
        <w:rPr>
          <w:rFonts w:hint="eastAsia" w:ascii="宋体" w:hAnsi="宋体" w:cs="宋体"/>
          <w:snapToGrid w:val="0"/>
          <w:color w:val="auto"/>
          <w:kern w:val="28"/>
          <w:sz w:val="24"/>
          <w:szCs w:val="24"/>
          <w:highlight w:val="none"/>
          <w:lang w:val="en-US" w:eastAsia="zh-CN"/>
        </w:rPr>
        <w:t>最终以实际出行人数为准，</w:t>
      </w:r>
      <w:r>
        <w:rPr>
          <w:rFonts w:hint="eastAsia" w:ascii="宋体" w:hAnsi="宋体" w:eastAsia="宋体" w:cs="宋体"/>
          <w:snapToGrid w:val="0"/>
          <w:color w:val="auto"/>
          <w:kern w:val="28"/>
          <w:sz w:val="24"/>
          <w:szCs w:val="24"/>
          <w:highlight w:val="none"/>
        </w:rPr>
        <w:t>择优选择1家供应商中标。</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4"/>
          <w:szCs w:val="24"/>
          <w:highlight w:val="none"/>
        </w:rPr>
      </w:pPr>
      <w:bookmarkStart w:id="16" w:name="_Toc351898267"/>
      <w:r>
        <w:rPr>
          <w:rFonts w:hint="eastAsia" w:ascii="宋体" w:hAnsi="宋体" w:eastAsia="宋体" w:cs="宋体"/>
          <w:b/>
          <w:bCs/>
          <w:color w:val="auto"/>
          <w:sz w:val="24"/>
          <w:szCs w:val="24"/>
          <w:highlight w:val="none"/>
        </w:rPr>
        <w:t>（四）</w:t>
      </w:r>
      <w:bookmarkEnd w:id="16"/>
      <w:r>
        <w:rPr>
          <w:rFonts w:hint="eastAsia" w:ascii="宋体" w:hAnsi="宋体" w:eastAsia="宋体" w:cs="宋体"/>
          <w:b/>
          <w:bCs/>
          <w:color w:val="auto"/>
          <w:sz w:val="24"/>
          <w:szCs w:val="24"/>
          <w:highlight w:val="none"/>
        </w:rPr>
        <w:t xml:space="preserve">行程安排等基本要求 </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线路安排（具体出行线路招标后由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确定，以下线路供本次招标报价参考，若遇本次招标参考线路之外的线路方案，由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根据实际出行天数、市场价自行协商确定）：</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线路一：康定</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不含大交通（火车或飞机）费用</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线路</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湖州</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线路</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天台温岭4</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线路</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舟山4</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上述线路</w:t>
      </w:r>
      <w:r>
        <w:rPr>
          <w:rFonts w:hint="eastAsia" w:ascii="宋体" w:hAnsi="宋体" w:eastAsia="宋体" w:cs="宋体"/>
          <w:color w:val="auto"/>
          <w:kern w:val="0"/>
          <w:sz w:val="24"/>
          <w:szCs w:val="24"/>
          <w:highlight w:val="none"/>
        </w:rPr>
        <w:t>要求行程安排合理，休闲休养相结合。最终服务过程中</w:t>
      </w:r>
      <w:r>
        <w:rPr>
          <w:rFonts w:hint="eastAsia" w:ascii="宋体" w:hAnsi="宋体" w:eastAsia="宋体" w:cs="宋体"/>
          <w:color w:val="auto"/>
          <w:sz w:val="24"/>
          <w:szCs w:val="24"/>
          <w:highlight w:val="none"/>
        </w:rPr>
        <w:t>包括但不仅限于以上线路，各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自行承担报价风险。</w:t>
      </w:r>
    </w:p>
    <w:p>
      <w:pPr>
        <w:pStyle w:val="2"/>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本项目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按照以上线路报价，最终服务过程包括但不仅限于以上线路，各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自行承担报价风险。</w:t>
      </w:r>
    </w:p>
    <w:p>
      <w:pPr>
        <w:pStyle w:val="2"/>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大交通费用说明</w:t>
      </w:r>
      <w:r>
        <w:rPr>
          <w:rFonts w:hint="eastAsia" w:ascii="宋体" w:hAnsi="宋体" w:eastAsia="宋体" w:cs="宋体"/>
          <w:color w:val="auto"/>
          <w:kern w:val="0"/>
          <w:sz w:val="24"/>
          <w:szCs w:val="24"/>
          <w:highlight w:val="none"/>
        </w:rPr>
        <w:t>：浙江省</w:t>
      </w:r>
      <w:r>
        <w:rPr>
          <w:rFonts w:hint="eastAsia" w:ascii="宋体" w:hAnsi="宋体" w:eastAsia="宋体" w:cs="宋体"/>
          <w:color w:val="auto"/>
          <w:kern w:val="0"/>
          <w:sz w:val="24"/>
          <w:szCs w:val="24"/>
          <w:highlight w:val="none"/>
          <w:lang w:eastAsia="zh-CN"/>
        </w:rPr>
        <w:t>外县县结对协作地区四</w:t>
      </w:r>
      <w:r>
        <w:rPr>
          <w:rFonts w:hint="eastAsia" w:ascii="宋体" w:hAnsi="宋体" w:eastAsia="宋体" w:cs="宋体"/>
          <w:color w:val="auto"/>
          <w:kern w:val="0"/>
          <w:sz w:val="24"/>
          <w:szCs w:val="24"/>
          <w:highlight w:val="none"/>
        </w:rPr>
        <w:t>川</w:t>
      </w:r>
      <w:r>
        <w:rPr>
          <w:rFonts w:hint="eastAsia" w:ascii="宋体" w:hAnsi="宋体" w:eastAsia="宋体" w:cs="宋体"/>
          <w:color w:val="auto"/>
          <w:kern w:val="0"/>
          <w:sz w:val="24"/>
          <w:szCs w:val="24"/>
          <w:highlight w:val="none"/>
          <w:lang w:eastAsia="zh-CN"/>
        </w:rPr>
        <w:t>康定市或四</w:t>
      </w:r>
      <w:r>
        <w:rPr>
          <w:rFonts w:hint="eastAsia" w:ascii="宋体" w:hAnsi="宋体" w:eastAsia="宋体" w:cs="宋体"/>
          <w:color w:val="auto"/>
          <w:kern w:val="0"/>
          <w:sz w:val="24"/>
          <w:szCs w:val="24"/>
          <w:highlight w:val="none"/>
        </w:rPr>
        <w:t>川</w:t>
      </w:r>
      <w:r>
        <w:rPr>
          <w:rFonts w:hint="eastAsia" w:ascii="宋体" w:hAnsi="宋体" w:eastAsia="宋体" w:cs="宋体"/>
          <w:color w:val="auto"/>
          <w:kern w:val="0"/>
          <w:sz w:val="24"/>
          <w:szCs w:val="24"/>
          <w:highlight w:val="none"/>
          <w:lang w:eastAsia="zh-CN"/>
        </w:rPr>
        <w:t>广元市旺苍县</w:t>
      </w:r>
      <w:r>
        <w:rPr>
          <w:rFonts w:hint="eastAsia" w:ascii="宋体" w:hAnsi="宋体" w:eastAsia="宋体" w:cs="宋体"/>
          <w:color w:val="auto"/>
          <w:kern w:val="0"/>
          <w:sz w:val="24"/>
          <w:szCs w:val="24"/>
          <w:highlight w:val="none"/>
        </w:rPr>
        <w:t>为除往返目的地大交通费即飞机</w:t>
      </w:r>
      <w:r>
        <w:rPr>
          <w:rFonts w:hint="eastAsia" w:ascii="宋体" w:hAnsi="宋体" w:eastAsia="宋体" w:cs="宋体"/>
          <w:color w:val="auto"/>
          <w:kern w:val="0"/>
          <w:sz w:val="24"/>
          <w:szCs w:val="24"/>
          <w:highlight w:val="none"/>
          <w:lang w:val="en-US" w:eastAsia="zh-CN"/>
        </w:rPr>
        <w:t>、火车</w:t>
      </w:r>
      <w:r>
        <w:rPr>
          <w:rFonts w:hint="eastAsia" w:ascii="宋体" w:hAnsi="宋体" w:eastAsia="宋体" w:cs="宋体"/>
          <w:color w:val="auto"/>
          <w:kern w:val="0"/>
          <w:sz w:val="24"/>
          <w:szCs w:val="24"/>
          <w:highlight w:val="none"/>
        </w:rPr>
        <w:t>外，不超过</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，往返大交通费用根据实际结算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结算需提供原始票证（大交通票务需在政府采购机票管理网站购买，若通过其他购买途径，则需低于政府采购机票管理网站的当日价格信息，报销时附政府采购机票管理网站当天机票截图价格信息）</w:t>
      </w:r>
      <w:r>
        <w:rPr>
          <w:rFonts w:hint="eastAsia" w:ascii="宋体" w:hAnsi="宋体" w:eastAsia="宋体" w:cs="宋体"/>
          <w:color w:val="auto"/>
          <w:kern w:val="0"/>
          <w:sz w:val="24"/>
          <w:szCs w:val="24"/>
          <w:highlight w:val="none"/>
          <w:lang w:eastAsia="zh-CN"/>
        </w:rPr>
        <w:t>。</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、出行安排，根据批准的时间为准，每批次出行人数根据报名情况确定批次，最终出行的日期及天数</w:t>
      </w:r>
      <w:r>
        <w:rPr>
          <w:rFonts w:hint="eastAsia" w:ascii="宋体" w:hAnsi="宋体" w:cs="宋体"/>
          <w:color w:val="auto"/>
          <w:kern w:val="0"/>
          <w:sz w:val="24"/>
          <w:szCs w:val="24"/>
          <w:highlight w:val="none"/>
          <w:lang w:val="en-US" w:eastAsia="zh-CN"/>
        </w:rPr>
        <w:t>经双方协商</w:t>
      </w:r>
      <w:r>
        <w:rPr>
          <w:rFonts w:hint="eastAsia" w:ascii="宋体" w:hAnsi="宋体" w:eastAsia="宋体" w:cs="宋体"/>
          <w:color w:val="auto"/>
          <w:kern w:val="0"/>
          <w:sz w:val="24"/>
          <w:szCs w:val="24"/>
          <w:highlight w:val="none"/>
        </w:rPr>
        <w:t>以实际为准。</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、住宿：</w:t>
      </w:r>
      <w:r>
        <w:rPr>
          <w:rFonts w:hint="eastAsia" w:ascii="宋体" w:hAnsi="宋体" w:eastAsia="宋体" w:cs="宋体"/>
          <w:color w:val="auto"/>
          <w:sz w:val="24"/>
          <w:szCs w:val="24"/>
          <w:highlight w:val="none"/>
        </w:rPr>
        <w:t>住宿综合环境好，要求挂牌四星或网评四钻以上（含）且设施较好的酒店（一般标准2人间）。要求标注每天住宿酒店的名称、星级和具体地址，不得出现同级酒店字样，如实际接待中，投标指定酒店无法安排，需要安排高一级酒店。</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、餐饮：</w:t>
      </w:r>
      <w:r>
        <w:rPr>
          <w:rFonts w:hint="eastAsia" w:ascii="宋体" w:hAnsi="宋体" w:eastAsia="宋体" w:cs="宋体"/>
          <w:color w:val="auto"/>
          <w:sz w:val="24"/>
          <w:szCs w:val="24"/>
          <w:highlight w:val="none"/>
        </w:rPr>
        <w:t>早餐为酒店早餐，中餐不低于</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元/人，晚餐不低于</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餐厅必须有接待资质、环境好的饭店就餐，允许团队等额退餐，自己点菜。中晚餐每桌提供一瓶可乐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一瓶雪碧。</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、要求全程提供持证全陪导游服务（全陪导游须持有导游证3年以上，出团前1周提交疗休养方审核），专职景区讲解服务。</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、要求为参加疗休养职工提供每人每天2瓶矿泉水。</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必须提供每批疗休养人员购买保险的原始凭证的复印件给</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、出发前，每人一个旅行包，其中需内含疗休养行程1份、注意事项1份、口罩、小点心等。</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、针对疗休养活动中可能发生的突发状况、意外情况等（如：投诉、纠纷、安全事故等），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须制定周密、可靠的安全保障和突发事件应急预案，确保在各种情况下参团人员的人身及财产安全，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应在响应文件中提供详细说明。</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、行程可辐射周边地域，但不得有自费的景点或活动，无商业广告及各类产品推销。</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、围绕疗休养主题，行程突出疗养养生特色。</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、购物：全程不进购物点。</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snapToGrid w:val="0"/>
          <w:color w:val="auto"/>
          <w:kern w:val="28"/>
          <w:sz w:val="24"/>
          <w:szCs w:val="24"/>
          <w:highlight w:val="none"/>
        </w:rPr>
      </w:pPr>
      <w:r>
        <w:rPr>
          <w:rFonts w:hint="eastAsia" w:ascii="宋体" w:hAnsi="宋体" w:eastAsia="宋体" w:cs="宋体"/>
          <w:b/>
          <w:bCs/>
          <w:snapToGrid w:val="0"/>
          <w:color w:val="auto"/>
          <w:kern w:val="28"/>
          <w:sz w:val="24"/>
          <w:szCs w:val="24"/>
          <w:highlight w:val="none"/>
        </w:rPr>
        <w:t>（五）其它要求</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eastAsia="zh-CN"/>
        </w:rPr>
        <w:t>供应商</w:t>
      </w:r>
      <w:r>
        <w:rPr>
          <w:rFonts w:hint="eastAsia" w:ascii="宋体" w:hAnsi="宋体" w:eastAsia="宋体" w:cs="宋体"/>
          <w:snapToGrid w:val="0"/>
          <w:color w:val="auto"/>
          <w:kern w:val="28"/>
          <w:sz w:val="24"/>
          <w:szCs w:val="24"/>
          <w:highlight w:val="none"/>
        </w:rPr>
        <w:t>需确定一名项目负责人，具有类似疗休养项目经验，负责与</w:t>
      </w:r>
      <w:r>
        <w:rPr>
          <w:rFonts w:hint="eastAsia" w:ascii="宋体" w:hAnsi="宋体" w:eastAsia="宋体" w:cs="宋体"/>
          <w:snapToGrid w:val="0"/>
          <w:color w:val="auto"/>
          <w:kern w:val="28"/>
          <w:sz w:val="24"/>
          <w:szCs w:val="24"/>
          <w:highlight w:val="none"/>
          <w:lang w:eastAsia="zh-CN"/>
        </w:rPr>
        <w:t>交易发起人</w:t>
      </w:r>
      <w:r>
        <w:rPr>
          <w:rFonts w:hint="eastAsia" w:ascii="宋体" w:hAnsi="宋体" w:eastAsia="宋体" w:cs="宋体"/>
          <w:snapToGrid w:val="0"/>
          <w:color w:val="auto"/>
          <w:kern w:val="28"/>
          <w:sz w:val="24"/>
          <w:szCs w:val="24"/>
          <w:highlight w:val="none"/>
        </w:rPr>
        <w:t>就每批次安排具体事宜联系，一旦中标不得随意更换。</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2、制定应急预案，发放《行程安排表》和《注意事项》。如遇意外突发事件</w:t>
      </w:r>
      <w:r>
        <w:rPr>
          <w:rFonts w:hint="eastAsia" w:ascii="宋体" w:hAnsi="宋体" w:eastAsia="宋体" w:cs="宋体"/>
          <w:snapToGrid w:val="0"/>
          <w:color w:val="auto"/>
          <w:kern w:val="28"/>
          <w:sz w:val="24"/>
          <w:szCs w:val="24"/>
          <w:highlight w:val="none"/>
          <w:lang w:eastAsia="zh-CN"/>
        </w:rPr>
        <w:t>供应商</w:t>
      </w:r>
      <w:r>
        <w:rPr>
          <w:rFonts w:hint="eastAsia" w:ascii="宋体" w:hAnsi="宋体" w:eastAsia="宋体" w:cs="宋体"/>
          <w:snapToGrid w:val="0"/>
          <w:color w:val="auto"/>
          <w:kern w:val="28"/>
          <w:sz w:val="24"/>
          <w:szCs w:val="24"/>
          <w:highlight w:val="none"/>
        </w:rPr>
        <w:t>要在第一时间内进行妥善处理，处理结果要及时与</w:t>
      </w:r>
      <w:r>
        <w:rPr>
          <w:rFonts w:hint="eastAsia" w:ascii="宋体" w:hAnsi="宋体" w:eastAsia="宋体" w:cs="宋体"/>
          <w:snapToGrid w:val="0"/>
          <w:color w:val="auto"/>
          <w:kern w:val="28"/>
          <w:sz w:val="24"/>
          <w:szCs w:val="24"/>
          <w:highlight w:val="none"/>
          <w:lang w:eastAsia="zh-CN"/>
        </w:rPr>
        <w:t>交易发起人</w:t>
      </w:r>
      <w:r>
        <w:rPr>
          <w:rFonts w:hint="eastAsia" w:ascii="宋体" w:hAnsi="宋体" w:eastAsia="宋体" w:cs="宋体"/>
          <w:snapToGrid w:val="0"/>
          <w:color w:val="auto"/>
          <w:kern w:val="28"/>
          <w:sz w:val="24"/>
          <w:szCs w:val="24"/>
          <w:highlight w:val="none"/>
        </w:rPr>
        <w:t>汇报和沟通，并积极配合有关单位做好善后处理工作。</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3、做到有问必答。对疗休养人员反映的情况或投诉，不回避矛盾、不推卸责任，对发生的问题予以及时处理，将问题解决在旅途中。</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4、参加疗休养人员名单和个人信息不得外泄。</w:t>
      </w:r>
    </w:p>
    <w:p>
      <w:pPr>
        <w:keepNext w:val="0"/>
        <w:keepLines w:val="0"/>
        <w:pageBreakBefore w:val="0"/>
        <w:kinsoku/>
        <w:wordWrap/>
        <w:overflowPunct/>
        <w:topLinePunct w:val="0"/>
        <w:autoSpaceDE/>
        <w:autoSpaceDN/>
        <w:bidi w:val="0"/>
        <w:snapToGrid/>
        <w:spacing w:line="348"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（六）服务期限及承诺</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6.1服务期限：分批休养。具体以</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实际通知为准。</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6.2服务质量承诺：</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（1）为确保服务质量及与</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沟通联络，</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须设置兼职主管，负责对承包项目、范围、服务质量的检查监督及与</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日常业务联系；</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需提供员工管理服务规范要求及确保服务质量达标的具体措施；</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须主动接受</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的指导、检查、监督及协调；</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）现有服务范围内，由于调整而增加的工作量，不再增加费用；</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）因</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工作人员的失误造成的损失由</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负责;</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员工在工作及服务期间发生的一切安全事故由</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负责，与</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无关。</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（七）付款方式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终结算价按照实际参加人数*响应单价，按实结算，返程后一个月内付清，具体在合同中明确。</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注：公开竞争文件中打▲内容为实质性要求，不允许有负偏离，否则将以涉及无效响应条款作无效响应。</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7" w:name="_Toc184314452"/>
      <w:bookmarkEnd w:id="17"/>
      <w:bookmarkStart w:id="18" w:name="_Toc184313246"/>
      <w:bookmarkEnd w:id="18"/>
      <w:bookmarkStart w:id="19" w:name="_Toc184312067"/>
      <w:bookmarkEnd w:id="19"/>
      <w:bookmarkStart w:id="20" w:name="_Toc184308093"/>
      <w:bookmarkEnd w:id="20"/>
      <w:bookmarkStart w:id="21" w:name="_Toc184312134"/>
      <w:bookmarkEnd w:id="21"/>
      <w:bookmarkStart w:id="22" w:name="_Toc184308065"/>
      <w:bookmarkEnd w:id="22"/>
      <w:bookmarkStart w:id="23" w:name="_Toc184313271"/>
      <w:bookmarkEnd w:id="23"/>
      <w:bookmarkStart w:id="24" w:name="_Toc184310312"/>
      <w:bookmarkEnd w:id="24"/>
      <w:bookmarkStart w:id="25" w:name="_Toc184313249"/>
      <w:bookmarkEnd w:id="25"/>
      <w:bookmarkStart w:id="26" w:name="_Toc184308074"/>
      <w:bookmarkEnd w:id="26"/>
      <w:bookmarkStart w:id="27" w:name="_Toc184313259"/>
      <w:bookmarkEnd w:id="27"/>
      <w:bookmarkStart w:id="28" w:name="_Toc184308047"/>
      <w:bookmarkEnd w:id="28"/>
      <w:bookmarkStart w:id="29" w:name="_Toc184312068"/>
      <w:bookmarkEnd w:id="29"/>
      <w:bookmarkStart w:id="30" w:name="_Toc184308083"/>
      <w:bookmarkEnd w:id="30"/>
      <w:bookmarkStart w:id="31" w:name="_Toc184310291"/>
      <w:bookmarkEnd w:id="31"/>
      <w:bookmarkStart w:id="32" w:name="_Toc184308045"/>
      <w:bookmarkEnd w:id="32"/>
      <w:bookmarkStart w:id="33" w:name="_Toc184308037"/>
      <w:bookmarkEnd w:id="33"/>
      <w:bookmarkStart w:id="34" w:name="_Toc184312077"/>
      <w:bookmarkEnd w:id="34"/>
      <w:bookmarkStart w:id="35" w:name="_Toc184308098"/>
      <w:bookmarkEnd w:id="35"/>
      <w:bookmarkStart w:id="36" w:name="_Toc184312093"/>
      <w:bookmarkEnd w:id="36"/>
      <w:bookmarkStart w:id="37" w:name="_Toc184313305"/>
      <w:bookmarkEnd w:id="37"/>
      <w:bookmarkStart w:id="38" w:name="_Toc184314419"/>
      <w:bookmarkEnd w:id="38"/>
      <w:bookmarkStart w:id="39" w:name="_Toc184314443"/>
      <w:bookmarkEnd w:id="39"/>
      <w:bookmarkStart w:id="40" w:name="_Toc184310323"/>
      <w:bookmarkEnd w:id="40"/>
      <w:bookmarkStart w:id="41" w:name="_Toc184314453"/>
      <w:bookmarkEnd w:id="41"/>
      <w:bookmarkStart w:id="42" w:name="_Toc184313307"/>
      <w:bookmarkEnd w:id="42"/>
      <w:bookmarkStart w:id="43" w:name="_Toc184314429"/>
      <w:bookmarkEnd w:id="43"/>
      <w:bookmarkStart w:id="44" w:name="_Toc184310311"/>
      <w:bookmarkEnd w:id="44"/>
      <w:bookmarkStart w:id="45" w:name="_Toc184314471"/>
      <w:bookmarkEnd w:id="45"/>
      <w:bookmarkStart w:id="46" w:name="_Toc184314450"/>
      <w:bookmarkEnd w:id="46"/>
      <w:bookmarkStart w:id="47" w:name="_Toc184313251"/>
      <w:bookmarkEnd w:id="47"/>
      <w:bookmarkStart w:id="48" w:name="_Toc184310277"/>
      <w:bookmarkEnd w:id="48"/>
      <w:bookmarkStart w:id="49" w:name="_Toc184314447"/>
      <w:bookmarkEnd w:id="49"/>
      <w:bookmarkStart w:id="50" w:name="_Toc184312087"/>
      <w:bookmarkEnd w:id="50"/>
      <w:bookmarkStart w:id="51" w:name="_Toc184314439"/>
      <w:bookmarkEnd w:id="51"/>
      <w:bookmarkStart w:id="52" w:name="_Toc184312121"/>
      <w:bookmarkEnd w:id="52"/>
      <w:bookmarkStart w:id="53" w:name="_Toc184313273"/>
      <w:bookmarkEnd w:id="53"/>
      <w:bookmarkStart w:id="54" w:name="_Toc184310304"/>
      <w:bookmarkEnd w:id="54"/>
      <w:bookmarkStart w:id="55" w:name="_Toc184308064"/>
      <w:bookmarkEnd w:id="55"/>
      <w:bookmarkStart w:id="56" w:name="_Toc184310339"/>
      <w:bookmarkEnd w:id="56"/>
      <w:bookmarkStart w:id="57" w:name="_Toc184310329"/>
      <w:bookmarkEnd w:id="57"/>
      <w:bookmarkStart w:id="58" w:name="_Toc184312073"/>
      <w:bookmarkEnd w:id="58"/>
      <w:bookmarkStart w:id="59" w:name="_Toc184314428"/>
      <w:bookmarkEnd w:id="59"/>
      <w:bookmarkStart w:id="60" w:name="_Toc184313299"/>
      <w:bookmarkEnd w:id="60"/>
      <w:bookmarkStart w:id="61" w:name="_Toc184313279"/>
      <w:bookmarkEnd w:id="61"/>
      <w:bookmarkStart w:id="62" w:name="_Toc184312106"/>
      <w:bookmarkEnd w:id="62"/>
      <w:bookmarkStart w:id="63" w:name="_Toc184314480"/>
      <w:bookmarkEnd w:id="63"/>
      <w:bookmarkStart w:id="64" w:name="_Toc184308059"/>
      <w:bookmarkEnd w:id="64"/>
      <w:bookmarkStart w:id="65" w:name="_Toc184310306"/>
      <w:bookmarkEnd w:id="65"/>
      <w:bookmarkStart w:id="66" w:name="_Toc184312084"/>
      <w:bookmarkEnd w:id="66"/>
      <w:bookmarkStart w:id="67" w:name="_Toc184314433"/>
      <w:bookmarkEnd w:id="67"/>
      <w:bookmarkStart w:id="68" w:name="_Toc184308068"/>
      <w:bookmarkEnd w:id="68"/>
      <w:bookmarkStart w:id="69" w:name="_Toc184308096"/>
      <w:bookmarkEnd w:id="69"/>
      <w:bookmarkStart w:id="70" w:name="_Toc184308082"/>
      <w:bookmarkEnd w:id="70"/>
      <w:bookmarkStart w:id="71" w:name="_Toc184313282"/>
      <w:bookmarkEnd w:id="71"/>
      <w:bookmarkStart w:id="72" w:name="_Toc184310313"/>
      <w:bookmarkEnd w:id="72"/>
      <w:bookmarkStart w:id="73" w:name="_Toc184308100"/>
      <w:bookmarkEnd w:id="73"/>
      <w:bookmarkStart w:id="74" w:name="_Toc184312107"/>
      <w:bookmarkEnd w:id="74"/>
      <w:bookmarkStart w:id="75" w:name="_Toc184310340"/>
      <w:bookmarkEnd w:id="75"/>
      <w:bookmarkStart w:id="76" w:name="_Toc184314464"/>
      <w:bookmarkEnd w:id="76"/>
      <w:bookmarkStart w:id="77" w:name="_Toc184314473"/>
      <w:bookmarkEnd w:id="77"/>
      <w:bookmarkStart w:id="78" w:name="_Toc184314451"/>
      <w:bookmarkEnd w:id="78"/>
      <w:bookmarkStart w:id="79" w:name="_Toc184310305"/>
      <w:bookmarkEnd w:id="79"/>
      <w:bookmarkStart w:id="80" w:name="_Toc184312095"/>
      <w:bookmarkEnd w:id="80"/>
      <w:bookmarkStart w:id="81" w:name="_Toc184310328"/>
      <w:bookmarkEnd w:id="81"/>
      <w:bookmarkStart w:id="82" w:name="_Toc184314415"/>
      <w:bookmarkEnd w:id="82"/>
      <w:bookmarkStart w:id="83" w:name="_Toc184310297"/>
      <w:bookmarkEnd w:id="83"/>
      <w:bookmarkStart w:id="84" w:name="_Toc184310318"/>
      <w:bookmarkEnd w:id="84"/>
      <w:bookmarkStart w:id="85" w:name="_Toc184312122"/>
      <w:bookmarkEnd w:id="85"/>
      <w:bookmarkStart w:id="86" w:name="_Toc184314418"/>
      <w:bookmarkEnd w:id="86"/>
      <w:bookmarkStart w:id="87" w:name="_Toc184314413"/>
      <w:bookmarkEnd w:id="87"/>
      <w:bookmarkStart w:id="88" w:name="_Toc184314425"/>
      <w:bookmarkEnd w:id="88"/>
      <w:bookmarkStart w:id="89" w:name="_Toc184310273"/>
      <w:bookmarkEnd w:id="89"/>
      <w:bookmarkStart w:id="90" w:name="_Toc184312103"/>
      <w:bookmarkEnd w:id="90"/>
      <w:bookmarkStart w:id="91" w:name="_Toc184310309"/>
      <w:bookmarkEnd w:id="91"/>
      <w:bookmarkStart w:id="92" w:name="_Toc184308067"/>
      <w:bookmarkEnd w:id="92"/>
      <w:bookmarkStart w:id="93" w:name="_Toc184313291"/>
      <w:bookmarkEnd w:id="93"/>
      <w:bookmarkStart w:id="94" w:name="_Toc184310299"/>
      <w:bookmarkEnd w:id="94"/>
      <w:bookmarkStart w:id="95" w:name="_Toc184312088"/>
      <w:bookmarkEnd w:id="95"/>
      <w:bookmarkStart w:id="96" w:name="_Toc184314475"/>
      <w:bookmarkEnd w:id="96"/>
      <w:bookmarkStart w:id="97" w:name="_Toc184313278"/>
      <w:bookmarkEnd w:id="97"/>
      <w:bookmarkStart w:id="98" w:name="_Toc184308048"/>
      <w:bookmarkEnd w:id="98"/>
      <w:bookmarkStart w:id="99" w:name="_Toc184310344"/>
      <w:bookmarkEnd w:id="99"/>
      <w:bookmarkStart w:id="100" w:name="_Toc184312097"/>
      <w:bookmarkEnd w:id="100"/>
      <w:bookmarkStart w:id="101" w:name="_Toc184308062"/>
      <w:bookmarkEnd w:id="101"/>
      <w:bookmarkStart w:id="102" w:name="_Toc184310298"/>
      <w:bookmarkEnd w:id="102"/>
      <w:bookmarkStart w:id="103" w:name="_Toc184310287"/>
      <w:bookmarkEnd w:id="103"/>
      <w:bookmarkStart w:id="104" w:name="_Toc184313293"/>
      <w:bookmarkEnd w:id="104"/>
      <w:bookmarkStart w:id="105" w:name="_Toc184310335"/>
      <w:bookmarkEnd w:id="105"/>
      <w:bookmarkStart w:id="106" w:name="_Toc184308080"/>
      <w:bookmarkEnd w:id="106"/>
      <w:bookmarkStart w:id="107" w:name="_Toc184313253"/>
      <w:bookmarkEnd w:id="107"/>
      <w:bookmarkStart w:id="108" w:name="_Toc184313274"/>
      <w:bookmarkEnd w:id="108"/>
      <w:bookmarkStart w:id="109" w:name="_Toc184308075"/>
      <w:bookmarkEnd w:id="109"/>
      <w:bookmarkStart w:id="110" w:name="_Toc184313247"/>
      <w:bookmarkEnd w:id="110"/>
      <w:bookmarkStart w:id="111" w:name="_Toc184313254"/>
      <w:bookmarkEnd w:id="111"/>
      <w:bookmarkStart w:id="112" w:name="_Toc184313241"/>
      <w:bookmarkEnd w:id="112"/>
      <w:bookmarkStart w:id="113" w:name="_Toc184308088"/>
      <w:bookmarkEnd w:id="113"/>
      <w:bookmarkStart w:id="114" w:name="_Toc184313243"/>
      <w:bookmarkEnd w:id="114"/>
      <w:bookmarkStart w:id="115" w:name="_Toc184314414"/>
      <w:bookmarkEnd w:id="115"/>
      <w:bookmarkStart w:id="116" w:name="_Toc184310292"/>
      <w:bookmarkEnd w:id="116"/>
      <w:bookmarkStart w:id="117" w:name="_Toc184314426"/>
      <w:bookmarkEnd w:id="117"/>
      <w:bookmarkStart w:id="118" w:name="_Toc184308043"/>
      <w:bookmarkEnd w:id="118"/>
      <w:bookmarkStart w:id="119" w:name="_Toc184313260"/>
      <w:bookmarkEnd w:id="119"/>
      <w:bookmarkStart w:id="120" w:name="_Toc184312136"/>
      <w:bookmarkEnd w:id="120"/>
      <w:bookmarkStart w:id="121" w:name="_Toc184313272"/>
      <w:bookmarkEnd w:id="121"/>
      <w:bookmarkStart w:id="122" w:name="_Toc184314470"/>
      <w:bookmarkEnd w:id="122"/>
      <w:bookmarkStart w:id="123" w:name="_Toc184308081"/>
      <w:bookmarkEnd w:id="123"/>
      <w:bookmarkStart w:id="124" w:name="_Toc184313275"/>
      <w:bookmarkEnd w:id="124"/>
      <w:bookmarkStart w:id="125" w:name="_Toc184313244"/>
      <w:bookmarkEnd w:id="125"/>
      <w:bookmarkStart w:id="126" w:name="_Toc184312115"/>
      <w:bookmarkEnd w:id="126"/>
      <w:bookmarkStart w:id="127" w:name="_Toc184308056"/>
      <w:bookmarkEnd w:id="127"/>
      <w:bookmarkStart w:id="128" w:name="_Toc184310283"/>
      <w:bookmarkEnd w:id="128"/>
      <w:bookmarkStart w:id="129" w:name="_Toc184314476"/>
      <w:bookmarkEnd w:id="129"/>
      <w:bookmarkStart w:id="130" w:name="_Toc184312132"/>
      <w:bookmarkEnd w:id="130"/>
      <w:bookmarkStart w:id="131" w:name="_Toc184308049"/>
      <w:bookmarkEnd w:id="131"/>
      <w:bookmarkStart w:id="132" w:name="_Toc184312131"/>
      <w:bookmarkEnd w:id="132"/>
      <w:bookmarkStart w:id="133" w:name="_Toc184308097"/>
      <w:bookmarkEnd w:id="133"/>
      <w:bookmarkStart w:id="134" w:name="_Toc184308054"/>
      <w:bookmarkEnd w:id="134"/>
      <w:bookmarkStart w:id="135" w:name="_Toc184310301"/>
      <w:bookmarkEnd w:id="135"/>
      <w:bookmarkStart w:id="136" w:name="_Toc184314454"/>
      <w:bookmarkEnd w:id="136"/>
      <w:bookmarkStart w:id="137" w:name="_Toc184308040"/>
      <w:bookmarkEnd w:id="137"/>
      <w:bookmarkStart w:id="138" w:name="_Toc184312109"/>
      <w:bookmarkEnd w:id="138"/>
      <w:bookmarkStart w:id="139" w:name="_Toc184314481"/>
      <w:bookmarkEnd w:id="139"/>
      <w:bookmarkStart w:id="140" w:name="_Toc184313267"/>
      <w:bookmarkEnd w:id="140"/>
      <w:bookmarkStart w:id="141" w:name="_Toc184308076"/>
      <w:bookmarkEnd w:id="141"/>
      <w:bookmarkStart w:id="142" w:name="_Toc184310280"/>
      <w:bookmarkEnd w:id="142"/>
      <w:bookmarkStart w:id="143" w:name="_Toc184313284"/>
      <w:bookmarkEnd w:id="143"/>
      <w:bookmarkStart w:id="144" w:name="_Toc184312100"/>
      <w:bookmarkEnd w:id="144"/>
      <w:bookmarkStart w:id="145" w:name="_Toc184312128"/>
      <w:bookmarkEnd w:id="145"/>
      <w:bookmarkStart w:id="146" w:name="_Toc184313268"/>
      <w:bookmarkEnd w:id="146"/>
      <w:bookmarkStart w:id="147" w:name="_Toc184310275"/>
      <w:bookmarkEnd w:id="147"/>
      <w:bookmarkStart w:id="148" w:name="_Toc184314455"/>
      <w:bookmarkEnd w:id="148"/>
      <w:bookmarkStart w:id="149" w:name="_Toc184313294"/>
      <w:bookmarkEnd w:id="149"/>
      <w:bookmarkStart w:id="150" w:name="_Toc184312082"/>
      <w:bookmarkEnd w:id="150"/>
      <w:bookmarkStart w:id="151" w:name="_Toc184310295"/>
      <w:bookmarkEnd w:id="151"/>
      <w:bookmarkStart w:id="152" w:name="_Toc184314463"/>
      <w:bookmarkEnd w:id="152"/>
      <w:bookmarkStart w:id="153" w:name="_Toc184312094"/>
      <w:bookmarkEnd w:id="153"/>
      <w:bookmarkStart w:id="154" w:name="_Toc184308063"/>
      <w:bookmarkEnd w:id="154"/>
      <w:bookmarkStart w:id="155" w:name="_Toc184310316"/>
      <w:bookmarkEnd w:id="155"/>
      <w:bookmarkStart w:id="156" w:name="_Toc184310303"/>
      <w:bookmarkEnd w:id="156"/>
      <w:bookmarkStart w:id="157" w:name="_Toc184310325"/>
      <w:bookmarkEnd w:id="157"/>
      <w:bookmarkStart w:id="158" w:name="_Toc184310294"/>
      <w:bookmarkEnd w:id="158"/>
      <w:bookmarkStart w:id="159" w:name="_Toc184313256"/>
      <w:bookmarkEnd w:id="159"/>
      <w:bookmarkStart w:id="160" w:name="_Toc184314446"/>
      <w:bookmarkEnd w:id="160"/>
      <w:bookmarkStart w:id="161" w:name="_Toc184313300"/>
      <w:bookmarkEnd w:id="161"/>
      <w:bookmarkStart w:id="162" w:name="_Toc184312076"/>
      <w:bookmarkEnd w:id="162"/>
      <w:bookmarkStart w:id="163" w:name="_Toc184310315"/>
      <w:bookmarkEnd w:id="163"/>
      <w:bookmarkStart w:id="164" w:name="_Toc184314431"/>
      <w:bookmarkEnd w:id="164"/>
      <w:bookmarkStart w:id="165" w:name="_Toc184314411"/>
      <w:bookmarkEnd w:id="165"/>
      <w:bookmarkStart w:id="166" w:name="_Toc184314434"/>
      <w:bookmarkEnd w:id="166"/>
      <w:bookmarkStart w:id="167" w:name="_Toc184310334"/>
      <w:bookmarkEnd w:id="167"/>
      <w:bookmarkStart w:id="168" w:name="_Toc184314423"/>
      <w:bookmarkEnd w:id="168"/>
      <w:bookmarkStart w:id="169" w:name="_Toc184310296"/>
      <w:bookmarkEnd w:id="169"/>
      <w:bookmarkStart w:id="170" w:name="_Toc184312111"/>
      <w:bookmarkEnd w:id="170"/>
      <w:bookmarkStart w:id="171" w:name="_Toc184314417"/>
      <w:bookmarkEnd w:id="171"/>
      <w:bookmarkStart w:id="172" w:name="_Toc184308046"/>
      <w:bookmarkEnd w:id="172"/>
      <w:bookmarkStart w:id="173" w:name="_Toc184308105"/>
      <w:bookmarkEnd w:id="173"/>
      <w:bookmarkStart w:id="174" w:name="_Toc184313296"/>
      <w:bookmarkEnd w:id="174"/>
      <w:bookmarkStart w:id="175" w:name="_Toc184310284"/>
      <w:bookmarkEnd w:id="175"/>
      <w:bookmarkStart w:id="176" w:name="_Toc184313277"/>
      <w:bookmarkEnd w:id="176"/>
      <w:bookmarkStart w:id="177" w:name="_Toc184313264"/>
      <w:bookmarkEnd w:id="177"/>
      <w:bookmarkStart w:id="178" w:name="_Toc184312090"/>
      <w:bookmarkEnd w:id="178"/>
      <w:bookmarkStart w:id="179" w:name="_Toc184312080"/>
      <w:bookmarkEnd w:id="179"/>
      <w:bookmarkStart w:id="180" w:name="_Toc184313242"/>
      <w:bookmarkEnd w:id="180"/>
      <w:bookmarkStart w:id="181" w:name="_Toc184308073"/>
      <w:bookmarkEnd w:id="181"/>
      <w:bookmarkStart w:id="182" w:name="_Toc184312079"/>
      <w:bookmarkEnd w:id="182"/>
      <w:bookmarkStart w:id="183" w:name="_Toc184310342"/>
      <w:bookmarkEnd w:id="183"/>
      <w:bookmarkStart w:id="184" w:name="_Toc184312070"/>
      <w:bookmarkEnd w:id="184"/>
      <w:bookmarkStart w:id="185" w:name="_Toc184312074"/>
      <w:bookmarkEnd w:id="185"/>
      <w:bookmarkStart w:id="186" w:name="_Toc184312116"/>
      <w:bookmarkEnd w:id="186"/>
      <w:bookmarkStart w:id="187" w:name="_Toc184312119"/>
      <w:bookmarkEnd w:id="187"/>
      <w:bookmarkStart w:id="188" w:name="_Toc184312078"/>
      <w:bookmarkEnd w:id="188"/>
      <w:bookmarkStart w:id="189" w:name="_Toc184314482"/>
      <w:bookmarkEnd w:id="189"/>
      <w:bookmarkStart w:id="190" w:name="_Toc184313288"/>
      <w:bookmarkEnd w:id="190"/>
      <w:bookmarkStart w:id="191" w:name="_Toc184310282"/>
      <w:bookmarkEnd w:id="191"/>
      <w:bookmarkStart w:id="192" w:name="_Toc184313304"/>
      <w:bookmarkEnd w:id="192"/>
      <w:bookmarkStart w:id="193" w:name="_Toc184310330"/>
      <w:bookmarkEnd w:id="193"/>
      <w:bookmarkStart w:id="194" w:name="_Toc184312117"/>
      <w:bookmarkEnd w:id="194"/>
      <w:bookmarkStart w:id="195" w:name="_Toc184314430"/>
      <w:bookmarkEnd w:id="195"/>
      <w:bookmarkStart w:id="196" w:name="_Toc184314456"/>
      <w:bookmarkEnd w:id="196"/>
      <w:bookmarkStart w:id="197" w:name="_Toc184308084"/>
      <w:bookmarkEnd w:id="197"/>
      <w:bookmarkStart w:id="198" w:name="_Toc184310278"/>
      <w:bookmarkEnd w:id="198"/>
      <w:bookmarkStart w:id="199" w:name="_Toc184310289"/>
      <w:bookmarkEnd w:id="199"/>
      <w:bookmarkStart w:id="200" w:name="_Toc184312124"/>
      <w:bookmarkEnd w:id="200"/>
      <w:bookmarkStart w:id="201" w:name="_Toc184310343"/>
      <w:bookmarkEnd w:id="201"/>
      <w:bookmarkStart w:id="202" w:name="_Toc184308071"/>
      <w:bookmarkEnd w:id="202"/>
      <w:bookmarkStart w:id="203" w:name="_Toc184314465"/>
      <w:bookmarkEnd w:id="203"/>
      <w:bookmarkStart w:id="204" w:name="_Toc184308108"/>
      <w:bookmarkEnd w:id="204"/>
      <w:bookmarkStart w:id="205" w:name="_Toc184313298"/>
      <w:bookmarkEnd w:id="205"/>
      <w:bookmarkStart w:id="206" w:name="_Toc184308051"/>
      <w:bookmarkEnd w:id="206"/>
      <w:bookmarkStart w:id="207" w:name="_Toc184310336"/>
      <w:bookmarkEnd w:id="207"/>
      <w:bookmarkStart w:id="208" w:name="_Toc184314422"/>
      <w:bookmarkEnd w:id="208"/>
      <w:bookmarkStart w:id="209" w:name="_Toc184314474"/>
      <w:bookmarkEnd w:id="209"/>
      <w:bookmarkStart w:id="210" w:name="_Toc184312069"/>
      <w:bookmarkEnd w:id="210"/>
      <w:bookmarkStart w:id="211" w:name="_Toc184314420"/>
      <w:bookmarkEnd w:id="211"/>
      <w:bookmarkStart w:id="212" w:name="_Toc184314412"/>
      <w:bookmarkEnd w:id="212"/>
      <w:bookmarkStart w:id="213" w:name="_Toc184312139"/>
      <w:bookmarkEnd w:id="213"/>
      <w:bookmarkStart w:id="214" w:name="_Toc184308042"/>
      <w:bookmarkEnd w:id="214"/>
      <w:bookmarkStart w:id="215" w:name="_Toc184308060"/>
      <w:bookmarkEnd w:id="215"/>
      <w:bookmarkStart w:id="216" w:name="_Toc184313301"/>
      <w:bookmarkEnd w:id="216"/>
      <w:bookmarkStart w:id="217" w:name="_Toc184310279"/>
      <w:bookmarkEnd w:id="217"/>
      <w:bookmarkStart w:id="218" w:name="_Toc184313239"/>
      <w:bookmarkEnd w:id="218"/>
      <w:bookmarkStart w:id="219" w:name="_Toc184314466"/>
      <w:bookmarkEnd w:id="219"/>
      <w:bookmarkStart w:id="220" w:name="_Toc184314472"/>
      <w:bookmarkEnd w:id="220"/>
      <w:bookmarkStart w:id="221" w:name="_Toc184310286"/>
      <w:bookmarkEnd w:id="221"/>
      <w:bookmarkStart w:id="222" w:name="_Toc184308090"/>
      <w:bookmarkEnd w:id="222"/>
      <w:bookmarkStart w:id="223" w:name="_Toc184314416"/>
      <w:bookmarkEnd w:id="223"/>
      <w:bookmarkStart w:id="224" w:name="_Toc184313287"/>
      <w:bookmarkEnd w:id="224"/>
      <w:bookmarkStart w:id="225" w:name="_Toc184312105"/>
      <w:bookmarkEnd w:id="225"/>
      <w:bookmarkStart w:id="226" w:name="_Toc184310310"/>
      <w:bookmarkEnd w:id="226"/>
      <w:bookmarkStart w:id="227" w:name="_Toc184308092"/>
      <w:bookmarkEnd w:id="227"/>
      <w:bookmarkStart w:id="228" w:name="_Toc184312114"/>
      <w:bookmarkEnd w:id="228"/>
      <w:bookmarkStart w:id="229" w:name="_Toc184310307"/>
      <w:bookmarkEnd w:id="229"/>
      <w:bookmarkStart w:id="230" w:name="_Toc184308050"/>
      <w:bookmarkEnd w:id="230"/>
      <w:bookmarkStart w:id="231" w:name="_Toc184308069"/>
      <w:bookmarkEnd w:id="231"/>
      <w:bookmarkStart w:id="232" w:name="_Toc184313309"/>
      <w:bookmarkEnd w:id="232"/>
      <w:bookmarkStart w:id="233" w:name="_Toc184314442"/>
      <w:bookmarkEnd w:id="233"/>
      <w:bookmarkStart w:id="234" w:name="_Toc184308101"/>
      <w:bookmarkEnd w:id="234"/>
      <w:bookmarkStart w:id="235" w:name="_Toc184312089"/>
      <w:bookmarkEnd w:id="235"/>
      <w:bookmarkStart w:id="236" w:name="_Toc184308077"/>
      <w:bookmarkEnd w:id="236"/>
      <w:bookmarkStart w:id="237" w:name="_Toc184314459"/>
      <w:bookmarkEnd w:id="237"/>
      <w:bookmarkStart w:id="238" w:name="_Toc184313283"/>
      <w:bookmarkEnd w:id="238"/>
      <w:bookmarkStart w:id="239" w:name="_Toc184313281"/>
      <w:bookmarkEnd w:id="239"/>
      <w:bookmarkStart w:id="240" w:name="_Toc184313245"/>
      <w:bookmarkEnd w:id="240"/>
      <w:bookmarkStart w:id="241" w:name="_Toc184308070"/>
      <w:bookmarkEnd w:id="241"/>
      <w:bookmarkStart w:id="242" w:name="_Toc184308087"/>
      <w:bookmarkEnd w:id="242"/>
      <w:bookmarkStart w:id="243" w:name="_Toc184308086"/>
      <w:bookmarkEnd w:id="243"/>
      <w:bookmarkStart w:id="244" w:name="_Toc184310290"/>
      <w:bookmarkEnd w:id="244"/>
      <w:bookmarkStart w:id="245" w:name="_Toc184310324"/>
      <w:bookmarkEnd w:id="245"/>
      <w:bookmarkStart w:id="246" w:name="_Toc184313252"/>
      <w:bookmarkEnd w:id="246"/>
      <w:bookmarkStart w:id="247" w:name="_Toc184313269"/>
      <w:bookmarkEnd w:id="247"/>
      <w:bookmarkStart w:id="248" w:name="_Toc184314410"/>
      <w:bookmarkEnd w:id="248"/>
      <w:bookmarkStart w:id="249" w:name="_Toc184310332"/>
      <w:bookmarkEnd w:id="249"/>
      <w:bookmarkStart w:id="250" w:name="_Toc184310320"/>
      <w:bookmarkEnd w:id="250"/>
      <w:bookmarkStart w:id="251" w:name="_Toc184312072"/>
      <w:bookmarkEnd w:id="251"/>
      <w:bookmarkStart w:id="252" w:name="_Toc184313286"/>
      <w:bookmarkEnd w:id="252"/>
      <w:bookmarkStart w:id="253" w:name="_Toc184308036"/>
      <w:bookmarkEnd w:id="253"/>
      <w:bookmarkStart w:id="254" w:name="_Toc184312086"/>
      <w:bookmarkEnd w:id="254"/>
      <w:bookmarkStart w:id="255" w:name="_Toc184308061"/>
      <w:bookmarkEnd w:id="255"/>
      <w:bookmarkStart w:id="256" w:name="_Toc184308103"/>
      <w:bookmarkEnd w:id="256"/>
      <w:bookmarkStart w:id="257" w:name="_Toc184313263"/>
      <w:bookmarkEnd w:id="257"/>
      <w:bookmarkStart w:id="258" w:name="_Toc184312135"/>
      <w:bookmarkEnd w:id="258"/>
      <w:bookmarkStart w:id="259" w:name="_Toc184314448"/>
      <w:bookmarkEnd w:id="259"/>
      <w:bookmarkStart w:id="260" w:name="_Toc184313292"/>
      <w:bookmarkEnd w:id="260"/>
      <w:bookmarkStart w:id="261" w:name="_Toc184313302"/>
      <w:bookmarkEnd w:id="261"/>
      <w:bookmarkStart w:id="262" w:name="_Toc184308044"/>
      <w:bookmarkEnd w:id="262"/>
      <w:bookmarkStart w:id="263" w:name="_Toc184310326"/>
      <w:bookmarkEnd w:id="263"/>
      <w:bookmarkStart w:id="264" w:name="_Toc184313310"/>
      <w:bookmarkEnd w:id="264"/>
      <w:bookmarkStart w:id="265" w:name="_Toc184312081"/>
      <w:bookmarkEnd w:id="265"/>
      <w:bookmarkStart w:id="266" w:name="_Toc184312127"/>
      <w:bookmarkEnd w:id="266"/>
      <w:bookmarkStart w:id="267" w:name="_Toc184308095"/>
      <w:bookmarkEnd w:id="267"/>
      <w:bookmarkStart w:id="268" w:name="_Toc184312133"/>
      <w:bookmarkEnd w:id="268"/>
      <w:bookmarkStart w:id="269" w:name="_Toc184308078"/>
      <w:bookmarkEnd w:id="269"/>
      <w:bookmarkStart w:id="270" w:name="_Toc184314478"/>
      <w:bookmarkEnd w:id="270"/>
      <w:bookmarkStart w:id="271" w:name="_Toc184313257"/>
      <w:bookmarkEnd w:id="271"/>
      <w:bookmarkStart w:id="272" w:name="_Toc184312098"/>
      <w:bookmarkEnd w:id="272"/>
      <w:bookmarkStart w:id="273" w:name="_Toc184310293"/>
      <w:bookmarkEnd w:id="273"/>
      <w:bookmarkStart w:id="274" w:name="_Toc184308085"/>
      <w:bookmarkEnd w:id="274"/>
      <w:bookmarkStart w:id="275" w:name="_Toc184313262"/>
      <w:bookmarkEnd w:id="275"/>
      <w:bookmarkStart w:id="276" w:name="_Toc184312102"/>
      <w:bookmarkEnd w:id="276"/>
      <w:bookmarkStart w:id="277" w:name="_Toc184314436"/>
      <w:bookmarkEnd w:id="277"/>
      <w:bookmarkStart w:id="278" w:name="_Toc184310300"/>
      <w:bookmarkEnd w:id="278"/>
      <w:bookmarkStart w:id="279" w:name="_Toc184314468"/>
      <w:bookmarkEnd w:id="279"/>
      <w:bookmarkStart w:id="280" w:name="_Toc184312118"/>
      <w:bookmarkEnd w:id="280"/>
      <w:bookmarkStart w:id="281" w:name="_Toc184310281"/>
      <w:bookmarkEnd w:id="281"/>
      <w:bookmarkStart w:id="282" w:name="_Toc184308102"/>
      <w:bookmarkEnd w:id="282"/>
      <w:bookmarkStart w:id="283" w:name="_Toc184312092"/>
      <w:bookmarkEnd w:id="283"/>
      <w:bookmarkStart w:id="284" w:name="_Toc184310285"/>
      <w:bookmarkEnd w:id="284"/>
      <w:bookmarkStart w:id="285" w:name="_Toc184310341"/>
      <w:bookmarkEnd w:id="285"/>
      <w:bookmarkStart w:id="286" w:name="_Toc184310337"/>
      <w:bookmarkEnd w:id="286"/>
      <w:bookmarkStart w:id="287" w:name="_Toc184312113"/>
      <w:bookmarkEnd w:id="287"/>
      <w:bookmarkStart w:id="288" w:name="_Toc184308053"/>
      <w:bookmarkEnd w:id="288"/>
      <w:bookmarkStart w:id="289" w:name="_Toc184310314"/>
      <w:bookmarkEnd w:id="289"/>
      <w:bookmarkStart w:id="290" w:name="_Toc184313265"/>
      <w:bookmarkEnd w:id="290"/>
      <w:bookmarkStart w:id="291" w:name="_Toc184313290"/>
      <w:bookmarkEnd w:id="291"/>
      <w:bookmarkStart w:id="292" w:name="_Toc184310272"/>
      <w:bookmarkEnd w:id="292"/>
      <w:bookmarkStart w:id="293" w:name="_Toc184312123"/>
      <w:bookmarkEnd w:id="293"/>
      <w:bookmarkStart w:id="294" w:name="_Toc184314460"/>
      <w:bookmarkEnd w:id="294"/>
      <w:bookmarkStart w:id="295" w:name="_Toc184308052"/>
      <w:bookmarkEnd w:id="295"/>
      <w:bookmarkStart w:id="296" w:name="_Toc184310302"/>
      <w:bookmarkEnd w:id="296"/>
      <w:bookmarkStart w:id="297" w:name="_Toc184314445"/>
      <w:bookmarkEnd w:id="297"/>
      <w:bookmarkStart w:id="298" w:name="_Toc184312108"/>
      <w:bookmarkEnd w:id="298"/>
      <w:bookmarkStart w:id="299" w:name="_Toc184310321"/>
      <w:bookmarkEnd w:id="299"/>
      <w:bookmarkStart w:id="300" w:name="_Toc184314479"/>
      <w:bookmarkEnd w:id="300"/>
      <w:bookmarkStart w:id="301" w:name="_Toc184313280"/>
      <w:bookmarkEnd w:id="301"/>
      <w:bookmarkStart w:id="302" w:name="_Toc184308055"/>
      <w:bookmarkEnd w:id="302"/>
      <w:bookmarkStart w:id="303" w:name="_Toc184310308"/>
      <w:bookmarkEnd w:id="303"/>
      <w:bookmarkStart w:id="304" w:name="_Toc184312101"/>
      <w:bookmarkEnd w:id="304"/>
      <w:bookmarkStart w:id="305" w:name="_Toc184314457"/>
      <w:bookmarkEnd w:id="305"/>
      <w:bookmarkStart w:id="306" w:name="_Toc184313297"/>
      <w:bookmarkEnd w:id="306"/>
      <w:bookmarkStart w:id="307" w:name="_Toc184308094"/>
      <w:bookmarkEnd w:id="307"/>
      <w:bookmarkStart w:id="308" w:name="_Toc184314449"/>
      <w:bookmarkEnd w:id="308"/>
      <w:bookmarkStart w:id="309" w:name="_Toc184310333"/>
      <w:bookmarkEnd w:id="309"/>
      <w:bookmarkStart w:id="310" w:name="_Toc184313238"/>
      <w:bookmarkEnd w:id="310"/>
      <w:bookmarkStart w:id="311" w:name="_Toc184312104"/>
      <w:bookmarkEnd w:id="311"/>
      <w:bookmarkStart w:id="312" w:name="_Toc184313261"/>
      <w:bookmarkEnd w:id="312"/>
      <w:bookmarkStart w:id="313" w:name="_Toc184312083"/>
      <w:bookmarkEnd w:id="313"/>
      <w:bookmarkStart w:id="314" w:name="_Toc184314432"/>
      <w:bookmarkEnd w:id="314"/>
      <w:bookmarkStart w:id="315" w:name="_Toc184314438"/>
      <w:bookmarkEnd w:id="315"/>
      <w:bookmarkStart w:id="316" w:name="_Toc184313289"/>
      <w:bookmarkEnd w:id="316"/>
      <w:bookmarkStart w:id="317" w:name="_Toc184314424"/>
      <w:bookmarkEnd w:id="317"/>
      <w:bookmarkStart w:id="318" w:name="_Toc184308104"/>
      <w:bookmarkEnd w:id="318"/>
      <w:bookmarkStart w:id="319" w:name="_Toc184312099"/>
      <w:bookmarkEnd w:id="319"/>
      <w:bookmarkStart w:id="320" w:name="_Toc184314467"/>
      <w:bookmarkEnd w:id="320"/>
      <w:bookmarkStart w:id="321" w:name="_Toc184314435"/>
      <w:bookmarkEnd w:id="321"/>
      <w:bookmarkStart w:id="322" w:name="_Toc184313248"/>
      <w:bookmarkEnd w:id="322"/>
      <w:bookmarkStart w:id="323" w:name="_Toc184313270"/>
      <w:bookmarkEnd w:id="323"/>
      <w:bookmarkStart w:id="324" w:name="_Toc184313250"/>
      <w:bookmarkEnd w:id="324"/>
      <w:bookmarkStart w:id="325" w:name="_Toc184313240"/>
      <w:bookmarkEnd w:id="325"/>
      <w:bookmarkStart w:id="326" w:name="_Toc184313255"/>
      <w:bookmarkEnd w:id="326"/>
      <w:bookmarkStart w:id="327" w:name="_Toc184314469"/>
      <w:bookmarkEnd w:id="327"/>
      <w:bookmarkStart w:id="328" w:name="_Toc184314421"/>
      <w:bookmarkEnd w:id="328"/>
      <w:bookmarkStart w:id="329" w:name="_Toc184312096"/>
      <w:bookmarkEnd w:id="329"/>
      <w:bookmarkStart w:id="330" w:name="_Toc184308072"/>
      <w:bookmarkEnd w:id="330"/>
      <w:bookmarkStart w:id="331" w:name="_Toc184314437"/>
      <w:bookmarkEnd w:id="331"/>
      <w:bookmarkStart w:id="332" w:name="_Toc184312137"/>
      <w:bookmarkEnd w:id="332"/>
      <w:bookmarkStart w:id="333" w:name="_Toc184308058"/>
      <w:bookmarkEnd w:id="333"/>
      <w:bookmarkStart w:id="334" w:name="_Toc184308091"/>
      <w:bookmarkEnd w:id="334"/>
      <w:bookmarkStart w:id="335" w:name="_Toc184310317"/>
      <w:bookmarkEnd w:id="335"/>
      <w:bookmarkStart w:id="336" w:name="_Toc184314477"/>
      <w:bookmarkEnd w:id="336"/>
      <w:bookmarkStart w:id="337" w:name="_Toc184312110"/>
      <w:bookmarkEnd w:id="337"/>
      <w:bookmarkStart w:id="338" w:name="_Toc184312129"/>
      <w:bookmarkEnd w:id="338"/>
      <w:bookmarkStart w:id="339" w:name="_Toc184312120"/>
      <w:bookmarkEnd w:id="339"/>
      <w:bookmarkStart w:id="340" w:name="_Toc184312130"/>
      <w:bookmarkEnd w:id="340"/>
      <w:bookmarkStart w:id="341" w:name="_Toc184308099"/>
      <w:bookmarkEnd w:id="341"/>
      <w:bookmarkStart w:id="342" w:name="_Toc184314440"/>
      <w:bookmarkEnd w:id="342"/>
      <w:bookmarkStart w:id="343" w:name="_Toc184308107"/>
      <w:bookmarkEnd w:id="343"/>
      <w:bookmarkStart w:id="344" w:name="_Toc184314461"/>
      <w:bookmarkEnd w:id="344"/>
      <w:bookmarkStart w:id="345" w:name="_Toc184310338"/>
      <w:bookmarkEnd w:id="345"/>
      <w:bookmarkStart w:id="346" w:name="_Toc184310288"/>
      <w:bookmarkEnd w:id="346"/>
      <w:bookmarkStart w:id="347" w:name="_Toc184310327"/>
      <w:bookmarkEnd w:id="347"/>
      <w:bookmarkStart w:id="348" w:name="_Toc184313285"/>
      <w:bookmarkEnd w:id="348"/>
      <w:bookmarkStart w:id="349" w:name="_Toc184313306"/>
      <w:bookmarkEnd w:id="349"/>
      <w:bookmarkStart w:id="350" w:name="_Toc184312126"/>
      <w:bookmarkEnd w:id="350"/>
      <w:bookmarkStart w:id="351" w:name="_Toc184312075"/>
      <w:bookmarkEnd w:id="351"/>
      <w:bookmarkStart w:id="352" w:name="_Toc184313308"/>
      <w:bookmarkEnd w:id="352"/>
      <w:bookmarkStart w:id="353" w:name="_Toc184313266"/>
      <w:bookmarkEnd w:id="353"/>
      <w:bookmarkStart w:id="354" w:name="_Toc184314462"/>
      <w:bookmarkEnd w:id="354"/>
      <w:bookmarkStart w:id="355" w:name="_Toc184308041"/>
      <w:bookmarkEnd w:id="355"/>
      <w:bookmarkStart w:id="356" w:name="_Toc184310319"/>
      <w:bookmarkEnd w:id="356"/>
      <w:bookmarkStart w:id="357" w:name="_Toc184312125"/>
      <w:bookmarkEnd w:id="357"/>
      <w:bookmarkStart w:id="358" w:name="_Toc184314441"/>
      <w:bookmarkEnd w:id="358"/>
      <w:bookmarkStart w:id="359" w:name="_Toc184310274"/>
      <w:bookmarkEnd w:id="359"/>
      <w:bookmarkStart w:id="360" w:name="_Toc184313295"/>
      <w:bookmarkEnd w:id="360"/>
      <w:bookmarkStart w:id="361" w:name="_Toc184308066"/>
      <w:bookmarkEnd w:id="361"/>
      <w:bookmarkStart w:id="362" w:name="_Toc184310276"/>
      <w:bookmarkEnd w:id="362"/>
      <w:bookmarkStart w:id="363" w:name="_Toc184312138"/>
      <w:bookmarkEnd w:id="363"/>
      <w:bookmarkStart w:id="364" w:name="_Toc184312085"/>
      <w:bookmarkEnd w:id="364"/>
      <w:bookmarkStart w:id="365" w:name="_Toc184312091"/>
      <w:bookmarkEnd w:id="365"/>
      <w:bookmarkStart w:id="366" w:name="_Toc184314444"/>
      <w:bookmarkEnd w:id="366"/>
      <w:bookmarkStart w:id="367" w:name="_Toc184313303"/>
      <w:bookmarkEnd w:id="367"/>
      <w:bookmarkStart w:id="368" w:name="_Toc184313276"/>
      <w:bookmarkEnd w:id="368"/>
      <w:bookmarkStart w:id="369" w:name="_Toc184314458"/>
      <w:bookmarkEnd w:id="369"/>
      <w:bookmarkStart w:id="370" w:name="_Toc184313258"/>
      <w:bookmarkEnd w:id="370"/>
      <w:bookmarkStart w:id="371" w:name="_Toc184308038"/>
      <w:bookmarkEnd w:id="371"/>
      <w:bookmarkStart w:id="372" w:name="_Toc184308057"/>
      <w:bookmarkEnd w:id="372"/>
      <w:bookmarkStart w:id="373" w:name="_Toc184310322"/>
      <w:bookmarkEnd w:id="373"/>
      <w:bookmarkStart w:id="374" w:name="_Toc184308089"/>
      <w:bookmarkEnd w:id="374"/>
      <w:bookmarkStart w:id="375" w:name="_Toc184312112"/>
      <w:bookmarkEnd w:id="375"/>
      <w:bookmarkStart w:id="376" w:name="_Toc184312071"/>
      <w:bookmarkEnd w:id="376"/>
      <w:bookmarkStart w:id="377" w:name="_Toc184310331"/>
      <w:bookmarkEnd w:id="377"/>
      <w:bookmarkStart w:id="378" w:name="_Toc184308106"/>
      <w:bookmarkEnd w:id="378"/>
      <w:bookmarkStart w:id="379" w:name="_Toc184308079"/>
      <w:bookmarkEnd w:id="379"/>
      <w:bookmarkStart w:id="380" w:name="_Toc184308039"/>
      <w:bookmarkEnd w:id="380"/>
      <w:bookmarkStart w:id="381" w:name="_Toc184314427"/>
      <w:bookmarkEnd w:id="381"/>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numPr>
          <w:ilvl w:val="0"/>
          <w:numId w:val="0"/>
        </w:num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pPr>
        <w:widowControl/>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1、商务资信（15分）</w:t>
      </w:r>
    </w:p>
    <w:tbl>
      <w:tblPr>
        <w:tblStyle w:val="63"/>
        <w:tblW w:w="9878" w:type="dxa"/>
        <w:tblInd w:w="-288" w:type="dxa"/>
        <w:tblLayout w:type="fixed"/>
        <w:tblCellMar>
          <w:top w:w="0" w:type="dxa"/>
          <w:left w:w="108" w:type="dxa"/>
          <w:bottom w:w="0" w:type="dxa"/>
          <w:right w:w="108" w:type="dxa"/>
        </w:tblCellMar>
      </w:tblPr>
      <w:tblGrid>
        <w:gridCol w:w="862"/>
        <w:gridCol w:w="538"/>
        <w:gridCol w:w="6690"/>
        <w:gridCol w:w="838"/>
        <w:gridCol w:w="950"/>
      </w:tblGrid>
      <w:tr>
        <w:tblPrEx>
          <w:tblCellMar>
            <w:top w:w="0" w:type="dxa"/>
            <w:left w:w="108" w:type="dxa"/>
            <w:bottom w:w="0" w:type="dxa"/>
            <w:right w:w="108" w:type="dxa"/>
          </w:tblCellMar>
        </w:tblPrEx>
        <w:trPr>
          <w:trHeight w:val="463" w:hRule="atLeast"/>
        </w:trPr>
        <w:tc>
          <w:tcPr>
            <w:tcW w:w="862"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228"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评分内容和标准</w:t>
            </w:r>
          </w:p>
        </w:tc>
        <w:tc>
          <w:tcPr>
            <w:tcW w:w="83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权重</w:t>
            </w:r>
          </w:p>
        </w:tc>
        <w:tc>
          <w:tcPr>
            <w:tcW w:w="95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打分</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62" w:type="dxa"/>
            <w:vMerge w:val="restart"/>
            <w:vAlign w:val="center"/>
          </w:tcPr>
          <w:p>
            <w:pPr>
              <w:pStyle w:val="27"/>
              <w:snapToGrid w:val="0"/>
              <w:spacing w:line="240" w:lineRule="auto"/>
              <w:ind w:firstLine="0" w:firstLineChars="0"/>
              <w:jc w:val="center"/>
              <w:rPr>
                <w:rFonts w:cs="宋体"/>
                <w:color w:val="auto"/>
                <w:highlight w:val="none"/>
              </w:rPr>
            </w:pPr>
            <w:r>
              <w:rPr>
                <w:rFonts w:hint="eastAsia" w:cs="宋体"/>
                <w:color w:val="auto"/>
                <w:highlight w:val="none"/>
              </w:rPr>
              <w:t>商务资信分</w:t>
            </w:r>
          </w:p>
          <w:p>
            <w:pPr>
              <w:pStyle w:val="27"/>
              <w:snapToGrid w:val="0"/>
              <w:spacing w:line="240" w:lineRule="auto"/>
              <w:ind w:firstLine="0" w:firstLineChars="0"/>
              <w:jc w:val="center"/>
              <w:rPr>
                <w:rFonts w:cs="宋体"/>
                <w:color w:val="auto"/>
                <w:kern w:val="0"/>
                <w:highlight w:val="none"/>
              </w:rPr>
            </w:pPr>
            <w:r>
              <w:rPr>
                <w:rFonts w:hint="eastAsia" w:cs="宋体"/>
                <w:color w:val="auto"/>
                <w:highlight w:val="none"/>
              </w:rPr>
              <w:t>（15分）</w:t>
            </w: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690" w:type="dxa"/>
            <w:vAlign w:val="center"/>
          </w:tcPr>
          <w:p>
            <w:pPr>
              <w:rPr>
                <w:rFonts w:ascii="宋体" w:hAnsi="宋体" w:cs="宋体"/>
                <w:color w:val="auto"/>
                <w:kern w:val="0"/>
                <w:sz w:val="24"/>
                <w:highlight w:val="none"/>
              </w:rPr>
            </w:pPr>
            <w:r>
              <w:rPr>
                <w:rFonts w:hint="eastAsia" w:ascii="宋体" w:hAnsi="宋体" w:cs="仿宋"/>
                <w:color w:val="auto"/>
                <w:sz w:val="24"/>
                <w:highlight w:val="none"/>
              </w:rPr>
              <w:t>响应人自202</w:t>
            </w:r>
            <w:r>
              <w:rPr>
                <w:rFonts w:hint="eastAsia" w:ascii="宋体" w:hAnsi="宋体" w:cs="仿宋"/>
                <w:color w:val="auto"/>
                <w:sz w:val="24"/>
                <w:highlight w:val="none"/>
                <w:lang w:eastAsia="zh-CN"/>
              </w:rPr>
              <w:t>1</w:t>
            </w:r>
            <w:r>
              <w:rPr>
                <w:rFonts w:hint="eastAsia" w:ascii="宋体" w:hAnsi="宋体" w:cs="仿宋"/>
                <w:color w:val="auto"/>
                <w:sz w:val="24"/>
                <w:highlight w:val="none"/>
              </w:rPr>
              <w:t>年1月1日起具有类似旅游服务项目合同业绩</w:t>
            </w:r>
            <w:r>
              <w:rPr>
                <w:rFonts w:hint="eastAsia" w:ascii="宋体" w:hAnsi="宋体" w:cs="仿宋"/>
                <w:color w:val="auto"/>
                <w:sz w:val="24"/>
                <w:highlight w:val="none"/>
                <w:lang w:val="en-US" w:eastAsia="zh-CN"/>
              </w:rPr>
              <w:t>并获得业主满意</w:t>
            </w:r>
            <w:r>
              <w:rPr>
                <w:rFonts w:hint="eastAsia" w:ascii="宋体" w:hAnsi="宋体" w:cs="仿宋"/>
                <w:color w:val="auto"/>
                <w:sz w:val="24"/>
                <w:highlight w:val="none"/>
              </w:rPr>
              <w:t>的每个得0.2分，最高得1分。（</w:t>
            </w:r>
            <w:r>
              <w:rPr>
                <w:rFonts w:hint="eastAsia" w:ascii="宋体" w:hAnsi="宋体" w:cs="仿宋"/>
                <w:color w:val="auto"/>
                <w:sz w:val="24"/>
                <w:highlight w:val="none"/>
                <w:lang w:eastAsia="zh-CN"/>
              </w:rPr>
              <w:t>响应文件</w:t>
            </w:r>
            <w:r>
              <w:rPr>
                <w:rFonts w:hint="eastAsia" w:ascii="宋体" w:hAnsi="宋体" w:cs="仿宋"/>
                <w:color w:val="auto"/>
                <w:sz w:val="24"/>
                <w:highlight w:val="none"/>
              </w:rPr>
              <w:t>中提供合同复印件加盖公章。）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1</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2" w:type="dxa"/>
            <w:vMerge w:val="continue"/>
            <w:vAlign w:val="center"/>
          </w:tcPr>
          <w:p>
            <w:pPr>
              <w:pStyle w:val="27"/>
              <w:snapToGrid w:val="0"/>
              <w:spacing w:line="240" w:lineRule="auto"/>
              <w:ind w:firstLine="0" w:firstLineChars="0"/>
              <w:jc w:val="center"/>
              <w:rPr>
                <w:rFonts w:cs="宋体"/>
                <w:color w:val="auto"/>
                <w:highlight w:val="none"/>
              </w:rPr>
            </w:pP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690" w:type="dxa"/>
            <w:vAlign w:val="center"/>
          </w:tcPr>
          <w:p>
            <w:pPr>
              <w:rPr>
                <w:rFonts w:ascii="宋体" w:hAnsi="宋体" w:cs="宋体"/>
                <w:color w:val="auto"/>
                <w:kern w:val="0"/>
                <w:sz w:val="24"/>
                <w:highlight w:val="none"/>
              </w:rPr>
            </w:pPr>
            <w:r>
              <w:rPr>
                <w:rFonts w:hint="eastAsia" w:ascii="宋体" w:hAnsi="宋体" w:cs="仿宋"/>
                <w:color w:val="auto"/>
                <w:sz w:val="24"/>
                <w:highlight w:val="none"/>
              </w:rPr>
              <w:t>响应人</w:t>
            </w:r>
            <w:r>
              <w:rPr>
                <w:rFonts w:hint="eastAsia" w:ascii="宋体" w:hAnsi="宋体" w:cs="仿宋"/>
                <w:bCs/>
                <w:color w:val="auto"/>
                <w:sz w:val="24"/>
                <w:highlight w:val="none"/>
                <w:lang w:bidi="zh-CN"/>
              </w:rPr>
              <w:t>旅行社星级状况：</w:t>
            </w:r>
            <w:r>
              <w:rPr>
                <w:rFonts w:hint="eastAsia" w:ascii="宋体" w:hAnsi="宋体" w:cs="仿宋"/>
                <w:color w:val="auto"/>
                <w:sz w:val="24"/>
                <w:highlight w:val="none"/>
              </w:rPr>
              <w:t>响应人</w:t>
            </w:r>
            <w:r>
              <w:rPr>
                <w:rFonts w:hint="eastAsia" w:ascii="宋体" w:hAnsi="宋体" w:cs="仿宋"/>
                <w:bCs/>
                <w:color w:val="auto"/>
                <w:sz w:val="24"/>
                <w:highlight w:val="none"/>
                <w:lang w:bidi="zh-CN"/>
              </w:rPr>
              <w:t>为五星级旅行社的得5分，四星级的得3分，三星级以下的得1分，没有的不得分。（响应文件中提供当地旅游局等单位颁发的相关文件，加盖公章。）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5</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62" w:type="dxa"/>
            <w:vMerge w:val="continue"/>
            <w:vAlign w:val="center"/>
          </w:tcPr>
          <w:p>
            <w:pPr>
              <w:pStyle w:val="27"/>
              <w:snapToGrid w:val="0"/>
              <w:spacing w:line="240" w:lineRule="auto"/>
              <w:ind w:firstLine="0" w:firstLineChars="0"/>
              <w:jc w:val="center"/>
              <w:rPr>
                <w:rFonts w:cs="宋体"/>
                <w:color w:val="auto"/>
                <w:highlight w:val="none"/>
              </w:rPr>
            </w:pP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690" w:type="dxa"/>
            <w:vAlign w:val="center"/>
          </w:tcPr>
          <w:p>
            <w:pPr>
              <w:rPr>
                <w:rFonts w:ascii="宋体" w:hAnsi="宋体" w:cs="宋体"/>
                <w:color w:val="auto"/>
                <w:kern w:val="0"/>
                <w:sz w:val="24"/>
                <w:highlight w:val="none"/>
              </w:rPr>
            </w:pPr>
            <w:r>
              <w:rPr>
                <w:rFonts w:hint="eastAsia" w:ascii="宋体" w:hAnsi="宋体" w:cs="仿宋"/>
                <w:color w:val="auto"/>
                <w:sz w:val="24"/>
                <w:highlight w:val="none"/>
              </w:rPr>
              <w:t>响应人</w:t>
            </w:r>
            <w:r>
              <w:rPr>
                <w:rFonts w:hint="eastAsia" w:ascii="宋体" w:hAnsi="宋体" w:cs="仿宋"/>
                <w:bCs/>
                <w:color w:val="auto"/>
                <w:sz w:val="24"/>
                <w:highlight w:val="none"/>
                <w:lang w:bidi="zh-CN"/>
              </w:rPr>
              <w:t>自2021年1月1日起，获得政府行政部门或行业协会颁发的市级荣誉的，每个得</w:t>
            </w:r>
            <w:r>
              <w:rPr>
                <w:rFonts w:hint="eastAsia" w:ascii="宋体" w:hAnsi="宋体" w:cs="仿宋"/>
                <w:bCs/>
                <w:color w:val="auto"/>
                <w:sz w:val="24"/>
                <w:highlight w:val="none"/>
                <w:lang w:val="en-US" w:bidi="zh-CN"/>
              </w:rPr>
              <w:t>0.5</w:t>
            </w:r>
            <w:r>
              <w:rPr>
                <w:rFonts w:hint="eastAsia" w:ascii="宋体" w:hAnsi="宋体" w:cs="仿宋"/>
                <w:bCs/>
                <w:color w:val="auto"/>
                <w:sz w:val="24"/>
                <w:highlight w:val="none"/>
                <w:lang w:bidi="zh-CN"/>
              </w:rPr>
              <w:t>分，最多得</w:t>
            </w:r>
            <w:r>
              <w:rPr>
                <w:rFonts w:hint="eastAsia" w:ascii="宋体" w:hAnsi="宋体" w:cs="仿宋"/>
                <w:bCs/>
                <w:color w:val="auto"/>
                <w:sz w:val="24"/>
                <w:highlight w:val="none"/>
                <w:lang w:val="en-US" w:bidi="zh-CN"/>
              </w:rPr>
              <w:t>1</w:t>
            </w:r>
            <w:r>
              <w:rPr>
                <w:rFonts w:hint="eastAsia" w:ascii="宋体" w:hAnsi="宋体" w:cs="仿宋"/>
                <w:bCs/>
                <w:color w:val="auto"/>
                <w:sz w:val="24"/>
                <w:highlight w:val="none"/>
                <w:lang w:bidi="zh-CN"/>
              </w:rPr>
              <w:t>分；获得省级</w:t>
            </w:r>
            <w:r>
              <w:rPr>
                <w:rFonts w:hint="eastAsia" w:ascii="宋体" w:hAnsi="宋体" w:cs="仿宋"/>
                <w:bCs/>
                <w:color w:val="auto"/>
                <w:sz w:val="24"/>
                <w:highlight w:val="none"/>
              </w:rPr>
              <w:t>及以上</w:t>
            </w:r>
            <w:r>
              <w:rPr>
                <w:rFonts w:hint="eastAsia" w:ascii="宋体" w:hAnsi="宋体" w:cs="仿宋"/>
                <w:bCs/>
                <w:color w:val="auto"/>
                <w:sz w:val="24"/>
                <w:highlight w:val="none"/>
                <w:lang w:bidi="zh-CN"/>
              </w:rPr>
              <w:t>荣誉的，每个得1分，最多得</w:t>
            </w:r>
            <w:r>
              <w:rPr>
                <w:rFonts w:hint="eastAsia" w:ascii="宋体" w:hAnsi="宋体" w:cs="仿宋"/>
                <w:bCs/>
                <w:color w:val="auto"/>
                <w:sz w:val="24"/>
                <w:highlight w:val="none"/>
                <w:lang w:val="en-US" w:bidi="zh-CN"/>
              </w:rPr>
              <w:t>5</w:t>
            </w:r>
            <w:r>
              <w:rPr>
                <w:rFonts w:hint="eastAsia" w:ascii="宋体" w:hAnsi="宋体" w:cs="仿宋"/>
                <w:bCs/>
                <w:color w:val="auto"/>
                <w:sz w:val="24"/>
                <w:highlight w:val="none"/>
                <w:lang w:bidi="zh-CN"/>
              </w:rPr>
              <w:t>分。（响应文件中提供荣誉证书复印件，加盖公章。）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6</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62" w:type="dxa"/>
            <w:vMerge w:val="continue"/>
            <w:vAlign w:val="center"/>
          </w:tcPr>
          <w:p>
            <w:pPr>
              <w:pStyle w:val="27"/>
              <w:snapToGrid w:val="0"/>
              <w:spacing w:line="240" w:lineRule="auto"/>
              <w:ind w:firstLine="0" w:firstLineChars="0"/>
              <w:jc w:val="center"/>
              <w:rPr>
                <w:rFonts w:cs="宋体"/>
                <w:color w:val="auto"/>
                <w:highlight w:val="none"/>
              </w:rPr>
            </w:pP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6690" w:type="dxa"/>
            <w:vAlign w:val="center"/>
          </w:tcPr>
          <w:p>
            <w:pPr>
              <w:pStyle w:val="400"/>
              <w:spacing w:afterLines="0"/>
              <w:ind w:firstLine="0" w:firstLineChars="0"/>
              <w:rPr>
                <w:rFonts w:ascii="宋体" w:hAnsi="宋体" w:cs="宋体"/>
                <w:color w:val="auto"/>
                <w:szCs w:val="24"/>
                <w:highlight w:val="none"/>
              </w:rPr>
            </w:pPr>
            <w:r>
              <w:rPr>
                <w:rFonts w:hint="eastAsia" w:ascii="宋体" w:hAnsi="宋体" w:cs="仿宋"/>
                <w:color w:val="auto"/>
                <w:szCs w:val="24"/>
                <w:highlight w:val="none"/>
              </w:rPr>
              <w:t>响应人</w:t>
            </w:r>
            <w:r>
              <w:rPr>
                <w:rFonts w:hint="eastAsia" w:ascii="宋体" w:hAnsi="宋体" w:cs="仿宋"/>
                <w:bCs/>
                <w:color w:val="auto"/>
                <w:szCs w:val="24"/>
                <w:highlight w:val="none"/>
                <w:lang w:bidi="zh-CN"/>
              </w:rPr>
              <w:t>具有职业健康安全管理体系认证、环境管理体系认证、</w:t>
            </w:r>
            <w:r>
              <w:rPr>
                <w:rFonts w:hint="eastAsia" w:ascii="宋体" w:hAnsi="宋体" w:cs="仿宋"/>
                <w:bCs/>
                <w:color w:val="auto"/>
                <w:szCs w:val="24"/>
                <w:highlight w:val="none"/>
                <w:lang w:val="en-US" w:bidi="zh-CN"/>
              </w:rPr>
              <w:t>质量管理体系认证等</w:t>
            </w:r>
            <w:r>
              <w:rPr>
                <w:rFonts w:hint="eastAsia" w:ascii="宋体" w:hAnsi="宋体" w:cs="仿宋"/>
                <w:bCs/>
                <w:color w:val="auto"/>
                <w:szCs w:val="24"/>
                <w:highlight w:val="none"/>
                <w:lang w:bidi="zh-CN"/>
              </w:rPr>
              <w:t>（证书须在有效期内）：每个体系得1分，最高得3分。</w:t>
            </w:r>
            <w:r>
              <w:rPr>
                <w:rFonts w:hint="eastAsia" w:ascii="宋体" w:hAnsi="宋体" w:cs="宋体"/>
                <w:color w:val="auto"/>
                <w:szCs w:val="24"/>
                <w:highlight w:val="none"/>
              </w:rPr>
              <w:t>（</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中提供证书复印件，加盖公章。）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3</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bl>
    <w:p>
      <w:pPr>
        <w:widowControl/>
        <w:spacing w:line="360" w:lineRule="auto"/>
        <w:ind w:firstLine="480" w:firstLineChars="200"/>
        <w:rPr>
          <w:rFonts w:ascii="宋体" w:hAnsi="宋体" w:cs="仿宋"/>
          <w:color w:val="auto"/>
          <w:sz w:val="24"/>
          <w:highlight w:val="none"/>
        </w:rPr>
      </w:pPr>
    </w:p>
    <w:p>
      <w:pPr>
        <w:widowControl/>
        <w:snapToGrid w:val="0"/>
        <w:spacing w:line="360" w:lineRule="auto"/>
        <w:ind w:firstLine="480" w:firstLineChars="200"/>
        <w:rPr>
          <w:rFonts w:ascii="宋体" w:hAnsi="宋体" w:cs="仿宋_GB2312"/>
          <w:color w:val="auto"/>
          <w:sz w:val="24"/>
          <w:highlight w:val="none"/>
        </w:rPr>
      </w:pPr>
      <w:r>
        <w:rPr>
          <w:rFonts w:hint="eastAsia" w:ascii="宋体" w:hAnsi="宋体" w:cs="仿宋"/>
          <w:color w:val="auto"/>
          <w:sz w:val="24"/>
          <w:highlight w:val="none"/>
        </w:rPr>
        <w:t>2、</w:t>
      </w:r>
      <w:r>
        <w:rPr>
          <w:rFonts w:hint="eastAsia" w:ascii="宋体" w:hAnsi="宋体" w:cs="宋体"/>
          <w:color w:val="auto"/>
          <w:sz w:val="24"/>
          <w:highlight w:val="none"/>
        </w:rPr>
        <w:t>技术和服务方案</w:t>
      </w:r>
      <w:r>
        <w:rPr>
          <w:rFonts w:hint="eastAsia" w:ascii="宋体" w:hAnsi="宋体" w:cs="仿宋"/>
          <w:color w:val="auto"/>
          <w:sz w:val="24"/>
          <w:highlight w:val="none"/>
        </w:rPr>
        <w:t>（75分）</w:t>
      </w:r>
    </w:p>
    <w:tbl>
      <w:tblPr>
        <w:tblStyle w:val="6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32"/>
        <w:gridCol w:w="2010"/>
        <w:gridCol w:w="4662"/>
        <w:gridCol w:w="84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9"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序号</w:t>
            </w:r>
          </w:p>
        </w:tc>
        <w:tc>
          <w:tcPr>
            <w:tcW w:w="2542" w:type="dxa"/>
            <w:gridSpan w:val="2"/>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评分内容和标准</w:t>
            </w:r>
          </w:p>
        </w:tc>
        <w:tc>
          <w:tcPr>
            <w:tcW w:w="4662"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具体描述</w:t>
            </w:r>
          </w:p>
        </w:tc>
        <w:tc>
          <w:tcPr>
            <w:tcW w:w="84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权重</w:t>
            </w:r>
          </w:p>
        </w:tc>
        <w:tc>
          <w:tcPr>
            <w:tcW w:w="9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主客</w:t>
            </w:r>
          </w:p>
          <w:p>
            <w:pPr>
              <w:jc w:val="center"/>
              <w:textAlignment w:val="baseline"/>
              <w:rPr>
                <w:rFonts w:ascii="宋体" w:hAnsi="宋体" w:cs="宋体"/>
                <w:color w:val="auto"/>
                <w:sz w:val="24"/>
                <w:highlight w:val="none"/>
              </w:rPr>
            </w:pPr>
            <w:r>
              <w:rPr>
                <w:rFonts w:hint="eastAsia" w:ascii="宋体" w:hAnsi="宋体" w:cs="宋体"/>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9" w:type="dxa"/>
            <w:vMerge w:val="restart"/>
            <w:shd w:val="clear" w:color="auto" w:fill="auto"/>
            <w:vAlign w:val="center"/>
          </w:tcPr>
          <w:p>
            <w:pPr>
              <w:jc w:val="center"/>
              <w:rPr>
                <w:rFonts w:ascii="宋体" w:hAnsi="宋体" w:cs="宋体"/>
                <w:color w:val="auto"/>
                <w:sz w:val="24"/>
                <w:highlight w:val="none"/>
                <w:shd w:val="clear" w:color="auto" w:fill="FFFFFF"/>
              </w:rPr>
            </w:pPr>
            <w:r>
              <w:rPr>
                <w:rFonts w:hint="eastAsia" w:ascii="宋体" w:hAnsi="宋体" w:cs="宋体"/>
                <w:color w:val="auto"/>
                <w:sz w:val="24"/>
                <w:highlight w:val="none"/>
              </w:rPr>
              <w:t>技术和服务方案（75分）</w:t>
            </w:r>
          </w:p>
          <w:p>
            <w:pPr>
              <w:textAlignment w:val="baseline"/>
              <w:rPr>
                <w:rFonts w:ascii="宋体" w:hAnsi="宋体" w:cs="宋体"/>
                <w:bCs/>
                <w:color w:val="auto"/>
                <w:sz w:val="24"/>
                <w:highlight w:val="none"/>
              </w:rPr>
            </w:pPr>
          </w:p>
        </w:tc>
        <w:tc>
          <w:tcPr>
            <w:tcW w:w="532" w:type="dxa"/>
            <w:vMerge w:val="restart"/>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1</w:t>
            </w:r>
          </w:p>
        </w:tc>
        <w:tc>
          <w:tcPr>
            <w:tcW w:w="2010" w:type="dxa"/>
            <w:vMerge w:val="restart"/>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lang w:eastAsia="zh-CN"/>
              </w:rPr>
              <w:t>响应方案</w:t>
            </w:r>
            <w:r>
              <w:rPr>
                <w:rFonts w:hint="eastAsia" w:cs="宋体"/>
                <w:bCs/>
                <w:color w:val="auto"/>
                <w:highlight w:val="none"/>
              </w:rPr>
              <w:t>的合理性、科学性、全面性综合评定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详细提供疗休养整体方案：包括行程线路策划等方案以及对本次疗休养主题的吻合程度综合评定。（3-</w:t>
            </w:r>
            <w:r>
              <w:rPr>
                <w:rFonts w:hint="eastAsia" w:cs="宋体"/>
                <w:bCs/>
                <w:color w:val="auto"/>
                <w:highlight w:val="none"/>
                <w:lang w:val="en-US" w:eastAsia="zh-CN"/>
              </w:rPr>
              <w:t>8</w:t>
            </w:r>
            <w:r>
              <w:rPr>
                <w:rFonts w:hint="eastAsia" w:cs="宋体"/>
                <w:bCs/>
                <w:color w:val="auto"/>
                <w:highlight w:val="none"/>
              </w:rPr>
              <w:t>分）</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8</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continue"/>
            <w:shd w:val="clear" w:color="auto" w:fill="auto"/>
            <w:vAlign w:val="center"/>
          </w:tcPr>
          <w:p>
            <w:pPr>
              <w:jc w:val="center"/>
              <w:textAlignment w:val="baseline"/>
              <w:rPr>
                <w:rFonts w:ascii="宋体" w:hAnsi="宋体" w:cs="宋体"/>
                <w:bCs/>
                <w:color w:val="auto"/>
                <w:sz w:val="24"/>
                <w:highlight w:val="none"/>
              </w:rPr>
            </w:pPr>
          </w:p>
        </w:tc>
        <w:tc>
          <w:tcPr>
            <w:tcW w:w="2010" w:type="dxa"/>
            <w:vMerge w:val="continue"/>
            <w:shd w:val="clear" w:color="auto" w:fill="auto"/>
            <w:vAlign w:val="center"/>
          </w:tcPr>
          <w:p>
            <w:pPr>
              <w:jc w:val="center"/>
              <w:textAlignment w:val="baseline"/>
              <w:rPr>
                <w:rFonts w:ascii="宋体" w:hAnsi="宋体" w:cs="宋体"/>
                <w:bCs/>
                <w:color w:val="auto"/>
                <w:sz w:val="24"/>
                <w:highlight w:val="none"/>
              </w:rPr>
            </w:pPr>
          </w:p>
        </w:tc>
        <w:tc>
          <w:tcPr>
            <w:tcW w:w="4662" w:type="dxa"/>
            <w:vAlign w:val="center"/>
          </w:tcPr>
          <w:p>
            <w:pPr>
              <w:textAlignment w:val="baseline"/>
              <w:rPr>
                <w:rFonts w:ascii="宋体" w:hAnsi="宋体" w:cs="宋体"/>
                <w:bCs/>
                <w:color w:val="auto"/>
                <w:sz w:val="24"/>
                <w:highlight w:val="none"/>
              </w:rPr>
            </w:pPr>
            <w:r>
              <w:rPr>
                <w:rFonts w:hint="eastAsia" w:ascii="宋体" w:hAnsi="宋体" w:cs="宋体"/>
                <w:bCs/>
                <w:color w:val="auto"/>
                <w:sz w:val="24"/>
                <w:highlight w:val="none"/>
              </w:rPr>
              <w:t>餐饮优化服务：餐饮承诺</w:t>
            </w:r>
            <w:r>
              <w:rPr>
                <w:rFonts w:hint="eastAsia" w:ascii="宋体" w:hAnsi="宋体" w:cs="宋体"/>
                <w:bCs/>
                <w:color w:val="auto"/>
                <w:sz w:val="24"/>
                <w:highlight w:val="none"/>
                <w:lang w:eastAsia="zh-CN"/>
              </w:rPr>
              <w:t>交易发起人</w:t>
            </w:r>
            <w:r>
              <w:rPr>
                <w:rFonts w:hint="eastAsia" w:ascii="宋体" w:hAnsi="宋体" w:cs="宋体"/>
                <w:bCs/>
                <w:color w:val="auto"/>
                <w:sz w:val="24"/>
                <w:highlight w:val="none"/>
              </w:rPr>
              <w:t>餐标的费用标准得5分；比招标需求更好的，每人每天餐标提高10元得1分，最高加</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tc>
        <w:tc>
          <w:tcPr>
            <w:tcW w:w="846" w:type="dxa"/>
            <w:vAlign w:val="center"/>
          </w:tcPr>
          <w:p>
            <w:pPr>
              <w:jc w:val="center"/>
              <w:textAlignment w:val="baseline"/>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continue"/>
            <w:shd w:val="clear" w:color="auto" w:fill="auto"/>
            <w:vAlign w:val="center"/>
          </w:tcPr>
          <w:p>
            <w:pPr>
              <w:jc w:val="center"/>
              <w:textAlignment w:val="baseline"/>
              <w:rPr>
                <w:rFonts w:ascii="宋体" w:hAnsi="宋体" w:cs="宋体"/>
                <w:bCs/>
                <w:color w:val="auto"/>
                <w:sz w:val="24"/>
                <w:highlight w:val="none"/>
              </w:rPr>
            </w:pPr>
          </w:p>
        </w:tc>
        <w:tc>
          <w:tcPr>
            <w:tcW w:w="2010" w:type="dxa"/>
            <w:vMerge w:val="continue"/>
            <w:shd w:val="clear" w:color="auto" w:fill="auto"/>
            <w:vAlign w:val="center"/>
          </w:tcPr>
          <w:p>
            <w:pPr>
              <w:jc w:val="center"/>
              <w:textAlignment w:val="baseline"/>
              <w:rPr>
                <w:rFonts w:ascii="宋体" w:hAnsi="宋体" w:cs="宋体"/>
                <w:bCs/>
                <w:color w:val="auto"/>
                <w:sz w:val="24"/>
                <w:highlight w:val="none"/>
              </w:rPr>
            </w:pPr>
          </w:p>
        </w:tc>
        <w:tc>
          <w:tcPr>
            <w:tcW w:w="4662" w:type="dxa"/>
            <w:vAlign w:val="center"/>
          </w:tcPr>
          <w:p>
            <w:pPr>
              <w:textAlignment w:val="baseline"/>
              <w:rPr>
                <w:rFonts w:ascii="宋体" w:hAnsi="宋体" w:cs="宋体"/>
                <w:bCs/>
                <w:color w:val="auto"/>
                <w:sz w:val="24"/>
                <w:highlight w:val="none"/>
              </w:rPr>
            </w:pPr>
            <w:r>
              <w:rPr>
                <w:rFonts w:hint="eastAsia" w:ascii="宋体" w:hAnsi="宋体" w:cs="宋体"/>
                <w:bCs/>
                <w:color w:val="auto"/>
                <w:sz w:val="24"/>
                <w:highlight w:val="none"/>
              </w:rPr>
              <w:t>住宿优化服务：根据</w:t>
            </w:r>
            <w:r>
              <w:rPr>
                <w:rFonts w:hint="eastAsia" w:ascii="宋体" w:hAnsi="宋体" w:cs="宋体"/>
                <w:bCs/>
                <w:color w:val="auto"/>
                <w:sz w:val="24"/>
                <w:highlight w:val="none"/>
                <w:lang w:eastAsia="zh-CN"/>
              </w:rPr>
              <w:t>响应人</w:t>
            </w:r>
            <w:r>
              <w:rPr>
                <w:rFonts w:hint="eastAsia" w:ascii="宋体" w:hAnsi="宋体" w:cs="宋体"/>
                <w:bCs/>
                <w:color w:val="auto"/>
                <w:sz w:val="24"/>
                <w:highlight w:val="none"/>
              </w:rPr>
              <w:t>提供的住宿条件承诺情况，综合评定。（2-</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8</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2</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lang w:eastAsia="zh-CN"/>
              </w:rPr>
              <w:t>响应方案</w:t>
            </w:r>
            <w:r>
              <w:rPr>
                <w:rFonts w:hint="eastAsia" w:cs="宋体"/>
                <w:bCs/>
                <w:color w:val="auto"/>
                <w:highlight w:val="none"/>
              </w:rPr>
              <w:t>中提供或使用主要车辆、设备的优劣综合评定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根据车队情况综合评定（包括车型、车况、当地用车情况、座位比、司机驾龄、车队综合实力和服务能力等）（1-5分）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3</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保证进度和项目完成的方案和措施等综合评定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本次疗休养实施工作程序和步骤、管理和协调方法以及关键步骤和要点等齐全的得5分，缺一项扣1分，扣完为止。（0-5分）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restart"/>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4</w:t>
            </w:r>
          </w:p>
        </w:tc>
        <w:tc>
          <w:tcPr>
            <w:tcW w:w="2010" w:type="dxa"/>
            <w:vMerge w:val="restart"/>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项目负责人及技术力量安排、行程中安排导游等</w:t>
            </w:r>
          </w:p>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项目负责人的专业素质、荣誉、经验等情况，是否具有类似项目经验，是否具有调动各项资源的能力，由评标委员会综合评定。（1-</w:t>
            </w:r>
            <w:r>
              <w:rPr>
                <w:rFonts w:hint="eastAsia" w:cs="宋体"/>
                <w:bCs/>
                <w:color w:val="auto"/>
                <w:highlight w:val="none"/>
                <w:lang w:val="en-US" w:eastAsia="zh-CN"/>
              </w:rPr>
              <w:t>3</w:t>
            </w:r>
            <w:r>
              <w:rPr>
                <w:rFonts w:hint="eastAsia" w:cs="宋体"/>
                <w:bCs/>
                <w:color w:val="auto"/>
                <w:highlight w:val="none"/>
              </w:rPr>
              <w:t>分）</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continue"/>
            <w:shd w:val="clear" w:color="auto" w:fill="auto"/>
            <w:vAlign w:val="center"/>
          </w:tcPr>
          <w:p>
            <w:pPr>
              <w:jc w:val="center"/>
              <w:textAlignment w:val="baseline"/>
              <w:rPr>
                <w:rFonts w:ascii="宋体" w:hAnsi="宋体" w:cs="宋体"/>
                <w:bCs/>
                <w:color w:val="auto"/>
                <w:sz w:val="24"/>
                <w:highlight w:val="none"/>
              </w:rPr>
            </w:pPr>
          </w:p>
        </w:tc>
        <w:tc>
          <w:tcPr>
            <w:tcW w:w="2010" w:type="dxa"/>
            <w:vMerge w:val="continue"/>
            <w:shd w:val="clear" w:color="auto" w:fill="auto"/>
            <w:vAlign w:val="center"/>
          </w:tcPr>
          <w:p>
            <w:pPr>
              <w:jc w:val="center"/>
              <w:textAlignment w:val="baseline"/>
              <w:rPr>
                <w:rFonts w:ascii="宋体" w:hAnsi="宋体" w:cs="宋体"/>
                <w:bCs/>
                <w:color w:val="auto"/>
                <w:sz w:val="24"/>
                <w:highlight w:val="none"/>
              </w:rPr>
            </w:pP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lang w:eastAsia="zh-CN"/>
              </w:rPr>
              <w:t>响应人</w:t>
            </w:r>
            <w:r>
              <w:rPr>
                <w:rFonts w:hint="eastAsia" w:cs="宋体"/>
                <w:bCs/>
                <w:color w:val="auto"/>
                <w:highlight w:val="none"/>
              </w:rPr>
              <w:t>拥有高级导游员或三年内全国优秀（金牌）导游员的得</w:t>
            </w:r>
            <w:r>
              <w:rPr>
                <w:rFonts w:hint="eastAsia" w:cs="宋体"/>
                <w:bCs/>
                <w:color w:val="auto"/>
                <w:highlight w:val="none"/>
                <w:lang w:eastAsia="zh-CN"/>
              </w:rPr>
              <w:t>1</w:t>
            </w:r>
            <w:r>
              <w:rPr>
                <w:rFonts w:hint="eastAsia" w:cs="宋体"/>
                <w:bCs/>
                <w:color w:val="auto"/>
                <w:highlight w:val="none"/>
              </w:rPr>
              <w:t>分/人，最高得</w:t>
            </w:r>
            <w:r>
              <w:rPr>
                <w:rFonts w:hint="eastAsia" w:cs="宋体"/>
                <w:bCs/>
                <w:color w:val="auto"/>
                <w:highlight w:val="none"/>
                <w:lang w:eastAsia="zh-CN"/>
              </w:rPr>
              <w:t>3</w:t>
            </w:r>
            <w:r>
              <w:rPr>
                <w:rFonts w:hint="eastAsia" w:cs="宋体"/>
                <w:bCs/>
                <w:color w:val="auto"/>
                <w:highlight w:val="none"/>
              </w:rPr>
              <w:t>分；拥有中级导游员或三年内区级优秀（金牌）导游员的得</w:t>
            </w:r>
            <w:r>
              <w:rPr>
                <w:rFonts w:hint="eastAsia" w:cs="宋体"/>
                <w:bCs/>
                <w:color w:val="auto"/>
                <w:highlight w:val="none"/>
                <w:lang w:val="en-US" w:eastAsia="zh-CN"/>
              </w:rPr>
              <w:t>0.5</w:t>
            </w:r>
            <w:r>
              <w:rPr>
                <w:rFonts w:hint="eastAsia" w:cs="宋体"/>
                <w:bCs/>
                <w:color w:val="auto"/>
                <w:highlight w:val="none"/>
              </w:rPr>
              <w:t>分/人，最高得</w:t>
            </w:r>
            <w:r>
              <w:rPr>
                <w:rFonts w:hint="eastAsia" w:cs="宋体"/>
                <w:bCs/>
                <w:color w:val="auto"/>
                <w:highlight w:val="none"/>
                <w:lang w:val="en-US" w:eastAsia="zh-CN"/>
              </w:rPr>
              <w:t>3</w:t>
            </w:r>
            <w:r>
              <w:rPr>
                <w:rFonts w:hint="eastAsia" w:cs="宋体"/>
                <w:bCs/>
                <w:color w:val="auto"/>
                <w:highlight w:val="none"/>
              </w:rPr>
              <w:t>分。</w:t>
            </w:r>
          </w:p>
          <w:p>
            <w:pPr>
              <w:textAlignment w:val="baseline"/>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中提供导游员近3个月</w:t>
            </w:r>
            <w:r>
              <w:rPr>
                <w:rFonts w:hint="eastAsia" w:ascii="宋体" w:hAnsi="宋体" w:cs="宋体"/>
                <w:bCs/>
                <w:color w:val="auto"/>
                <w:sz w:val="24"/>
                <w:highlight w:val="none"/>
                <w:lang w:eastAsia="zh-CN"/>
              </w:rPr>
              <w:t>任意一月</w:t>
            </w:r>
            <w:r>
              <w:rPr>
                <w:rFonts w:hint="eastAsia" w:ascii="宋体" w:hAnsi="宋体" w:cs="宋体"/>
                <w:bCs/>
                <w:color w:val="auto"/>
                <w:sz w:val="24"/>
                <w:highlight w:val="none"/>
              </w:rPr>
              <w:t>经社保部门盖章的参保凭证、导游证书材料。可使用超等级证书人员，高按低计取。）</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对本项目的合理化建议综合评定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在标书中规定的线路标准的基础上，根据投标方优化方案，提出合理化建议。（1-5分）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6</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服务质量保证情况综合评定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根据出行服务、人性化服务、与地接人员衔接服务、安排入住酒店、用餐服务等与本次疗休养有关的服务质量情况综合评定。（1-5分）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7</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服务承诺及售后服务能力综合评定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w:t>
            </w:r>
            <w:r>
              <w:rPr>
                <w:rFonts w:hint="eastAsia" w:cs="宋体"/>
                <w:bCs/>
                <w:color w:val="auto"/>
                <w:highlight w:val="none"/>
                <w:lang w:eastAsia="zh-CN"/>
              </w:rPr>
              <w:t>响应人</w:t>
            </w:r>
            <w:r>
              <w:rPr>
                <w:rFonts w:hint="eastAsia" w:cs="宋体"/>
                <w:bCs/>
                <w:color w:val="auto"/>
                <w:highlight w:val="none"/>
              </w:rPr>
              <w:t>提供后续服务计划及</w:t>
            </w:r>
            <w:r>
              <w:rPr>
                <w:rFonts w:hint="eastAsia" w:cs="宋体"/>
                <w:bCs/>
                <w:color w:val="auto"/>
                <w:highlight w:val="none"/>
                <w:lang w:eastAsia="zh-CN"/>
              </w:rPr>
              <w:t>响应人</w:t>
            </w:r>
            <w:r>
              <w:rPr>
                <w:rFonts w:hint="eastAsia" w:cs="宋体"/>
                <w:bCs/>
                <w:color w:val="auto"/>
                <w:highlight w:val="none"/>
              </w:rPr>
              <w:t>售后等服务情况综合评定。（1-5分）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9" w:type="dxa"/>
            <w:vMerge w:val="continue"/>
            <w:vAlign w:val="center"/>
          </w:tcPr>
          <w:p>
            <w:pPr>
              <w:textAlignment w:val="baseline"/>
              <w:rPr>
                <w:rFonts w:ascii="宋体" w:hAnsi="宋体" w:cs="宋体"/>
                <w:bCs/>
                <w:color w:val="auto"/>
                <w:sz w:val="24"/>
                <w:highlight w:val="none"/>
              </w:rPr>
            </w:pPr>
          </w:p>
        </w:tc>
        <w:tc>
          <w:tcPr>
            <w:tcW w:w="532"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8</w:t>
            </w:r>
          </w:p>
        </w:tc>
        <w:tc>
          <w:tcPr>
            <w:tcW w:w="2010" w:type="dxa"/>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增值服务</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增值（特色）服务、优惠措施等等情况综合评定。（1-5分）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49" w:type="dxa"/>
            <w:vMerge w:val="continue"/>
            <w:vAlign w:val="center"/>
          </w:tcPr>
          <w:p>
            <w:pPr>
              <w:textAlignment w:val="baseline"/>
              <w:rPr>
                <w:rFonts w:ascii="宋体" w:hAnsi="宋体" w:cs="宋体"/>
                <w:bCs/>
                <w:color w:val="auto"/>
                <w:sz w:val="24"/>
                <w:highlight w:val="none"/>
              </w:rPr>
            </w:pPr>
          </w:p>
        </w:tc>
        <w:tc>
          <w:tcPr>
            <w:tcW w:w="532"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9</w:t>
            </w:r>
          </w:p>
        </w:tc>
        <w:tc>
          <w:tcPr>
            <w:tcW w:w="2010" w:type="dxa"/>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保证服务质量、突发事件处理等情况综合评定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w:t>
            </w:r>
            <w:r>
              <w:rPr>
                <w:rFonts w:hint="eastAsia" w:cs="宋体"/>
                <w:bCs/>
                <w:color w:val="auto"/>
                <w:highlight w:val="none"/>
                <w:lang w:eastAsia="zh-CN"/>
              </w:rPr>
              <w:t>响应人</w:t>
            </w:r>
            <w:r>
              <w:rPr>
                <w:rFonts w:hint="eastAsia" w:cs="宋体"/>
                <w:bCs/>
                <w:color w:val="auto"/>
                <w:highlight w:val="none"/>
              </w:rPr>
              <w:t>提供详细的突发事件处理方案、疫情应对措施、安防措施、投诉、纠纷处理方案等情况综合评定。（1-5分）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849" w:type="dxa"/>
            <w:vMerge w:val="continue"/>
            <w:vAlign w:val="center"/>
          </w:tcPr>
          <w:p>
            <w:pPr>
              <w:textAlignment w:val="baseline"/>
              <w:rPr>
                <w:rFonts w:ascii="宋体" w:hAnsi="宋体" w:cs="宋体"/>
                <w:bCs/>
                <w:color w:val="auto"/>
                <w:sz w:val="24"/>
                <w:highlight w:val="none"/>
              </w:rPr>
            </w:pPr>
          </w:p>
        </w:tc>
        <w:tc>
          <w:tcPr>
            <w:tcW w:w="532"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10</w:t>
            </w:r>
          </w:p>
        </w:tc>
        <w:tc>
          <w:tcPr>
            <w:tcW w:w="2010" w:type="dxa"/>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保险情况</w:t>
            </w:r>
          </w:p>
        </w:tc>
        <w:tc>
          <w:tcPr>
            <w:tcW w:w="4662" w:type="dxa"/>
            <w:vAlign w:val="center"/>
          </w:tcPr>
          <w:p>
            <w:pPr>
              <w:textAlignment w:val="baseline"/>
              <w:rPr>
                <w:rFonts w:ascii="宋体" w:hAnsi="宋体" w:cs="宋体"/>
                <w:bCs/>
                <w:color w:val="auto"/>
                <w:sz w:val="24"/>
                <w:highlight w:val="none"/>
              </w:rPr>
            </w:pPr>
            <w:r>
              <w:rPr>
                <w:rFonts w:hint="eastAsia" w:ascii="宋体" w:hAnsi="宋体" w:cs="宋体"/>
                <w:bCs/>
                <w:color w:val="auto"/>
                <w:sz w:val="24"/>
                <w:highlight w:val="none"/>
              </w:rPr>
              <w:t>责任险：每次事故累计责任限额2000万元及以上且每人责任限额150万/人及以上得5分；每次事故累计责任限额2000万（不含）-1500万元（含）且每人责任限额150万/人（不含）-100万元/人（含）得3分；每次事故累计责任限额1500（不含）万元以下且每人责任限额100万/人及以下得1分；不提供不得分。（</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中提供保单复印件，加盖公章。）</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color w:val="auto"/>
                <w:sz w:val="24"/>
                <w:highlight w:val="none"/>
              </w:rPr>
              <w:t>客观分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 </w:t>
      </w: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widowControl/>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价格</w:t>
      </w:r>
      <w:r>
        <w:rPr>
          <w:rFonts w:hint="eastAsia" w:ascii="宋体" w:hAnsi="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cs="宋体"/>
          <w:b/>
          <w:bCs/>
          <w:color w:val="auto"/>
          <w:sz w:val="24"/>
          <w:highlight w:val="none"/>
          <w:lang w:eastAsia="zh-CN"/>
        </w:rPr>
        <w:t>：</w:t>
      </w:r>
    </w:p>
    <w:tbl>
      <w:tblPr>
        <w:tblStyle w:val="6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8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512"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187" w:type="dxa"/>
            <w:vAlign w:val="center"/>
          </w:tcPr>
          <w:p>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tc>
        <w:tc>
          <w:tcPr>
            <w:tcW w:w="6512" w:type="dxa"/>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2" w:name="第五部分"/>
      <w:bookmarkStart w:id="383"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5"/>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7"/>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4"/>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7"/>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27"/>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pPr>
        <w:pStyle w:val="27"/>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7"/>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27"/>
        <w:snapToGrid w:val="0"/>
        <w:spacing w:line="570" w:lineRule="exact"/>
        <w:rPr>
          <w:rFonts w:cs="宋体"/>
          <w:color w:val="auto"/>
          <w:highlight w:val="none"/>
        </w:rPr>
      </w:pPr>
      <w:r>
        <w:rPr>
          <w:rFonts w:hint="eastAsia" w:cs="宋体"/>
          <w:color w:val="auto"/>
          <w:highlight w:val="none"/>
        </w:rPr>
        <w:t>5.4因重大变故，采购任务取消的。</w:t>
      </w:r>
    </w:p>
    <w:p>
      <w:pPr>
        <w:pStyle w:val="27"/>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27"/>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7"/>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7"/>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7"/>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7"/>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7"/>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27"/>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7"/>
        <w:snapToGrid w:val="0"/>
        <w:spacing w:line="360" w:lineRule="auto"/>
        <w:rPr>
          <w:rFonts w:cs="宋体"/>
          <w:color w:val="auto"/>
          <w:highlight w:val="none"/>
        </w:rPr>
      </w:pPr>
      <w:r>
        <w:rPr>
          <w:rFonts w:hint="eastAsia" w:cs="宋体"/>
          <w:color w:val="auto"/>
          <w:highlight w:val="none"/>
        </w:rPr>
        <w:t xml:space="preserve"> </w:t>
      </w:r>
    </w:p>
    <w:p>
      <w:pPr>
        <w:pStyle w:val="17"/>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27"/>
        <w:snapToGrid w:val="0"/>
        <w:spacing w:line="360" w:lineRule="auto"/>
        <w:rPr>
          <w:rFonts w:cs="宋体"/>
          <w:color w:val="auto"/>
          <w:highlight w:val="none"/>
        </w:rPr>
      </w:pPr>
      <w:r>
        <w:rPr>
          <w:rFonts w:hint="eastAsia" w:cs="宋体"/>
          <w:color w:val="auto"/>
          <w:highlight w:val="none"/>
        </w:rPr>
        <w:t>合同编号：</w:t>
      </w:r>
    </w:p>
    <w:p>
      <w:pPr>
        <w:pStyle w:val="27"/>
        <w:snapToGrid w:val="0"/>
        <w:spacing w:line="360" w:lineRule="auto"/>
        <w:rPr>
          <w:rFonts w:cs="宋体"/>
          <w:color w:val="auto"/>
          <w:highlight w:val="none"/>
        </w:rPr>
      </w:pPr>
      <w:r>
        <w:rPr>
          <w:rFonts w:hint="eastAsia" w:cs="宋体"/>
          <w:color w:val="auto"/>
          <w:highlight w:val="none"/>
        </w:rPr>
        <w:t>签订地点：                                 签订时间：2024年  月  日</w:t>
      </w:r>
    </w:p>
    <w:p>
      <w:pPr>
        <w:pStyle w:val="27"/>
        <w:snapToGrid w:val="0"/>
        <w:spacing w:line="360" w:lineRule="auto"/>
        <w:rPr>
          <w:rFonts w:cs="宋体"/>
          <w:color w:val="auto"/>
          <w:highlight w:val="none"/>
        </w:rPr>
      </w:pPr>
      <w:r>
        <w:rPr>
          <w:rFonts w:hint="eastAsia" w:cs="宋体"/>
          <w:color w:val="auto"/>
          <w:highlight w:val="none"/>
        </w:rPr>
        <w:t>项目名称：</w:t>
      </w:r>
    </w:p>
    <w:p>
      <w:pPr>
        <w:pStyle w:val="27"/>
        <w:snapToGrid w:val="0"/>
        <w:spacing w:line="360" w:lineRule="auto"/>
        <w:rPr>
          <w:rFonts w:cs="宋体"/>
          <w:color w:val="auto"/>
          <w:highlight w:val="none"/>
        </w:rPr>
      </w:pPr>
      <w:r>
        <w:rPr>
          <w:rFonts w:hint="eastAsia" w:cs="宋体"/>
          <w:color w:val="auto"/>
          <w:highlight w:val="none"/>
        </w:rPr>
        <w:t xml:space="preserve">甲方（需方）：                                     </w:t>
      </w:r>
    </w:p>
    <w:p>
      <w:pPr>
        <w:pStyle w:val="27"/>
        <w:snapToGrid w:val="0"/>
        <w:spacing w:line="360" w:lineRule="auto"/>
        <w:rPr>
          <w:rFonts w:cs="宋体"/>
          <w:color w:val="auto"/>
          <w:highlight w:val="none"/>
        </w:rPr>
      </w:pPr>
      <w:r>
        <w:rPr>
          <w:rFonts w:hint="eastAsia" w:cs="宋体"/>
          <w:color w:val="auto"/>
          <w:highlight w:val="none"/>
        </w:rPr>
        <w:t xml:space="preserve">乙方（供方）：                                     </w:t>
      </w:r>
    </w:p>
    <w:p>
      <w:pPr>
        <w:pStyle w:val="27"/>
        <w:snapToGrid w:val="0"/>
        <w:spacing w:line="360" w:lineRule="auto"/>
        <w:rPr>
          <w:rFonts w:cs="宋体"/>
          <w:color w:val="auto"/>
          <w:highlight w:val="none"/>
        </w:rPr>
      </w:pPr>
      <w:r>
        <w:rPr>
          <w:rFonts w:hint="eastAsia" w:cs="宋体"/>
          <w:color w:val="auto"/>
          <w:highlight w:val="none"/>
        </w:rPr>
        <w:t>供、需双方根据</w:t>
      </w:r>
      <w:r>
        <w:rPr>
          <w:rFonts w:hint="eastAsia" w:cs="宋体"/>
          <w:b w:val="0"/>
          <w:bCs/>
          <w:color w:val="auto"/>
          <w:sz w:val="24"/>
          <w:highlight w:val="none"/>
          <w:u w:val="single"/>
          <w:lang w:val="en-US" w:eastAsia="zh-CN"/>
        </w:rPr>
        <w:t xml:space="preserve">                                </w:t>
      </w:r>
      <w:r>
        <w:rPr>
          <w:rFonts w:hint="eastAsia" w:cs="宋体"/>
          <w:b w:val="0"/>
          <w:bCs/>
          <w:color w:val="auto"/>
          <w:sz w:val="24"/>
          <w:highlight w:val="none"/>
          <w:u w:val="single"/>
          <w:lang w:eastAsia="zh-CN"/>
        </w:rPr>
        <w:t>项目</w:t>
      </w:r>
      <w:r>
        <w:rPr>
          <w:rFonts w:hint="eastAsia" w:cs="宋体"/>
          <w:color w:val="auto"/>
          <w:highlight w:val="none"/>
        </w:rPr>
        <w:t>（交易编号  -  -   ）成交结果和公开竞争文件的要求，并经双方协调一致，订立本合同。</w:t>
      </w:r>
    </w:p>
    <w:p>
      <w:pPr>
        <w:pStyle w:val="27"/>
        <w:snapToGrid w:val="0"/>
        <w:spacing w:line="360" w:lineRule="auto"/>
        <w:rPr>
          <w:rFonts w:cs="宋体"/>
          <w:color w:val="auto"/>
          <w:highlight w:val="none"/>
        </w:rPr>
      </w:pPr>
      <w:r>
        <w:rPr>
          <w:rFonts w:hint="eastAsia" w:cs="宋体"/>
          <w:color w:val="auto"/>
          <w:highlight w:val="none"/>
        </w:rPr>
        <w:t>一、合同文件：</w:t>
      </w:r>
    </w:p>
    <w:p>
      <w:pPr>
        <w:pStyle w:val="27"/>
        <w:snapToGrid w:val="0"/>
        <w:spacing w:line="360" w:lineRule="auto"/>
        <w:rPr>
          <w:rFonts w:cs="宋体"/>
          <w:color w:val="auto"/>
          <w:highlight w:val="none"/>
        </w:rPr>
      </w:pPr>
      <w:r>
        <w:rPr>
          <w:rFonts w:hint="eastAsia" w:cs="宋体"/>
          <w:color w:val="auto"/>
          <w:highlight w:val="none"/>
        </w:rPr>
        <w:t>1、合同条款。</w:t>
      </w:r>
    </w:p>
    <w:p>
      <w:pPr>
        <w:pStyle w:val="27"/>
        <w:snapToGrid w:val="0"/>
        <w:spacing w:line="360" w:lineRule="auto"/>
        <w:rPr>
          <w:rFonts w:cs="宋体"/>
          <w:color w:val="auto"/>
          <w:highlight w:val="none"/>
        </w:rPr>
      </w:pPr>
      <w:r>
        <w:rPr>
          <w:rFonts w:hint="eastAsia" w:cs="宋体"/>
          <w:color w:val="auto"/>
          <w:highlight w:val="none"/>
        </w:rPr>
        <w:t>2、成交通知书。</w:t>
      </w:r>
    </w:p>
    <w:p>
      <w:pPr>
        <w:pStyle w:val="27"/>
        <w:snapToGrid w:val="0"/>
        <w:spacing w:line="360" w:lineRule="auto"/>
        <w:rPr>
          <w:rFonts w:cs="宋体"/>
          <w:color w:val="auto"/>
          <w:highlight w:val="none"/>
        </w:rPr>
      </w:pPr>
      <w:r>
        <w:rPr>
          <w:rFonts w:hint="eastAsia" w:cs="宋体"/>
          <w:color w:val="auto"/>
          <w:highlight w:val="none"/>
        </w:rPr>
        <w:t>3、公开竞争文件。</w:t>
      </w:r>
    </w:p>
    <w:p>
      <w:pPr>
        <w:pStyle w:val="27"/>
        <w:snapToGrid w:val="0"/>
        <w:spacing w:line="360" w:lineRule="auto"/>
        <w:rPr>
          <w:rFonts w:cs="宋体"/>
          <w:color w:val="auto"/>
          <w:highlight w:val="none"/>
        </w:rPr>
      </w:pPr>
      <w:r>
        <w:rPr>
          <w:rFonts w:hint="eastAsia" w:cs="宋体"/>
          <w:color w:val="auto"/>
          <w:highlight w:val="none"/>
        </w:rPr>
        <w:t>4、更正公告。</w:t>
      </w:r>
    </w:p>
    <w:p>
      <w:pPr>
        <w:pStyle w:val="27"/>
        <w:snapToGrid w:val="0"/>
        <w:spacing w:line="360" w:lineRule="auto"/>
        <w:rPr>
          <w:rFonts w:cs="宋体"/>
          <w:color w:val="auto"/>
          <w:highlight w:val="none"/>
        </w:rPr>
      </w:pPr>
      <w:r>
        <w:rPr>
          <w:rFonts w:hint="eastAsia" w:cs="宋体"/>
          <w:color w:val="auto"/>
          <w:highlight w:val="none"/>
        </w:rPr>
        <w:t>5、成交单位响应文件。</w:t>
      </w:r>
    </w:p>
    <w:p>
      <w:pPr>
        <w:pStyle w:val="27"/>
        <w:snapToGrid w:val="0"/>
        <w:spacing w:line="360" w:lineRule="auto"/>
        <w:rPr>
          <w:rFonts w:cs="宋体"/>
          <w:color w:val="auto"/>
          <w:highlight w:val="none"/>
        </w:rPr>
      </w:pPr>
      <w:r>
        <w:rPr>
          <w:rFonts w:hint="eastAsia" w:cs="宋体"/>
          <w:color w:val="auto"/>
          <w:highlight w:val="none"/>
        </w:rPr>
        <w:t>6、其他。</w:t>
      </w:r>
    </w:p>
    <w:p>
      <w:pPr>
        <w:pStyle w:val="27"/>
        <w:snapToGrid w:val="0"/>
        <w:spacing w:line="360" w:lineRule="auto"/>
        <w:rPr>
          <w:rFonts w:cs="宋体"/>
          <w:color w:val="auto"/>
          <w:highlight w:val="none"/>
        </w:rPr>
      </w:pPr>
      <w:r>
        <w:rPr>
          <w:rFonts w:hint="eastAsia" w:cs="宋体"/>
          <w:color w:val="auto"/>
          <w:highlight w:val="none"/>
        </w:rPr>
        <w:t>二、合同金额: 本合同金额为（大写）</w:t>
      </w:r>
      <w:r>
        <w:rPr>
          <w:rFonts w:hint="eastAsia" w:cs="宋体"/>
          <w:color w:val="auto"/>
          <w:highlight w:val="none"/>
          <w:u w:val="single"/>
        </w:rPr>
        <w:t>　　　　</w:t>
      </w:r>
      <w:r>
        <w:rPr>
          <w:rFonts w:hint="eastAsia" w:cs="宋体"/>
          <w:color w:val="auto"/>
          <w:highlight w:val="none"/>
        </w:rPr>
        <w:t>元（￥</w:t>
      </w:r>
      <w:r>
        <w:rPr>
          <w:rFonts w:hint="eastAsia" w:cs="宋体"/>
          <w:color w:val="auto"/>
          <w:highlight w:val="none"/>
          <w:u w:val="single"/>
        </w:rPr>
        <w:t>　　　　</w:t>
      </w:r>
      <w:r>
        <w:rPr>
          <w:rFonts w:hint="eastAsia" w:cs="宋体"/>
          <w:color w:val="auto"/>
          <w:highlight w:val="none"/>
        </w:rPr>
        <w:t>元）人民币。</w:t>
      </w:r>
    </w:p>
    <w:p>
      <w:pPr>
        <w:pStyle w:val="27"/>
        <w:snapToGrid w:val="0"/>
        <w:spacing w:line="360" w:lineRule="auto"/>
        <w:rPr>
          <w:rFonts w:cs="宋体"/>
          <w:color w:val="auto"/>
          <w:highlight w:val="none"/>
        </w:rPr>
      </w:pPr>
      <w:r>
        <w:rPr>
          <w:rFonts w:hint="eastAsia" w:cs="宋体"/>
          <w:color w:val="auto"/>
          <w:highlight w:val="none"/>
        </w:rPr>
        <w:t>附：</w:t>
      </w:r>
    </w:p>
    <w:p>
      <w:pPr>
        <w:pStyle w:val="27"/>
        <w:snapToGrid w:val="0"/>
        <w:spacing w:line="360" w:lineRule="auto"/>
        <w:rPr>
          <w:rFonts w:cs="宋体"/>
          <w:color w:val="auto"/>
          <w:highlight w:val="none"/>
        </w:rPr>
      </w:pPr>
      <w:r>
        <w:rPr>
          <w:rFonts w:hint="eastAsia" w:cs="宋体"/>
          <w:color w:val="auto"/>
          <w:highlight w:val="none"/>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pStyle w:val="27"/>
        <w:snapToGrid w:val="0"/>
        <w:spacing w:line="360" w:lineRule="auto"/>
        <w:rPr>
          <w:rFonts w:cs="宋体"/>
          <w:color w:val="auto"/>
          <w:highlight w:val="none"/>
        </w:rPr>
      </w:pPr>
      <w:r>
        <w:rPr>
          <w:rFonts w:hint="eastAsia" w:cs="宋体"/>
          <w:color w:val="auto"/>
          <w:highlight w:val="none"/>
        </w:rPr>
        <w:t>三、技术资料</w:t>
      </w:r>
    </w:p>
    <w:p>
      <w:pPr>
        <w:pStyle w:val="27"/>
        <w:snapToGrid w:val="0"/>
        <w:spacing w:line="360" w:lineRule="auto"/>
        <w:rPr>
          <w:rFonts w:cs="宋体"/>
          <w:color w:val="auto"/>
          <w:highlight w:val="none"/>
        </w:rPr>
      </w:pPr>
      <w:r>
        <w:rPr>
          <w:rFonts w:hint="eastAsia" w:cs="宋体"/>
          <w:color w:val="auto"/>
          <w:highlight w:val="none"/>
        </w:rPr>
        <w:t>1.乙方应按公开竞争文件规定的时间向甲方提供有关技术资料。</w:t>
      </w:r>
    </w:p>
    <w:p>
      <w:pPr>
        <w:pStyle w:val="27"/>
        <w:snapToGrid w:val="0"/>
        <w:spacing w:line="360" w:lineRule="auto"/>
        <w:rPr>
          <w:rFonts w:cs="宋体"/>
          <w:color w:val="auto"/>
          <w:highlight w:val="none"/>
        </w:rPr>
      </w:pPr>
      <w:r>
        <w:rPr>
          <w:rFonts w:hint="eastAsia"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7"/>
        <w:snapToGrid w:val="0"/>
        <w:spacing w:line="360" w:lineRule="auto"/>
        <w:rPr>
          <w:rFonts w:cs="宋体"/>
          <w:color w:val="auto"/>
          <w:highlight w:val="none"/>
        </w:rPr>
      </w:pPr>
      <w:r>
        <w:rPr>
          <w:rFonts w:hint="eastAsia" w:cs="宋体"/>
          <w:color w:val="auto"/>
          <w:highlight w:val="none"/>
        </w:rPr>
        <w:t>四、转包或分包</w:t>
      </w:r>
    </w:p>
    <w:p>
      <w:pPr>
        <w:pStyle w:val="27"/>
        <w:snapToGrid w:val="0"/>
        <w:spacing w:line="360" w:lineRule="auto"/>
        <w:rPr>
          <w:rFonts w:cs="宋体"/>
          <w:color w:val="auto"/>
          <w:highlight w:val="none"/>
        </w:rPr>
      </w:pPr>
      <w:r>
        <w:rPr>
          <w:rFonts w:hint="eastAsia" w:cs="宋体"/>
          <w:color w:val="auto"/>
          <w:highlight w:val="none"/>
        </w:rPr>
        <w:t>1.本合同范围的服务，应由乙方直接提供，乙方不得将本合同范围的服务全部或部分分包给他人供应；</w:t>
      </w:r>
    </w:p>
    <w:p>
      <w:pPr>
        <w:pStyle w:val="27"/>
        <w:snapToGrid w:val="0"/>
        <w:spacing w:line="360" w:lineRule="auto"/>
        <w:rPr>
          <w:rFonts w:cs="宋体"/>
          <w:color w:val="auto"/>
          <w:highlight w:val="none"/>
        </w:rPr>
      </w:pPr>
      <w:r>
        <w:rPr>
          <w:rFonts w:hint="eastAsia" w:cs="宋体"/>
          <w:color w:val="auto"/>
          <w:highlight w:val="none"/>
        </w:rPr>
        <w:t>2.如有转让和未经甲方同意的分包行为，甲方有权解除合同，追究乙方的违约责任。</w:t>
      </w:r>
    </w:p>
    <w:p>
      <w:pPr>
        <w:pStyle w:val="27"/>
        <w:snapToGrid w:val="0"/>
        <w:spacing w:line="360" w:lineRule="auto"/>
        <w:rPr>
          <w:rFonts w:cs="宋体"/>
          <w:color w:val="auto"/>
          <w:highlight w:val="none"/>
        </w:rPr>
      </w:pPr>
      <w:r>
        <w:rPr>
          <w:rFonts w:hint="eastAsia" w:cs="宋体"/>
          <w:color w:val="auto"/>
          <w:highlight w:val="none"/>
        </w:rPr>
        <w:t>五、服务质量保证期</w:t>
      </w:r>
    </w:p>
    <w:p>
      <w:pPr>
        <w:pStyle w:val="27"/>
        <w:snapToGrid w:val="0"/>
        <w:spacing w:line="360" w:lineRule="auto"/>
        <w:rPr>
          <w:rFonts w:cs="宋体"/>
          <w:color w:val="auto"/>
          <w:highlight w:val="none"/>
        </w:rPr>
      </w:pPr>
      <w:r>
        <w:rPr>
          <w:rFonts w:hint="eastAsia" w:cs="宋体"/>
          <w:color w:val="auto"/>
          <w:highlight w:val="none"/>
        </w:rPr>
        <w:t>1. 服务时间：</w:t>
      </w:r>
    </w:p>
    <w:p>
      <w:pPr>
        <w:pStyle w:val="27"/>
        <w:snapToGrid w:val="0"/>
        <w:spacing w:line="360" w:lineRule="auto"/>
        <w:rPr>
          <w:rFonts w:cs="宋体"/>
          <w:color w:val="auto"/>
          <w:highlight w:val="none"/>
        </w:rPr>
      </w:pPr>
      <w:r>
        <w:rPr>
          <w:rFonts w:hint="eastAsia" w:cs="宋体"/>
          <w:color w:val="auto"/>
          <w:highlight w:val="none"/>
        </w:rPr>
        <w:t>六、合同履行时间、履行方式及履行地点</w:t>
      </w:r>
    </w:p>
    <w:p>
      <w:pPr>
        <w:pStyle w:val="27"/>
        <w:snapToGrid w:val="0"/>
        <w:spacing w:line="360" w:lineRule="auto"/>
        <w:rPr>
          <w:rFonts w:cs="宋体"/>
          <w:color w:val="auto"/>
          <w:highlight w:val="none"/>
        </w:rPr>
      </w:pPr>
      <w:r>
        <w:rPr>
          <w:rFonts w:hint="eastAsia" w:cs="宋体"/>
          <w:color w:val="auto"/>
          <w:highlight w:val="none"/>
        </w:rPr>
        <w:t>1. 履行时间：</w:t>
      </w:r>
    </w:p>
    <w:p>
      <w:pPr>
        <w:pStyle w:val="27"/>
        <w:snapToGrid w:val="0"/>
        <w:spacing w:line="360" w:lineRule="auto"/>
        <w:rPr>
          <w:rFonts w:cs="宋体"/>
          <w:color w:val="auto"/>
          <w:highlight w:val="none"/>
        </w:rPr>
      </w:pPr>
      <w:r>
        <w:rPr>
          <w:rFonts w:hint="eastAsia" w:cs="宋体"/>
          <w:color w:val="auto"/>
          <w:highlight w:val="none"/>
        </w:rPr>
        <w:t>2. 履行方式：按合同履行。</w:t>
      </w:r>
    </w:p>
    <w:p>
      <w:pPr>
        <w:pStyle w:val="27"/>
        <w:snapToGrid w:val="0"/>
        <w:spacing w:line="360" w:lineRule="auto"/>
        <w:rPr>
          <w:rFonts w:cs="宋体"/>
          <w:color w:val="auto"/>
          <w:highlight w:val="none"/>
        </w:rPr>
      </w:pPr>
      <w:r>
        <w:rPr>
          <w:rFonts w:hint="eastAsia" w:cs="宋体"/>
          <w:color w:val="auto"/>
          <w:highlight w:val="none"/>
        </w:rPr>
        <w:t>3. 履行地点：甲方指定地点内。</w:t>
      </w:r>
    </w:p>
    <w:p>
      <w:pPr>
        <w:pStyle w:val="27"/>
        <w:snapToGrid w:val="0"/>
        <w:spacing w:line="360" w:lineRule="auto"/>
        <w:rPr>
          <w:rFonts w:cs="宋体"/>
          <w:color w:val="auto"/>
          <w:highlight w:val="none"/>
        </w:rPr>
      </w:pPr>
      <w:r>
        <w:rPr>
          <w:rFonts w:hint="eastAsia" w:cs="宋体"/>
          <w:color w:val="auto"/>
          <w:highlight w:val="none"/>
        </w:rPr>
        <w:t>七、款项支付</w:t>
      </w:r>
    </w:p>
    <w:p>
      <w:pPr>
        <w:pStyle w:val="27"/>
        <w:snapToGrid w:val="0"/>
        <w:spacing w:line="360" w:lineRule="auto"/>
        <w:rPr>
          <w:rFonts w:cs="宋体"/>
          <w:color w:val="auto"/>
          <w:highlight w:val="none"/>
        </w:rPr>
      </w:pPr>
      <w:r>
        <w:rPr>
          <w:rFonts w:hint="eastAsia" w:cs="宋体"/>
          <w:color w:val="auto"/>
          <w:highlight w:val="none"/>
        </w:rPr>
        <w:t>参照交易需求。</w:t>
      </w:r>
    </w:p>
    <w:p>
      <w:pPr>
        <w:pStyle w:val="27"/>
        <w:snapToGrid w:val="0"/>
        <w:spacing w:line="360" w:lineRule="auto"/>
        <w:rPr>
          <w:rFonts w:cs="宋体"/>
          <w:color w:val="auto"/>
          <w:highlight w:val="none"/>
        </w:rPr>
      </w:pPr>
      <w:r>
        <w:rPr>
          <w:rFonts w:hint="eastAsia" w:cs="宋体"/>
          <w:color w:val="auto"/>
          <w:highlight w:val="none"/>
        </w:rPr>
        <w:t>十、税费</w:t>
      </w:r>
    </w:p>
    <w:p>
      <w:pPr>
        <w:pStyle w:val="27"/>
        <w:snapToGrid w:val="0"/>
        <w:spacing w:line="360" w:lineRule="auto"/>
        <w:rPr>
          <w:rFonts w:cs="宋体"/>
          <w:color w:val="auto"/>
          <w:highlight w:val="none"/>
        </w:rPr>
      </w:pPr>
      <w:r>
        <w:rPr>
          <w:rFonts w:hint="eastAsia" w:cs="宋体"/>
          <w:color w:val="auto"/>
          <w:highlight w:val="none"/>
        </w:rPr>
        <w:t>本合同执行中相关的一切税费均由乙方负担。</w:t>
      </w:r>
    </w:p>
    <w:p>
      <w:pPr>
        <w:pStyle w:val="27"/>
        <w:snapToGrid w:val="0"/>
        <w:spacing w:line="360" w:lineRule="auto"/>
        <w:rPr>
          <w:rFonts w:cs="宋体"/>
          <w:color w:val="auto"/>
          <w:highlight w:val="none"/>
        </w:rPr>
      </w:pPr>
      <w:r>
        <w:rPr>
          <w:rFonts w:hint="eastAsia" w:cs="宋体"/>
          <w:color w:val="auto"/>
          <w:highlight w:val="none"/>
        </w:rPr>
        <w:t>十一、质量保证及后续服务</w:t>
      </w:r>
    </w:p>
    <w:p>
      <w:pPr>
        <w:pStyle w:val="27"/>
        <w:snapToGrid w:val="0"/>
        <w:spacing w:line="360" w:lineRule="auto"/>
        <w:rPr>
          <w:rFonts w:cs="宋体"/>
          <w:color w:val="auto"/>
          <w:highlight w:val="none"/>
        </w:rPr>
      </w:pPr>
      <w:r>
        <w:rPr>
          <w:rFonts w:hint="eastAsia" w:cs="宋体"/>
          <w:color w:val="auto"/>
          <w:highlight w:val="none"/>
        </w:rPr>
        <w:t>1. 乙方应按公开竞争文件规定向甲方提供服务。</w:t>
      </w:r>
    </w:p>
    <w:p>
      <w:pPr>
        <w:pStyle w:val="27"/>
        <w:snapToGrid w:val="0"/>
        <w:spacing w:line="360" w:lineRule="auto"/>
        <w:rPr>
          <w:rFonts w:cs="宋体"/>
          <w:color w:val="auto"/>
          <w:highlight w:val="none"/>
        </w:rPr>
      </w:pPr>
      <w:r>
        <w:rPr>
          <w:rFonts w:hint="eastAsia" w:cs="宋体"/>
          <w:color w:val="auto"/>
          <w:highlight w:val="none"/>
        </w:rPr>
        <w:t>2. 乙方提供的服务发生问题或产出重大不良影响的，除按结算条款扣除结算金额外，乙方应负责免费提供后续善后服务，同时承担相应责任。</w:t>
      </w:r>
    </w:p>
    <w:p>
      <w:pPr>
        <w:pStyle w:val="27"/>
        <w:snapToGrid w:val="0"/>
        <w:spacing w:line="360" w:lineRule="auto"/>
        <w:rPr>
          <w:rFonts w:cs="宋体"/>
          <w:color w:val="auto"/>
          <w:highlight w:val="none"/>
        </w:rPr>
      </w:pPr>
      <w:r>
        <w:rPr>
          <w:rFonts w:hint="eastAsia" w:cs="宋体"/>
          <w:color w:val="auto"/>
          <w:highlight w:val="none"/>
        </w:rPr>
        <w:t>十二、违约责任</w:t>
      </w:r>
    </w:p>
    <w:p>
      <w:pPr>
        <w:pStyle w:val="27"/>
        <w:snapToGrid w:val="0"/>
        <w:spacing w:line="360" w:lineRule="auto"/>
        <w:rPr>
          <w:rFonts w:cs="宋体"/>
          <w:color w:val="auto"/>
          <w:highlight w:val="none"/>
        </w:rPr>
      </w:pPr>
      <w:r>
        <w:rPr>
          <w:rFonts w:hint="eastAsia" w:cs="宋体"/>
          <w:color w:val="auto"/>
          <w:highlight w:val="none"/>
        </w:rPr>
        <w:t>1.甲方无正当理由拒绝接收服务的，甲方向乙方偿付合同款项百分之五作为违约金。</w:t>
      </w:r>
    </w:p>
    <w:p>
      <w:pPr>
        <w:pStyle w:val="27"/>
        <w:snapToGrid w:val="0"/>
        <w:spacing w:line="360" w:lineRule="auto"/>
        <w:rPr>
          <w:rFonts w:cs="宋体"/>
          <w:color w:val="auto"/>
          <w:highlight w:val="none"/>
        </w:rPr>
      </w:pPr>
      <w:r>
        <w:rPr>
          <w:rFonts w:hint="eastAsia"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pPr>
        <w:pStyle w:val="27"/>
        <w:snapToGrid w:val="0"/>
        <w:spacing w:line="360" w:lineRule="auto"/>
        <w:rPr>
          <w:rFonts w:cs="宋体"/>
          <w:color w:val="auto"/>
          <w:highlight w:val="none"/>
        </w:rPr>
      </w:pPr>
      <w:r>
        <w:rPr>
          <w:rFonts w:hint="eastAsia" w:cs="宋体"/>
          <w:color w:val="auto"/>
          <w:highlight w:val="none"/>
        </w:rPr>
        <w:t>十三、争议的解决</w:t>
      </w:r>
    </w:p>
    <w:p>
      <w:pPr>
        <w:pStyle w:val="27"/>
        <w:snapToGrid w:val="0"/>
        <w:spacing w:line="360" w:lineRule="auto"/>
        <w:rPr>
          <w:rFonts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因本合同引起的或与本合同有关的任何争议，合同双方应首先通过协商解决，达成书面协议，如协商不成，可选择下列方式解决。</w:t>
      </w:r>
    </w:p>
    <w:p>
      <w:pPr>
        <w:pStyle w:val="27"/>
        <w:snapToGrid w:val="0"/>
        <w:spacing w:line="360" w:lineRule="auto"/>
        <w:rPr>
          <w:rFonts w:cs="宋体"/>
          <w:color w:val="auto"/>
          <w:highlight w:val="none"/>
        </w:rPr>
      </w:pPr>
      <w:r>
        <w:rPr>
          <w:rFonts w:hint="eastAsia" w:cs="宋体"/>
          <w:color w:val="auto"/>
          <w:highlight w:val="none"/>
        </w:rPr>
        <w:t>（1）提请杭州仲裁委员会按照该会仲裁规则进行仲裁，仲裁裁决是终局的，对合同双方均有约束力。</w:t>
      </w:r>
    </w:p>
    <w:p>
      <w:pPr>
        <w:pStyle w:val="27"/>
        <w:snapToGrid w:val="0"/>
        <w:spacing w:line="360" w:lineRule="auto"/>
        <w:rPr>
          <w:rFonts w:cs="宋体"/>
          <w:color w:val="auto"/>
          <w:highlight w:val="none"/>
        </w:rPr>
      </w:pPr>
      <w:r>
        <w:rPr>
          <w:rFonts w:hint="eastAsia" w:cs="宋体"/>
          <w:color w:val="auto"/>
          <w:highlight w:val="none"/>
        </w:rPr>
        <w:t>（2）向有管辖权的人民法院提起诉讼。</w:t>
      </w:r>
    </w:p>
    <w:p>
      <w:pPr>
        <w:pStyle w:val="27"/>
        <w:snapToGrid w:val="0"/>
        <w:spacing w:line="360" w:lineRule="auto"/>
        <w:rPr>
          <w:rFonts w:cs="宋体"/>
          <w:color w:val="auto"/>
          <w:highlight w:val="none"/>
        </w:rPr>
      </w:pPr>
      <w:r>
        <w:rPr>
          <w:rFonts w:hint="eastAsia" w:cs="宋体"/>
          <w:color w:val="auto"/>
          <w:highlight w:val="none"/>
        </w:rPr>
        <w:t>十四、合同生效</w:t>
      </w:r>
    </w:p>
    <w:p>
      <w:pPr>
        <w:pStyle w:val="27"/>
        <w:snapToGrid w:val="0"/>
        <w:spacing w:line="360" w:lineRule="auto"/>
        <w:rPr>
          <w:rFonts w:cs="宋体"/>
          <w:color w:val="auto"/>
          <w:highlight w:val="none"/>
        </w:rPr>
      </w:pPr>
      <w:r>
        <w:rPr>
          <w:rFonts w:hint="eastAsia" w:cs="宋体"/>
          <w:color w:val="auto"/>
          <w:highlight w:val="none"/>
        </w:rPr>
        <w:t>1.成交方持成交通知书作为与需方签订合同的凭证。</w:t>
      </w:r>
    </w:p>
    <w:p>
      <w:pPr>
        <w:pStyle w:val="27"/>
        <w:snapToGrid w:val="0"/>
        <w:spacing w:line="360" w:lineRule="auto"/>
        <w:rPr>
          <w:rFonts w:cs="宋体"/>
          <w:color w:val="auto"/>
          <w:highlight w:val="none"/>
        </w:rPr>
      </w:pPr>
      <w:r>
        <w:rPr>
          <w:rFonts w:hint="eastAsia" w:cs="宋体"/>
          <w:color w:val="auto"/>
          <w:highlight w:val="none"/>
        </w:rPr>
        <w:t>2.本合同经需、供双方法定代表人或其授权委托人签字并加盖单位公章后生效。</w:t>
      </w:r>
    </w:p>
    <w:p>
      <w:pPr>
        <w:pStyle w:val="27"/>
        <w:snapToGrid w:val="0"/>
        <w:spacing w:line="360" w:lineRule="auto"/>
        <w:rPr>
          <w:rFonts w:cs="宋体"/>
          <w:color w:val="auto"/>
          <w:highlight w:val="none"/>
        </w:rPr>
      </w:pPr>
    </w:p>
    <w:p>
      <w:pPr>
        <w:pStyle w:val="27"/>
        <w:snapToGrid w:val="0"/>
        <w:spacing w:line="360" w:lineRule="auto"/>
        <w:rPr>
          <w:rFonts w:cs="宋体"/>
          <w:color w:val="auto"/>
          <w:highlight w:val="none"/>
        </w:rPr>
      </w:pPr>
      <w:r>
        <w:rPr>
          <w:rFonts w:hint="eastAsia" w:cs="宋体"/>
          <w:color w:val="auto"/>
          <w:highlight w:val="none"/>
        </w:rPr>
        <w:t>需方（盖章）：                     供方（盖章）：</w:t>
      </w:r>
    </w:p>
    <w:p>
      <w:pPr>
        <w:pStyle w:val="27"/>
        <w:snapToGrid w:val="0"/>
        <w:spacing w:line="360" w:lineRule="auto"/>
        <w:rPr>
          <w:rFonts w:cs="宋体"/>
          <w:color w:val="auto"/>
          <w:highlight w:val="none"/>
        </w:rPr>
      </w:pPr>
      <w:r>
        <w:rPr>
          <w:rFonts w:hint="eastAsia" w:cs="宋体"/>
          <w:color w:val="auto"/>
          <w:highlight w:val="none"/>
        </w:rPr>
        <w:t>地址：                             地址：</w:t>
      </w:r>
    </w:p>
    <w:p>
      <w:pPr>
        <w:pStyle w:val="27"/>
        <w:snapToGrid w:val="0"/>
        <w:spacing w:line="360" w:lineRule="auto"/>
        <w:rPr>
          <w:rFonts w:cs="宋体"/>
          <w:color w:val="auto"/>
          <w:highlight w:val="none"/>
        </w:rPr>
      </w:pPr>
      <w:r>
        <w:rPr>
          <w:rFonts w:hint="eastAsia" w:cs="宋体"/>
          <w:color w:val="auto"/>
          <w:highlight w:val="none"/>
        </w:rPr>
        <w:t>法定代表人（或委托代理人）签名：   法定代表人（或委托代理人）签名：</w:t>
      </w:r>
    </w:p>
    <w:p>
      <w:pPr>
        <w:pStyle w:val="27"/>
        <w:snapToGrid w:val="0"/>
        <w:spacing w:line="360" w:lineRule="auto"/>
        <w:rPr>
          <w:rFonts w:cs="宋体"/>
          <w:color w:val="auto"/>
          <w:highlight w:val="none"/>
        </w:rPr>
      </w:pPr>
      <w:r>
        <w:rPr>
          <w:rFonts w:hint="eastAsia" w:cs="宋体"/>
          <w:color w:val="auto"/>
          <w:highlight w:val="none"/>
        </w:rPr>
        <w:t>联系电话：                         联系电话：</w:t>
      </w:r>
    </w:p>
    <w:p>
      <w:pPr>
        <w:pStyle w:val="27"/>
        <w:snapToGrid w:val="0"/>
        <w:spacing w:line="360" w:lineRule="auto"/>
        <w:rPr>
          <w:rFonts w:cs="宋体"/>
          <w:color w:val="auto"/>
          <w:highlight w:val="none"/>
        </w:rPr>
      </w:pPr>
      <w:r>
        <w:rPr>
          <w:rFonts w:hint="eastAsia" w:cs="宋体"/>
          <w:color w:val="auto"/>
          <w:highlight w:val="none"/>
        </w:rPr>
        <w:t>邮政编码：                         邮政编码：</w:t>
      </w:r>
    </w:p>
    <w:p>
      <w:pPr>
        <w:pStyle w:val="27"/>
        <w:snapToGrid w:val="0"/>
        <w:spacing w:line="360" w:lineRule="auto"/>
        <w:rPr>
          <w:rFonts w:cs="宋体"/>
          <w:color w:val="auto"/>
          <w:highlight w:val="none"/>
        </w:rPr>
      </w:pPr>
      <w:r>
        <w:rPr>
          <w:rFonts w:hint="eastAsia" w:cs="宋体"/>
          <w:color w:val="auto"/>
          <w:highlight w:val="none"/>
        </w:rPr>
        <w:t xml:space="preserve">开户银行：                         开户银行：      </w:t>
      </w:r>
    </w:p>
    <w:p>
      <w:pPr>
        <w:pStyle w:val="27"/>
        <w:snapToGrid w:val="0"/>
        <w:spacing w:line="360" w:lineRule="auto"/>
        <w:rPr>
          <w:rFonts w:cs="宋体"/>
          <w:color w:val="auto"/>
          <w:highlight w:val="none"/>
        </w:rPr>
      </w:pPr>
      <w:r>
        <w:rPr>
          <w:rFonts w:hint="eastAsia" w:cs="宋体"/>
          <w:color w:val="auto"/>
          <w:highlight w:val="none"/>
        </w:rPr>
        <w:t>帐号：                             帐号：</w:t>
      </w:r>
    </w:p>
    <w:p>
      <w:pPr>
        <w:rPr>
          <w:rFonts w:ascii="宋体" w:hAnsi="宋体" w:cs="宋体"/>
          <w:color w:val="auto"/>
          <w:sz w:val="24"/>
          <w:highlight w:val="none"/>
        </w:rPr>
      </w:pPr>
      <w:r>
        <w:rPr>
          <w:rFonts w:hint="eastAsia" w:ascii="宋体" w:hAnsi="宋体" w:cs="宋体"/>
          <w:color w:val="auto"/>
          <w:sz w:val="24"/>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2"/>
      <w:r>
        <w:rPr>
          <w:rFonts w:hint="eastAsia" w:ascii="宋体" w:hAnsi="宋体" w:cs="宋体"/>
          <w:b/>
          <w:color w:val="auto"/>
          <w:sz w:val="36"/>
          <w:szCs w:val="20"/>
          <w:highlight w:val="none"/>
        </w:rPr>
        <w:t xml:space="preserve"> </w:t>
      </w:r>
      <w:bookmarkEnd w:id="38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2.1.2本项目的特定资格要求。</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2.2.3营业执照；</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2.2.5评审标准相应的商务技术资料；</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2.3.1交易一览表（报价表）</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jc w:val="both"/>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6"/>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
        <w:spacing w:line="240" w:lineRule="auto"/>
        <w:rPr>
          <w:rFonts w:ascii="宋体" w:hAnsi="宋体" w:cs="宋体"/>
          <w:b/>
          <w:color w:val="auto"/>
          <w:kern w:val="0"/>
          <w:sz w:val="52"/>
          <w:szCs w:val="5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3"/>
        <w:tblW w:w="1449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225"/>
        <w:gridCol w:w="4521"/>
        <w:gridCol w:w="26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4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2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投标报价（单价）</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线路一：康定5日疗休养行程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元/人次</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线路</w:t>
            </w:r>
            <w:r>
              <w:rPr>
                <w:rFonts w:hint="eastAsia" w:ascii="宋体" w:hAnsi="宋体" w:eastAsia="宋体" w:cs="宋体"/>
                <w:color w:val="auto"/>
                <w:sz w:val="24"/>
                <w:highlight w:val="none"/>
                <w:lang w:val="zh-CN" w:eastAsia="zh-CN"/>
              </w:rPr>
              <w:t>二</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湖州4</w:t>
            </w:r>
            <w:r>
              <w:rPr>
                <w:rFonts w:hint="eastAsia" w:ascii="宋体" w:hAnsi="宋体" w:eastAsia="宋体" w:cs="宋体"/>
                <w:color w:val="auto"/>
                <w:sz w:val="24"/>
                <w:highlight w:val="none"/>
                <w:lang w:val="zh-CN"/>
              </w:rPr>
              <w:t>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线路</w:t>
            </w:r>
            <w:r>
              <w:rPr>
                <w:rFonts w:hint="eastAsia" w:ascii="宋体" w:hAnsi="宋体" w:eastAsia="宋体" w:cs="宋体"/>
                <w:color w:val="auto"/>
                <w:sz w:val="24"/>
                <w:highlight w:val="none"/>
                <w:lang w:val="zh-CN" w:eastAsia="zh-CN"/>
              </w:rPr>
              <w:t>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天台温岭4</w:t>
            </w:r>
            <w:r>
              <w:rPr>
                <w:rFonts w:hint="eastAsia" w:ascii="宋体" w:hAnsi="宋体" w:eastAsia="宋体" w:cs="宋体"/>
                <w:color w:val="auto"/>
                <w:sz w:val="24"/>
                <w:highlight w:val="none"/>
                <w:lang w:val="zh-CN"/>
              </w:rPr>
              <w:t>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rPr>
            </w:pPr>
            <w:r>
              <w:rPr>
                <w:rFonts w:hint="eastAsia" w:ascii="宋体" w:hAnsi="宋体" w:eastAsia="宋体" w:cs="宋体"/>
                <w:color w:val="auto"/>
                <w:sz w:val="24"/>
                <w:highlight w:val="none"/>
              </w:rPr>
              <w:t>线路</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舟山4</w:t>
            </w:r>
            <w:r>
              <w:rPr>
                <w:rFonts w:hint="eastAsia" w:ascii="宋体" w:hAnsi="宋体" w:eastAsia="宋体" w:cs="宋体"/>
                <w:color w:val="auto"/>
                <w:sz w:val="24"/>
                <w:highlight w:val="none"/>
              </w:rPr>
              <w:t>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highlight w:val="none"/>
                <w:u w:val="single"/>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p>
    <w:p>
      <w:pPr>
        <w:autoSpaceDE w:val="0"/>
        <w:autoSpaceDN w:val="0"/>
        <w:spacing w:line="360" w:lineRule="auto"/>
        <w:ind w:left="2" w:leftChars="1" w:right="1120" w:firstLine="10240" w:firstLineChars="3200"/>
        <w:jc w:val="left"/>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iNTJiODcwZTAyMmI2NTZjM2JiMmMxNzFiOGQ5YjIifQ=="/>
    <w:docVar w:name="KSO_WPS_MARK_KEY" w:val="390dad4c-f6c4-458b-8870-15d9695aac4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F57"/>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DE9"/>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C06"/>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9B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57B"/>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AED"/>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BF"/>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6C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5E"/>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81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38"/>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2D"/>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E02"/>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D6"/>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BCF"/>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49"/>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DD6"/>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0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AEE"/>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99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3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5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2D8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2B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3F1522C"/>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5E56E32"/>
    <w:rsid w:val="060E5941"/>
    <w:rsid w:val="06110FAF"/>
    <w:rsid w:val="06493CA7"/>
    <w:rsid w:val="065A6178"/>
    <w:rsid w:val="066D3597"/>
    <w:rsid w:val="066F1CF3"/>
    <w:rsid w:val="06930BB8"/>
    <w:rsid w:val="06956198"/>
    <w:rsid w:val="070C5DD7"/>
    <w:rsid w:val="07245D42"/>
    <w:rsid w:val="07264C62"/>
    <w:rsid w:val="072F6604"/>
    <w:rsid w:val="0779354C"/>
    <w:rsid w:val="077F0C95"/>
    <w:rsid w:val="07C300BD"/>
    <w:rsid w:val="07FE18F3"/>
    <w:rsid w:val="08061376"/>
    <w:rsid w:val="080976BA"/>
    <w:rsid w:val="08452D77"/>
    <w:rsid w:val="086401F8"/>
    <w:rsid w:val="08751CAA"/>
    <w:rsid w:val="0876556A"/>
    <w:rsid w:val="087E4C40"/>
    <w:rsid w:val="08A53637"/>
    <w:rsid w:val="08A871D0"/>
    <w:rsid w:val="08D66AD6"/>
    <w:rsid w:val="08DA33A3"/>
    <w:rsid w:val="08E80F13"/>
    <w:rsid w:val="092612F3"/>
    <w:rsid w:val="092748F4"/>
    <w:rsid w:val="09335624"/>
    <w:rsid w:val="0944690F"/>
    <w:rsid w:val="09535675"/>
    <w:rsid w:val="095F057D"/>
    <w:rsid w:val="09642282"/>
    <w:rsid w:val="09733572"/>
    <w:rsid w:val="09772C16"/>
    <w:rsid w:val="098353B5"/>
    <w:rsid w:val="09A92330"/>
    <w:rsid w:val="09B06B87"/>
    <w:rsid w:val="09C13146"/>
    <w:rsid w:val="09C861C4"/>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12131"/>
    <w:rsid w:val="0B76461B"/>
    <w:rsid w:val="0B7F3F11"/>
    <w:rsid w:val="0B884417"/>
    <w:rsid w:val="0B93709B"/>
    <w:rsid w:val="0BAA14DE"/>
    <w:rsid w:val="0BF6188C"/>
    <w:rsid w:val="0BF73C91"/>
    <w:rsid w:val="0C164E7B"/>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A028E3"/>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220A8"/>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2D652B"/>
    <w:rsid w:val="12530213"/>
    <w:rsid w:val="127723A9"/>
    <w:rsid w:val="12862074"/>
    <w:rsid w:val="12883966"/>
    <w:rsid w:val="12973475"/>
    <w:rsid w:val="129E45B4"/>
    <w:rsid w:val="12D21374"/>
    <w:rsid w:val="12D81596"/>
    <w:rsid w:val="12DE40F1"/>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A05FFC"/>
    <w:rsid w:val="17D349C1"/>
    <w:rsid w:val="17E066D8"/>
    <w:rsid w:val="1830729E"/>
    <w:rsid w:val="18394486"/>
    <w:rsid w:val="185134E3"/>
    <w:rsid w:val="1870062C"/>
    <w:rsid w:val="18817102"/>
    <w:rsid w:val="18830A15"/>
    <w:rsid w:val="18852B28"/>
    <w:rsid w:val="188B5321"/>
    <w:rsid w:val="18C776A6"/>
    <w:rsid w:val="18EE574D"/>
    <w:rsid w:val="19341F4D"/>
    <w:rsid w:val="19745BB6"/>
    <w:rsid w:val="197524E7"/>
    <w:rsid w:val="19761DA4"/>
    <w:rsid w:val="19932372"/>
    <w:rsid w:val="19A07A88"/>
    <w:rsid w:val="19A20DD5"/>
    <w:rsid w:val="19AE03F1"/>
    <w:rsid w:val="19D16EBE"/>
    <w:rsid w:val="19DD4CB9"/>
    <w:rsid w:val="19F636A6"/>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6F17AD"/>
    <w:rsid w:val="1C88086E"/>
    <w:rsid w:val="1CA045EE"/>
    <w:rsid w:val="1CC47A8B"/>
    <w:rsid w:val="1D266CE1"/>
    <w:rsid w:val="1D3963AF"/>
    <w:rsid w:val="1D516804"/>
    <w:rsid w:val="1D6A673C"/>
    <w:rsid w:val="1D9247AE"/>
    <w:rsid w:val="1DB567EC"/>
    <w:rsid w:val="1DEC22C4"/>
    <w:rsid w:val="1DF51A98"/>
    <w:rsid w:val="1E3D060F"/>
    <w:rsid w:val="1E3F7D2E"/>
    <w:rsid w:val="1E4134E4"/>
    <w:rsid w:val="1E5062B3"/>
    <w:rsid w:val="1E523514"/>
    <w:rsid w:val="1E714A66"/>
    <w:rsid w:val="1E730E11"/>
    <w:rsid w:val="1E802593"/>
    <w:rsid w:val="1E881A8A"/>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C506F5"/>
    <w:rsid w:val="20DF1008"/>
    <w:rsid w:val="20EE2FE4"/>
    <w:rsid w:val="20FE3A4A"/>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3E0F44"/>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07BED"/>
    <w:rsid w:val="24D663E6"/>
    <w:rsid w:val="24D77F2B"/>
    <w:rsid w:val="254F52B1"/>
    <w:rsid w:val="2587768C"/>
    <w:rsid w:val="258B00E2"/>
    <w:rsid w:val="259B2C8A"/>
    <w:rsid w:val="25A34E23"/>
    <w:rsid w:val="25A917A6"/>
    <w:rsid w:val="25BE27CC"/>
    <w:rsid w:val="25E92F53"/>
    <w:rsid w:val="25F66E05"/>
    <w:rsid w:val="25F74A5C"/>
    <w:rsid w:val="2628662C"/>
    <w:rsid w:val="262D45DE"/>
    <w:rsid w:val="266E6AE8"/>
    <w:rsid w:val="267E09C1"/>
    <w:rsid w:val="26871DC8"/>
    <w:rsid w:val="26A53EF9"/>
    <w:rsid w:val="26A6481F"/>
    <w:rsid w:val="26A94201"/>
    <w:rsid w:val="26AC274F"/>
    <w:rsid w:val="270377E9"/>
    <w:rsid w:val="27044A29"/>
    <w:rsid w:val="271D34C8"/>
    <w:rsid w:val="272F6449"/>
    <w:rsid w:val="274C4FBA"/>
    <w:rsid w:val="276142BF"/>
    <w:rsid w:val="27783712"/>
    <w:rsid w:val="27907362"/>
    <w:rsid w:val="279B7084"/>
    <w:rsid w:val="27A02A0E"/>
    <w:rsid w:val="28333E1D"/>
    <w:rsid w:val="28454BD6"/>
    <w:rsid w:val="28455253"/>
    <w:rsid w:val="28551971"/>
    <w:rsid w:val="285B1C53"/>
    <w:rsid w:val="289F7086"/>
    <w:rsid w:val="28C32028"/>
    <w:rsid w:val="28CC490F"/>
    <w:rsid w:val="28DE40AA"/>
    <w:rsid w:val="29345E77"/>
    <w:rsid w:val="29453CBE"/>
    <w:rsid w:val="294C65AD"/>
    <w:rsid w:val="294E3480"/>
    <w:rsid w:val="297C731B"/>
    <w:rsid w:val="29806583"/>
    <w:rsid w:val="298B3C4C"/>
    <w:rsid w:val="29C934BB"/>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D908CA"/>
    <w:rsid w:val="2CE82D6F"/>
    <w:rsid w:val="2CF7210F"/>
    <w:rsid w:val="2D2216DE"/>
    <w:rsid w:val="2D343236"/>
    <w:rsid w:val="2D956040"/>
    <w:rsid w:val="2DC53663"/>
    <w:rsid w:val="2DD15014"/>
    <w:rsid w:val="2DF72DE4"/>
    <w:rsid w:val="2E0220AF"/>
    <w:rsid w:val="2E4B082A"/>
    <w:rsid w:val="2E5D4E86"/>
    <w:rsid w:val="2E5D790B"/>
    <w:rsid w:val="2E776A61"/>
    <w:rsid w:val="2E9A3C18"/>
    <w:rsid w:val="2EBB0FEE"/>
    <w:rsid w:val="2EC63002"/>
    <w:rsid w:val="2ECB46DA"/>
    <w:rsid w:val="2F064D1A"/>
    <w:rsid w:val="2F0A6B38"/>
    <w:rsid w:val="2F0E78D3"/>
    <w:rsid w:val="2F946CCB"/>
    <w:rsid w:val="2FD25781"/>
    <w:rsid w:val="2FDE33BA"/>
    <w:rsid w:val="2FF346DE"/>
    <w:rsid w:val="2FFB7730"/>
    <w:rsid w:val="2FFD7934"/>
    <w:rsid w:val="30201A01"/>
    <w:rsid w:val="30733ACD"/>
    <w:rsid w:val="308C3862"/>
    <w:rsid w:val="309379D8"/>
    <w:rsid w:val="309B6899"/>
    <w:rsid w:val="30A270F7"/>
    <w:rsid w:val="30C4123F"/>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7B5D1E"/>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BB6998"/>
    <w:rsid w:val="36EC0CC9"/>
    <w:rsid w:val="37162528"/>
    <w:rsid w:val="37390A8E"/>
    <w:rsid w:val="373F410B"/>
    <w:rsid w:val="37550FFC"/>
    <w:rsid w:val="3756404C"/>
    <w:rsid w:val="376A0174"/>
    <w:rsid w:val="378C13F6"/>
    <w:rsid w:val="37BD1A5A"/>
    <w:rsid w:val="37E16E9C"/>
    <w:rsid w:val="37EE7094"/>
    <w:rsid w:val="38296C89"/>
    <w:rsid w:val="383002EB"/>
    <w:rsid w:val="38586797"/>
    <w:rsid w:val="388843DC"/>
    <w:rsid w:val="38BC0149"/>
    <w:rsid w:val="38D87D1C"/>
    <w:rsid w:val="38DE6D4B"/>
    <w:rsid w:val="38FF32BF"/>
    <w:rsid w:val="39097066"/>
    <w:rsid w:val="391F535F"/>
    <w:rsid w:val="392E73EA"/>
    <w:rsid w:val="39636459"/>
    <w:rsid w:val="396B7F6C"/>
    <w:rsid w:val="399C14F7"/>
    <w:rsid w:val="39B417A9"/>
    <w:rsid w:val="39F5707E"/>
    <w:rsid w:val="39FC5695"/>
    <w:rsid w:val="3A006D8E"/>
    <w:rsid w:val="3A3651E5"/>
    <w:rsid w:val="3A463592"/>
    <w:rsid w:val="3A4E2342"/>
    <w:rsid w:val="3A744481"/>
    <w:rsid w:val="3A8C7BEF"/>
    <w:rsid w:val="3A906246"/>
    <w:rsid w:val="3AB92FEC"/>
    <w:rsid w:val="3B2349B7"/>
    <w:rsid w:val="3B4677B8"/>
    <w:rsid w:val="3B616CFF"/>
    <w:rsid w:val="3B6259F6"/>
    <w:rsid w:val="3B894B0B"/>
    <w:rsid w:val="3B976654"/>
    <w:rsid w:val="3B9B68EE"/>
    <w:rsid w:val="3BC01EFC"/>
    <w:rsid w:val="3BC52CC1"/>
    <w:rsid w:val="3BCA786A"/>
    <w:rsid w:val="3BD06659"/>
    <w:rsid w:val="3BD31E2F"/>
    <w:rsid w:val="3BF15831"/>
    <w:rsid w:val="3C0D46EC"/>
    <w:rsid w:val="3C105946"/>
    <w:rsid w:val="3C471448"/>
    <w:rsid w:val="3C556941"/>
    <w:rsid w:val="3C5F759A"/>
    <w:rsid w:val="3C616601"/>
    <w:rsid w:val="3C6C525A"/>
    <w:rsid w:val="3CA60D3D"/>
    <w:rsid w:val="3CC71BF1"/>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295268"/>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3FCB3C60"/>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17EE9"/>
    <w:rsid w:val="43A3342B"/>
    <w:rsid w:val="43C77C27"/>
    <w:rsid w:val="43DE09EE"/>
    <w:rsid w:val="44002FAD"/>
    <w:rsid w:val="4430589B"/>
    <w:rsid w:val="44356927"/>
    <w:rsid w:val="448F5620"/>
    <w:rsid w:val="449101DD"/>
    <w:rsid w:val="449D00C3"/>
    <w:rsid w:val="44B85271"/>
    <w:rsid w:val="44DE1391"/>
    <w:rsid w:val="44E72961"/>
    <w:rsid w:val="451B225C"/>
    <w:rsid w:val="452410C9"/>
    <w:rsid w:val="452B71EC"/>
    <w:rsid w:val="452E1696"/>
    <w:rsid w:val="45317DFB"/>
    <w:rsid w:val="456D3CE4"/>
    <w:rsid w:val="4579042C"/>
    <w:rsid w:val="457E4BFD"/>
    <w:rsid w:val="457F0571"/>
    <w:rsid w:val="45851176"/>
    <w:rsid w:val="45853C91"/>
    <w:rsid w:val="458A2D71"/>
    <w:rsid w:val="45C63B94"/>
    <w:rsid w:val="45E83F3B"/>
    <w:rsid w:val="45F134FD"/>
    <w:rsid w:val="460167B7"/>
    <w:rsid w:val="460E7DA5"/>
    <w:rsid w:val="461B579A"/>
    <w:rsid w:val="46422483"/>
    <w:rsid w:val="464B356C"/>
    <w:rsid w:val="4659254A"/>
    <w:rsid w:val="465B0637"/>
    <w:rsid w:val="465E3F0D"/>
    <w:rsid w:val="466A16E6"/>
    <w:rsid w:val="46791209"/>
    <w:rsid w:val="46893F2B"/>
    <w:rsid w:val="46C4686E"/>
    <w:rsid w:val="46EC6103"/>
    <w:rsid w:val="472A3E43"/>
    <w:rsid w:val="47391126"/>
    <w:rsid w:val="473D0E4D"/>
    <w:rsid w:val="477B778F"/>
    <w:rsid w:val="478203EC"/>
    <w:rsid w:val="478464A5"/>
    <w:rsid w:val="47B025FA"/>
    <w:rsid w:val="47EC7057"/>
    <w:rsid w:val="48010DED"/>
    <w:rsid w:val="4809698F"/>
    <w:rsid w:val="48097DF4"/>
    <w:rsid w:val="480C2553"/>
    <w:rsid w:val="4811697D"/>
    <w:rsid w:val="485765F3"/>
    <w:rsid w:val="487A3E25"/>
    <w:rsid w:val="487B0FC2"/>
    <w:rsid w:val="48833F78"/>
    <w:rsid w:val="488B5503"/>
    <w:rsid w:val="488B752C"/>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70CA5"/>
    <w:rsid w:val="496F77D7"/>
    <w:rsid w:val="497654FD"/>
    <w:rsid w:val="498F505D"/>
    <w:rsid w:val="49B64211"/>
    <w:rsid w:val="49F6167F"/>
    <w:rsid w:val="4A064FA0"/>
    <w:rsid w:val="4A16615C"/>
    <w:rsid w:val="4A4424D7"/>
    <w:rsid w:val="4A493572"/>
    <w:rsid w:val="4A6E0CA4"/>
    <w:rsid w:val="4A706C8D"/>
    <w:rsid w:val="4A83134F"/>
    <w:rsid w:val="4AB82D0F"/>
    <w:rsid w:val="4AEB7664"/>
    <w:rsid w:val="4AFD7C19"/>
    <w:rsid w:val="4B0567D1"/>
    <w:rsid w:val="4B236AAE"/>
    <w:rsid w:val="4B555D27"/>
    <w:rsid w:val="4B707271"/>
    <w:rsid w:val="4B9739F7"/>
    <w:rsid w:val="4B974368"/>
    <w:rsid w:val="4B9A6B21"/>
    <w:rsid w:val="4B9C1FA2"/>
    <w:rsid w:val="4BA71552"/>
    <w:rsid w:val="4BE96C25"/>
    <w:rsid w:val="4BEE2503"/>
    <w:rsid w:val="4C245A30"/>
    <w:rsid w:val="4C4B7296"/>
    <w:rsid w:val="4C5D53ED"/>
    <w:rsid w:val="4C676029"/>
    <w:rsid w:val="4CAF7256"/>
    <w:rsid w:val="4CB6685F"/>
    <w:rsid w:val="4CC367FE"/>
    <w:rsid w:val="4D077F3C"/>
    <w:rsid w:val="4D123355"/>
    <w:rsid w:val="4D213B0B"/>
    <w:rsid w:val="4D2A3B31"/>
    <w:rsid w:val="4D312C52"/>
    <w:rsid w:val="4D4B0F25"/>
    <w:rsid w:val="4D905305"/>
    <w:rsid w:val="4D964A72"/>
    <w:rsid w:val="4D9C1254"/>
    <w:rsid w:val="4DA1334D"/>
    <w:rsid w:val="4E526455"/>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2551B"/>
    <w:rsid w:val="50755E1B"/>
    <w:rsid w:val="50962ECB"/>
    <w:rsid w:val="50A42E38"/>
    <w:rsid w:val="50A4577F"/>
    <w:rsid w:val="50B73D1F"/>
    <w:rsid w:val="50BD5BC9"/>
    <w:rsid w:val="50C11EEE"/>
    <w:rsid w:val="50D73351"/>
    <w:rsid w:val="50E97CFC"/>
    <w:rsid w:val="50F1399D"/>
    <w:rsid w:val="50FA4028"/>
    <w:rsid w:val="50FE434C"/>
    <w:rsid w:val="510D65B7"/>
    <w:rsid w:val="511157AB"/>
    <w:rsid w:val="512561C9"/>
    <w:rsid w:val="5142540C"/>
    <w:rsid w:val="518832C8"/>
    <w:rsid w:val="51A0432A"/>
    <w:rsid w:val="51A86090"/>
    <w:rsid w:val="51B7396D"/>
    <w:rsid w:val="51F4743E"/>
    <w:rsid w:val="520C0436"/>
    <w:rsid w:val="522E4CC3"/>
    <w:rsid w:val="5244713B"/>
    <w:rsid w:val="52615633"/>
    <w:rsid w:val="526A04DD"/>
    <w:rsid w:val="52707BDA"/>
    <w:rsid w:val="52977FD4"/>
    <w:rsid w:val="52A25790"/>
    <w:rsid w:val="52A96B6F"/>
    <w:rsid w:val="52B45975"/>
    <w:rsid w:val="52D94AA4"/>
    <w:rsid w:val="52DC40B5"/>
    <w:rsid w:val="52EA3A62"/>
    <w:rsid w:val="52F50BB8"/>
    <w:rsid w:val="53097272"/>
    <w:rsid w:val="53544462"/>
    <w:rsid w:val="53674107"/>
    <w:rsid w:val="53676980"/>
    <w:rsid w:val="53960CB2"/>
    <w:rsid w:val="5397158E"/>
    <w:rsid w:val="53D42C20"/>
    <w:rsid w:val="54013861"/>
    <w:rsid w:val="54391CAF"/>
    <w:rsid w:val="54487265"/>
    <w:rsid w:val="544D6070"/>
    <w:rsid w:val="5455279C"/>
    <w:rsid w:val="545B4ECF"/>
    <w:rsid w:val="545E594E"/>
    <w:rsid w:val="54604504"/>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5F16964"/>
    <w:rsid w:val="55FA20BB"/>
    <w:rsid w:val="561C1BE8"/>
    <w:rsid w:val="566B6D1E"/>
    <w:rsid w:val="569E129D"/>
    <w:rsid w:val="56C76EC1"/>
    <w:rsid w:val="57032A2C"/>
    <w:rsid w:val="570F5219"/>
    <w:rsid w:val="571A09A6"/>
    <w:rsid w:val="575D12B5"/>
    <w:rsid w:val="57610A87"/>
    <w:rsid w:val="577B1140"/>
    <w:rsid w:val="577B7F21"/>
    <w:rsid w:val="577F181B"/>
    <w:rsid w:val="57921984"/>
    <w:rsid w:val="579737F0"/>
    <w:rsid w:val="57AB7B30"/>
    <w:rsid w:val="57AF5251"/>
    <w:rsid w:val="57B26373"/>
    <w:rsid w:val="57B3517E"/>
    <w:rsid w:val="57B63F04"/>
    <w:rsid w:val="57CC617F"/>
    <w:rsid w:val="57CD20C2"/>
    <w:rsid w:val="57D675AB"/>
    <w:rsid w:val="57D95FDD"/>
    <w:rsid w:val="58917D2F"/>
    <w:rsid w:val="5894085C"/>
    <w:rsid w:val="58AE4F0C"/>
    <w:rsid w:val="58B2409A"/>
    <w:rsid w:val="58B85899"/>
    <w:rsid w:val="58C0702C"/>
    <w:rsid w:val="58E363A9"/>
    <w:rsid w:val="59272ECB"/>
    <w:rsid w:val="59307B25"/>
    <w:rsid w:val="593A05F7"/>
    <w:rsid w:val="595E1678"/>
    <w:rsid w:val="596D5BD4"/>
    <w:rsid w:val="597E3DD8"/>
    <w:rsid w:val="59AB1AC0"/>
    <w:rsid w:val="59B31026"/>
    <w:rsid w:val="59F80043"/>
    <w:rsid w:val="5A09252F"/>
    <w:rsid w:val="5A0B2778"/>
    <w:rsid w:val="5A2A7C7B"/>
    <w:rsid w:val="5A3E2560"/>
    <w:rsid w:val="5A5D3B6E"/>
    <w:rsid w:val="5A637A76"/>
    <w:rsid w:val="5A686384"/>
    <w:rsid w:val="5A6D33BA"/>
    <w:rsid w:val="5A792B1F"/>
    <w:rsid w:val="5A874767"/>
    <w:rsid w:val="5AA85BE2"/>
    <w:rsid w:val="5AAD6F28"/>
    <w:rsid w:val="5AD63A24"/>
    <w:rsid w:val="5AE51FB6"/>
    <w:rsid w:val="5AEC4DFF"/>
    <w:rsid w:val="5B2E1A1D"/>
    <w:rsid w:val="5B843A1C"/>
    <w:rsid w:val="5B873E3F"/>
    <w:rsid w:val="5B9D1407"/>
    <w:rsid w:val="5C02690E"/>
    <w:rsid w:val="5C196DA7"/>
    <w:rsid w:val="5C225659"/>
    <w:rsid w:val="5C2A048C"/>
    <w:rsid w:val="5C35640B"/>
    <w:rsid w:val="5C7422AE"/>
    <w:rsid w:val="5C80234E"/>
    <w:rsid w:val="5C8A680C"/>
    <w:rsid w:val="5CA32C2B"/>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259C7"/>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CC5339"/>
    <w:rsid w:val="5FE34A5B"/>
    <w:rsid w:val="5FF569FA"/>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85935"/>
    <w:rsid w:val="638D750D"/>
    <w:rsid w:val="639F201C"/>
    <w:rsid w:val="63AC52D2"/>
    <w:rsid w:val="63AC6CC0"/>
    <w:rsid w:val="63B048E8"/>
    <w:rsid w:val="64055776"/>
    <w:rsid w:val="64175397"/>
    <w:rsid w:val="64240056"/>
    <w:rsid w:val="643E143A"/>
    <w:rsid w:val="64467090"/>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F3F24"/>
    <w:rsid w:val="673E055F"/>
    <w:rsid w:val="67551CE3"/>
    <w:rsid w:val="67A22552"/>
    <w:rsid w:val="67A530AB"/>
    <w:rsid w:val="67A63540"/>
    <w:rsid w:val="67B22DCC"/>
    <w:rsid w:val="67BE71AA"/>
    <w:rsid w:val="67D90273"/>
    <w:rsid w:val="67DE5875"/>
    <w:rsid w:val="67E55852"/>
    <w:rsid w:val="67EB1AB4"/>
    <w:rsid w:val="67FA1285"/>
    <w:rsid w:val="68242523"/>
    <w:rsid w:val="68551F4F"/>
    <w:rsid w:val="685D6D2A"/>
    <w:rsid w:val="68647B92"/>
    <w:rsid w:val="687C10C9"/>
    <w:rsid w:val="68840C16"/>
    <w:rsid w:val="68876EFB"/>
    <w:rsid w:val="68884654"/>
    <w:rsid w:val="689F444F"/>
    <w:rsid w:val="68B96DBB"/>
    <w:rsid w:val="68CA2805"/>
    <w:rsid w:val="68E85AE5"/>
    <w:rsid w:val="68E937A3"/>
    <w:rsid w:val="69351A7B"/>
    <w:rsid w:val="693E15D3"/>
    <w:rsid w:val="69627681"/>
    <w:rsid w:val="6977531D"/>
    <w:rsid w:val="69B51747"/>
    <w:rsid w:val="69BD5BBB"/>
    <w:rsid w:val="69CC2BFF"/>
    <w:rsid w:val="69D327F2"/>
    <w:rsid w:val="69D54940"/>
    <w:rsid w:val="69FD14B4"/>
    <w:rsid w:val="69FD55B8"/>
    <w:rsid w:val="6A0B1C62"/>
    <w:rsid w:val="6A0C584D"/>
    <w:rsid w:val="6A0D3F4C"/>
    <w:rsid w:val="6A2406C8"/>
    <w:rsid w:val="6A4B328A"/>
    <w:rsid w:val="6A4B36BE"/>
    <w:rsid w:val="6A8F2B46"/>
    <w:rsid w:val="6AB20DE6"/>
    <w:rsid w:val="6ABA3454"/>
    <w:rsid w:val="6ADC5EF8"/>
    <w:rsid w:val="6ADE0BD1"/>
    <w:rsid w:val="6AE2497F"/>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24BDB"/>
    <w:rsid w:val="6DD41A5B"/>
    <w:rsid w:val="6DF43C2E"/>
    <w:rsid w:val="6DF51CA3"/>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DB77AC"/>
    <w:rsid w:val="70F5661B"/>
    <w:rsid w:val="70FF0D7D"/>
    <w:rsid w:val="71360107"/>
    <w:rsid w:val="713B688E"/>
    <w:rsid w:val="71575908"/>
    <w:rsid w:val="7167149E"/>
    <w:rsid w:val="7183561A"/>
    <w:rsid w:val="71BE6408"/>
    <w:rsid w:val="71D43752"/>
    <w:rsid w:val="71D7083C"/>
    <w:rsid w:val="71E8414B"/>
    <w:rsid w:val="71F1796A"/>
    <w:rsid w:val="720846CC"/>
    <w:rsid w:val="72154626"/>
    <w:rsid w:val="72202699"/>
    <w:rsid w:val="72262B5D"/>
    <w:rsid w:val="72283FF7"/>
    <w:rsid w:val="722E7212"/>
    <w:rsid w:val="723A0474"/>
    <w:rsid w:val="72531F1A"/>
    <w:rsid w:val="725923E4"/>
    <w:rsid w:val="72681F93"/>
    <w:rsid w:val="72864BF7"/>
    <w:rsid w:val="729023FC"/>
    <w:rsid w:val="733470C6"/>
    <w:rsid w:val="73533CC2"/>
    <w:rsid w:val="73C0646E"/>
    <w:rsid w:val="742222F5"/>
    <w:rsid w:val="742348D0"/>
    <w:rsid w:val="74476126"/>
    <w:rsid w:val="745E5F99"/>
    <w:rsid w:val="74624977"/>
    <w:rsid w:val="74694588"/>
    <w:rsid w:val="74706664"/>
    <w:rsid w:val="7475702A"/>
    <w:rsid w:val="747F3682"/>
    <w:rsid w:val="749C4185"/>
    <w:rsid w:val="74A73931"/>
    <w:rsid w:val="74BE006A"/>
    <w:rsid w:val="74EB0BAE"/>
    <w:rsid w:val="75067759"/>
    <w:rsid w:val="752E6DCD"/>
    <w:rsid w:val="7551380D"/>
    <w:rsid w:val="75600BE5"/>
    <w:rsid w:val="7564475C"/>
    <w:rsid w:val="75834A5C"/>
    <w:rsid w:val="7583797F"/>
    <w:rsid w:val="759E2239"/>
    <w:rsid w:val="75D20F1D"/>
    <w:rsid w:val="75DA2C18"/>
    <w:rsid w:val="75F54412"/>
    <w:rsid w:val="761969BC"/>
    <w:rsid w:val="761D08E0"/>
    <w:rsid w:val="76374196"/>
    <w:rsid w:val="76400B70"/>
    <w:rsid w:val="765D347C"/>
    <w:rsid w:val="76826699"/>
    <w:rsid w:val="76C87133"/>
    <w:rsid w:val="76CD08D5"/>
    <w:rsid w:val="76DB4B92"/>
    <w:rsid w:val="76E55F22"/>
    <w:rsid w:val="76FF4961"/>
    <w:rsid w:val="77052AA4"/>
    <w:rsid w:val="77136511"/>
    <w:rsid w:val="77340A39"/>
    <w:rsid w:val="77351FD0"/>
    <w:rsid w:val="77472422"/>
    <w:rsid w:val="777F31F2"/>
    <w:rsid w:val="77BC4C63"/>
    <w:rsid w:val="77D1700D"/>
    <w:rsid w:val="77E4568D"/>
    <w:rsid w:val="77EC04CC"/>
    <w:rsid w:val="78006A23"/>
    <w:rsid w:val="78140026"/>
    <w:rsid w:val="781B5927"/>
    <w:rsid w:val="784B4D4F"/>
    <w:rsid w:val="78775729"/>
    <w:rsid w:val="78A42DB0"/>
    <w:rsid w:val="78A656AB"/>
    <w:rsid w:val="78B2245C"/>
    <w:rsid w:val="78D830FC"/>
    <w:rsid w:val="78E172CC"/>
    <w:rsid w:val="78EA1D1F"/>
    <w:rsid w:val="7904172F"/>
    <w:rsid w:val="79062AD2"/>
    <w:rsid w:val="790F7E27"/>
    <w:rsid w:val="792A231A"/>
    <w:rsid w:val="79316829"/>
    <w:rsid w:val="79342ECD"/>
    <w:rsid w:val="79404FE3"/>
    <w:rsid w:val="797C7409"/>
    <w:rsid w:val="797E66A9"/>
    <w:rsid w:val="7994526A"/>
    <w:rsid w:val="79A97383"/>
    <w:rsid w:val="79E27E8B"/>
    <w:rsid w:val="79E961DE"/>
    <w:rsid w:val="79F850CE"/>
    <w:rsid w:val="79FC52E4"/>
    <w:rsid w:val="79FD443C"/>
    <w:rsid w:val="7A1D1975"/>
    <w:rsid w:val="7A3902E6"/>
    <w:rsid w:val="7A3E5150"/>
    <w:rsid w:val="7A4670D6"/>
    <w:rsid w:val="7A534B63"/>
    <w:rsid w:val="7A615382"/>
    <w:rsid w:val="7A653600"/>
    <w:rsid w:val="7A67303B"/>
    <w:rsid w:val="7AAB1D04"/>
    <w:rsid w:val="7ABA4368"/>
    <w:rsid w:val="7AD05746"/>
    <w:rsid w:val="7AEC549C"/>
    <w:rsid w:val="7AF15C81"/>
    <w:rsid w:val="7B226FCC"/>
    <w:rsid w:val="7B257FFD"/>
    <w:rsid w:val="7B343476"/>
    <w:rsid w:val="7B5A2978"/>
    <w:rsid w:val="7B5A7E4C"/>
    <w:rsid w:val="7B667AF9"/>
    <w:rsid w:val="7B7468F8"/>
    <w:rsid w:val="7BD10E19"/>
    <w:rsid w:val="7BE64CF7"/>
    <w:rsid w:val="7BEE0103"/>
    <w:rsid w:val="7C0A0FE4"/>
    <w:rsid w:val="7C254906"/>
    <w:rsid w:val="7C5022FF"/>
    <w:rsid w:val="7C590818"/>
    <w:rsid w:val="7C6E0182"/>
    <w:rsid w:val="7C7C10F6"/>
    <w:rsid w:val="7C7E090C"/>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259CC"/>
    <w:rsid w:val="7EF56FBB"/>
    <w:rsid w:val="7EFC38CE"/>
    <w:rsid w:val="7F067E4D"/>
    <w:rsid w:val="7F0768EB"/>
    <w:rsid w:val="7F143BEC"/>
    <w:rsid w:val="7F5050ED"/>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9"/>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4"/>
    <w:qFormat/>
    <w:uiPriority w:val="0"/>
    <w:pPr>
      <w:ind w:firstLine="420"/>
    </w:pPr>
    <w:rPr>
      <w:rFonts w:hAnsi="Calibri" w:cs="Times New Roman"/>
      <w:snapToGrid/>
      <w:szCs w:val="20"/>
    </w:rPr>
  </w:style>
  <w:style w:type="paragraph" w:styleId="27">
    <w:name w:val="Body Text Indent"/>
    <w:basedOn w:val="1"/>
    <w:next w:val="17"/>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qFormat/>
    <w:uiPriority w:val="0"/>
    <w:rPr>
      <w:b/>
      <w:bCs/>
    </w:rPr>
  </w:style>
  <w:style w:type="paragraph" w:styleId="62">
    <w:name w:val="Body Text First Indent 2"/>
    <w:basedOn w:val="27"/>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3">
    <w:name w:val="[Normal]"/>
    <w:qFormat/>
    <w:uiPriority w:val="0"/>
    <w:rPr>
      <w:rFonts w:ascii="宋体" w:hAnsi="宋体" w:eastAsia="宋体" w:cs="Times New Roman"/>
      <w:sz w:val="24"/>
      <w:lang w:val="zh-CN" w:eastAsia="zh-CN" w:bidi="ar-SA"/>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文本首行缩进 21"/>
    <w:basedOn w:val="27"/>
    <w:qFormat/>
    <w:uiPriority w:val="99"/>
    <w:pPr>
      <w:spacing w:line="200" w:lineRule="atLeast"/>
      <w:ind w:firstLine="420"/>
    </w:pPr>
    <w:rPr>
      <w:rFonts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paragraph" w:customStyle="1" w:styleId="2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4"/>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0"/>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next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4"/>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spacing w:line="391" w:lineRule="auto"/>
      <w:ind w:firstLine="400"/>
    </w:pPr>
    <w:rPr>
      <w:rFonts w:ascii="宋体" w:hAnsi="宋体" w:cs="宋体"/>
      <w:lang w:val="zh-TW" w:eastAsia="zh-TW" w:bidi="zh-TW"/>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1">
    <w:name w:val="Char13"/>
    <w:basedOn w:val="1"/>
    <w:qFormat/>
    <w:uiPriority w:val="0"/>
    <w:pPr>
      <w:tabs>
        <w:tab w:val="left" w:pos="432"/>
      </w:tabs>
      <w:adjustRightInd/>
      <w:ind w:left="432" w:hanging="432"/>
    </w:pPr>
    <w:rPr>
      <w:rFonts w:ascii="Tahoma" w:hAnsi="Tahoma"/>
      <w:sz w:val="24"/>
      <w:szCs w:val="20"/>
    </w:rPr>
  </w:style>
  <w:style w:type="paragraph" w:customStyle="1" w:styleId="972">
    <w:name w:val="列出段落6"/>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F993C-DDE5-4D60-83FB-766D114F85C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45</Pages>
  <Words>18741</Words>
  <Characters>19829</Characters>
  <Lines>158</Lines>
  <Paragraphs>44</Paragraphs>
  <TotalTime>2</TotalTime>
  <ScaleCrop>false</ScaleCrop>
  <LinksUpToDate>false</LinksUpToDate>
  <CharactersWithSpaces>23279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2024-06-18T05:37:44Z</dcterms:modified>
  <dc:title>杭州市市民卡扩大发卡工程</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9B35D9495C18473DB75C54254E2074DA_13</vt:lpwstr>
  </property>
  <property fmtid="{D5CDD505-2E9C-101B-9397-08002B2CF9AE}" pid="5" name="commondata">
    <vt:lpwstr>eyJoZGlkIjoiMzdkYTNjODAzOWEyZTBjZWI2OWE0Y2U2MTNhOGNiNmUifQ==</vt:lpwstr>
  </property>
</Properties>
</file>