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8"/>
        <w:spacing w:line="760" w:lineRule="exact"/>
        <w:rPr>
          <w:rFonts w:ascii="宋体" w:eastAsia="宋体"/>
          <w:color w:val="auto"/>
          <w:sz w:val="72"/>
          <w:szCs w:val="72"/>
          <w:highlight w:val="none"/>
        </w:rPr>
      </w:pPr>
    </w:p>
    <w:p>
      <w:pPr>
        <w:pStyle w:val="25"/>
        <w:jc w:val="center"/>
        <w:rPr>
          <w:rFonts w:hint="eastAsia" w:hAnsi="宋体" w:cs="宋体"/>
          <w:b/>
          <w:bCs/>
          <w:color w:val="auto"/>
          <w:sz w:val="48"/>
          <w:szCs w:val="48"/>
          <w:highlight w:val="none"/>
          <w:lang w:val="en-US" w:eastAsia="zh-CN"/>
        </w:rPr>
      </w:pPr>
      <w:r>
        <w:rPr>
          <w:rFonts w:hint="eastAsia" w:hAnsi="宋体" w:cs="宋体"/>
          <w:b/>
          <w:bCs/>
          <w:color w:val="auto"/>
          <w:sz w:val="44"/>
          <w:szCs w:val="44"/>
          <w:highlight w:val="none"/>
          <w:lang w:val="en-US" w:eastAsia="zh-CN"/>
        </w:rPr>
        <w:t>2024年杭州萧山天度房屋面积测绘有限公司疗休养服务采购项目</w:t>
      </w:r>
    </w:p>
    <w:p>
      <w:pPr>
        <w:pStyle w:val="25"/>
        <w:jc w:val="center"/>
        <w:rPr>
          <w:rFonts w:hAnsi="宋体" w:cs="宋体"/>
          <w:b/>
          <w:bCs/>
          <w:color w:val="auto"/>
          <w:sz w:val="52"/>
          <w:szCs w:val="52"/>
          <w:highlight w:val="none"/>
          <w:lang w:val="en-US"/>
        </w:rPr>
      </w:pPr>
    </w:p>
    <w:p>
      <w:pPr>
        <w:pStyle w:val="80"/>
        <w:rPr>
          <w:color w:val="auto"/>
          <w:highlight w:val="none"/>
          <w:lang w:eastAsia="zh-CN"/>
        </w:rPr>
      </w:pPr>
    </w:p>
    <w:p>
      <w:pPr>
        <w:adjustRightInd/>
        <w:spacing w:line="360" w:lineRule="auto"/>
        <w:jc w:val="center"/>
        <w:rPr>
          <w:rFonts w:ascii="宋体" w:hAnsi="宋体" w:cs="宋体"/>
          <w:b/>
          <w:bCs/>
          <w:color w:val="auto"/>
          <w:sz w:val="72"/>
          <w:szCs w:val="72"/>
          <w:highlight w:val="none"/>
        </w:rPr>
      </w:pPr>
    </w:p>
    <w:p>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pPr>
        <w:pStyle w:val="27"/>
        <w:spacing w:line="240" w:lineRule="auto"/>
        <w:ind w:firstLine="0" w:firstLineChars="0"/>
        <w:jc w:val="center"/>
        <w:rPr>
          <w:rFonts w:cs="宋体"/>
          <w:b/>
          <w:bCs/>
          <w:color w:val="auto"/>
          <w:sz w:val="56"/>
          <w:szCs w:val="56"/>
          <w:highlight w:val="none"/>
        </w:rPr>
      </w:pPr>
      <w:r>
        <w:rPr>
          <w:rFonts w:hint="eastAsia" w:cs="宋体"/>
          <w:b/>
          <w:bCs/>
          <w:color w:val="auto"/>
          <w:sz w:val="56"/>
          <w:szCs w:val="56"/>
          <w:highlight w:val="none"/>
        </w:rPr>
        <w:t>（电子交易文件）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sz w:val="30"/>
          <w:szCs w:val="30"/>
          <w:highlight w:val="none"/>
        </w:rPr>
        <w:t>交易编号：</w:t>
      </w:r>
      <w:r>
        <w:rPr>
          <w:rFonts w:hint="eastAsia" w:ascii="宋体" w:hAnsi="宋体" w:cs="宋体"/>
          <w:b/>
          <w:color w:val="auto"/>
          <w:sz w:val="32"/>
          <w:szCs w:val="32"/>
          <w:highlight w:val="none"/>
        </w:rPr>
        <w:t>BWZBDL2024-</w:t>
      </w:r>
      <w:r>
        <w:rPr>
          <w:rFonts w:hint="eastAsia" w:ascii="宋体" w:hAnsi="宋体" w:cs="宋体"/>
          <w:b/>
          <w:color w:val="auto"/>
          <w:sz w:val="32"/>
          <w:szCs w:val="32"/>
          <w:highlight w:val="none"/>
          <w:lang w:val="en-US" w:eastAsia="zh-CN"/>
        </w:rPr>
        <w:t>136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pStyle w:val="83"/>
        <w:rPr>
          <w:rFonts w:cs="宋体"/>
          <w:color w:val="auto"/>
          <w:highlight w:val="none"/>
        </w:rPr>
      </w:pPr>
    </w:p>
    <w:p>
      <w:pPr>
        <w:pStyle w:val="83"/>
        <w:rPr>
          <w:rFonts w:cs="宋体"/>
          <w:color w:val="auto"/>
          <w:highlight w:val="none"/>
        </w:rPr>
      </w:pPr>
    </w:p>
    <w:p>
      <w:pPr>
        <w:spacing w:line="360" w:lineRule="auto"/>
        <w:ind w:firstLine="842" w:firstLineChars="262"/>
        <w:rPr>
          <w:rFonts w:ascii="宋体" w:hAnsi="宋体" w:cs="宋体"/>
          <w:b/>
          <w:color w:val="auto"/>
          <w:spacing w:val="0"/>
          <w:sz w:val="32"/>
          <w:szCs w:val="30"/>
          <w:highlight w:val="none"/>
        </w:rPr>
      </w:pPr>
      <w:r>
        <w:rPr>
          <w:rFonts w:hint="eastAsia" w:ascii="宋体" w:hAnsi="宋体" w:cs="宋体"/>
          <w:b/>
          <w:color w:val="auto"/>
          <w:spacing w:val="0"/>
          <w:sz w:val="32"/>
          <w:szCs w:val="30"/>
          <w:highlight w:val="none"/>
        </w:rPr>
        <w:t>交易发起人：</w:t>
      </w:r>
      <w:r>
        <w:rPr>
          <w:rFonts w:hint="eastAsia" w:ascii="宋体" w:hAnsi="宋体" w:cs="宋体"/>
          <w:b/>
          <w:color w:val="auto"/>
          <w:spacing w:val="0"/>
          <w:kern w:val="2"/>
          <w:sz w:val="32"/>
          <w:szCs w:val="30"/>
          <w:highlight w:val="none"/>
          <w:lang w:eastAsia="zh-CN"/>
        </w:rPr>
        <w:t>杭州萧山天度房屋面积测绘有限公司</w:t>
      </w:r>
    </w:p>
    <w:p>
      <w:pPr>
        <w:spacing w:line="360" w:lineRule="auto"/>
        <w:jc w:val="center"/>
        <w:rPr>
          <w:rFonts w:ascii="宋体" w:hAnsi="宋体" w:cs="宋体"/>
          <w:b/>
          <w:color w:val="auto"/>
          <w:spacing w:val="0"/>
          <w:sz w:val="32"/>
          <w:szCs w:val="32"/>
          <w:highlight w:val="none"/>
        </w:rPr>
      </w:pPr>
      <w:r>
        <w:rPr>
          <w:rFonts w:hint="eastAsia" w:ascii="宋体" w:hAnsi="宋体" w:cs="宋体"/>
          <w:b/>
          <w:color w:val="auto"/>
          <w:spacing w:val="0"/>
          <w:sz w:val="32"/>
          <w:szCs w:val="30"/>
          <w:highlight w:val="none"/>
        </w:rPr>
        <w:t>代理机构：杭州博望建设工程招标投标代理有限公司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六</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十八</w:t>
      </w:r>
      <w:r>
        <w:rPr>
          <w:rFonts w:hint="eastAsia" w:ascii="宋体" w:hAnsi="宋体" w:cs="宋体"/>
          <w:b/>
          <w:color w:val="auto"/>
          <w:sz w:val="32"/>
          <w:szCs w:val="32"/>
          <w:highlight w:val="none"/>
        </w:rPr>
        <w:t>日</w:t>
      </w:r>
    </w:p>
    <w:p>
      <w:pPr>
        <w:pStyle w:val="25"/>
        <w:rPr>
          <w:rFonts w:hAnsi="宋体" w:cs="宋体"/>
          <w:color w:val="auto"/>
          <w:highlight w:val="none"/>
        </w:rPr>
      </w:pPr>
    </w:p>
    <w:p>
      <w:pPr>
        <w:pStyle w:val="26"/>
        <w:rPr>
          <w:rFonts w:hAnsi="宋体" w:cs="宋体"/>
          <w:color w:val="auto"/>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rPr>
          <w:color w:val="auto"/>
          <w:highlight w:val="none"/>
        </w:rPr>
      </w:pPr>
    </w:p>
    <w:p>
      <w:pPr>
        <w:pStyle w:val="52"/>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交易编号：</w:t>
      </w:r>
      <w:r>
        <w:rPr>
          <w:rFonts w:hint="eastAsia" w:ascii="宋体" w:hAnsi="宋体" w:cs="宋体"/>
          <w:bCs/>
          <w:color w:val="auto"/>
          <w:sz w:val="24"/>
          <w:highlight w:val="none"/>
        </w:rPr>
        <w:t>BWZBDL2024-</w:t>
      </w:r>
      <w:r>
        <w:rPr>
          <w:rFonts w:hint="eastAsia" w:ascii="宋体" w:hAnsi="宋体" w:cs="宋体"/>
          <w:bCs/>
          <w:color w:val="auto"/>
          <w:sz w:val="24"/>
          <w:highlight w:val="none"/>
          <w:lang w:val="en-US" w:eastAsia="zh-CN"/>
        </w:rPr>
        <w:t>136</w:t>
      </w:r>
    </w:p>
    <w:p>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交易名称：</w:t>
      </w:r>
      <w:r>
        <w:rPr>
          <w:rFonts w:hint="eastAsia" w:ascii="宋体" w:hAnsi="宋体" w:cs="宋体"/>
          <w:b w:val="0"/>
          <w:bCs/>
          <w:color w:val="auto"/>
          <w:sz w:val="24"/>
          <w:highlight w:val="none"/>
          <w:u w:val="none"/>
          <w:lang w:eastAsia="zh-CN"/>
        </w:rPr>
        <w:t>2024年杭州萧山天度房屋面积测绘有限公司疗休养服务采购项目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b w:val="0"/>
          <w:bCs/>
          <w:color w:val="auto"/>
          <w:sz w:val="24"/>
          <w:highlight w:val="none"/>
          <w:u w:val="none"/>
          <w:lang w:val="en-US" w:eastAsia="zh-CN"/>
        </w:rPr>
        <w:t>15.90</w:t>
      </w:r>
      <w:r>
        <w:rPr>
          <w:rFonts w:hint="eastAsia" w:ascii="宋体" w:hAnsi="宋体" w:cs="宋体"/>
          <w:b w:val="0"/>
          <w:bCs/>
          <w:color w:val="auto"/>
          <w:sz w:val="24"/>
          <w:szCs w:val="28"/>
          <w:highlight w:val="none"/>
          <w:u w:val="none"/>
          <w:lang w:val="en-US" w:eastAsia="zh-CN"/>
        </w:rPr>
        <w:t>万</w:t>
      </w:r>
      <w:r>
        <w:rPr>
          <w:rFonts w:hint="eastAsia" w:ascii="宋体" w:hAnsi="宋体" w:eastAsia="宋体" w:cs="宋体"/>
          <w:b w:val="0"/>
          <w:bCs/>
          <w:color w:val="auto"/>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color w:val="auto"/>
          <w:sz w:val="24"/>
          <w:highlight w:val="none"/>
          <w:u w:val="none"/>
          <w:lang w:val="en-US"/>
        </w:rPr>
      </w:pPr>
      <w:r>
        <w:rPr>
          <w:rFonts w:hint="eastAsia" w:ascii="宋体" w:hAnsi="宋体" w:eastAsia="宋体" w:cs="宋体"/>
          <w:b/>
          <w:color w:val="auto"/>
          <w:sz w:val="24"/>
          <w:highlight w:val="none"/>
          <w:u w:val="none"/>
        </w:rPr>
        <w:t>最高限价：</w:t>
      </w:r>
      <w:r>
        <w:rPr>
          <w:rFonts w:hint="eastAsia" w:ascii="宋体" w:hAnsi="宋体" w:eastAsia="宋体" w:cs="宋体"/>
          <w:color w:val="auto"/>
          <w:sz w:val="24"/>
          <w:highlight w:val="none"/>
        </w:rPr>
        <w:t>3000.00元/人次（单价）</w:t>
      </w:r>
    </w:p>
    <w:p>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 w:val="0"/>
          <w:bCs/>
          <w:color w:val="auto"/>
          <w:sz w:val="24"/>
          <w:highlight w:val="none"/>
          <w:u w:val="none"/>
          <w:lang w:eastAsia="zh-CN"/>
        </w:rPr>
        <w:t>2024年杭州萧山天度房屋面积测绘有限公司疗休养服务</w:t>
      </w:r>
      <w:r>
        <w:rPr>
          <w:rFonts w:hint="eastAsia" w:hAnsi="宋体" w:cs="宋体"/>
          <w:color w:val="auto"/>
          <w:sz w:val="24"/>
          <w:highlight w:val="none"/>
        </w:rPr>
        <w:t>，详见交易需求。</w:t>
      </w:r>
    </w:p>
    <w:p>
      <w:pPr>
        <w:pStyle w:val="17"/>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26"/>
        <w:ind w:firstLine="480" w:firstLineChars="200"/>
        <w:rPr>
          <w:rFonts w:hAnsi="宋体" w:cs="宋体"/>
          <w:color w:val="auto"/>
          <w:highlight w:val="none"/>
          <w:lang w:val="en-US"/>
        </w:rPr>
      </w:pPr>
      <w:r>
        <w:rPr>
          <w:rFonts w:hint="eastAsia" w:hAnsi="宋体" w:cs="宋体"/>
          <w:color w:val="auto"/>
          <w:highlight w:val="none"/>
        </w:rPr>
        <w:t>7、本项目的特定资格要求：具有旅行社业务经营许可证</w:t>
      </w:r>
      <w:r>
        <w:rPr>
          <w:rFonts w:hint="eastAsia" w:hAnsi="宋体" w:cs="宋体"/>
          <w:color w:val="auto"/>
          <w:highlight w:val="none"/>
          <w:lang w:val="en-US"/>
        </w:rPr>
        <w:t>；</w:t>
      </w:r>
    </w:p>
    <w:p>
      <w:pPr>
        <w:pStyle w:val="26"/>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响应人登录政采云平台https://www.zcygov.cn/在线申请获取公开竞争文件（进入“项目采购”应用，在获取采购文件菜单中选择项目，申请获取公开竞争文件）。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szCs w:val="28"/>
          <w:highlight w:val="none"/>
          <w:lang w:eastAsia="zh-CN"/>
        </w:rPr>
        <w:t>杭州萧山天度房屋面积测绘有限公司</w:t>
      </w:r>
    </w:p>
    <w:p>
      <w:pPr>
        <w:spacing w:line="360" w:lineRule="auto"/>
        <w:ind w:firstLine="480" w:firstLineChars="200"/>
        <w:jc w:val="left"/>
        <w:rPr>
          <w:rFonts w:hint="eastAsia" w:ascii="宋体" w:hAnsi="宋体" w:eastAsia="宋体" w:cs="宋体"/>
          <w:color w:val="auto"/>
          <w:sz w:val="24"/>
          <w:highlight w:val="none"/>
          <w:lang w:eastAsia="zh-CN"/>
        </w:rPr>
      </w:pPr>
      <w:bookmarkStart w:id="10" w:name="_Toc28359086"/>
      <w:bookmarkStart w:id="11" w:name="_Toc28359009"/>
      <w:r>
        <w:rPr>
          <w:rFonts w:hint="eastAsia" w:ascii="宋体" w:hAnsi="宋体" w:eastAsia="宋体" w:cs="宋体"/>
          <w:color w:val="auto"/>
          <w:sz w:val="24"/>
          <w:highlight w:val="none"/>
        </w:rPr>
        <w:t>地址：萧山区城厢街道育才路501号</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陈工</w:t>
      </w:r>
    </w:p>
    <w:p>
      <w:pPr>
        <w:spacing w:line="360" w:lineRule="auto"/>
        <w:ind w:firstLine="480" w:firstLineChars="20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项目联系方式（询问）：0571-</w:t>
      </w:r>
      <w:r>
        <w:rPr>
          <w:rFonts w:hint="eastAsia" w:ascii="宋体" w:hAnsi="宋体" w:eastAsia="宋体" w:cs="宋体"/>
          <w:color w:val="auto"/>
          <w:sz w:val="24"/>
          <w:highlight w:val="none"/>
          <w:lang w:val="en-US" w:eastAsia="zh-CN"/>
        </w:rPr>
        <w:t>82701686</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赵鑫华</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项目联系方式（询问）：0571-838812</w:t>
      </w:r>
      <w:r>
        <w:rPr>
          <w:rFonts w:hint="eastAsia" w:ascii="宋体" w:hAnsi="宋体" w:cs="宋体"/>
          <w:color w:val="auto"/>
          <w:sz w:val="24"/>
          <w:szCs w:val="28"/>
          <w:highlight w:val="none"/>
          <w:lang w:val="en-US" w:eastAsia="zh-CN"/>
        </w:rPr>
        <w:t>0</w:t>
      </w:r>
      <w:r>
        <w:rPr>
          <w:rFonts w:hint="eastAsia" w:ascii="宋体" w:hAnsi="宋体" w:cs="宋体"/>
          <w:color w:val="auto"/>
          <w:sz w:val="24"/>
          <w:szCs w:val="28"/>
          <w:highlight w:val="none"/>
        </w:rPr>
        <w:t>8</w:t>
      </w:r>
      <w:bookmarkStart w:id="384" w:name="_GoBack"/>
      <w:bookmarkEnd w:id="384"/>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响应人须知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p>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不适用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color w:val="auto"/>
                <w:highlight w:val="none"/>
              </w:rPr>
            </w:pPr>
            <w:r>
              <w:rPr>
                <w:rFonts w:hint="eastAsia" w:ascii="宋体" w:hAnsi="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（√）A不组织。</w:t>
            </w:r>
          </w:p>
          <w:p>
            <w:pPr>
              <w:snapToGrid w:val="0"/>
              <w:spacing w:line="400" w:lineRule="exact"/>
              <w:rPr>
                <w:color w:val="auto"/>
                <w:highlight w:val="none"/>
              </w:rPr>
            </w:pPr>
            <w:r>
              <w:rPr>
                <w:rFonts w:hint="eastAsia" w:ascii="宋体" w:hAnsi="宋体" w:cs="宋体"/>
                <w:color w:val="auto"/>
                <w:sz w:val="24"/>
                <w:highlight w:val="none"/>
              </w:rPr>
              <w:t>（  ）B组织。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2"/>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2"/>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代理机构代理</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本项目采购代理费由</w:t>
            </w:r>
            <w:r>
              <w:rPr>
                <w:rFonts w:hint="eastAsia" w:ascii="宋体" w:hAnsi="宋体" w:cs="宋体"/>
                <w:bCs/>
                <w:color w:val="auto"/>
                <w:kern w:val="0"/>
                <w:sz w:val="24"/>
                <w:highlight w:val="none"/>
                <w:lang w:val="en-US" w:eastAsia="zh-CN"/>
              </w:rPr>
              <w:t>交易发起人</w:t>
            </w:r>
            <w:r>
              <w:rPr>
                <w:rFonts w:hint="eastAsia" w:ascii="宋体" w:hAnsi="宋体" w:cs="宋体"/>
                <w:bCs/>
                <w:color w:val="auto"/>
                <w:kern w:val="0"/>
                <w:sz w:val="24"/>
                <w:highlight w:val="none"/>
                <w:lang w:val="zh-CN"/>
              </w:rPr>
              <w:t>支付</w:t>
            </w:r>
            <w:r>
              <w:rPr>
                <w:rFonts w:hint="eastAsia" w:ascii="宋体" w:hAnsi="宋体" w:cs="宋体"/>
                <w:bCs/>
                <w:color w:val="auto"/>
                <w:kern w:val="0"/>
                <w:sz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异议接收人及</w:t>
            </w:r>
          </w:p>
          <w:p>
            <w:pPr>
              <w:snapToGrid w:val="0"/>
              <w:jc w:val="center"/>
              <w:rPr>
                <w:rFonts w:ascii="宋体" w:hAnsi="宋体" w:cs="宋体"/>
                <w:b/>
                <w:color w:val="auto"/>
                <w:sz w:val="24"/>
                <w:highlight w:val="none"/>
              </w:rPr>
            </w:pPr>
            <w:r>
              <w:rPr>
                <w:rFonts w:hint="eastAsia" w:ascii="宋体" w:hAnsi="宋体" w:cs="宋体"/>
                <w:b/>
                <w:color w:val="auto"/>
                <w:sz w:val="24"/>
                <w:highlight w:val="none"/>
              </w:rPr>
              <w:t>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u w:val="none"/>
              </w:rPr>
            </w:pPr>
            <w:r>
              <w:rPr>
                <w:rFonts w:hint="eastAsia" w:ascii="宋体" w:hAnsi="宋体" w:cs="宋体"/>
                <w:color w:val="auto"/>
                <w:sz w:val="24"/>
                <w:highlight w:val="none"/>
                <w:u w:val="none"/>
              </w:rPr>
              <w:t>代理机构异议接收人：高华萍</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联系方式：0571-83881208</w:t>
            </w:r>
          </w:p>
          <w:p>
            <w:pPr>
              <w:snapToGrid w:val="0"/>
              <w:rPr>
                <w:rFonts w:ascii="宋体" w:hAnsi="宋体" w:cs="宋体"/>
                <w:color w:val="auto"/>
                <w:sz w:val="24"/>
                <w:highlight w:val="none"/>
                <w:u w:val="none"/>
              </w:rPr>
            </w:pPr>
            <w:r>
              <w:rPr>
                <w:rFonts w:hint="eastAsia" w:ascii="宋体" w:hAnsi="宋体" w:cs="宋体"/>
                <w:color w:val="auto"/>
                <w:sz w:val="24"/>
                <w:highlight w:val="none"/>
                <w:u w:val="none"/>
              </w:rPr>
              <w:t>地址：杭州市萧山区金城路433号天汇园一幢A座5楼</w:t>
            </w:r>
          </w:p>
          <w:p>
            <w:pPr>
              <w:snapToGrid w:val="0"/>
              <w:rPr>
                <w:rFonts w:ascii="宋体" w:hAnsi="宋体" w:cs="宋体"/>
                <w:color w:val="auto"/>
                <w:sz w:val="24"/>
                <w:highlight w:val="none"/>
                <w:u w:val="none"/>
              </w:rPr>
            </w:pPr>
            <w:r>
              <w:rPr>
                <w:rFonts w:hint="eastAsia" w:ascii="宋体" w:hAnsi="宋体" w:cs="宋体"/>
                <w:color w:val="auto"/>
                <w:sz w:val="24"/>
                <w:highlight w:val="none"/>
                <w:u w:val="none"/>
              </w:rPr>
              <w:t>邮箱：751200605@qq.com</w:t>
            </w:r>
          </w:p>
          <w:p>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u w:val="none"/>
              </w:rPr>
              <w:t>如通过邮箱方式发送异议，须</w:t>
            </w:r>
            <w:r>
              <w:rPr>
                <w:rFonts w:hint="eastAsia" w:ascii="宋体" w:hAnsi="宋体" w:cs="宋体"/>
                <w:b/>
                <w:color w:val="auto"/>
                <w:sz w:val="24"/>
                <w:highlight w:val="none"/>
              </w:rPr>
              <w:t>提交符合法规及公开竞争文件要求的异议文件（参考附件2），盖章扫描后发送，异议的受理按答复主体划分以交易发起人或代理机构邮箱回复确认受理为准。</w:t>
            </w:r>
          </w:p>
          <w:p>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pPr>
              <w:pStyle w:val="2"/>
              <w:spacing w:line="400" w:lineRule="exact"/>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2.3“响应人”系指是指响应招标、参加投标竞争的法人、其他组织或者自然人。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2.6“电子交易平台”是指本项目交易活动所依托的政府采购云平台（https://www.zcygov.cn/）。</w:t>
      </w:r>
    </w:p>
    <w:p>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pPr>
        <w:pStyle w:val="2"/>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pPr>
        <w:pStyle w:val="2"/>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pPr>
        <w:pStyle w:val="2"/>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2"/>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响应人提交的</w:t>
      </w:r>
      <w:r>
        <w:rPr>
          <w:rFonts w:hint="eastAsia"/>
          <w:color w:val="auto"/>
          <w:highlight w:val="none"/>
          <w:lang w:val="zh-CN"/>
        </w:rPr>
        <w:t>异议</w:t>
      </w:r>
      <w:r>
        <w:rPr>
          <w:rFonts w:hint="eastAsia"/>
          <w:color w:val="auto"/>
          <w:highlight w:val="none"/>
        </w:rPr>
        <w:t>函需一式三份。响应人为自然人的，应当由本人签字；响应人为法人或者其他组织的，应当由法定代表人、主要负责人，或者其授权代表签字或者盖章，并加盖公章。</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lang w:val="zh-CN"/>
        </w:rPr>
        <w:t>异议</w:t>
      </w:r>
      <w:r>
        <w:rPr>
          <w:rFonts w:hint="eastAsia"/>
          <w:color w:val="auto"/>
          <w:highlight w:val="none"/>
        </w:rPr>
        <w:t>函范本及制作说明详见附件1。</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.5询问或者异议事项可能影响交易结果的，交易发起人应当暂停签订合同，已经签订合同的，应当中止履行合同。</w:t>
      </w:r>
    </w:p>
    <w:p>
      <w:pPr>
        <w:pStyle w:val="892"/>
        <w:shd w:val="clear" w:color="auto" w:fill="FFFFFF"/>
        <w:snapToGrid w:val="0"/>
        <w:spacing w:after="240" w:afterAutospacing="0" w:line="46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.3响应人投诉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3.3.1</w:t>
      </w:r>
      <w:r>
        <w:rPr>
          <w:rFonts w:hint="eastAsia"/>
          <w:color w:val="auto"/>
          <w:highlight w:val="none"/>
          <w:lang w:val="zh-CN"/>
        </w:rPr>
        <w:t>异议</w:t>
      </w:r>
      <w:r>
        <w:rPr>
          <w:rFonts w:hint="eastAsia"/>
          <w:color w:val="auto"/>
          <w:highlight w:val="none"/>
        </w:rPr>
        <w:t>响应人对交易发起人、代理机构的答复不满意或者交易发起人、代理机构未在规定的时间内作出答复的，可以在答复期满后10日内向基层监督机构部门提出投诉。</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响应人投诉的事项不得超出已</w:t>
      </w:r>
      <w:r>
        <w:rPr>
          <w:rFonts w:hint="eastAsia"/>
          <w:color w:val="auto"/>
          <w:highlight w:val="none"/>
          <w:lang w:val="zh-CN"/>
        </w:rPr>
        <w:t>异议</w:t>
      </w:r>
      <w:r>
        <w:rPr>
          <w:rFonts w:hint="eastAsia"/>
          <w:color w:val="auto"/>
          <w:highlight w:val="none"/>
        </w:rPr>
        <w:t>事项的范围，基于</w:t>
      </w:r>
      <w:r>
        <w:rPr>
          <w:rFonts w:hint="eastAsia"/>
          <w:color w:val="auto"/>
          <w:highlight w:val="none"/>
          <w:lang w:val="zh-CN"/>
        </w:rPr>
        <w:t>异议</w:t>
      </w:r>
      <w:r>
        <w:rPr>
          <w:rFonts w:hint="eastAsia"/>
          <w:color w:val="auto"/>
          <w:highlight w:val="none"/>
        </w:rPr>
        <w:t>答复内容提出的投诉事项除外。</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3.3.3响应人投诉应当有明确的请求和必要的证明材料。</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3.3.4以联合体形式参加交易活动的，其投诉应当由组成联合体的所有响应人共同提出。</w:t>
      </w:r>
    </w:p>
    <w:p>
      <w:pPr>
        <w:pStyle w:val="892"/>
        <w:shd w:val="clear" w:color="auto" w:fill="FFFFFF"/>
        <w:snapToGrid w:val="0"/>
        <w:spacing w:after="240" w:afterAutospacing="0" w:line="460" w:lineRule="exact"/>
        <w:ind w:firstLine="420" w:firstLineChars="175"/>
        <w:contextualSpacing/>
        <w:rPr>
          <w:color w:val="auto"/>
          <w:highlight w:val="none"/>
        </w:rPr>
      </w:pPr>
      <w:r>
        <w:rPr>
          <w:rFonts w:hint="eastAsia"/>
          <w:color w:val="auto"/>
          <w:highlight w:val="none"/>
        </w:rPr>
        <w:t>投诉书范本及制作说明详见附件2。</w:t>
      </w:r>
    </w:p>
    <w:p>
      <w:pPr>
        <w:pStyle w:val="135"/>
        <w:snapToGrid w:val="0"/>
        <w:spacing w:before="0" w:line="460" w:lineRule="exact"/>
        <w:ind w:firstLine="360"/>
        <w:rPr>
          <w:rFonts w:ascii="宋体" w:hAnsi="宋体" w:cs="宋体"/>
          <w:color w:val="auto"/>
          <w:sz w:val="18"/>
          <w:szCs w:val="18"/>
          <w:highlight w:val="none"/>
        </w:rPr>
      </w:pPr>
    </w:p>
    <w:p>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pPr>
        <w:pStyle w:val="2"/>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2"/>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color w:val="auto"/>
          <w:sz w:val="30"/>
          <w:szCs w:val="20"/>
          <w:highlight w:val="none"/>
        </w:rPr>
      </w:pPr>
    </w:p>
    <w:p>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2"/>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2"/>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7"/>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pPr>
        <w:pStyle w:val="2"/>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10.1资格文件</w:t>
      </w:r>
      <w:r>
        <w:rPr>
          <w:rFonts w:hint="eastAsia" w:ascii="宋体" w:hAnsi="宋体" w:eastAsia="宋体" w:cs="宋体"/>
          <w:b/>
          <w:color w:val="auto"/>
          <w:sz w:val="24"/>
          <w:highlight w:val="none"/>
          <w:lang w:eastAsia="zh-CN"/>
        </w:rPr>
        <w:t>：</w:t>
      </w:r>
    </w:p>
    <w:p>
      <w:pPr>
        <w:snapToGrid w:val="0"/>
        <w:spacing w:line="46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.1.1符合参加</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活动应当具备的一般条件的承诺函；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.1.2本项目的特定资格要求。</w:t>
      </w:r>
    </w:p>
    <w:p>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10.3.1交易一览表（报价表）</w:t>
      </w:r>
      <w:r>
        <w:rPr>
          <w:rFonts w:hint="eastAsia" w:ascii="宋体" w:hAnsi="宋体" w:cs="宋体"/>
          <w:color w:val="auto"/>
          <w:sz w:val="24"/>
          <w:highlight w:val="none"/>
          <w:lang w:val="en-US" w:eastAsia="zh-CN"/>
        </w:rPr>
        <w:t>。</w:t>
      </w:r>
    </w:p>
    <w:p>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pPr>
        <w:pStyle w:val="135"/>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5"/>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12.2为确保网上操作合法、有效和安全，响应人应当在响应截止时间前完成在“政府采购云平台”的身份认证，确保在电子投标过程中能够对相关数据电文进行加密和使用电子签名。</w:t>
      </w:r>
    </w:p>
    <w:p>
      <w:pPr>
        <w:pStyle w:val="135"/>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5"/>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35"/>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2"/>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2"/>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7"/>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pPr>
        <w:pStyle w:val="135"/>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5"/>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35"/>
        <w:spacing w:before="0" w:line="460" w:lineRule="exact"/>
        <w:ind w:firstLine="643"/>
        <w:rPr>
          <w:rFonts w:ascii="宋体" w:hAnsi="宋体" w:cs="宋体"/>
          <w:b/>
          <w:color w:val="auto"/>
          <w:sz w:val="32"/>
          <w:highlight w:val="none"/>
        </w:rPr>
      </w:pPr>
    </w:p>
    <w:p>
      <w:pPr>
        <w:pStyle w:val="135"/>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60"/>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0"/>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pPr>
        <w:pStyle w:val="27"/>
        <w:spacing w:line="460" w:lineRule="exact"/>
        <w:ind w:left="479" w:hanging="479" w:hangingChars="199"/>
        <w:rPr>
          <w:rFonts w:cs="宋体"/>
          <w:b/>
          <w:color w:val="auto"/>
          <w:highlight w:val="none"/>
        </w:rPr>
      </w:pPr>
      <w:r>
        <w:rPr>
          <w:rFonts w:hint="eastAsia" w:cs="宋体"/>
          <w:b/>
          <w:color w:val="auto"/>
          <w:highlight w:val="none"/>
        </w:rPr>
        <w:t>18、资格审查</w:t>
      </w:r>
    </w:p>
    <w:p>
      <w:pPr>
        <w:pStyle w:val="135"/>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pPr>
        <w:pStyle w:val="135"/>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pPr>
        <w:pStyle w:val="135"/>
        <w:spacing w:before="0" w:line="460" w:lineRule="exact"/>
        <w:ind w:firstLine="0" w:firstLineChars="0"/>
        <w:rPr>
          <w:rFonts w:ascii="宋体" w:hAnsi="宋体" w:cs="宋体"/>
          <w:color w:val="auto"/>
          <w:kern w:val="0"/>
          <w:szCs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pPr>
        <w:spacing w:line="460" w:lineRule="exact"/>
        <w:rPr>
          <w:rFonts w:ascii="宋体" w:hAnsi="宋体" w:cs="宋体"/>
          <w:b/>
          <w:color w:val="auto"/>
          <w:sz w:val="24"/>
          <w:highlight w:val="none"/>
        </w:rPr>
      </w:pPr>
    </w:p>
    <w:p>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7"/>
        <w:spacing w:line="460" w:lineRule="exact"/>
        <w:ind w:left="479" w:hanging="479" w:hangingChars="199"/>
        <w:rPr>
          <w:rFonts w:cs="宋体"/>
          <w:b/>
          <w:color w:val="auto"/>
          <w:highlight w:val="none"/>
        </w:rPr>
      </w:pPr>
      <w:r>
        <w:rPr>
          <w:rFonts w:hint="eastAsia" w:cs="宋体"/>
          <w:b/>
          <w:color w:val="auto"/>
          <w:highlight w:val="none"/>
        </w:rPr>
        <w:t>20.确定成交响应人</w:t>
      </w:r>
    </w:p>
    <w:p>
      <w:pPr>
        <w:pStyle w:val="135"/>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pPr>
        <w:pStyle w:val="135"/>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color w:val="auto"/>
          <w:sz w:val="32"/>
          <w:highlight w:val="none"/>
        </w:rPr>
      </w:pP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7"/>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7"/>
        <w:spacing w:line="460" w:lineRule="exact"/>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35"/>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pPr>
        <w:pStyle w:val="135"/>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pPr>
        <w:pStyle w:val="27"/>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不收取。</w:t>
      </w:r>
    </w:p>
    <w:p>
      <w:pPr>
        <w:snapToGrid w:val="0"/>
        <w:spacing w:line="460" w:lineRule="exact"/>
        <w:ind w:firstLine="3357" w:firstLineChars="1045"/>
        <w:rPr>
          <w:rFonts w:ascii="宋体" w:hAnsi="宋体" w:cs="宋体"/>
          <w:b/>
          <w:color w:val="auto"/>
          <w:sz w:val="32"/>
          <w:highlight w:val="none"/>
        </w:rPr>
      </w:pPr>
    </w:p>
    <w:p>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5"/>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5"/>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7"/>
        <w:spacing w:line="460" w:lineRule="exact"/>
        <w:ind w:firstLine="0" w:firstLineChars="0"/>
        <w:rPr>
          <w:rFonts w:cs="宋体"/>
          <w:b/>
          <w:color w:val="auto"/>
          <w:highlight w:val="none"/>
        </w:rPr>
      </w:pPr>
      <w:r>
        <w:rPr>
          <w:rFonts w:hint="eastAsia" w:cs="宋体"/>
          <w:b/>
          <w:color w:val="auto"/>
          <w:highlight w:val="none"/>
        </w:rPr>
        <w:t>27.验收</w:t>
      </w:r>
    </w:p>
    <w:p>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3"/>
        <w:tblW w:w="9027" w:type="dxa"/>
        <w:jc w:val="center"/>
        <w:tblLayout w:type="fixed"/>
        <w:tblCellMar>
          <w:top w:w="0" w:type="dxa"/>
          <w:left w:w="0" w:type="dxa"/>
          <w:bottom w:w="0" w:type="dxa"/>
          <w:right w:w="0" w:type="dxa"/>
        </w:tblCellMar>
      </w:tblPr>
      <w:tblGrid>
        <w:gridCol w:w="624"/>
        <w:gridCol w:w="4484"/>
        <w:gridCol w:w="1812"/>
        <w:gridCol w:w="732"/>
        <w:gridCol w:w="648"/>
        <w:gridCol w:w="727"/>
      </w:tblGrid>
      <w:tr>
        <w:tblPrEx>
          <w:tblCellMar>
            <w:top w:w="0" w:type="dxa"/>
            <w:left w:w="0" w:type="dxa"/>
            <w:bottom w:w="0" w:type="dxa"/>
            <w:right w:w="0" w:type="dxa"/>
          </w:tblCellMar>
        </w:tblPrEx>
        <w:trPr>
          <w:cantSplit/>
          <w:trHeight w:val="528"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序号</w:t>
            </w:r>
          </w:p>
        </w:tc>
        <w:tc>
          <w:tcPr>
            <w:tcW w:w="4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6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850"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4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val="en-US" w:eastAsia="zh-CN"/>
              </w:rPr>
              <w:t>2024年杭州萧山天度房屋面积测绘有限公司疗休养服务采购项目</w:t>
            </w:r>
          </w:p>
        </w:tc>
        <w:tc>
          <w:tcPr>
            <w:tcW w:w="181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人次</w:t>
            </w:r>
          </w:p>
        </w:tc>
        <w:tc>
          <w:tcPr>
            <w:tcW w:w="6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53</w:t>
            </w:r>
          </w:p>
        </w:tc>
        <w:tc>
          <w:tcPr>
            <w:tcW w:w="727"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numPr>
          <w:ilvl w:val="0"/>
          <w:numId w:val="0"/>
        </w:numPr>
        <w:spacing w:line="360" w:lineRule="auto"/>
        <w:jc w:val="center"/>
        <w:rPr>
          <w:rFonts w:hint="eastAsia" w:ascii="宋体" w:hAnsi="宋体" w:cs="宋体"/>
          <w:b/>
          <w:color w:val="auto"/>
          <w:sz w:val="28"/>
          <w:szCs w:val="28"/>
          <w:highlight w:val="none"/>
          <w:lang w:eastAsia="zh-CN"/>
        </w:rPr>
      </w:pPr>
    </w:p>
    <w:p>
      <w:pPr>
        <w:numPr>
          <w:ilvl w:val="0"/>
          <w:numId w:val="0"/>
        </w:num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二、</w:t>
      </w:r>
      <w:r>
        <w:rPr>
          <w:rFonts w:hint="eastAsia" w:ascii="宋体" w:hAnsi="宋体" w:cs="宋体"/>
          <w:b/>
          <w:color w:val="auto"/>
          <w:sz w:val="28"/>
          <w:szCs w:val="28"/>
          <w:highlight w:val="none"/>
        </w:rPr>
        <w:t>交易需求</w:t>
      </w:r>
    </w:p>
    <w:p>
      <w:pPr>
        <w:keepNext w:val="0"/>
        <w:keepLines w:val="0"/>
        <w:pageBreakBefore w:val="0"/>
        <w:widowControl/>
        <w:kinsoku/>
        <w:wordWrap/>
        <w:overflowPunct/>
        <w:topLinePunct w:val="0"/>
        <w:autoSpaceDE/>
        <w:autoSpaceDN/>
        <w:bidi w:val="0"/>
        <w:snapToGrid/>
        <w:spacing w:line="348"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（一）项目服务要求：</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需在</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中提供具体行程、出行方式、就餐标准等具体明细，投标报价根据要求提供每人次的单价</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本项目按每人次单价报价</w:t>
      </w:r>
      <w:r>
        <w:rPr>
          <w:rFonts w:hint="eastAsia" w:ascii="宋体" w:hAnsi="宋体" w:cs="宋体"/>
          <w:b/>
          <w:bCs/>
          <w:color w:val="auto"/>
          <w:kern w:val="0"/>
          <w:sz w:val="24"/>
          <w:szCs w:val="24"/>
          <w:highlight w:val="none"/>
          <w:lang w:val="en-US" w:eastAsia="zh-CN"/>
        </w:rPr>
        <w:t>，各条线路单价统一</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单价</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综合考虑后的统一单价，不得再有淡季旺季的价格区别。无论</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在何时出团，均以投标单价为结算依据。</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应允许中标后任何线路因报名人数不足或者不可抗力因素的不成团，不成团线路</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不承担任何责任。若遇政策变动，临时取消出行计划，</w:t>
      </w:r>
      <w:r>
        <w:rPr>
          <w:rFonts w:hint="eastAsia" w:ascii="宋体" w:hAnsi="宋体" w:eastAsia="宋体" w:cs="宋体"/>
          <w:color w:val="auto"/>
          <w:kern w:val="0"/>
          <w:sz w:val="24"/>
          <w:szCs w:val="24"/>
          <w:highlight w:val="none"/>
          <w:lang w:val="en-US" w:eastAsia="zh-CN"/>
        </w:rPr>
        <w:t>不视作违反合同，</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lang w:val="en-US" w:eastAsia="zh-CN"/>
        </w:rPr>
        <w:t>应</w:t>
      </w:r>
      <w:r>
        <w:rPr>
          <w:rFonts w:hint="eastAsia" w:ascii="宋体" w:hAnsi="宋体" w:eastAsia="宋体" w:cs="宋体"/>
          <w:color w:val="auto"/>
          <w:kern w:val="0"/>
          <w:sz w:val="24"/>
          <w:szCs w:val="24"/>
          <w:highlight w:val="none"/>
        </w:rPr>
        <w:t>无条件服从</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rPr>
        <w:t>承担</w:t>
      </w:r>
      <w:r>
        <w:rPr>
          <w:rFonts w:hint="eastAsia" w:ascii="宋体" w:hAnsi="宋体" w:eastAsia="宋体" w:cs="宋体"/>
          <w:color w:val="auto"/>
          <w:kern w:val="0"/>
          <w:sz w:val="24"/>
          <w:szCs w:val="24"/>
          <w:highlight w:val="none"/>
          <w:lang w:val="en-US" w:eastAsia="zh-CN"/>
        </w:rPr>
        <w:t>相应</w:t>
      </w:r>
      <w:r>
        <w:rPr>
          <w:rFonts w:hint="eastAsia" w:ascii="宋体" w:hAnsi="宋体" w:eastAsia="宋体" w:cs="宋体"/>
          <w:color w:val="auto"/>
          <w:kern w:val="0"/>
          <w:sz w:val="24"/>
          <w:szCs w:val="24"/>
          <w:highlight w:val="none"/>
        </w:rPr>
        <w:t>风险</w:t>
      </w:r>
      <w:r>
        <w:rPr>
          <w:rFonts w:hint="eastAsia" w:ascii="宋体" w:hAnsi="宋体" w:eastAsia="宋体" w:cs="宋体"/>
          <w:color w:val="auto"/>
          <w:kern w:val="0"/>
          <w:sz w:val="24"/>
          <w:szCs w:val="24"/>
          <w:highlight w:val="none"/>
          <w:lang w:eastAsia="zh-CN"/>
        </w:rPr>
        <w:t>。</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（二）质量标准</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GB/T15971—1995 导游服务质量</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GB/16153—1996 饭店（餐厅）卫生标准 </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GB/T19004.2—1994 质量管理和质量体系要素 第二部分：服务指南（idt ISO 9004—2：1991）</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LB/T 002—1995 旅游汽车服务质量</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GB/T15971 导游人员的基本素质及服务</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以上标准若有最新标准，按最新标准执行。</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（三）服务范围</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职工疗休养项目，服务期限为合同生效之日起至202</w:t>
      </w:r>
      <w:r>
        <w:rPr>
          <w:rFonts w:hint="eastAsia" w:ascii="宋体" w:hAnsi="宋体" w:eastAsia="宋体" w:cs="宋体"/>
          <w:snapToGrid w:val="0"/>
          <w:color w:val="auto"/>
          <w:kern w:val="28"/>
          <w:sz w:val="24"/>
          <w:szCs w:val="24"/>
          <w:highlight w:val="none"/>
          <w:lang w:val="en-US" w:eastAsia="zh-CN"/>
        </w:rPr>
        <w:t>4</w:t>
      </w:r>
      <w:r>
        <w:rPr>
          <w:rFonts w:hint="eastAsia" w:ascii="宋体" w:hAnsi="宋体" w:eastAsia="宋体" w:cs="宋体"/>
          <w:snapToGrid w:val="0"/>
          <w:color w:val="auto"/>
          <w:kern w:val="28"/>
          <w:sz w:val="24"/>
          <w:szCs w:val="24"/>
          <w:highlight w:val="none"/>
        </w:rPr>
        <w:t>年12月31日。</w:t>
      </w:r>
      <w:r>
        <w:rPr>
          <w:rFonts w:hint="eastAsia" w:ascii="宋体" w:hAnsi="宋体" w:cs="宋体"/>
          <w:snapToGrid w:val="0"/>
          <w:color w:val="auto"/>
          <w:kern w:val="28"/>
          <w:sz w:val="24"/>
          <w:szCs w:val="24"/>
          <w:highlight w:val="none"/>
          <w:lang w:val="en-US" w:eastAsia="zh-CN"/>
        </w:rPr>
        <w:t>最终以实际出行人数为准，</w:t>
      </w:r>
      <w:r>
        <w:rPr>
          <w:rFonts w:hint="eastAsia" w:ascii="宋体" w:hAnsi="宋体" w:eastAsia="宋体" w:cs="宋体"/>
          <w:snapToGrid w:val="0"/>
          <w:color w:val="auto"/>
          <w:kern w:val="28"/>
          <w:sz w:val="24"/>
          <w:szCs w:val="24"/>
          <w:highlight w:val="none"/>
        </w:rPr>
        <w:t>择优选择1家供应商中标。</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sz w:val="24"/>
          <w:szCs w:val="24"/>
          <w:highlight w:val="none"/>
        </w:rPr>
      </w:pPr>
      <w:bookmarkStart w:id="16" w:name="_Toc351898267"/>
      <w:r>
        <w:rPr>
          <w:rFonts w:hint="eastAsia" w:ascii="宋体" w:hAnsi="宋体" w:eastAsia="宋体" w:cs="宋体"/>
          <w:b/>
          <w:bCs/>
          <w:color w:val="auto"/>
          <w:sz w:val="24"/>
          <w:szCs w:val="24"/>
          <w:highlight w:val="none"/>
        </w:rPr>
        <w:t>（四）</w:t>
      </w:r>
      <w:bookmarkEnd w:id="16"/>
      <w:r>
        <w:rPr>
          <w:rFonts w:hint="eastAsia" w:ascii="宋体" w:hAnsi="宋体" w:eastAsia="宋体" w:cs="宋体"/>
          <w:b/>
          <w:bCs/>
          <w:color w:val="auto"/>
          <w:sz w:val="24"/>
          <w:szCs w:val="24"/>
          <w:highlight w:val="none"/>
        </w:rPr>
        <w:t xml:space="preserve">行程安排等基本要求 </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线路安排（具体出行线路招标后由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确定，以下线路供本次招标报价参考，若遇本次招标参考线路之外的线路方案，由</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根据实际出行天数、市场价自行协商确定）：</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线路一：康定</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不含大交通（火车或飞机）费用</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湖州</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天台温岭4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线路</w:t>
      </w:r>
      <w:r>
        <w:rPr>
          <w:rFonts w:hint="eastAsia" w:ascii="宋体" w:hAnsi="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舟山4</w:t>
      </w:r>
      <w:r>
        <w:rPr>
          <w:rFonts w:hint="eastAsia" w:ascii="宋体" w:hAnsi="宋体" w:eastAsia="宋体" w:cs="宋体"/>
          <w:color w:val="auto"/>
          <w:kern w:val="0"/>
          <w:sz w:val="24"/>
          <w:szCs w:val="24"/>
          <w:highlight w:val="none"/>
        </w:rPr>
        <w:t>日疗休养行程（费用不高于3000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元/人次</w:t>
      </w:r>
      <w:r>
        <w:rPr>
          <w:rFonts w:hint="eastAsia" w:ascii="宋体" w:hAnsi="宋体" w:eastAsia="宋体" w:cs="宋体"/>
          <w:color w:val="auto"/>
          <w:kern w:val="0"/>
          <w:sz w:val="24"/>
          <w:szCs w:val="24"/>
          <w:highlight w:val="none"/>
          <w:lang w:eastAsia="zh-CN"/>
        </w:rPr>
        <w:t>）</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上述线路</w:t>
      </w:r>
      <w:r>
        <w:rPr>
          <w:rFonts w:hint="eastAsia" w:ascii="宋体" w:hAnsi="宋体" w:eastAsia="宋体" w:cs="宋体"/>
          <w:color w:val="auto"/>
          <w:kern w:val="0"/>
          <w:sz w:val="24"/>
          <w:szCs w:val="24"/>
          <w:highlight w:val="none"/>
        </w:rPr>
        <w:t>要求行程安排合理，休闲休养相结合。最终服务过程中</w:t>
      </w:r>
      <w:r>
        <w:rPr>
          <w:rFonts w:hint="eastAsia" w:ascii="宋体" w:hAnsi="宋体" w:eastAsia="宋体" w:cs="宋体"/>
          <w:color w:val="auto"/>
          <w:sz w:val="24"/>
          <w:szCs w:val="24"/>
          <w:highlight w:val="none"/>
        </w:rPr>
        <w:t>包括但不仅限于以上线路，各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自行承担报价风险。</w:t>
      </w:r>
    </w:p>
    <w:p>
      <w:pPr>
        <w:pStyle w:val="2"/>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按照以上线路报价，最终服务过程包括但不仅限于以上线路，各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自行承担报价风险。</w:t>
      </w:r>
    </w:p>
    <w:p>
      <w:pPr>
        <w:pStyle w:val="2"/>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大交通费用说明</w:t>
      </w:r>
      <w:r>
        <w:rPr>
          <w:rFonts w:hint="eastAsia" w:ascii="宋体" w:hAnsi="宋体" w:eastAsia="宋体" w:cs="宋体"/>
          <w:color w:val="auto"/>
          <w:kern w:val="0"/>
          <w:sz w:val="24"/>
          <w:szCs w:val="24"/>
          <w:highlight w:val="none"/>
        </w:rPr>
        <w:t>：浙江省</w:t>
      </w:r>
      <w:r>
        <w:rPr>
          <w:rFonts w:hint="eastAsia" w:ascii="宋体" w:hAnsi="宋体" w:eastAsia="宋体" w:cs="宋体"/>
          <w:color w:val="auto"/>
          <w:kern w:val="0"/>
          <w:sz w:val="24"/>
          <w:szCs w:val="24"/>
          <w:highlight w:val="none"/>
          <w:lang w:eastAsia="zh-CN"/>
        </w:rPr>
        <w:t>外县县结对协作地区四</w:t>
      </w:r>
      <w:r>
        <w:rPr>
          <w:rFonts w:hint="eastAsia" w:ascii="宋体" w:hAnsi="宋体" w:eastAsia="宋体" w:cs="宋体"/>
          <w:color w:val="auto"/>
          <w:kern w:val="0"/>
          <w:sz w:val="24"/>
          <w:szCs w:val="24"/>
          <w:highlight w:val="none"/>
        </w:rPr>
        <w:t>川</w:t>
      </w:r>
      <w:r>
        <w:rPr>
          <w:rFonts w:hint="eastAsia" w:ascii="宋体" w:hAnsi="宋体" w:eastAsia="宋体" w:cs="宋体"/>
          <w:color w:val="auto"/>
          <w:kern w:val="0"/>
          <w:sz w:val="24"/>
          <w:szCs w:val="24"/>
          <w:highlight w:val="none"/>
          <w:lang w:eastAsia="zh-CN"/>
        </w:rPr>
        <w:t>康定市或四</w:t>
      </w:r>
      <w:r>
        <w:rPr>
          <w:rFonts w:hint="eastAsia" w:ascii="宋体" w:hAnsi="宋体" w:eastAsia="宋体" w:cs="宋体"/>
          <w:color w:val="auto"/>
          <w:kern w:val="0"/>
          <w:sz w:val="24"/>
          <w:szCs w:val="24"/>
          <w:highlight w:val="none"/>
        </w:rPr>
        <w:t>川</w:t>
      </w:r>
      <w:r>
        <w:rPr>
          <w:rFonts w:hint="eastAsia" w:ascii="宋体" w:hAnsi="宋体" w:eastAsia="宋体" w:cs="宋体"/>
          <w:color w:val="auto"/>
          <w:kern w:val="0"/>
          <w:sz w:val="24"/>
          <w:szCs w:val="24"/>
          <w:highlight w:val="none"/>
          <w:lang w:eastAsia="zh-CN"/>
        </w:rPr>
        <w:t>广元市旺苍县</w:t>
      </w:r>
      <w:r>
        <w:rPr>
          <w:rFonts w:hint="eastAsia" w:ascii="宋体" w:hAnsi="宋体" w:eastAsia="宋体" w:cs="宋体"/>
          <w:color w:val="auto"/>
          <w:kern w:val="0"/>
          <w:sz w:val="24"/>
          <w:szCs w:val="24"/>
          <w:highlight w:val="none"/>
        </w:rPr>
        <w:t>为除往返目的地大交通费即飞机</w:t>
      </w:r>
      <w:r>
        <w:rPr>
          <w:rFonts w:hint="eastAsia" w:ascii="宋体" w:hAnsi="宋体" w:eastAsia="宋体" w:cs="宋体"/>
          <w:color w:val="auto"/>
          <w:kern w:val="0"/>
          <w:sz w:val="24"/>
          <w:szCs w:val="24"/>
          <w:highlight w:val="none"/>
          <w:lang w:val="en-US" w:eastAsia="zh-CN"/>
        </w:rPr>
        <w:t>、火车</w:t>
      </w:r>
      <w:r>
        <w:rPr>
          <w:rFonts w:hint="eastAsia" w:ascii="宋体" w:hAnsi="宋体" w:eastAsia="宋体" w:cs="宋体"/>
          <w:color w:val="auto"/>
          <w:kern w:val="0"/>
          <w:sz w:val="24"/>
          <w:szCs w:val="24"/>
          <w:highlight w:val="none"/>
        </w:rPr>
        <w:t>外，不超过</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000</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元/人</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，往返大交通费用根据实际结算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结算需提供原始票证（大交通票务需在政府采购机票管理网站购买，若通过其他购买途径，则需低于政府采购机票管理网站的当日价格信息，报销时附政府采购机票管理网站当天机票截图价格信息）</w:t>
      </w:r>
      <w:r>
        <w:rPr>
          <w:rFonts w:hint="eastAsia" w:ascii="宋体" w:hAnsi="宋体" w:eastAsia="宋体" w:cs="宋体"/>
          <w:color w:val="auto"/>
          <w:kern w:val="0"/>
          <w:sz w:val="24"/>
          <w:szCs w:val="24"/>
          <w:highlight w:val="none"/>
          <w:lang w:eastAsia="zh-CN"/>
        </w:rPr>
        <w:t>。</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、出行安排，根据批准的时间为准，每批次出行人数根据报名情况确定批次，最终出行的日期及天数</w:t>
      </w:r>
      <w:r>
        <w:rPr>
          <w:rFonts w:hint="eastAsia" w:ascii="宋体" w:hAnsi="宋体" w:cs="宋体"/>
          <w:color w:val="auto"/>
          <w:kern w:val="0"/>
          <w:sz w:val="24"/>
          <w:szCs w:val="24"/>
          <w:highlight w:val="none"/>
          <w:lang w:val="en-US" w:eastAsia="zh-CN"/>
        </w:rPr>
        <w:t>经双方协商</w:t>
      </w:r>
      <w:r>
        <w:rPr>
          <w:rFonts w:hint="eastAsia" w:ascii="宋体" w:hAnsi="宋体" w:eastAsia="宋体" w:cs="宋体"/>
          <w:color w:val="auto"/>
          <w:kern w:val="0"/>
          <w:sz w:val="24"/>
          <w:szCs w:val="24"/>
          <w:highlight w:val="none"/>
        </w:rPr>
        <w:t>以实际为准。</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、住宿：</w:t>
      </w:r>
      <w:r>
        <w:rPr>
          <w:rFonts w:hint="eastAsia" w:ascii="宋体" w:hAnsi="宋体" w:eastAsia="宋体" w:cs="宋体"/>
          <w:color w:val="auto"/>
          <w:sz w:val="24"/>
          <w:szCs w:val="24"/>
          <w:highlight w:val="none"/>
        </w:rPr>
        <w:t>住宿综合环境好，要求挂牌四星或网评四钻以上（含）且设施较好的酒店（一般标准2人间）。要求标注每天住宿酒店的名称、星级和具体地址，不得出现同级酒店字样，如实际接待中，投标指定酒店无法安排，需要安排高一级酒店。</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、餐饮：</w:t>
      </w:r>
      <w:r>
        <w:rPr>
          <w:rFonts w:hint="eastAsia" w:ascii="宋体" w:hAnsi="宋体" w:eastAsia="宋体" w:cs="宋体"/>
          <w:color w:val="auto"/>
          <w:sz w:val="24"/>
          <w:szCs w:val="24"/>
          <w:highlight w:val="none"/>
        </w:rPr>
        <w:t>早餐为酒店早餐，中餐不低于</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元/人，晚餐不低于</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餐厅必须有接待资质、环境好的饭店就餐，允许团队等额退餐，自己点菜。中晚餐每桌提供一瓶可乐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一瓶雪碧。</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、要求全程提供持证全陪导游服务（全陪导游须持有导游证3年以上，出团前1周提交疗休养方审核），专职景区讲解服务。</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、要求为参加疗休养职工提供每人每天2瓶矿泉水。</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必须提供每批疗休养人员购买保险的原始凭证的复印件给</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、出发前，每人一个旅行包，其中需内含疗休养行程1份、注意事项1份、口罩、小点心等。</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、针对疗休养活动中可能发生的突发状况、意外情况等（如：投诉、纠纷、安全事故等），</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须制定周密、可靠的安全保障和突发事件应急预案，确保在各种情况下参团人员的人身及财产安全，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应在响应文件中提供详细说明。</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、行程可辐射周边地域，但不得有自费的景点或活动，无商业广告及各类产品推销。</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、围绕疗休养主题，行程突出疗养养生特色。</w:t>
      </w:r>
    </w:p>
    <w:p>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、购物：全程不进购物点。</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snapToGrid w:val="0"/>
          <w:color w:val="auto"/>
          <w:kern w:val="28"/>
          <w:sz w:val="24"/>
          <w:szCs w:val="24"/>
          <w:highlight w:val="none"/>
        </w:rPr>
      </w:pPr>
      <w:r>
        <w:rPr>
          <w:rFonts w:hint="eastAsia" w:ascii="宋体" w:hAnsi="宋体" w:eastAsia="宋体" w:cs="宋体"/>
          <w:b/>
          <w:bCs/>
          <w:snapToGrid w:val="0"/>
          <w:color w:val="auto"/>
          <w:kern w:val="28"/>
          <w:sz w:val="24"/>
          <w:szCs w:val="24"/>
          <w:highlight w:val="none"/>
        </w:rPr>
        <w:t>（五）其它要求</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需确定一名项目负责人，具有类似疗休养项目经验，负责与</w:t>
      </w:r>
      <w:r>
        <w:rPr>
          <w:rFonts w:hint="eastAsia" w:ascii="宋体" w:hAnsi="宋体" w:eastAsia="宋体" w:cs="宋体"/>
          <w:snapToGrid w:val="0"/>
          <w:color w:val="auto"/>
          <w:kern w:val="28"/>
          <w:sz w:val="24"/>
          <w:szCs w:val="24"/>
          <w:highlight w:val="none"/>
          <w:lang w:eastAsia="zh-CN"/>
        </w:rPr>
        <w:t>交易发起人</w:t>
      </w:r>
      <w:r>
        <w:rPr>
          <w:rFonts w:hint="eastAsia" w:ascii="宋体" w:hAnsi="宋体" w:eastAsia="宋体" w:cs="宋体"/>
          <w:snapToGrid w:val="0"/>
          <w:color w:val="auto"/>
          <w:kern w:val="28"/>
          <w:sz w:val="24"/>
          <w:szCs w:val="24"/>
          <w:highlight w:val="none"/>
        </w:rPr>
        <w:t>就每批次安排具体事宜联系，一旦中标不得随意更换。</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2、制定应急预案，发放《行程安排表》和《注意事项》。如遇意外突发事件</w:t>
      </w:r>
      <w:r>
        <w:rPr>
          <w:rFonts w:hint="eastAsia" w:ascii="宋体" w:hAnsi="宋体" w:eastAsia="宋体" w:cs="宋体"/>
          <w:snapToGrid w:val="0"/>
          <w:color w:val="auto"/>
          <w:kern w:val="28"/>
          <w:sz w:val="24"/>
          <w:szCs w:val="24"/>
          <w:highlight w:val="none"/>
          <w:lang w:eastAsia="zh-CN"/>
        </w:rPr>
        <w:t>供应商</w:t>
      </w:r>
      <w:r>
        <w:rPr>
          <w:rFonts w:hint="eastAsia" w:ascii="宋体" w:hAnsi="宋体" w:eastAsia="宋体" w:cs="宋体"/>
          <w:snapToGrid w:val="0"/>
          <w:color w:val="auto"/>
          <w:kern w:val="28"/>
          <w:sz w:val="24"/>
          <w:szCs w:val="24"/>
          <w:highlight w:val="none"/>
        </w:rPr>
        <w:t>要在第一时间内进行妥善处理，处理结果要及时与</w:t>
      </w:r>
      <w:r>
        <w:rPr>
          <w:rFonts w:hint="eastAsia" w:ascii="宋体" w:hAnsi="宋体" w:eastAsia="宋体" w:cs="宋体"/>
          <w:snapToGrid w:val="0"/>
          <w:color w:val="auto"/>
          <w:kern w:val="28"/>
          <w:sz w:val="24"/>
          <w:szCs w:val="24"/>
          <w:highlight w:val="none"/>
          <w:lang w:eastAsia="zh-CN"/>
        </w:rPr>
        <w:t>交易发起人</w:t>
      </w:r>
      <w:r>
        <w:rPr>
          <w:rFonts w:hint="eastAsia" w:ascii="宋体" w:hAnsi="宋体" w:eastAsia="宋体" w:cs="宋体"/>
          <w:snapToGrid w:val="0"/>
          <w:color w:val="auto"/>
          <w:kern w:val="28"/>
          <w:sz w:val="24"/>
          <w:szCs w:val="24"/>
          <w:highlight w:val="none"/>
        </w:rPr>
        <w:t>汇报和沟通，并积极配合有关单位做好善后处理工作。</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3、做到有问必答。对疗休养人员反映的情况或投诉，不回避矛盾、不推卸责任，对发生的问题予以及时处理，将问题解决在旅途中。</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4、参加疗休养人员名单和个人信息不得外泄。</w:t>
      </w:r>
    </w:p>
    <w:p>
      <w:pPr>
        <w:keepNext w:val="0"/>
        <w:keepLines w:val="0"/>
        <w:pageBreakBefore w:val="0"/>
        <w:kinsoku/>
        <w:wordWrap/>
        <w:overflowPunct/>
        <w:topLinePunct w:val="0"/>
        <w:autoSpaceDE/>
        <w:autoSpaceDN/>
        <w:bidi w:val="0"/>
        <w:snapToGrid/>
        <w:spacing w:line="348"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（六）服务期限及承诺</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6.1服务期限：分批休养。具体以</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实际通知为准。</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6.2服务质量承诺：</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（1）为确保服务质量及与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沟通联络，</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须设置兼职主管，负责对承包项目、范围、服务质量的检查监督及与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日常业务联系；</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需提供员工管理服务规范要求及确保服务质量达标的具体措施；</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须主动接受</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的指导、检查、监督及协调；</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）现有服务范围内，由于调整而增加的工作量，不再增加费用；</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）因</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工作人员的失误造成的损失由</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负责;</w:t>
      </w:r>
    </w:p>
    <w:p>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员工在工作及服务期间发生的一切安全事故由</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负责，与</w:t>
      </w:r>
      <w:r>
        <w:rPr>
          <w:rFonts w:hint="eastAsia" w:ascii="宋体" w:hAnsi="宋体" w:eastAsia="宋体" w:cs="宋体"/>
          <w:color w:val="auto"/>
          <w:kern w:val="0"/>
          <w:sz w:val="24"/>
          <w:szCs w:val="24"/>
          <w:highlight w:val="none"/>
          <w:lang w:eastAsia="zh-CN"/>
        </w:rPr>
        <w:t>交易发起人</w:t>
      </w:r>
      <w:r>
        <w:rPr>
          <w:rFonts w:hint="eastAsia" w:ascii="宋体" w:hAnsi="宋体" w:eastAsia="宋体" w:cs="宋体"/>
          <w:color w:val="auto"/>
          <w:kern w:val="0"/>
          <w:sz w:val="24"/>
          <w:szCs w:val="24"/>
          <w:highlight w:val="none"/>
        </w:rPr>
        <w:t>无关。</w:t>
      </w:r>
    </w:p>
    <w:p>
      <w:pPr>
        <w:keepNext w:val="0"/>
        <w:keepLines w:val="0"/>
        <w:pageBreakBefore w:val="0"/>
        <w:kinsoku/>
        <w:wordWrap/>
        <w:overflowPunct/>
        <w:topLinePunct w:val="0"/>
        <w:autoSpaceDE/>
        <w:autoSpaceDN/>
        <w:bidi w:val="0"/>
        <w:snapToGrid/>
        <w:spacing w:line="348" w:lineRule="auto"/>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（七）付款方式</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终结算价按照实际参加人数*响应单价，按实结算，返程后一个月内付清，具体在合同中明确。</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注：公开竞争文件中打▲内容为实质性要求，不允许有负偏离，否则将以涉及无效响应条款作无效响应。</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7" w:name="_Toc184312091"/>
      <w:bookmarkEnd w:id="17"/>
      <w:bookmarkStart w:id="18" w:name="_Toc184310338"/>
      <w:bookmarkEnd w:id="18"/>
      <w:bookmarkStart w:id="19" w:name="_Toc184313258"/>
      <w:bookmarkEnd w:id="19"/>
      <w:bookmarkStart w:id="20" w:name="_Toc184314458"/>
      <w:bookmarkEnd w:id="20"/>
      <w:bookmarkStart w:id="21" w:name="_Toc184314462"/>
      <w:bookmarkEnd w:id="21"/>
      <w:bookmarkStart w:id="22" w:name="_Toc184312125"/>
      <w:bookmarkEnd w:id="22"/>
      <w:bookmarkStart w:id="23" w:name="_Toc184313303"/>
      <w:bookmarkEnd w:id="23"/>
      <w:bookmarkStart w:id="24" w:name="_Toc184310276"/>
      <w:bookmarkEnd w:id="24"/>
      <w:bookmarkStart w:id="25" w:name="_Toc184314438"/>
      <w:bookmarkEnd w:id="25"/>
      <w:bookmarkStart w:id="26" w:name="_Toc184310333"/>
      <w:bookmarkEnd w:id="26"/>
      <w:bookmarkStart w:id="27" w:name="_Toc184314461"/>
      <w:bookmarkEnd w:id="27"/>
      <w:bookmarkStart w:id="28" w:name="_Toc184312126"/>
      <w:bookmarkEnd w:id="28"/>
      <w:bookmarkStart w:id="29" w:name="_Toc184313265"/>
      <w:bookmarkEnd w:id="29"/>
      <w:bookmarkStart w:id="30" w:name="_Toc184308072"/>
      <w:bookmarkEnd w:id="30"/>
      <w:bookmarkStart w:id="31" w:name="_Toc184312137"/>
      <w:bookmarkEnd w:id="31"/>
      <w:bookmarkStart w:id="32" w:name="_Toc184310319"/>
      <w:bookmarkEnd w:id="32"/>
      <w:bookmarkStart w:id="33" w:name="_Toc184313289"/>
      <w:bookmarkEnd w:id="33"/>
      <w:bookmarkStart w:id="34" w:name="_Toc184313248"/>
      <w:bookmarkEnd w:id="34"/>
      <w:bookmarkStart w:id="35" w:name="_Toc184313306"/>
      <w:bookmarkEnd w:id="35"/>
      <w:bookmarkStart w:id="36" w:name="_Toc184308038"/>
      <w:bookmarkEnd w:id="36"/>
      <w:bookmarkStart w:id="37" w:name="_Toc184314467"/>
      <w:bookmarkEnd w:id="37"/>
      <w:bookmarkStart w:id="38" w:name="_Toc184312071"/>
      <w:bookmarkEnd w:id="38"/>
      <w:bookmarkStart w:id="39" w:name="_Toc184308053"/>
      <w:bookmarkEnd w:id="39"/>
      <w:bookmarkStart w:id="40" w:name="_Toc184312092"/>
      <w:bookmarkEnd w:id="40"/>
      <w:bookmarkStart w:id="41" w:name="_Toc184310293"/>
      <w:bookmarkEnd w:id="41"/>
      <w:bookmarkStart w:id="42" w:name="_Toc184308094"/>
      <w:bookmarkEnd w:id="42"/>
      <w:bookmarkStart w:id="43" w:name="_Toc184310272"/>
      <w:bookmarkEnd w:id="43"/>
      <w:bookmarkStart w:id="44" w:name="_Toc184312133"/>
      <w:bookmarkEnd w:id="44"/>
      <w:bookmarkStart w:id="45" w:name="_Toc184312098"/>
      <w:bookmarkEnd w:id="45"/>
      <w:bookmarkStart w:id="46" w:name="_Toc184314449"/>
      <w:bookmarkEnd w:id="46"/>
      <w:bookmarkStart w:id="47" w:name="_Toc184313261"/>
      <w:bookmarkEnd w:id="47"/>
      <w:bookmarkStart w:id="48" w:name="_Toc184310326"/>
      <w:bookmarkEnd w:id="48"/>
      <w:bookmarkStart w:id="49" w:name="_Toc184308036"/>
      <w:bookmarkEnd w:id="49"/>
      <w:bookmarkStart w:id="50" w:name="_Toc184312104"/>
      <w:bookmarkEnd w:id="50"/>
      <w:bookmarkStart w:id="51" w:name="_Toc184310341"/>
      <w:bookmarkEnd w:id="51"/>
      <w:bookmarkStart w:id="52" w:name="_Toc184312118"/>
      <w:bookmarkEnd w:id="52"/>
      <w:bookmarkStart w:id="53" w:name="_Toc184313281"/>
      <w:bookmarkEnd w:id="53"/>
      <w:bookmarkStart w:id="54" w:name="_Toc184308103"/>
      <w:bookmarkEnd w:id="54"/>
      <w:bookmarkStart w:id="55" w:name="_Toc184310308"/>
      <w:bookmarkEnd w:id="55"/>
      <w:bookmarkStart w:id="56" w:name="_Toc184310321"/>
      <w:bookmarkEnd w:id="56"/>
      <w:bookmarkStart w:id="57" w:name="_Toc184308061"/>
      <w:bookmarkEnd w:id="57"/>
      <w:bookmarkStart w:id="58" w:name="_Toc184313290"/>
      <w:bookmarkEnd w:id="58"/>
      <w:bookmarkStart w:id="59" w:name="_Toc184314468"/>
      <w:bookmarkEnd w:id="59"/>
      <w:bookmarkStart w:id="60" w:name="_Toc184312102"/>
      <w:bookmarkEnd w:id="60"/>
      <w:bookmarkStart w:id="61" w:name="_Toc184310327"/>
      <w:bookmarkEnd w:id="61"/>
      <w:bookmarkStart w:id="62" w:name="_Toc184312108"/>
      <w:bookmarkEnd w:id="62"/>
      <w:bookmarkStart w:id="63" w:name="_Toc184310300"/>
      <w:bookmarkEnd w:id="63"/>
      <w:bookmarkStart w:id="64" w:name="_Toc184310302"/>
      <w:bookmarkEnd w:id="64"/>
      <w:bookmarkStart w:id="65" w:name="_Toc184313292"/>
      <w:bookmarkEnd w:id="65"/>
      <w:bookmarkStart w:id="66" w:name="_Toc184313263"/>
      <w:bookmarkEnd w:id="66"/>
      <w:bookmarkStart w:id="67" w:name="_Toc184314460"/>
      <w:bookmarkEnd w:id="67"/>
      <w:bookmarkStart w:id="68" w:name="_Toc184313257"/>
      <w:bookmarkEnd w:id="68"/>
      <w:bookmarkStart w:id="69" w:name="_Toc184312135"/>
      <w:bookmarkEnd w:id="69"/>
      <w:bookmarkStart w:id="70" w:name="_Toc184312086"/>
      <w:bookmarkEnd w:id="70"/>
      <w:bookmarkStart w:id="71" w:name="_Toc184314448"/>
      <w:bookmarkEnd w:id="71"/>
      <w:bookmarkStart w:id="72" w:name="_Toc184313310"/>
      <w:bookmarkEnd w:id="72"/>
      <w:bookmarkStart w:id="73" w:name="_Toc184308090"/>
      <w:bookmarkEnd w:id="73"/>
      <w:bookmarkStart w:id="74" w:name="_Toc184312114"/>
      <w:bookmarkEnd w:id="74"/>
      <w:bookmarkStart w:id="75" w:name="_Toc184310320"/>
      <w:bookmarkEnd w:id="75"/>
      <w:bookmarkStart w:id="76" w:name="_Toc184310286"/>
      <w:bookmarkEnd w:id="76"/>
      <w:bookmarkStart w:id="77" w:name="_Toc184313252"/>
      <w:bookmarkEnd w:id="77"/>
      <w:bookmarkStart w:id="78" w:name="_Toc184308069"/>
      <w:bookmarkEnd w:id="78"/>
      <w:bookmarkStart w:id="79" w:name="_Toc184308085"/>
      <w:bookmarkEnd w:id="79"/>
      <w:bookmarkStart w:id="80" w:name="_Toc184313309"/>
      <w:bookmarkEnd w:id="80"/>
      <w:bookmarkStart w:id="81" w:name="_Toc184314478"/>
      <w:bookmarkEnd w:id="81"/>
      <w:bookmarkStart w:id="82" w:name="_Toc184308089"/>
      <w:bookmarkEnd w:id="82"/>
      <w:bookmarkStart w:id="83" w:name="_Toc184313245"/>
      <w:bookmarkEnd w:id="83"/>
      <w:bookmarkStart w:id="84" w:name="_Toc184310274"/>
      <w:bookmarkEnd w:id="84"/>
      <w:bookmarkStart w:id="85" w:name="_Toc184310324"/>
      <w:bookmarkEnd w:id="85"/>
      <w:bookmarkStart w:id="86" w:name="_Toc184308086"/>
      <w:bookmarkEnd w:id="86"/>
      <w:bookmarkStart w:id="87" w:name="_Toc184314459"/>
      <w:bookmarkEnd w:id="87"/>
      <w:bookmarkStart w:id="88" w:name="_Toc184314442"/>
      <w:bookmarkEnd w:id="88"/>
      <w:bookmarkStart w:id="89" w:name="_Toc184313269"/>
      <w:bookmarkEnd w:id="89"/>
      <w:bookmarkStart w:id="90" w:name="_Toc184310332"/>
      <w:bookmarkEnd w:id="90"/>
      <w:bookmarkStart w:id="91" w:name="_Toc184308078"/>
      <w:bookmarkEnd w:id="91"/>
      <w:bookmarkStart w:id="92" w:name="_Toc184313302"/>
      <w:bookmarkEnd w:id="92"/>
      <w:bookmarkStart w:id="93" w:name="_Toc184308044"/>
      <w:bookmarkEnd w:id="93"/>
      <w:bookmarkStart w:id="94" w:name="_Toc184308095"/>
      <w:bookmarkEnd w:id="94"/>
      <w:bookmarkStart w:id="95" w:name="_Toc184310310"/>
      <w:bookmarkEnd w:id="95"/>
      <w:bookmarkStart w:id="96" w:name="_Toc184312081"/>
      <w:bookmarkEnd w:id="96"/>
      <w:bookmarkStart w:id="97" w:name="_Toc184312072"/>
      <w:bookmarkEnd w:id="97"/>
      <w:bookmarkStart w:id="98" w:name="_Toc184313262"/>
      <w:bookmarkEnd w:id="98"/>
      <w:bookmarkStart w:id="99" w:name="_Toc184314436"/>
      <w:bookmarkEnd w:id="99"/>
      <w:bookmarkStart w:id="100" w:name="_Toc184310290"/>
      <w:bookmarkEnd w:id="100"/>
      <w:bookmarkStart w:id="101" w:name="_Toc184312127"/>
      <w:bookmarkEnd w:id="101"/>
      <w:bookmarkStart w:id="102" w:name="_Toc184313286"/>
      <w:bookmarkEnd w:id="102"/>
      <w:bookmarkStart w:id="103" w:name="_Toc184312075"/>
      <w:bookmarkEnd w:id="103"/>
      <w:bookmarkStart w:id="104" w:name="_Toc184308041"/>
      <w:bookmarkEnd w:id="104"/>
      <w:bookmarkStart w:id="105" w:name="_Toc184308079"/>
      <w:bookmarkEnd w:id="105"/>
      <w:bookmarkStart w:id="106" w:name="_Toc184308055"/>
      <w:bookmarkEnd w:id="106"/>
      <w:bookmarkStart w:id="107" w:name="_Toc184310331"/>
      <w:bookmarkEnd w:id="107"/>
      <w:bookmarkStart w:id="108" w:name="_Toc184308066"/>
      <w:bookmarkEnd w:id="108"/>
      <w:bookmarkStart w:id="109" w:name="_Toc184312083"/>
      <w:bookmarkEnd w:id="109"/>
      <w:bookmarkStart w:id="110" w:name="_Toc184308091"/>
      <w:bookmarkEnd w:id="110"/>
      <w:bookmarkStart w:id="111" w:name="_Toc184313308"/>
      <w:bookmarkEnd w:id="111"/>
      <w:bookmarkStart w:id="112" w:name="_Toc184314427"/>
      <w:bookmarkEnd w:id="112"/>
      <w:bookmarkStart w:id="113" w:name="_Toc184310322"/>
      <w:bookmarkEnd w:id="113"/>
      <w:bookmarkStart w:id="114" w:name="_Toc184314435"/>
      <w:bookmarkEnd w:id="114"/>
      <w:bookmarkStart w:id="115" w:name="_Toc184314441"/>
      <w:bookmarkEnd w:id="115"/>
      <w:bookmarkStart w:id="116" w:name="_Toc184314444"/>
      <w:bookmarkEnd w:id="116"/>
      <w:bookmarkStart w:id="117" w:name="_Toc184314479"/>
      <w:bookmarkEnd w:id="117"/>
      <w:bookmarkStart w:id="118" w:name="_Toc184313295"/>
      <w:bookmarkEnd w:id="118"/>
      <w:bookmarkStart w:id="119" w:name="_Toc184313297"/>
      <w:bookmarkEnd w:id="119"/>
      <w:bookmarkStart w:id="120" w:name="_Toc184313250"/>
      <w:bookmarkEnd w:id="120"/>
      <w:bookmarkStart w:id="121" w:name="_Toc184310288"/>
      <w:bookmarkEnd w:id="121"/>
      <w:bookmarkStart w:id="122" w:name="_Toc184314457"/>
      <w:bookmarkEnd w:id="122"/>
      <w:bookmarkStart w:id="123" w:name="_Toc184313276"/>
      <w:bookmarkEnd w:id="123"/>
      <w:bookmarkStart w:id="124" w:name="_Toc184308057"/>
      <w:bookmarkEnd w:id="124"/>
      <w:bookmarkStart w:id="125" w:name="_Toc184312113"/>
      <w:bookmarkEnd w:id="125"/>
      <w:bookmarkStart w:id="126" w:name="_Toc184308039"/>
      <w:bookmarkEnd w:id="126"/>
      <w:bookmarkStart w:id="127" w:name="_Toc184313266"/>
      <w:bookmarkEnd w:id="127"/>
      <w:bookmarkStart w:id="128" w:name="_Toc184313255"/>
      <w:bookmarkEnd w:id="128"/>
      <w:bookmarkStart w:id="129" w:name="_Toc184313240"/>
      <w:bookmarkEnd w:id="129"/>
      <w:bookmarkStart w:id="130" w:name="_Toc184314421"/>
      <w:bookmarkEnd w:id="130"/>
      <w:bookmarkStart w:id="131" w:name="_Toc184312138"/>
      <w:bookmarkEnd w:id="131"/>
      <w:bookmarkStart w:id="132" w:name="_Toc184308106"/>
      <w:bookmarkEnd w:id="132"/>
      <w:bookmarkStart w:id="133" w:name="_Toc184313285"/>
      <w:bookmarkEnd w:id="133"/>
      <w:bookmarkStart w:id="134" w:name="_Toc184314424"/>
      <w:bookmarkEnd w:id="134"/>
      <w:bookmarkStart w:id="135" w:name="_Toc184313246"/>
      <w:bookmarkEnd w:id="135"/>
      <w:bookmarkStart w:id="136" w:name="_Toc184312129"/>
      <w:bookmarkEnd w:id="136"/>
      <w:bookmarkStart w:id="137" w:name="_Toc184310317"/>
      <w:bookmarkEnd w:id="137"/>
      <w:bookmarkStart w:id="138" w:name="_Toc184313270"/>
      <w:bookmarkEnd w:id="138"/>
      <w:bookmarkStart w:id="139" w:name="_Toc184312110"/>
      <w:bookmarkEnd w:id="139"/>
      <w:bookmarkStart w:id="140" w:name="_Toc184314477"/>
      <w:bookmarkEnd w:id="140"/>
      <w:bookmarkStart w:id="141" w:name="_Toc184310337"/>
      <w:bookmarkEnd w:id="141"/>
      <w:bookmarkStart w:id="142" w:name="_Toc184308099"/>
      <w:bookmarkEnd w:id="142"/>
      <w:bookmarkStart w:id="143" w:name="_Toc184313238"/>
      <w:bookmarkEnd w:id="143"/>
      <w:bookmarkStart w:id="144" w:name="_Toc184310306"/>
      <w:bookmarkEnd w:id="144"/>
      <w:bookmarkStart w:id="145" w:name="_Toc184313305"/>
      <w:bookmarkEnd w:id="145"/>
      <w:bookmarkStart w:id="146" w:name="_Toc184314432"/>
      <w:bookmarkEnd w:id="146"/>
      <w:bookmarkStart w:id="147" w:name="_Toc184308107"/>
      <w:bookmarkEnd w:id="147"/>
      <w:bookmarkStart w:id="148" w:name="_Toc184314440"/>
      <w:bookmarkEnd w:id="148"/>
      <w:bookmarkStart w:id="149" w:name="_Toc184312130"/>
      <w:bookmarkEnd w:id="149"/>
      <w:bookmarkStart w:id="150" w:name="_Toc184312123"/>
      <w:bookmarkEnd w:id="150"/>
      <w:bookmarkStart w:id="151" w:name="_Toc184312099"/>
      <w:bookmarkEnd w:id="151"/>
      <w:bookmarkStart w:id="152" w:name="_Toc184310285"/>
      <w:bookmarkEnd w:id="152"/>
      <w:bookmarkStart w:id="153" w:name="_Toc184312101"/>
      <w:bookmarkEnd w:id="153"/>
      <w:bookmarkStart w:id="154" w:name="_Toc184312112"/>
      <w:bookmarkEnd w:id="154"/>
      <w:bookmarkStart w:id="155" w:name="_Toc184312085"/>
      <w:bookmarkEnd w:id="155"/>
      <w:bookmarkStart w:id="156" w:name="_Toc184313280"/>
      <w:bookmarkEnd w:id="156"/>
      <w:bookmarkStart w:id="157" w:name="_Toc184308058"/>
      <w:bookmarkEnd w:id="157"/>
      <w:bookmarkStart w:id="158" w:name="_Toc184312096"/>
      <w:bookmarkEnd w:id="158"/>
      <w:bookmarkStart w:id="159" w:name="_Toc184314437"/>
      <w:bookmarkEnd w:id="159"/>
      <w:bookmarkStart w:id="160" w:name="_Toc184314445"/>
      <w:bookmarkEnd w:id="160"/>
      <w:bookmarkStart w:id="161" w:name="_Toc184308104"/>
      <w:bookmarkEnd w:id="161"/>
      <w:bookmarkStart w:id="162" w:name="_Toc184314469"/>
      <w:bookmarkEnd w:id="162"/>
      <w:bookmarkStart w:id="163" w:name="_Toc184310339"/>
      <w:bookmarkEnd w:id="163"/>
      <w:bookmarkStart w:id="164" w:name="_Toc184310281"/>
      <w:bookmarkEnd w:id="164"/>
      <w:bookmarkStart w:id="165" w:name="_Toc184308052"/>
      <w:bookmarkEnd w:id="165"/>
      <w:bookmarkStart w:id="166" w:name="_Toc184310314"/>
      <w:bookmarkEnd w:id="166"/>
      <w:bookmarkStart w:id="167" w:name="_Toc184310312"/>
      <w:bookmarkEnd w:id="167"/>
      <w:bookmarkStart w:id="168" w:name="_Toc184314480"/>
      <w:bookmarkEnd w:id="168"/>
      <w:bookmarkStart w:id="169" w:name="_Toc184312120"/>
      <w:bookmarkEnd w:id="169"/>
      <w:bookmarkStart w:id="170" w:name="_Toc184308083"/>
      <w:bookmarkEnd w:id="170"/>
      <w:bookmarkStart w:id="171" w:name="_Toc184308045"/>
      <w:bookmarkEnd w:id="171"/>
      <w:bookmarkStart w:id="172" w:name="_Toc184313259"/>
      <w:bookmarkEnd w:id="172"/>
      <w:bookmarkStart w:id="173" w:name="_Toc184312068"/>
      <w:bookmarkEnd w:id="173"/>
      <w:bookmarkStart w:id="174" w:name="_Toc184308093"/>
      <w:bookmarkEnd w:id="174"/>
      <w:bookmarkStart w:id="175" w:name="_Toc184314443"/>
      <w:bookmarkEnd w:id="175"/>
      <w:bookmarkStart w:id="176" w:name="_Toc184312095"/>
      <w:bookmarkEnd w:id="176"/>
      <w:bookmarkStart w:id="177" w:name="_Toc184313273"/>
      <w:bookmarkEnd w:id="177"/>
      <w:bookmarkStart w:id="178" w:name="_Toc184314439"/>
      <w:bookmarkEnd w:id="178"/>
      <w:bookmarkStart w:id="179" w:name="_Toc184313249"/>
      <w:bookmarkEnd w:id="179"/>
      <w:bookmarkStart w:id="180" w:name="_Toc184312073"/>
      <w:bookmarkEnd w:id="180"/>
      <w:bookmarkStart w:id="181" w:name="_Toc184308037"/>
      <w:bookmarkEnd w:id="181"/>
      <w:bookmarkStart w:id="182" w:name="_Toc184313279"/>
      <w:bookmarkEnd w:id="182"/>
      <w:bookmarkStart w:id="183" w:name="_Toc184314450"/>
      <w:bookmarkEnd w:id="183"/>
      <w:bookmarkStart w:id="184" w:name="_Toc184312087"/>
      <w:bookmarkEnd w:id="184"/>
      <w:bookmarkStart w:id="185" w:name="_Toc184312067"/>
      <w:bookmarkEnd w:id="185"/>
      <w:bookmarkStart w:id="186" w:name="_Toc184308102"/>
      <w:bookmarkEnd w:id="186"/>
      <w:bookmarkStart w:id="187" w:name="_Toc184312134"/>
      <w:bookmarkEnd w:id="187"/>
      <w:bookmarkStart w:id="188" w:name="_Toc184314447"/>
      <w:bookmarkEnd w:id="188"/>
      <w:bookmarkStart w:id="189" w:name="_Toc184312077"/>
      <w:bookmarkEnd w:id="189"/>
      <w:bookmarkStart w:id="190" w:name="_Toc184314419"/>
      <w:bookmarkEnd w:id="190"/>
      <w:bookmarkStart w:id="191" w:name="_Toc184310291"/>
      <w:bookmarkEnd w:id="191"/>
      <w:bookmarkStart w:id="192" w:name="_Toc184314452"/>
      <w:bookmarkEnd w:id="192"/>
      <w:bookmarkStart w:id="193" w:name="_Toc184314471"/>
      <w:bookmarkEnd w:id="193"/>
      <w:bookmarkStart w:id="194" w:name="_Toc184308064"/>
      <w:bookmarkEnd w:id="194"/>
      <w:bookmarkStart w:id="195" w:name="_Toc184308047"/>
      <w:bookmarkEnd w:id="195"/>
      <w:bookmarkStart w:id="196" w:name="_Toc184308065"/>
      <w:bookmarkEnd w:id="196"/>
      <w:bookmarkStart w:id="197" w:name="_Toc184313271"/>
      <w:bookmarkEnd w:id="197"/>
      <w:bookmarkStart w:id="198" w:name="_Toc184310311"/>
      <w:bookmarkEnd w:id="198"/>
      <w:bookmarkStart w:id="199" w:name="_Toc184308054"/>
      <w:bookmarkEnd w:id="199"/>
      <w:bookmarkStart w:id="200" w:name="_Toc184313268"/>
      <w:bookmarkEnd w:id="200"/>
      <w:bookmarkStart w:id="201" w:name="_Toc184308076"/>
      <w:bookmarkEnd w:id="201"/>
      <w:bookmarkStart w:id="202" w:name="_Toc184312080"/>
      <w:bookmarkEnd w:id="202"/>
      <w:bookmarkStart w:id="203" w:name="_Toc184310296"/>
      <w:bookmarkEnd w:id="203"/>
      <w:bookmarkStart w:id="204" w:name="_Toc184313264"/>
      <w:bookmarkEnd w:id="204"/>
      <w:bookmarkStart w:id="205" w:name="_Toc184310277"/>
      <w:bookmarkEnd w:id="205"/>
      <w:bookmarkStart w:id="206" w:name="_Toc184310305"/>
      <w:bookmarkEnd w:id="206"/>
      <w:bookmarkStart w:id="207" w:name="_Toc184312070"/>
      <w:bookmarkEnd w:id="207"/>
      <w:bookmarkStart w:id="208" w:name="_Toc184310294"/>
      <w:bookmarkEnd w:id="208"/>
      <w:bookmarkStart w:id="209" w:name="_Toc184312094"/>
      <w:bookmarkEnd w:id="209"/>
      <w:bookmarkStart w:id="210" w:name="_Toc184313300"/>
      <w:bookmarkEnd w:id="210"/>
      <w:bookmarkStart w:id="211" w:name="_Toc184312084"/>
      <w:bookmarkEnd w:id="211"/>
      <w:bookmarkStart w:id="212" w:name="_Toc184312131"/>
      <w:bookmarkEnd w:id="212"/>
      <w:bookmarkStart w:id="213" w:name="_Toc184308063"/>
      <w:bookmarkEnd w:id="213"/>
      <w:bookmarkStart w:id="214" w:name="_Toc184310329"/>
      <w:bookmarkEnd w:id="214"/>
      <w:bookmarkStart w:id="215" w:name="_Toc184314429"/>
      <w:bookmarkEnd w:id="215"/>
      <w:bookmarkStart w:id="216" w:name="_Toc184310297"/>
      <w:bookmarkEnd w:id="216"/>
      <w:bookmarkStart w:id="217" w:name="_Toc184314417"/>
      <w:bookmarkEnd w:id="217"/>
      <w:bookmarkStart w:id="218" w:name="_Toc184313251"/>
      <w:bookmarkEnd w:id="218"/>
      <w:bookmarkStart w:id="219" w:name="_Toc184310325"/>
      <w:bookmarkEnd w:id="219"/>
      <w:bookmarkStart w:id="220" w:name="_Toc184314455"/>
      <w:bookmarkEnd w:id="220"/>
      <w:bookmarkStart w:id="221" w:name="_Toc184313267"/>
      <w:bookmarkEnd w:id="221"/>
      <w:bookmarkStart w:id="222" w:name="_Toc184308073"/>
      <w:bookmarkEnd w:id="222"/>
      <w:bookmarkStart w:id="223" w:name="_Toc184308105"/>
      <w:bookmarkEnd w:id="223"/>
      <w:bookmarkStart w:id="224" w:name="_Toc184313296"/>
      <w:bookmarkEnd w:id="224"/>
      <w:bookmarkStart w:id="225" w:name="_Toc184314454"/>
      <w:bookmarkEnd w:id="225"/>
      <w:bookmarkStart w:id="226" w:name="_Toc184312090"/>
      <w:bookmarkEnd w:id="226"/>
      <w:bookmarkStart w:id="227" w:name="_Toc184312082"/>
      <w:bookmarkEnd w:id="227"/>
      <w:bookmarkStart w:id="228" w:name="_Toc184310280"/>
      <w:bookmarkEnd w:id="228"/>
      <w:bookmarkStart w:id="229" w:name="_Toc184310283"/>
      <w:bookmarkEnd w:id="229"/>
      <w:bookmarkStart w:id="230" w:name="_Toc184308098"/>
      <w:bookmarkEnd w:id="230"/>
      <w:bookmarkStart w:id="231" w:name="_Toc184312079"/>
      <w:bookmarkEnd w:id="231"/>
      <w:bookmarkStart w:id="232" w:name="_Toc184314411"/>
      <w:bookmarkEnd w:id="232"/>
      <w:bookmarkStart w:id="233" w:name="_Toc184312078"/>
      <w:bookmarkEnd w:id="233"/>
      <w:bookmarkStart w:id="234" w:name="_Toc184310289"/>
      <w:bookmarkEnd w:id="234"/>
      <w:bookmarkStart w:id="235" w:name="_Toc184310316"/>
      <w:bookmarkEnd w:id="235"/>
      <w:bookmarkStart w:id="236" w:name="_Toc184310330"/>
      <w:bookmarkEnd w:id="236"/>
      <w:bookmarkStart w:id="237" w:name="_Toc184314431"/>
      <w:bookmarkEnd w:id="237"/>
      <w:bookmarkStart w:id="238" w:name="_Toc184314434"/>
      <w:bookmarkEnd w:id="238"/>
      <w:bookmarkStart w:id="239" w:name="_Toc184308040"/>
      <w:bookmarkEnd w:id="239"/>
      <w:bookmarkStart w:id="240" w:name="_Toc184313275"/>
      <w:bookmarkEnd w:id="240"/>
      <w:bookmarkStart w:id="241" w:name="_Toc184308081"/>
      <w:bookmarkEnd w:id="241"/>
      <w:bookmarkStart w:id="242" w:name="_Toc184313284"/>
      <w:bookmarkEnd w:id="242"/>
      <w:bookmarkStart w:id="243" w:name="_Toc184308071"/>
      <w:bookmarkEnd w:id="243"/>
      <w:bookmarkStart w:id="244" w:name="_Toc184310343"/>
      <w:bookmarkEnd w:id="244"/>
      <w:bookmarkStart w:id="245" w:name="_Toc184312074"/>
      <w:bookmarkEnd w:id="245"/>
      <w:bookmarkStart w:id="246" w:name="_Toc184308042"/>
      <w:bookmarkEnd w:id="246"/>
      <w:bookmarkStart w:id="247" w:name="_Toc184313278"/>
      <w:bookmarkEnd w:id="247"/>
      <w:bookmarkStart w:id="248" w:name="_Toc184314446"/>
      <w:bookmarkEnd w:id="248"/>
      <w:bookmarkStart w:id="249" w:name="_Toc184310315"/>
      <w:bookmarkEnd w:id="249"/>
      <w:bookmarkStart w:id="250" w:name="_Toc184308084"/>
      <w:bookmarkEnd w:id="250"/>
      <w:bookmarkStart w:id="251" w:name="_Toc184310275"/>
      <w:bookmarkEnd w:id="251"/>
      <w:bookmarkStart w:id="252" w:name="_Toc184313301"/>
      <w:bookmarkEnd w:id="252"/>
      <w:bookmarkStart w:id="253" w:name="_Toc184314463"/>
      <w:bookmarkEnd w:id="253"/>
      <w:bookmarkStart w:id="254" w:name="_Toc184308046"/>
      <w:bookmarkEnd w:id="254"/>
      <w:bookmarkStart w:id="255" w:name="_Toc184312119"/>
      <w:bookmarkEnd w:id="255"/>
      <w:bookmarkStart w:id="256" w:name="_Toc184314423"/>
      <w:bookmarkEnd w:id="256"/>
      <w:bookmarkStart w:id="257" w:name="_Toc184313256"/>
      <w:bookmarkEnd w:id="257"/>
      <w:bookmarkStart w:id="258" w:name="_Toc184314474"/>
      <w:bookmarkEnd w:id="258"/>
      <w:bookmarkStart w:id="259" w:name="_Toc184308108"/>
      <w:bookmarkEnd w:id="259"/>
      <w:bookmarkStart w:id="260" w:name="_Toc184313277"/>
      <w:bookmarkEnd w:id="260"/>
      <w:bookmarkStart w:id="261" w:name="_Toc184312117"/>
      <w:bookmarkEnd w:id="261"/>
      <w:bookmarkStart w:id="262" w:name="_Toc184312116"/>
      <w:bookmarkEnd w:id="262"/>
      <w:bookmarkStart w:id="263" w:name="_Toc184308101"/>
      <w:bookmarkEnd w:id="263"/>
      <w:bookmarkStart w:id="264" w:name="_Toc184310303"/>
      <w:bookmarkEnd w:id="264"/>
      <w:bookmarkStart w:id="265" w:name="_Toc184312139"/>
      <w:bookmarkEnd w:id="265"/>
      <w:bookmarkStart w:id="266" w:name="_Toc184308060"/>
      <w:bookmarkEnd w:id="266"/>
      <w:bookmarkStart w:id="267" w:name="_Toc184314416"/>
      <w:bookmarkEnd w:id="267"/>
      <w:bookmarkStart w:id="268" w:name="_Toc184312124"/>
      <w:bookmarkEnd w:id="268"/>
      <w:bookmarkStart w:id="269" w:name="_Toc184314410"/>
      <w:bookmarkEnd w:id="269"/>
      <w:bookmarkStart w:id="270" w:name="_Toc184308051"/>
      <w:bookmarkEnd w:id="270"/>
      <w:bookmarkStart w:id="271" w:name="_Toc184308050"/>
      <w:bookmarkEnd w:id="271"/>
      <w:bookmarkStart w:id="272" w:name="_Toc184313242"/>
      <w:bookmarkEnd w:id="272"/>
      <w:bookmarkStart w:id="273" w:name="_Toc184310279"/>
      <w:bookmarkEnd w:id="273"/>
      <w:bookmarkStart w:id="274" w:name="_Toc184313298"/>
      <w:bookmarkEnd w:id="274"/>
      <w:bookmarkStart w:id="275" w:name="_Toc184310342"/>
      <w:bookmarkEnd w:id="275"/>
      <w:bookmarkStart w:id="276" w:name="_Toc184314430"/>
      <w:bookmarkEnd w:id="276"/>
      <w:bookmarkStart w:id="277" w:name="_Toc184314420"/>
      <w:bookmarkEnd w:id="277"/>
      <w:bookmarkStart w:id="278" w:name="_Toc184310284"/>
      <w:bookmarkEnd w:id="278"/>
      <w:bookmarkStart w:id="279" w:name="_Toc184310336"/>
      <w:bookmarkEnd w:id="279"/>
      <w:bookmarkStart w:id="280" w:name="_Toc184312111"/>
      <w:bookmarkEnd w:id="280"/>
      <w:bookmarkStart w:id="281" w:name="_Toc184310282"/>
      <w:bookmarkEnd w:id="281"/>
      <w:bookmarkStart w:id="282" w:name="_Toc184313283"/>
      <w:bookmarkEnd w:id="282"/>
      <w:bookmarkStart w:id="283" w:name="_Toc184314466"/>
      <w:bookmarkEnd w:id="283"/>
      <w:bookmarkStart w:id="284" w:name="_Toc184310334"/>
      <w:bookmarkEnd w:id="284"/>
      <w:bookmarkStart w:id="285" w:name="_Toc184314456"/>
      <w:bookmarkEnd w:id="285"/>
      <w:bookmarkStart w:id="286" w:name="_Toc184308077"/>
      <w:bookmarkEnd w:id="286"/>
      <w:bookmarkStart w:id="287" w:name="_Toc184314422"/>
      <w:bookmarkEnd w:id="287"/>
      <w:bookmarkStart w:id="288" w:name="_Toc184310307"/>
      <w:bookmarkEnd w:id="288"/>
      <w:bookmarkStart w:id="289" w:name="_Toc184308070"/>
      <w:bookmarkEnd w:id="289"/>
      <w:bookmarkStart w:id="290" w:name="_Toc184314472"/>
      <w:bookmarkEnd w:id="290"/>
      <w:bookmarkStart w:id="291" w:name="_Toc184313288"/>
      <w:bookmarkEnd w:id="291"/>
      <w:bookmarkStart w:id="292" w:name="_Toc184310278"/>
      <w:bookmarkEnd w:id="292"/>
      <w:bookmarkStart w:id="293" w:name="_Toc184314412"/>
      <w:bookmarkEnd w:id="293"/>
      <w:bookmarkStart w:id="294" w:name="_Toc184312076"/>
      <w:bookmarkEnd w:id="294"/>
      <w:bookmarkStart w:id="295" w:name="_Toc184310328"/>
      <w:bookmarkEnd w:id="295"/>
      <w:bookmarkStart w:id="296" w:name="_Toc184312121"/>
      <w:bookmarkEnd w:id="296"/>
      <w:bookmarkStart w:id="297" w:name="_Toc184308048"/>
      <w:bookmarkEnd w:id="297"/>
      <w:bookmarkStart w:id="298" w:name="_Toc184308074"/>
      <w:bookmarkEnd w:id="298"/>
      <w:bookmarkStart w:id="299" w:name="_Toc184313241"/>
      <w:bookmarkEnd w:id="299"/>
      <w:bookmarkStart w:id="300" w:name="_Toc184308092"/>
      <w:bookmarkEnd w:id="300"/>
      <w:bookmarkStart w:id="301" w:name="_Toc184313304"/>
      <w:bookmarkEnd w:id="301"/>
      <w:bookmarkStart w:id="302" w:name="_Toc184312089"/>
      <w:bookmarkEnd w:id="302"/>
      <w:bookmarkStart w:id="303" w:name="_Toc184314464"/>
      <w:bookmarkEnd w:id="303"/>
      <w:bookmarkStart w:id="304" w:name="_Toc184308100"/>
      <w:bookmarkEnd w:id="304"/>
      <w:bookmarkStart w:id="305" w:name="_Toc184313239"/>
      <w:bookmarkEnd w:id="305"/>
      <w:bookmarkStart w:id="306" w:name="_Toc184310304"/>
      <w:bookmarkEnd w:id="306"/>
      <w:bookmarkStart w:id="307" w:name="_Toc184313247"/>
      <w:bookmarkEnd w:id="307"/>
      <w:bookmarkStart w:id="308" w:name="_Toc184314482"/>
      <w:bookmarkEnd w:id="308"/>
      <w:bookmarkStart w:id="309" w:name="_Toc184312093"/>
      <w:bookmarkEnd w:id="309"/>
      <w:bookmarkStart w:id="310" w:name="_Toc184313260"/>
      <w:bookmarkEnd w:id="310"/>
      <w:bookmarkStart w:id="311" w:name="_Toc184308087"/>
      <w:bookmarkEnd w:id="311"/>
      <w:bookmarkStart w:id="312" w:name="_Toc184313287"/>
      <w:bookmarkEnd w:id="312"/>
      <w:bookmarkStart w:id="313" w:name="_Toc184312069"/>
      <w:bookmarkEnd w:id="313"/>
      <w:bookmarkStart w:id="314" w:name="_Toc184312122"/>
      <w:bookmarkEnd w:id="314"/>
      <w:bookmarkStart w:id="315" w:name="_Toc184312136"/>
      <w:bookmarkEnd w:id="315"/>
      <w:bookmarkStart w:id="316" w:name="_Toc184310340"/>
      <w:bookmarkEnd w:id="316"/>
      <w:bookmarkStart w:id="317" w:name="_Toc184310323"/>
      <w:bookmarkEnd w:id="317"/>
      <w:bookmarkStart w:id="318" w:name="_Toc184313307"/>
      <w:bookmarkEnd w:id="318"/>
      <w:bookmarkStart w:id="319" w:name="_Toc184314418"/>
      <w:bookmarkEnd w:id="319"/>
      <w:bookmarkStart w:id="320" w:name="_Toc184312105"/>
      <w:bookmarkEnd w:id="320"/>
      <w:bookmarkStart w:id="321" w:name="_Toc184310318"/>
      <w:bookmarkEnd w:id="321"/>
      <w:bookmarkStart w:id="322" w:name="_Toc184314414"/>
      <w:bookmarkEnd w:id="322"/>
      <w:bookmarkStart w:id="323" w:name="_Toc184313291"/>
      <w:bookmarkEnd w:id="323"/>
      <w:bookmarkStart w:id="324" w:name="_Toc184310313"/>
      <w:bookmarkEnd w:id="324"/>
      <w:bookmarkStart w:id="325" w:name="_Toc184314428"/>
      <w:bookmarkEnd w:id="325"/>
      <w:bookmarkStart w:id="326" w:name="_Toc184314465"/>
      <w:bookmarkEnd w:id="326"/>
      <w:bookmarkStart w:id="327" w:name="_Toc184313253"/>
      <w:bookmarkEnd w:id="327"/>
      <w:bookmarkStart w:id="328" w:name="_Toc184308049"/>
      <w:bookmarkEnd w:id="328"/>
      <w:bookmarkStart w:id="329" w:name="_Toc184308067"/>
      <w:bookmarkEnd w:id="329"/>
      <w:bookmarkStart w:id="330" w:name="_Toc184312115"/>
      <w:bookmarkEnd w:id="330"/>
      <w:bookmarkStart w:id="331" w:name="_Toc184312132"/>
      <w:bookmarkEnd w:id="331"/>
      <w:bookmarkStart w:id="332" w:name="_Toc184308080"/>
      <w:bookmarkEnd w:id="332"/>
      <w:bookmarkStart w:id="333" w:name="_Toc184308096"/>
      <w:bookmarkEnd w:id="333"/>
      <w:bookmarkStart w:id="334" w:name="_Toc184312088"/>
      <w:bookmarkEnd w:id="334"/>
      <w:bookmarkStart w:id="335" w:name="_Toc184313254"/>
      <w:bookmarkEnd w:id="335"/>
      <w:bookmarkStart w:id="336" w:name="_Toc184314475"/>
      <w:bookmarkEnd w:id="336"/>
      <w:bookmarkStart w:id="337" w:name="_Toc184314473"/>
      <w:bookmarkEnd w:id="337"/>
      <w:bookmarkStart w:id="338" w:name="_Toc184310309"/>
      <w:bookmarkEnd w:id="338"/>
      <w:bookmarkStart w:id="339" w:name="_Toc184313294"/>
      <w:bookmarkEnd w:id="339"/>
      <w:bookmarkStart w:id="340" w:name="_Toc184313282"/>
      <w:bookmarkEnd w:id="340"/>
      <w:bookmarkStart w:id="341" w:name="_Toc184308059"/>
      <w:bookmarkEnd w:id="341"/>
      <w:bookmarkStart w:id="342" w:name="_Toc184308056"/>
      <w:bookmarkEnd w:id="342"/>
      <w:bookmarkStart w:id="343" w:name="_Toc184308082"/>
      <w:bookmarkEnd w:id="343"/>
      <w:bookmarkStart w:id="344" w:name="_Toc184308088"/>
      <w:bookmarkEnd w:id="344"/>
      <w:bookmarkStart w:id="345" w:name="_Toc184308068"/>
      <w:bookmarkEnd w:id="345"/>
      <w:bookmarkStart w:id="346" w:name="_Toc184314426"/>
      <w:bookmarkEnd w:id="346"/>
      <w:bookmarkStart w:id="347" w:name="_Toc184313299"/>
      <w:bookmarkEnd w:id="347"/>
      <w:bookmarkStart w:id="348" w:name="_Toc184310344"/>
      <w:bookmarkEnd w:id="348"/>
      <w:bookmarkStart w:id="349" w:name="_Toc184310301"/>
      <w:bookmarkEnd w:id="349"/>
      <w:bookmarkStart w:id="350" w:name="_Toc184312097"/>
      <w:bookmarkEnd w:id="350"/>
      <w:bookmarkStart w:id="351" w:name="_Toc184314451"/>
      <w:bookmarkEnd w:id="351"/>
      <w:bookmarkStart w:id="352" w:name="_Toc184314453"/>
      <w:bookmarkEnd w:id="352"/>
      <w:bookmarkStart w:id="353" w:name="_Toc184314413"/>
      <w:bookmarkEnd w:id="353"/>
      <w:bookmarkStart w:id="354" w:name="_Toc184314425"/>
      <w:bookmarkEnd w:id="354"/>
      <w:bookmarkStart w:id="355" w:name="_Toc184314476"/>
      <w:bookmarkEnd w:id="355"/>
      <w:bookmarkStart w:id="356" w:name="_Toc184314415"/>
      <w:bookmarkEnd w:id="356"/>
      <w:bookmarkStart w:id="357" w:name="_Toc184312107"/>
      <w:bookmarkEnd w:id="357"/>
      <w:bookmarkStart w:id="358" w:name="_Toc184312106"/>
      <w:bookmarkEnd w:id="358"/>
      <w:bookmarkStart w:id="359" w:name="_Toc184308097"/>
      <w:bookmarkEnd w:id="359"/>
      <w:bookmarkStart w:id="360" w:name="_Toc184312128"/>
      <w:bookmarkEnd w:id="360"/>
      <w:bookmarkStart w:id="361" w:name="_Toc184312103"/>
      <w:bookmarkEnd w:id="361"/>
      <w:bookmarkStart w:id="362" w:name="_Toc184310298"/>
      <w:bookmarkEnd w:id="362"/>
      <w:bookmarkStart w:id="363" w:name="_Toc184310295"/>
      <w:bookmarkEnd w:id="363"/>
      <w:bookmarkStart w:id="364" w:name="_Toc184312100"/>
      <w:bookmarkEnd w:id="364"/>
      <w:bookmarkStart w:id="365" w:name="_Toc184310287"/>
      <w:bookmarkEnd w:id="365"/>
      <w:bookmarkStart w:id="366" w:name="_Toc184313272"/>
      <w:bookmarkEnd w:id="366"/>
      <w:bookmarkStart w:id="367" w:name="_Toc184313274"/>
      <w:bookmarkEnd w:id="367"/>
      <w:bookmarkStart w:id="368" w:name="_Toc184310292"/>
      <w:bookmarkEnd w:id="368"/>
      <w:bookmarkStart w:id="369" w:name="_Toc184312109"/>
      <w:bookmarkEnd w:id="369"/>
      <w:bookmarkStart w:id="370" w:name="_Toc184314433"/>
      <w:bookmarkEnd w:id="370"/>
      <w:bookmarkStart w:id="371" w:name="_Toc184313244"/>
      <w:bookmarkEnd w:id="371"/>
      <w:bookmarkStart w:id="372" w:name="_Toc184314470"/>
      <w:bookmarkEnd w:id="372"/>
      <w:bookmarkStart w:id="373" w:name="_Toc184308043"/>
      <w:bookmarkEnd w:id="373"/>
      <w:bookmarkStart w:id="374" w:name="_Toc184310273"/>
      <w:bookmarkEnd w:id="374"/>
      <w:bookmarkStart w:id="375" w:name="_Toc184313243"/>
      <w:bookmarkEnd w:id="375"/>
      <w:bookmarkStart w:id="376" w:name="_Toc184313293"/>
      <w:bookmarkEnd w:id="376"/>
      <w:bookmarkStart w:id="377" w:name="_Toc184310299"/>
      <w:bookmarkEnd w:id="377"/>
      <w:bookmarkStart w:id="378" w:name="_Toc184308062"/>
      <w:bookmarkEnd w:id="378"/>
      <w:bookmarkStart w:id="379" w:name="_Toc184310335"/>
      <w:bookmarkEnd w:id="379"/>
      <w:bookmarkStart w:id="380" w:name="_Toc184314481"/>
      <w:bookmarkEnd w:id="380"/>
      <w:bookmarkStart w:id="381" w:name="_Toc184308075"/>
      <w:bookmarkEnd w:id="381"/>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numPr>
          <w:ilvl w:val="0"/>
          <w:numId w:val="0"/>
        </w:num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p>
      <w:pPr>
        <w:widowControl/>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1、商务资信（15分）</w:t>
      </w:r>
    </w:p>
    <w:tbl>
      <w:tblPr>
        <w:tblStyle w:val="63"/>
        <w:tblW w:w="9878" w:type="dxa"/>
        <w:tblInd w:w="-288" w:type="dxa"/>
        <w:tblLayout w:type="fixed"/>
        <w:tblCellMar>
          <w:top w:w="0" w:type="dxa"/>
          <w:left w:w="108" w:type="dxa"/>
          <w:bottom w:w="0" w:type="dxa"/>
          <w:right w:w="108" w:type="dxa"/>
        </w:tblCellMar>
      </w:tblPr>
      <w:tblGrid>
        <w:gridCol w:w="862"/>
        <w:gridCol w:w="538"/>
        <w:gridCol w:w="6690"/>
        <w:gridCol w:w="838"/>
        <w:gridCol w:w="950"/>
      </w:tblGrid>
      <w:tr>
        <w:tblPrEx>
          <w:tblCellMar>
            <w:top w:w="0" w:type="dxa"/>
            <w:left w:w="108" w:type="dxa"/>
            <w:bottom w:w="0" w:type="dxa"/>
            <w:right w:w="108" w:type="dxa"/>
          </w:tblCellMar>
        </w:tblPrEx>
        <w:trPr>
          <w:trHeight w:val="463" w:hRule="atLeast"/>
        </w:trPr>
        <w:tc>
          <w:tcPr>
            <w:tcW w:w="862"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228"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评分内容和标准</w:t>
            </w:r>
          </w:p>
        </w:tc>
        <w:tc>
          <w:tcPr>
            <w:tcW w:w="83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权重</w:t>
            </w:r>
          </w:p>
        </w:tc>
        <w:tc>
          <w:tcPr>
            <w:tcW w:w="95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打分</w:t>
            </w:r>
          </w:p>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62" w:type="dxa"/>
            <w:vMerge w:val="restart"/>
            <w:vAlign w:val="center"/>
          </w:tcPr>
          <w:p>
            <w:pPr>
              <w:pStyle w:val="27"/>
              <w:snapToGrid w:val="0"/>
              <w:spacing w:line="240" w:lineRule="auto"/>
              <w:ind w:firstLine="0" w:firstLineChars="0"/>
              <w:jc w:val="center"/>
              <w:rPr>
                <w:rFonts w:cs="宋体"/>
                <w:color w:val="auto"/>
                <w:highlight w:val="none"/>
              </w:rPr>
            </w:pPr>
            <w:r>
              <w:rPr>
                <w:rFonts w:hint="eastAsia" w:cs="宋体"/>
                <w:color w:val="auto"/>
                <w:highlight w:val="none"/>
              </w:rPr>
              <w:t>商务资信分</w:t>
            </w:r>
          </w:p>
          <w:p>
            <w:pPr>
              <w:pStyle w:val="27"/>
              <w:snapToGrid w:val="0"/>
              <w:spacing w:line="240" w:lineRule="auto"/>
              <w:ind w:firstLine="0" w:firstLineChars="0"/>
              <w:jc w:val="center"/>
              <w:rPr>
                <w:rFonts w:cs="宋体"/>
                <w:color w:val="auto"/>
                <w:kern w:val="0"/>
                <w:highlight w:val="none"/>
              </w:rPr>
            </w:pPr>
            <w:r>
              <w:rPr>
                <w:rFonts w:hint="eastAsia" w:cs="宋体"/>
                <w:color w:val="auto"/>
                <w:highlight w:val="none"/>
              </w:rPr>
              <w:t>（15分）</w:t>
            </w: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响应人自202</w:t>
            </w:r>
            <w:r>
              <w:rPr>
                <w:rFonts w:hint="eastAsia" w:ascii="宋体" w:hAnsi="宋体" w:cs="仿宋"/>
                <w:color w:val="auto"/>
                <w:sz w:val="24"/>
                <w:highlight w:val="none"/>
                <w:lang w:eastAsia="zh-CN"/>
              </w:rPr>
              <w:t>1</w:t>
            </w:r>
            <w:r>
              <w:rPr>
                <w:rFonts w:hint="eastAsia" w:ascii="宋体" w:hAnsi="宋体" w:cs="仿宋"/>
                <w:color w:val="auto"/>
                <w:sz w:val="24"/>
                <w:highlight w:val="none"/>
              </w:rPr>
              <w:t>年1月1日起具有类似旅游服务项目合同业绩</w:t>
            </w:r>
            <w:r>
              <w:rPr>
                <w:rFonts w:hint="eastAsia" w:ascii="宋体" w:hAnsi="宋体" w:cs="仿宋"/>
                <w:color w:val="auto"/>
                <w:sz w:val="24"/>
                <w:highlight w:val="none"/>
                <w:lang w:val="en-US" w:eastAsia="zh-CN"/>
              </w:rPr>
              <w:t>并获得业主满意</w:t>
            </w:r>
            <w:r>
              <w:rPr>
                <w:rFonts w:hint="eastAsia" w:ascii="宋体" w:hAnsi="宋体" w:cs="仿宋"/>
                <w:color w:val="auto"/>
                <w:sz w:val="24"/>
                <w:highlight w:val="none"/>
              </w:rPr>
              <w:t>的每个得0.2分，最高得1分。（</w:t>
            </w:r>
            <w:r>
              <w:rPr>
                <w:rFonts w:hint="eastAsia" w:ascii="宋体" w:hAnsi="宋体" w:cs="仿宋"/>
                <w:color w:val="auto"/>
                <w:sz w:val="24"/>
                <w:highlight w:val="none"/>
                <w:lang w:eastAsia="zh-CN"/>
              </w:rPr>
              <w:t>响应文件</w:t>
            </w:r>
            <w:r>
              <w:rPr>
                <w:rFonts w:hint="eastAsia" w:ascii="宋体" w:hAnsi="宋体" w:cs="仿宋"/>
                <w:color w:val="auto"/>
                <w:sz w:val="24"/>
                <w:highlight w:val="none"/>
              </w:rPr>
              <w:t>中提供合同复印件加盖公章。）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1</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w:t>
            </w:r>
            <w:r>
              <w:rPr>
                <w:rFonts w:hint="eastAsia" w:ascii="宋体" w:hAnsi="宋体" w:cs="仿宋"/>
                <w:bCs/>
                <w:color w:val="auto"/>
                <w:sz w:val="24"/>
                <w:highlight w:val="none"/>
                <w:lang w:bidi="zh-CN"/>
              </w:rPr>
              <w:t>旅行社星级状况：</w:t>
            </w:r>
            <w:r>
              <w:rPr>
                <w:rFonts w:hint="eastAsia" w:ascii="宋体" w:hAnsi="宋体" w:cs="仿宋"/>
                <w:color w:val="auto"/>
                <w:sz w:val="24"/>
                <w:highlight w:val="none"/>
              </w:rPr>
              <w:t>响应人</w:t>
            </w:r>
            <w:r>
              <w:rPr>
                <w:rFonts w:hint="eastAsia" w:ascii="宋体" w:hAnsi="宋体" w:cs="仿宋"/>
                <w:bCs/>
                <w:color w:val="auto"/>
                <w:sz w:val="24"/>
                <w:highlight w:val="none"/>
                <w:lang w:bidi="zh-CN"/>
              </w:rPr>
              <w:t>为五星级旅行社的得5分，四星级的得3分，三星级以下的得1分，没有的不得分。（响应文件中提供当地旅游局等单位颁发的相关文件，加盖公章。）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5</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6690" w:type="dxa"/>
            <w:vAlign w:val="center"/>
          </w:tcPr>
          <w:p>
            <w:pPr>
              <w:rPr>
                <w:rFonts w:ascii="宋体" w:hAnsi="宋体" w:cs="宋体"/>
                <w:color w:val="auto"/>
                <w:kern w:val="0"/>
                <w:sz w:val="24"/>
                <w:highlight w:val="none"/>
              </w:rPr>
            </w:pPr>
            <w:r>
              <w:rPr>
                <w:rFonts w:hint="eastAsia" w:ascii="宋体" w:hAnsi="宋体" w:cs="仿宋"/>
                <w:color w:val="auto"/>
                <w:sz w:val="24"/>
                <w:highlight w:val="none"/>
              </w:rPr>
              <w:t>响应人</w:t>
            </w:r>
            <w:r>
              <w:rPr>
                <w:rFonts w:hint="eastAsia" w:ascii="宋体" w:hAnsi="宋体" w:cs="仿宋"/>
                <w:bCs/>
                <w:color w:val="auto"/>
                <w:sz w:val="24"/>
                <w:highlight w:val="none"/>
                <w:lang w:bidi="zh-CN"/>
              </w:rPr>
              <w:t>自2021年1月1日起，获得政府行政部门或行业协会颁发的市级荣誉的，每个得</w:t>
            </w:r>
            <w:r>
              <w:rPr>
                <w:rFonts w:hint="eastAsia" w:ascii="宋体" w:hAnsi="宋体" w:cs="仿宋"/>
                <w:bCs/>
                <w:color w:val="auto"/>
                <w:sz w:val="24"/>
                <w:highlight w:val="none"/>
                <w:lang w:val="en-US" w:bidi="zh-CN"/>
              </w:rPr>
              <w:t>0.5</w:t>
            </w:r>
            <w:r>
              <w:rPr>
                <w:rFonts w:hint="eastAsia" w:ascii="宋体" w:hAnsi="宋体" w:cs="仿宋"/>
                <w:bCs/>
                <w:color w:val="auto"/>
                <w:sz w:val="24"/>
                <w:highlight w:val="none"/>
                <w:lang w:bidi="zh-CN"/>
              </w:rPr>
              <w:t>分，最多得</w:t>
            </w:r>
            <w:r>
              <w:rPr>
                <w:rFonts w:hint="eastAsia" w:ascii="宋体" w:hAnsi="宋体" w:cs="仿宋"/>
                <w:bCs/>
                <w:color w:val="auto"/>
                <w:sz w:val="24"/>
                <w:highlight w:val="none"/>
                <w:lang w:val="en-US" w:bidi="zh-CN"/>
              </w:rPr>
              <w:t>1</w:t>
            </w:r>
            <w:r>
              <w:rPr>
                <w:rFonts w:hint="eastAsia" w:ascii="宋体" w:hAnsi="宋体" w:cs="仿宋"/>
                <w:bCs/>
                <w:color w:val="auto"/>
                <w:sz w:val="24"/>
                <w:highlight w:val="none"/>
                <w:lang w:bidi="zh-CN"/>
              </w:rPr>
              <w:t>分；获得省级</w:t>
            </w:r>
            <w:r>
              <w:rPr>
                <w:rFonts w:hint="eastAsia" w:ascii="宋体" w:hAnsi="宋体" w:cs="仿宋"/>
                <w:bCs/>
                <w:color w:val="auto"/>
                <w:sz w:val="24"/>
                <w:highlight w:val="none"/>
              </w:rPr>
              <w:t>及以上</w:t>
            </w:r>
            <w:r>
              <w:rPr>
                <w:rFonts w:hint="eastAsia" w:ascii="宋体" w:hAnsi="宋体" w:cs="仿宋"/>
                <w:bCs/>
                <w:color w:val="auto"/>
                <w:sz w:val="24"/>
                <w:highlight w:val="none"/>
                <w:lang w:bidi="zh-CN"/>
              </w:rPr>
              <w:t>荣誉的，每个得1分，最多得</w:t>
            </w:r>
            <w:r>
              <w:rPr>
                <w:rFonts w:hint="eastAsia" w:ascii="宋体" w:hAnsi="宋体" w:cs="仿宋"/>
                <w:bCs/>
                <w:color w:val="auto"/>
                <w:sz w:val="24"/>
                <w:highlight w:val="none"/>
                <w:lang w:val="en-US" w:bidi="zh-CN"/>
              </w:rPr>
              <w:t>5</w:t>
            </w:r>
            <w:r>
              <w:rPr>
                <w:rFonts w:hint="eastAsia" w:ascii="宋体" w:hAnsi="宋体" w:cs="仿宋"/>
                <w:bCs/>
                <w:color w:val="auto"/>
                <w:sz w:val="24"/>
                <w:highlight w:val="none"/>
                <w:lang w:bidi="zh-CN"/>
              </w:rPr>
              <w:t>分。（响应文件中提供荣誉证书复印件，加盖公章。）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6</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62" w:type="dxa"/>
            <w:vMerge w:val="continue"/>
            <w:vAlign w:val="center"/>
          </w:tcPr>
          <w:p>
            <w:pPr>
              <w:pStyle w:val="27"/>
              <w:snapToGrid w:val="0"/>
              <w:spacing w:line="240" w:lineRule="auto"/>
              <w:ind w:firstLine="0" w:firstLineChars="0"/>
              <w:jc w:val="center"/>
              <w:rPr>
                <w:rFonts w:cs="宋体"/>
                <w:color w:val="auto"/>
                <w:highlight w:val="none"/>
              </w:rPr>
            </w:pPr>
          </w:p>
        </w:tc>
        <w:tc>
          <w:tcPr>
            <w:tcW w:w="538" w:type="dxa"/>
            <w:vAlign w:val="center"/>
          </w:tcPr>
          <w:p>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6690" w:type="dxa"/>
            <w:vAlign w:val="center"/>
          </w:tcPr>
          <w:p>
            <w:pPr>
              <w:pStyle w:val="400"/>
              <w:spacing w:afterLines="0"/>
              <w:ind w:firstLine="0" w:firstLineChars="0"/>
              <w:rPr>
                <w:rFonts w:ascii="宋体" w:hAnsi="宋体" w:cs="宋体"/>
                <w:color w:val="auto"/>
                <w:szCs w:val="24"/>
                <w:highlight w:val="none"/>
              </w:rPr>
            </w:pPr>
            <w:r>
              <w:rPr>
                <w:rFonts w:hint="eastAsia" w:ascii="宋体" w:hAnsi="宋体" w:cs="仿宋"/>
                <w:color w:val="auto"/>
                <w:szCs w:val="24"/>
                <w:highlight w:val="none"/>
              </w:rPr>
              <w:t>响应人</w:t>
            </w:r>
            <w:r>
              <w:rPr>
                <w:rFonts w:hint="eastAsia" w:ascii="宋体" w:hAnsi="宋体" w:cs="仿宋"/>
                <w:bCs/>
                <w:color w:val="auto"/>
                <w:szCs w:val="24"/>
                <w:highlight w:val="none"/>
                <w:lang w:bidi="zh-CN"/>
              </w:rPr>
              <w:t>具有职业健康安全管理体系认证、环境管理体系认证、</w:t>
            </w:r>
            <w:r>
              <w:rPr>
                <w:rFonts w:hint="eastAsia" w:ascii="宋体" w:hAnsi="宋体" w:cs="仿宋"/>
                <w:bCs/>
                <w:color w:val="auto"/>
                <w:szCs w:val="24"/>
                <w:highlight w:val="none"/>
                <w:lang w:val="en-US" w:bidi="zh-CN"/>
              </w:rPr>
              <w:t>质量管理体系认证等</w:t>
            </w:r>
            <w:r>
              <w:rPr>
                <w:rFonts w:hint="eastAsia" w:ascii="宋体" w:hAnsi="宋体" w:cs="仿宋"/>
                <w:bCs/>
                <w:color w:val="auto"/>
                <w:szCs w:val="24"/>
                <w:highlight w:val="none"/>
                <w:lang w:bidi="zh-CN"/>
              </w:rPr>
              <w:t>（证书须在有效期内）：每个体系得1分，最高得3分。</w:t>
            </w:r>
            <w:r>
              <w:rPr>
                <w:rFonts w:hint="eastAsia" w:ascii="宋体" w:hAnsi="宋体" w:cs="宋体"/>
                <w:color w:val="auto"/>
                <w:szCs w:val="24"/>
                <w:highlight w:val="none"/>
              </w:rPr>
              <w:t>（</w:t>
            </w:r>
            <w:r>
              <w:rPr>
                <w:rFonts w:hint="eastAsia" w:ascii="宋体" w:hAnsi="宋体" w:cs="宋体"/>
                <w:color w:val="auto"/>
                <w:szCs w:val="24"/>
                <w:highlight w:val="none"/>
                <w:lang w:eastAsia="zh-CN"/>
              </w:rPr>
              <w:t>响应文件</w:t>
            </w:r>
            <w:r>
              <w:rPr>
                <w:rFonts w:hint="eastAsia" w:ascii="宋体" w:hAnsi="宋体" w:cs="宋体"/>
                <w:color w:val="auto"/>
                <w:szCs w:val="24"/>
                <w:highlight w:val="none"/>
              </w:rPr>
              <w:t>中提供证书复印件，加盖公章。）</w:t>
            </w:r>
          </w:p>
        </w:tc>
        <w:tc>
          <w:tcPr>
            <w:tcW w:w="838"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3</w:t>
            </w:r>
          </w:p>
        </w:tc>
        <w:tc>
          <w:tcPr>
            <w:tcW w:w="950" w:type="dxa"/>
            <w:vAlign w:val="center"/>
          </w:tcPr>
          <w:p>
            <w:pPr>
              <w:jc w:val="center"/>
              <w:rPr>
                <w:rFonts w:ascii="宋体" w:hAnsi="宋体" w:cs="宋体"/>
                <w:color w:val="auto"/>
                <w:sz w:val="24"/>
                <w:highlight w:val="none"/>
              </w:rPr>
            </w:pPr>
            <w:r>
              <w:rPr>
                <w:rFonts w:hint="eastAsia" w:ascii="宋体" w:hAnsi="宋体" w:cs="仿宋"/>
                <w:color w:val="auto"/>
                <w:sz w:val="24"/>
                <w:highlight w:val="none"/>
              </w:rPr>
              <w:t>客观分</w:t>
            </w:r>
          </w:p>
        </w:tc>
      </w:tr>
    </w:tbl>
    <w:p>
      <w:pPr>
        <w:widowControl/>
        <w:spacing w:line="360" w:lineRule="auto"/>
        <w:ind w:firstLine="480" w:firstLineChars="200"/>
        <w:rPr>
          <w:rFonts w:ascii="宋体" w:hAnsi="宋体" w:cs="仿宋"/>
          <w:color w:val="auto"/>
          <w:sz w:val="24"/>
          <w:highlight w:val="none"/>
        </w:rPr>
      </w:pPr>
    </w:p>
    <w:p>
      <w:pPr>
        <w:widowControl/>
        <w:snapToGrid w:val="0"/>
        <w:spacing w:line="360" w:lineRule="auto"/>
        <w:ind w:firstLine="480" w:firstLineChars="200"/>
        <w:rPr>
          <w:rFonts w:ascii="宋体" w:hAnsi="宋体" w:cs="仿宋_GB2312"/>
          <w:color w:val="auto"/>
          <w:sz w:val="24"/>
          <w:highlight w:val="none"/>
        </w:rPr>
      </w:pPr>
      <w:r>
        <w:rPr>
          <w:rFonts w:hint="eastAsia" w:ascii="宋体" w:hAnsi="宋体" w:cs="仿宋"/>
          <w:color w:val="auto"/>
          <w:sz w:val="24"/>
          <w:highlight w:val="none"/>
        </w:rPr>
        <w:t>2、</w:t>
      </w:r>
      <w:r>
        <w:rPr>
          <w:rFonts w:hint="eastAsia" w:ascii="宋体" w:hAnsi="宋体" w:cs="宋体"/>
          <w:color w:val="auto"/>
          <w:sz w:val="24"/>
          <w:highlight w:val="none"/>
        </w:rPr>
        <w:t>技术和服务方案</w:t>
      </w:r>
      <w:r>
        <w:rPr>
          <w:rFonts w:hint="eastAsia" w:ascii="宋体" w:hAnsi="宋体" w:cs="仿宋"/>
          <w:color w:val="auto"/>
          <w:sz w:val="24"/>
          <w:highlight w:val="none"/>
        </w:rPr>
        <w:t>（75分）</w:t>
      </w:r>
    </w:p>
    <w:tbl>
      <w:tblPr>
        <w:tblStyle w:val="6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32"/>
        <w:gridCol w:w="2010"/>
        <w:gridCol w:w="4662"/>
        <w:gridCol w:w="84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9"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序号</w:t>
            </w:r>
          </w:p>
        </w:tc>
        <w:tc>
          <w:tcPr>
            <w:tcW w:w="2542" w:type="dxa"/>
            <w:gridSpan w:val="2"/>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评分内容和标准</w:t>
            </w:r>
          </w:p>
        </w:tc>
        <w:tc>
          <w:tcPr>
            <w:tcW w:w="4662"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具体描述</w:t>
            </w:r>
          </w:p>
        </w:tc>
        <w:tc>
          <w:tcPr>
            <w:tcW w:w="846" w:type="dxa"/>
            <w:vAlign w:val="center"/>
          </w:tcPr>
          <w:p>
            <w:pPr>
              <w:jc w:val="center"/>
              <w:textAlignment w:val="baseline"/>
              <w:rPr>
                <w:rFonts w:ascii="宋体" w:hAnsi="宋体" w:cs="宋体"/>
                <w:color w:val="auto"/>
                <w:sz w:val="24"/>
                <w:highlight w:val="none"/>
              </w:rPr>
            </w:pPr>
            <w:r>
              <w:rPr>
                <w:rFonts w:hint="eastAsia" w:ascii="宋体" w:hAnsi="宋体" w:cs="宋体"/>
                <w:color w:val="auto"/>
                <w:sz w:val="24"/>
                <w:highlight w:val="none"/>
              </w:rPr>
              <w:t>权重</w:t>
            </w:r>
          </w:p>
        </w:tc>
        <w:tc>
          <w:tcPr>
            <w:tcW w:w="94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主客</w:t>
            </w:r>
          </w:p>
          <w:p>
            <w:pPr>
              <w:jc w:val="center"/>
              <w:textAlignment w:val="baseline"/>
              <w:rPr>
                <w:rFonts w:ascii="宋体" w:hAnsi="宋体" w:cs="宋体"/>
                <w:color w:val="auto"/>
                <w:sz w:val="24"/>
                <w:highlight w:val="none"/>
              </w:rPr>
            </w:pPr>
            <w:r>
              <w:rPr>
                <w:rFonts w:hint="eastAsia" w:ascii="宋体" w:hAnsi="宋体" w:cs="宋体"/>
                <w:color w:val="auto"/>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9" w:type="dxa"/>
            <w:vMerge w:val="restart"/>
            <w:shd w:val="clear" w:color="auto" w:fill="auto"/>
            <w:vAlign w:val="center"/>
          </w:tcPr>
          <w:p>
            <w:pPr>
              <w:jc w:val="center"/>
              <w:rPr>
                <w:rFonts w:ascii="宋体" w:hAnsi="宋体" w:cs="宋体"/>
                <w:color w:val="auto"/>
                <w:sz w:val="24"/>
                <w:highlight w:val="none"/>
                <w:shd w:val="clear" w:color="auto" w:fill="FFFFFF"/>
              </w:rPr>
            </w:pPr>
            <w:r>
              <w:rPr>
                <w:rFonts w:hint="eastAsia" w:ascii="宋体" w:hAnsi="宋体" w:cs="宋体"/>
                <w:color w:val="auto"/>
                <w:sz w:val="24"/>
                <w:highlight w:val="none"/>
              </w:rPr>
              <w:t>技术和服务方案（75分）</w:t>
            </w:r>
          </w:p>
          <w:p>
            <w:pPr>
              <w:textAlignment w:val="baseline"/>
              <w:rPr>
                <w:rFonts w:ascii="宋体" w:hAnsi="宋体" w:cs="宋体"/>
                <w:bCs/>
                <w:color w:val="auto"/>
                <w:sz w:val="24"/>
                <w:highlight w:val="none"/>
              </w:rPr>
            </w:pPr>
          </w:p>
        </w:tc>
        <w:tc>
          <w:tcPr>
            <w:tcW w:w="532" w:type="dxa"/>
            <w:vMerge w:val="restart"/>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1</w:t>
            </w:r>
          </w:p>
        </w:tc>
        <w:tc>
          <w:tcPr>
            <w:tcW w:w="2010" w:type="dxa"/>
            <w:vMerge w:val="restart"/>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lang w:eastAsia="zh-CN"/>
              </w:rPr>
              <w:t>响应方案</w:t>
            </w:r>
            <w:r>
              <w:rPr>
                <w:rFonts w:hint="eastAsia" w:cs="宋体"/>
                <w:bCs/>
                <w:color w:val="auto"/>
                <w:highlight w:val="none"/>
              </w:rPr>
              <w:t>的合理性、科学性、全面性综合评定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详细提供疗休养整体方案：包括行程线路策划等方案以及对本次疗休养主题的吻合程度综合评定。（3-</w:t>
            </w:r>
            <w:r>
              <w:rPr>
                <w:rFonts w:hint="eastAsia" w:cs="宋体"/>
                <w:bCs/>
                <w:color w:val="auto"/>
                <w:highlight w:val="none"/>
                <w:lang w:val="en-US" w:eastAsia="zh-CN"/>
              </w:rPr>
              <w:t>8</w:t>
            </w:r>
            <w:r>
              <w:rPr>
                <w:rFonts w:hint="eastAsia" w:cs="宋体"/>
                <w:bCs/>
                <w:color w:val="auto"/>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8</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餐饮优化服务：餐饮承诺</w:t>
            </w:r>
            <w:r>
              <w:rPr>
                <w:rFonts w:hint="eastAsia" w:ascii="宋体" w:hAnsi="宋体" w:cs="宋体"/>
                <w:bCs/>
                <w:color w:val="auto"/>
                <w:sz w:val="24"/>
                <w:highlight w:val="none"/>
                <w:lang w:eastAsia="zh-CN"/>
              </w:rPr>
              <w:t>交易发起人</w:t>
            </w:r>
            <w:r>
              <w:rPr>
                <w:rFonts w:hint="eastAsia" w:ascii="宋体" w:hAnsi="宋体" w:cs="宋体"/>
                <w:bCs/>
                <w:color w:val="auto"/>
                <w:sz w:val="24"/>
                <w:highlight w:val="none"/>
              </w:rPr>
              <w:t>餐标的费用标准得5分；比招标需求更好的，每人每天餐标提高10元得1分，最高加</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tc>
        <w:tc>
          <w:tcPr>
            <w:tcW w:w="846" w:type="dxa"/>
            <w:vAlign w:val="center"/>
          </w:tcPr>
          <w:p>
            <w:pPr>
              <w:jc w:val="center"/>
              <w:textAlignment w:val="baseline"/>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住宿优化服务：根据</w:t>
            </w:r>
            <w:r>
              <w:rPr>
                <w:rFonts w:hint="eastAsia" w:ascii="宋体" w:hAnsi="宋体" w:cs="宋体"/>
                <w:bCs/>
                <w:color w:val="auto"/>
                <w:sz w:val="24"/>
                <w:highlight w:val="none"/>
                <w:lang w:eastAsia="zh-CN"/>
              </w:rPr>
              <w:t>响应人</w:t>
            </w:r>
            <w:r>
              <w:rPr>
                <w:rFonts w:hint="eastAsia" w:ascii="宋体" w:hAnsi="宋体" w:cs="宋体"/>
                <w:bCs/>
                <w:color w:val="auto"/>
                <w:sz w:val="24"/>
                <w:highlight w:val="none"/>
              </w:rPr>
              <w:t>提供的住宿条件承诺情况，综合评定。（2-</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8</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2</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lang w:eastAsia="zh-CN"/>
              </w:rPr>
              <w:t>响应方案</w:t>
            </w:r>
            <w:r>
              <w:rPr>
                <w:rFonts w:hint="eastAsia" w:cs="宋体"/>
                <w:bCs/>
                <w:color w:val="auto"/>
                <w:highlight w:val="none"/>
              </w:rPr>
              <w:t>中提供或使用主要车辆、设备的优劣综合评定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根据车队情况综合评定（包括车型、车况、当地用车情况、座位比、司机驾龄、车队综合实力和服务能力等）（1-5分）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3</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保证进度和项目完成的方案和措施等综合评定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本次疗休养实施工作程序和步骤、管理和协调方法以及关键步骤和要点等齐全的得5分，缺一项扣1分，扣完为止。（0-5分）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restart"/>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4</w:t>
            </w:r>
          </w:p>
        </w:tc>
        <w:tc>
          <w:tcPr>
            <w:tcW w:w="2010" w:type="dxa"/>
            <w:vMerge w:val="restart"/>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项目负责人及技术力量安排、行程中安排导游等</w:t>
            </w:r>
          </w:p>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项目负责人的专业素质、荣誉、经验等情况，是否具有类似项目经验，是否具有调动各项资源的能力，由评标委员会综合评定。（1-</w:t>
            </w:r>
            <w:r>
              <w:rPr>
                <w:rFonts w:hint="eastAsia" w:cs="宋体"/>
                <w:bCs/>
                <w:color w:val="auto"/>
                <w:highlight w:val="none"/>
                <w:lang w:val="en-US" w:eastAsia="zh-CN"/>
              </w:rPr>
              <w:t>3</w:t>
            </w:r>
            <w:r>
              <w:rPr>
                <w:rFonts w:hint="eastAsia" w:cs="宋体"/>
                <w:bCs/>
                <w:color w:val="auto"/>
                <w:highlight w:val="none"/>
              </w:rPr>
              <w:t>分）</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vMerge w:val="continue"/>
            <w:shd w:val="clear" w:color="auto" w:fill="auto"/>
            <w:vAlign w:val="center"/>
          </w:tcPr>
          <w:p>
            <w:pPr>
              <w:jc w:val="center"/>
              <w:textAlignment w:val="baseline"/>
              <w:rPr>
                <w:rFonts w:ascii="宋体" w:hAnsi="宋体" w:cs="宋体"/>
                <w:bCs/>
                <w:color w:val="auto"/>
                <w:sz w:val="24"/>
                <w:highlight w:val="none"/>
              </w:rPr>
            </w:pPr>
          </w:p>
        </w:tc>
        <w:tc>
          <w:tcPr>
            <w:tcW w:w="2010" w:type="dxa"/>
            <w:vMerge w:val="continue"/>
            <w:shd w:val="clear" w:color="auto" w:fill="auto"/>
            <w:vAlign w:val="center"/>
          </w:tcPr>
          <w:p>
            <w:pPr>
              <w:jc w:val="center"/>
              <w:textAlignment w:val="baseline"/>
              <w:rPr>
                <w:rFonts w:ascii="宋体" w:hAnsi="宋体" w:cs="宋体"/>
                <w:bCs/>
                <w:color w:val="auto"/>
                <w:sz w:val="24"/>
                <w:highlight w:val="none"/>
              </w:rPr>
            </w:pP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lang w:eastAsia="zh-CN"/>
              </w:rPr>
              <w:t>响应人</w:t>
            </w:r>
            <w:r>
              <w:rPr>
                <w:rFonts w:hint="eastAsia" w:cs="宋体"/>
                <w:bCs/>
                <w:color w:val="auto"/>
                <w:highlight w:val="none"/>
              </w:rPr>
              <w:t>拥有高级导游员或三年内全国优秀（金牌）导游员的得</w:t>
            </w:r>
            <w:r>
              <w:rPr>
                <w:rFonts w:hint="eastAsia" w:cs="宋体"/>
                <w:bCs/>
                <w:color w:val="auto"/>
                <w:highlight w:val="none"/>
                <w:lang w:eastAsia="zh-CN"/>
              </w:rPr>
              <w:t>1</w:t>
            </w:r>
            <w:r>
              <w:rPr>
                <w:rFonts w:hint="eastAsia" w:cs="宋体"/>
                <w:bCs/>
                <w:color w:val="auto"/>
                <w:highlight w:val="none"/>
              </w:rPr>
              <w:t>分/人，最高得</w:t>
            </w:r>
            <w:r>
              <w:rPr>
                <w:rFonts w:hint="eastAsia" w:cs="宋体"/>
                <w:bCs/>
                <w:color w:val="auto"/>
                <w:highlight w:val="none"/>
                <w:lang w:eastAsia="zh-CN"/>
              </w:rPr>
              <w:t>3</w:t>
            </w:r>
            <w:r>
              <w:rPr>
                <w:rFonts w:hint="eastAsia" w:cs="宋体"/>
                <w:bCs/>
                <w:color w:val="auto"/>
                <w:highlight w:val="none"/>
              </w:rPr>
              <w:t>分；拥有中级导游员或三年内区级优秀（金牌）导游员的得</w:t>
            </w:r>
            <w:r>
              <w:rPr>
                <w:rFonts w:hint="eastAsia" w:cs="宋体"/>
                <w:bCs/>
                <w:color w:val="auto"/>
                <w:highlight w:val="none"/>
                <w:lang w:val="en-US" w:eastAsia="zh-CN"/>
              </w:rPr>
              <w:t>0.5</w:t>
            </w:r>
            <w:r>
              <w:rPr>
                <w:rFonts w:hint="eastAsia" w:cs="宋体"/>
                <w:bCs/>
                <w:color w:val="auto"/>
                <w:highlight w:val="none"/>
              </w:rPr>
              <w:t>分/人，最高得</w:t>
            </w:r>
            <w:r>
              <w:rPr>
                <w:rFonts w:hint="eastAsia" w:cs="宋体"/>
                <w:bCs/>
                <w:color w:val="auto"/>
                <w:highlight w:val="none"/>
                <w:lang w:val="en-US" w:eastAsia="zh-CN"/>
              </w:rPr>
              <w:t>3</w:t>
            </w:r>
            <w:r>
              <w:rPr>
                <w:rFonts w:hint="eastAsia" w:cs="宋体"/>
                <w:bCs/>
                <w:color w:val="auto"/>
                <w:highlight w:val="none"/>
              </w:rPr>
              <w:t>分。</w:t>
            </w:r>
          </w:p>
          <w:p>
            <w:pPr>
              <w:textAlignment w:val="baseline"/>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中提供导游员近3个月</w:t>
            </w:r>
            <w:r>
              <w:rPr>
                <w:rFonts w:hint="eastAsia" w:ascii="宋体" w:hAnsi="宋体" w:cs="宋体"/>
                <w:bCs/>
                <w:color w:val="auto"/>
                <w:sz w:val="24"/>
                <w:highlight w:val="none"/>
                <w:lang w:eastAsia="zh-CN"/>
              </w:rPr>
              <w:t>任意一月</w:t>
            </w:r>
            <w:r>
              <w:rPr>
                <w:rFonts w:hint="eastAsia" w:ascii="宋体" w:hAnsi="宋体" w:cs="宋体"/>
                <w:bCs/>
                <w:color w:val="auto"/>
                <w:sz w:val="24"/>
                <w:highlight w:val="none"/>
              </w:rPr>
              <w:t>经社保部门盖章的参保凭证、导游证书材料。可使用超等级证书人员，高按低计取。）</w:t>
            </w:r>
          </w:p>
        </w:tc>
        <w:tc>
          <w:tcPr>
            <w:tcW w:w="846" w:type="dxa"/>
            <w:vAlign w:val="center"/>
          </w:tcPr>
          <w:p>
            <w:pPr>
              <w:jc w:val="center"/>
              <w:textAlignment w:val="baseline"/>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对本项目的合理化建议综合评定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在标书中规定的线路标准的基础上，根据投标方优化方案，提出合理化建议。（1-5分）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6</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服务质量保证情况综合评定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根据出行服务、人性化服务、与地接人员衔接服务、安排入住酒店、用餐服务等与本次疗休养有关的服务质量情况综合评定。（1-5分）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9" w:type="dxa"/>
            <w:vMerge w:val="continue"/>
            <w:shd w:val="clear" w:color="auto" w:fill="auto"/>
            <w:vAlign w:val="center"/>
          </w:tcPr>
          <w:p>
            <w:pPr>
              <w:textAlignment w:val="baseline"/>
              <w:rPr>
                <w:rFonts w:ascii="宋体" w:hAnsi="宋体" w:cs="宋体"/>
                <w:bCs/>
                <w:color w:val="auto"/>
                <w:sz w:val="24"/>
                <w:highlight w:val="none"/>
              </w:rPr>
            </w:pPr>
          </w:p>
        </w:tc>
        <w:tc>
          <w:tcPr>
            <w:tcW w:w="532" w:type="dxa"/>
            <w:shd w:val="clear" w:color="auto" w:fill="auto"/>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7</w:t>
            </w:r>
          </w:p>
        </w:tc>
        <w:tc>
          <w:tcPr>
            <w:tcW w:w="2010" w:type="dxa"/>
            <w:shd w:val="clear" w:color="auto" w:fill="auto"/>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服务承诺及售后服务能力综合评定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w:t>
            </w:r>
            <w:r>
              <w:rPr>
                <w:rFonts w:hint="eastAsia" w:cs="宋体"/>
                <w:bCs/>
                <w:color w:val="auto"/>
                <w:highlight w:val="none"/>
                <w:lang w:eastAsia="zh-CN"/>
              </w:rPr>
              <w:t>响应人</w:t>
            </w:r>
            <w:r>
              <w:rPr>
                <w:rFonts w:hint="eastAsia" w:cs="宋体"/>
                <w:bCs/>
                <w:color w:val="auto"/>
                <w:highlight w:val="none"/>
              </w:rPr>
              <w:t>提供后续服务计划及</w:t>
            </w:r>
            <w:r>
              <w:rPr>
                <w:rFonts w:hint="eastAsia" w:cs="宋体"/>
                <w:bCs/>
                <w:color w:val="auto"/>
                <w:highlight w:val="none"/>
                <w:lang w:eastAsia="zh-CN"/>
              </w:rPr>
              <w:t>响应人</w:t>
            </w:r>
            <w:r>
              <w:rPr>
                <w:rFonts w:hint="eastAsia" w:cs="宋体"/>
                <w:bCs/>
                <w:color w:val="auto"/>
                <w:highlight w:val="none"/>
              </w:rPr>
              <w:t>售后等服务情况综合评定。（1-5分）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8</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增值服务</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增值（特色）服务、优惠措施等等情况综合评定。（1-5分）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9</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保证服务质量、突发事件处理等情况综合评定</w:t>
            </w:r>
          </w:p>
        </w:tc>
        <w:tc>
          <w:tcPr>
            <w:tcW w:w="4662" w:type="dxa"/>
            <w:vAlign w:val="center"/>
          </w:tcPr>
          <w:p>
            <w:pPr>
              <w:pStyle w:val="27"/>
              <w:snapToGrid w:val="0"/>
              <w:spacing w:line="240" w:lineRule="auto"/>
              <w:ind w:firstLine="0" w:firstLineChars="0"/>
              <w:textAlignment w:val="baseline"/>
              <w:rPr>
                <w:rFonts w:cs="宋体"/>
                <w:bCs/>
                <w:color w:val="auto"/>
                <w:highlight w:val="none"/>
              </w:rPr>
            </w:pPr>
            <w:r>
              <w:rPr>
                <w:rFonts w:hint="eastAsia" w:cs="宋体"/>
                <w:bCs/>
                <w:color w:val="auto"/>
                <w:highlight w:val="none"/>
              </w:rPr>
              <w:t>根据</w:t>
            </w:r>
            <w:r>
              <w:rPr>
                <w:rFonts w:hint="eastAsia" w:cs="宋体"/>
                <w:bCs/>
                <w:color w:val="auto"/>
                <w:highlight w:val="none"/>
                <w:lang w:eastAsia="zh-CN"/>
              </w:rPr>
              <w:t>响应人</w:t>
            </w:r>
            <w:r>
              <w:rPr>
                <w:rFonts w:hint="eastAsia" w:cs="宋体"/>
                <w:bCs/>
                <w:color w:val="auto"/>
                <w:highlight w:val="none"/>
              </w:rPr>
              <w:t>提供详细的突发事件处理方案、疫情应对措施、安防措施、投诉、纠纷处理方案等情况综合评定。（1-5分）</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849" w:type="dxa"/>
            <w:vMerge w:val="continue"/>
            <w:vAlign w:val="center"/>
          </w:tcPr>
          <w:p>
            <w:pPr>
              <w:textAlignment w:val="baseline"/>
              <w:rPr>
                <w:rFonts w:ascii="宋体" w:hAnsi="宋体" w:cs="宋体"/>
                <w:bCs/>
                <w:color w:val="auto"/>
                <w:sz w:val="24"/>
                <w:highlight w:val="none"/>
              </w:rPr>
            </w:pPr>
          </w:p>
        </w:tc>
        <w:tc>
          <w:tcPr>
            <w:tcW w:w="532"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10</w:t>
            </w:r>
          </w:p>
        </w:tc>
        <w:tc>
          <w:tcPr>
            <w:tcW w:w="2010" w:type="dxa"/>
            <w:vAlign w:val="center"/>
          </w:tcPr>
          <w:p>
            <w:pPr>
              <w:pStyle w:val="27"/>
              <w:snapToGrid w:val="0"/>
              <w:spacing w:line="240" w:lineRule="auto"/>
              <w:ind w:firstLine="0" w:firstLineChars="0"/>
              <w:jc w:val="center"/>
              <w:textAlignment w:val="baseline"/>
              <w:rPr>
                <w:rFonts w:cs="宋体"/>
                <w:bCs/>
                <w:color w:val="auto"/>
                <w:highlight w:val="none"/>
              </w:rPr>
            </w:pPr>
            <w:r>
              <w:rPr>
                <w:rFonts w:hint="eastAsia" w:cs="宋体"/>
                <w:bCs/>
                <w:color w:val="auto"/>
                <w:highlight w:val="none"/>
              </w:rPr>
              <w:t>保险情况</w:t>
            </w:r>
          </w:p>
        </w:tc>
        <w:tc>
          <w:tcPr>
            <w:tcW w:w="4662" w:type="dxa"/>
            <w:vAlign w:val="center"/>
          </w:tcPr>
          <w:p>
            <w:pPr>
              <w:textAlignment w:val="baseline"/>
              <w:rPr>
                <w:rFonts w:ascii="宋体" w:hAnsi="宋体" w:cs="宋体"/>
                <w:bCs/>
                <w:color w:val="auto"/>
                <w:sz w:val="24"/>
                <w:highlight w:val="none"/>
              </w:rPr>
            </w:pPr>
            <w:r>
              <w:rPr>
                <w:rFonts w:hint="eastAsia" w:ascii="宋体" w:hAnsi="宋体" w:cs="宋体"/>
                <w:bCs/>
                <w:color w:val="auto"/>
                <w:sz w:val="24"/>
                <w:highlight w:val="none"/>
              </w:rPr>
              <w:t>责任险：每次事故累计责任限额2000万元及以上且每人责任限额150万/人及以上得5分；每次事故累计责任限额2000万（不含）-1500万元（含）且每人责任限额150万/人（不含）-100万元/人（含）得3分；每次事故累计责任限额1500（不含）万元以下且每人责任限额100万/人及以下得1分；不提供不得分。（</w:t>
            </w: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中提供保单复印件，加盖公章。）</w:t>
            </w:r>
          </w:p>
        </w:tc>
        <w:tc>
          <w:tcPr>
            <w:tcW w:w="846" w:type="dxa"/>
            <w:vAlign w:val="center"/>
          </w:tcPr>
          <w:p>
            <w:pPr>
              <w:jc w:val="center"/>
              <w:textAlignment w:val="baseline"/>
              <w:rPr>
                <w:rFonts w:ascii="宋体" w:hAnsi="宋体" w:cs="宋体"/>
                <w:bCs/>
                <w:color w:val="auto"/>
                <w:sz w:val="24"/>
                <w:highlight w:val="none"/>
              </w:rPr>
            </w:pPr>
            <w:r>
              <w:rPr>
                <w:rFonts w:hint="eastAsia" w:ascii="宋体" w:hAnsi="宋体" w:cs="宋体"/>
                <w:bCs/>
                <w:color w:val="auto"/>
                <w:sz w:val="24"/>
                <w:highlight w:val="none"/>
              </w:rPr>
              <w:t>5</w:t>
            </w:r>
          </w:p>
        </w:tc>
        <w:tc>
          <w:tcPr>
            <w:tcW w:w="940" w:type="dxa"/>
            <w:vAlign w:val="center"/>
          </w:tcPr>
          <w:p>
            <w:pPr>
              <w:jc w:val="center"/>
              <w:textAlignment w:val="baseline"/>
              <w:rPr>
                <w:rFonts w:ascii="宋体" w:hAnsi="宋体" w:cs="宋体"/>
                <w:bCs/>
                <w:color w:val="auto"/>
                <w:sz w:val="24"/>
                <w:highlight w:val="none"/>
              </w:rPr>
            </w:pPr>
            <w:r>
              <w:rPr>
                <w:rFonts w:hint="eastAsia" w:ascii="宋体" w:hAnsi="宋体" w:cs="宋体"/>
                <w:color w:val="auto"/>
                <w:sz w:val="24"/>
                <w:highlight w:val="none"/>
              </w:rPr>
              <w:t>客观分</w:t>
            </w:r>
          </w:p>
        </w:tc>
      </w:tr>
    </w:tbl>
    <w:p>
      <w:pPr>
        <w:widowControl/>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sz w:val="24"/>
          <w:highlight w:val="none"/>
        </w:rPr>
        <w:t>备注：</w:t>
      </w:r>
      <w:r>
        <w:rPr>
          <w:rFonts w:hint="eastAsia" w:ascii="宋体" w:hAnsi="宋体" w:eastAsia="宋体" w:cs="宋体"/>
          <w:b w:val="0"/>
          <w:bCs w:val="0"/>
          <w:color w:val="auto"/>
          <w:sz w:val="24"/>
          <w:highlight w:val="none"/>
          <w:lang w:val="en-US" w:eastAsia="zh-CN"/>
        </w:rPr>
        <w:t>1、评分条款中涉及的业绩、荣誉、人员、社保等分公司均有效。</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响应</w:t>
      </w:r>
      <w:r>
        <w:rPr>
          <w:rFonts w:hint="eastAsia" w:ascii="宋体" w:hAnsi="宋体" w:eastAsia="宋体" w:cs="宋体"/>
          <w:color w:val="auto"/>
          <w:sz w:val="24"/>
          <w:highlight w:val="none"/>
        </w:rPr>
        <w:t>文件中如附有外文资料，必须逐一对应翻译成中文并加盖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公章后附在相关外文资料后面，否则外文资料不予认可。翻译的中文资料与外文资料不符的，均不予认可。翻译严重错误的，将视同提供虚假资料。</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编制</w:t>
      </w:r>
      <w:r>
        <w:rPr>
          <w:rFonts w:hint="eastAsia" w:ascii="宋体" w:hAnsi="宋体" w:cs="宋体"/>
          <w:color w:val="auto"/>
          <w:sz w:val="24"/>
          <w:highlight w:val="none"/>
          <w:lang w:eastAsia="zh-CN"/>
        </w:rPr>
        <w:t>响应</w:t>
      </w:r>
      <w:r>
        <w:rPr>
          <w:rFonts w:hint="eastAsia" w:ascii="宋体" w:hAnsi="宋体" w:eastAsia="宋体" w:cs="宋体"/>
          <w:color w:val="auto"/>
          <w:sz w:val="24"/>
          <w:highlight w:val="none"/>
        </w:rPr>
        <w:t>文件（商务技术文件部分）时，建议按此目录（序号和内容）提供评标标准相应的商务技术资料。 </w:t>
      </w:r>
    </w:p>
    <w:p>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pPr>
        <w:widowControl/>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价格</w:t>
      </w:r>
      <w:r>
        <w:rPr>
          <w:rFonts w:hint="eastAsia" w:ascii="宋体" w:hAnsi="宋体" w:cs="宋体"/>
          <w:b/>
          <w:bCs/>
          <w:color w:val="auto"/>
          <w:sz w:val="24"/>
          <w:highlight w:val="none"/>
          <w:lang w:val="en-US" w:eastAsia="zh-CN"/>
        </w:rPr>
        <w:t>部分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cs="宋体"/>
          <w:b/>
          <w:bCs/>
          <w:color w:val="auto"/>
          <w:sz w:val="24"/>
          <w:highlight w:val="none"/>
          <w:lang w:eastAsia="zh-CN"/>
        </w:rPr>
        <w:t>：</w:t>
      </w:r>
    </w:p>
    <w:tbl>
      <w:tblPr>
        <w:tblStyle w:val="6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6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87"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tc>
        <w:tc>
          <w:tcPr>
            <w:tcW w:w="6512"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187" w:type="dxa"/>
            <w:vAlign w:val="center"/>
          </w:tcPr>
          <w:p>
            <w:pPr>
              <w:autoSpaceDE w:val="0"/>
              <w:autoSpaceDN w:val="0"/>
              <w:jc w:val="center"/>
              <w:rPr>
                <w:rFonts w:hint="default"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6512" w:type="dxa"/>
            <w:vAlign w:val="center"/>
          </w:tcPr>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最低有效投标价格为评标基准价</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投标报价得分=(评标基准价／投标报价)×价格权值×100 </w:t>
            </w:r>
          </w:p>
          <w:p>
            <w:pPr>
              <w:autoSpaceDE w:val="0"/>
              <w:autoSpaceDN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pPr>
        <w:spacing w:line="570" w:lineRule="exact"/>
        <w:ind w:firstLine="472" w:firstLineChars="196"/>
        <w:rPr>
          <w:rFonts w:ascii="宋体" w:hAnsi="宋体" w:cs="宋体"/>
          <w:color w:val="auto"/>
          <w:kern w:val="0"/>
          <w:sz w:val="24"/>
          <w:highlight w:val="none"/>
        </w:rPr>
      </w:pPr>
      <w:bookmarkStart w:id="382" w:name="第五部分"/>
      <w:bookmarkStart w:id="383"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5"/>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pPr>
        <w:pStyle w:val="135"/>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pPr>
        <w:pStyle w:val="135"/>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7"/>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pPr>
        <w:pStyle w:val="4"/>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7"/>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pPr>
        <w:pStyle w:val="27"/>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pPr>
        <w:pStyle w:val="27"/>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7"/>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pPr>
        <w:pStyle w:val="27"/>
        <w:snapToGrid w:val="0"/>
        <w:spacing w:line="570" w:lineRule="exact"/>
        <w:rPr>
          <w:rFonts w:cs="宋体"/>
          <w:color w:val="auto"/>
          <w:highlight w:val="none"/>
        </w:rPr>
      </w:pPr>
      <w:r>
        <w:rPr>
          <w:rFonts w:hint="eastAsia" w:cs="宋体"/>
          <w:color w:val="auto"/>
          <w:highlight w:val="none"/>
        </w:rPr>
        <w:t>5.4因重大变故，采购任务取消的。</w:t>
      </w:r>
    </w:p>
    <w:p>
      <w:pPr>
        <w:pStyle w:val="27"/>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pPr>
        <w:pStyle w:val="27"/>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7"/>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7"/>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7"/>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7"/>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pPr>
        <w:pStyle w:val="27"/>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7"/>
        <w:snapToGrid w:val="0"/>
        <w:spacing w:line="360" w:lineRule="auto"/>
        <w:rPr>
          <w:rFonts w:cs="宋体"/>
          <w:color w:val="auto"/>
          <w:highlight w:val="none"/>
        </w:rPr>
      </w:pPr>
      <w:r>
        <w:rPr>
          <w:rFonts w:hint="eastAsia" w:cs="宋体"/>
          <w:color w:val="auto"/>
          <w:highlight w:val="none"/>
        </w:rPr>
        <w:t xml:space="preserve"> </w:t>
      </w:r>
    </w:p>
    <w:p>
      <w:pPr>
        <w:pStyle w:val="17"/>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pStyle w:val="27"/>
        <w:snapToGrid w:val="0"/>
        <w:spacing w:line="360" w:lineRule="auto"/>
        <w:rPr>
          <w:rFonts w:cs="宋体"/>
          <w:color w:val="auto"/>
          <w:highlight w:val="none"/>
        </w:rPr>
      </w:pPr>
      <w:r>
        <w:rPr>
          <w:rFonts w:hint="eastAsia" w:cs="宋体"/>
          <w:color w:val="auto"/>
          <w:highlight w:val="none"/>
        </w:rPr>
        <w:t>合同编号：</w:t>
      </w:r>
    </w:p>
    <w:p>
      <w:pPr>
        <w:pStyle w:val="27"/>
        <w:snapToGrid w:val="0"/>
        <w:spacing w:line="360" w:lineRule="auto"/>
        <w:rPr>
          <w:rFonts w:cs="宋体"/>
          <w:color w:val="auto"/>
          <w:highlight w:val="none"/>
        </w:rPr>
      </w:pPr>
      <w:r>
        <w:rPr>
          <w:rFonts w:hint="eastAsia" w:cs="宋体"/>
          <w:color w:val="auto"/>
          <w:highlight w:val="none"/>
        </w:rPr>
        <w:t>签订地点：                                 签订时间：2024年  月  日</w:t>
      </w:r>
    </w:p>
    <w:p>
      <w:pPr>
        <w:pStyle w:val="27"/>
        <w:snapToGrid w:val="0"/>
        <w:spacing w:line="360" w:lineRule="auto"/>
        <w:rPr>
          <w:rFonts w:cs="宋体"/>
          <w:color w:val="auto"/>
          <w:highlight w:val="none"/>
        </w:rPr>
      </w:pPr>
      <w:r>
        <w:rPr>
          <w:rFonts w:hint="eastAsia" w:cs="宋体"/>
          <w:color w:val="auto"/>
          <w:highlight w:val="none"/>
        </w:rPr>
        <w:t>项目名称：</w:t>
      </w:r>
    </w:p>
    <w:p>
      <w:pPr>
        <w:pStyle w:val="27"/>
        <w:snapToGrid w:val="0"/>
        <w:spacing w:line="360" w:lineRule="auto"/>
        <w:rPr>
          <w:rFonts w:cs="宋体"/>
          <w:color w:val="auto"/>
          <w:highlight w:val="none"/>
        </w:rPr>
      </w:pPr>
      <w:r>
        <w:rPr>
          <w:rFonts w:hint="eastAsia" w:cs="宋体"/>
          <w:color w:val="auto"/>
          <w:highlight w:val="none"/>
        </w:rPr>
        <w:t xml:space="preserve">甲方（需方）：                                     </w:t>
      </w:r>
    </w:p>
    <w:p>
      <w:pPr>
        <w:pStyle w:val="27"/>
        <w:snapToGrid w:val="0"/>
        <w:spacing w:line="360" w:lineRule="auto"/>
        <w:rPr>
          <w:rFonts w:cs="宋体"/>
          <w:color w:val="auto"/>
          <w:highlight w:val="none"/>
        </w:rPr>
      </w:pPr>
      <w:r>
        <w:rPr>
          <w:rFonts w:hint="eastAsia" w:cs="宋体"/>
          <w:color w:val="auto"/>
          <w:highlight w:val="none"/>
        </w:rPr>
        <w:t xml:space="preserve">乙方（供方）：                                     </w:t>
      </w:r>
    </w:p>
    <w:p>
      <w:pPr>
        <w:pStyle w:val="27"/>
        <w:snapToGrid w:val="0"/>
        <w:spacing w:line="360" w:lineRule="auto"/>
        <w:rPr>
          <w:rFonts w:cs="宋体"/>
          <w:color w:val="auto"/>
          <w:highlight w:val="none"/>
        </w:rPr>
      </w:pPr>
      <w:r>
        <w:rPr>
          <w:rFonts w:hint="eastAsia" w:cs="宋体"/>
          <w:color w:val="auto"/>
          <w:highlight w:val="none"/>
        </w:rPr>
        <w:t>供、需双方根据</w:t>
      </w:r>
      <w:r>
        <w:rPr>
          <w:rFonts w:hint="eastAsia" w:cs="宋体"/>
          <w:b w:val="0"/>
          <w:bCs/>
          <w:color w:val="auto"/>
          <w:sz w:val="24"/>
          <w:highlight w:val="none"/>
          <w:u w:val="single"/>
          <w:lang w:val="en-US" w:eastAsia="zh-CN"/>
        </w:rPr>
        <w:t xml:space="preserve">                                </w:t>
      </w:r>
      <w:r>
        <w:rPr>
          <w:rFonts w:hint="eastAsia" w:cs="宋体"/>
          <w:b w:val="0"/>
          <w:bCs/>
          <w:color w:val="auto"/>
          <w:sz w:val="24"/>
          <w:highlight w:val="none"/>
          <w:u w:val="single"/>
          <w:lang w:eastAsia="zh-CN"/>
        </w:rPr>
        <w:t>项目</w:t>
      </w:r>
      <w:r>
        <w:rPr>
          <w:rFonts w:hint="eastAsia" w:cs="宋体"/>
          <w:color w:val="auto"/>
          <w:highlight w:val="none"/>
        </w:rPr>
        <w:t>（交易编号  -  -   ）成交结果和公开竞争文件的要求，并经双方协调一致，订立本合同。</w:t>
      </w:r>
    </w:p>
    <w:p>
      <w:pPr>
        <w:pStyle w:val="27"/>
        <w:snapToGrid w:val="0"/>
        <w:spacing w:line="360" w:lineRule="auto"/>
        <w:rPr>
          <w:rFonts w:cs="宋体"/>
          <w:color w:val="auto"/>
          <w:highlight w:val="none"/>
        </w:rPr>
      </w:pPr>
      <w:r>
        <w:rPr>
          <w:rFonts w:hint="eastAsia" w:cs="宋体"/>
          <w:color w:val="auto"/>
          <w:highlight w:val="none"/>
        </w:rPr>
        <w:t>一、合同文件：</w:t>
      </w:r>
    </w:p>
    <w:p>
      <w:pPr>
        <w:pStyle w:val="27"/>
        <w:snapToGrid w:val="0"/>
        <w:spacing w:line="360" w:lineRule="auto"/>
        <w:rPr>
          <w:rFonts w:cs="宋体"/>
          <w:color w:val="auto"/>
          <w:highlight w:val="none"/>
        </w:rPr>
      </w:pPr>
      <w:r>
        <w:rPr>
          <w:rFonts w:hint="eastAsia" w:cs="宋体"/>
          <w:color w:val="auto"/>
          <w:highlight w:val="none"/>
        </w:rPr>
        <w:t>1、合同条款。</w:t>
      </w:r>
    </w:p>
    <w:p>
      <w:pPr>
        <w:pStyle w:val="27"/>
        <w:snapToGrid w:val="0"/>
        <w:spacing w:line="360" w:lineRule="auto"/>
        <w:rPr>
          <w:rFonts w:cs="宋体"/>
          <w:color w:val="auto"/>
          <w:highlight w:val="none"/>
        </w:rPr>
      </w:pPr>
      <w:r>
        <w:rPr>
          <w:rFonts w:hint="eastAsia" w:cs="宋体"/>
          <w:color w:val="auto"/>
          <w:highlight w:val="none"/>
        </w:rPr>
        <w:t>2、成交通知书。</w:t>
      </w:r>
    </w:p>
    <w:p>
      <w:pPr>
        <w:pStyle w:val="27"/>
        <w:snapToGrid w:val="0"/>
        <w:spacing w:line="360" w:lineRule="auto"/>
        <w:rPr>
          <w:rFonts w:cs="宋体"/>
          <w:color w:val="auto"/>
          <w:highlight w:val="none"/>
        </w:rPr>
      </w:pPr>
      <w:r>
        <w:rPr>
          <w:rFonts w:hint="eastAsia" w:cs="宋体"/>
          <w:color w:val="auto"/>
          <w:highlight w:val="none"/>
        </w:rPr>
        <w:t>3、公开竞争文件。</w:t>
      </w:r>
    </w:p>
    <w:p>
      <w:pPr>
        <w:pStyle w:val="27"/>
        <w:snapToGrid w:val="0"/>
        <w:spacing w:line="360" w:lineRule="auto"/>
        <w:rPr>
          <w:rFonts w:cs="宋体"/>
          <w:color w:val="auto"/>
          <w:highlight w:val="none"/>
        </w:rPr>
      </w:pPr>
      <w:r>
        <w:rPr>
          <w:rFonts w:hint="eastAsia" w:cs="宋体"/>
          <w:color w:val="auto"/>
          <w:highlight w:val="none"/>
        </w:rPr>
        <w:t>4、更正公告。</w:t>
      </w:r>
    </w:p>
    <w:p>
      <w:pPr>
        <w:pStyle w:val="27"/>
        <w:snapToGrid w:val="0"/>
        <w:spacing w:line="360" w:lineRule="auto"/>
        <w:rPr>
          <w:rFonts w:cs="宋体"/>
          <w:color w:val="auto"/>
          <w:highlight w:val="none"/>
        </w:rPr>
      </w:pPr>
      <w:r>
        <w:rPr>
          <w:rFonts w:hint="eastAsia" w:cs="宋体"/>
          <w:color w:val="auto"/>
          <w:highlight w:val="none"/>
        </w:rPr>
        <w:t>5、成交单位响应文件。</w:t>
      </w:r>
    </w:p>
    <w:p>
      <w:pPr>
        <w:pStyle w:val="27"/>
        <w:snapToGrid w:val="0"/>
        <w:spacing w:line="360" w:lineRule="auto"/>
        <w:rPr>
          <w:rFonts w:cs="宋体"/>
          <w:color w:val="auto"/>
          <w:highlight w:val="none"/>
        </w:rPr>
      </w:pPr>
      <w:r>
        <w:rPr>
          <w:rFonts w:hint="eastAsia" w:cs="宋体"/>
          <w:color w:val="auto"/>
          <w:highlight w:val="none"/>
        </w:rPr>
        <w:t>6、其他。</w:t>
      </w:r>
    </w:p>
    <w:p>
      <w:pPr>
        <w:pStyle w:val="27"/>
        <w:snapToGrid w:val="0"/>
        <w:spacing w:line="360" w:lineRule="auto"/>
        <w:rPr>
          <w:rFonts w:cs="宋体"/>
          <w:color w:val="auto"/>
          <w:highlight w:val="none"/>
        </w:rPr>
      </w:pPr>
      <w:r>
        <w:rPr>
          <w:rFonts w:hint="eastAsia" w:cs="宋体"/>
          <w:color w:val="auto"/>
          <w:highlight w:val="none"/>
        </w:rPr>
        <w:t>二、合同金额: 本合同金额为（大写）</w:t>
      </w:r>
      <w:r>
        <w:rPr>
          <w:rFonts w:hint="eastAsia" w:cs="宋体"/>
          <w:color w:val="auto"/>
          <w:highlight w:val="none"/>
          <w:u w:val="single"/>
        </w:rPr>
        <w:t>　　　　</w:t>
      </w:r>
      <w:r>
        <w:rPr>
          <w:rFonts w:hint="eastAsia" w:cs="宋体"/>
          <w:color w:val="auto"/>
          <w:highlight w:val="none"/>
        </w:rPr>
        <w:t>元（￥</w:t>
      </w:r>
      <w:r>
        <w:rPr>
          <w:rFonts w:hint="eastAsia" w:cs="宋体"/>
          <w:color w:val="auto"/>
          <w:highlight w:val="none"/>
          <w:u w:val="single"/>
        </w:rPr>
        <w:t>　　　　</w:t>
      </w:r>
      <w:r>
        <w:rPr>
          <w:rFonts w:hint="eastAsia" w:cs="宋体"/>
          <w:color w:val="auto"/>
          <w:highlight w:val="none"/>
        </w:rPr>
        <w:t>元）人民币。</w:t>
      </w:r>
    </w:p>
    <w:p>
      <w:pPr>
        <w:pStyle w:val="27"/>
        <w:snapToGrid w:val="0"/>
        <w:spacing w:line="360" w:lineRule="auto"/>
        <w:rPr>
          <w:rFonts w:cs="宋体"/>
          <w:color w:val="auto"/>
          <w:highlight w:val="none"/>
        </w:rPr>
      </w:pPr>
      <w:r>
        <w:rPr>
          <w:rFonts w:hint="eastAsia" w:cs="宋体"/>
          <w:color w:val="auto"/>
          <w:highlight w:val="none"/>
        </w:rPr>
        <w:t>附：</w:t>
      </w:r>
    </w:p>
    <w:p>
      <w:pPr>
        <w:pStyle w:val="27"/>
        <w:snapToGrid w:val="0"/>
        <w:spacing w:line="360" w:lineRule="auto"/>
        <w:rPr>
          <w:rFonts w:cs="宋体"/>
          <w:color w:val="auto"/>
          <w:highlight w:val="none"/>
        </w:rPr>
      </w:pPr>
      <w:r>
        <w:rPr>
          <w:rFonts w:hint="eastAsia" w:cs="宋体"/>
          <w:color w:val="auto"/>
          <w:highlight w:val="none"/>
        </w:rPr>
        <w:t>《项目清单内容》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pStyle w:val="27"/>
        <w:snapToGrid w:val="0"/>
        <w:spacing w:line="360" w:lineRule="auto"/>
        <w:rPr>
          <w:rFonts w:cs="宋体"/>
          <w:color w:val="auto"/>
          <w:highlight w:val="none"/>
        </w:rPr>
      </w:pPr>
      <w:r>
        <w:rPr>
          <w:rFonts w:hint="eastAsia" w:cs="宋体"/>
          <w:color w:val="auto"/>
          <w:highlight w:val="none"/>
        </w:rPr>
        <w:t>三、技术资料</w:t>
      </w:r>
    </w:p>
    <w:p>
      <w:pPr>
        <w:pStyle w:val="27"/>
        <w:snapToGrid w:val="0"/>
        <w:spacing w:line="360" w:lineRule="auto"/>
        <w:rPr>
          <w:rFonts w:cs="宋体"/>
          <w:color w:val="auto"/>
          <w:highlight w:val="none"/>
        </w:rPr>
      </w:pPr>
      <w:r>
        <w:rPr>
          <w:rFonts w:hint="eastAsia" w:cs="宋体"/>
          <w:color w:val="auto"/>
          <w:highlight w:val="none"/>
        </w:rPr>
        <w:t>1.乙方应按公开竞争文件规定的时间向甲方提供有关技术资料。</w:t>
      </w:r>
    </w:p>
    <w:p>
      <w:pPr>
        <w:pStyle w:val="27"/>
        <w:snapToGrid w:val="0"/>
        <w:spacing w:line="360" w:lineRule="auto"/>
        <w:rPr>
          <w:rFonts w:cs="宋体"/>
          <w:color w:val="auto"/>
          <w:highlight w:val="none"/>
        </w:rPr>
      </w:pPr>
      <w:r>
        <w:rPr>
          <w:rFonts w:hint="eastAsia"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7"/>
        <w:snapToGrid w:val="0"/>
        <w:spacing w:line="360" w:lineRule="auto"/>
        <w:rPr>
          <w:rFonts w:cs="宋体"/>
          <w:color w:val="auto"/>
          <w:highlight w:val="none"/>
        </w:rPr>
      </w:pPr>
      <w:r>
        <w:rPr>
          <w:rFonts w:hint="eastAsia" w:cs="宋体"/>
          <w:color w:val="auto"/>
          <w:highlight w:val="none"/>
        </w:rPr>
        <w:t>四、转包或分包</w:t>
      </w:r>
    </w:p>
    <w:p>
      <w:pPr>
        <w:pStyle w:val="27"/>
        <w:snapToGrid w:val="0"/>
        <w:spacing w:line="360" w:lineRule="auto"/>
        <w:rPr>
          <w:rFonts w:cs="宋体"/>
          <w:color w:val="auto"/>
          <w:highlight w:val="none"/>
        </w:rPr>
      </w:pPr>
      <w:r>
        <w:rPr>
          <w:rFonts w:hint="eastAsia" w:cs="宋体"/>
          <w:color w:val="auto"/>
          <w:highlight w:val="none"/>
        </w:rPr>
        <w:t>1.本合同范围的服务，应由乙方直接提供，乙方不得将本合同范围的服务全部或部分分包给他人供应；</w:t>
      </w:r>
    </w:p>
    <w:p>
      <w:pPr>
        <w:pStyle w:val="27"/>
        <w:snapToGrid w:val="0"/>
        <w:spacing w:line="360" w:lineRule="auto"/>
        <w:rPr>
          <w:rFonts w:cs="宋体"/>
          <w:color w:val="auto"/>
          <w:highlight w:val="none"/>
        </w:rPr>
      </w:pPr>
      <w:r>
        <w:rPr>
          <w:rFonts w:hint="eastAsia" w:cs="宋体"/>
          <w:color w:val="auto"/>
          <w:highlight w:val="none"/>
        </w:rPr>
        <w:t>2.如有转让和未经甲方同意的分包行为，甲方有权解除合同，追究乙方的违约责任。</w:t>
      </w:r>
    </w:p>
    <w:p>
      <w:pPr>
        <w:pStyle w:val="27"/>
        <w:snapToGrid w:val="0"/>
        <w:spacing w:line="360" w:lineRule="auto"/>
        <w:rPr>
          <w:rFonts w:cs="宋体"/>
          <w:color w:val="auto"/>
          <w:highlight w:val="none"/>
        </w:rPr>
      </w:pPr>
      <w:r>
        <w:rPr>
          <w:rFonts w:hint="eastAsia" w:cs="宋体"/>
          <w:color w:val="auto"/>
          <w:highlight w:val="none"/>
        </w:rPr>
        <w:t>五、服务质量保证期</w:t>
      </w:r>
    </w:p>
    <w:p>
      <w:pPr>
        <w:pStyle w:val="27"/>
        <w:snapToGrid w:val="0"/>
        <w:spacing w:line="360" w:lineRule="auto"/>
        <w:rPr>
          <w:rFonts w:cs="宋体"/>
          <w:color w:val="auto"/>
          <w:highlight w:val="none"/>
        </w:rPr>
      </w:pPr>
      <w:r>
        <w:rPr>
          <w:rFonts w:hint="eastAsia" w:cs="宋体"/>
          <w:color w:val="auto"/>
          <w:highlight w:val="none"/>
        </w:rPr>
        <w:t>1. 服务时间：</w:t>
      </w:r>
    </w:p>
    <w:p>
      <w:pPr>
        <w:pStyle w:val="27"/>
        <w:snapToGrid w:val="0"/>
        <w:spacing w:line="360" w:lineRule="auto"/>
        <w:rPr>
          <w:rFonts w:cs="宋体"/>
          <w:color w:val="auto"/>
          <w:highlight w:val="none"/>
        </w:rPr>
      </w:pPr>
      <w:r>
        <w:rPr>
          <w:rFonts w:hint="eastAsia" w:cs="宋体"/>
          <w:color w:val="auto"/>
          <w:highlight w:val="none"/>
        </w:rPr>
        <w:t>六、合同履行时间、履行方式及履行地点</w:t>
      </w:r>
    </w:p>
    <w:p>
      <w:pPr>
        <w:pStyle w:val="27"/>
        <w:snapToGrid w:val="0"/>
        <w:spacing w:line="360" w:lineRule="auto"/>
        <w:rPr>
          <w:rFonts w:cs="宋体"/>
          <w:color w:val="auto"/>
          <w:highlight w:val="none"/>
        </w:rPr>
      </w:pPr>
      <w:r>
        <w:rPr>
          <w:rFonts w:hint="eastAsia" w:cs="宋体"/>
          <w:color w:val="auto"/>
          <w:highlight w:val="none"/>
        </w:rPr>
        <w:t>1. 履行时间：</w:t>
      </w:r>
    </w:p>
    <w:p>
      <w:pPr>
        <w:pStyle w:val="27"/>
        <w:snapToGrid w:val="0"/>
        <w:spacing w:line="360" w:lineRule="auto"/>
        <w:rPr>
          <w:rFonts w:cs="宋体"/>
          <w:color w:val="auto"/>
          <w:highlight w:val="none"/>
        </w:rPr>
      </w:pPr>
      <w:r>
        <w:rPr>
          <w:rFonts w:hint="eastAsia" w:cs="宋体"/>
          <w:color w:val="auto"/>
          <w:highlight w:val="none"/>
        </w:rPr>
        <w:t>2. 履行方式：按合同履行。</w:t>
      </w:r>
    </w:p>
    <w:p>
      <w:pPr>
        <w:pStyle w:val="27"/>
        <w:snapToGrid w:val="0"/>
        <w:spacing w:line="360" w:lineRule="auto"/>
        <w:rPr>
          <w:rFonts w:cs="宋体"/>
          <w:color w:val="auto"/>
          <w:highlight w:val="none"/>
        </w:rPr>
      </w:pPr>
      <w:r>
        <w:rPr>
          <w:rFonts w:hint="eastAsia" w:cs="宋体"/>
          <w:color w:val="auto"/>
          <w:highlight w:val="none"/>
        </w:rPr>
        <w:t>3. 履行地点：甲方指定地点内。</w:t>
      </w:r>
    </w:p>
    <w:p>
      <w:pPr>
        <w:pStyle w:val="27"/>
        <w:snapToGrid w:val="0"/>
        <w:spacing w:line="360" w:lineRule="auto"/>
        <w:rPr>
          <w:rFonts w:cs="宋体"/>
          <w:color w:val="auto"/>
          <w:highlight w:val="none"/>
        </w:rPr>
      </w:pPr>
      <w:r>
        <w:rPr>
          <w:rFonts w:hint="eastAsia" w:cs="宋体"/>
          <w:color w:val="auto"/>
          <w:highlight w:val="none"/>
        </w:rPr>
        <w:t>七、款项支付</w:t>
      </w:r>
    </w:p>
    <w:p>
      <w:pPr>
        <w:pStyle w:val="27"/>
        <w:snapToGrid w:val="0"/>
        <w:spacing w:line="360" w:lineRule="auto"/>
        <w:rPr>
          <w:rFonts w:cs="宋体"/>
          <w:color w:val="auto"/>
          <w:highlight w:val="none"/>
        </w:rPr>
      </w:pPr>
      <w:r>
        <w:rPr>
          <w:rFonts w:hint="eastAsia" w:cs="宋体"/>
          <w:color w:val="auto"/>
          <w:highlight w:val="none"/>
        </w:rPr>
        <w:t>参照交易需求。</w:t>
      </w:r>
    </w:p>
    <w:p>
      <w:pPr>
        <w:pStyle w:val="27"/>
        <w:snapToGrid w:val="0"/>
        <w:spacing w:line="360" w:lineRule="auto"/>
        <w:rPr>
          <w:rFonts w:cs="宋体"/>
          <w:color w:val="auto"/>
          <w:highlight w:val="none"/>
        </w:rPr>
      </w:pPr>
      <w:r>
        <w:rPr>
          <w:rFonts w:hint="eastAsia" w:cs="宋体"/>
          <w:color w:val="auto"/>
          <w:highlight w:val="none"/>
        </w:rPr>
        <w:t>十、税费</w:t>
      </w:r>
    </w:p>
    <w:p>
      <w:pPr>
        <w:pStyle w:val="27"/>
        <w:snapToGrid w:val="0"/>
        <w:spacing w:line="360" w:lineRule="auto"/>
        <w:rPr>
          <w:rFonts w:cs="宋体"/>
          <w:color w:val="auto"/>
          <w:highlight w:val="none"/>
        </w:rPr>
      </w:pPr>
      <w:r>
        <w:rPr>
          <w:rFonts w:hint="eastAsia" w:cs="宋体"/>
          <w:color w:val="auto"/>
          <w:highlight w:val="none"/>
        </w:rPr>
        <w:t>本合同执行中相关的一切税费均由乙方负担。</w:t>
      </w:r>
    </w:p>
    <w:p>
      <w:pPr>
        <w:pStyle w:val="27"/>
        <w:snapToGrid w:val="0"/>
        <w:spacing w:line="360" w:lineRule="auto"/>
        <w:rPr>
          <w:rFonts w:cs="宋体"/>
          <w:color w:val="auto"/>
          <w:highlight w:val="none"/>
        </w:rPr>
      </w:pPr>
      <w:r>
        <w:rPr>
          <w:rFonts w:hint="eastAsia" w:cs="宋体"/>
          <w:color w:val="auto"/>
          <w:highlight w:val="none"/>
        </w:rPr>
        <w:t>十一、质量保证及后续服务</w:t>
      </w:r>
    </w:p>
    <w:p>
      <w:pPr>
        <w:pStyle w:val="27"/>
        <w:snapToGrid w:val="0"/>
        <w:spacing w:line="360" w:lineRule="auto"/>
        <w:rPr>
          <w:rFonts w:cs="宋体"/>
          <w:color w:val="auto"/>
          <w:highlight w:val="none"/>
        </w:rPr>
      </w:pPr>
      <w:r>
        <w:rPr>
          <w:rFonts w:hint="eastAsia" w:cs="宋体"/>
          <w:color w:val="auto"/>
          <w:highlight w:val="none"/>
        </w:rPr>
        <w:t>1. 乙方应按公开竞争文件规定向甲方提供服务。</w:t>
      </w:r>
    </w:p>
    <w:p>
      <w:pPr>
        <w:pStyle w:val="27"/>
        <w:snapToGrid w:val="0"/>
        <w:spacing w:line="360" w:lineRule="auto"/>
        <w:rPr>
          <w:rFonts w:cs="宋体"/>
          <w:color w:val="auto"/>
          <w:highlight w:val="none"/>
        </w:rPr>
      </w:pPr>
      <w:r>
        <w:rPr>
          <w:rFonts w:hint="eastAsia" w:cs="宋体"/>
          <w:color w:val="auto"/>
          <w:highlight w:val="none"/>
        </w:rPr>
        <w:t>2. 乙方提供的服务发生问题或产出重大不良影响的，除按结算条款扣除结算金额外，乙方应负责免费提供后续善后服务，同时承担相应责任。</w:t>
      </w:r>
    </w:p>
    <w:p>
      <w:pPr>
        <w:pStyle w:val="27"/>
        <w:snapToGrid w:val="0"/>
        <w:spacing w:line="360" w:lineRule="auto"/>
        <w:rPr>
          <w:rFonts w:cs="宋体"/>
          <w:color w:val="auto"/>
          <w:highlight w:val="none"/>
        </w:rPr>
      </w:pPr>
      <w:r>
        <w:rPr>
          <w:rFonts w:hint="eastAsia" w:cs="宋体"/>
          <w:color w:val="auto"/>
          <w:highlight w:val="none"/>
        </w:rPr>
        <w:t>十二、违约责任</w:t>
      </w:r>
    </w:p>
    <w:p>
      <w:pPr>
        <w:pStyle w:val="27"/>
        <w:snapToGrid w:val="0"/>
        <w:spacing w:line="360" w:lineRule="auto"/>
        <w:rPr>
          <w:rFonts w:cs="宋体"/>
          <w:color w:val="auto"/>
          <w:highlight w:val="none"/>
        </w:rPr>
      </w:pPr>
      <w:r>
        <w:rPr>
          <w:rFonts w:hint="eastAsia" w:cs="宋体"/>
          <w:color w:val="auto"/>
          <w:highlight w:val="none"/>
        </w:rPr>
        <w:t>1.甲方无正当理由拒绝接收服务的，甲方向乙方偿付合同款项百分之五作为违约金。</w:t>
      </w:r>
    </w:p>
    <w:p>
      <w:pPr>
        <w:pStyle w:val="27"/>
        <w:snapToGrid w:val="0"/>
        <w:spacing w:line="360" w:lineRule="auto"/>
        <w:rPr>
          <w:rFonts w:cs="宋体"/>
          <w:color w:val="auto"/>
          <w:highlight w:val="none"/>
        </w:rPr>
      </w:pPr>
      <w:r>
        <w:rPr>
          <w:rFonts w:hint="eastAsia"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7"/>
        <w:snapToGrid w:val="0"/>
        <w:spacing w:line="360" w:lineRule="auto"/>
        <w:rPr>
          <w:rFonts w:cs="宋体"/>
          <w:color w:val="auto"/>
          <w:highlight w:val="none"/>
        </w:rPr>
      </w:pPr>
      <w:r>
        <w:rPr>
          <w:rFonts w:hint="eastAsia" w:cs="宋体"/>
          <w:color w:val="auto"/>
          <w:highlight w:val="none"/>
        </w:rPr>
        <w:t>十三、争议的解决</w:t>
      </w:r>
    </w:p>
    <w:p>
      <w:pPr>
        <w:pStyle w:val="27"/>
        <w:snapToGrid w:val="0"/>
        <w:spacing w:line="360" w:lineRule="auto"/>
        <w:rPr>
          <w:rFonts w:cs="宋体"/>
          <w:color w:val="auto"/>
          <w:highlight w:val="none"/>
        </w:rPr>
      </w:pPr>
      <w:r>
        <w:rPr>
          <w:rFonts w:hint="eastAsia" w:cs="宋体"/>
          <w:color w:val="auto"/>
          <w:highlight w:val="none"/>
        </w:rPr>
        <w:t>因本合同引起的或与本合同有关的任何争议，合同双方应首先通过协商解决，达成书面协议，如协商不成，可选择下列方式解决。</w:t>
      </w:r>
    </w:p>
    <w:p>
      <w:pPr>
        <w:pStyle w:val="27"/>
        <w:snapToGrid w:val="0"/>
        <w:spacing w:line="360" w:lineRule="auto"/>
        <w:rPr>
          <w:rFonts w:cs="宋体"/>
          <w:color w:val="auto"/>
          <w:highlight w:val="none"/>
        </w:rPr>
      </w:pPr>
      <w:r>
        <w:rPr>
          <w:rFonts w:hint="eastAsia" w:cs="宋体"/>
          <w:color w:val="auto"/>
          <w:highlight w:val="none"/>
        </w:rPr>
        <w:t>（1）提请杭州仲裁委员会按照该会仲裁规则进行仲裁，仲裁裁决是终局的，对合同双方均有约束力。</w:t>
      </w:r>
    </w:p>
    <w:p>
      <w:pPr>
        <w:pStyle w:val="27"/>
        <w:snapToGrid w:val="0"/>
        <w:spacing w:line="360" w:lineRule="auto"/>
        <w:rPr>
          <w:rFonts w:cs="宋体"/>
          <w:color w:val="auto"/>
          <w:highlight w:val="none"/>
        </w:rPr>
      </w:pPr>
      <w:r>
        <w:rPr>
          <w:rFonts w:hint="eastAsia" w:cs="宋体"/>
          <w:color w:val="auto"/>
          <w:highlight w:val="none"/>
        </w:rPr>
        <w:t>（2）向有管辖权的人民法院提起诉讼。</w:t>
      </w:r>
    </w:p>
    <w:p>
      <w:pPr>
        <w:pStyle w:val="27"/>
        <w:snapToGrid w:val="0"/>
        <w:spacing w:line="360" w:lineRule="auto"/>
        <w:rPr>
          <w:rFonts w:cs="宋体"/>
          <w:color w:val="auto"/>
          <w:highlight w:val="none"/>
        </w:rPr>
      </w:pPr>
      <w:r>
        <w:rPr>
          <w:rFonts w:hint="eastAsia" w:cs="宋体"/>
          <w:color w:val="auto"/>
          <w:highlight w:val="none"/>
        </w:rPr>
        <w:t>十四、合同生效</w:t>
      </w:r>
    </w:p>
    <w:p>
      <w:pPr>
        <w:pStyle w:val="27"/>
        <w:snapToGrid w:val="0"/>
        <w:spacing w:line="360" w:lineRule="auto"/>
        <w:rPr>
          <w:rFonts w:cs="宋体"/>
          <w:color w:val="auto"/>
          <w:highlight w:val="none"/>
        </w:rPr>
      </w:pPr>
      <w:r>
        <w:rPr>
          <w:rFonts w:hint="eastAsia" w:cs="宋体"/>
          <w:color w:val="auto"/>
          <w:highlight w:val="none"/>
        </w:rPr>
        <w:t>1.成交方持成交通知书作为与需方签订合同的凭证。</w:t>
      </w:r>
    </w:p>
    <w:p>
      <w:pPr>
        <w:pStyle w:val="27"/>
        <w:snapToGrid w:val="0"/>
        <w:spacing w:line="360" w:lineRule="auto"/>
        <w:rPr>
          <w:rFonts w:cs="宋体"/>
          <w:color w:val="auto"/>
          <w:highlight w:val="none"/>
        </w:rPr>
      </w:pPr>
      <w:r>
        <w:rPr>
          <w:rFonts w:hint="eastAsia" w:cs="宋体"/>
          <w:color w:val="auto"/>
          <w:highlight w:val="none"/>
        </w:rPr>
        <w:t>2.本合同经需、供双方法定代表人或其授权委托人签字并加盖单位公章后生效。</w:t>
      </w:r>
    </w:p>
    <w:p>
      <w:pPr>
        <w:pStyle w:val="27"/>
        <w:snapToGrid w:val="0"/>
        <w:spacing w:line="360" w:lineRule="auto"/>
        <w:rPr>
          <w:rFonts w:cs="宋体"/>
          <w:color w:val="auto"/>
          <w:highlight w:val="none"/>
        </w:rPr>
      </w:pPr>
    </w:p>
    <w:p>
      <w:pPr>
        <w:pStyle w:val="27"/>
        <w:snapToGrid w:val="0"/>
        <w:spacing w:line="360" w:lineRule="auto"/>
        <w:rPr>
          <w:rFonts w:cs="宋体"/>
          <w:color w:val="auto"/>
          <w:highlight w:val="none"/>
        </w:rPr>
      </w:pPr>
      <w:r>
        <w:rPr>
          <w:rFonts w:hint="eastAsia" w:cs="宋体"/>
          <w:color w:val="auto"/>
          <w:highlight w:val="none"/>
        </w:rPr>
        <w:t>需方（盖章）：                     供方（盖章）：</w:t>
      </w:r>
    </w:p>
    <w:p>
      <w:pPr>
        <w:pStyle w:val="27"/>
        <w:snapToGrid w:val="0"/>
        <w:spacing w:line="360" w:lineRule="auto"/>
        <w:rPr>
          <w:rFonts w:cs="宋体"/>
          <w:color w:val="auto"/>
          <w:highlight w:val="none"/>
        </w:rPr>
      </w:pPr>
      <w:r>
        <w:rPr>
          <w:rFonts w:hint="eastAsia" w:cs="宋体"/>
          <w:color w:val="auto"/>
          <w:highlight w:val="none"/>
        </w:rPr>
        <w:t>地址：                             地址：</w:t>
      </w:r>
    </w:p>
    <w:p>
      <w:pPr>
        <w:pStyle w:val="27"/>
        <w:snapToGrid w:val="0"/>
        <w:spacing w:line="360" w:lineRule="auto"/>
        <w:rPr>
          <w:rFonts w:cs="宋体"/>
          <w:color w:val="auto"/>
          <w:highlight w:val="none"/>
        </w:rPr>
      </w:pPr>
      <w:r>
        <w:rPr>
          <w:rFonts w:hint="eastAsia" w:cs="宋体"/>
          <w:color w:val="auto"/>
          <w:highlight w:val="none"/>
        </w:rPr>
        <w:t>法定代表人（或委托代理人）签名：   法定代表人（或委托代理人）签名：</w:t>
      </w:r>
    </w:p>
    <w:p>
      <w:pPr>
        <w:pStyle w:val="27"/>
        <w:snapToGrid w:val="0"/>
        <w:spacing w:line="360" w:lineRule="auto"/>
        <w:rPr>
          <w:rFonts w:cs="宋体"/>
          <w:color w:val="auto"/>
          <w:highlight w:val="none"/>
        </w:rPr>
      </w:pPr>
      <w:r>
        <w:rPr>
          <w:rFonts w:hint="eastAsia" w:cs="宋体"/>
          <w:color w:val="auto"/>
          <w:highlight w:val="none"/>
        </w:rPr>
        <w:t>联系电话：                         联系电话：</w:t>
      </w:r>
    </w:p>
    <w:p>
      <w:pPr>
        <w:pStyle w:val="27"/>
        <w:snapToGrid w:val="0"/>
        <w:spacing w:line="360" w:lineRule="auto"/>
        <w:rPr>
          <w:rFonts w:cs="宋体"/>
          <w:color w:val="auto"/>
          <w:highlight w:val="none"/>
        </w:rPr>
      </w:pPr>
      <w:r>
        <w:rPr>
          <w:rFonts w:hint="eastAsia" w:cs="宋体"/>
          <w:color w:val="auto"/>
          <w:highlight w:val="none"/>
        </w:rPr>
        <w:t>邮政编码：                         邮政编码：</w:t>
      </w:r>
    </w:p>
    <w:p>
      <w:pPr>
        <w:pStyle w:val="27"/>
        <w:snapToGrid w:val="0"/>
        <w:spacing w:line="360" w:lineRule="auto"/>
        <w:rPr>
          <w:rFonts w:cs="宋体"/>
          <w:color w:val="auto"/>
          <w:highlight w:val="none"/>
        </w:rPr>
      </w:pPr>
      <w:r>
        <w:rPr>
          <w:rFonts w:hint="eastAsia" w:cs="宋体"/>
          <w:color w:val="auto"/>
          <w:highlight w:val="none"/>
        </w:rPr>
        <w:t xml:space="preserve">开户银行：                         开户银行：      </w:t>
      </w:r>
    </w:p>
    <w:p>
      <w:pPr>
        <w:pStyle w:val="27"/>
        <w:snapToGrid w:val="0"/>
        <w:spacing w:line="360" w:lineRule="auto"/>
        <w:rPr>
          <w:rFonts w:cs="宋体"/>
          <w:color w:val="auto"/>
          <w:highlight w:val="none"/>
        </w:rPr>
      </w:pPr>
      <w:r>
        <w:rPr>
          <w:rFonts w:hint="eastAsia" w:cs="宋体"/>
          <w:color w:val="auto"/>
          <w:highlight w:val="none"/>
        </w:rPr>
        <w:t>帐号：                             帐号：</w:t>
      </w:r>
    </w:p>
    <w:p>
      <w:pPr>
        <w:rPr>
          <w:rFonts w:ascii="宋体" w:hAnsi="宋体" w:cs="宋体"/>
          <w:color w:val="auto"/>
          <w:sz w:val="24"/>
          <w:highlight w:val="none"/>
        </w:rPr>
      </w:pPr>
      <w:r>
        <w:rPr>
          <w:rFonts w:hint="eastAsia" w:ascii="宋体" w:hAnsi="宋体" w:cs="宋体"/>
          <w:color w:val="auto"/>
          <w:sz w:val="24"/>
          <w:highlight w:val="none"/>
        </w:rPr>
        <w:br w:type="page"/>
      </w: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2"/>
      <w:r>
        <w:rPr>
          <w:rFonts w:hint="eastAsia" w:ascii="宋体" w:hAnsi="宋体" w:cs="宋体"/>
          <w:b/>
          <w:color w:val="auto"/>
          <w:sz w:val="36"/>
          <w:szCs w:val="20"/>
          <w:highlight w:val="none"/>
        </w:rPr>
        <w:t xml:space="preserve"> </w:t>
      </w:r>
      <w:bookmarkEnd w:id="383"/>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2.1.2本项目的特定资格要求。</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2.2.3营业执照；</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2.3.1交易一览表（报价表）</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jc w:val="both"/>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       】</w:t>
      </w:r>
      <w:r>
        <w:rPr>
          <w:rFonts w:hint="eastAsia" w:ascii="宋体" w:hAnsi="宋体" w:cs="宋体"/>
          <w:color w:val="auto"/>
          <w:kern w:val="0"/>
          <w:sz w:val="24"/>
          <w:highlight w:val="none"/>
          <w:lang w:val="zh-CN"/>
        </w:rPr>
        <w:t>交易项目的一切事项，其法律后果由我方承担。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53"/>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6"/>
        <w:rPr>
          <w:rFonts w:hAnsi="宋体" w:cs="宋体"/>
          <w:b/>
          <w:color w:val="auto"/>
          <w:kern w:val="0"/>
          <w:sz w:val="32"/>
          <w:szCs w:val="32"/>
          <w:highlight w:val="none"/>
        </w:rPr>
      </w:pPr>
    </w:p>
    <w:p>
      <w:pPr>
        <w:pStyle w:val="52"/>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footerReference r:id="rId8" w:type="first"/>
          <w:footerReference r:id="rId7" w:type="default"/>
          <w:pgSz w:w="11906" w:h="16838"/>
          <w:pgMar w:top="1276" w:right="1418" w:bottom="1247" w:left="1418" w:header="851" w:footer="992" w:gutter="0"/>
          <w:pgNumType w:start="2"/>
          <w:cols w:space="720" w:num="1"/>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
        <w:spacing w:line="240" w:lineRule="auto"/>
        <w:rPr>
          <w:rFonts w:ascii="宋体" w:hAnsi="宋体" w:cs="宋体"/>
          <w:b/>
          <w:color w:val="auto"/>
          <w:kern w:val="0"/>
          <w:sz w:val="52"/>
          <w:szCs w:val="5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pStyle w:val="696"/>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3"/>
        <w:tblW w:w="14497"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225"/>
        <w:gridCol w:w="4521"/>
        <w:gridCol w:w="26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2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4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c>
          <w:tcPr>
            <w:tcW w:w="2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投标报价（单价）</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CN"/>
              </w:rPr>
              <w:t>线路一：康定5日疗休养行程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元/人次</w:t>
            </w: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线路</w:t>
            </w:r>
            <w:r>
              <w:rPr>
                <w:rFonts w:hint="eastAsia" w:ascii="宋体" w:hAnsi="宋体" w:eastAsia="宋体" w:cs="宋体"/>
                <w:color w:val="auto"/>
                <w:sz w:val="24"/>
                <w:highlight w:val="none"/>
                <w:lang w:val="zh-CN" w:eastAsia="zh-CN"/>
              </w:rPr>
              <w:t>二</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湖州4</w:t>
            </w:r>
            <w:r>
              <w:rPr>
                <w:rFonts w:hint="eastAsia" w:ascii="宋体" w:hAnsi="宋体" w:eastAsia="宋体" w:cs="宋体"/>
                <w:color w:val="auto"/>
                <w:sz w:val="24"/>
                <w:highlight w:val="none"/>
                <w:lang w:val="zh-CN"/>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线路</w:t>
            </w:r>
            <w:r>
              <w:rPr>
                <w:rFonts w:hint="eastAsia" w:ascii="宋体" w:hAnsi="宋体" w:eastAsia="宋体" w:cs="宋体"/>
                <w:color w:val="auto"/>
                <w:sz w:val="24"/>
                <w:highlight w:val="none"/>
                <w:lang w:val="zh-CN" w:eastAsia="zh-CN"/>
              </w:rPr>
              <w:t>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CN"/>
              </w:rPr>
              <w:t>天台温岭4</w:t>
            </w:r>
            <w:r>
              <w:rPr>
                <w:rFonts w:hint="eastAsia" w:ascii="宋体" w:hAnsi="宋体" w:eastAsia="宋体" w:cs="宋体"/>
                <w:color w:val="auto"/>
                <w:sz w:val="24"/>
                <w:highlight w:val="none"/>
                <w:lang w:val="zh-CN"/>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5225" w:type="dxa"/>
            <w:tcBorders>
              <w:top w:val="single" w:color="auto" w:sz="4" w:space="0"/>
              <w:left w:val="single" w:color="auto" w:sz="4" w:space="0"/>
              <w:bottom w:val="single" w:color="auto" w:sz="4" w:space="0"/>
              <w:right w:val="single" w:color="auto" w:sz="4" w:space="0"/>
            </w:tcBorders>
            <w:vAlign w:val="center"/>
          </w:tcPr>
          <w:p>
            <w:pPr>
              <w:tabs>
                <w:tab w:val="center" w:pos="4153"/>
              </w:tabs>
              <w:rPr>
                <w:rFonts w:hint="eastAsia" w:ascii="宋体" w:hAnsi="宋体" w:eastAsia="宋体" w:cs="宋体"/>
                <w:color w:val="auto"/>
                <w:sz w:val="24"/>
                <w:highlight w:val="none"/>
              </w:rPr>
            </w:pPr>
            <w:r>
              <w:rPr>
                <w:rFonts w:hint="eastAsia" w:ascii="宋体" w:hAnsi="宋体" w:eastAsia="宋体" w:cs="宋体"/>
                <w:color w:val="auto"/>
                <w:sz w:val="24"/>
                <w:highlight w:val="none"/>
              </w:rPr>
              <w:t>线路</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舟山4</w:t>
            </w:r>
            <w:r>
              <w:rPr>
                <w:rFonts w:hint="eastAsia" w:ascii="宋体" w:hAnsi="宋体" w:eastAsia="宋体" w:cs="宋体"/>
                <w:color w:val="auto"/>
                <w:sz w:val="24"/>
                <w:highlight w:val="none"/>
              </w:rPr>
              <w:t>日疗休养行程</w:t>
            </w:r>
          </w:p>
        </w:tc>
        <w:tc>
          <w:tcPr>
            <w:tcW w:w="4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p>
        </w:tc>
        <w:tc>
          <w:tcPr>
            <w:tcW w:w="2650"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highlight w:val="none"/>
                <w:u w:val="single"/>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宋体" w:hAnsi="宋体" w:eastAsia="宋体" w:cs="宋体"/>
          <w:color w:val="auto"/>
          <w:kern w:val="0"/>
          <w:sz w:val="24"/>
          <w:szCs w:val="24"/>
          <w:highlight w:val="none"/>
          <w:lang w:eastAsia="zh-CN"/>
        </w:rPr>
      </w:pPr>
    </w:p>
    <w:p>
      <w:pPr>
        <w:autoSpaceDE w:val="0"/>
        <w:autoSpaceDN w:val="0"/>
        <w:spacing w:line="360" w:lineRule="auto"/>
        <w:ind w:left="2" w:leftChars="1" w:right="1120" w:firstLine="10240" w:firstLineChars="32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      ）】</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4" w:type="first"/>
      <w:footerReference r:id="rId17" w:type="first"/>
      <w:headerReference r:id="rId13" w:type="default"/>
      <w:footerReference r:id="rId15" w:type="default"/>
      <w:footerReference r:id="rId1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path/>
          <v:fill on="f" focussize="0,0"/>
          <v:stroke on="f" weight="0.5pt" joinstyle="miter"/>
          <v:imagedata o:title=""/>
          <o:lock v:ext="edit"/>
          <v:textbox inset="0mm,0mm,0mm,0mm" style="mso-fit-shape-to-text:t;">
            <w:txbxContent>
              <w:p>
                <w:pPr>
                  <w:pStyle w:val="41"/>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iNTJiODcwZTAyMmI2NTZjM2JiMmMxNzFiOGQ5YjIifQ=="/>
    <w:docVar w:name="KSO_WPS_MARK_KEY" w:val="390dad4c-f6c4-458b-8870-15d9695aac49"/>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F57"/>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DE9"/>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C06"/>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9B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57B"/>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AED"/>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BF"/>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6C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05E"/>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81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03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A2D"/>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E02"/>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8D6"/>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2BCF"/>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49"/>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DD6"/>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10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AEE"/>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99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340"/>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C5C"/>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2D8A"/>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2B5"/>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F36323"/>
    <w:rsid w:val="02F5619C"/>
    <w:rsid w:val="0326446A"/>
    <w:rsid w:val="032D5555"/>
    <w:rsid w:val="036634D2"/>
    <w:rsid w:val="038A68D9"/>
    <w:rsid w:val="03DD35E4"/>
    <w:rsid w:val="03F1522C"/>
    <w:rsid w:val="04076900"/>
    <w:rsid w:val="041A5A3B"/>
    <w:rsid w:val="042311BA"/>
    <w:rsid w:val="042B157A"/>
    <w:rsid w:val="048F763B"/>
    <w:rsid w:val="049F330E"/>
    <w:rsid w:val="04AA775C"/>
    <w:rsid w:val="04AF1889"/>
    <w:rsid w:val="04B85F11"/>
    <w:rsid w:val="04EE3F9B"/>
    <w:rsid w:val="04F66F48"/>
    <w:rsid w:val="0507369A"/>
    <w:rsid w:val="051E28A6"/>
    <w:rsid w:val="05251E14"/>
    <w:rsid w:val="05507636"/>
    <w:rsid w:val="05770BD6"/>
    <w:rsid w:val="058806C7"/>
    <w:rsid w:val="05A16594"/>
    <w:rsid w:val="05A7762D"/>
    <w:rsid w:val="05BF4603"/>
    <w:rsid w:val="05C04DC2"/>
    <w:rsid w:val="05E56E32"/>
    <w:rsid w:val="060E5941"/>
    <w:rsid w:val="06110FAF"/>
    <w:rsid w:val="06493CA7"/>
    <w:rsid w:val="065A6178"/>
    <w:rsid w:val="066D3597"/>
    <w:rsid w:val="066F1CF3"/>
    <w:rsid w:val="06930BB8"/>
    <w:rsid w:val="06956198"/>
    <w:rsid w:val="070C5DD7"/>
    <w:rsid w:val="07245D42"/>
    <w:rsid w:val="07264C62"/>
    <w:rsid w:val="072F6604"/>
    <w:rsid w:val="0779354C"/>
    <w:rsid w:val="077F0C95"/>
    <w:rsid w:val="07C300BD"/>
    <w:rsid w:val="07FE18F3"/>
    <w:rsid w:val="08061376"/>
    <w:rsid w:val="080976BA"/>
    <w:rsid w:val="08452D77"/>
    <w:rsid w:val="086401F8"/>
    <w:rsid w:val="08751CAA"/>
    <w:rsid w:val="0876556A"/>
    <w:rsid w:val="087E4C40"/>
    <w:rsid w:val="08A53637"/>
    <w:rsid w:val="08A871D0"/>
    <w:rsid w:val="08D66AD6"/>
    <w:rsid w:val="08DA33A3"/>
    <w:rsid w:val="08E80F13"/>
    <w:rsid w:val="092612F3"/>
    <w:rsid w:val="092748F4"/>
    <w:rsid w:val="09335624"/>
    <w:rsid w:val="0944690F"/>
    <w:rsid w:val="09535675"/>
    <w:rsid w:val="095F057D"/>
    <w:rsid w:val="09642282"/>
    <w:rsid w:val="09733572"/>
    <w:rsid w:val="09772C16"/>
    <w:rsid w:val="098353B5"/>
    <w:rsid w:val="09A92330"/>
    <w:rsid w:val="09B06B87"/>
    <w:rsid w:val="09C13146"/>
    <w:rsid w:val="09C861C4"/>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12131"/>
    <w:rsid w:val="0B76461B"/>
    <w:rsid w:val="0B7F3F11"/>
    <w:rsid w:val="0B884417"/>
    <w:rsid w:val="0B93709B"/>
    <w:rsid w:val="0BAA14DE"/>
    <w:rsid w:val="0BF6188C"/>
    <w:rsid w:val="0BF73C91"/>
    <w:rsid w:val="0C164E7B"/>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F50604"/>
    <w:rsid w:val="0DF702FE"/>
    <w:rsid w:val="0E060E51"/>
    <w:rsid w:val="0E22536A"/>
    <w:rsid w:val="0E24319C"/>
    <w:rsid w:val="0E373674"/>
    <w:rsid w:val="0E5604B2"/>
    <w:rsid w:val="0E6D5D79"/>
    <w:rsid w:val="0E6F14E6"/>
    <w:rsid w:val="0E9D0089"/>
    <w:rsid w:val="0EA028E3"/>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220A8"/>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2D652B"/>
    <w:rsid w:val="12530213"/>
    <w:rsid w:val="127723A9"/>
    <w:rsid w:val="12862074"/>
    <w:rsid w:val="12883966"/>
    <w:rsid w:val="12973475"/>
    <w:rsid w:val="129E45B4"/>
    <w:rsid w:val="12D21374"/>
    <w:rsid w:val="12D81596"/>
    <w:rsid w:val="12DE40F1"/>
    <w:rsid w:val="13072A44"/>
    <w:rsid w:val="131A1B7F"/>
    <w:rsid w:val="13474EA5"/>
    <w:rsid w:val="135F4BE2"/>
    <w:rsid w:val="13913864"/>
    <w:rsid w:val="139B1A0A"/>
    <w:rsid w:val="139B5BDE"/>
    <w:rsid w:val="139D25C7"/>
    <w:rsid w:val="13BF3CE4"/>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A05FFC"/>
    <w:rsid w:val="17D349C1"/>
    <w:rsid w:val="17E066D8"/>
    <w:rsid w:val="1830729E"/>
    <w:rsid w:val="18394486"/>
    <w:rsid w:val="185134E3"/>
    <w:rsid w:val="1870062C"/>
    <w:rsid w:val="18817102"/>
    <w:rsid w:val="18830A15"/>
    <w:rsid w:val="18852B28"/>
    <w:rsid w:val="188B5321"/>
    <w:rsid w:val="18C776A6"/>
    <w:rsid w:val="18EE574D"/>
    <w:rsid w:val="19341F4D"/>
    <w:rsid w:val="197524E7"/>
    <w:rsid w:val="19761DA4"/>
    <w:rsid w:val="19932372"/>
    <w:rsid w:val="19A07A88"/>
    <w:rsid w:val="19A20DD5"/>
    <w:rsid w:val="19AE03F1"/>
    <w:rsid w:val="19D16EBE"/>
    <w:rsid w:val="19DD4CB9"/>
    <w:rsid w:val="19F636A6"/>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6F17AD"/>
    <w:rsid w:val="1C88086E"/>
    <w:rsid w:val="1CA045EE"/>
    <w:rsid w:val="1CC47A8B"/>
    <w:rsid w:val="1D066A5E"/>
    <w:rsid w:val="1D266CE1"/>
    <w:rsid w:val="1D3963AF"/>
    <w:rsid w:val="1D516804"/>
    <w:rsid w:val="1D6A673C"/>
    <w:rsid w:val="1D9247AE"/>
    <w:rsid w:val="1DB567EC"/>
    <w:rsid w:val="1DEC22C4"/>
    <w:rsid w:val="1DF51A98"/>
    <w:rsid w:val="1E3D060F"/>
    <w:rsid w:val="1E3F7D2E"/>
    <w:rsid w:val="1E4134E4"/>
    <w:rsid w:val="1E5062B3"/>
    <w:rsid w:val="1E523514"/>
    <w:rsid w:val="1E714A66"/>
    <w:rsid w:val="1E730E11"/>
    <w:rsid w:val="1E802593"/>
    <w:rsid w:val="1E881A8A"/>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C506F5"/>
    <w:rsid w:val="20DF1008"/>
    <w:rsid w:val="20EE2FE4"/>
    <w:rsid w:val="20FE3A4A"/>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3E0F44"/>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07BED"/>
    <w:rsid w:val="24D663E6"/>
    <w:rsid w:val="24D77F2B"/>
    <w:rsid w:val="254F52B1"/>
    <w:rsid w:val="2587768C"/>
    <w:rsid w:val="258B00E2"/>
    <w:rsid w:val="259B2C8A"/>
    <w:rsid w:val="25A34E23"/>
    <w:rsid w:val="25A917A6"/>
    <w:rsid w:val="25BE27CC"/>
    <w:rsid w:val="25E92F53"/>
    <w:rsid w:val="25F66E05"/>
    <w:rsid w:val="25F74A5C"/>
    <w:rsid w:val="2628662C"/>
    <w:rsid w:val="262D45DE"/>
    <w:rsid w:val="266E6AE8"/>
    <w:rsid w:val="267E09C1"/>
    <w:rsid w:val="26871DC8"/>
    <w:rsid w:val="26A53EF9"/>
    <w:rsid w:val="26A6481F"/>
    <w:rsid w:val="26A94201"/>
    <w:rsid w:val="26AC274F"/>
    <w:rsid w:val="270377E9"/>
    <w:rsid w:val="27044A29"/>
    <w:rsid w:val="271D34C8"/>
    <w:rsid w:val="272F6449"/>
    <w:rsid w:val="274C4FBA"/>
    <w:rsid w:val="276142BF"/>
    <w:rsid w:val="27783712"/>
    <w:rsid w:val="27907362"/>
    <w:rsid w:val="279B7084"/>
    <w:rsid w:val="27A02A0E"/>
    <w:rsid w:val="28333E1D"/>
    <w:rsid w:val="28454BD6"/>
    <w:rsid w:val="28455253"/>
    <w:rsid w:val="28551971"/>
    <w:rsid w:val="285B1C53"/>
    <w:rsid w:val="289F7086"/>
    <w:rsid w:val="28C32028"/>
    <w:rsid w:val="28CC490F"/>
    <w:rsid w:val="28DE40AA"/>
    <w:rsid w:val="29345E77"/>
    <w:rsid w:val="29453CBE"/>
    <w:rsid w:val="294C65AD"/>
    <w:rsid w:val="294E3480"/>
    <w:rsid w:val="297C731B"/>
    <w:rsid w:val="29806583"/>
    <w:rsid w:val="298B3C4C"/>
    <w:rsid w:val="29C934BB"/>
    <w:rsid w:val="29F26D24"/>
    <w:rsid w:val="2A15033F"/>
    <w:rsid w:val="2A1662C1"/>
    <w:rsid w:val="2A1C7367"/>
    <w:rsid w:val="2A2815FA"/>
    <w:rsid w:val="2A6D6092"/>
    <w:rsid w:val="2A7D76B4"/>
    <w:rsid w:val="2A830ABD"/>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D908CA"/>
    <w:rsid w:val="2CE82D6F"/>
    <w:rsid w:val="2D2216DE"/>
    <w:rsid w:val="2D343236"/>
    <w:rsid w:val="2D956040"/>
    <w:rsid w:val="2DC53663"/>
    <w:rsid w:val="2DD15014"/>
    <w:rsid w:val="2DF72DE4"/>
    <w:rsid w:val="2E0220AF"/>
    <w:rsid w:val="2E4B082A"/>
    <w:rsid w:val="2E5D4E86"/>
    <w:rsid w:val="2E5D790B"/>
    <w:rsid w:val="2E776A61"/>
    <w:rsid w:val="2E9A3C18"/>
    <w:rsid w:val="2EBB0FEE"/>
    <w:rsid w:val="2EC63002"/>
    <w:rsid w:val="2ECB46DA"/>
    <w:rsid w:val="2F064D1A"/>
    <w:rsid w:val="2F0A6B38"/>
    <w:rsid w:val="2F0E78D3"/>
    <w:rsid w:val="2F946CCB"/>
    <w:rsid w:val="2FD25781"/>
    <w:rsid w:val="2FDE33BA"/>
    <w:rsid w:val="2FF346DE"/>
    <w:rsid w:val="2FFB7730"/>
    <w:rsid w:val="2FFD7934"/>
    <w:rsid w:val="30201A01"/>
    <w:rsid w:val="30733ACD"/>
    <w:rsid w:val="308C3862"/>
    <w:rsid w:val="309379D8"/>
    <w:rsid w:val="309B6899"/>
    <w:rsid w:val="30A270F7"/>
    <w:rsid w:val="30C4123F"/>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EB55CD"/>
    <w:rsid w:val="33EC4C02"/>
    <w:rsid w:val="340D2360"/>
    <w:rsid w:val="3410665D"/>
    <w:rsid w:val="34211214"/>
    <w:rsid w:val="342E63AB"/>
    <w:rsid w:val="34433534"/>
    <w:rsid w:val="347B5D1E"/>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BB6998"/>
    <w:rsid w:val="36EC0CC9"/>
    <w:rsid w:val="37162528"/>
    <w:rsid w:val="37390A8E"/>
    <w:rsid w:val="373F410B"/>
    <w:rsid w:val="37550FFC"/>
    <w:rsid w:val="3756404C"/>
    <w:rsid w:val="376A0174"/>
    <w:rsid w:val="378C13F6"/>
    <w:rsid w:val="37BD1A5A"/>
    <w:rsid w:val="37E16E9C"/>
    <w:rsid w:val="37EE7094"/>
    <w:rsid w:val="38296C89"/>
    <w:rsid w:val="383002EB"/>
    <w:rsid w:val="38586797"/>
    <w:rsid w:val="388843DC"/>
    <w:rsid w:val="38BC0149"/>
    <w:rsid w:val="38D87D1C"/>
    <w:rsid w:val="38DE6D4B"/>
    <w:rsid w:val="38FF32BF"/>
    <w:rsid w:val="39097066"/>
    <w:rsid w:val="391F535F"/>
    <w:rsid w:val="392E73EA"/>
    <w:rsid w:val="39636459"/>
    <w:rsid w:val="396B7F6C"/>
    <w:rsid w:val="399C14F7"/>
    <w:rsid w:val="39B417A9"/>
    <w:rsid w:val="39F5707E"/>
    <w:rsid w:val="39FC5695"/>
    <w:rsid w:val="3A006D8E"/>
    <w:rsid w:val="3A3651E5"/>
    <w:rsid w:val="3A463592"/>
    <w:rsid w:val="3A4E2342"/>
    <w:rsid w:val="3A744481"/>
    <w:rsid w:val="3A8C7BEF"/>
    <w:rsid w:val="3A906246"/>
    <w:rsid w:val="3AB92FEC"/>
    <w:rsid w:val="3B2349B7"/>
    <w:rsid w:val="3B4677B8"/>
    <w:rsid w:val="3B616CFF"/>
    <w:rsid w:val="3B6259F6"/>
    <w:rsid w:val="3B894B0B"/>
    <w:rsid w:val="3B976654"/>
    <w:rsid w:val="3B9B68EE"/>
    <w:rsid w:val="3BC01EFC"/>
    <w:rsid w:val="3BC52CC1"/>
    <w:rsid w:val="3BCA786A"/>
    <w:rsid w:val="3BD06659"/>
    <w:rsid w:val="3BD31E2F"/>
    <w:rsid w:val="3BF15831"/>
    <w:rsid w:val="3C0D46EC"/>
    <w:rsid w:val="3C105946"/>
    <w:rsid w:val="3C471448"/>
    <w:rsid w:val="3C556941"/>
    <w:rsid w:val="3C5F759A"/>
    <w:rsid w:val="3C616601"/>
    <w:rsid w:val="3C6C525A"/>
    <w:rsid w:val="3CA60D3D"/>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295268"/>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3FCB3C60"/>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238518B"/>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17EE9"/>
    <w:rsid w:val="43A3342B"/>
    <w:rsid w:val="43C77C27"/>
    <w:rsid w:val="43DE09EE"/>
    <w:rsid w:val="44002FAD"/>
    <w:rsid w:val="4430589B"/>
    <w:rsid w:val="44356927"/>
    <w:rsid w:val="448F5620"/>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C63B94"/>
    <w:rsid w:val="45E83F3B"/>
    <w:rsid w:val="45F134FD"/>
    <w:rsid w:val="460167B7"/>
    <w:rsid w:val="460E7DA5"/>
    <w:rsid w:val="461B579A"/>
    <w:rsid w:val="46422483"/>
    <w:rsid w:val="464B356C"/>
    <w:rsid w:val="4659254A"/>
    <w:rsid w:val="465B0637"/>
    <w:rsid w:val="465E3F0D"/>
    <w:rsid w:val="466A16E6"/>
    <w:rsid w:val="46791209"/>
    <w:rsid w:val="46893F2B"/>
    <w:rsid w:val="46C4686E"/>
    <w:rsid w:val="46EC6103"/>
    <w:rsid w:val="472A3E43"/>
    <w:rsid w:val="47391126"/>
    <w:rsid w:val="473D0E4D"/>
    <w:rsid w:val="477B778F"/>
    <w:rsid w:val="478203EC"/>
    <w:rsid w:val="478464A5"/>
    <w:rsid w:val="47B025FA"/>
    <w:rsid w:val="47EC7057"/>
    <w:rsid w:val="48010DED"/>
    <w:rsid w:val="4809698F"/>
    <w:rsid w:val="48097DF4"/>
    <w:rsid w:val="480C2553"/>
    <w:rsid w:val="4811697D"/>
    <w:rsid w:val="485765F3"/>
    <w:rsid w:val="487A3E25"/>
    <w:rsid w:val="487B0FC2"/>
    <w:rsid w:val="48833F78"/>
    <w:rsid w:val="488B5503"/>
    <w:rsid w:val="488B752C"/>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70CA5"/>
    <w:rsid w:val="496F77D7"/>
    <w:rsid w:val="497654FD"/>
    <w:rsid w:val="498F505D"/>
    <w:rsid w:val="49B64211"/>
    <w:rsid w:val="49F6167F"/>
    <w:rsid w:val="4A064FA0"/>
    <w:rsid w:val="4A16615C"/>
    <w:rsid w:val="4A4424D7"/>
    <w:rsid w:val="4A493572"/>
    <w:rsid w:val="4A6E0CA4"/>
    <w:rsid w:val="4A706C8D"/>
    <w:rsid w:val="4A83134F"/>
    <w:rsid w:val="4AB82D0F"/>
    <w:rsid w:val="4AEB7664"/>
    <w:rsid w:val="4AFD7C19"/>
    <w:rsid w:val="4B0567D1"/>
    <w:rsid w:val="4B236AAE"/>
    <w:rsid w:val="4B555D27"/>
    <w:rsid w:val="4B707271"/>
    <w:rsid w:val="4B9739F7"/>
    <w:rsid w:val="4B974368"/>
    <w:rsid w:val="4B9A6B21"/>
    <w:rsid w:val="4B9C1FA2"/>
    <w:rsid w:val="4BA71552"/>
    <w:rsid w:val="4BE96C25"/>
    <w:rsid w:val="4BEE2503"/>
    <w:rsid w:val="4C245A30"/>
    <w:rsid w:val="4C4B7296"/>
    <w:rsid w:val="4C5D53ED"/>
    <w:rsid w:val="4C676029"/>
    <w:rsid w:val="4CAF7256"/>
    <w:rsid w:val="4CB6685F"/>
    <w:rsid w:val="4CC367FE"/>
    <w:rsid w:val="4D077F3C"/>
    <w:rsid w:val="4D123355"/>
    <w:rsid w:val="4D213B0B"/>
    <w:rsid w:val="4D2A3B31"/>
    <w:rsid w:val="4D312C52"/>
    <w:rsid w:val="4D4B0F25"/>
    <w:rsid w:val="4D905305"/>
    <w:rsid w:val="4D964A72"/>
    <w:rsid w:val="4D9C1254"/>
    <w:rsid w:val="4DA1334D"/>
    <w:rsid w:val="4E526455"/>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2551B"/>
    <w:rsid w:val="50755E1B"/>
    <w:rsid w:val="50962ECB"/>
    <w:rsid w:val="50A42E38"/>
    <w:rsid w:val="50A4577F"/>
    <w:rsid w:val="50B73D1F"/>
    <w:rsid w:val="50BD5BC9"/>
    <w:rsid w:val="50C11EEE"/>
    <w:rsid w:val="50D73351"/>
    <w:rsid w:val="50E97CFC"/>
    <w:rsid w:val="50F1399D"/>
    <w:rsid w:val="50FA4028"/>
    <w:rsid w:val="50FE434C"/>
    <w:rsid w:val="510D65B7"/>
    <w:rsid w:val="511157AB"/>
    <w:rsid w:val="512561C9"/>
    <w:rsid w:val="5142540C"/>
    <w:rsid w:val="518832C8"/>
    <w:rsid w:val="51A0432A"/>
    <w:rsid w:val="51A86090"/>
    <w:rsid w:val="51B7396D"/>
    <w:rsid w:val="51F4743E"/>
    <w:rsid w:val="520C0436"/>
    <w:rsid w:val="522E4CC3"/>
    <w:rsid w:val="5244713B"/>
    <w:rsid w:val="52615633"/>
    <w:rsid w:val="526A04DD"/>
    <w:rsid w:val="52707BDA"/>
    <w:rsid w:val="52977FD4"/>
    <w:rsid w:val="52A25790"/>
    <w:rsid w:val="52A96B6F"/>
    <w:rsid w:val="52B45975"/>
    <w:rsid w:val="52D94AA4"/>
    <w:rsid w:val="52DC40B5"/>
    <w:rsid w:val="52EA3A62"/>
    <w:rsid w:val="52F50BB8"/>
    <w:rsid w:val="53097272"/>
    <w:rsid w:val="53544462"/>
    <w:rsid w:val="53674107"/>
    <w:rsid w:val="53676980"/>
    <w:rsid w:val="53960CB2"/>
    <w:rsid w:val="5397158E"/>
    <w:rsid w:val="53D42C20"/>
    <w:rsid w:val="54013861"/>
    <w:rsid w:val="54391CAF"/>
    <w:rsid w:val="54487265"/>
    <w:rsid w:val="544D6070"/>
    <w:rsid w:val="5455279C"/>
    <w:rsid w:val="545B4ECF"/>
    <w:rsid w:val="545E594E"/>
    <w:rsid w:val="54604504"/>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5F16964"/>
    <w:rsid w:val="55FA20BB"/>
    <w:rsid w:val="561C1BE8"/>
    <w:rsid w:val="566B6D1E"/>
    <w:rsid w:val="569E129D"/>
    <w:rsid w:val="56C76EC1"/>
    <w:rsid w:val="57032A2C"/>
    <w:rsid w:val="570F5219"/>
    <w:rsid w:val="571A09A6"/>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2409A"/>
    <w:rsid w:val="58B85899"/>
    <w:rsid w:val="58C0702C"/>
    <w:rsid w:val="58E363A9"/>
    <w:rsid w:val="59272ECB"/>
    <w:rsid w:val="59307B25"/>
    <w:rsid w:val="593A05F7"/>
    <w:rsid w:val="595E1678"/>
    <w:rsid w:val="596D5BD4"/>
    <w:rsid w:val="597E3DD8"/>
    <w:rsid w:val="59AB1AC0"/>
    <w:rsid w:val="59B31026"/>
    <w:rsid w:val="59F80043"/>
    <w:rsid w:val="5A09252F"/>
    <w:rsid w:val="5A0B2778"/>
    <w:rsid w:val="5A2A7C7B"/>
    <w:rsid w:val="5A3E2560"/>
    <w:rsid w:val="5A5D3B6E"/>
    <w:rsid w:val="5A637A76"/>
    <w:rsid w:val="5A686384"/>
    <w:rsid w:val="5A6D33BA"/>
    <w:rsid w:val="5A792B1F"/>
    <w:rsid w:val="5A874767"/>
    <w:rsid w:val="5AA85BE2"/>
    <w:rsid w:val="5AAD6F28"/>
    <w:rsid w:val="5AD63A24"/>
    <w:rsid w:val="5AE51FB6"/>
    <w:rsid w:val="5AEC4DFF"/>
    <w:rsid w:val="5B2E1A1D"/>
    <w:rsid w:val="5B843A1C"/>
    <w:rsid w:val="5B873E3F"/>
    <w:rsid w:val="5B9D1407"/>
    <w:rsid w:val="5C02690E"/>
    <w:rsid w:val="5C196DA7"/>
    <w:rsid w:val="5C225659"/>
    <w:rsid w:val="5C2A048C"/>
    <w:rsid w:val="5C35640B"/>
    <w:rsid w:val="5C7422AE"/>
    <w:rsid w:val="5C80234E"/>
    <w:rsid w:val="5C8A680C"/>
    <w:rsid w:val="5CA32C2B"/>
    <w:rsid w:val="5CE45C2B"/>
    <w:rsid w:val="5CEB387F"/>
    <w:rsid w:val="5D0C4701"/>
    <w:rsid w:val="5D0F0395"/>
    <w:rsid w:val="5D221076"/>
    <w:rsid w:val="5D397964"/>
    <w:rsid w:val="5D551783"/>
    <w:rsid w:val="5D5A391C"/>
    <w:rsid w:val="5D5F10C0"/>
    <w:rsid w:val="5D891B7B"/>
    <w:rsid w:val="5D8A5E82"/>
    <w:rsid w:val="5D930F65"/>
    <w:rsid w:val="5D945FAA"/>
    <w:rsid w:val="5DAD38EE"/>
    <w:rsid w:val="5E006862"/>
    <w:rsid w:val="5E0207B9"/>
    <w:rsid w:val="5E093CEF"/>
    <w:rsid w:val="5E1259C7"/>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CC5339"/>
    <w:rsid w:val="5FE34A5B"/>
    <w:rsid w:val="5FF569FA"/>
    <w:rsid w:val="5FFE1E36"/>
    <w:rsid w:val="60172C7B"/>
    <w:rsid w:val="60232584"/>
    <w:rsid w:val="60305BC5"/>
    <w:rsid w:val="605864BB"/>
    <w:rsid w:val="607330CE"/>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632286"/>
    <w:rsid w:val="62775066"/>
    <w:rsid w:val="62885958"/>
    <w:rsid w:val="628903DB"/>
    <w:rsid w:val="62C860CC"/>
    <w:rsid w:val="62F40B65"/>
    <w:rsid w:val="62FC2CFE"/>
    <w:rsid w:val="63024505"/>
    <w:rsid w:val="63540CCD"/>
    <w:rsid w:val="635B1DB5"/>
    <w:rsid w:val="63711FED"/>
    <w:rsid w:val="63880DDC"/>
    <w:rsid w:val="63885935"/>
    <w:rsid w:val="638D750D"/>
    <w:rsid w:val="639F201C"/>
    <w:rsid w:val="63AC52D2"/>
    <w:rsid w:val="63AC6CC0"/>
    <w:rsid w:val="63B048E8"/>
    <w:rsid w:val="64055776"/>
    <w:rsid w:val="64175397"/>
    <w:rsid w:val="64240056"/>
    <w:rsid w:val="643E143A"/>
    <w:rsid w:val="64467090"/>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F3F24"/>
    <w:rsid w:val="673E055F"/>
    <w:rsid w:val="67551CE3"/>
    <w:rsid w:val="67A22552"/>
    <w:rsid w:val="67A530AB"/>
    <w:rsid w:val="67A63540"/>
    <w:rsid w:val="67B22DCC"/>
    <w:rsid w:val="67BE71AA"/>
    <w:rsid w:val="67D90273"/>
    <w:rsid w:val="67DE5875"/>
    <w:rsid w:val="67E55852"/>
    <w:rsid w:val="67EB1AB4"/>
    <w:rsid w:val="67FA1285"/>
    <w:rsid w:val="68242523"/>
    <w:rsid w:val="68551F4F"/>
    <w:rsid w:val="685D6D2A"/>
    <w:rsid w:val="68647B92"/>
    <w:rsid w:val="687C10C9"/>
    <w:rsid w:val="68840C16"/>
    <w:rsid w:val="68876EFB"/>
    <w:rsid w:val="68884654"/>
    <w:rsid w:val="689F444F"/>
    <w:rsid w:val="68B96DBB"/>
    <w:rsid w:val="68CA2805"/>
    <w:rsid w:val="68E85AE5"/>
    <w:rsid w:val="68E937A3"/>
    <w:rsid w:val="69351A7B"/>
    <w:rsid w:val="693E15D3"/>
    <w:rsid w:val="69627681"/>
    <w:rsid w:val="6977531D"/>
    <w:rsid w:val="69B51747"/>
    <w:rsid w:val="69BD5BBB"/>
    <w:rsid w:val="69CC2BFF"/>
    <w:rsid w:val="69D327F2"/>
    <w:rsid w:val="69D54940"/>
    <w:rsid w:val="69FD14B4"/>
    <w:rsid w:val="69FD55B8"/>
    <w:rsid w:val="6A0B1C62"/>
    <w:rsid w:val="6A0C584D"/>
    <w:rsid w:val="6A0D3F4C"/>
    <w:rsid w:val="6A2406C8"/>
    <w:rsid w:val="6A4B328A"/>
    <w:rsid w:val="6A4B36BE"/>
    <w:rsid w:val="6A8F2B46"/>
    <w:rsid w:val="6AB20DE6"/>
    <w:rsid w:val="6ABA3454"/>
    <w:rsid w:val="6ADC5EF8"/>
    <w:rsid w:val="6ADE0BD1"/>
    <w:rsid w:val="6AE2497F"/>
    <w:rsid w:val="6AE96859"/>
    <w:rsid w:val="6B147746"/>
    <w:rsid w:val="6B24787C"/>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24BDB"/>
    <w:rsid w:val="6DD41A5B"/>
    <w:rsid w:val="6DF43C2E"/>
    <w:rsid w:val="6DF51CA3"/>
    <w:rsid w:val="6E8335BD"/>
    <w:rsid w:val="6E8E12EF"/>
    <w:rsid w:val="6E9045AA"/>
    <w:rsid w:val="6E972936"/>
    <w:rsid w:val="6EB74327"/>
    <w:rsid w:val="6EC91D52"/>
    <w:rsid w:val="6ED446C5"/>
    <w:rsid w:val="6F184A18"/>
    <w:rsid w:val="6F2A7D94"/>
    <w:rsid w:val="6F802313"/>
    <w:rsid w:val="6F8331F1"/>
    <w:rsid w:val="6FAE1A09"/>
    <w:rsid w:val="6FD75BF8"/>
    <w:rsid w:val="6FEF3B3E"/>
    <w:rsid w:val="707723D0"/>
    <w:rsid w:val="70DB77AC"/>
    <w:rsid w:val="70F5661B"/>
    <w:rsid w:val="70FF0D7D"/>
    <w:rsid w:val="71360107"/>
    <w:rsid w:val="713B688E"/>
    <w:rsid w:val="71575908"/>
    <w:rsid w:val="7167149E"/>
    <w:rsid w:val="7183561A"/>
    <w:rsid w:val="71BE6408"/>
    <w:rsid w:val="71D43752"/>
    <w:rsid w:val="71D7083C"/>
    <w:rsid w:val="71E8414B"/>
    <w:rsid w:val="71F1796A"/>
    <w:rsid w:val="720846CC"/>
    <w:rsid w:val="72154626"/>
    <w:rsid w:val="72202699"/>
    <w:rsid w:val="72262B5D"/>
    <w:rsid w:val="72283FF7"/>
    <w:rsid w:val="722E7212"/>
    <w:rsid w:val="723A0474"/>
    <w:rsid w:val="72531F1A"/>
    <w:rsid w:val="725923E4"/>
    <w:rsid w:val="72681F93"/>
    <w:rsid w:val="72864BF7"/>
    <w:rsid w:val="729023FC"/>
    <w:rsid w:val="733470C6"/>
    <w:rsid w:val="73533CC2"/>
    <w:rsid w:val="73C0646E"/>
    <w:rsid w:val="742222F5"/>
    <w:rsid w:val="742348D0"/>
    <w:rsid w:val="74476126"/>
    <w:rsid w:val="745E5F99"/>
    <w:rsid w:val="74624977"/>
    <w:rsid w:val="74694588"/>
    <w:rsid w:val="74706664"/>
    <w:rsid w:val="7475702A"/>
    <w:rsid w:val="747F3682"/>
    <w:rsid w:val="749C4185"/>
    <w:rsid w:val="74A73931"/>
    <w:rsid w:val="74BE006A"/>
    <w:rsid w:val="74EB0BAE"/>
    <w:rsid w:val="75067759"/>
    <w:rsid w:val="752E6DCD"/>
    <w:rsid w:val="7551380D"/>
    <w:rsid w:val="75600BE5"/>
    <w:rsid w:val="7564475C"/>
    <w:rsid w:val="75834A5C"/>
    <w:rsid w:val="7583797F"/>
    <w:rsid w:val="759E2239"/>
    <w:rsid w:val="75D20F1D"/>
    <w:rsid w:val="75DA2C18"/>
    <w:rsid w:val="75F54412"/>
    <w:rsid w:val="761969BC"/>
    <w:rsid w:val="761D08E0"/>
    <w:rsid w:val="76374196"/>
    <w:rsid w:val="76400B70"/>
    <w:rsid w:val="765D347C"/>
    <w:rsid w:val="76826699"/>
    <w:rsid w:val="76C87133"/>
    <w:rsid w:val="76CD08D5"/>
    <w:rsid w:val="76DB4B92"/>
    <w:rsid w:val="76E55F22"/>
    <w:rsid w:val="76FF4961"/>
    <w:rsid w:val="77052AA4"/>
    <w:rsid w:val="77136511"/>
    <w:rsid w:val="77340A39"/>
    <w:rsid w:val="77351FD0"/>
    <w:rsid w:val="77472422"/>
    <w:rsid w:val="777F31F2"/>
    <w:rsid w:val="77BC4C63"/>
    <w:rsid w:val="77D1700D"/>
    <w:rsid w:val="77E4568D"/>
    <w:rsid w:val="77EC04CC"/>
    <w:rsid w:val="78006A23"/>
    <w:rsid w:val="78140026"/>
    <w:rsid w:val="781B5927"/>
    <w:rsid w:val="784B4D4F"/>
    <w:rsid w:val="78775729"/>
    <w:rsid w:val="78A42DB0"/>
    <w:rsid w:val="78A656AB"/>
    <w:rsid w:val="78B2245C"/>
    <w:rsid w:val="78D830FC"/>
    <w:rsid w:val="78E172CC"/>
    <w:rsid w:val="78EA1D1F"/>
    <w:rsid w:val="7904172F"/>
    <w:rsid w:val="79062AD2"/>
    <w:rsid w:val="790F7E27"/>
    <w:rsid w:val="792A231A"/>
    <w:rsid w:val="79316829"/>
    <w:rsid w:val="79342ECD"/>
    <w:rsid w:val="79404FE3"/>
    <w:rsid w:val="797C7409"/>
    <w:rsid w:val="797E66A9"/>
    <w:rsid w:val="7994526A"/>
    <w:rsid w:val="79A97383"/>
    <w:rsid w:val="79E27E8B"/>
    <w:rsid w:val="79E961DE"/>
    <w:rsid w:val="79F850CE"/>
    <w:rsid w:val="79FC52E4"/>
    <w:rsid w:val="79FD443C"/>
    <w:rsid w:val="7A1D1975"/>
    <w:rsid w:val="7A3902E6"/>
    <w:rsid w:val="7A3E5150"/>
    <w:rsid w:val="7A4670D6"/>
    <w:rsid w:val="7A534B63"/>
    <w:rsid w:val="7A615382"/>
    <w:rsid w:val="7A653600"/>
    <w:rsid w:val="7A67303B"/>
    <w:rsid w:val="7AAB1D04"/>
    <w:rsid w:val="7ABA4368"/>
    <w:rsid w:val="7AD05746"/>
    <w:rsid w:val="7AEC549C"/>
    <w:rsid w:val="7AF15C81"/>
    <w:rsid w:val="7B226FCC"/>
    <w:rsid w:val="7B257FFD"/>
    <w:rsid w:val="7B343476"/>
    <w:rsid w:val="7B5A2978"/>
    <w:rsid w:val="7B5A7E4C"/>
    <w:rsid w:val="7B667AF9"/>
    <w:rsid w:val="7B7468F8"/>
    <w:rsid w:val="7BD10E19"/>
    <w:rsid w:val="7BE64CF7"/>
    <w:rsid w:val="7BEE0103"/>
    <w:rsid w:val="7C0A0FE4"/>
    <w:rsid w:val="7C254906"/>
    <w:rsid w:val="7C5022FF"/>
    <w:rsid w:val="7C590818"/>
    <w:rsid w:val="7C6E0182"/>
    <w:rsid w:val="7C7C10F6"/>
    <w:rsid w:val="7C7E090C"/>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BC6AFC"/>
    <w:rsid w:val="7EF259CC"/>
    <w:rsid w:val="7EF56FBB"/>
    <w:rsid w:val="7EFC38CE"/>
    <w:rsid w:val="7F067E4D"/>
    <w:rsid w:val="7F0768EB"/>
    <w:rsid w:val="7F143BEC"/>
    <w:rsid w:val="7F5050ED"/>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29"/>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4"/>
    <w:qFormat/>
    <w:uiPriority w:val="0"/>
    <w:pPr>
      <w:ind w:firstLine="420"/>
    </w:pPr>
    <w:rPr>
      <w:rFonts w:hAnsi="Calibri" w:cs="Times New Roman"/>
      <w:snapToGrid/>
      <w:szCs w:val="20"/>
    </w:rPr>
  </w:style>
  <w:style w:type="paragraph" w:styleId="27">
    <w:name w:val="Body Text Indent"/>
    <w:basedOn w:val="1"/>
    <w:next w:val="17"/>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0"/>
    <w:qFormat/>
    <w:uiPriority w:val="0"/>
    <w:rPr>
      <w:b/>
      <w:bCs/>
    </w:rPr>
  </w:style>
  <w:style w:type="paragraph" w:styleId="62">
    <w:name w:val="Body Text First Indent 2"/>
    <w:basedOn w:val="27"/>
    <w:next w:val="1"/>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1">
    <w:name w:val="Default"/>
    <w:next w:val="82"/>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3">
    <w:name w:val="[Normal]"/>
    <w:qFormat/>
    <w:uiPriority w:val="0"/>
    <w:rPr>
      <w:rFonts w:ascii="宋体" w:hAnsi="宋体" w:eastAsia="宋体" w:cs="Times New Roman"/>
      <w:sz w:val="24"/>
      <w:lang w:val="zh-CN" w:eastAsia="zh-CN" w:bidi="ar-SA"/>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文本首行缩进 21"/>
    <w:basedOn w:val="27"/>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2"/>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7"/>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2"/>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1"/>
    <w:qFormat/>
    <w:uiPriority w:val="0"/>
    <w:rPr>
      <w:rFonts w:ascii="仿宋_GB2312" w:eastAsia="仿宋_GB2312" w:cs="仿宋_GB2312"/>
      <w:color w:val="000000"/>
      <w:sz w:val="24"/>
      <w:szCs w:val="24"/>
      <w:lang w:val="en-US" w:eastAsia="zh-CN" w:bidi="ar-SA"/>
    </w:rPr>
  </w:style>
  <w:style w:type="paragraph" w:customStyle="1" w:styleId="2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4"/>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0"/>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8"/>
    <w:qFormat/>
    <w:uiPriority w:val="0"/>
    <w:rPr>
      <w:rFonts w:ascii="黑体" w:hAnsi="Courier New" w:eastAsia="黑体"/>
    </w:rPr>
  </w:style>
  <w:style w:type="character" w:customStyle="1" w:styleId="305">
    <w:name w:val="正文文本 2 Char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38"/>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6"/>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0"/>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next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1"/>
    <w:next w:val="81"/>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1"/>
    <w:next w:val="81"/>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4"/>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spacing w:line="391" w:lineRule="auto"/>
      <w:ind w:firstLine="400"/>
    </w:pPr>
    <w:rPr>
      <w:rFonts w:ascii="宋体" w:hAnsi="宋体" w:cs="宋体"/>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1">
    <w:name w:val="Char13"/>
    <w:basedOn w:val="1"/>
    <w:qFormat/>
    <w:uiPriority w:val="0"/>
    <w:pPr>
      <w:tabs>
        <w:tab w:val="left" w:pos="432"/>
      </w:tabs>
      <w:adjustRightInd/>
      <w:ind w:left="432" w:hanging="432"/>
    </w:pPr>
    <w:rPr>
      <w:rFonts w:ascii="Tahoma" w:hAnsi="Tahoma"/>
      <w:sz w:val="24"/>
      <w:szCs w:val="20"/>
    </w:rPr>
  </w:style>
  <w:style w:type="paragraph" w:customStyle="1" w:styleId="972">
    <w:name w:val="列出段落6"/>
    <w:basedOn w:val="1"/>
    <w:qFormat/>
    <w:uiPriority w:val="0"/>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F993C-DDE5-4D60-83FB-766D114F85C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45</Pages>
  <Words>18750</Words>
  <Characters>19839</Characters>
  <Lines>158</Lines>
  <Paragraphs>44</Paragraphs>
  <TotalTime>0</TotalTime>
  <ScaleCrop>false</ScaleCrop>
  <LinksUpToDate>false</LinksUpToDate>
  <CharactersWithSpaces>23289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2024-06-18T06:02:47Z</dcterms:modified>
  <dc:title>杭州市市民卡扩大发卡工程</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9B35D9495C18473DB75C54254E2074DA_13</vt:lpwstr>
  </property>
  <property fmtid="{D5CDD505-2E9C-101B-9397-08002B2CF9AE}" pid="5" name="commondata">
    <vt:lpwstr>eyJoZGlkIjoiMzdkYTNjODAzOWEyZTBjZWI2OWE0Y2U2MTNhOGNiNmUifQ==</vt:lpwstr>
  </property>
</Properties>
</file>