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72"/>
        <w:spacing w:line="760" w:lineRule="exact"/>
        <w:rPr>
          <w:rFonts w:ascii="宋体" w:eastAsia="宋体"/>
          <w:color w:val="auto"/>
          <w:sz w:val="72"/>
          <w:szCs w:val="72"/>
          <w:highlight w:val="none"/>
        </w:rPr>
      </w:pPr>
    </w:p>
    <w:p>
      <w:pPr>
        <w:jc w:val="center"/>
        <w:rPr>
          <w:rFonts w:hint="default"/>
          <w:b/>
          <w:bCs/>
          <w:color w:val="auto"/>
          <w:sz w:val="44"/>
          <w:szCs w:val="44"/>
          <w:highlight w:val="none"/>
          <w:lang w:val="en-US" w:eastAsia="zh-CN"/>
        </w:rPr>
      </w:pPr>
      <w:r>
        <w:rPr>
          <w:rFonts w:hint="eastAsia"/>
          <w:b/>
          <w:bCs/>
          <w:color w:val="auto"/>
          <w:sz w:val="44"/>
          <w:szCs w:val="44"/>
          <w:highlight w:val="none"/>
          <w:lang w:val="en-US" w:eastAsia="zh-CN"/>
        </w:rPr>
        <w:t>杭州萧山环城建设开发有限公司2024年度选址论证服务采购项目</w:t>
      </w: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hint="eastAsia"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pPr>
        <w:adjustRightInd/>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（电子交易）</w:t>
      </w:r>
    </w:p>
    <w:p>
      <w:pPr>
        <w:snapToGrid w:val="0"/>
        <w:spacing w:line="360" w:lineRule="auto"/>
        <w:jc w:val="center"/>
        <w:rPr>
          <w:rFonts w:ascii="宋体" w:hAnsi="宋体" w:cs="宋体"/>
          <w:b/>
          <w:bCs/>
          <w:color w:val="auto"/>
          <w:sz w:val="30"/>
          <w:szCs w:val="30"/>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交易编号：HC2024-001</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lang w:eastAsia="zh-CN"/>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9"/>
        <w:rPr>
          <w:rFonts w:cs="宋体"/>
          <w:color w:val="auto"/>
          <w:highlight w:val="none"/>
        </w:rPr>
      </w:pPr>
    </w:p>
    <w:p>
      <w:pPr>
        <w:spacing w:line="360" w:lineRule="auto"/>
        <w:rPr>
          <w:rFonts w:hint="eastAsia" w:ascii="宋体" w:hAnsi="宋体" w:cs="宋体"/>
          <w:b/>
          <w:color w:val="auto"/>
          <w:sz w:val="32"/>
          <w:szCs w:val="30"/>
          <w:highlight w:val="none"/>
        </w:rPr>
      </w:pPr>
    </w:p>
    <w:p>
      <w:pPr>
        <w:spacing w:line="360" w:lineRule="auto"/>
        <w:ind w:firstLine="964" w:firstLineChars="300"/>
        <w:rPr>
          <w:rFonts w:hint="eastAsia" w:ascii="宋体" w:hAnsi="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pacing w:val="34"/>
          <w:sz w:val="32"/>
          <w:szCs w:val="30"/>
          <w:highlight w:val="none"/>
          <w:lang w:eastAsia="zh-CN"/>
        </w:rPr>
        <w:t>杭州萧山环城建设开发有限公司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十二</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pStyle w:val="37"/>
        <w:rPr>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eastAsia="宋体" w:cs="宋体"/>
          <w:bCs/>
          <w:color w:val="auto"/>
          <w:sz w:val="24"/>
          <w:highlight w:val="none"/>
          <w:lang w:eastAsia="zh-CN"/>
        </w:rPr>
        <w:t>HC2024-001</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Cs/>
          <w:color w:val="auto"/>
          <w:sz w:val="24"/>
          <w:highlight w:val="none"/>
          <w:lang w:eastAsia="zh-CN"/>
        </w:rPr>
        <w:t>杭州萧山环城建设开发有限公司2024年度选址论证服务采购项目</w:t>
      </w:r>
    </w:p>
    <w:p>
      <w:pPr>
        <w:spacing w:line="360" w:lineRule="auto"/>
        <w:ind w:firstLine="482" w:firstLineChars="200"/>
        <w:rPr>
          <w:rFonts w:hint="default" w:ascii="宋体" w:hAnsi="宋体" w:cs="宋体"/>
          <w:bCs/>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Cs/>
          <w:color w:val="auto"/>
          <w:sz w:val="24"/>
          <w:highlight w:val="none"/>
          <w:lang w:val="en-US" w:eastAsia="zh-CN"/>
        </w:rPr>
        <w:t>950000.00元</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eastAsia="宋体" w:cs="宋体"/>
          <w:bCs/>
          <w:color w:val="auto"/>
          <w:sz w:val="24"/>
          <w:highlight w:val="none"/>
          <w:lang w:val="en-US" w:eastAsia="zh-CN"/>
        </w:rPr>
        <w:t>5公顷（含）/</w:t>
      </w:r>
      <w:bookmarkStart w:id="383" w:name="_GoBack"/>
      <w:r>
        <w:rPr>
          <w:rFonts w:hint="eastAsia" w:ascii="宋体" w:hAnsi="宋体" w:eastAsia="宋体" w:cs="宋体"/>
          <w:bCs/>
          <w:color w:val="auto"/>
          <w:sz w:val="24"/>
          <w:highlight w:val="none"/>
          <w:lang w:val="en-US" w:eastAsia="zh-CN"/>
        </w:rPr>
        <w:t>宗</w:t>
      </w:r>
      <w:bookmarkEnd w:id="383"/>
      <w:r>
        <w:rPr>
          <w:rFonts w:hint="eastAsia" w:ascii="宋体" w:hAnsi="宋体" w:eastAsia="宋体" w:cs="宋体"/>
          <w:bCs/>
          <w:color w:val="auto"/>
          <w:sz w:val="24"/>
          <w:highlight w:val="none"/>
          <w:lang w:val="en-US" w:eastAsia="zh-CN"/>
        </w:rPr>
        <w:t>以下地块：</w:t>
      </w:r>
      <w:r>
        <w:rPr>
          <w:rFonts w:hint="eastAsia" w:ascii="宋体" w:hAnsi="宋体" w:cs="宋体"/>
          <w:bCs/>
          <w:color w:val="auto"/>
          <w:sz w:val="24"/>
          <w:highlight w:val="none"/>
          <w:lang w:val="en-US" w:eastAsia="zh-CN"/>
        </w:rPr>
        <w:t>100000.00</w:t>
      </w:r>
      <w:r>
        <w:rPr>
          <w:rFonts w:hint="eastAsia" w:ascii="宋体" w:hAnsi="宋体" w:eastAsia="宋体" w:cs="宋体"/>
          <w:bCs/>
          <w:color w:val="auto"/>
          <w:sz w:val="24"/>
          <w:highlight w:val="none"/>
          <w:lang w:val="en-US" w:eastAsia="zh-CN"/>
        </w:rPr>
        <w:t>元/宗；5公顷/宗以上地块：</w:t>
      </w:r>
      <w:r>
        <w:rPr>
          <w:rFonts w:hint="eastAsia" w:ascii="宋体" w:hAnsi="宋体" w:cs="宋体"/>
          <w:bCs/>
          <w:color w:val="auto"/>
          <w:sz w:val="24"/>
          <w:highlight w:val="none"/>
          <w:lang w:val="en-US" w:eastAsia="zh-CN"/>
        </w:rPr>
        <w:t>120000.00</w:t>
      </w:r>
      <w:r>
        <w:rPr>
          <w:rFonts w:hint="eastAsia" w:ascii="宋体" w:hAnsi="宋体" w:eastAsia="宋体" w:cs="宋体"/>
          <w:bCs/>
          <w:color w:val="auto"/>
          <w:sz w:val="24"/>
          <w:highlight w:val="none"/>
          <w:lang w:val="en-US" w:eastAsia="zh-CN"/>
        </w:rPr>
        <w:t>元/宗</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交易需求：</w:t>
      </w:r>
      <w:r>
        <w:rPr>
          <w:rFonts w:hint="eastAsia" w:ascii="宋体" w:hAnsi="宋体" w:cs="宋体"/>
          <w:bCs/>
          <w:color w:val="auto"/>
          <w:sz w:val="24"/>
          <w:highlight w:val="none"/>
          <w:lang w:eastAsia="zh-CN"/>
        </w:rPr>
        <w:t>2024年度选址论证服务，</w:t>
      </w:r>
      <w:r>
        <w:rPr>
          <w:rFonts w:hint="eastAsia" w:ascii="宋体" w:hAnsi="宋体" w:cs="宋体"/>
          <w:bCs/>
          <w:color w:val="auto"/>
          <w:sz w:val="24"/>
          <w:highlight w:val="none"/>
          <w:lang w:val="en-US" w:eastAsia="zh-CN"/>
        </w:rPr>
        <w:t>1年，</w:t>
      </w:r>
      <w:r>
        <w:rPr>
          <w:rFonts w:hint="eastAsia" w:ascii="宋体" w:hAnsi="宋体" w:cs="宋体"/>
          <w:color w:val="auto"/>
          <w:sz w:val="24"/>
          <w:highlight w:val="none"/>
        </w:rPr>
        <w:t>详见交易需求。</w:t>
      </w:r>
    </w:p>
    <w:p>
      <w:pPr>
        <w:pStyle w:val="16"/>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2"/>
        <w:ind w:firstLine="480" w:firstLineChars="200"/>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eastAsia="zh-CN"/>
        </w:rPr>
        <w:t>响应人</w:t>
      </w:r>
      <w:r>
        <w:rPr>
          <w:rFonts w:hint="eastAsia" w:hAnsi="宋体" w:cs="宋体"/>
          <w:color w:val="auto"/>
          <w:highlight w:val="none"/>
        </w:rPr>
        <w:t>具有城市规划行政主管部门颁发的城市规划编制单位乙级及以上资质证书（浙江省外的企业需取得有效的浙江省行业主管部门备案的“外省企业进入浙江省承接业务等级备案证明”）</w:t>
      </w:r>
      <w:r>
        <w:rPr>
          <w:rFonts w:hint="eastAsia" w:hAnsi="宋体" w:cs="宋体"/>
          <w:color w:val="auto"/>
          <w:highlight w:val="none"/>
          <w:lang w:eastAsia="zh-CN"/>
        </w:rPr>
        <w:t>；</w:t>
      </w:r>
    </w:p>
    <w:p>
      <w:pPr>
        <w:pStyle w:val="62"/>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b/>
          <w:color w:val="auto"/>
          <w:sz w:val="24"/>
          <w:highlight w:val="none"/>
          <w:lang w:eastAsia="zh-CN"/>
        </w:rPr>
        <w:t>：</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平台https://www.zcygov.cn/在线申请获取公开竞争文件（进入“项目采购”应用，在获取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菜单中选择项目，申请获取公开竞争文件）</w:t>
      </w:r>
      <w:r>
        <w:rPr>
          <w:rFonts w:hint="eastAsia" w:ascii="宋体" w:hAnsi="宋体" w:cs="宋体"/>
          <w:color w:val="auto"/>
          <w:sz w:val="24"/>
          <w:highlight w:val="none"/>
          <w:lang w:eastAsia="zh-CN"/>
        </w:rPr>
        <w:t>。</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”----前往“浙江政府采购网-下载专区-电子交易客户端”进行下载并安装；③公开竞争文件的获取：使用账号登录或者使用CA登录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菜单中选择项目，获取公开竞争文件；④响应文件的制作：在“</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平台”上传递交的响应文件无法按时解密，视为响应文件撤回；⑩具体操作指南：详见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杭州萧山环城建设开发有限公司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地址：杭州市萧山区北干街道金城路1038号水务大厦C座</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王柠昊</w:t>
      </w:r>
    </w:p>
    <w:p>
      <w:pPr>
        <w:spacing w:line="360" w:lineRule="auto"/>
        <w:ind w:firstLine="480" w:firstLineChars="200"/>
        <w:jc w:val="left"/>
        <w:rPr>
          <w:rFonts w:hint="default" w:ascii="宋体" w:hAnsi="宋体" w:cs="宋体"/>
          <w:color w:val="auto"/>
          <w:sz w:val="24"/>
          <w:szCs w:val="28"/>
          <w:highlight w:val="none"/>
          <w:lang w:val="en-US"/>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0571-82767037</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（https://www.zcygov.cn/），点击右侧咨询小采，获取采小蜜智能服务管家帮助，或拨打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交易发起人</w:t>
            </w:r>
            <w:r>
              <w:rPr>
                <w:rFonts w:hint="eastAsia" w:ascii="宋体" w:hAnsi="宋体" w:cs="宋体"/>
                <w:bCs/>
                <w:color w:val="auto"/>
                <w:sz w:val="24"/>
                <w:highlight w:val="none"/>
                <w:lang w:eastAsia="zh-CN"/>
              </w:rPr>
              <w:t>不组织踏勘现场。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highlight w:val="none"/>
              </w:rPr>
            </w:pPr>
            <w:r>
              <w:rPr>
                <w:rFonts w:hint="eastAsia" w:ascii="宋体" w:hAnsi="宋体" w:cs="宋体"/>
                <w:b/>
                <w:bCs/>
                <w:color w:val="auto"/>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w:t>
            </w:r>
            <w:r>
              <w:rPr>
                <w:rFonts w:hint="eastAsia" w:hAnsi="宋体" w:cs="宋体"/>
                <w:b/>
                <w:color w:val="auto"/>
                <w:sz w:val="24"/>
                <w:highlight w:val="none"/>
                <w:lang w:val="en-US" w:eastAsia="zh-CN"/>
              </w:rPr>
              <w:t>二</w:t>
            </w:r>
            <w:r>
              <w:rPr>
                <w:rFonts w:hint="eastAsia" w:hAnsi="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left"/>
              <w:rPr>
                <w:rFonts w:ascii="宋体" w:hAnsi="宋体" w:cs="宋体"/>
                <w:bCs/>
                <w:color w:val="auto"/>
                <w:kern w:val="0"/>
                <w:sz w:val="24"/>
                <w:highlight w:val="none"/>
              </w:rPr>
            </w:pPr>
            <w:r>
              <w:rPr>
                <w:rFonts w:hint="eastAsia" w:ascii="宋体" w:hAnsi="宋体" w:eastAsia="宋体" w:cs="宋体"/>
                <w:color w:val="auto"/>
                <w:kern w:val="28"/>
                <w:sz w:val="24"/>
                <w:highlight w:val="none"/>
              </w:rPr>
              <w:t>本项目采购代理费</w:t>
            </w:r>
            <w:r>
              <w:rPr>
                <w:rFonts w:hint="eastAsia" w:ascii="宋体" w:hAnsi="宋体" w:eastAsia="宋体" w:cs="宋体"/>
                <w:color w:val="auto"/>
                <w:kern w:val="28"/>
                <w:sz w:val="24"/>
                <w:highlight w:val="none"/>
                <w:lang w:val="en-US" w:eastAsia="zh-CN"/>
              </w:rPr>
              <w:t>由</w:t>
            </w:r>
            <w:r>
              <w:rPr>
                <w:rFonts w:hint="eastAsia" w:ascii="宋体" w:hAnsi="宋体" w:cs="宋体"/>
                <w:color w:val="auto"/>
                <w:kern w:val="28"/>
                <w:sz w:val="24"/>
                <w:highlight w:val="none"/>
                <w:lang w:val="en-US" w:eastAsia="zh-CN"/>
              </w:rPr>
              <w:t>交易发起人</w:t>
            </w:r>
            <w:r>
              <w:rPr>
                <w:rFonts w:hint="eastAsia" w:ascii="宋体" w:hAnsi="宋体" w:eastAsia="宋体" w:cs="宋体"/>
                <w:color w:val="auto"/>
                <w:kern w:val="28"/>
                <w:sz w:val="24"/>
                <w:highlight w:val="none"/>
                <w:lang w:val="en-US" w:eastAsia="zh-CN"/>
              </w:rPr>
              <w:t>支付</w:t>
            </w:r>
            <w:r>
              <w:rPr>
                <w:rFonts w:hint="eastAsia" w:ascii="宋体" w:hAnsi="宋体" w:cs="宋体"/>
                <w:color w:val="auto"/>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bCs/>
                <w:color w:val="auto"/>
                <w:kern w:val="0"/>
                <w:sz w:val="24"/>
                <w:highlight w:val="none"/>
              </w:rPr>
            </w:pPr>
            <w:r>
              <w:rPr>
                <w:rFonts w:hint="eastAsia" w:hAnsi="宋体" w:cs="宋体"/>
                <w:snapToGrid/>
                <w:color w:val="auto"/>
                <w:sz w:val="24"/>
                <w:szCs w:val="24"/>
                <w:highlight w:val="none"/>
                <w:lang w:val="en-US" w:eastAsia="zh-CN"/>
              </w:rPr>
              <w:t>预算金额的</w:t>
            </w:r>
            <w:r>
              <w:rPr>
                <w:rFonts w:hint="eastAsia" w:hAnsi="宋体" w:cs="宋体"/>
                <w:b w:val="0"/>
                <w:bCs w:val="0"/>
                <w:snapToGrid/>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default" w:hAnsi="宋体" w:cs="宋体"/>
                <w:snapToGrid/>
                <w:color w:val="auto"/>
                <w:sz w:val="24"/>
                <w:szCs w:val="24"/>
                <w:highlight w:val="none"/>
                <w:lang w:val="en-US"/>
              </w:rPr>
            </w:pPr>
            <w:r>
              <w:rPr>
                <w:rFonts w:hint="eastAsia" w:hAnsi="宋体" w:cs="宋体"/>
                <w:b w:val="0"/>
                <w:bCs/>
                <w:color w:val="auto"/>
                <w:sz w:val="24"/>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8</w:t>
            </w:r>
          </w:p>
          <w:p>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3"/>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3"/>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40"/>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3"/>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6"/>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w:t>
      </w:r>
      <w:r>
        <w:rPr>
          <w:rFonts w:hint="eastAsia" w:ascii="宋体" w:hAnsi="宋体" w:cs="宋体"/>
          <w:color w:val="auto"/>
          <w:highlight w:val="none"/>
        </w:rPr>
        <w:t>平台”的身份认证，确保在电子投标过程中能够对相关数据电文进行加密和使用电子签名。</w:t>
      </w:r>
    </w:p>
    <w:p>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3"/>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3"/>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5"/>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0"/>
        <w:spacing w:before="0" w:line="460" w:lineRule="exact"/>
        <w:ind w:firstLine="643"/>
        <w:rPr>
          <w:rFonts w:ascii="宋体" w:hAnsi="宋体" w:cs="宋体"/>
          <w:b/>
          <w:color w:val="auto"/>
          <w:sz w:val="32"/>
          <w:highlight w:val="none"/>
        </w:rPr>
      </w:pPr>
    </w:p>
    <w:p>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5"/>
        <w:spacing w:line="460" w:lineRule="exact"/>
        <w:ind w:left="479" w:hanging="479" w:hangingChars="199"/>
        <w:rPr>
          <w:rFonts w:cs="宋体"/>
          <w:b/>
          <w:color w:val="auto"/>
          <w:highlight w:val="none"/>
        </w:rPr>
      </w:pPr>
      <w:r>
        <w:rPr>
          <w:rFonts w:hint="eastAsia" w:cs="宋体"/>
          <w:b/>
          <w:color w:val="auto"/>
          <w:highlight w:val="none"/>
        </w:rPr>
        <w:t>18、资格审查</w:t>
      </w:r>
    </w:p>
    <w:p>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40"/>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b w:val="0"/>
          <w:bCs/>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5"/>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5"/>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5"/>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snapToGrid/>
          <w:color w:val="auto"/>
          <w:sz w:val="24"/>
          <w:szCs w:val="24"/>
          <w:highlight w:val="none"/>
          <w:lang w:val="en-US" w:eastAsia="zh-CN"/>
        </w:rPr>
        <w:t>详见前附表</w:t>
      </w:r>
      <w:r>
        <w:rPr>
          <w:rFonts w:hint="eastAsia" w:hAnsi="宋体" w:cs="宋体"/>
          <w:b w:val="0"/>
          <w:bCs w:val="0"/>
          <w:snapToGrid/>
          <w:color w:val="auto"/>
          <w:sz w:val="24"/>
          <w:szCs w:val="24"/>
          <w:highlight w:val="none"/>
        </w:rPr>
        <w:t>。</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0"/>
        </w:numPr>
        <w:spacing w:line="360" w:lineRule="auto"/>
        <w:ind w:left="0" w:leftChars="0" w:firstLine="0" w:firstLineChars="0"/>
        <w:jc w:val="center"/>
        <w:rPr>
          <w:rFonts w:ascii="宋体" w:hAnsi="宋体" w:cs="宋体"/>
          <w:b/>
          <w:color w:val="auto"/>
          <w:sz w:val="28"/>
          <w:szCs w:val="28"/>
          <w:highlight w:val="none"/>
        </w:rPr>
      </w:pPr>
      <w:r>
        <w:rPr>
          <w:rFonts w:ascii="宋体" w:hAnsi="宋体" w:eastAsia="宋体" w:cs="宋体"/>
          <w:b/>
          <w:color w:val="auto"/>
          <w:kern w:val="2"/>
          <w:sz w:val="28"/>
          <w:szCs w:val="28"/>
          <w:highlight w:val="none"/>
          <w:lang w:val="en-US" w:eastAsia="zh-CN" w:bidi="ar-SA"/>
        </w:rPr>
        <w:t>一、</w:t>
      </w:r>
      <w:r>
        <w:rPr>
          <w:rFonts w:hint="eastAsia" w:ascii="宋体" w:hAnsi="宋体" w:cs="宋体"/>
          <w:b/>
          <w:color w:val="auto"/>
          <w:sz w:val="28"/>
          <w:szCs w:val="28"/>
          <w:highlight w:val="none"/>
        </w:rPr>
        <w:t>交易一览表</w:t>
      </w:r>
    </w:p>
    <w:p>
      <w:pPr>
        <w:spacing w:after="120"/>
        <w:rPr>
          <w:rFonts w:ascii="宋体" w:hAnsi="宋体" w:cs="宋体"/>
          <w:color w:val="auto"/>
          <w:highlight w:val="none"/>
        </w:rPr>
      </w:pPr>
      <w:r>
        <w:rPr>
          <w:rFonts w:hint="eastAsia" w:ascii="宋体" w:hAnsi="宋体" w:cs="宋体"/>
          <w:color w:val="auto"/>
          <w:sz w:val="24"/>
          <w:highlight w:val="none"/>
        </w:rPr>
        <w:t>标项：1</w:t>
      </w:r>
    </w:p>
    <w:tbl>
      <w:tblPr>
        <w:tblStyle w:val="64"/>
        <w:tblW w:w="9049" w:type="dxa"/>
        <w:jc w:val="center"/>
        <w:tblLayout w:type="fixed"/>
        <w:tblCellMar>
          <w:top w:w="0" w:type="dxa"/>
          <w:left w:w="0" w:type="dxa"/>
          <w:bottom w:w="0" w:type="dxa"/>
          <w:right w:w="0" w:type="dxa"/>
        </w:tblCellMar>
      </w:tblPr>
      <w:tblGrid>
        <w:gridCol w:w="765"/>
        <w:gridCol w:w="3313"/>
        <w:gridCol w:w="1942"/>
        <w:gridCol w:w="960"/>
        <w:gridCol w:w="960"/>
        <w:gridCol w:w="1109"/>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杭州萧山环城建设开发有限公司</w:t>
            </w:r>
            <w:r>
              <w:rPr>
                <w:rFonts w:hint="eastAsia" w:ascii="宋体" w:hAnsi="宋体" w:cs="宋体"/>
                <w:color w:val="auto"/>
                <w:sz w:val="24"/>
                <w:highlight w:val="none"/>
                <w:lang w:val="en-US" w:eastAsia="zh-CN"/>
              </w:rPr>
              <w:t>2024年度选址论证服务</w:t>
            </w:r>
            <w:r>
              <w:rPr>
                <w:rFonts w:hint="eastAsia" w:ascii="宋体" w:hAnsi="宋体" w:eastAsia="宋体" w:cs="宋体"/>
                <w:color w:val="auto"/>
                <w:sz w:val="24"/>
                <w:highlight w:val="none"/>
                <w:lang w:val="en-US" w:eastAsia="zh-CN"/>
              </w:rPr>
              <w:t>采购项目</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注：1、本项目预算金额：</w:t>
      </w:r>
      <w:r>
        <w:rPr>
          <w:rFonts w:hint="eastAsia" w:hAnsi="宋体" w:cs="宋体"/>
          <w:color w:val="auto"/>
          <w:sz w:val="24"/>
          <w:szCs w:val="24"/>
          <w:highlight w:val="none"/>
          <w:lang w:val="en-US" w:eastAsia="zh-CN"/>
        </w:rPr>
        <w:t>950000.00</w:t>
      </w:r>
      <w:r>
        <w:rPr>
          <w:rFonts w:hint="eastAsia" w:ascii="宋体" w:hAnsi="宋体" w:eastAsia="宋体" w:cs="宋体"/>
          <w:color w:val="auto"/>
          <w:sz w:val="24"/>
          <w:szCs w:val="24"/>
          <w:highlight w:val="none"/>
          <w:lang w:val="en-US" w:eastAsia="zh-CN"/>
        </w:rPr>
        <w:t>元。</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▲2、本项目按单价报价，根据具体单个项目进行结算，规划地块用地面积5公顷</w:t>
      </w:r>
      <w:r>
        <w:rPr>
          <w:rFonts w:hint="eastAsia"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宗</w:t>
      </w:r>
      <w:r>
        <w:rPr>
          <w:rFonts w:hint="eastAsia" w:ascii="宋体" w:hAnsi="宋体" w:eastAsia="宋体" w:cs="宋体"/>
          <w:color w:val="auto"/>
          <w:sz w:val="24"/>
          <w:szCs w:val="24"/>
          <w:highlight w:val="none"/>
          <w:lang w:val="en-US" w:eastAsia="zh-CN"/>
        </w:rPr>
        <w:t>以下地块的，</w:t>
      </w:r>
      <w:r>
        <w:rPr>
          <w:rFonts w:hint="eastAsia" w:hAnsi="宋体" w:cs="宋体"/>
          <w:color w:val="auto"/>
          <w:sz w:val="24"/>
          <w:szCs w:val="24"/>
          <w:highlight w:val="none"/>
          <w:lang w:val="en-US" w:eastAsia="zh-CN"/>
        </w:rPr>
        <w:t>投标单价不超过100000.00</w:t>
      </w:r>
      <w:r>
        <w:rPr>
          <w:rFonts w:hint="eastAsia" w:ascii="宋体" w:hAnsi="宋体" w:eastAsia="宋体" w:cs="宋体"/>
          <w:color w:val="auto"/>
          <w:sz w:val="24"/>
          <w:szCs w:val="24"/>
          <w:highlight w:val="none"/>
          <w:lang w:val="en-US" w:eastAsia="zh-CN"/>
        </w:rPr>
        <w:t>元/</w:t>
      </w:r>
      <w:r>
        <w:rPr>
          <w:rFonts w:hint="eastAsia" w:hAnsi="宋体" w:cs="宋体"/>
          <w:color w:val="auto"/>
          <w:sz w:val="24"/>
          <w:szCs w:val="24"/>
          <w:highlight w:val="none"/>
          <w:lang w:val="en-US" w:eastAsia="zh-CN"/>
        </w:rPr>
        <w:t>宗；</w:t>
      </w:r>
      <w:r>
        <w:rPr>
          <w:rFonts w:hint="eastAsia" w:ascii="宋体" w:hAnsi="宋体" w:eastAsia="宋体" w:cs="宋体"/>
          <w:color w:val="auto"/>
          <w:sz w:val="24"/>
          <w:szCs w:val="24"/>
          <w:highlight w:val="none"/>
          <w:lang w:val="en-US" w:eastAsia="zh-CN"/>
        </w:rPr>
        <w:t>5公顷/宗以上地块的，</w:t>
      </w:r>
      <w:r>
        <w:rPr>
          <w:rFonts w:hint="eastAsia" w:hAnsi="宋体" w:cs="宋体"/>
          <w:color w:val="auto"/>
          <w:sz w:val="24"/>
          <w:szCs w:val="24"/>
          <w:highlight w:val="none"/>
          <w:lang w:val="en-US" w:eastAsia="zh-CN"/>
        </w:rPr>
        <w:t>投标单价不超过120000.00</w:t>
      </w:r>
      <w:r>
        <w:rPr>
          <w:rFonts w:hint="eastAsia" w:ascii="宋体" w:hAnsi="宋体" w:eastAsia="宋体" w:cs="宋体"/>
          <w:color w:val="auto"/>
          <w:sz w:val="24"/>
          <w:szCs w:val="24"/>
          <w:highlight w:val="none"/>
          <w:lang w:val="en-US" w:eastAsia="zh-CN"/>
        </w:rPr>
        <w:t>元/宗，地块按规划用地性质划分和规划道路分隔界定。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p>
    <w:p>
      <w:pPr>
        <w:numPr>
          <w:ilvl w:val="0"/>
          <w:numId w:val="0"/>
        </w:numPr>
        <w:spacing w:line="360" w:lineRule="auto"/>
        <w:ind w:left="0" w:leftChars="0" w:firstLine="0" w:firstLineChars="0"/>
        <w:jc w:val="center"/>
        <w:rPr>
          <w:rFonts w:hint="eastAsia" w:ascii="宋体" w:hAnsi="宋体" w:eastAsia="宋体" w:cs="宋体"/>
          <w:b/>
          <w:color w:val="auto"/>
          <w:kern w:val="2"/>
          <w:sz w:val="28"/>
          <w:szCs w:val="28"/>
          <w:highlight w:val="none"/>
          <w:lang w:val="en-US" w:eastAsia="zh-CN" w:bidi="ar-SA"/>
        </w:rPr>
      </w:pPr>
    </w:p>
    <w:p>
      <w:pPr>
        <w:numPr>
          <w:ilvl w:val="0"/>
          <w:numId w:val="0"/>
        </w:numPr>
        <w:spacing w:line="360" w:lineRule="auto"/>
        <w:ind w:left="0" w:leftChars="0" w:firstLine="0" w:firstLineChars="0"/>
        <w:jc w:val="center"/>
        <w:rPr>
          <w:rFonts w:hint="eastAsia" w:ascii="宋体"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cs="宋体"/>
          <w:b/>
          <w:color w:val="auto"/>
          <w:sz w:val="28"/>
          <w:szCs w:val="28"/>
          <w:highlight w:val="none"/>
        </w:rPr>
        <w:t>交易需求</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rPr>
        <w:t>1.1 交易</w:t>
      </w:r>
      <w:r>
        <w:rPr>
          <w:rFonts w:ascii="宋体" w:hAnsi="宋体" w:cs="宋体"/>
          <w:b/>
          <w:sz w:val="24"/>
          <w:szCs w:val="24"/>
        </w:rPr>
        <w:t>内容及范围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仿宋"/>
          <w:sz w:val="24"/>
          <w:szCs w:val="24"/>
        </w:rPr>
      </w:pPr>
      <w:r>
        <w:rPr>
          <w:rFonts w:hint="eastAsia" w:ascii="宋体" w:hAnsi="宋体" w:cs="仿宋"/>
          <w:sz w:val="24"/>
          <w:szCs w:val="24"/>
        </w:rPr>
        <w:t>杭州萧山环城建设开发有限公司范围内的选址论证项目（</w:t>
      </w:r>
      <w:r>
        <w:rPr>
          <w:rFonts w:ascii="宋体" w:hAnsi="宋体" w:cs="仿宋"/>
          <w:sz w:val="24"/>
          <w:szCs w:val="24"/>
        </w:rPr>
        <w:t>含指标复核项目），</w:t>
      </w:r>
      <w:r>
        <w:rPr>
          <w:rFonts w:hint="eastAsia" w:ascii="宋体" w:hAnsi="宋体" w:cs="仿宋"/>
          <w:sz w:val="24"/>
          <w:szCs w:val="24"/>
        </w:rPr>
        <w:t>具体以任务委托单为准。</w:t>
      </w:r>
    </w:p>
    <w:p>
      <w:pPr>
        <w:keepNext w:val="0"/>
        <w:keepLines w:val="0"/>
        <w:pageBreakBefore w:val="0"/>
        <w:widowControl w:val="0"/>
        <w:kinsoku/>
        <w:wordWrap/>
        <w:overflowPunct/>
        <w:topLinePunct w:val="0"/>
        <w:autoSpaceDE/>
        <w:autoSpaceDN/>
        <w:bidi w:val="0"/>
        <w:adjustRightInd w:val="0"/>
        <w:spacing w:line="360" w:lineRule="auto"/>
        <w:ind w:right="31" w:rightChars="15" w:firstLine="482" w:firstLineChars="200"/>
        <w:textAlignment w:val="auto"/>
        <w:rPr>
          <w:rFonts w:hint="eastAsia" w:ascii="宋体" w:hAnsi="宋体" w:cs="宋体"/>
          <w:b/>
          <w:sz w:val="24"/>
          <w:szCs w:val="24"/>
        </w:rPr>
      </w:pPr>
      <w:r>
        <w:rPr>
          <w:rFonts w:hint="eastAsia" w:ascii="宋体" w:hAnsi="宋体" w:cs="宋体"/>
          <w:b/>
          <w:sz w:val="24"/>
          <w:szCs w:val="24"/>
        </w:rPr>
        <w:t>1.</w:t>
      </w:r>
      <w:r>
        <w:rPr>
          <w:rFonts w:ascii="宋体" w:hAnsi="宋体" w:cs="宋体"/>
          <w:b/>
          <w:sz w:val="24"/>
          <w:szCs w:val="24"/>
        </w:rPr>
        <w:t>2</w:t>
      </w:r>
      <w:r>
        <w:rPr>
          <w:rFonts w:hint="eastAsia" w:ascii="宋体" w:hAnsi="宋体" w:cs="宋体"/>
          <w:b/>
          <w:sz w:val="24"/>
          <w:szCs w:val="24"/>
        </w:rPr>
        <w:t xml:space="preserve"> 主要</w:t>
      </w:r>
      <w:r>
        <w:rPr>
          <w:rFonts w:ascii="宋体" w:hAnsi="宋体" w:cs="宋体"/>
          <w:b/>
          <w:sz w:val="24"/>
          <w:szCs w:val="24"/>
        </w:rPr>
        <w:t>技术内容</w:t>
      </w:r>
    </w:p>
    <w:p>
      <w:pPr>
        <w:keepNext w:val="0"/>
        <w:keepLines w:val="0"/>
        <w:pageBreakBefore w:val="0"/>
        <w:widowControl w:val="0"/>
        <w:kinsoku/>
        <w:wordWrap/>
        <w:overflowPunct/>
        <w:topLinePunct w:val="0"/>
        <w:autoSpaceDE/>
        <w:autoSpaceDN/>
        <w:bidi w:val="0"/>
        <w:adjustRightInd w:val="0"/>
        <w:spacing w:line="360" w:lineRule="auto"/>
        <w:ind w:right="31" w:rightChars="15" w:firstLine="482" w:firstLineChars="200"/>
        <w:textAlignment w:val="auto"/>
        <w:rPr>
          <w:rFonts w:hint="eastAsia" w:ascii="宋体" w:hAnsi="宋体" w:cs="宋体"/>
          <w:b/>
          <w:sz w:val="24"/>
          <w:szCs w:val="24"/>
        </w:rPr>
      </w:pPr>
      <w:r>
        <w:rPr>
          <w:rFonts w:ascii="宋体" w:hAnsi="宋体" w:cs="宋体"/>
          <w:b/>
          <w:sz w:val="24"/>
          <w:szCs w:val="24"/>
        </w:rPr>
        <w:t xml:space="preserve">1.2.1 </w:t>
      </w:r>
      <w:r>
        <w:rPr>
          <w:rFonts w:hint="eastAsia" w:ascii="宋体" w:hAnsi="宋体" w:cs="宋体"/>
          <w:b/>
          <w:sz w:val="24"/>
          <w:szCs w:val="24"/>
        </w:rPr>
        <w:t>选址</w:t>
      </w:r>
      <w:r>
        <w:rPr>
          <w:rFonts w:ascii="宋体" w:hAnsi="宋体" w:cs="宋体"/>
          <w:b/>
          <w:sz w:val="24"/>
          <w:szCs w:val="24"/>
        </w:rPr>
        <w:t>论证</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通过对具体</w:t>
      </w:r>
      <w:r>
        <w:rPr>
          <w:rFonts w:ascii="宋体" w:hAnsi="宋体" w:cs="宋体"/>
          <w:sz w:val="24"/>
          <w:szCs w:val="24"/>
        </w:rPr>
        <w:t>论证地块的</w:t>
      </w:r>
      <w:r>
        <w:rPr>
          <w:rFonts w:hint="eastAsia" w:ascii="宋体" w:hAnsi="宋体" w:cs="宋体"/>
          <w:sz w:val="24"/>
          <w:szCs w:val="24"/>
        </w:rPr>
        <w:t>周边</w:t>
      </w:r>
      <w:r>
        <w:rPr>
          <w:rFonts w:ascii="宋体" w:hAnsi="宋体" w:cs="宋体"/>
          <w:sz w:val="24"/>
          <w:szCs w:val="24"/>
        </w:rPr>
        <w:t>环境</w:t>
      </w:r>
      <w:r>
        <w:rPr>
          <w:rFonts w:hint="eastAsia" w:ascii="宋体" w:hAnsi="宋体" w:cs="宋体"/>
          <w:sz w:val="24"/>
          <w:szCs w:val="24"/>
        </w:rPr>
        <w:t>、上位规划</w:t>
      </w:r>
      <w:r>
        <w:rPr>
          <w:rFonts w:ascii="宋体" w:hAnsi="宋体" w:cs="宋体"/>
          <w:sz w:val="24"/>
          <w:szCs w:val="24"/>
        </w:rPr>
        <w:t>及相关规划的</w:t>
      </w:r>
      <w:r>
        <w:rPr>
          <w:rFonts w:hint="eastAsia" w:ascii="宋体" w:hAnsi="宋体" w:cs="宋体"/>
          <w:sz w:val="24"/>
          <w:szCs w:val="24"/>
        </w:rPr>
        <w:t>分析，</w:t>
      </w:r>
      <w:r>
        <w:rPr>
          <w:rFonts w:ascii="宋体" w:hAnsi="宋体" w:cs="宋体"/>
          <w:sz w:val="24"/>
          <w:szCs w:val="24"/>
        </w:rPr>
        <w:t>并</w:t>
      </w:r>
      <w:r>
        <w:rPr>
          <w:rFonts w:hint="eastAsia" w:ascii="宋体" w:hAnsi="宋体" w:cs="宋体"/>
          <w:sz w:val="24"/>
          <w:szCs w:val="24"/>
        </w:rPr>
        <w:t>依据相关规范要求对拟调整地块的规划指标进行论证，通过规划</w:t>
      </w:r>
      <w:r>
        <w:rPr>
          <w:rFonts w:ascii="宋体" w:hAnsi="宋体" w:cs="宋体"/>
          <w:sz w:val="24"/>
          <w:szCs w:val="24"/>
        </w:rPr>
        <w:t>研究</w:t>
      </w:r>
      <w:r>
        <w:rPr>
          <w:rFonts w:hint="eastAsia" w:ascii="宋体" w:hAnsi="宋体" w:cs="宋体"/>
          <w:sz w:val="24"/>
          <w:szCs w:val="24"/>
        </w:rPr>
        <w:t>、交通市政影响、日照影响、三维景观等方面综合分析，进行总平布置和相应的规划指标论证，提出规划设计条件建议，</w:t>
      </w:r>
      <w:r>
        <w:rPr>
          <w:rFonts w:ascii="宋体" w:hAnsi="宋体" w:cs="宋体"/>
          <w:sz w:val="24"/>
          <w:szCs w:val="24"/>
        </w:rPr>
        <w:t>并提出</w:t>
      </w:r>
      <w:r>
        <w:rPr>
          <w:rFonts w:hint="eastAsia" w:ascii="宋体" w:hAnsi="宋体" w:cs="宋体"/>
          <w:sz w:val="24"/>
          <w:szCs w:val="24"/>
        </w:rPr>
        <w:t>控规</w:t>
      </w:r>
      <w:r>
        <w:rPr>
          <w:rFonts w:ascii="宋体" w:hAnsi="宋体" w:cs="宋体"/>
          <w:sz w:val="24"/>
          <w:szCs w:val="24"/>
        </w:rPr>
        <w:t>用地</w:t>
      </w:r>
      <w:r>
        <w:rPr>
          <w:rFonts w:hint="eastAsia" w:ascii="宋体" w:hAnsi="宋体" w:cs="宋体"/>
          <w:sz w:val="24"/>
          <w:szCs w:val="24"/>
        </w:rPr>
        <w:t>局部</w:t>
      </w:r>
      <w:r>
        <w:rPr>
          <w:rFonts w:ascii="宋体" w:hAnsi="宋体" w:cs="宋体"/>
          <w:sz w:val="24"/>
          <w:szCs w:val="24"/>
        </w:rPr>
        <w:t>调整的合理建议</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pacing w:line="360" w:lineRule="auto"/>
        <w:ind w:right="31" w:rightChars="15" w:firstLine="482" w:firstLineChars="200"/>
        <w:textAlignment w:val="auto"/>
        <w:rPr>
          <w:rFonts w:ascii="宋体" w:hAnsi="宋体" w:cs="宋体"/>
          <w:b/>
          <w:sz w:val="24"/>
          <w:szCs w:val="24"/>
        </w:rPr>
      </w:pPr>
      <w:r>
        <w:rPr>
          <w:rFonts w:ascii="宋体" w:hAnsi="宋体" w:cs="宋体"/>
          <w:b/>
          <w:sz w:val="24"/>
          <w:szCs w:val="24"/>
        </w:rPr>
        <w:t xml:space="preserve">1.2.2 </w:t>
      </w:r>
      <w:r>
        <w:rPr>
          <w:rFonts w:hint="eastAsia" w:ascii="宋体" w:hAnsi="宋体" w:cs="宋体"/>
          <w:b/>
          <w:sz w:val="24"/>
          <w:szCs w:val="24"/>
        </w:rPr>
        <w:t>日照影响</w:t>
      </w:r>
      <w:r>
        <w:rPr>
          <w:rFonts w:ascii="宋体" w:hAnsi="宋体" w:cs="宋体"/>
          <w:b/>
          <w:sz w:val="24"/>
          <w:szCs w:val="24"/>
        </w:rPr>
        <w:t>分析</w:t>
      </w:r>
    </w:p>
    <w:p>
      <w:pPr>
        <w:keepNext w:val="0"/>
        <w:keepLines w:val="0"/>
        <w:pageBreakBefore w:val="0"/>
        <w:widowControl w:val="0"/>
        <w:kinsoku/>
        <w:wordWrap/>
        <w:overflowPunct/>
        <w:topLinePunct w:val="0"/>
        <w:autoSpaceDE/>
        <w:autoSpaceDN/>
        <w:bidi w:val="0"/>
        <w:adjustRightInd w:val="0"/>
        <w:spacing w:line="360" w:lineRule="auto"/>
        <w:ind w:right="31" w:rightChars="15" w:firstLine="480" w:firstLineChars="200"/>
        <w:textAlignment w:val="auto"/>
        <w:rPr>
          <w:rFonts w:ascii="宋体" w:hAnsi="宋体" w:cs="宋体"/>
          <w:sz w:val="24"/>
          <w:szCs w:val="24"/>
        </w:rPr>
      </w:pPr>
      <w:r>
        <w:rPr>
          <w:rFonts w:hint="eastAsia" w:ascii="宋体" w:hAnsi="宋体" w:cs="宋体"/>
          <w:sz w:val="24"/>
          <w:szCs w:val="24"/>
        </w:rPr>
        <w:t>根据</w:t>
      </w:r>
      <w:r>
        <w:rPr>
          <w:rFonts w:ascii="宋体" w:hAnsi="宋体" w:cs="宋体"/>
          <w:sz w:val="24"/>
          <w:szCs w:val="24"/>
        </w:rPr>
        <w:t>相关</w:t>
      </w:r>
      <w:r>
        <w:rPr>
          <w:rFonts w:hint="eastAsia" w:ascii="宋体" w:hAnsi="宋体" w:cs="宋体"/>
          <w:sz w:val="24"/>
          <w:szCs w:val="24"/>
        </w:rPr>
        <w:t>要求</w:t>
      </w:r>
      <w:r>
        <w:rPr>
          <w:rFonts w:ascii="宋体" w:hAnsi="宋体" w:cs="宋体"/>
          <w:sz w:val="24"/>
          <w:szCs w:val="24"/>
        </w:rPr>
        <w:t>，对拟调整</w:t>
      </w:r>
      <w:r>
        <w:rPr>
          <w:rFonts w:hint="eastAsia" w:ascii="宋体" w:hAnsi="宋体" w:cs="宋体"/>
          <w:sz w:val="24"/>
          <w:szCs w:val="24"/>
        </w:rPr>
        <w:t>地块选址</w:t>
      </w:r>
      <w:r>
        <w:rPr>
          <w:rFonts w:ascii="宋体" w:hAnsi="宋体" w:cs="宋体"/>
          <w:sz w:val="24"/>
          <w:szCs w:val="24"/>
        </w:rPr>
        <w:t>论证方案进行日照分析。</w:t>
      </w:r>
    </w:p>
    <w:p>
      <w:pPr>
        <w:keepNext w:val="0"/>
        <w:keepLines w:val="0"/>
        <w:pageBreakBefore w:val="0"/>
        <w:widowControl w:val="0"/>
        <w:kinsoku/>
        <w:wordWrap/>
        <w:overflowPunct/>
        <w:topLinePunct w:val="0"/>
        <w:autoSpaceDE/>
        <w:autoSpaceDN/>
        <w:bidi w:val="0"/>
        <w:adjustRightInd w:val="0"/>
        <w:spacing w:line="360" w:lineRule="auto"/>
        <w:ind w:right="31" w:rightChars="15" w:firstLine="482" w:firstLineChars="200"/>
        <w:textAlignment w:val="auto"/>
        <w:rPr>
          <w:rFonts w:hint="eastAsia" w:ascii="宋体" w:hAnsi="宋体" w:cs="宋体"/>
          <w:b/>
          <w:sz w:val="24"/>
          <w:szCs w:val="24"/>
        </w:rPr>
      </w:pPr>
      <w:r>
        <w:rPr>
          <w:rFonts w:ascii="宋体" w:hAnsi="宋体" w:cs="宋体"/>
          <w:b/>
          <w:sz w:val="24"/>
          <w:szCs w:val="24"/>
        </w:rPr>
        <w:t xml:space="preserve">1.2.3 </w:t>
      </w:r>
      <w:r>
        <w:rPr>
          <w:rFonts w:hint="eastAsia" w:ascii="宋体" w:hAnsi="宋体" w:cs="宋体"/>
          <w:b/>
          <w:sz w:val="24"/>
          <w:szCs w:val="24"/>
        </w:rPr>
        <w:t>三维景观</w:t>
      </w:r>
      <w:r>
        <w:rPr>
          <w:rFonts w:ascii="宋体" w:hAnsi="宋体" w:cs="宋体"/>
          <w:b/>
          <w:sz w:val="24"/>
          <w:szCs w:val="24"/>
        </w:rPr>
        <w:t>分析</w:t>
      </w:r>
      <w:r>
        <w:rPr>
          <w:rFonts w:hint="eastAsia" w:ascii="宋体" w:hAnsi="宋体" w:cs="宋体"/>
          <w:b/>
          <w:sz w:val="24"/>
          <w:szCs w:val="24"/>
        </w:rPr>
        <w:t>（如</w:t>
      </w:r>
      <w:r>
        <w:rPr>
          <w:rFonts w:ascii="宋体" w:hAnsi="宋体" w:cs="宋体"/>
          <w:b/>
          <w:sz w:val="24"/>
          <w:szCs w:val="24"/>
        </w:rPr>
        <w:t>相关</w:t>
      </w:r>
      <w:r>
        <w:rPr>
          <w:rFonts w:hint="eastAsia" w:ascii="宋体" w:hAnsi="宋体" w:cs="宋体"/>
          <w:b/>
          <w:sz w:val="24"/>
          <w:szCs w:val="24"/>
        </w:rPr>
        <w:t>职能部门要求</w:t>
      </w:r>
      <w:r>
        <w:rPr>
          <w:rFonts w:ascii="宋体" w:hAnsi="宋体" w:cs="宋体"/>
          <w:b/>
          <w:sz w:val="24"/>
          <w:szCs w:val="24"/>
        </w:rPr>
        <w:t>）</w:t>
      </w:r>
    </w:p>
    <w:p>
      <w:pPr>
        <w:pStyle w:val="54"/>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根据选址论证</w:t>
      </w:r>
      <w:r>
        <w:rPr>
          <w:rFonts w:ascii="宋体" w:hAnsi="宋体" w:cs="宋体"/>
          <w:sz w:val="24"/>
          <w:szCs w:val="24"/>
        </w:rPr>
        <w:t>方案</w:t>
      </w:r>
      <w:r>
        <w:rPr>
          <w:rFonts w:hint="eastAsia" w:ascii="宋体" w:hAnsi="宋体" w:cs="宋体"/>
          <w:sz w:val="24"/>
          <w:szCs w:val="24"/>
        </w:rPr>
        <w:t>的设计资料及相关数据，制作建筑三维数字模型，置入杭州市城市数字景观模型系统中，模拟分析该建筑物建成后对项目周边的景观影响，提供相应的分析成果和评估意见。</w:t>
      </w:r>
    </w:p>
    <w:p>
      <w:pPr>
        <w:pStyle w:val="54"/>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b/>
          <w:sz w:val="24"/>
          <w:szCs w:val="24"/>
        </w:rPr>
      </w:pPr>
      <w:r>
        <w:rPr>
          <w:rFonts w:ascii="宋体" w:hAnsi="宋体" w:cs="宋体"/>
          <w:b/>
          <w:sz w:val="24"/>
          <w:szCs w:val="24"/>
        </w:rPr>
        <w:t>1.2.4</w:t>
      </w:r>
      <w:r>
        <w:rPr>
          <w:rFonts w:hint="eastAsia" w:ascii="宋体" w:hAnsi="宋体" w:cs="宋体"/>
          <w:b/>
          <w:sz w:val="24"/>
          <w:szCs w:val="24"/>
        </w:rPr>
        <w:t>其他</w:t>
      </w:r>
    </w:p>
    <w:p>
      <w:pPr>
        <w:pStyle w:val="54"/>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若应有关管理部门要求须增加专题论证内容如：交通</w:t>
      </w:r>
      <w:r>
        <w:rPr>
          <w:rFonts w:ascii="宋体" w:hAnsi="宋体" w:cs="宋体"/>
          <w:sz w:val="24"/>
          <w:szCs w:val="24"/>
        </w:rPr>
        <w:t>影响评价专篇、日照复核专篇、</w:t>
      </w:r>
      <w:r>
        <w:rPr>
          <w:rFonts w:hint="eastAsia" w:ascii="宋体" w:hAnsi="宋体" w:cs="宋体"/>
          <w:sz w:val="24"/>
          <w:szCs w:val="24"/>
        </w:rPr>
        <w:t>城市</w:t>
      </w:r>
      <w:r>
        <w:rPr>
          <w:rFonts w:ascii="宋体" w:hAnsi="宋体" w:cs="宋体"/>
          <w:sz w:val="24"/>
          <w:szCs w:val="24"/>
        </w:rPr>
        <w:t>设计专篇</w:t>
      </w:r>
      <w:r>
        <w:rPr>
          <w:rFonts w:hint="eastAsia" w:ascii="宋体" w:hAnsi="宋体" w:cs="宋体"/>
          <w:sz w:val="24"/>
          <w:szCs w:val="24"/>
        </w:rPr>
        <w:t>、市政</w:t>
      </w:r>
      <w:r>
        <w:rPr>
          <w:rFonts w:ascii="宋体" w:hAnsi="宋体" w:cs="宋体"/>
          <w:sz w:val="24"/>
          <w:szCs w:val="24"/>
        </w:rPr>
        <w:t>专篇、</w:t>
      </w:r>
      <w:r>
        <w:rPr>
          <w:rFonts w:hint="eastAsia" w:ascii="宋体" w:hAnsi="宋体" w:cs="宋体"/>
          <w:sz w:val="24"/>
          <w:szCs w:val="24"/>
        </w:rPr>
        <w:t>环境影响评价专篇、安全</w:t>
      </w:r>
      <w:r>
        <w:rPr>
          <w:rFonts w:ascii="宋体" w:hAnsi="宋体" w:cs="宋体"/>
          <w:sz w:val="24"/>
          <w:szCs w:val="24"/>
        </w:rPr>
        <w:t>影响评价专篇、</w:t>
      </w:r>
      <w:r>
        <w:rPr>
          <w:rFonts w:hint="eastAsia" w:ascii="宋体" w:hAnsi="宋体" w:cs="宋体"/>
          <w:sz w:val="24"/>
          <w:szCs w:val="24"/>
        </w:rPr>
        <w:t>地质灾害评估专篇等，不属于</w:t>
      </w:r>
      <w:r>
        <w:rPr>
          <w:rFonts w:ascii="宋体" w:hAnsi="宋体" w:cs="宋体"/>
          <w:sz w:val="24"/>
          <w:szCs w:val="24"/>
        </w:rPr>
        <w:t>本次采购内容，</w:t>
      </w:r>
      <w:r>
        <w:rPr>
          <w:rFonts w:hint="eastAsia" w:ascii="宋体" w:hAnsi="宋体" w:cs="宋体"/>
          <w:sz w:val="24"/>
          <w:szCs w:val="24"/>
        </w:rPr>
        <w:t>需另行委托。</w:t>
      </w:r>
    </w:p>
    <w:p>
      <w:pPr>
        <w:pStyle w:val="54"/>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rPr>
        <w:t>1.</w:t>
      </w:r>
      <w:r>
        <w:rPr>
          <w:rFonts w:ascii="宋体" w:hAnsi="宋体" w:cs="宋体"/>
          <w:b/>
          <w:sz w:val="24"/>
          <w:szCs w:val="24"/>
        </w:rPr>
        <w:t>3</w:t>
      </w:r>
      <w:r>
        <w:rPr>
          <w:rFonts w:hint="eastAsia" w:ascii="宋体" w:hAnsi="宋体" w:cs="宋体"/>
          <w:b/>
          <w:sz w:val="24"/>
          <w:szCs w:val="24"/>
        </w:rPr>
        <w:t xml:space="preserve"> 成果要求</w:t>
      </w:r>
    </w:p>
    <w:p>
      <w:pPr>
        <w:pStyle w:val="54"/>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最终成果应包括：规划说明和图集。</w:t>
      </w:r>
    </w:p>
    <w:p>
      <w:pPr>
        <w:keepNext w:val="0"/>
        <w:keepLines w:val="0"/>
        <w:pageBreakBefore w:val="0"/>
        <w:widowControl w:val="0"/>
        <w:kinsoku/>
        <w:wordWrap/>
        <w:overflowPunct/>
        <w:topLinePunct w:val="0"/>
        <w:autoSpaceDE/>
        <w:autoSpaceDN/>
        <w:bidi w:val="0"/>
        <w:adjustRightInd w:val="0"/>
        <w:spacing w:line="360" w:lineRule="auto"/>
        <w:ind w:right="31" w:rightChars="15" w:firstLine="480" w:firstLineChars="200"/>
        <w:textAlignment w:val="auto"/>
        <w:rPr>
          <w:sz w:val="24"/>
          <w:szCs w:val="24"/>
        </w:rPr>
      </w:pPr>
      <w:r>
        <w:rPr>
          <w:rFonts w:hint="eastAsia" w:ascii="宋体" w:hAnsi="宋体" w:cs="宋体"/>
          <w:sz w:val="24"/>
          <w:szCs w:val="24"/>
        </w:rPr>
        <w:t>规划说明应</w:t>
      </w:r>
      <w:r>
        <w:rPr>
          <w:rFonts w:hint="eastAsia"/>
          <w:sz w:val="24"/>
          <w:szCs w:val="24"/>
        </w:rPr>
        <w:t>反映各项技术经济指标，明确论证结论。</w:t>
      </w:r>
    </w:p>
    <w:p>
      <w:pPr>
        <w:keepNext w:val="0"/>
        <w:keepLines w:val="0"/>
        <w:pageBreakBefore w:val="0"/>
        <w:widowControl w:val="0"/>
        <w:kinsoku/>
        <w:wordWrap/>
        <w:overflowPunct/>
        <w:topLinePunct w:val="0"/>
        <w:autoSpaceDE/>
        <w:autoSpaceDN/>
        <w:bidi w:val="0"/>
        <w:adjustRightInd w:val="0"/>
        <w:spacing w:line="360" w:lineRule="auto"/>
        <w:ind w:right="31" w:rightChars="15" w:firstLine="480" w:firstLineChars="200"/>
        <w:textAlignment w:val="auto"/>
        <w:rPr>
          <w:rFonts w:ascii="宋体" w:hAnsi="宋体" w:cs="宋体"/>
          <w:sz w:val="24"/>
          <w:szCs w:val="24"/>
        </w:rPr>
      </w:pPr>
      <w:r>
        <w:rPr>
          <w:rFonts w:hint="eastAsia" w:ascii="宋体" w:hAnsi="宋体" w:cs="宋体"/>
          <w:sz w:val="24"/>
          <w:szCs w:val="24"/>
        </w:rPr>
        <w:t>图集应包括：总平面</w:t>
      </w:r>
      <w:r>
        <w:rPr>
          <w:rFonts w:ascii="宋体" w:hAnsi="宋体" w:cs="宋体"/>
          <w:sz w:val="24"/>
          <w:szCs w:val="24"/>
        </w:rPr>
        <w:t>图、用地规划图、规划条件图</w:t>
      </w:r>
      <w:r>
        <w:rPr>
          <w:rFonts w:hint="eastAsia" w:ascii="宋体" w:hAnsi="宋体" w:cs="宋体"/>
          <w:sz w:val="24"/>
          <w:szCs w:val="24"/>
        </w:rPr>
        <w:t>以及其他说明规划意图的相关图纸。</w:t>
      </w:r>
    </w:p>
    <w:p>
      <w:pPr>
        <w:keepNext w:val="0"/>
        <w:keepLines w:val="0"/>
        <w:pageBreakBefore w:val="0"/>
        <w:widowControl w:val="0"/>
        <w:kinsoku/>
        <w:wordWrap/>
        <w:overflowPunct/>
        <w:topLinePunct w:val="0"/>
        <w:autoSpaceDE/>
        <w:autoSpaceDN/>
        <w:bidi w:val="0"/>
        <w:adjustRightInd w:val="0"/>
        <w:spacing w:line="360" w:lineRule="auto"/>
        <w:ind w:right="31" w:rightChars="15" w:firstLine="480" w:firstLineChars="200"/>
        <w:textAlignment w:val="auto"/>
        <w:rPr>
          <w:rFonts w:ascii="宋体" w:hAnsi="宋体" w:cs="宋体"/>
          <w:sz w:val="24"/>
          <w:szCs w:val="24"/>
        </w:rPr>
      </w:pPr>
      <w:r>
        <w:rPr>
          <w:rFonts w:hint="eastAsia" w:ascii="宋体" w:hAnsi="宋体" w:cs="宋体"/>
          <w:sz w:val="24"/>
          <w:szCs w:val="24"/>
        </w:rPr>
        <w:t>电子文档：包括规划说明电子文档（</w:t>
      </w:r>
      <w:r>
        <w:rPr>
          <w:rFonts w:ascii="宋体" w:hAnsi="宋体" w:cs="宋体"/>
          <w:sz w:val="24"/>
          <w:szCs w:val="24"/>
        </w:rPr>
        <w:t>PDF</w:t>
      </w:r>
      <w:r>
        <w:rPr>
          <w:rFonts w:hint="eastAsia" w:ascii="宋体" w:hAnsi="宋体" w:cs="宋体"/>
          <w:sz w:val="24"/>
          <w:szCs w:val="24"/>
        </w:rPr>
        <w:t>格式）以及规划图纸电子文档（jpg格式）。（具体</w:t>
      </w:r>
      <w:r>
        <w:rPr>
          <w:rFonts w:ascii="宋体" w:hAnsi="宋体" w:cs="宋体"/>
          <w:sz w:val="24"/>
          <w:szCs w:val="24"/>
        </w:rPr>
        <w:t>成果要求以</w:t>
      </w:r>
      <w:r>
        <w:rPr>
          <w:rFonts w:hint="eastAsia" w:ascii="宋体" w:hAnsi="宋体" w:cs="宋体"/>
          <w:sz w:val="24"/>
          <w:szCs w:val="24"/>
        </w:rPr>
        <w:t>相关</w:t>
      </w:r>
      <w:r>
        <w:rPr>
          <w:rFonts w:ascii="宋体" w:hAnsi="宋体" w:cs="宋体"/>
          <w:sz w:val="24"/>
          <w:szCs w:val="24"/>
        </w:rPr>
        <w:t>职能部门要求为准）</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成果提交要求：中间成果提交</w:t>
      </w:r>
      <w:r>
        <w:rPr>
          <w:rFonts w:ascii="宋体" w:hAnsi="宋体" w:cs="宋体"/>
          <w:sz w:val="24"/>
          <w:szCs w:val="24"/>
        </w:rPr>
        <w:t>2</w:t>
      </w:r>
      <w:r>
        <w:rPr>
          <w:rFonts w:hint="eastAsia" w:ascii="宋体" w:hAnsi="宋体" w:cs="宋体"/>
          <w:sz w:val="24"/>
          <w:szCs w:val="24"/>
        </w:rPr>
        <w:t>套；最终成果提交</w:t>
      </w:r>
      <w:r>
        <w:rPr>
          <w:rFonts w:ascii="宋体" w:hAnsi="宋体" w:cs="宋体"/>
          <w:sz w:val="24"/>
          <w:szCs w:val="24"/>
        </w:rPr>
        <w:t>3</w:t>
      </w:r>
      <w:r>
        <w:rPr>
          <w:rFonts w:hint="eastAsia" w:ascii="宋体" w:hAnsi="宋体" w:cs="宋体"/>
          <w:sz w:val="24"/>
          <w:szCs w:val="24"/>
        </w:rPr>
        <w:t>套，电子文档（光盘）2套（具体数量根据实际需求有所变动）。</w:t>
      </w:r>
    </w:p>
    <w:p>
      <w:pPr>
        <w:keepNext w:val="0"/>
        <w:keepLines w:val="0"/>
        <w:pageBreakBefore w:val="0"/>
        <w:widowControl w:val="0"/>
        <w:kinsoku/>
        <w:wordWrap/>
        <w:overflowPunct/>
        <w:topLinePunct w:val="0"/>
        <w:autoSpaceDE/>
        <w:autoSpaceDN/>
        <w:bidi w:val="0"/>
        <w:adjustRightInd w:val="0"/>
        <w:spacing w:line="360" w:lineRule="auto"/>
        <w:ind w:right="31" w:rightChars="15" w:firstLine="482" w:firstLineChars="200"/>
        <w:textAlignment w:val="auto"/>
        <w:rPr>
          <w:rFonts w:hint="eastAsia" w:ascii="宋体" w:hAnsi="宋体" w:cs="宋体"/>
          <w:b/>
          <w:sz w:val="24"/>
          <w:szCs w:val="24"/>
        </w:rPr>
      </w:pPr>
      <w:r>
        <w:rPr>
          <w:rFonts w:hint="eastAsia" w:ascii="宋体" w:hAnsi="宋体" w:cs="宋体"/>
          <w:b/>
          <w:sz w:val="24"/>
          <w:szCs w:val="24"/>
        </w:rPr>
        <w:t>1.</w:t>
      </w:r>
      <w:r>
        <w:rPr>
          <w:rFonts w:ascii="宋体" w:hAnsi="宋体" w:cs="宋体"/>
          <w:b/>
          <w:sz w:val="24"/>
          <w:szCs w:val="24"/>
        </w:rPr>
        <w:t>4</w:t>
      </w:r>
      <w:r>
        <w:rPr>
          <w:rFonts w:hint="eastAsia" w:ascii="宋体" w:hAnsi="宋体" w:cs="宋体"/>
          <w:b/>
          <w:sz w:val="24"/>
          <w:szCs w:val="24"/>
        </w:rPr>
        <w:t xml:space="preserve"> 报酬及其支付方式：</w:t>
      </w:r>
    </w:p>
    <w:p>
      <w:pPr>
        <w:keepNext w:val="0"/>
        <w:keepLines w:val="0"/>
        <w:pageBreakBefore w:val="0"/>
        <w:widowControl w:val="0"/>
        <w:kinsoku/>
        <w:wordWrap/>
        <w:overflowPunct/>
        <w:topLinePunct w:val="0"/>
        <w:autoSpaceDE/>
        <w:autoSpaceDN/>
        <w:bidi w:val="0"/>
        <w:adjustRightInd w:val="0"/>
        <w:spacing w:line="360" w:lineRule="auto"/>
        <w:ind w:right="31" w:rightChars="15" w:firstLine="482" w:firstLineChars="200"/>
        <w:textAlignment w:val="auto"/>
        <w:rPr>
          <w:rFonts w:ascii="宋体" w:hAnsi="宋体" w:cs="宋体"/>
          <w:b/>
          <w:sz w:val="24"/>
          <w:szCs w:val="24"/>
        </w:rPr>
      </w:pPr>
      <w:r>
        <w:rPr>
          <w:rFonts w:hint="eastAsia" w:ascii="宋体" w:hAnsi="宋体" w:cs="宋体"/>
          <w:b/>
          <w:sz w:val="24"/>
          <w:szCs w:val="24"/>
        </w:rPr>
        <w:t>1</w:t>
      </w:r>
      <w:r>
        <w:rPr>
          <w:rFonts w:ascii="宋体" w:hAnsi="宋体" w:cs="宋体"/>
          <w:b/>
          <w:sz w:val="24"/>
          <w:szCs w:val="24"/>
        </w:rPr>
        <w:t xml:space="preserve">.4.1 </w:t>
      </w:r>
      <w:r>
        <w:rPr>
          <w:rFonts w:hint="eastAsia" w:ascii="宋体" w:hAnsi="宋体" w:cs="宋体"/>
          <w:b/>
          <w:sz w:val="24"/>
          <w:szCs w:val="24"/>
        </w:rPr>
        <w:t>单项目论证费：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宋体" w:hAnsi="宋体" w:cs="宋体"/>
          <w:sz w:val="24"/>
          <w:szCs w:val="24"/>
        </w:rPr>
      </w:pPr>
      <w:r>
        <w:rPr>
          <w:rFonts w:hint="eastAsia" w:ascii="宋体" w:hAnsi="宋体" w:eastAsia="宋体" w:cs="宋体"/>
          <w:color w:val="auto"/>
          <w:sz w:val="24"/>
          <w:szCs w:val="24"/>
          <w:highlight w:val="none"/>
          <w:lang w:val="en-US" w:eastAsia="zh-CN"/>
        </w:rPr>
        <w:t>根据具体单个项目进行结算，规划地块用地面积5公顷</w:t>
      </w:r>
      <w:r>
        <w:rPr>
          <w:rFonts w:hint="eastAsia"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宗</w:t>
      </w:r>
      <w:r>
        <w:rPr>
          <w:rFonts w:hint="eastAsia" w:ascii="宋体" w:hAnsi="宋体" w:eastAsia="宋体" w:cs="宋体"/>
          <w:color w:val="auto"/>
          <w:sz w:val="24"/>
          <w:szCs w:val="24"/>
          <w:highlight w:val="none"/>
          <w:lang w:val="en-US" w:eastAsia="zh-CN"/>
        </w:rPr>
        <w:t>以下地块的，</w:t>
      </w:r>
      <w:r>
        <w:rPr>
          <w:rFonts w:hint="eastAsia" w:hAnsi="宋体" w:cs="宋体"/>
          <w:color w:val="auto"/>
          <w:sz w:val="24"/>
          <w:szCs w:val="24"/>
          <w:highlight w:val="none"/>
          <w:lang w:val="en-US" w:eastAsia="zh-CN"/>
        </w:rPr>
        <w:t>投标单价不超过</w:t>
      </w:r>
      <w:r>
        <w:rPr>
          <w:rFonts w:hint="eastAsia" w:ascii="宋体" w:hAnsi="宋体" w:cs="宋体"/>
          <w:color w:val="auto"/>
          <w:sz w:val="24"/>
          <w:szCs w:val="24"/>
          <w:highlight w:val="none"/>
          <w:lang w:val="en-US" w:eastAsia="zh-CN"/>
        </w:rPr>
        <w:t>100000.00</w:t>
      </w:r>
      <w:r>
        <w:rPr>
          <w:rFonts w:hint="eastAsia" w:ascii="宋体" w:hAnsi="宋体" w:eastAsia="宋体" w:cs="宋体"/>
          <w:color w:val="auto"/>
          <w:sz w:val="24"/>
          <w:szCs w:val="24"/>
          <w:highlight w:val="none"/>
          <w:lang w:val="en-US" w:eastAsia="zh-CN"/>
        </w:rPr>
        <w:t>元/</w:t>
      </w:r>
      <w:r>
        <w:rPr>
          <w:rFonts w:hint="eastAsia" w:hAnsi="宋体" w:cs="宋体"/>
          <w:color w:val="auto"/>
          <w:sz w:val="24"/>
          <w:szCs w:val="24"/>
          <w:highlight w:val="none"/>
          <w:lang w:val="en-US" w:eastAsia="zh-CN"/>
        </w:rPr>
        <w:t>宗；</w:t>
      </w:r>
      <w:r>
        <w:rPr>
          <w:rFonts w:hint="eastAsia" w:ascii="宋体" w:hAnsi="宋体" w:eastAsia="宋体" w:cs="宋体"/>
          <w:color w:val="auto"/>
          <w:sz w:val="24"/>
          <w:szCs w:val="24"/>
          <w:highlight w:val="none"/>
          <w:lang w:val="en-US" w:eastAsia="zh-CN"/>
        </w:rPr>
        <w:t>5公顷/宗以上地块的，</w:t>
      </w:r>
      <w:r>
        <w:rPr>
          <w:rFonts w:hint="eastAsia" w:hAnsi="宋体" w:cs="宋体"/>
          <w:color w:val="auto"/>
          <w:sz w:val="24"/>
          <w:szCs w:val="24"/>
          <w:highlight w:val="none"/>
          <w:lang w:val="en-US" w:eastAsia="zh-CN"/>
        </w:rPr>
        <w:t>投标单价不超过</w:t>
      </w:r>
      <w:r>
        <w:rPr>
          <w:rFonts w:hint="eastAsia" w:ascii="宋体" w:hAnsi="宋体" w:cs="宋体"/>
          <w:color w:val="auto"/>
          <w:sz w:val="24"/>
          <w:szCs w:val="24"/>
          <w:highlight w:val="none"/>
          <w:lang w:val="en-US" w:eastAsia="zh-CN"/>
        </w:rPr>
        <w:t>120000.00</w:t>
      </w:r>
      <w:r>
        <w:rPr>
          <w:rFonts w:hint="eastAsia" w:ascii="宋体" w:hAnsi="宋体" w:eastAsia="宋体" w:cs="宋体"/>
          <w:color w:val="auto"/>
          <w:sz w:val="24"/>
          <w:szCs w:val="24"/>
          <w:highlight w:val="none"/>
          <w:lang w:val="en-US" w:eastAsia="zh-CN"/>
        </w:rPr>
        <w:t>元/宗，地块按规划用地性质划分和规划道路分隔界定。</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ascii="宋体" w:hAnsi="宋体" w:cs="宋体"/>
          <w:b/>
          <w:sz w:val="24"/>
          <w:szCs w:val="24"/>
        </w:rPr>
      </w:pPr>
      <w:r>
        <w:rPr>
          <w:rFonts w:hint="eastAsia" w:ascii="宋体" w:hAnsi="宋体" w:cs="宋体"/>
          <w:b/>
          <w:sz w:val="24"/>
          <w:szCs w:val="24"/>
        </w:rPr>
        <w:t>若地块论证需</w:t>
      </w:r>
      <w:r>
        <w:rPr>
          <w:rFonts w:ascii="宋体" w:hAnsi="宋体" w:cs="宋体"/>
          <w:b/>
          <w:sz w:val="24"/>
          <w:szCs w:val="24"/>
        </w:rPr>
        <w:t>编制三维景观分析</w:t>
      </w:r>
      <w:r>
        <w:rPr>
          <w:rFonts w:hint="eastAsia" w:ascii="宋体" w:hAnsi="宋体" w:cs="宋体"/>
          <w:b/>
          <w:sz w:val="24"/>
          <w:szCs w:val="24"/>
        </w:rPr>
        <w:t>专篇</w:t>
      </w:r>
      <w:r>
        <w:rPr>
          <w:rFonts w:ascii="宋体" w:hAnsi="宋体" w:cs="宋体"/>
          <w:b/>
          <w:sz w:val="24"/>
          <w:szCs w:val="24"/>
        </w:rPr>
        <w:t>，</w:t>
      </w:r>
      <w:r>
        <w:rPr>
          <w:rFonts w:hint="eastAsia" w:ascii="宋体" w:hAnsi="宋体" w:cs="宋体"/>
          <w:b/>
          <w:sz w:val="24"/>
          <w:szCs w:val="24"/>
        </w:rPr>
        <w:t>三维景观</w:t>
      </w:r>
      <w:r>
        <w:rPr>
          <w:rFonts w:ascii="宋体" w:hAnsi="宋体" w:cs="宋体"/>
          <w:b/>
          <w:sz w:val="24"/>
          <w:szCs w:val="24"/>
        </w:rPr>
        <w:t>分析费用按</w:t>
      </w:r>
      <w:r>
        <w:rPr>
          <w:rFonts w:hint="eastAsia" w:ascii="宋体" w:hAnsi="宋体" w:cs="宋体"/>
          <w:b/>
          <w:sz w:val="24"/>
          <w:szCs w:val="24"/>
        </w:rPr>
        <w:t>7万元/项目单独</w:t>
      </w:r>
      <w:r>
        <w:rPr>
          <w:rFonts w:ascii="宋体" w:hAnsi="宋体" w:cs="宋体"/>
          <w:b/>
          <w:sz w:val="24"/>
          <w:szCs w:val="24"/>
        </w:rPr>
        <w:t>计费</w:t>
      </w:r>
      <w:r>
        <w:rPr>
          <w:rFonts w:hint="eastAsia" w:ascii="宋体" w:hAnsi="宋体" w:cs="宋体"/>
          <w:b/>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ascii="宋体" w:hAnsi="宋体" w:cs="宋体"/>
          <w:b/>
          <w:sz w:val="24"/>
          <w:szCs w:val="24"/>
        </w:rPr>
      </w:pPr>
      <w:r>
        <w:rPr>
          <w:rFonts w:hint="eastAsia" w:ascii="宋体" w:hAnsi="宋体" w:cs="宋体"/>
          <w:b/>
          <w:sz w:val="24"/>
          <w:szCs w:val="24"/>
        </w:rPr>
        <w:t>若相关部门对日照分析的要求产生变化（要求由</w:t>
      </w:r>
      <w:r>
        <w:rPr>
          <w:rFonts w:ascii="宋体" w:hAnsi="宋体" w:cs="宋体"/>
          <w:b/>
          <w:sz w:val="24"/>
          <w:szCs w:val="24"/>
        </w:rPr>
        <w:t>相关</w:t>
      </w:r>
      <w:r>
        <w:rPr>
          <w:rFonts w:hint="eastAsia" w:ascii="宋体" w:hAnsi="宋体" w:cs="宋体"/>
          <w:b/>
          <w:sz w:val="24"/>
          <w:szCs w:val="24"/>
        </w:rPr>
        <w:t>单位</w:t>
      </w:r>
      <w:r>
        <w:rPr>
          <w:rFonts w:ascii="宋体" w:hAnsi="宋体" w:cs="宋体"/>
          <w:b/>
          <w:sz w:val="24"/>
          <w:szCs w:val="24"/>
        </w:rPr>
        <w:t>进行日照复核</w:t>
      </w:r>
      <w:r>
        <w:rPr>
          <w:rFonts w:hint="eastAsia" w:ascii="宋体" w:hAnsi="宋体" w:cs="宋体"/>
          <w:b/>
          <w:sz w:val="24"/>
          <w:szCs w:val="24"/>
        </w:rPr>
        <w:t>），日照分析专篇的收费需另行</w:t>
      </w:r>
      <w:r>
        <w:rPr>
          <w:rFonts w:ascii="宋体" w:hAnsi="宋体" w:cs="宋体"/>
          <w:b/>
          <w:sz w:val="24"/>
          <w:szCs w:val="24"/>
        </w:rPr>
        <w:t>委托</w:t>
      </w:r>
      <w:r>
        <w:rPr>
          <w:rFonts w:hint="eastAsia" w:ascii="宋体" w:hAnsi="宋体" w:cs="宋体"/>
          <w:b/>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对已</w:t>
      </w:r>
      <w:r>
        <w:rPr>
          <w:rFonts w:ascii="宋体" w:hAnsi="宋体" w:cs="宋体"/>
          <w:sz w:val="24"/>
          <w:szCs w:val="24"/>
        </w:rPr>
        <w:t>完成送审成果的项目</w:t>
      </w:r>
      <w:r>
        <w:rPr>
          <w:rFonts w:hint="eastAsia" w:ascii="宋体" w:hAnsi="宋体" w:cs="宋体"/>
          <w:sz w:val="24"/>
          <w:szCs w:val="24"/>
        </w:rPr>
        <w:t>，若因甲方要求修改既定条件、用地性质、</w:t>
      </w:r>
      <w:r>
        <w:rPr>
          <w:rFonts w:ascii="宋体" w:hAnsi="宋体" w:cs="宋体"/>
          <w:sz w:val="24"/>
          <w:szCs w:val="24"/>
        </w:rPr>
        <w:t>用地范围</w:t>
      </w:r>
      <w:r>
        <w:rPr>
          <w:rFonts w:hint="eastAsia" w:ascii="宋体" w:hAnsi="宋体" w:cs="宋体"/>
          <w:sz w:val="24"/>
          <w:szCs w:val="24"/>
        </w:rPr>
        <w:t>等原因，而造成选址论证报告进行较大修改的，应按一定比例收取返工费：返工一次按地块论证</w:t>
      </w:r>
      <w:r>
        <w:rPr>
          <w:rFonts w:ascii="宋体" w:hAnsi="宋体" w:cs="宋体"/>
          <w:sz w:val="24"/>
          <w:szCs w:val="24"/>
        </w:rPr>
        <w:t>费用</w:t>
      </w:r>
      <w:r>
        <w:rPr>
          <w:rFonts w:hint="eastAsia" w:ascii="宋体" w:hAnsi="宋体" w:cs="宋体"/>
          <w:sz w:val="24"/>
          <w:szCs w:val="24"/>
        </w:rPr>
        <w:t>的50%增收设计费；若因正常技术原因造成规划成果审查未通过的，乙方进行无偿修改。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在规划送审成果提交后，因甲方要求重新更改论证规划设计条件、用地性质修改，或控制性详细规划调整等原因，造成选址论证报告重新编制的，按照新项目另行计费。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乙方进行调查研究、分析论证的经费和报告论证会务评审费、专家费由乙方承担，均已包含在每个项目的论证费中。</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ascii="宋体" w:hAnsi="宋体" w:cs="宋体"/>
          <w:b/>
          <w:sz w:val="24"/>
          <w:szCs w:val="24"/>
        </w:rPr>
      </w:pPr>
      <w:r>
        <w:rPr>
          <w:rFonts w:hint="eastAsia" w:ascii="宋体" w:hAnsi="宋体" w:cs="宋体"/>
          <w:b/>
          <w:sz w:val="24"/>
          <w:szCs w:val="24"/>
        </w:rPr>
        <w:t>1</w:t>
      </w:r>
      <w:r>
        <w:rPr>
          <w:rFonts w:ascii="宋体" w:hAnsi="宋体" w:cs="宋体"/>
          <w:b/>
          <w:sz w:val="24"/>
          <w:szCs w:val="24"/>
        </w:rPr>
        <w:t>.4.2</w:t>
      </w:r>
      <w:r>
        <w:rPr>
          <w:rFonts w:hint="eastAsia" w:ascii="宋体" w:hAnsi="宋体" w:cs="宋体"/>
          <w:b/>
          <w:sz w:val="24"/>
          <w:szCs w:val="24"/>
        </w:rPr>
        <w:t>支付方式：</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szCs w:val="24"/>
          <w:highlight w:val="none"/>
          <w:lang w:val="en-US"/>
        </w:rPr>
      </w:pPr>
      <w:r>
        <w:rPr>
          <w:rFonts w:hint="eastAsia" w:ascii="宋体" w:hAnsi="宋体" w:cs="宋体"/>
          <w:sz w:val="24"/>
          <w:szCs w:val="24"/>
        </w:rPr>
        <w:t>每个项目论证报告在提交</w:t>
      </w:r>
      <w:r>
        <w:rPr>
          <w:rFonts w:ascii="宋体" w:hAnsi="宋体" w:cs="宋体"/>
          <w:sz w:val="24"/>
          <w:szCs w:val="24"/>
        </w:rPr>
        <w:t>送审成果后</w:t>
      </w:r>
      <w:r>
        <w:rPr>
          <w:rFonts w:hint="eastAsia" w:ascii="宋体" w:hAnsi="宋体" w:cs="宋体"/>
          <w:sz w:val="24"/>
          <w:szCs w:val="24"/>
        </w:rPr>
        <w:t>支付70%，取得规划管理部门批复或论证报告交由规划管理部门认可并将成果结论纳入规划设计条件后结清剩余费用。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szCs w:val="24"/>
          <w:highlight w:val="none"/>
          <w:lang w:val="en-US"/>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szCs w:val="24"/>
          <w:highlight w:val="none"/>
          <w:lang w:val="en-US"/>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left"/>
        <w:textAlignment w:val="auto"/>
        <w:rPr>
          <w:rFonts w:hint="eastAsia" w:ascii="宋体" w:hAnsi="宋体" w:cs="宋体"/>
          <w:b/>
          <w:color w:val="auto"/>
          <w:sz w:val="36"/>
          <w:szCs w:val="36"/>
          <w:highlight w:val="none"/>
          <w:lang w:val="en-US" w:eastAsia="zh-CN"/>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4465"/>
      <w:bookmarkEnd w:id="16"/>
      <w:bookmarkStart w:id="17" w:name="_Toc184312135"/>
      <w:bookmarkEnd w:id="17"/>
      <w:bookmarkStart w:id="18" w:name="_Toc184308057"/>
      <w:bookmarkEnd w:id="18"/>
      <w:bookmarkStart w:id="19" w:name="_Toc184313289"/>
      <w:bookmarkEnd w:id="19"/>
      <w:bookmarkStart w:id="20" w:name="_Toc184313302"/>
      <w:bookmarkEnd w:id="20"/>
      <w:bookmarkStart w:id="21" w:name="_Toc184314466"/>
      <w:bookmarkEnd w:id="21"/>
      <w:bookmarkStart w:id="22" w:name="_Toc184314418"/>
      <w:bookmarkEnd w:id="22"/>
      <w:bookmarkStart w:id="23" w:name="_Toc184310325"/>
      <w:bookmarkEnd w:id="23"/>
      <w:bookmarkStart w:id="24" w:name="_Toc184314448"/>
      <w:bookmarkEnd w:id="24"/>
      <w:bookmarkStart w:id="25" w:name="_Toc184310288"/>
      <w:bookmarkEnd w:id="25"/>
      <w:bookmarkStart w:id="26" w:name="_Toc184313258"/>
      <w:bookmarkEnd w:id="26"/>
      <w:bookmarkStart w:id="27" w:name="_Toc184312090"/>
      <w:bookmarkEnd w:id="27"/>
      <w:bookmarkStart w:id="28" w:name="_Toc184312134"/>
      <w:bookmarkEnd w:id="28"/>
      <w:bookmarkStart w:id="29" w:name="_Toc184308068"/>
      <w:bookmarkEnd w:id="29"/>
      <w:bookmarkStart w:id="30" w:name="_Toc184312096"/>
      <w:bookmarkEnd w:id="30"/>
      <w:bookmarkStart w:id="31" w:name="_Toc184310279"/>
      <w:bookmarkEnd w:id="31"/>
      <w:bookmarkStart w:id="32" w:name="_Toc184313299"/>
      <w:bookmarkEnd w:id="32"/>
      <w:bookmarkStart w:id="33" w:name="_Toc184308082"/>
      <w:bookmarkEnd w:id="33"/>
      <w:bookmarkStart w:id="34" w:name="_Toc184312073"/>
      <w:bookmarkEnd w:id="34"/>
      <w:bookmarkStart w:id="35" w:name="_Toc184314447"/>
      <w:bookmarkEnd w:id="35"/>
      <w:bookmarkStart w:id="36" w:name="_Toc184314437"/>
      <w:bookmarkEnd w:id="36"/>
      <w:bookmarkStart w:id="37" w:name="_Toc184314478"/>
      <w:bookmarkEnd w:id="37"/>
      <w:bookmarkStart w:id="38" w:name="_Toc184314464"/>
      <w:bookmarkEnd w:id="38"/>
      <w:bookmarkStart w:id="39" w:name="_Toc184308102"/>
      <w:bookmarkEnd w:id="39"/>
      <w:bookmarkStart w:id="40" w:name="_Toc184313241"/>
      <w:bookmarkEnd w:id="40"/>
      <w:bookmarkStart w:id="41" w:name="_Toc184308066"/>
      <w:bookmarkEnd w:id="41"/>
      <w:bookmarkStart w:id="42" w:name="_Toc184310308"/>
      <w:bookmarkEnd w:id="42"/>
      <w:bookmarkStart w:id="43" w:name="_Toc184314426"/>
      <w:bookmarkEnd w:id="43"/>
      <w:bookmarkStart w:id="44" w:name="_Toc184312093"/>
      <w:bookmarkEnd w:id="44"/>
      <w:bookmarkStart w:id="45" w:name="_Toc184308040"/>
      <w:bookmarkEnd w:id="45"/>
      <w:bookmarkStart w:id="46" w:name="_Toc184310273"/>
      <w:bookmarkEnd w:id="46"/>
      <w:bookmarkStart w:id="47" w:name="_Toc184314473"/>
      <w:bookmarkEnd w:id="47"/>
      <w:bookmarkStart w:id="48" w:name="_Toc184314455"/>
      <w:bookmarkEnd w:id="48"/>
      <w:bookmarkStart w:id="49" w:name="_Toc184312076"/>
      <w:bookmarkEnd w:id="49"/>
      <w:bookmarkStart w:id="50" w:name="_Toc184314434"/>
      <w:bookmarkEnd w:id="50"/>
      <w:bookmarkStart w:id="51" w:name="_Toc184308092"/>
      <w:bookmarkEnd w:id="51"/>
      <w:bookmarkStart w:id="52" w:name="_Toc184310283"/>
      <w:bookmarkEnd w:id="52"/>
      <w:bookmarkStart w:id="53" w:name="_Toc184308106"/>
      <w:bookmarkEnd w:id="53"/>
      <w:bookmarkStart w:id="54" w:name="_Toc184310275"/>
      <w:bookmarkEnd w:id="54"/>
      <w:bookmarkStart w:id="55" w:name="_Toc184310285"/>
      <w:bookmarkEnd w:id="55"/>
      <w:bookmarkStart w:id="56" w:name="_Toc184308091"/>
      <w:bookmarkEnd w:id="56"/>
      <w:bookmarkStart w:id="57" w:name="_Toc184308089"/>
      <w:bookmarkEnd w:id="57"/>
      <w:bookmarkStart w:id="58" w:name="_Toc184312136"/>
      <w:bookmarkEnd w:id="58"/>
      <w:bookmarkStart w:id="59" w:name="_Toc184314438"/>
      <w:bookmarkEnd w:id="59"/>
      <w:bookmarkStart w:id="60" w:name="_Toc184313264"/>
      <w:bookmarkEnd w:id="60"/>
      <w:bookmarkStart w:id="61" w:name="_Toc184308061"/>
      <w:bookmarkEnd w:id="61"/>
      <w:bookmarkStart w:id="62" w:name="_Toc184314459"/>
      <w:bookmarkEnd w:id="62"/>
      <w:bookmarkStart w:id="63" w:name="_Toc184310299"/>
      <w:bookmarkEnd w:id="63"/>
      <w:bookmarkStart w:id="64" w:name="_Toc184308051"/>
      <w:bookmarkEnd w:id="64"/>
      <w:bookmarkStart w:id="65" w:name="_Toc184308036"/>
      <w:bookmarkEnd w:id="65"/>
      <w:bookmarkStart w:id="66" w:name="_Toc184310300"/>
      <w:bookmarkEnd w:id="66"/>
      <w:bookmarkStart w:id="67" w:name="_Toc184308099"/>
      <w:bookmarkEnd w:id="67"/>
      <w:bookmarkStart w:id="68" w:name="_Toc184308037"/>
      <w:bookmarkEnd w:id="68"/>
      <w:bookmarkStart w:id="69" w:name="_Toc184308084"/>
      <w:bookmarkEnd w:id="69"/>
      <w:bookmarkStart w:id="70" w:name="_Toc184313278"/>
      <w:bookmarkEnd w:id="70"/>
      <w:bookmarkStart w:id="71" w:name="_Toc184313245"/>
      <w:bookmarkEnd w:id="71"/>
      <w:bookmarkStart w:id="72" w:name="_Toc184313279"/>
      <w:bookmarkEnd w:id="72"/>
      <w:bookmarkStart w:id="73" w:name="_Toc184310284"/>
      <w:bookmarkEnd w:id="73"/>
      <w:bookmarkStart w:id="74" w:name="_Toc184314474"/>
      <w:bookmarkEnd w:id="74"/>
      <w:bookmarkStart w:id="75" w:name="_Toc184313265"/>
      <w:bookmarkEnd w:id="75"/>
      <w:bookmarkStart w:id="76" w:name="_Toc184308047"/>
      <w:bookmarkEnd w:id="76"/>
      <w:bookmarkStart w:id="77" w:name="_Toc184312116"/>
      <w:bookmarkEnd w:id="77"/>
      <w:bookmarkStart w:id="78" w:name="_Toc184308093"/>
      <w:bookmarkEnd w:id="78"/>
      <w:bookmarkStart w:id="79" w:name="_Toc184314433"/>
      <w:bookmarkEnd w:id="79"/>
      <w:bookmarkStart w:id="80" w:name="_Toc184310341"/>
      <w:bookmarkEnd w:id="80"/>
      <w:bookmarkStart w:id="81" w:name="_Toc184314423"/>
      <w:bookmarkEnd w:id="81"/>
      <w:bookmarkStart w:id="82" w:name="_Toc184310309"/>
      <w:bookmarkEnd w:id="82"/>
      <w:bookmarkStart w:id="83" w:name="_Toc184308038"/>
      <w:bookmarkEnd w:id="83"/>
      <w:bookmarkStart w:id="84" w:name="_Toc184308046"/>
      <w:bookmarkEnd w:id="84"/>
      <w:bookmarkStart w:id="85" w:name="_Toc184313305"/>
      <w:bookmarkEnd w:id="85"/>
      <w:bookmarkStart w:id="86" w:name="_Toc184314454"/>
      <w:bookmarkEnd w:id="86"/>
      <w:bookmarkStart w:id="87" w:name="_Toc184310331"/>
      <w:bookmarkEnd w:id="87"/>
      <w:bookmarkStart w:id="88" w:name="_Toc184313246"/>
      <w:bookmarkEnd w:id="88"/>
      <w:bookmarkStart w:id="89" w:name="_Toc184314431"/>
      <w:bookmarkEnd w:id="89"/>
      <w:bookmarkStart w:id="90" w:name="_Toc184312118"/>
      <w:bookmarkEnd w:id="90"/>
      <w:bookmarkStart w:id="91" w:name="_Toc184308062"/>
      <w:bookmarkEnd w:id="91"/>
      <w:bookmarkStart w:id="92" w:name="_Toc184312099"/>
      <w:bookmarkEnd w:id="92"/>
      <w:bookmarkStart w:id="93" w:name="_Toc184308055"/>
      <w:bookmarkEnd w:id="93"/>
      <w:bookmarkStart w:id="94" w:name="_Toc184314452"/>
      <w:bookmarkEnd w:id="94"/>
      <w:bookmarkStart w:id="95" w:name="_Toc184312084"/>
      <w:bookmarkEnd w:id="95"/>
      <w:bookmarkStart w:id="96" w:name="_Toc184308079"/>
      <w:bookmarkEnd w:id="96"/>
      <w:bookmarkStart w:id="97" w:name="_Toc184308074"/>
      <w:bookmarkEnd w:id="97"/>
      <w:bookmarkStart w:id="98" w:name="_Toc184314477"/>
      <w:bookmarkEnd w:id="98"/>
      <w:bookmarkStart w:id="99" w:name="_Toc184313310"/>
      <w:bookmarkEnd w:id="99"/>
      <w:bookmarkStart w:id="100" w:name="_Toc184313288"/>
      <w:bookmarkEnd w:id="100"/>
      <w:bookmarkStart w:id="101" w:name="_Toc184308043"/>
      <w:bookmarkEnd w:id="101"/>
      <w:bookmarkStart w:id="102" w:name="_Toc184312087"/>
      <w:bookmarkEnd w:id="102"/>
      <w:bookmarkStart w:id="103" w:name="_Toc184314467"/>
      <w:bookmarkEnd w:id="103"/>
      <w:bookmarkStart w:id="104" w:name="_Toc184308107"/>
      <w:bookmarkEnd w:id="104"/>
      <w:bookmarkStart w:id="105" w:name="_Toc184310315"/>
      <w:bookmarkEnd w:id="105"/>
      <w:bookmarkStart w:id="106" w:name="_Toc184314427"/>
      <w:bookmarkEnd w:id="106"/>
      <w:bookmarkStart w:id="107" w:name="_Toc184310277"/>
      <w:bookmarkEnd w:id="107"/>
      <w:bookmarkStart w:id="108" w:name="_Toc184313287"/>
      <w:bookmarkEnd w:id="108"/>
      <w:bookmarkStart w:id="109" w:name="_Toc184313248"/>
      <w:bookmarkEnd w:id="109"/>
      <w:bookmarkStart w:id="110" w:name="_Toc184308104"/>
      <w:bookmarkEnd w:id="110"/>
      <w:bookmarkStart w:id="111" w:name="_Toc184313304"/>
      <w:bookmarkEnd w:id="111"/>
      <w:bookmarkStart w:id="112" w:name="_Toc184308059"/>
      <w:bookmarkEnd w:id="112"/>
      <w:bookmarkStart w:id="113" w:name="_Toc184308101"/>
      <w:bookmarkEnd w:id="113"/>
      <w:bookmarkStart w:id="114" w:name="_Toc184312080"/>
      <w:bookmarkEnd w:id="114"/>
      <w:bookmarkStart w:id="115" w:name="_Toc184314435"/>
      <w:bookmarkEnd w:id="115"/>
      <w:bookmarkStart w:id="116" w:name="_Toc184312138"/>
      <w:bookmarkEnd w:id="116"/>
      <w:bookmarkStart w:id="117" w:name="_Toc184313280"/>
      <w:bookmarkEnd w:id="117"/>
      <w:bookmarkStart w:id="118" w:name="_Toc184308105"/>
      <w:bookmarkEnd w:id="118"/>
      <w:bookmarkStart w:id="119" w:name="_Toc184312088"/>
      <w:bookmarkEnd w:id="119"/>
      <w:bookmarkStart w:id="120" w:name="_Toc184314416"/>
      <w:bookmarkEnd w:id="120"/>
      <w:bookmarkStart w:id="121" w:name="_Toc184310338"/>
      <w:bookmarkEnd w:id="121"/>
      <w:bookmarkStart w:id="122" w:name="_Toc184310298"/>
      <w:bookmarkEnd w:id="122"/>
      <w:bookmarkStart w:id="123" w:name="_Toc184308056"/>
      <w:bookmarkEnd w:id="123"/>
      <w:bookmarkStart w:id="124" w:name="_Toc184313283"/>
      <w:bookmarkEnd w:id="124"/>
      <w:bookmarkStart w:id="125" w:name="_Toc184313260"/>
      <w:bookmarkEnd w:id="125"/>
      <w:bookmarkStart w:id="126" w:name="_Toc184308039"/>
      <w:bookmarkEnd w:id="126"/>
      <w:bookmarkStart w:id="127" w:name="_Toc184308063"/>
      <w:bookmarkEnd w:id="127"/>
      <w:bookmarkStart w:id="128" w:name="_Toc184313254"/>
      <w:bookmarkEnd w:id="128"/>
      <w:bookmarkStart w:id="129" w:name="_Toc184310336"/>
      <w:bookmarkEnd w:id="129"/>
      <w:bookmarkStart w:id="130" w:name="_Toc184314420"/>
      <w:bookmarkEnd w:id="130"/>
      <w:bookmarkStart w:id="131" w:name="_Toc184313286"/>
      <w:bookmarkEnd w:id="131"/>
      <w:bookmarkStart w:id="132" w:name="_Toc184313293"/>
      <w:bookmarkEnd w:id="132"/>
      <w:bookmarkStart w:id="133" w:name="_Toc184310297"/>
      <w:bookmarkEnd w:id="133"/>
      <w:bookmarkStart w:id="134" w:name="_Toc184314446"/>
      <w:bookmarkEnd w:id="134"/>
      <w:bookmarkStart w:id="135" w:name="_Toc184314422"/>
      <w:bookmarkEnd w:id="135"/>
      <w:bookmarkStart w:id="136" w:name="_Toc184312112"/>
      <w:bookmarkEnd w:id="136"/>
      <w:bookmarkStart w:id="137" w:name="_Toc184312074"/>
      <w:bookmarkEnd w:id="137"/>
      <w:bookmarkStart w:id="138" w:name="_Toc184310340"/>
      <w:bookmarkEnd w:id="138"/>
      <w:bookmarkStart w:id="139" w:name="_Toc184313266"/>
      <w:bookmarkEnd w:id="139"/>
      <w:bookmarkStart w:id="140" w:name="_Toc184312072"/>
      <w:bookmarkEnd w:id="140"/>
      <w:bookmarkStart w:id="141" w:name="_Toc184313281"/>
      <w:bookmarkEnd w:id="141"/>
      <w:bookmarkStart w:id="142" w:name="_Toc184313291"/>
      <w:bookmarkEnd w:id="142"/>
      <w:bookmarkStart w:id="143" w:name="_Toc184310319"/>
      <w:bookmarkEnd w:id="143"/>
      <w:bookmarkStart w:id="144" w:name="_Toc184310320"/>
      <w:bookmarkEnd w:id="144"/>
      <w:bookmarkStart w:id="145" w:name="_Toc184312119"/>
      <w:bookmarkEnd w:id="145"/>
      <w:bookmarkStart w:id="146" w:name="_Toc184314458"/>
      <w:bookmarkEnd w:id="146"/>
      <w:bookmarkStart w:id="147" w:name="_Toc184308065"/>
      <w:bookmarkEnd w:id="147"/>
      <w:bookmarkStart w:id="148" w:name="_Toc184310295"/>
      <w:bookmarkEnd w:id="148"/>
      <w:bookmarkStart w:id="149" w:name="_Toc184312131"/>
      <w:bookmarkEnd w:id="149"/>
      <w:bookmarkStart w:id="150" w:name="_Toc184314469"/>
      <w:bookmarkEnd w:id="150"/>
      <w:bookmarkStart w:id="151" w:name="_Toc184313306"/>
      <w:bookmarkEnd w:id="151"/>
      <w:bookmarkStart w:id="152" w:name="_Toc184313275"/>
      <w:bookmarkEnd w:id="152"/>
      <w:bookmarkStart w:id="153" w:name="_Toc184312107"/>
      <w:bookmarkEnd w:id="153"/>
      <w:bookmarkStart w:id="154" w:name="_Toc184313250"/>
      <w:bookmarkEnd w:id="154"/>
      <w:bookmarkStart w:id="155" w:name="_Toc184314471"/>
      <w:bookmarkEnd w:id="155"/>
      <w:bookmarkStart w:id="156" w:name="_Toc184308083"/>
      <w:bookmarkEnd w:id="156"/>
      <w:bookmarkStart w:id="157" w:name="_Toc184310321"/>
      <w:bookmarkEnd w:id="157"/>
      <w:bookmarkStart w:id="158" w:name="_Toc184312122"/>
      <w:bookmarkEnd w:id="158"/>
      <w:bookmarkStart w:id="159" w:name="_Toc184312077"/>
      <w:bookmarkEnd w:id="159"/>
      <w:bookmarkStart w:id="160" w:name="_Toc184314424"/>
      <w:bookmarkEnd w:id="160"/>
      <w:bookmarkStart w:id="161" w:name="_Toc184312078"/>
      <w:bookmarkEnd w:id="161"/>
      <w:bookmarkStart w:id="162" w:name="_Toc184314472"/>
      <w:bookmarkEnd w:id="162"/>
      <w:bookmarkStart w:id="163" w:name="_Toc184312120"/>
      <w:bookmarkEnd w:id="163"/>
      <w:bookmarkStart w:id="164" w:name="_Toc184314429"/>
      <w:bookmarkEnd w:id="164"/>
      <w:bookmarkStart w:id="165" w:name="_Toc184313308"/>
      <w:bookmarkEnd w:id="165"/>
      <w:bookmarkStart w:id="166" w:name="_Toc184312092"/>
      <w:bookmarkEnd w:id="166"/>
      <w:bookmarkStart w:id="167" w:name="_Toc184308050"/>
      <w:bookmarkEnd w:id="167"/>
      <w:bookmarkStart w:id="168" w:name="_Toc184310334"/>
      <w:bookmarkEnd w:id="168"/>
      <w:bookmarkStart w:id="169" w:name="_Toc184308078"/>
      <w:bookmarkEnd w:id="169"/>
      <w:bookmarkStart w:id="170" w:name="_Toc184314414"/>
      <w:bookmarkEnd w:id="170"/>
      <w:bookmarkStart w:id="171" w:name="_Toc184308070"/>
      <w:bookmarkEnd w:id="171"/>
      <w:bookmarkStart w:id="172" w:name="_Toc184312110"/>
      <w:bookmarkEnd w:id="172"/>
      <w:bookmarkStart w:id="173" w:name="_Toc184314413"/>
      <w:bookmarkEnd w:id="173"/>
      <w:bookmarkStart w:id="174" w:name="_Toc184312105"/>
      <w:bookmarkEnd w:id="174"/>
      <w:bookmarkStart w:id="175" w:name="_Toc184314436"/>
      <w:bookmarkEnd w:id="175"/>
      <w:bookmarkStart w:id="176" w:name="_Toc184314481"/>
      <w:bookmarkEnd w:id="176"/>
      <w:bookmarkStart w:id="177" w:name="_Toc184312115"/>
      <w:bookmarkEnd w:id="177"/>
      <w:bookmarkStart w:id="178" w:name="_Toc184313300"/>
      <w:bookmarkEnd w:id="178"/>
      <w:bookmarkStart w:id="179" w:name="_Toc184312102"/>
      <w:bookmarkEnd w:id="179"/>
      <w:bookmarkStart w:id="180" w:name="_Toc184312139"/>
      <w:bookmarkEnd w:id="180"/>
      <w:bookmarkStart w:id="181" w:name="_Toc184313298"/>
      <w:bookmarkEnd w:id="181"/>
      <w:bookmarkStart w:id="182" w:name="_Toc184314461"/>
      <w:bookmarkEnd w:id="182"/>
      <w:bookmarkStart w:id="183" w:name="_Toc184312098"/>
      <w:bookmarkEnd w:id="183"/>
      <w:bookmarkStart w:id="184" w:name="_Toc184308087"/>
      <w:bookmarkEnd w:id="184"/>
      <w:bookmarkStart w:id="185" w:name="_Toc184308097"/>
      <w:bookmarkEnd w:id="185"/>
      <w:bookmarkStart w:id="186" w:name="_Toc184313284"/>
      <w:bookmarkEnd w:id="186"/>
      <w:bookmarkStart w:id="187" w:name="_Toc184312086"/>
      <w:bookmarkEnd w:id="187"/>
      <w:bookmarkStart w:id="188" w:name="_Toc184308069"/>
      <w:bookmarkEnd w:id="188"/>
      <w:bookmarkStart w:id="189" w:name="_Toc184313252"/>
      <w:bookmarkEnd w:id="189"/>
      <w:bookmarkStart w:id="190" w:name="_Toc184312091"/>
      <w:bookmarkEnd w:id="190"/>
      <w:bookmarkStart w:id="191" w:name="_Toc184312079"/>
      <w:bookmarkEnd w:id="191"/>
      <w:bookmarkStart w:id="192" w:name="_Toc184312104"/>
      <w:bookmarkEnd w:id="192"/>
      <w:bookmarkStart w:id="193" w:name="_Toc184314430"/>
      <w:bookmarkEnd w:id="193"/>
      <w:bookmarkStart w:id="194" w:name="_Toc184313294"/>
      <w:bookmarkEnd w:id="194"/>
      <w:bookmarkStart w:id="195" w:name="_Toc184310276"/>
      <w:bookmarkEnd w:id="195"/>
      <w:bookmarkStart w:id="196" w:name="_Toc184313259"/>
      <w:bookmarkEnd w:id="196"/>
      <w:bookmarkStart w:id="197" w:name="_Toc184310329"/>
      <w:bookmarkEnd w:id="197"/>
      <w:bookmarkStart w:id="198" w:name="_Toc184314445"/>
      <w:bookmarkEnd w:id="198"/>
      <w:bookmarkStart w:id="199" w:name="_Toc184313297"/>
      <w:bookmarkEnd w:id="199"/>
      <w:bookmarkStart w:id="200" w:name="_Toc184312071"/>
      <w:bookmarkEnd w:id="200"/>
      <w:bookmarkStart w:id="201" w:name="_Toc184313295"/>
      <w:bookmarkEnd w:id="201"/>
      <w:bookmarkStart w:id="202" w:name="_Toc184308042"/>
      <w:bookmarkEnd w:id="202"/>
      <w:bookmarkStart w:id="203" w:name="_Toc184312089"/>
      <w:bookmarkEnd w:id="203"/>
      <w:bookmarkStart w:id="204" w:name="_Toc184312129"/>
      <w:bookmarkEnd w:id="204"/>
      <w:bookmarkStart w:id="205" w:name="_Toc184310327"/>
      <w:bookmarkEnd w:id="205"/>
      <w:bookmarkStart w:id="206" w:name="_Toc184308094"/>
      <w:bookmarkEnd w:id="206"/>
      <w:bookmarkStart w:id="207" w:name="_Toc184314421"/>
      <w:bookmarkEnd w:id="207"/>
      <w:bookmarkStart w:id="208" w:name="_Toc184313269"/>
      <w:bookmarkEnd w:id="208"/>
      <w:bookmarkStart w:id="209" w:name="_Toc184310290"/>
      <w:bookmarkEnd w:id="209"/>
      <w:bookmarkStart w:id="210" w:name="_Toc184310323"/>
      <w:bookmarkEnd w:id="210"/>
      <w:bookmarkStart w:id="211" w:name="_Toc184312100"/>
      <w:bookmarkEnd w:id="211"/>
      <w:bookmarkStart w:id="212" w:name="_Toc184313268"/>
      <w:bookmarkEnd w:id="212"/>
      <w:bookmarkStart w:id="213" w:name="_Toc184313271"/>
      <w:bookmarkEnd w:id="213"/>
      <w:bookmarkStart w:id="214" w:name="_Toc184308075"/>
      <w:bookmarkEnd w:id="214"/>
      <w:bookmarkStart w:id="215" w:name="_Toc184312069"/>
      <w:bookmarkEnd w:id="215"/>
      <w:bookmarkStart w:id="216" w:name="_Toc184310301"/>
      <w:bookmarkEnd w:id="216"/>
      <w:bookmarkStart w:id="217" w:name="_Toc184314476"/>
      <w:bookmarkEnd w:id="217"/>
      <w:bookmarkStart w:id="218" w:name="_Toc184310306"/>
      <w:bookmarkEnd w:id="218"/>
      <w:bookmarkStart w:id="219" w:name="_Toc184310317"/>
      <w:bookmarkEnd w:id="219"/>
      <w:bookmarkStart w:id="220" w:name="_Toc184314425"/>
      <w:bookmarkEnd w:id="220"/>
      <w:bookmarkStart w:id="221" w:name="_Toc184310287"/>
      <w:bookmarkEnd w:id="221"/>
      <w:bookmarkStart w:id="222" w:name="_Toc184308095"/>
      <w:bookmarkEnd w:id="222"/>
      <w:bookmarkStart w:id="223" w:name="_Toc184314417"/>
      <w:bookmarkEnd w:id="223"/>
      <w:bookmarkStart w:id="224" w:name="_Toc184308108"/>
      <w:bookmarkEnd w:id="224"/>
      <w:bookmarkStart w:id="225" w:name="_Toc184310318"/>
      <w:bookmarkEnd w:id="225"/>
      <w:bookmarkStart w:id="226" w:name="_Toc184314470"/>
      <w:bookmarkEnd w:id="226"/>
      <w:bookmarkStart w:id="227" w:name="_Toc184313253"/>
      <w:bookmarkEnd w:id="227"/>
      <w:bookmarkStart w:id="228" w:name="_Toc184313257"/>
      <w:bookmarkEnd w:id="228"/>
      <w:bookmarkStart w:id="229" w:name="_Toc184312113"/>
      <w:bookmarkEnd w:id="229"/>
      <w:bookmarkStart w:id="230" w:name="_Toc184308049"/>
      <w:bookmarkEnd w:id="230"/>
      <w:bookmarkStart w:id="231" w:name="_Toc184308076"/>
      <w:bookmarkEnd w:id="231"/>
      <w:bookmarkStart w:id="232" w:name="_Toc184308085"/>
      <w:bookmarkEnd w:id="232"/>
      <w:bookmarkStart w:id="233" w:name="_Toc184310311"/>
      <w:bookmarkEnd w:id="233"/>
      <w:bookmarkStart w:id="234" w:name="_Toc184308080"/>
      <w:bookmarkEnd w:id="234"/>
      <w:bookmarkStart w:id="235" w:name="_Toc184308044"/>
      <w:bookmarkEnd w:id="235"/>
      <w:bookmarkStart w:id="236" w:name="_Toc184313238"/>
      <w:bookmarkEnd w:id="236"/>
      <w:bookmarkStart w:id="237" w:name="_Toc184308077"/>
      <w:bookmarkEnd w:id="237"/>
      <w:bookmarkStart w:id="238" w:name="_Toc184308098"/>
      <w:bookmarkEnd w:id="238"/>
      <w:bookmarkStart w:id="239" w:name="_Toc184314451"/>
      <w:bookmarkEnd w:id="239"/>
      <w:bookmarkStart w:id="240" w:name="_Toc184314428"/>
      <w:bookmarkEnd w:id="240"/>
      <w:bookmarkStart w:id="241" w:name="_Toc184314462"/>
      <w:bookmarkEnd w:id="241"/>
      <w:bookmarkStart w:id="242" w:name="_Toc184313263"/>
      <w:bookmarkEnd w:id="242"/>
      <w:bookmarkStart w:id="243" w:name="_Toc184313277"/>
      <w:bookmarkEnd w:id="243"/>
      <w:bookmarkStart w:id="244" w:name="_Toc184310330"/>
      <w:bookmarkEnd w:id="244"/>
      <w:bookmarkStart w:id="245" w:name="_Toc184310282"/>
      <w:bookmarkEnd w:id="245"/>
      <w:bookmarkStart w:id="246" w:name="_Toc184314443"/>
      <w:bookmarkEnd w:id="246"/>
      <w:bookmarkStart w:id="247" w:name="_Toc184312068"/>
      <w:bookmarkEnd w:id="247"/>
      <w:bookmarkStart w:id="248" w:name="_Toc184310303"/>
      <w:bookmarkEnd w:id="248"/>
      <w:bookmarkStart w:id="249" w:name="_Toc184308096"/>
      <w:bookmarkEnd w:id="249"/>
      <w:bookmarkStart w:id="250" w:name="_Toc184308081"/>
      <w:bookmarkEnd w:id="250"/>
      <w:bookmarkStart w:id="251" w:name="_Toc184312114"/>
      <w:bookmarkEnd w:id="251"/>
      <w:bookmarkStart w:id="252" w:name="_Toc184313285"/>
      <w:bookmarkEnd w:id="252"/>
      <w:bookmarkStart w:id="253" w:name="_Toc184308073"/>
      <w:bookmarkEnd w:id="253"/>
      <w:bookmarkStart w:id="254" w:name="_Toc184308072"/>
      <w:bookmarkEnd w:id="254"/>
      <w:bookmarkStart w:id="255" w:name="_Toc184312067"/>
      <w:bookmarkEnd w:id="255"/>
      <w:bookmarkStart w:id="256" w:name="_Toc184308064"/>
      <w:bookmarkEnd w:id="256"/>
      <w:bookmarkStart w:id="257" w:name="_Toc184312101"/>
      <w:bookmarkEnd w:id="257"/>
      <w:bookmarkStart w:id="258" w:name="_Toc184314410"/>
      <w:bookmarkEnd w:id="258"/>
      <w:bookmarkStart w:id="259" w:name="_Toc184313251"/>
      <w:bookmarkEnd w:id="259"/>
      <w:bookmarkStart w:id="260" w:name="_Toc184312126"/>
      <w:bookmarkEnd w:id="260"/>
      <w:bookmarkStart w:id="261" w:name="_Toc184313249"/>
      <w:bookmarkEnd w:id="261"/>
      <w:bookmarkStart w:id="262" w:name="_Toc184312137"/>
      <w:bookmarkEnd w:id="262"/>
      <w:bookmarkStart w:id="263" w:name="_Toc184312108"/>
      <w:bookmarkEnd w:id="263"/>
      <w:bookmarkStart w:id="264" w:name="_Toc184308086"/>
      <w:bookmarkEnd w:id="264"/>
      <w:bookmarkStart w:id="265" w:name="_Toc184314419"/>
      <w:bookmarkEnd w:id="265"/>
      <w:bookmarkStart w:id="266" w:name="_Toc184310280"/>
      <w:bookmarkEnd w:id="266"/>
      <w:bookmarkStart w:id="267" w:name="_Toc184308058"/>
      <w:bookmarkEnd w:id="267"/>
      <w:bookmarkStart w:id="268" w:name="_Toc184313255"/>
      <w:bookmarkEnd w:id="268"/>
      <w:bookmarkStart w:id="269" w:name="_Toc184314411"/>
      <w:bookmarkEnd w:id="269"/>
      <w:bookmarkStart w:id="270" w:name="_Toc184312070"/>
      <w:bookmarkEnd w:id="270"/>
      <w:bookmarkStart w:id="271" w:name="_Toc184313240"/>
      <w:bookmarkEnd w:id="271"/>
      <w:bookmarkStart w:id="272" w:name="_Toc184314460"/>
      <w:bookmarkEnd w:id="272"/>
      <w:bookmarkStart w:id="273" w:name="_Toc184308088"/>
      <w:bookmarkEnd w:id="273"/>
      <w:bookmarkStart w:id="274" w:name="_Toc184312111"/>
      <w:bookmarkEnd w:id="274"/>
      <w:bookmarkStart w:id="275" w:name="_Toc184310289"/>
      <w:bookmarkEnd w:id="275"/>
      <w:bookmarkStart w:id="276" w:name="_Toc184314439"/>
      <w:bookmarkEnd w:id="276"/>
      <w:bookmarkStart w:id="277" w:name="_Toc184313243"/>
      <w:bookmarkEnd w:id="277"/>
      <w:bookmarkStart w:id="278" w:name="_Toc184312082"/>
      <w:bookmarkEnd w:id="278"/>
      <w:bookmarkStart w:id="279" w:name="_Toc184313307"/>
      <w:bookmarkEnd w:id="279"/>
      <w:bookmarkStart w:id="280" w:name="_Toc184312117"/>
      <w:bookmarkEnd w:id="280"/>
      <w:bookmarkStart w:id="281" w:name="_Toc184312127"/>
      <w:bookmarkEnd w:id="281"/>
      <w:bookmarkStart w:id="282" w:name="_Toc184310272"/>
      <w:bookmarkEnd w:id="282"/>
      <w:bookmarkStart w:id="283" w:name="_Toc184312109"/>
      <w:bookmarkEnd w:id="283"/>
      <w:bookmarkStart w:id="284" w:name="_Toc184310312"/>
      <w:bookmarkEnd w:id="284"/>
      <w:bookmarkStart w:id="285" w:name="_Toc184310339"/>
      <w:bookmarkEnd w:id="285"/>
      <w:bookmarkStart w:id="286" w:name="_Toc184310316"/>
      <w:bookmarkEnd w:id="286"/>
      <w:bookmarkStart w:id="287" w:name="_Toc184313242"/>
      <w:bookmarkEnd w:id="287"/>
      <w:bookmarkStart w:id="288" w:name="_Toc184312125"/>
      <w:bookmarkEnd w:id="288"/>
      <w:bookmarkStart w:id="289" w:name="_Toc184310332"/>
      <w:bookmarkEnd w:id="289"/>
      <w:bookmarkStart w:id="290" w:name="_Toc184314453"/>
      <w:bookmarkEnd w:id="290"/>
      <w:bookmarkStart w:id="291" w:name="_Toc184310302"/>
      <w:bookmarkEnd w:id="291"/>
      <w:bookmarkStart w:id="292" w:name="_Toc184312130"/>
      <w:bookmarkEnd w:id="292"/>
      <w:bookmarkStart w:id="293" w:name="_Toc184313262"/>
      <w:bookmarkEnd w:id="293"/>
      <w:bookmarkStart w:id="294" w:name="_Toc184313273"/>
      <w:bookmarkEnd w:id="294"/>
      <w:bookmarkStart w:id="295" w:name="_Toc184312133"/>
      <w:bookmarkEnd w:id="295"/>
      <w:bookmarkStart w:id="296" w:name="_Toc184312094"/>
      <w:bookmarkEnd w:id="296"/>
      <w:bookmarkStart w:id="297" w:name="_Toc184313261"/>
      <w:bookmarkEnd w:id="297"/>
      <w:bookmarkStart w:id="298" w:name="_Toc184313274"/>
      <w:bookmarkEnd w:id="298"/>
      <w:bookmarkStart w:id="299" w:name="_Toc184313247"/>
      <w:bookmarkEnd w:id="299"/>
      <w:bookmarkStart w:id="300" w:name="_Toc184310296"/>
      <w:bookmarkEnd w:id="300"/>
      <w:bookmarkStart w:id="301" w:name="_Toc184310344"/>
      <w:bookmarkEnd w:id="301"/>
      <w:bookmarkStart w:id="302" w:name="_Toc184314440"/>
      <w:bookmarkEnd w:id="302"/>
      <w:bookmarkStart w:id="303" w:name="_Toc184308052"/>
      <w:bookmarkEnd w:id="303"/>
      <w:bookmarkStart w:id="304" w:name="_Toc184310324"/>
      <w:bookmarkEnd w:id="304"/>
      <w:bookmarkStart w:id="305" w:name="_Toc184313270"/>
      <w:bookmarkEnd w:id="305"/>
      <w:bookmarkStart w:id="306" w:name="_Toc184312106"/>
      <w:bookmarkEnd w:id="306"/>
      <w:bookmarkStart w:id="307" w:name="_Toc184314412"/>
      <w:bookmarkEnd w:id="307"/>
      <w:bookmarkStart w:id="308" w:name="_Toc184312083"/>
      <w:bookmarkEnd w:id="308"/>
      <w:bookmarkStart w:id="309" w:name="_Toc184308054"/>
      <w:bookmarkEnd w:id="309"/>
      <w:bookmarkStart w:id="310" w:name="_Toc184314415"/>
      <w:bookmarkEnd w:id="310"/>
      <w:bookmarkStart w:id="311" w:name="_Toc184308071"/>
      <w:bookmarkEnd w:id="311"/>
      <w:bookmarkStart w:id="312" w:name="_Toc184314468"/>
      <w:bookmarkEnd w:id="312"/>
      <w:bookmarkStart w:id="313" w:name="_Toc184314457"/>
      <w:bookmarkEnd w:id="313"/>
      <w:bookmarkStart w:id="314" w:name="_Toc184310305"/>
      <w:bookmarkEnd w:id="314"/>
      <w:bookmarkStart w:id="315" w:name="_Toc184308041"/>
      <w:bookmarkEnd w:id="315"/>
      <w:bookmarkStart w:id="316" w:name="_Toc184313296"/>
      <w:bookmarkEnd w:id="316"/>
      <w:bookmarkStart w:id="317" w:name="_Toc184313256"/>
      <w:bookmarkEnd w:id="317"/>
      <w:bookmarkStart w:id="318" w:name="_Toc184310322"/>
      <w:bookmarkEnd w:id="318"/>
      <w:bookmarkStart w:id="319" w:name="_Toc184308045"/>
      <w:bookmarkEnd w:id="319"/>
      <w:bookmarkStart w:id="320" w:name="_Toc184314444"/>
      <w:bookmarkEnd w:id="320"/>
      <w:bookmarkStart w:id="321" w:name="_Toc184310314"/>
      <w:bookmarkEnd w:id="321"/>
      <w:bookmarkStart w:id="322" w:name="_Toc184310291"/>
      <w:bookmarkEnd w:id="322"/>
      <w:bookmarkStart w:id="323" w:name="_Toc184314480"/>
      <w:bookmarkEnd w:id="323"/>
      <w:bookmarkStart w:id="324" w:name="_Toc184313276"/>
      <w:bookmarkEnd w:id="324"/>
      <w:bookmarkStart w:id="325" w:name="_Toc184310294"/>
      <w:bookmarkEnd w:id="325"/>
      <w:bookmarkStart w:id="326" w:name="_Toc184314442"/>
      <w:bookmarkEnd w:id="326"/>
      <w:bookmarkStart w:id="327" w:name="_Toc184310328"/>
      <w:bookmarkEnd w:id="327"/>
      <w:bookmarkStart w:id="328" w:name="_Toc184313290"/>
      <w:bookmarkEnd w:id="328"/>
      <w:bookmarkStart w:id="329" w:name="_Toc184308067"/>
      <w:bookmarkEnd w:id="329"/>
      <w:bookmarkStart w:id="330" w:name="_Toc184310293"/>
      <w:bookmarkEnd w:id="330"/>
      <w:bookmarkStart w:id="331" w:name="_Toc184310333"/>
      <w:bookmarkEnd w:id="331"/>
      <w:bookmarkStart w:id="332" w:name="_Toc184313303"/>
      <w:bookmarkEnd w:id="332"/>
      <w:bookmarkStart w:id="333" w:name="_Toc184310274"/>
      <w:bookmarkEnd w:id="333"/>
      <w:bookmarkStart w:id="334" w:name="_Toc184310292"/>
      <w:bookmarkEnd w:id="334"/>
      <w:bookmarkStart w:id="335" w:name="_Toc184313301"/>
      <w:bookmarkEnd w:id="335"/>
      <w:bookmarkStart w:id="336" w:name="_Toc184313309"/>
      <w:bookmarkEnd w:id="336"/>
      <w:bookmarkStart w:id="337" w:name="_Toc184314482"/>
      <w:bookmarkEnd w:id="337"/>
      <w:bookmarkStart w:id="338" w:name="_Toc184310307"/>
      <w:bookmarkEnd w:id="338"/>
      <w:bookmarkStart w:id="339" w:name="_Toc184314463"/>
      <w:bookmarkEnd w:id="339"/>
      <w:bookmarkStart w:id="340" w:name="_Toc184308103"/>
      <w:bookmarkEnd w:id="340"/>
      <w:bookmarkStart w:id="341" w:name="_Toc184314475"/>
      <w:bookmarkEnd w:id="341"/>
      <w:bookmarkStart w:id="342" w:name="_Toc184314456"/>
      <w:bookmarkEnd w:id="342"/>
      <w:bookmarkStart w:id="343" w:name="_Toc184310281"/>
      <w:bookmarkEnd w:id="343"/>
      <w:bookmarkStart w:id="344" w:name="_Toc184310335"/>
      <w:bookmarkEnd w:id="344"/>
      <w:bookmarkStart w:id="345" w:name="_Toc184312128"/>
      <w:bookmarkEnd w:id="345"/>
      <w:bookmarkStart w:id="346" w:name="_Toc184314449"/>
      <w:bookmarkEnd w:id="346"/>
      <w:bookmarkStart w:id="347" w:name="_Toc184313267"/>
      <w:bookmarkEnd w:id="347"/>
      <w:bookmarkStart w:id="348" w:name="_Toc184312075"/>
      <w:bookmarkEnd w:id="348"/>
      <w:bookmarkStart w:id="349" w:name="_Toc184312085"/>
      <w:bookmarkEnd w:id="349"/>
      <w:bookmarkStart w:id="350" w:name="_Toc184312123"/>
      <w:bookmarkEnd w:id="350"/>
      <w:bookmarkStart w:id="351" w:name="_Toc184310310"/>
      <w:bookmarkEnd w:id="351"/>
      <w:bookmarkStart w:id="352" w:name="_Toc184308060"/>
      <w:bookmarkEnd w:id="352"/>
      <w:bookmarkStart w:id="353" w:name="_Toc184312124"/>
      <w:bookmarkEnd w:id="353"/>
      <w:bookmarkStart w:id="354" w:name="_Toc184313292"/>
      <w:bookmarkEnd w:id="354"/>
      <w:bookmarkStart w:id="355" w:name="_Toc184312132"/>
      <w:bookmarkEnd w:id="355"/>
      <w:bookmarkStart w:id="356" w:name="_Toc184314479"/>
      <w:bookmarkEnd w:id="356"/>
      <w:bookmarkStart w:id="357" w:name="_Toc184308053"/>
      <w:bookmarkEnd w:id="357"/>
      <w:bookmarkStart w:id="358" w:name="_Toc184314441"/>
      <w:bookmarkEnd w:id="358"/>
      <w:bookmarkStart w:id="359" w:name="_Toc184312097"/>
      <w:bookmarkEnd w:id="359"/>
      <w:bookmarkStart w:id="360" w:name="_Toc184312121"/>
      <w:bookmarkEnd w:id="360"/>
      <w:bookmarkStart w:id="361" w:name="_Toc184310313"/>
      <w:bookmarkEnd w:id="361"/>
      <w:bookmarkStart w:id="362" w:name="_Toc184313272"/>
      <w:bookmarkEnd w:id="362"/>
      <w:bookmarkStart w:id="363" w:name="_Toc184310286"/>
      <w:bookmarkEnd w:id="363"/>
      <w:bookmarkStart w:id="364" w:name="_Toc184312081"/>
      <w:bookmarkEnd w:id="364"/>
      <w:bookmarkStart w:id="365" w:name="_Toc184308090"/>
      <w:bookmarkEnd w:id="365"/>
      <w:bookmarkStart w:id="366" w:name="_Toc184312095"/>
      <w:bookmarkEnd w:id="366"/>
      <w:bookmarkStart w:id="367" w:name="_Toc184310342"/>
      <w:bookmarkEnd w:id="367"/>
      <w:bookmarkStart w:id="368" w:name="_Toc184310343"/>
      <w:bookmarkEnd w:id="368"/>
      <w:bookmarkStart w:id="369" w:name="_Toc184310337"/>
      <w:bookmarkEnd w:id="369"/>
      <w:bookmarkStart w:id="370" w:name="_Toc184310304"/>
      <w:bookmarkEnd w:id="370"/>
      <w:bookmarkStart w:id="371" w:name="_Toc184313244"/>
      <w:bookmarkEnd w:id="371"/>
      <w:bookmarkStart w:id="372" w:name="_Toc184314432"/>
      <w:bookmarkEnd w:id="372"/>
      <w:bookmarkStart w:id="373" w:name="_Toc184313239"/>
      <w:bookmarkEnd w:id="373"/>
      <w:bookmarkStart w:id="374" w:name="_Toc184312103"/>
      <w:bookmarkEnd w:id="374"/>
      <w:bookmarkStart w:id="375" w:name="_Toc184313282"/>
      <w:bookmarkEnd w:id="375"/>
      <w:bookmarkStart w:id="376" w:name="_Toc184314450"/>
      <w:bookmarkEnd w:id="376"/>
      <w:bookmarkStart w:id="377" w:name="_Toc184310278"/>
      <w:bookmarkEnd w:id="377"/>
      <w:bookmarkStart w:id="378" w:name="_Toc184308048"/>
      <w:bookmarkEnd w:id="378"/>
      <w:bookmarkStart w:id="379" w:name="_Toc184308100"/>
      <w:bookmarkEnd w:id="379"/>
      <w:bookmarkStart w:id="380" w:name="_Toc184310326"/>
      <w:bookmarkEnd w:id="380"/>
      <w:r>
        <w:rPr>
          <w:rFonts w:hint="eastAsia" w:ascii="宋体" w:hAnsi="宋体" w:cs="宋体"/>
          <w:b/>
          <w:color w:val="auto"/>
          <w:sz w:val="36"/>
          <w:szCs w:val="36"/>
          <w:highlight w:val="none"/>
          <w:lang w:val="en-US" w:eastAsia="zh-CN"/>
        </w:rPr>
        <w:t>评审办法</w:t>
      </w:r>
    </w:p>
    <w:bookmarkEnd w:id="15"/>
    <w:p>
      <w:pPr>
        <w:snapToGrid w:val="0"/>
        <w:spacing w:line="360" w:lineRule="auto"/>
        <w:jc w:val="center"/>
        <w:rPr>
          <w:rFonts w:hint="eastAsia" w:ascii="宋体" w:hAnsi="宋体" w:eastAsia="宋体" w:cs="宋体"/>
          <w:b/>
          <w:color w:val="auto"/>
          <w:sz w:val="32"/>
          <w:szCs w:val="20"/>
          <w:highlight w:val="none"/>
        </w:rPr>
      </w:pPr>
      <w:bookmarkStart w:id="381" w:name="第五部分"/>
      <w:bookmarkStart w:id="382" w:name="_Toc86217003"/>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pPr w:leftFromText="180" w:rightFromText="180" w:vertAnchor="text" w:horzAnchor="page" w:tblpXSpec="center" w:tblpY="78"/>
        <w:tblOverlap w:val="never"/>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1"/>
        <w:gridCol w:w="1288"/>
        <w:gridCol w:w="5447"/>
        <w:gridCol w:w="73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5" w:type="dxa"/>
            <w:noWrap/>
            <w:vAlign w:val="center"/>
          </w:tcPr>
          <w:p>
            <w:pPr>
              <w:jc w:val="center"/>
              <w:rPr>
                <w:rFonts w:ascii="宋体" w:hAnsi="宋体" w:cs="宋体"/>
                <w:sz w:val="24"/>
              </w:rPr>
            </w:pPr>
            <w:r>
              <w:rPr>
                <w:rFonts w:hint="eastAsia" w:ascii="宋体" w:hAnsi="宋体" w:cs="宋体"/>
                <w:sz w:val="24"/>
              </w:rPr>
              <w:t>项目</w:t>
            </w:r>
          </w:p>
        </w:tc>
        <w:tc>
          <w:tcPr>
            <w:tcW w:w="771" w:type="dxa"/>
            <w:noWrap/>
            <w:vAlign w:val="center"/>
          </w:tcPr>
          <w:p>
            <w:pPr>
              <w:jc w:val="center"/>
              <w:rPr>
                <w:rFonts w:ascii="宋体" w:hAnsi="宋体" w:cs="宋体"/>
                <w:sz w:val="24"/>
              </w:rPr>
            </w:pPr>
            <w:r>
              <w:rPr>
                <w:rFonts w:hint="eastAsia" w:ascii="宋体" w:hAnsi="宋体" w:cs="宋体"/>
                <w:sz w:val="24"/>
              </w:rPr>
              <w:t>序号</w:t>
            </w:r>
          </w:p>
        </w:tc>
        <w:tc>
          <w:tcPr>
            <w:tcW w:w="6735" w:type="dxa"/>
            <w:gridSpan w:val="2"/>
            <w:noWrap/>
            <w:vAlign w:val="center"/>
          </w:tcPr>
          <w:p>
            <w:pPr>
              <w:jc w:val="center"/>
              <w:rPr>
                <w:rFonts w:ascii="宋体" w:hAnsi="宋体" w:cs="宋体"/>
                <w:sz w:val="24"/>
              </w:rPr>
            </w:pPr>
            <w:r>
              <w:rPr>
                <w:rFonts w:hint="eastAsia" w:ascii="宋体" w:hAnsi="宋体" w:cs="宋体"/>
                <w:sz w:val="24"/>
              </w:rPr>
              <w:t>评分内容和标准</w:t>
            </w:r>
          </w:p>
        </w:tc>
        <w:tc>
          <w:tcPr>
            <w:tcW w:w="739" w:type="dxa"/>
            <w:noWrap/>
            <w:vAlign w:val="center"/>
          </w:tcPr>
          <w:p>
            <w:pPr>
              <w:jc w:val="center"/>
              <w:rPr>
                <w:rFonts w:ascii="宋体" w:hAnsi="宋体" w:cs="宋体"/>
                <w:sz w:val="24"/>
              </w:rPr>
            </w:pPr>
            <w:r>
              <w:rPr>
                <w:rFonts w:hint="eastAsia" w:ascii="宋体" w:hAnsi="宋体" w:cs="宋体"/>
                <w:sz w:val="24"/>
              </w:rPr>
              <w:t>分值</w:t>
            </w:r>
          </w:p>
          <w:p>
            <w:pPr>
              <w:jc w:val="center"/>
              <w:rPr>
                <w:rFonts w:ascii="宋体" w:hAnsi="宋体" w:cs="宋体"/>
                <w:sz w:val="24"/>
              </w:rPr>
            </w:pPr>
            <w:r>
              <w:rPr>
                <w:rFonts w:hint="eastAsia" w:ascii="宋体" w:hAnsi="宋体" w:cs="宋体"/>
                <w:sz w:val="24"/>
              </w:rPr>
              <w:t>区间</w:t>
            </w:r>
          </w:p>
        </w:tc>
        <w:tc>
          <w:tcPr>
            <w:tcW w:w="978" w:type="dxa"/>
            <w:noWrap/>
            <w:vAlign w:val="center"/>
          </w:tcPr>
          <w:p>
            <w:pPr>
              <w:jc w:val="center"/>
              <w:rPr>
                <w:rFonts w:ascii="宋体" w:hAnsi="宋体" w:cs="宋体"/>
                <w:sz w:val="24"/>
              </w:rPr>
            </w:pPr>
            <w:r>
              <w:rPr>
                <w:rFonts w:hint="eastAsia" w:ascii="宋体" w:hAnsi="宋体" w:cs="宋体"/>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5" w:type="dxa"/>
            <w:vMerge w:val="restart"/>
            <w:noWrap/>
            <w:vAlign w:val="center"/>
          </w:tcPr>
          <w:p>
            <w:pPr>
              <w:ind w:right="-13" w:rightChars="-6"/>
              <w:jc w:val="center"/>
              <w:rPr>
                <w:rFonts w:ascii="宋体" w:hAnsi="宋体" w:cs="宋体"/>
                <w:sz w:val="24"/>
              </w:rPr>
            </w:pPr>
            <w:r>
              <w:rPr>
                <w:rFonts w:hint="eastAsia" w:ascii="宋体" w:hAnsi="宋体" w:cs="宋体"/>
                <w:sz w:val="24"/>
              </w:rPr>
              <w:t>商务资信分（10分）</w:t>
            </w:r>
          </w:p>
        </w:tc>
        <w:tc>
          <w:tcPr>
            <w:tcW w:w="771"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1</w:t>
            </w:r>
          </w:p>
        </w:tc>
        <w:tc>
          <w:tcPr>
            <w:tcW w:w="6735" w:type="dxa"/>
            <w:gridSpan w:val="2"/>
            <w:noWrap/>
            <w:vAlign w:val="center"/>
          </w:tcPr>
          <w:p>
            <w:pPr>
              <w:pStyle w:val="5"/>
              <w:spacing w:before="0" w:after="0" w:line="24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供应商业绩(1分)：供应商自2021年1月1日以来以承担过类似规划方案设计业绩的每个得 0.5分，最高得1分。</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注：提供中标通知书或合同复印件，时间以中标通知书或合同签订日期为准。</w:t>
            </w:r>
          </w:p>
        </w:tc>
        <w:tc>
          <w:tcPr>
            <w:tcW w:w="739" w:type="dxa"/>
            <w:noWrap/>
            <w:vAlign w:val="center"/>
          </w:tcPr>
          <w:p>
            <w:pPr>
              <w:jc w:val="center"/>
              <w:rPr>
                <w:rFonts w:ascii="宋体" w:hAnsi="宋体" w:cs="宋体"/>
                <w:sz w:val="24"/>
              </w:rPr>
            </w:pPr>
            <w:r>
              <w:rPr>
                <w:rFonts w:hint="eastAsia" w:ascii="宋体" w:hAnsi="宋体" w:cs="宋体"/>
                <w:sz w:val="24"/>
              </w:rPr>
              <w:t>1</w:t>
            </w:r>
          </w:p>
        </w:tc>
        <w:tc>
          <w:tcPr>
            <w:tcW w:w="978" w:type="dxa"/>
            <w:noWrap/>
            <w:vAlign w:val="center"/>
          </w:tcPr>
          <w:p>
            <w:pPr>
              <w:jc w:val="center"/>
              <w:rPr>
                <w:rFonts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75" w:type="dxa"/>
            <w:vMerge w:val="continue"/>
            <w:noWrap/>
            <w:vAlign w:val="center"/>
          </w:tcPr>
          <w:p>
            <w:pPr>
              <w:ind w:right="-13" w:rightChars="-6"/>
              <w:jc w:val="center"/>
              <w:rPr>
                <w:rFonts w:ascii="宋体" w:hAnsi="宋体" w:cs="宋体"/>
                <w:sz w:val="24"/>
              </w:rPr>
            </w:pPr>
          </w:p>
        </w:tc>
        <w:tc>
          <w:tcPr>
            <w:tcW w:w="771"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2</w:t>
            </w:r>
          </w:p>
        </w:tc>
        <w:tc>
          <w:tcPr>
            <w:tcW w:w="6735" w:type="dxa"/>
            <w:gridSpan w:val="2"/>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根据供应商针对本项目拟配备的人员在以下方面进行打分：</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1、规划专业负责人：具有教授级高级工程师职称及注册规划师资格的得4分；具有高级工程师职称及注册规划师资格的得2分。</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lang w:val="zh-CN"/>
              </w:rPr>
              <w:t>2、</w:t>
            </w:r>
            <w:r>
              <w:rPr>
                <w:rFonts w:hint="eastAsia" w:ascii="宋体" w:hAnsi="宋体" w:eastAsia="宋体" w:cs="宋体"/>
                <w:b w:val="0"/>
                <w:bCs w:val="0"/>
                <w:sz w:val="24"/>
                <w:szCs w:val="24"/>
              </w:rPr>
              <w:t>拟派项目组成员中(除项目负责人外，最多5人)具有城市(城乡)规划专业高级工程师及以上职称且同时具备国家注册规划师证书的每个得1分；具有城市(城乡)规划专业中级工程师职称且同时具备国家注册规划师证书的每个得0.5分，本项最高得5分。</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注：提供供应商为相关人员缴纳的近3个月社保缴费证明，以及证书扫描件或其他资格证明材料复印件，不提供或提供不全不得分。</w:t>
            </w:r>
          </w:p>
        </w:tc>
        <w:tc>
          <w:tcPr>
            <w:tcW w:w="739" w:type="dxa"/>
            <w:noWrap/>
            <w:vAlign w:val="center"/>
          </w:tcPr>
          <w:p>
            <w:pPr>
              <w:jc w:val="center"/>
              <w:rPr>
                <w:rFonts w:ascii="宋体" w:hAnsi="宋体" w:cs="宋体"/>
                <w:sz w:val="24"/>
              </w:rPr>
            </w:pPr>
            <w:r>
              <w:rPr>
                <w:rFonts w:hint="eastAsia" w:ascii="宋体" w:hAnsi="宋体" w:cs="宋体"/>
                <w:sz w:val="24"/>
              </w:rPr>
              <w:t>9</w:t>
            </w:r>
          </w:p>
        </w:tc>
        <w:tc>
          <w:tcPr>
            <w:tcW w:w="978" w:type="dxa"/>
            <w:noWrap/>
            <w:vAlign w:val="center"/>
          </w:tcPr>
          <w:p>
            <w:pPr>
              <w:jc w:val="center"/>
              <w:rPr>
                <w:rFonts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5" w:type="dxa"/>
            <w:vMerge w:val="restart"/>
            <w:noWrap/>
            <w:vAlign w:val="center"/>
          </w:tcPr>
          <w:p>
            <w:pPr>
              <w:jc w:val="center"/>
              <w:rPr>
                <w:rFonts w:ascii="宋体" w:hAnsi="宋体" w:cs="宋体"/>
                <w:sz w:val="24"/>
              </w:rPr>
            </w:pPr>
            <w:r>
              <w:rPr>
                <w:rFonts w:hint="eastAsia" w:ascii="宋体" w:hAnsi="宋体" w:cs="宋体"/>
                <w:sz w:val="24"/>
              </w:rPr>
              <w:t>技术分（80分）</w:t>
            </w:r>
          </w:p>
        </w:tc>
        <w:tc>
          <w:tcPr>
            <w:tcW w:w="771" w:type="dxa"/>
            <w:vMerge w:val="restart"/>
            <w:noWrap/>
            <w:vAlign w:val="center"/>
          </w:tcPr>
          <w:p>
            <w:pPr>
              <w:jc w:val="center"/>
              <w:rPr>
                <w:rFonts w:ascii="宋体" w:hAnsi="宋体" w:cs="宋体"/>
                <w:sz w:val="24"/>
              </w:rPr>
            </w:pPr>
            <w:r>
              <w:rPr>
                <w:rFonts w:hint="eastAsia" w:ascii="宋体" w:hAnsi="宋体" w:cs="宋体"/>
                <w:sz w:val="24"/>
              </w:rPr>
              <w:t>1</w:t>
            </w:r>
          </w:p>
        </w:tc>
        <w:tc>
          <w:tcPr>
            <w:tcW w:w="1288" w:type="dxa"/>
            <w:vMerge w:val="restart"/>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总体认知(20分)</w:t>
            </w: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供应商对项目背景、任务要求的理解程度，认识深入得3-5分，认识一般得1-2分，未提及的得0分。</w:t>
            </w:r>
          </w:p>
        </w:tc>
        <w:tc>
          <w:tcPr>
            <w:tcW w:w="739"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5</w:t>
            </w:r>
          </w:p>
        </w:tc>
        <w:tc>
          <w:tcPr>
            <w:tcW w:w="978"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5" w:type="dxa"/>
            <w:vMerge w:val="continue"/>
            <w:noWrap/>
            <w:vAlign w:val="center"/>
          </w:tcPr>
          <w:p>
            <w:pPr>
              <w:jc w:val="center"/>
              <w:rPr>
                <w:rFonts w:ascii="宋体" w:hAnsi="宋体" w:cs="宋体"/>
                <w:sz w:val="24"/>
              </w:rPr>
            </w:pPr>
          </w:p>
        </w:tc>
        <w:tc>
          <w:tcPr>
            <w:tcW w:w="771" w:type="dxa"/>
            <w:vMerge w:val="continue"/>
            <w:noWrap/>
            <w:vAlign w:val="center"/>
          </w:tcPr>
          <w:p>
            <w:pPr>
              <w:jc w:val="center"/>
              <w:rPr>
                <w:rFonts w:ascii="宋体" w:hAnsi="宋体" w:cs="宋体"/>
                <w:sz w:val="24"/>
              </w:rPr>
            </w:pPr>
          </w:p>
        </w:tc>
        <w:tc>
          <w:tcPr>
            <w:tcW w:w="1288" w:type="dxa"/>
            <w:vMerge w:val="continue"/>
            <w:noWrap/>
            <w:vAlign w:val="center"/>
          </w:tcPr>
          <w:p>
            <w:pPr>
              <w:pStyle w:val="5"/>
              <w:spacing w:before="0" w:after="0" w:line="240" w:lineRule="auto"/>
              <w:rPr>
                <w:rFonts w:ascii="宋体" w:hAnsi="宋体" w:eastAsia="宋体" w:cs="宋体"/>
                <w:b w:val="0"/>
                <w:bCs w:val="0"/>
                <w:sz w:val="24"/>
                <w:szCs w:val="24"/>
              </w:rPr>
            </w:pP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对杭州及项目规划范围内的上位规划及相关规划的认知及解读，认识深入得7-10分，认识良好得5-7分，认识一般得1-5分，未提及的得0分。</w:t>
            </w:r>
          </w:p>
        </w:tc>
        <w:tc>
          <w:tcPr>
            <w:tcW w:w="739"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10</w:t>
            </w:r>
          </w:p>
        </w:tc>
        <w:tc>
          <w:tcPr>
            <w:tcW w:w="978" w:type="dxa"/>
            <w:noWrap/>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5" w:type="dxa"/>
            <w:vMerge w:val="continue"/>
            <w:noWrap/>
            <w:vAlign w:val="center"/>
          </w:tcPr>
          <w:p>
            <w:pPr>
              <w:jc w:val="center"/>
              <w:rPr>
                <w:rFonts w:ascii="宋体" w:hAnsi="宋体" w:cs="宋体"/>
                <w:sz w:val="24"/>
              </w:rPr>
            </w:pPr>
          </w:p>
        </w:tc>
        <w:tc>
          <w:tcPr>
            <w:tcW w:w="771" w:type="dxa"/>
            <w:vMerge w:val="continue"/>
            <w:noWrap/>
            <w:vAlign w:val="center"/>
          </w:tcPr>
          <w:p>
            <w:pPr>
              <w:jc w:val="center"/>
              <w:rPr>
                <w:rFonts w:ascii="宋体" w:hAnsi="宋体" w:cs="宋体"/>
                <w:sz w:val="24"/>
              </w:rPr>
            </w:pPr>
          </w:p>
        </w:tc>
        <w:tc>
          <w:tcPr>
            <w:tcW w:w="1288" w:type="dxa"/>
            <w:vMerge w:val="continue"/>
            <w:noWrap/>
            <w:vAlign w:val="center"/>
          </w:tcPr>
          <w:p>
            <w:pPr>
              <w:pStyle w:val="5"/>
              <w:spacing w:before="0" w:after="0" w:line="240" w:lineRule="auto"/>
              <w:rPr>
                <w:rFonts w:ascii="宋体" w:hAnsi="宋体" w:eastAsia="宋体" w:cs="宋体"/>
                <w:b w:val="0"/>
                <w:bCs w:val="0"/>
                <w:sz w:val="24"/>
                <w:szCs w:val="24"/>
              </w:rPr>
            </w:pP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对项目重难点的理解，认识深入得3-5分，认识一般得1-2分，未提及的得0分。</w:t>
            </w:r>
          </w:p>
        </w:tc>
        <w:tc>
          <w:tcPr>
            <w:tcW w:w="739"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5</w:t>
            </w:r>
          </w:p>
        </w:tc>
        <w:tc>
          <w:tcPr>
            <w:tcW w:w="978" w:type="dxa"/>
            <w:noWrap/>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75" w:type="dxa"/>
            <w:vMerge w:val="continue"/>
            <w:noWrap/>
            <w:vAlign w:val="center"/>
          </w:tcPr>
          <w:p>
            <w:pPr>
              <w:jc w:val="center"/>
              <w:rPr>
                <w:rFonts w:ascii="宋体" w:hAnsi="宋体" w:cs="宋体"/>
                <w:sz w:val="24"/>
              </w:rPr>
            </w:pPr>
          </w:p>
        </w:tc>
        <w:tc>
          <w:tcPr>
            <w:tcW w:w="771" w:type="dxa"/>
            <w:vMerge w:val="restart"/>
            <w:noWrap/>
            <w:vAlign w:val="center"/>
          </w:tcPr>
          <w:p>
            <w:pPr>
              <w:jc w:val="center"/>
              <w:rPr>
                <w:rFonts w:ascii="宋体" w:hAnsi="宋体" w:cs="宋体"/>
                <w:sz w:val="24"/>
              </w:rPr>
            </w:pPr>
            <w:r>
              <w:rPr>
                <w:rFonts w:hint="eastAsia" w:ascii="宋体" w:hAnsi="宋体" w:cs="宋体"/>
                <w:sz w:val="24"/>
              </w:rPr>
              <w:t>2</w:t>
            </w:r>
          </w:p>
        </w:tc>
        <w:tc>
          <w:tcPr>
            <w:tcW w:w="1288" w:type="dxa"/>
            <w:vMerge w:val="restart"/>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项目实施方案评价(50分)</w:t>
            </w: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对本项目涉及的各类技术服务内容的理解进行评价：</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(1)理解程度全面且准确的得10-15分；</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(2)理解程度存在缺陷单基本全面、准确的得6-10分；</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(3)理解程度不全面或不准确的得1-6分；未提及的得0分。</w:t>
            </w:r>
          </w:p>
        </w:tc>
        <w:tc>
          <w:tcPr>
            <w:tcW w:w="739" w:type="dxa"/>
            <w:noWrap/>
            <w:vAlign w:val="center"/>
          </w:tcPr>
          <w:p>
            <w:pPr>
              <w:pStyle w:val="5"/>
              <w:spacing w:before="0" w:after="0" w:line="240" w:lineRule="auto"/>
              <w:jc w:val="center"/>
              <w:rPr>
                <w:rFonts w:ascii="宋体" w:hAnsi="宋体" w:eastAsia="宋体" w:cs="宋体"/>
                <w:b w:val="0"/>
                <w:bCs w:val="0"/>
                <w:sz w:val="24"/>
                <w:szCs w:val="24"/>
              </w:rPr>
            </w:pPr>
            <w:r>
              <w:rPr>
                <w:rFonts w:ascii="宋体" w:hAnsi="宋体" w:eastAsia="宋体" w:cs="宋体"/>
                <w:b w:val="0"/>
                <w:bCs w:val="0"/>
                <w:sz w:val="24"/>
                <w:szCs w:val="24"/>
              </w:rPr>
              <w:t>20</w:t>
            </w:r>
          </w:p>
        </w:tc>
        <w:tc>
          <w:tcPr>
            <w:tcW w:w="978" w:type="dxa"/>
            <w:noWrap/>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5" w:type="dxa"/>
            <w:vMerge w:val="continue"/>
            <w:noWrap/>
            <w:vAlign w:val="center"/>
          </w:tcPr>
          <w:p>
            <w:pPr>
              <w:jc w:val="center"/>
              <w:rPr>
                <w:rFonts w:ascii="宋体" w:hAnsi="宋体" w:cs="宋体"/>
                <w:sz w:val="24"/>
              </w:rPr>
            </w:pPr>
          </w:p>
        </w:tc>
        <w:tc>
          <w:tcPr>
            <w:tcW w:w="771" w:type="dxa"/>
            <w:vMerge w:val="continue"/>
            <w:noWrap/>
            <w:vAlign w:val="center"/>
          </w:tcPr>
          <w:p>
            <w:pPr>
              <w:jc w:val="center"/>
              <w:rPr>
                <w:rFonts w:ascii="宋体" w:hAnsi="宋体" w:cs="宋体"/>
                <w:sz w:val="24"/>
              </w:rPr>
            </w:pPr>
          </w:p>
        </w:tc>
        <w:tc>
          <w:tcPr>
            <w:tcW w:w="1288" w:type="dxa"/>
            <w:vMerge w:val="continue"/>
            <w:noWrap/>
            <w:vAlign w:val="center"/>
          </w:tcPr>
          <w:p>
            <w:pPr>
              <w:pStyle w:val="5"/>
              <w:spacing w:before="0" w:after="0" w:line="240" w:lineRule="auto"/>
              <w:rPr>
                <w:rFonts w:ascii="宋体" w:hAnsi="宋体" w:eastAsia="宋体" w:cs="宋体"/>
                <w:b w:val="0"/>
                <w:bCs w:val="0"/>
                <w:sz w:val="24"/>
                <w:szCs w:val="24"/>
              </w:rPr>
            </w:pP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对供应商在各类项目上的实施方案、设计经验进行评价：</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(1)参与的项目类型广、难度高的得 10-15 分；</w:t>
            </w:r>
          </w:p>
          <w:p>
            <w:pPr>
              <w:pStyle w:val="5"/>
              <w:spacing w:before="0" w:after="0" w:line="240" w:lineRule="auto"/>
              <w:ind w:left="0" w:leftChars="0" w:firstLine="0" w:firstLineChars="0"/>
            </w:pPr>
            <w:r>
              <w:rPr>
                <w:rFonts w:hint="eastAsia" w:ascii="宋体" w:hAnsi="宋体" w:eastAsia="宋体" w:cs="宋体"/>
                <w:b w:val="0"/>
                <w:bCs w:val="0"/>
                <w:sz w:val="24"/>
                <w:szCs w:val="24"/>
              </w:rPr>
              <w:t>(2)参与的项目类型一般、难度一般的得 5-10 分；</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(3)参与的项目类型少、难度低的得 1-5分；未提及的得0分。</w:t>
            </w:r>
          </w:p>
        </w:tc>
        <w:tc>
          <w:tcPr>
            <w:tcW w:w="739" w:type="dxa"/>
            <w:noWrap/>
            <w:vAlign w:val="center"/>
          </w:tcPr>
          <w:p>
            <w:pPr>
              <w:pStyle w:val="5"/>
              <w:spacing w:before="0" w:after="0" w:line="240" w:lineRule="auto"/>
              <w:jc w:val="center"/>
              <w:rPr>
                <w:rFonts w:ascii="宋体" w:hAnsi="宋体" w:eastAsia="宋体" w:cs="宋体"/>
                <w:b w:val="0"/>
                <w:bCs w:val="0"/>
                <w:sz w:val="24"/>
                <w:szCs w:val="24"/>
              </w:rPr>
            </w:pPr>
            <w:r>
              <w:rPr>
                <w:rFonts w:ascii="宋体" w:hAnsi="宋体" w:eastAsia="宋体" w:cs="宋体"/>
                <w:b w:val="0"/>
                <w:bCs w:val="0"/>
                <w:sz w:val="24"/>
                <w:szCs w:val="24"/>
              </w:rPr>
              <w:t>20</w:t>
            </w:r>
          </w:p>
        </w:tc>
        <w:tc>
          <w:tcPr>
            <w:tcW w:w="978" w:type="dxa"/>
            <w:noWrap/>
            <w:vAlign w:val="center"/>
          </w:tcPr>
          <w:p>
            <w:pPr>
              <w:jc w:val="center"/>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5" w:type="dxa"/>
            <w:vMerge w:val="continue"/>
            <w:noWrap/>
            <w:vAlign w:val="center"/>
          </w:tcPr>
          <w:p>
            <w:pPr>
              <w:jc w:val="center"/>
              <w:rPr>
                <w:rFonts w:ascii="宋体" w:hAnsi="宋体" w:cs="宋体"/>
                <w:sz w:val="24"/>
              </w:rPr>
            </w:pPr>
          </w:p>
        </w:tc>
        <w:tc>
          <w:tcPr>
            <w:tcW w:w="771" w:type="dxa"/>
            <w:vMerge w:val="continue"/>
            <w:noWrap/>
            <w:vAlign w:val="center"/>
          </w:tcPr>
          <w:p>
            <w:pPr>
              <w:jc w:val="center"/>
              <w:rPr>
                <w:rFonts w:ascii="宋体" w:hAnsi="宋体" w:cs="宋体"/>
                <w:sz w:val="24"/>
              </w:rPr>
            </w:pPr>
          </w:p>
        </w:tc>
        <w:tc>
          <w:tcPr>
            <w:tcW w:w="1288" w:type="dxa"/>
            <w:vMerge w:val="continue"/>
            <w:noWrap/>
            <w:vAlign w:val="center"/>
          </w:tcPr>
          <w:p>
            <w:pPr>
              <w:rPr>
                <w:rFonts w:ascii="宋体" w:hAnsi="宋体" w:cs="宋体"/>
                <w:sz w:val="24"/>
              </w:rPr>
            </w:pP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对服务过程中可能遇到的问题分析及应对措施进行评价：</w:t>
            </w:r>
          </w:p>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优秀得 7-10 分；良好得 4-7分；一般得 1-4分；未提及得0分。</w:t>
            </w:r>
          </w:p>
        </w:tc>
        <w:tc>
          <w:tcPr>
            <w:tcW w:w="739"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10</w:t>
            </w:r>
          </w:p>
        </w:tc>
        <w:tc>
          <w:tcPr>
            <w:tcW w:w="978"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75" w:type="dxa"/>
            <w:vMerge w:val="continue"/>
            <w:noWrap/>
            <w:vAlign w:val="center"/>
          </w:tcPr>
          <w:p>
            <w:pPr>
              <w:rPr>
                <w:rFonts w:ascii="宋体" w:hAnsi="宋体" w:cs="宋体"/>
                <w:sz w:val="24"/>
              </w:rPr>
            </w:pPr>
          </w:p>
        </w:tc>
        <w:tc>
          <w:tcPr>
            <w:tcW w:w="771" w:type="dxa"/>
            <w:noWrap/>
            <w:vAlign w:val="center"/>
          </w:tcPr>
          <w:p>
            <w:pPr>
              <w:jc w:val="center"/>
              <w:rPr>
                <w:rFonts w:ascii="宋体" w:hAnsi="宋体" w:cs="宋体"/>
                <w:sz w:val="24"/>
              </w:rPr>
            </w:pPr>
            <w:r>
              <w:rPr>
                <w:rFonts w:hint="eastAsia" w:ascii="宋体" w:hAnsi="宋体" w:cs="宋体"/>
                <w:sz w:val="24"/>
              </w:rPr>
              <w:t>3</w:t>
            </w:r>
          </w:p>
        </w:tc>
        <w:tc>
          <w:tcPr>
            <w:tcW w:w="1288" w:type="dxa"/>
            <w:noWrap/>
            <w:vAlign w:val="center"/>
          </w:tcPr>
          <w:p>
            <w:pPr>
              <w:rPr>
                <w:rFonts w:ascii="宋体" w:hAnsi="宋体" w:cs="宋体"/>
                <w:sz w:val="24"/>
              </w:rPr>
            </w:pPr>
            <w:r>
              <w:rPr>
                <w:rFonts w:hint="eastAsia" w:ascii="宋体" w:hAnsi="宋体" w:cs="宋体"/>
                <w:sz w:val="24"/>
              </w:rPr>
              <w:t>售后服务及承诺(5分)</w:t>
            </w: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pacing w:val="5"/>
                <w:sz w:val="24"/>
                <w:szCs w:val="24"/>
              </w:rPr>
            </w:pPr>
            <w:r>
              <w:rPr>
                <w:rFonts w:hint="eastAsia" w:ascii="宋体" w:hAnsi="宋体" w:eastAsia="宋体" w:cs="宋体"/>
                <w:b w:val="0"/>
                <w:bCs w:val="0"/>
                <w:spacing w:val="5"/>
                <w:sz w:val="24"/>
                <w:szCs w:val="24"/>
              </w:rPr>
              <w:t>根据供应商售后服务方案和服务承诺的情况以及服务承诺的可行性、完整性以及落实服务承诺的保障措施、其他优惠承诺等打分。售后服务方案详尽、准确且合理可行的得3-5分；售后服务方案较详尽、准确且较合理可行的得 2-3分；售后服务方案粗略、缺陷较多，部分合理可行的得 1-2分；未提及的得0分。</w:t>
            </w:r>
          </w:p>
        </w:tc>
        <w:tc>
          <w:tcPr>
            <w:tcW w:w="739" w:type="dxa"/>
            <w:noWrap/>
            <w:vAlign w:val="center"/>
          </w:tcPr>
          <w:p>
            <w:pPr>
              <w:pStyle w:val="5"/>
              <w:spacing w:before="0" w:after="0" w:line="240" w:lineRule="auto"/>
              <w:jc w:val="center"/>
              <w:rPr>
                <w:rFonts w:ascii="宋体" w:hAnsi="宋体" w:eastAsia="宋体" w:cs="宋体"/>
                <w:b w:val="0"/>
                <w:bCs w:val="0"/>
                <w:spacing w:val="5"/>
                <w:sz w:val="24"/>
                <w:szCs w:val="24"/>
              </w:rPr>
            </w:pPr>
            <w:r>
              <w:rPr>
                <w:rFonts w:hint="eastAsia" w:ascii="宋体" w:hAnsi="宋体" w:eastAsia="宋体" w:cs="宋体"/>
                <w:b w:val="0"/>
                <w:bCs w:val="0"/>
                <w:spacing w:val="5"/>
                <w:sz w:val="24"/>
                <w:szCs w:val="24"/>
              </w:rPr>
              <w:t>5</w:t>
            </w:r>
          </w:p>
        </w:tc>
        <w:tc>
          <w:tcPr>
            <w:tcW w:w="978" w:type="dxa"/>
            <w:noWrap/>
            <w:vAlign w:val="center"/>
          </w:tcPr>
          <w:p>
            <w:pPr>
              <w:jc w:val="center"/>
              <w:rPr>
                <w:rFonts w:ascii="宋体" w:hAnsi="宋体" w:cs="宋体"/>
                <w:spacing w:val="5"/>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5" w:type="dxa"/>
            <w:vMerge w:val="continue"/>
            <w:noWrap/>
            <w:vAlign w:val="center"/>
          </w:tcPr>
          <w:p>
            <w:pPr>
              <w:rPr>
                <w:rFonts w:ascii="宋体" w:hAnsi="宋体" w:cs="宋体"/>
                <w:sz w:val="24"/>
              </w:rPr>
            </w:pPr>
          </w:p>
        </w:tc>
        <w:tc>
          <w:tcPr>
            <w:tcW w:w="771" w:type="dxa"/>
            <w:noWrap/>
            <w:vAlign w:val="center"/>
          </w:tcPr>
          <w:p>
            <w:pPr>
              <w:jc w:val="center"/>
              <w:rPr>
                <w:rFonts w:ascii="宋体" w:hAnsi="宋体" w:cs="宋体"/>
                <w:sz w:val="24"/>
              </w:rPr>
            </w:pPr>
            <w:r>
              <w:rPr>
                <w:rFonts w:hint="eastAsia" w:ascii="宋体" w:hAnsi="宋体" w:cs="宋体"/>
                <w:sz w:val="24"/>
              </w:rPr>
              <w:t>4</w:t>
            </w:r>
          </w:p>
        </w:tc>
        <w:tc>
          <w:tcPr>
            <w:tcW w:w="1288" w:type="dxa"/>
            <w:noWrap/>
            <w:vAlign w:val="center"/>
          </w:tcPr>
          <w:p>
            <w:pPr>
              <w:rPr>
                <w:rFonts w:ascii="宋体" w:hAnsi="宋体" w:cs="宋体"/>
                <w:sz w:val="24"/>
              </w:rPr>
            </w:pPr>
            <w:r>
              <w:rPr>
                <w:rFonts w:hint="eastAsia" w:ascii="宋体" w:hAnsi="宋体" w:cs="宋体"/>
                <w:sz w:val="24"/>
              </w:rPr>
              <w:t>质量保证措施、进度保证措施(5分)</w:t>
            </w:r>
          </w:p>
        </w:tc>
        <w:tc>
          <w:tcPr>
            <w:tcW w:w="5447" w:type="dxa"/>
            <w:noWrap/>
            <w:vAlign w:val="center"/>
          </w:tcPr>
          <w:p>
            <w:pPr>
              <w:pStyle w:val="5"/>
              <w:spacing w:before="0" w:after="0" w:line="240" w:lineRule="auto"/>
              <w:ind w:left="0" w:leftChars="0"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供应商在工作过程中对贯彻执行国家及地方政府制定的相关专项规划、技术标准、政策、法规和业务主管部门的有关规定的工作谋划、整体部署、衔接沟通、整合协调方案。方案详细、完善、可行的得3-5 分；有欠缺的得 2-3 分；不详细、不完善的 1-2 分；未提及的得0分。</w:t>
            </w:r>
          </w:p>
        </w:tc>
        <w:tc>
          <w:tcPr>
            <w:tcW w:w="739" w:type="dxa"/>
            <w:noWrap/>
            <w:vAlign w:val="center"/>
          </w:tcPr>
          <w:p>
            <w:pPr>
              <w:pStyle w:val="5"/>
              <w:spacing w:before="0" w:after="0"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5</w:t>
            </w:r>
          </w:p>
        </w:tc>
        <w:tc>
          <w:tcPr>
            <w:tcW w:w="978" w:type="dxa"/>
            <w:noWrap/>
            <w:vAlign w:val="center"/>
          </w:tcPr>
          <w:p>
            <w:pPr>
              <w:rPr>
                <w:rFonts w:ascii="宋体" w:hAnsi="宋体" w:cs="宋体"/>
                <w:sz w:val="24"/>
              </w:rPr>
            </w:pPr>
            <w:r>
              <w:rPr>
                <w:rFonts w:hint="eastAsia" w:ascii="宋体" w:hAnsi="宋体" w:cs="宋体"/>
                <w:sz w:val="24"/>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5公顷（含）/宗以下地块：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05</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5公顷</w:t>
            </w:r>
            <w:r>
              <w:rPr>
                <w:rFonts w:hint="eastAsia" w:ascii="宋体" w:hAnsi="宋体" w:cs="宋体"/>
                <w:color w:val="auto"/>
                <w:sz w:val="24"/>
                <w:highlight w:val="none"/>
                <w:lang w:val="en-US" w:eastAsia="zh-CN"/>
              </w:rPr>
              <w:t>/宗以上地块：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05</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0"/>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4"/>
        <w:pageBreakBefore w:val="0"/>
        <w:widowControl w:val="0"/>
        <w:kinsoku/>
        <w:wordWrap/>
        <w:overflowPunct/>
        <w:topLinePunct w:val="0"/>
        <w:autoSpaceDE/>
        <w:autoSpaceDN/>
        <w:bidi w:val="0"/>
        <w:spacing w:line="570" w:lineRule="exact"/>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color w:val="auto"/>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rPr>
          <w:color w:val="auto"/>
          <w:highlight w:val="none"/>
        </w:rPr>
      </w:pPr>
    </w:p>
    <w:p>
      <w:pPr>
        <w:numPr>
          <w:ilvl w:val="0"/>
          <w:numId w:val="0"/>
        </w:numPr>
        <w:spacing w:line="360" w:lineRule="auto"/>
        <w:jc w:val="center"/>
        <w:outlineLvl w:val="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kern w:val="2"/>
          <w:sz w:val="36"/>
          <w:szCs w:val="36"/>
          <w:highlight w:val="none"/>
          <w:lang w:val="en-US" w:eastAsia="zh-CN" w:bidi="ar-SA"/>
        </w:rPr>
        <w:t>第五部分</w:t>
      </w:r>
      <w:r>
        <w:rPr>
          <w:rFonts w:hint="eastAsia" w:ascii="宋体" w:hAnsi="宋体" w:cs="宋体"/>
          <w:b/>
          <w:bCs/>
          <w:color w:val="auto"/>
          <w:kern w:val="2"/>
          <w:sz w:val="36"/>
          <w:szCs w:val="36"/>
          <w:highlight w:val="none"/>
          <w:lang w:val="en-US" w:eastAsia="zh-CN" w:bidi="ar-SA"/>
        </w:rPr>
        <w:t xml:space="preserve"> </w:t>
      </w:r>
      <w:r>
        <w:rPr>
          <w:rFonts w:hint="eastAsia" w:ascii="宋体" w:hAnsi="宋体" w:cs="宋体"/>
          <w:b/>
          <w:bCs/>
          <w:color w:val="auto"/>
          <w:sz w:val="36"/>
          <w:szCs w:val="36"/>
          <w:highlight w:val="none"/>
        </w:rPr>
        <w:t>合同文本</w:t>
      </w:r>
    </w:p>
    <w:p>
      <w:pPr>
        <w:spacing w:line="360" w:lineRule="auto"/>
        <w:jc w:val="center"/>
        <w:rPr>
          <w:rFonts w:hint="eastAsia"/>
          <w:color w:val="auto"/>
          <w:sz w:val="36"/>
          <w:szCs w:val="36"/>
          <w:highlight w:val="none"/>
          <w:lang w:eastAsia="zh-CN"/>
        </w:rPr>
      </w:pPr>
      <w:r>
        <w:rPr>
          <w:rFonts w:hint="eastAsia"/>
          <w:color w:val="auto"/>
          <w:sz w:val="36"/>
          <w:szCs w:val="36"/>
          <w:highlight w:val="none"/>
          <w:lang w:eastAsia="zh-CN"/>
        </w:rPr>
        <w:t>合同（</w:t>
      </w:r>
      <w:r>
        <w:rPr>
          <w:rFonts w:hint="eastAsia"/>
          <w:color w:val="auto"/>
          <w:sz w:val="36"/>
          <w:szCs w:val="36"/>
          <w:highlight w:val="none"/>
          <w:lang w:val="en-US" w:eastAsia="zh-CN"/>
        </w:rPr>
        <w:t>参考</w:t>
      </w:r>
      <w:r>
        <w:rPr>
          <w:rFonts w:hint="eastAsia"/>
          <w:color w:val="auto"/>
          <w:sz w:val="36"/>
          <w:szCs w:val="36"/>
          <w:highlight w:val="none"/>
          <w:lang w:eastAsia="zh-CN"/>
        </w:rPr>
        <w:t>）</w:t>
      </w:r>
    </w:p>
    <w:p>
      <w:pP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委托方：杭州萧山环城建设开发有限公司(以下简称甲方)</w:t>
      </w:r>
    </w:p>
    <w:p>
      <w:pP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承接方：</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     (以下简称乙方)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依照《中华人民共和国民法典》及有关法律法规，遵循公平、平等、自愿和诚实信用的原则，双方就以下内容协商一致，订立本合同。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一、规划设计的内容、形式和要求：规划论证内容、技术深度要求按国家有关标准执行。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1、主要内容与要求：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主要内容包括：分析编制背景和项目基本情况，结合上层次规划及总体规划，结合选址应满足的用地、交通、周边环境等选址要求，确定选址并论证项目选址符合城市规划。(具体内容就具体项目而定)</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主要编制要求：编制建设项目选址论证报告，应根据《中华人民共和国城乡规划法》、《城市规划编制办法》等相关城乡规划有关法律法规、标准规范的要求，在《杭州市萧山次区域规划》、《杭州市萧山区综合交通规划》等萧山区原有规划的基础上，分析建设项目与城市长远发展、城市总体规划、专项规划的关系，论证项目选址是否符合风景名胜、历史文化和环境保护、公共安全和防灾减灾等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2、范围：视具体项目而定。</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3、成果形式：电子文件(论证报告与图集)及纸质文件。</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4、时间要求：就具体项目如甲方无特殊要求，按以下执行。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①、20天必须完成选址论证方案初稿提交。</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②、30天必须完成选址论证方案评审稿提交。</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③、60天必须完成选址论证方案送审稿提交。</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④、乙方对选址论证方案的修改、完善及后续服务工作需延续至相关方案被法定完全批准为止，同时承担实施后的咨询、完善及补充编制的义务。</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二.履行期限、地点和方式：</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本合同自202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lang w:eastAsia="zh-CN"/>
        </w:rPr>
        <w:t>年</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月</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日至202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lang w:eastAsia="zh-CN"/>
        </w:rPr>
        <w:t>年</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月</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日在杭州萧山区(地点)履行。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本合同的履行方式：</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该合同签订后，自单个项目委托确认之日起，乙方即按合同要求开展工作，及时沟通选址论证中的重要问题，及时提交阶段成果及最终成果。如合同所要求的配合工作延期或遇其他原因推迟合同签订，合同期限顺延。项目完成后乙方向甲方免费提供成果的电子文件2份(包括cad、word、jpg、ppt格式)论证报告与图集6套。(电子文件格式需符合《杭州市城市规划编制电子成果提交规范》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三、甲方的协作事项：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在单个项目委托确认后三个工作日内，甲方应向乙方提供下列资料和工作条件：</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(一)按照乙方的提纲提供技术基础资料。(提纲清单另附)(如有)</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(二)商议并拟定工作日程。</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(三)为乙方在现场的工作提供工作上的方便。</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四、技术情报和资料的保密：</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乙方应对甲方提供的项目技术资料保密，合同完成时乙方应将甲方提供的全部资料归还甲方，仅限于双方技术人员在本项目范围内使用。</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五、验收、评价方法：</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选址论证报告达到了本合同第一项所列要求，论证报告通过区级相关部门评审，并取得区政府批复。</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本合同服务项目的保证期为一年。在保证期内发现服务质量缺陷的，乙方应当负责返工或者采取补救措施。但因甲方使用、保管不当引起的问题除外。</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超出签订合同时约定的技术内容，如增加内容、修改和调整内容等，都不属于保质期范围内，需重新委托。</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六、报酬及其支付方式：</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(一)单项目论证费：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5公顷（含）/宗以下地块：</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val="en-US" w:eastAsia="zh-CN"/>
        </w:rPr>
        <w:t>万元/宗；5公顷/宗以上地块：</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val="en-US" w:eastAsia="zh-CN"/>
        </w:rPr>
        <w:t>万元/宗。</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乙方进行调查研究、分析论证、试验测定的经费和报告论证会务评审费、专家费由乙方承担，均已包含在每个项目的论证费中。</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评审稿在完成规划部门评审，乙方已按要求修改完成，因甲方再次要求修改既定条件、用地性质等原因，而造成选址论证报告进行较大修改的，应按一定比例收取返工费：返工一次按基价的50%增收设计费；若因正常技术原因造成规划成果审查未通过的，乙方进行无偿修改。对因甲方原因造成送审稿完成后项目中断的，按项目合同费用的60%收取。</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在规划送审成果提交后，因甲方要求重新更改论证规划设计条件、用地性质修改，或控制性详细规划调整等原因，造成选址论证报告重新编制的，按照新项目另行计费。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(二)支付方式：</w:t>
      </w:r>
      <w:r>
        <w:rPr>
          <w:rFonts w:hint="eastAsia" w:asciiTheme="minorEastAsia" w:hAnsiTheme="minorEastAsia" w:eastAsiaTheme="minorEastAsia" w:cstheme="minorEastAsia"/>
          <w:color w:val="auto"/>
          <w:sz w:val="28"/>
          <w:szCs w:val="28"/>
          <w:highlight w:val="none"/>
          <w:lang w:val="zh-CN" w:eastAsia="zh-CN"/>
        </w:rPr>
        <w:t>完成并出具成果报告，</w:t>
      </w:r>
      <w:r>
        <w:rPr>
          <w:rFonts w:hint="eastAsia" w:asciiTheme="minorEastAsia" w:hAnsiTheme="minorEastAsia" w:eastAsiaTheme="minorEastAsia" w:cstheme="minorEastAsia"/>
          <w:color w:val="auto"/>
          <w:sz w:val="28"/>
          <w:szCs w:val="28"/>
          <w:highlight w:val="none"/>
          <w:lang w:val="en-US" w:eastAsia="zh-CN"/>
        </w:rPr>
        <w:t>且经项目主管部门最终批复</w:t>
      </w:r>
      <w:r>
        <w:rPr>
          <w:rFonts w:hint="eastAsia" w:asciiTheme="minorEastAsia" w:hAnsiTheme="minorEastAsia" w:eastAsiaTheme="minorEastAsia" w:cstheme="minorEastAsia"/>
          <w:color w:val="auto"/>
          <w:sz w:val="28"/>
          <w:szCs w:val="28"/>
          <w:highlight w:val="none"/>
          <w:lang w:val="zh-CN" w:eastAsia="zh-CN"/>
        </w:rPr>
        <w:t>，并由</w:t>
      </w:r>
      <w:r>
        <w:rPr>
          <w:rFonts w:hint="eastAsia" w:asciiTheme="minorEastAsia" w:hAnsiTheme="minorEastAsia" w:eastAsiaTheme="minorEastAsia" w:cstheme="minorEastAsia"/>
          <w:color w:val="auto"/>
          <w:sz w:val="28"/>
          <w:szCs w:val="28"/>
          <w:highlight w:val="none"/>
          <w:lang w:eastAsia="zh-CN"/>
        </w:rPr>
        <w:t>交易发起人</w:t>
      </w:r>
      <w:r>
        <w:rPr>
          <w:rFonts w:hint="eastAsia" w:asciiTheme="minorEastAsia" w:hAnsiTheme="minorEastAsia" w:eastAsiaTheme="minorEastAsia" w:cstheme="minorEastAsia"/>
          <w:color w:val="auto"/>
          <w:sz w:val="28"/>
          <w:szCs w:val="28"/>
          <w:highlight w:val="none"/>
          <w:lang w:val="zh-CN" w:eastAsia="zh-CN"/>
        </w:rPr>
        <w:t>确认后，服务期满后根据</w:t>
      </w:r>
      <w:r>
        <w:rPr>
          <w:rFonts w:hint="eastAsia" w:asciiTheme="minorEastAsia" w:hAnsiTheme="minorEastAsia" w:eastAsiaTheme="minorEastAsia" w:cstheme="minorEastAsia"/>
          <w:color w:val="auto"/>
          <w:sz w:val="28"/>
          <w:szCs w:val="28"/>
          <w:highlight w:val="none"/>
          <w:lang w:eastAsia="zh-CN"/>
        </w:rPr>
        <w:t>实际完成的服务量乘以服务中标单价作为最终项目结算价一次性支付</w:t>
      </w:r>
      <w:r>
        <w:rPr>
          <w:rFonts w:hint="eastAsia" w:asciiTheme="minorEastAsia" w:hAnsiTheme="minorEastAsia" w:eastAsiaTheme="minorEastAsia" w:cstheme="minorEastAsia"/>
          <w:color w:val="auto"/>
          <w:sz w:val="28"/>
          <w:szCs w:val="28"/>
          <w:highlight w:val="none"/>
          <w:lang w:val="zh-CN" w:eastAsia="zh-CN"/>
        </w:rPr>
        <w:t>（以实际完成并经交易发起人确认为准）。</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七、履约保证金：</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本合同的履约保证金为人民币</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eastAsia="zh-CN"/>
        </w:rPr>
        <w:t>,履约保证金用于保证乙方按协议履行其全部义务；待服务期满且所承接的全部项目完成后退还到乙方账户，无息退还。(如有违约，须扣除相应金额)。</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八、违约金或者损失赔偿额的计算方法：</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(一)在合同履行期间，因乙方原因终止或者解除合同，甲方不退还乙方上交的履约保证金。</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(二)违反本合同第一条约定，因乙方原因，延误了本合同完成时间或者双方另行约定的时间提交方案的，经甲方书面通知仍未提交的，乙方应当承担违约责任，承担方式和违约金额如下：</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每延误一天，应减收该项目应收费用的千分之二。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(三)违反本合同第六条约定，未按金额和时间向乙方支付费用，甲方应当承担违约责任，承担方式和违约金额如下：每逾期支付一天，应承担逾期金额千分之二的逾期违约金。</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九、争议的解决办法：</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凡因本协议发生的或与本协议有关的一切争议，甲、乙双方应友好协商解决，协商不成时，双方可向萧山区人民法院起诉。</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十、其它</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(一)本合同一式陆份，甲方持肆份，乙方持贰份，双方签字盖章后生效。</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(二)本协议未尽事宜，双方可协商签订补充协议， 补充协议与本协议具有 同等法律效力</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(以下无正文)</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委托方名称(章):</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地址：</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邮政编码：</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法定代表人或代表(签章):</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联系电话：</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开户银行及账号：</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签订日期：</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承接方名称(章):</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地址：</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邮政编码：</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法定代表或代表(签章)</w:t>
      </w:r>
      <w:r>
        <w:rPr>
          <w:rFonts w:hint="eastAsia" w:asciiTheme="minorEastAsia" w:hAnsiTheme="minorEastAsia" w:cstheme="minorEastAsia"/>
          <w:color w:val="auto"/>
          <w:sz w:val="28"/>
          <w:szCs w:val="28"/>
          <w:highlight w:val="none"/>
          <w:lang w:eastAsia="zh-CN"/>
        </w:rPr>
        <w:t>：</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联系电话：</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开户银行及账号：</w:t>
      </w:r>
    </w:p>
    <w:p>
      <w:pPr>
        <w:spacing w:line="360" w:lineRule="auto"/>
        <w:ind w:firstLine="560" w:firstLineChars="200"/>
        <w:rPr>
          <w:rFonts w:hint="eastAsia" w:ascii="宋体" w:hAnsi="宋体" w:eastAsia="宋体" w:cs="宋体"/>
          <w:color w:val="auto"/>
          <w:highlight w:val="none"/>
          <w:lang w:eastAsia="zh-CN"/>
        </w:rPr>
      </w:pPr>
      <w:r>
        <w:rPr>
          <w:rFonts w:hint="eastAsia" w:asciiTheme="minorEastAsia" w:hAnsiTheme="minorEastAsia" w:eastAsiaTheme="minorEastAsia" w:cstheme="minorEastAsia"/>
          <w:color w:val="auto"/>
          <w:sz w:val="28"/>
          <w:szCs w:val="28"/>
          <w:highlight w:val="none"/>
          <w:lang w:eastAsia="zh-CN"/>
        </w:rPr>
        <w:t>签订日期：</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before="42" w:line="24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（1）交易函………………………………………………………………………（页码）</w:t>
      </w:r>
    </w:p>
    <w:p>
      <w:pPr>
        <w:snapToGrid w:val="0"/>
        <w:spacing w:line="360" w:lineRule="auto"/>
        <w:ind w:left="479" w:leftChars="228"/>
        <w:jc w:val="distribute"/>
        <w:rPr>
          <w:rFonts w:ascii="宋体" w:hAnsi="宋体" w:cs="宋体"/>
          <w:color w:val="auto"/>
          <w:sz w:val="24"/>
          <w:szCs w:val="24"/>
          <w:highlight w:val="none"/>
        </w:rPr>
      </w:pPr>
      <w:r>
        <w:rPr>
          <w:rFonts w:hint="eastAsia" w:ascii="宋体" w:hAnsi="宋体" w:cs="宋体"/>
          <w:color w:val="auto"/>
          <w:sz w:val="24"/>
          <w:szCs w:val="24"/>
          <w:highlight w:val="none"/>
        </w:rPr>
        <w:t>（2）授权委托书或法定代表人（单位负责人、自然人本人）身份证明……（页码）</w:t>
      </w:r>
    </w:p>
    <w:p>
      <w:pPr>
        <w:snapToGrid w:val="0"/>
        <w:spacing w:line="360" w:lineRule="auto"/>
        <w:ind w:firstLine="480" w:firstLineChars="200"/>
        <w:jc w:val="distribute"/>
        <w:rPr>
          <w:rFonts w:ascii="宋体" w:hAnsi="宋体" w:cs="宋体"/>
          <w:color w:val="auto"/>
          <w:sz w:val="24"/>
          <w:szCs w:val="24"/>
          <w:highlight w:val="none"/>
        </w:rPr>
      </w:pPr>
      <w:r>
        <w:rPr>
          <w:rFonts w:hint="eastAsia" w:ascii="宋体" w:hAnsi="宋体" w:cs="宋体"/>
          <w:color w:val="auto"/>
          <w:sz w:val="24"/>
          <w:szCs w:val="24"/>
          <w:highlight w:val="none"/>
        </w:rPr>
        <w:t>（3）营业执照……………………………………………………………………（页码）</w:t>
      </w:r>
    </w:p>
    <w:p>
      <w:pPr>
        <w:snapToGrid w:val="0"/>
        <w:spacing w:line="360" w:lineRule="auto"/>
        <w:ind w:firstLine="480" w:firstLineChars="200"/>
        <w:jc w:val="distribute"/>
        <w:rPr>
          <w:rFonts w:ascii="宋体" w:hAnsi="宋体" w:cs="宋体"/>
          <w:color w:val="auto"/>
          <w:sz w:val="24"/>
          <w:szCs w:val="24"/>
          <w:highlight w:val="none"/>
        </w:rPr>
      </w:pPr>
      <w:r>
        <w:rPr>
          <w:rFonts w:hint="eastAsia" w:ascii="宋体" w:hAnsi="宋体" w:cs="宋体"/>
          <w:color w:val="auto"/>
          <w:sz w:val="24"/>
          <w:szCs w:val="24"/>
          <w:highlight w:val="none"/>
        </w:rPr>
        <w:t>（4）符合性审查资料……………………………………………………………（页码）</w:t>
      </w:r>
    </w:p>
    <w:p>
      <w:pPr>
        <w:snapToGrid w:val="0"/>
        <w:spacing w:line="360" w:lineRule="auto"/>
        <w:ind w:firstLine="480" w:firstLineChars="200"/>
        <w:jc w:val="distribute"/>
        <w:rPr>
          <w:rFonts w:ascii="宋体" w:hAnsi="宋体" w:cs="宋体"/>
          <w:color w:val="auto"/>
          <w:sz w:val="24"/>
          <w:szCs w:val="24"/>
          <w:highlight w:val="none"/>
        </w:rPr>
      </w:pPr>
      <w:r>
        <w:rPr>
          <w:rFonts w:hint="eastAsia" w:ascii="宋体" w:hAnsi="宋体" w:cs="宋体"/>
          <w:color w:val="auto"/>
          <w:sz w:val="24"/>
          <w:szCs w:val="24"/>
          <w:highlight w:val="none"/>
        </w:rPr>
        <w:t>（5）评审标准相应的商务技术资料……………………………………………（页码）</w:t>
      </w:r>
    </w:p>
    <w:p>
      <w:pPr>
        <w:snapToGrid w:val="0"/>
        <w:spacing w:line="360" w:lineRule="auto"/>
        <w:ind w:firstLine="480" w:firstLineChars="200"/>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（6）商务技术偏离表……………………………………………………………（页码）</w:t>
      </w:r>
    </w:p>
    <w:p>
      <w:pPr>
        <w:snapToGrid w:val="0"/>
        <w:spacing w:line="360" w:lineRule="auto"/>
        <w:ind w:firstLine="480" w:firstLineChars="200"/>
        <w:jc w:val="distribut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eastAsia="zh-CN"/>
        </w:rPr>
        <w:t>响应人廉洁自律承诺书</w:t>
      </w:r>
      <w:r>
        <w:rPr>
          <w:rFonts w:hint="eastAsia" w:ascii="宋体" w:hAnsi="宋体" w:cs="宋体"/>
          <w:color w:val="auto"/>
          <w:sz w:val="24"/>
          <w:szCs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4"/>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2"/>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hint="eastAsia" w:ascii="宋体" w:hAnsi="宋体" w:cs="宋体"/>
          <w:b/>
          <w:color w:val="auto"/>
          <w:kern w:val="0"/>
          <w:sz w:val="32"/>
          <w:szCs w:val="32"/>
          <w:highlight w:val="none"/>
          <w:lang w:val="zh-CN"/>
        </w:rPr>
      </w:pPr>
      <w:r>
        <w:rPr>
          <w:rFonts w:hint="eastAsia" w:ascii="宋体" w:hAnsi="宋体" w:eastAsia="宋体" w:cs="宋体"/>
          <w:b/>
          <w:color w:val="auto"/>
          <w:kern w:val="0"/>
          <w:sz w:val="32"/>
          <w:szCs w:val="32"/>
          <w:lang w:val="zh-CN" w:eastAsia="zh-CN" w:bidi="ar-SA"/>
        </w:rPr>
        <w:t>七、</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hint="eastAsia" w:ascii="宋体" w:hAnsi="宋体" w:cs="宋体"/>
          <w:color w:val="auto"/>
          <w:sz w:val="24"/>
          <w:highlight w:val="none"/>
          <w:u w:val="singl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项目要求。在这次</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pStyle w:val="25"/>
        <w:ind w:left="0" w:leftChars="0" w:firstLine="0" w:firstLineChars="0"/>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0"/>
        </w:numPr>
        <w:snapToGrid w:val="0"/>
        <w:spacing w:line="360" w:lineRule="auto"/>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highlight w:val="none"/>
        </w:rPr>
        <w:t>交易一览表</w:t>
      </w:r>
      <w:r>
        <w:rPr>
          <w:rFonts w:hint="eastAsia" w:ascii="宋体" w:hAnsi="宋体" w:cs="宋体"/>
          <w:color w:val="auto"/>
          <w:sz w:val="24"/>
          <w:highlight w:val="none"/>
        </w:rPr>
        <w:t>……………………………………………………………………（页码）</w:t>
      </w:r>
    </w:p>
    <w:p>
      <w:pPr>
        <w:numPr>
          <w:ilvl w:val="0"/>
          <w:numId w:val="0"/>
        </w:num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4"/>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一、交易一览表（报价表）</w:t>
      </w:r>
    </w:p>
    <w:p>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交易发起</w:t>
      </w:r>
      <w:r>
        <w:rPr>
          <w:rFonts w:hint="eastAsia"/>
          <w:color w:val="auto"/>
          <w:sz w:val="24"/>
          <w:szCs w:val="24"/>
          <w:highlight w:val="none"/>
        </w:rPr>
        <w:t>人）、（采购代理机构）</w:t>
      </w:r>
      <w:r>
        <w:rPr>
          <w:rFonts w:hint="eastAsia"/>
          <w:color w:val="auto"/>
          <w:sz w:val="24"/>
          <w:szCs w:val="24"/>
          <w:highlight w:val="none"/>
          <w:lang w:val="zh-CN"/>
        </w:rPr>
        <w:t>：</w:t>
      </w:r>
    </w:p>
    <w:p>
      <w:pPr>
        <w:spacing w:line="360" w:lineRule="exact"/>
        <w:rPr>
          <w:color w:val="auto"/>
          <w:sz w:val="24"/>
          <w:szCs w:val="24"/>
          <w:highlight w:val="none"/>
          <w:lang w:val="zh-CN"/>
        </w:rPr>
      </w:pPr>
      <w:r>
        <w:rPr>
          <w:rFonts w:hint="eastAsia"/>
          <w:color w:val="auto"/>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color w:val="auto"/>
          <w:sz w:val="24"/>
          <w:szCs w:val="24"/>
          <w:highlight w:val="none"/>
        </w:rPr>
        <w:t>（项目名称）</w:t>
      </w:r>
      <w:r>
        <w:rPr>
          <w:rFonts w:hint="eastAsia"/>
          <w:color w:val="auto"/>
          <w:sz w:val="24"/>
          <w:szCs w:val="24"/>
          <w:highlight w:val="none"/>
          <w:lang w:val="zh-CN"/>
        </w:rPr>
        <w:t>【</w:t>
      </w:r>
      <w:r>
        <w:rPr>
          <w:rFonts w:hint="eastAsia"/>
          <w:color w:val="auto"/>
          <w:sz w:val="24"/>
          <w:szCs w:val="24"/>
          <w:highlight w:val="none"/>
        </w:rPr>
        <w:t>项目</w:t>
      </w:r>
      <w:r>
        <w:rPr>
          <w:rFonts w:hint="eastAsia"/>
          <w:color w:val="auto"/>
          <w:sz w:val="24"/>
          <w:szCs w:val="24"/>
          <w:highlight w:val="none"/>
          <w:lang w:val="zh-CN"/>
        </w:rPr>
        <w:t>编号：</w:t>
      </w:r>
      <w:r>
        <w:rPr>
          <w:rFonts w:hint="eastAsia"/>
          <w:color w:val="auto"/>
          <w:sz w:val="24"/>
          <w:szCs w:val="24"/>
          <w:highlight w:val="none"/>
        </w:rPr>
        <w:t>（采购编号）】的实施</w:t>
      </w:r>
      <w:r>
        <w:rPr>
          <w:rFonts w:hint="eastAsia"/>
          <w:color w:val="auto"/>
          <w:sz w:val="24"/>
          <w:szCs w:val="24"/>
          <w:highlight w:val="none"/>
          <w:lang w:val="zh-CN"/>
        </w:rPr>
        <w:t>。</w:t>
      </w:r>
    </w:p>
    <w:p>
      <w:pPr>
        <w:spacing w:line="400" w:lineRule="exact"/>
        <w:jc w:val="center"/>
        <w:rPr>
          <w:b/>
          <w:color w:val="auto"/>
          <w:highlight w:val="none"/>
          <w:lang w:val="zh-CN"/>
        </w:rPr>
      </w:pPr>
      <w:r>
        <w:rPr>
          <w:rFonts w:hint="eastAsia"/>
          <w:b/>
          <w:color w:val="auto"/>
          <w:sz w:val="24"/>
          <w:szCs w:val="24"/>
          <w:highlight w:val="none"/>
          <w:lang w:val="zh-CN"/>
        </w:rPr>
        <w:t>交易一览表（报价表）</w:t>
      </w:r>
      <w:r>
        <w:rPr>
          <w:b/>
          <w:color w:val="auto"/>
          <w:sz w:val="24"/>
          <w:szCs w:val="24"/>
          <w:highlight w:val="none"/>
          <w:lang w:val="zh-CN"/>
        </w:rPr>
        <w:t>(单位均为人民币元</w:t>
      </w:r>
      <w:r>
        <w:rPr>
          <w:rFonts w:hint="eastAsia"/>
          <w:b/>
          <w:color w:val="auto"/>
          <w:sz w:val="24"/>
          <w:szCs w:val="24"/>
          <w:highlight w:val="none"/>
          <w:lang w:val="zh-CN"/>
        </w:rPr>
        <w:t>，</w:t>
      </w:r>
      <w:r>
        <w:rPr>
          <w:rFonts w:hint="eastAsia"/>
          <w:b/>
          <w:color w:val="auto"/>
          <w:sz w:val="24"/>
          <w:szCs w:val="24"/>
          <w:highlight w:val="none"/>
          <w:lang w:val="en-US" w:eastAsia="zh-CN"/>
        </w:rPr>
        <w:t>至多保留2位小数</w:t>
      </w:r>
      <w:r>
        <w:rPr>
          <w:b/>
          <w:color w:val="auto"/>
          <w:sz w:val="24"/>
          <w:szCs w:val="24"/>
          <w:highlight w:val="none"/>
          <w:lang w:val="zh-CN"/>
        </w:rPr>
        <w:t xml:space="preserve">) </w:t>
      </w:r>
    </w:p>
    <w:tbl>
      <w:tblPr>
        <w:tblStyle w:val="64"/>
        <w:tblW w:w="14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623"/>
        <w:gridCol w:w="1587"/>
        <w:gridCol w:w="847"/>
        <w:gridCol w:w="2262"/>
        <w:gridCol w:w="1906"/>
        <w:gridCol w:w="1444"/>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投标报价（单价）</w:t>
            </w:r>
          </w:p>
          <w:p>
            <w:pPr>
              <w:jc w:val="center"/>
              <w:rPr>
                <w:rFonts w:ascii="宋体" w:hAnsi="宋体" w:cs="宋体"/>
                <w:b/>
                <w:color w:val="auto"/>
                <w:sz w:val="24"/>
                <w:highlight w:val="none"/>
              </w:rPr>
            </w:pPr>
            <w:r>
              <w:rPr>
                <w:rFonts w:hint="eastAsia" w:ascii="宋体" w:hAnsi="宋体" w:cs="宋体"/>
                <w:b/>
                <w:color w:val="auto"/>
                <w:sz w:val="24"/>
                <w:highlight w:val="none"/>
              </w:rPr>
              <w:t>（小写）</w:t>
            </w:r>
          </w:p>
        </w:tc>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投标报价（单价）</w:t>
            </w:r>
          </w:p>
          <w:p>
            <w:pPr>
              <w:jc w:val="center"/>
              <w:rPr>
                <w:rFonts w:ascii="宋体" w:hAnsi="宋体" w:cs="宋体"/>
                <w:b/>
                <w:color w:val="auto"/>
                <w:sz w:val="24"/>
                <w:highlight w:val="none"/>
              </w:rPr>
            </w:pPr>
            <w:r>
              <w:rPr>
                <w:rFonts w:hint="eastAsia" w:ascii="宋体" w:hAnsi="宋体" w:cs="宋体"/>
                <w:b/>
                <w:color w:val="auto"/>
                <w:sz w:val="24"/>
                <w:highlight w:val="none"/>
              </w:rPr>
              <w:t>（大写）</w:t>
            </w:r>
          </w:p>
        </w:tc>
        <w:tc>
          <w:tcPr>
            <w:tcW w:w="1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服务要求</w:t>
            </w:r>
          </w:p>
          <w:p>
            <w:pPr>
              <w:jc w:val="center"/>
              <w:rPr>
                <w:rFonts w:ascii="宋体" w:hAnsi="宋体" w:cs="宋体"/>
                <w:b/>
                <w:color w:val="auto"/>
                <w:sz w:val="24"/>
                <w:highlight w:val="none"/>
              </w:rPr>
            </w:pPr>
            <w:r>
              <w:rPr>
                <w:rFonts w:hint="eastAsia" w:ascii="宋体" w:hAnsi="宋体" w:cs="宋体"/>
                <w:b/>
                <w:color w:val="auto"/>
                <w:sz w:val="24"/>
                <w:highlight w:val="none"/>
              </w:rPr>
              <w:t>（年限）</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rPr>
            </w:pPr>
            <w:r>
              <w:rPr>
                <w:rFonts w:hint="eastAsia" w:ascii="宋体" w:hAnsi="宋体" w:eastAsia="宋体" w:cs="宋体"/>
                <w:color w:val="auto"/>
                <w:sz w:val="24"/>
                <w:highlight w:val="none"/>
                <w:lang w:val="en-US" w:eastAsia="zh-CN"/>
              </w:rPr>
              <w:t>5公顷（含）/</w:t>
            </w:r>
            <w:r>
              <w:rPr>
                <w:rFonts w:hint="eastAsia" w:ascii="宋体" w:hAnsi="宋体" w:cs="仿宋"/>
                <w:color w:val="auto"/>
                <w:sz w:val="24"/>
                <w:szCs w:val="28"/>
                <w:highlight w:val="none"/>
              </w:rPr>
              <w:t>宗</w:t>
            </w:r>
            <w:r>
              <w:rPr>
                <w:rFonts w:hint="eastAsia" w:ascii="宋体" w:hAnsi="宋体" w:eastAsia="宋体" w:cs="宋体"/>
                <w:color w:val="auto"/>
                <w:sz w:val="24"/>
                <w:highlight w:val="none"/>
                <w:lang w:val="en-US" w:eastAsia="zh-CN"/>
              </w:rPr>
              <w:t>以下地块选址论证服务</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仿宋"/>
                <w:color w:val="auto"/>
                <w:sz w:val="24"/>
                <w:szCs w:val="28"/>
                <w:highlight w:val="none"/>
              </w:rPr>
              <w:t>宗</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元/宗</w:t>
            </w:r>
          </w:p>
        </w:tc>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元/宗</w:t>
            </w:r>
          </w:p>
        </w:tc>
        <w:tc>
          <w:tcPr>
            <w:tcW w:w="1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最高限价：</w:t>
            </w:r>
          </w:p>
          <w:p>
            <w:pPr>
              <w:jc w:val="center"/>
              <w:rPr>
                <w:rFonts w:ascii="宋体" w:hAnsi="宋体"/>
                <w:bCs/>
                <w:color w:val="auto"/>
                <w:sz w:val="24"/>
                <w:highlight w:val="none"/>
              </w:rPr>
            </w:pPr>
            <w:r>
              <w:rPr>
                <w:rFonts w:hint="eastAsia" w:ascii="宋体" w:hAnsi="宋体" w:cs="仿宋"/>
                <w:color w:val="auto"/>
                <w:sz w:val="24"/>
                <w:szCs w:val="28"/>
                <w:highlight w:val="none"/>
                <w:lang w:val="en-US" w:eastAsia="zh-CN"/>
              </w:rPr>
              <w:t>100000.00</w:t>
            </w:r>
            <w:r>
              <w:rPr>
                <w:rFonts w:hint="eastAsia" w:ascii="宋体" w:hAnsi="宋体" w:cs="仿宋"/>
                <w:color w:val="auto"/>
                <w:sz w:val="24"/>
                <w:szCs w:val="28"/>
                <w:highlight w:val="none"/>
              </w:rPr>
              <w:t>元/宗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highlight w:val="none"/>
              </w:rPr>
            </w:pPr>
            <w:r>
              <w:rPr>
                <w:rFonts w:hint="eastAsia" w:ascii="宋体" w:hAnsi="宋体" w:eastAsia="宋体" w:cs="宋体"/>
                <w:color w:val="auto"/>
                <w:sz w:val="24"/>
                <w:highlight w:val="none"/>
                <w:lang w:val="en-US" w:eastAsia="zh-CN"/>
              </w:rPr>
              <w:t>5公顷/</w:t>
            </w:r>
            <w:r>
              <w:rPr>
                <w:rFonts w:hint="eastAsia" w:ascii="宋体" w:hAnsi="宋体" w:cs="仿宋"/>
                <w:color w:val="auto"/>
                <w:sz w:val="24"/>
                <w:szCs w:val="28"/>
                <w:highlight w:val="none"/>
              </w:rPr>
              <w:t>宗</w:t>
            </w:r>
            <w:r>
              <w:rPr>
                <w:rFonts w:hint="eastAsia" w:ascii="宋体" w:hAnsi="宋体" w:eastAsia="宋体" w:cs="宋体"/>
                <w:color w:val="auto"/>
                <w:sz w:val="24"/>
                <w:highlight w:val="none"/>
                <w:lang w:val="en-US" w:eastAsia="zh-CN"/>
              </w:rPr>
              <w:t>以上地块选址论证服务</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仿宋"/>
                <w:color w:val="auto"/>
                <w:sz w:val="24"/>
                <w:szCs w:val="28"/>
                <w:highlight w:val="none"/>
              </w:rPr>
              <w:t>宗</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元/宗</w:t>
            </w:r>
          </w:p>
        </w:tc>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元/宗</w:t>
            </w:r>
          </w:p>
        </w:tc>
        <w:tc>
          <w:tcPr>
            <w:tcW w:w="1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最高限价：</w:t>
            </w:r>
          </w:p>
          <w:p>
            <w:pPr>
              <w:jc w:val="center"/>
              <w:rPr>
                <w:rFonts w:ascii="宋体" w:hAnsi="宋体" w:cs="宋体"/>
                <w:color w:val="auto"/>
                <w:sz w:val="24"/>
                <w:highlight w:val="none"/>
              </w:rPr>
            </w:pPr>
            <w:r>
              <w:rPr>
                <w:rFonts w:hint="eastAsia" w:ascii="宋体" w:hAnsi="宋体" w:cs="仿宋"/>
                <w:color w:val="auto"/>
                <w:sz w:val="24"/>
                <w:szCs w:val="28"/>
                <w:highlight w:val="none"/>
                <w:lang w:val="en-US" w:eastAsia="zh-CN"/>
              </w:rPr>
              <w:t>120000.00</w:t>
            </w:r>
            <w:r>
              <w:rPr>
                <w:rFonts w:hint="eastAsia" w:ascii="宋体" w:hAnsi="宋体" w:cs="仿宋"/>
                <w:color w:val="auto"/>
                <w:sz w:val="24"/>
                <w:szCs w:val="28"/>
                <w:highlight w:val="none"/>
              </w:rPr>
              <w:t>元/宗</w:t>
            </w:r>
          </w:p>
        </w:tc>
      </w:tr>
    </w:tbl>
    <w:p>
      <w:pPr>
        <w:spacing w:line="360" w:lineRule="exact"/>
        <w:rPr>
          <w:b/>
          <w:color w:val="auto"/>
          <w:sz w:val="24"/>
          <w:szCs w:val="24"/>
          <w:highlight w:val="none"/>
          <w:lang w:val="zh-CN"/>
        </w:rPr>
      </w:pPr>
      <w:r>
        <w:rPr>
          <w:rFonts w:hint="eastAsia"/>
          <w:b/>
          <w:color w:val="auto"/>
          <w:sz w:val="24"/>
          <w:szCs w:val="24"/>
          <w:highlight w:val="none"/>
          <w:lang w:val="zh-CN"/>
        </w:rPr>
        <w:t>注：</w:t>
      </w:r>
    </w:p>
    <w:p>
      <w:pPr>
        <w:spacing w:line="360" w:lineRule="exact"/>
        <w:rPr>
          <w:color w:val="auto"/>
          <w:sz w:val="24"/>
          <w:szCs w:val="24"/>
          <w:highlight w:val="none"/>
          <w:lang w:val="zh-CN"/>
        </w:rPr>
      </w:pPr>
      <w:r>
        <w:rPr>
          <w:color w:val="auto"/>
          <w:sz w:val="24"/>
          <w:szCs w:val="24"/>
          <w:highlight w:val="none"/>
          <w:lang w:val="zh-CN"/>
        </w:rPr>
        <w:t>1、供应商需按本表格式填写，不得自行更改。</w:t>
      </w:r>
      <w:r>
        <w:rPr>
          <w:color w:val="auto"/>
          <w:sz w:val="24"/>
          <w:szCs w:val="24"/>
          <w:highlight w:val="none"/>
          <w:lang w:val="zh-CN"/>
        </w:rPr>
        <w:tab/>
      </w:r>
    </w:p>
    <w:p>
      <w:pPr>
        <w:spacing w:line="360" w:lineRule="exact"/>
        <w:rPr>
          <w:color w:val="auto"/>
          <w:sz w:val="24"/>
          <w:szCs w:val="24"/>
          <w:highlight w:val="none"/>
        </w:rPr>
      </w:pPr>
      <w:r>
        <w:rPr>
          <w:color w:val="auto"/>
          <w:sz w:val="24"/>
          <w:szCs w:val="24"/>
          <w:highlight w:val="none"/>
          <w:lang w:val="zh-CN"/>
        </w:rPr>
        <w:t>2、有关本项目实施所涉及的一切费用均计入报价。</w:t>
      </w:r>
      <w:r>
        <w:rPr>
          <w:rFonts w:hint="eastAsia"/>
          <w:b/>
          <w:color w:val="auto"/>
          <w:sz w:val="24"/>
          <w:szCs w:val="24"/>
          <w:highlight w:val="none"/>
          <w:lang w:val="zh-CN"/>
        </w:rPr>
        <w:t>采购人将以合同形式有偿取得货物或服务，不接受供应商给予的赠品、回扣或者与采购无关的其他商品、服务</w:t>
      </w:r>
      <w:r>
        <w:rPr>
          <w:rFonts w:hint="eastAsia"/>
          <w:color w:val="auto"/>
          <w:sz w:val="24"/>
          <w:szCs w:val="24"/>
          <w:highlight w:val="none"/>
          <w:lang w:val="zh-CN"/>
        </w:rPr>
        <w:t>，</w:t>
      </w:r>
      <w:r>
        <w:rPr>
          <w:rFonts w:hint="eastAsia"/>
          <w:b/>
          <w:color w:val="auto"/>
          <w:sz w:val="24"/>
          <w:szCs w:val="24"/>
          <w:highlight w:val="none"/>
          <w:lang w:val="zh-CN"/>
        </w:rPr>
        <w:t>不得出现“</w:t>
      </w:r>
      <w:r>
        <w:rPr>
          <w:b/>
          <w:color w:val="auto"/>
          <w:sz w:val="24"/>
          <w:szCs w:val="24"/>
          <w:highlight w:val="none"/>
          <w:lang w:val="zh-CN"/>
        </w:rPr>
        <w:t>0元”“免费赠送”等形式的无偿报价</w:t>
      </w:r>
      <w:r>
        <w:rPr>
          <w:rFonts w:hint="eastAsia"/>
          <w:b/>
          <w:color w:val="auto"/>
          <w:sz w:val="24"/>
          <w:szCs w:val="24"/>
          <w:highlight w:val="none"/>
          <w:lang w:val="zh-CN"/>
        </w:rPr>
        <w:t>，</w:t>
      </w:r>
      <w:r>
        <w:rPr>
          <w:rFonts w:hint="eastAsia"/>
          <w:b/>
          <w:color w:val="auto"/>
          <w:sz w:val="24"/>
          <w:szCs w:val="24"/>
          <w:highlight w:val="none"/>
        </w:rPr>
        <w:t>否则视为响应文件含有采购人不能接受的附加条件的，响应无效</w:t>
      </w:r>
      <w:r>
        <w:rPr>
          <w:rFonts w:hint="eastAsia"/>
          <w:b/>
          <w:color w:val="auto"/>
          <w:sz w:val="24"/>
          <w:szCs w:val="24"/>
          <w:highlight w:val="none"/>
          <w:lang w:val="zh-CN"/>
        </w:rPr>
        <w:t>；采购内容未包含在《交易一览表（报价表）》名称栏中，供应商不能作出合理解释的，</w:t>
      </w:r>
      <w:r>
        <w:rPr>
          <w:rFonts w:hint="eastAsia"/>
          <w:b/>
          <w:color w:val="auto"/>
          <w:sz w:val="24"/>
          <w:szCs w:val="24"/>
          <w:highlight w:val="none"/>
        </w:rPr>
        <w:t>视为响应文件含有采购人不能接受的附加条件的，响应无效。</w:t>
      </w:r>
    </w:p>
    <w:p>
      <w:pPr>
        <w:spacing w:line="360" w:lineRule="exact"/>
        <w:rPr>
          <w:color w:val="auto"/>
          <w:sz w:val="24"/>
          <w:szCs w:val="24"/>
          <w:highlight w:val="none"/>
          <w:lang w:val="zh-CN"/>
        </w:rPr>
      </w:pPr>
      <w:r>
        <w:rPr>
          <w:color w:val="auto"/>
          <w:sz w:val="24"/>
          <w:szCs w:val="24"/>
          <w:highlight w:val="none"/>
          <w:lang w:val="zh-CN"/>
        </w:rPr>
        <w:t>3、以上表格要求细分项目及报价，在“规格型号（或具体服务）”一栏中，货物类项目填写规格型号，服务类项目填写具体服务。</w:t>
      </w:r>
    </w:p>
    <w:p>
      <w:pPr>
        <w:spacing w:line="360" w:lineRule="exact"/>
        <w:rPr>
          <w:rFonts w:hint="eastAsia"/>
          <w:color w:val="auto"/>
          <w:sz w:val="24"/>
          <w:szCs w:val="24"/>
          <w:highlight w:val="none"/>
          <w:lang w:val="zh-CN"/>
        </w:rPr>
      </w:pPr>
      <w:r>
        <w:rPr>
          <w:color w:val="auto"/>
          <w:sz w:val="24"/>
          <w:szCs w:val="24"/>
          <w:highlight w:val="none"/>
          <w:lang w:val="zh-CN"/>
        </w:rPr>
        <w:t>4、特别提示：采购机构将对项目名称和项目编号，成交供应商名称、地址和成交金额，主要成交标的</w:t>
      </w:r>
      <w:r>
        <w:rPr>
          <w:rFonts w:hint="eastAsia"/>
          <w:color w:val="auto"/>
          <w:sz w:val="24"/>
          <w:szCs w:val="24"/>
          <w:highlight w:val="none"/>
          <w:lang w:val="zh-CN"/>
        </w:rPr>
        <w:t>的名称、规格型号、数量、单价、服务要求等予以公示。</w:t>
      </w:r>
    </w:p>
    <w:p>
      <w:pPr>
        <w:spacing w:line="360" w:lineRule="exact"/>
        <w:rPr>
          <w:rFonts w:hint="eastAsia"/>
          <w:color w:val="auto"/>
          <w:sz w:val="24"/>
          <w:szCs w:val="24"/>
          <w:highlight w:val="none"/>
          <w:lang w:val="zh-CN"/>
        </w:rPr>
      </w:pP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zh-CN"/>
        </w:rPr>
        <w:t>、特别说明：▲供应商报价低于项目最高限价50%的，应当在报价文件中详细阐述不影响产品质量或者诚信履约的具体原因，未做阐述说明的，投标无效。</w:t>
      </w: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exact"/>
        <w:ind w:firstLine="7680" w:firstLineChars="3200"/>
        <w:rPr>
          <w:rFonts w:ascii="仿宋_GB2312" w:eastAsia="仿宋_GB2312"/>
          <w:b/>
          <w:color w:val="auto"/>
          <w:sz w:val="24"/>
          <w:szCs w:val="24"/>
          <w:highlight w:val="none"/>
        </w:rPr>
        <w:sectPr>
          <w:pgSz w:w="16838" w:h="11906" w:orient="landscape"/>
          <w:pgMar w:top="1800" w:right="1440" w:bottom="1700" w:left="1440" w:header="851" w:footer="992" w:gutter="0"/>
          <w:pgNumType w:fmt="decimal"/>
          <w:cols w:space="720" w:num="1"/>
          <w:docGrid w:type="lines" w:linePitch="326"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tabs>
          <w:tab w:val="left" w:pos="4925"/>
        </w:tabs>
        <w:spacing w:line="520" w:lineRule="exact"/>
        <w:rPr>
          <w:rFonts w:ascii="仿宋_GB2312" w:eastAsia="仿宋_GB2312" w:cs="仿宋_GB2312"/>
          <w:color w:val="auto"/>
          <w:highlight w:val="none"/>
        </w:rPr>
      </w:pPr>
    </w:p>
    <w:p>
      <w:pPr>
        <w:autoSpaceDE w:val="0"/>
        <w:autoSpaceDN w:val="0"/>
        <w:jc w:val="center"/>
        <w:rPr>
          <w:rFonts w:ascii="宋体" w:hAnsi="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7055D0"/>
    <w:rsid w:val="0178495D"/>
    <w:rsid w:val="019F7441"/>
    <w:rsid w:val="01A06AA0"/>
    <w:rsid w:val="01B37585"/>
    <w:rsid w:val="01B5399D"/>
    <w:rsid w:val="01C064F8"/>
    <w:rsid w:val="01D55165"/>
    <w:rsid w:val="01DF6BF8"/>
    <w:rsid w:val="01EC2C57"/>
    <w:rsid w:val="02021298"/>
    <w:rsid w:val="020B640B"/>
    <w:rsid w:val="022C5F07"/>
    <w:rsid w:val="02495CC7"/>
    <w:rsid w:val="0251230D"/>
    <w:rsid w:val="025F0711"/>
    <w:rsid w:val="02644317"/>
    <w:rsid w:val="026B2E25"/>
    <w:rsid w:val="02824D4D"/>
    <w:rsid w:val="02BE3979"/>
    <w:rsid w:val="02D3306E"/>
    <w:rsid w:val="02DC4B10"/>
    <w:rsid w:val="02DD76CE"/>
    <w:rsid w:val="02E828A9"/>
    <w:rsid w:val="02E84AFC"/>
    <w:rsid w:val="02F36323"/>
    <w:rsid w:val="02F5619C"/>
    <w:rsid w:val="030E12FE"/>
    <w:rsid w:val="03233C63"/>
    <w:rsid w:val="0326446A"/>
    <w:rsid w:val="032D5555"/>
    <w:rsid w:val="036634D2"/>
    <w:rsid w:val="036B7F76"/>
    <w:rsid w:val="037E0200"/>
    <w:rsid w:val="038A68D9"/>
    <w:rsid w:val="03A94C2C"/>
    <w:rsid w:val="03D66BA6"/>
    <w:rsid w:val="03DD35E4"/>
    <w:rsid w:val="04073203"/>
    <w:rsid w:val="04076900"/>
    <w:rsid w:val="041A5A3B"/>
    <w:rsid w:val="042311BA"/>
    <w:rsid w:val="042B157A"/>
    <w:rsid w:val="048F763B"/>
    <w:rsid w:val="049F330E"/>
    <w:rsid w:val="04AA775C"/>
    <w:rsid w:val="04AF1889"/>
    <w:rsid w:val="04B85F11"/>
    <w:rsid w:val="04E76BC6"/>
    <w:rsid w:val="04EE3F9B"/>
    <w:rsid w:val="04F15B2F"/>
    <w:rsid w:val="04F66F48"/>
    <w:rsid w:val="051E28A6"/>
    <w:rsid w:val="05251E14"/>
    <w:rsid w:val="054B35C3"/>
    <w:rsid w:val="05507636"/>
    <w:rsid w:val="05770BD6"/>
    <w:rsid w:val="058806C7"/>
    <w:rsid w:val="05A13F3E"/>
    <w:rsid w:val="05A16594"/>
    <w:rsid w:val="05A7762D"/>
    <w:rsid w:val="05BF4603"/>
    <w:rsid w:val="05C04DC2"/>
    <w:rsid w:val="05C210FA"/>
    <w:rsid w:val="060E5941"/>
    <w:rsid w:val="06110FAF"/>
    <w:rsid w:val="0618097E"/>
    <w:rsid w:val="06493CA7"/>
    <w:rsid w:val="065A6178"/>
    <w:rsid w:val="066D3597"/>
    <w:rsid w:val="066F1CF3"/>
    <w:rsid w:val="06930BB8"/>
    <w:rsid w:val="06956198"/>
    <w:rsid w:val="070103DE"/>
    <w:rsid w:val="07106873"/>
    <w:rsid w:val="071A4FFB"/>
    <w:rsid w:val="07245D42"/>
    <w:rsid w:val="07264C62"/>
    <w:rsid w:val="072F6604"/>
    <w:rsid w:val="074460BC"/>
    <w:rsid w:val="075859CA"/>
    <w:rsid w:val="0779354C"/>
    <w:rsid w:val="077F0C95"/>
    <w:rsid w:val="07C300BD"/>
    <w:rsid w:val="07FE18F3"/>
    <w:rsid w:val="08061376"/>
    <w:rsid w:val="08225E73"/>
    <w:rsid w:val="08452D77"/>
    <w:rsid w:val="086401F8"/>
    <w:rsid w:val="08751CAA"/>
    <w:rsid w:val="0876556A"/>
    <w:rsid w:val="087E4C40"/>
    <w:rsid w:val="08A53637"/>
    <w:rsid w:val="08A871D0"/>
    <w:rsid w:val="08D66AD6"/>
    <w:rsid w:val="08DA33A3"/>
    <w:rsid w:val="08E80F13"/>
    <w:rsid w:val="08EC3DDD"/>
    <w:rsid w:val="091328F8"/>
    <w:rsid w:val="092612F3"/>
    <w:rsid w:val="092748F4"/>
    <w:rsid w:val="09335624"/>
    <w:rsid w:val="093E11FE"/>
    <w:rsid w:val="0944690F"/>
    <w:rsid w:val="09535675"/>
    <w:rsid w:val="095F057D"/>
    <w:rsid w:val="0960544E"/>
    <w:rsid w:val="09642282"/>
    <w:rsid w:val="09733572"/>
    <w:rsid w:val="09772C16"/>
    <w:rsid w:val="098353B5"/>
    <w:rsid w:val="09A92330"/>
    <w:rsid w:val="09B06B87"/>
    <w:rsid w:val="09C13146"/>
    <w:rsid w:val="09E04166"/>
    <w:rsid w:val="09F81448"/>
    <w:rsid w:val="0A00672A"/>
    <w:rsid w:val="0A1C0718"/>
    <w:rsid w:val="0A2C10A7"/>
    <w:rsid w:val="0A3E7710"/>
    <w:rsid w:val="0A5B7E63"/>
    <w:rsid w:val="0A5E227D"/>
    <w:rsid w:val="0A7E7C65"/>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B73C35"/>
    <w:rsid w:val="0BCB644C"/>
    <w:rsid w:val="0BF6188C"/>
    <w:rsid w:val="0BF73C91"/>
    <w:rsid w:val="0C170175"/>
    <w:rsid w:val="0C41327A"/>
    <w:rsid w:val="0C571A41"/>
    <w:rsid w:val="0C5C1171"/>
    <w:rsid w:val="0C5E1CBC"/>
    <w:rsid w:val="0C615B50"/>
    <w:rsid w:val="0C6E0EEC"/>
    <w:rsid w:val="0C711B61"/>
    <w:rsid w:val="0C8445DA"/>
    <w:rsid w:val="0C87121B"/>
    <w:rsid w:val="0CAE0BF3"/>
    <w:rsid w:val="0CB32298"/>
    <w:rsid w:val="0CC007F7"/>
    <w:rsid w:val="0CC617AC"/>
    <w:rsid w:val="0CFE707A"/>
    <w:rsid w:val="0D063BDA"/>
    <w:rsid w:val="0D08375F"/>
    <w:rsid w:val="0D184CFB"/>
    <w:rsid w:val="0D37621D"/>
    <w:rsid w:val="0D3D3B60"/>
    <w:rsid w:val="0D400115"/>
    <w:rsid w:val="0D4A7419"/>
    <w:rsid w:val="0D7F02AE"/>
    <w:rsid w:val="0D814026"/>
    <w:rsid w:val="0D827401"/>
    <w:rsid w:val="0D84094E"/>
    <w:rsid w:val="0D8A00E9"/>
    <w:rsid w:val="0D8D589E"/>
    <w:rsid w:val="0D95362E"/>
    <w:rsid w:val="0DA01C73"/>
    <w:rsid w:val="0DD63300"/>
    <w:rsid w:val="0DE348D2"/>
    <w:rsid w:val="0DF50604"/>
    <w:rsid w:val="0DF62E62"/>
    <w:rsid w:val="0DF702FE"/>
    <w:rsid w:val="0E060E51"/>
    <w:rsid w:val="0E22536A"/>
    <w:rsid w:val="0E24319C"/>
    <w:rsid w:val="0E373674"/>
    <w:rsid w:val="0E5005EE"/>
    <w:rsid w:val="0E5604B2"/>
    <w:rsid w:val="0E6D5D79"/>
    <w:rsid w:val="0E6F14E6"/>
    <w:rsid w:val="0E9D0089"/>
    <w:rsid w:val="0EB803EE"/>
    <w:rsid w:val="0EC30910"/>
    <w:rsid w:val="0EF94D4B"/>
    <w:rsid w:val="0F0B13B6"/>
    <w:rsid w:val="0F182768"/>
    <w:rsid w:val="0F4958DC"/>
    <w:rsid w:val="0F515DF7"/>
    <w:rsid w:val="0F596BA8"/>
    <w:rsid w:val="0F6248D2"/>
    <w:rsid w:val="0F635421"/>
    <w:rsid w:val="0F693536"/>
    <w:rsid w:val="0F7B0511"/>
    <w:rsid w:val="0F7B76D9"/>
    <w:rsid w:val="0F816ACD"/>
    <w:rsid w:val="0F9832DB"/>
    <w:rsid w:val="0FB26719"/>
    <w:rsid w:val="0FBF3FD2"/>
    <w:rsid w:val="0FBF7FF3"/>
    <w:rsid w:val="0FCF1C32"/>
    <w:rsid w:val="0FDA406B"/>
    <w:rsid w:val="0FFC3E38"/>
    <w:rsid w:val="10156805"/>
    <w:rsid w:val="105C0433"/>
    <w:rsid w:val="10646583"/>
    <w:rsid w:val="107D4B15"/>
    <w:rsid w:val="10841832"/>
    <w:rsid w:val="108A3C80"/>
    <w:rsid w:val="10BB15FD"/>
    <w:rsid w:val="10C26171"/>
    <w:rsid w:val="10D24F5A"/>
    <w:rsid w:val="10DC700E"/>
    <w:rsid w:val="10E24DDC"/>
    <w:rsid w:val="10E4410E"/>
    <w:rsid w:val="10F33360"/>
    <w:rsid w:val="10F4083A"/>
    <w:rsid w:val="10FC16EA"/>
    <w:rsid w:val="110F1D40"/>
    <w:rsid w:val="11266F33"/>
    <w:rsid w:val="11290EEC"/>
    <w:rsid w:val="118963A1"/>
    <w:rsid w:val="11C6522A"/>
    <w:rsid w:val="11CC783A"/>
    <w:rsid w:val="11E104CC"/>
    <w:rsid w:val="11E20309"/>
    <w:rsid w:val="12255233"/>
    <w:rsid w:val="12530213"/>
    <w:rsid w:val="126A32DB"/>
    <w:rsid w:val="127723A9"/>
    <w:rsid w:val="12862074"/>
    <w:rsid w:val="12883966"/>
    <w:rsid w:val="129E45B4"/>
    <w:rsid w:val="12C50511"/>
    <w:rsid w:val="12D21374"/>
    <w:rsid w:val="12D81596"/>
    <w:rsid w:val="12E806A4"/>
    <w:rsid w:val="12E84200"/>
    <w:rsid w:val="12FE3A23"/>
    <w:rsid w:val="13072A44"/>
    <w:rsid w:val="131A1B7F"/>
    <w:rsid w:val="131B7A00"/>
    <w:rsid w:val="134502E2"/>
    <w:rsid w:val="13474EA5"/>
    <w:rsid w:val="135F4BE2"/>
    <w:rsid w:val="13913864"/>
    <w:rsid w:val="139B1A0A"/>
    <w:rsid w:val="139B5BDE"/>
    <w:rsid w:val="139D25C7"/>
    <w:rsid w:val="13BF3CE4"/>
    <w:rsid w:val="13CB5B5C"/>
    <w:rsid w:val="13E0119D"/>
    <w:rsid w:val="14013E22"/>
    <w:rsid w:val="140F0A5D"/>
    <w:rsid w:val="141008D8"/>
    <w:rsid w:val="14125FE6"/>
    <w:rsid w:val="142B70E5"/>
    <w:rsid w:val="14445DAD"/>
    <w:rsid w:val="14500381"/>
    <w:rsid w:val="14630518"/>
    <w:rsid w:val="146D271E"/>
    <w:rsid w:val="14911CA6"/>
    <w:rsid w:val="14982588"/>
    <w:rsid w:val="149A5AD9"/>
    <w:rsid w:val="149C1746"/>
    <w:rsid w:val="14A7619D"/>
    <w:rsid w:val="14A800EA"/>
    <w:rsid w:val="14C30AC8"/>
    <w:rsid w:val="14F25B02"/>
    <w:rsid w:val="14FB5BB0"/>
    <w:rsid w:val="14FC21E4"/>
    <w:rsid w:val="150536C3"/>
    <w:rsid w:val="150C1963"/>
    <w:rsid w:val="151447A0"/>
    <w:rsid w:val="151B08BC"/>
    <w:rsid w:val="154975FB"/>
    <w:rsid w:val="154A6454"/>
    <w:rsid w:val="15762120"/>
    <w:rsid w:val="15844A86"/>
    <w:rsid w:val="15F56AC3"/>
    <w:rsid w:val="1608540D"/>
    <w:rsid w:val="160D3A64"/>
    <w:rsid w:val="1619089B"/>
    <w:rsid w:val="16204A74"/>
    <w:rsid w:val="166C515D"/>
    <w:rsid w:val="169326D4"/>
    <w:rsid w:val="16A8729C"/>
    <w:rsid w:val="16B33777"/>
    <w:rsid w:val="16BC70A7"/>
    <w:rsid w:val="16C6339E"/>
    <w:rsid w:val="16C730F7"/>
    <w:rsid w:val="16D6012D"/>
    <w:rsid w:val="16E66CA8"/>
    <w:rsid w:val="16FE2244"/>
    <w:rsid w:val="17081314"/>
    <w:rsid w:val="172A5A81"/>
    <w:rsid w:val="172F2D79"/>
    <w:rsid w:val="17557BEF"/>
    <w:rsid w:val="176D1E2A"/>
    <w:rsid w:val="17852075"/>
    <w:rsid w:val="178B06F1"/>
    <w:rsid w:val="179901BE"/>
    <w:rsid w:val="17996410"/>
    <w:rsid w:val="17A05FFC"/>
    <w:rsid w:val="17D349C1"/>
    <w:rsid w:val="17E066D8"/>
    <w:rsid w:val="1823570C"/>
    <w:rsid w:val="1830729E"/>
    <w:rsid w:val="18394486"/>
    <w:rsid w:val="185134E3"/>
    <w:rsid w:val="18641B32"/>
    <w:rsid w:val="1870062C"/>
    <w:rsid w:val="187E2872"/>
    <w:rsid w:val="18817102"/>
    <w:rsid w:val="18830A15"/>
    <w:rsid w:val="18852B28"/>
    <w:rsid w:val="188B5321"/>
    <w:rsid w:val="18C776A6"/>
    <w:rsid w:val="18CA21AC"/>
    <w:rsid w:val="18CB3E99"/>
    <w:rsid w:val="18D64F20"/>
    <w:rsid w:val="18EE574D"/>
    <w:rsid w:val="18F51424"/>
    <w:rsid w:val="19341F4D"/>
    <w:rsid w:val="195E2A95"/>
    <w:rsid w:val="197524E7"/>
    <w:rsid w:val="19761DA4"/>
    <w:rsid w:val="19932372"/>
    <w:rsid w:val="19A07A88"/>
    <w:rsid w:val="19A20DD5"/>
    <w:rsid w:val="19A76BC3"/>
    <w:rsid w:val="19AE03F1"/>
    <w:rsid w:val="19D16EBE"/>
    <w:rsid w:val="19F90A68"/>
    <w:rsid w:val="1A002777"/>
    <w:rsid w:val="1A071A03"/>
    <w:rsid w:val="1A1A5A79"/>
    <w:rsid w:val="1A1A697E"/>
    <w:rsid w:val="1A1F16AE"/>
    <w:rsid w:val="1A332204"/>
    <w:rsid w:val="1A3B5C77"/>
    <w:rsid w:val="1A4E1543"/>
    <w:rsid w:val="1A78287A"/>
    <w:rsid w:val="1A7A249A"/>
    <w:rsid w:val="1A984BAD"/>
    <w:rsid w:val="1AB8220E"/>
    <w:rsid w:val="1AC00A4A"/>
    <w:rsid w:val="1AC9700C"/>
    <w:rsid w:val="1AE4166C"/>
    <w:rsid w:val="1AF06CFB"/>
    <w:rsid w:val="1AF11B8D"/>
    <w:rsid w:val="1B11359C"/>
    <w:rsid w:val="1B2A271F"/>
    <w:rsid w:val="1B530544"/>
    <w:rsid w:val="1B55264E"/>
    <w:rsid w:val="1B713184"/>
    <w:rsid w:val="1B825FBC"/>
    <w:rsid w:val="1BA209CF"/>
    <w:rsid w:val="1BB4777D"/>
    <w:rsid w:val="1BD75AB8"/>
    <w:rsid w:val="1BE22A26"/>
    <w:rsid w:val="1BE31EF1"/>
    <w:rsid w:val="1BE91714"/>
    <w:rsid w:val="1BEE234F"/>
    <w:rsid w:val="1C0459C2"/>
    <w:rsid w:val="1C0F0A4F"/>
    <w:rsid w:val="1C1B3B4A"/>
    <w:rsid w:val="1C537570"/>
    <w:rsid w:val="1C5B5A42"/>
    <w:rsid w:val="1C88086E"/>
    <w:rsid w:val="1C9A2E97"/>
    <w:rsid w:val="1CA045EE"/>
    <w:rsid w:val="1CC47A8B"/>
    <w:rsid w:val="1CC86312"/>
    <w:rsid w:val="1D266CE1"/>
    <w:rsid w:val="1D3963AF"/>
    <w:rsid w:val="1D6A673C"/>
    <w:rsid w:val="1D84721B"/>
    <w:rsid w:val="1D9247AE"/>
    <w:rsid w:val="1DB567EC"/>
    <w:rsid w:val="1DCB5E3D"/>
    <w:rsid w:val="1DEC22C4"/>
    <w:rsid w:val="1DF51A98"/>
    <w:rsid w:val="1DFD519F"/>
    <w:rsid w:val="1E0D7198"/>
    <w:rsid w:val="1E3D060F"/>
    <w:rsid w:val="1E3F7D2E"/>
    <w:rsid w:val="1E4134E4"/>
    <w:rsid w:val="1E5062B3"/>
    <w:rsid w:val="1E523514"/>
    <w:rsid w:val="1E714A66"/>
    <w:rsid w:val="1E730E11"/>
    <w:rsid w:val="1E802593"/>
    <w:rsid w:val="1E8B6156"/>
    <w:rsid w:val="1EA703CC"/>
    <w:rsid w:val="1EB26790"/>
    <w:rsid w:val="1EB7330C"/>
    <w:rsid w:val="1F0A0FF3"/>
    <w:rsid w:val="1F4629DA"/>
    <w:rsid w:val="1F4E7AE0"/>
    <w:rsid w:val="1F5771FF"/>
    <w:rsid w:val="1FD664AC"/>
    <w:rsid w:val="1FE868A9"/>
    <w:rsid w:val="1FFB37C4"/>
    <w:rsid w:val="20034907"/>
    <w:rsid w:val="20173E4B"/>
    <w:rsid w:val="201C7BDE"/>
    <w:rsid w:val="20221083"/>
    <w:rsid w:val="204E48BC"/>
    <w:rsid w:val="208921B3"/>
    <w:rsid w:val="208F316F"/>
    <w:rsid w:val="2093370A"/>
    <w:rsid w:val="20973DEB"/>
    <w:rsid w:val="20B26522"/>
    <w:rsid w:val="20B34C6B"/>
    <w:rsid w:val="20B44310"/>
    <w:rsid w:val="20D61B3B"/>
    <w:rsid w:val="20DF1008"/>
    <w:rsid w:val="20EE2FE4"/>
    <w:rsid w:val="20F247A3"/>
    <w:rsid w:val="21004E0A"/>
    <w:rsid w:val="211116EB"/>
    <w:rsid w:val="211E01F0"/>
    <w:rsid w:val="212D6D8F"/>
    <w:rsid w:val="216133FC"/>
    <w:rsid w:val="218944CA"/>
    <w:rsid w:val="21D56769"/>
    <w:rsid w:val="21D62C50"/>
    <w:rsid w:val="21E52EF3"/>
    <w:rsid w:val="21FB5D7B"/>
    <w:rsid w:val="22032E04"/>
    <w:rsid w:val="220B1C3D"/>
    <w:rsid w:val="221D1D20"/>
    <w:rsid w:val="22334A87"/>
    <w:rsid w:val="227D367D"/>
    <w:rsid w:val="22B61EBB"/>
    <w:rsid w:val="22B83BEE"/>
    <w:rsid w:val="22BE6801"/>
    <w:rsid w:val="22C04C60"/>
    <w:rsid w:val="22E03145"/>
    <w:rsid w:val="23113F1A"/>
    <w:rsid w:val="233500BF"/>
    <w:rsid w:val="23377FF7"/>
    <w:rsid w:val="236B425F"/>
    <w:rsid w:val="23836192"/>
    <w:rsid w:val="238B1303"/>
    <w:rsid w:val="23901F29"/>
    <w:rsid w:val="239C0061"/>
    <w:rsid w:val="23B908A4"/>
    <w:rsid w:val="23C10750"/>
    <w:rsid w:val="23D36828"/>
    <w:rsid w:val="23E406C4"/>
    <w:rsid w:val="23E95BEF"/>
    <w:rsid w:val="23FC52F4"/>
    <w:rsid w:val="23FD0064"/>
    <w:rsid w:val="244C6C81"/>
    <w:rsid w:val="245375B0"/>
    <w:rsid w:val="24642C0A"/>
    <w:rsid w:val="24667B44"/>
    <w:rsid w:val="246A3BA8"/>
    <w:rsid w:val="247E6772"/>
    <w:rsid w:val="248B443A"/>
    <w:rsid w:val="2492728B"/>
    <w:rsid w:val="249307DC"/>
    <w:rsid w:val="24AF7273"/>
    <w:rsid w:val="24B22173"/>
    <w:rsid w:val="24B62CC7"/>
    <w:rsid w:val="24B95AD9"/>
    <w:rsid w:val="24BE24DA"/>
    <w:rsid w:val="24CF5825"/>
    <w:rsid w:val="24D663E6"/>
    <w:rsid w:val="24D77F2B"/>
    <w:rsid w:val="24E5358D"/>
    <w:rsid w:val="2511064F"/>
    <w:rsid w:val="254F52B1"/>
    <w:rsid w:val="25837A55"/>
    <w:rsid w:val="258B00E2"/>
    <w:rsid w:val="258E4250"/>
    <w:rsid w:val="25A34E23"/>
    <w:rsid w:val="25A917A6"/>
    <w:rsid w:val="25B6018D"/>
    <w:rsid w:val="25BE27CC"/>
    <w:rsid w:val="25CF0F67"/>
    <w:rsid w:val="25D85F35"/>
    <w:rsid w:val="25E92F53"/>
    <w:rsid w:val="25F74A5C"/>
    <w:rsid w:val="2628662C"/>
    <w:rsid w:val="26287F13"/>
    <w:rsid w:val="262D45DE"/>
    <w:rsid w:val="265C50DF"/>
    <w:rsid w:val="266B0F78"/>
    <w:rsid w:val="266E6AE8"/>
    <w:rsid w:val="267E09C1"/>
    <w:rsid w:val="26871DC8"/>
    <w:rsid w:val="26A53EF9"/>
    <w:rsid w:val="26A56700"/>
    <w:rsid w:val="26A6481F"/>
    <w:rsid w:val="26A94201"/>
    <w:rsid w:val="26AC274F"/>
    <w:rsid w:val="270377E9"/>
    <w:rsid w:val="27044A29"/>
    <w:rsid w:val="271D34C8"/>
    <w:rsid w:val="272F6449"/>
    <w:rsid w:val="273A5E93"/>
    <w:rsid w:val="273F6C96"/>
    <w:rsid w:val="274C4FBA"/>
    <w:rsid w:val="276142BF"/>
    <w:rsid w:val="27783712"/>
    <w:rsid w:val="27907362"/>
    <w:rsid w:val="27910EB2"/>
    <w:rsid w:val="279B7084"/>
    <w:rsid w:val="27A02A0E"/>
    <w:rsid w:val="28052EE7"/>
    <w:rsid w:val="282D0BDB"/>
    <w:rsid w:val="28333E1D"/>
    <w:rsid w:val="28355CE1"/>
    <w:rsid w:val="28454BD6"/>
    <w:rsid w:val="28455253"/>
    <w:rsid w:val="28551971"/>
    <w:rsid w:val="285A69A0"/>
    <w:rsid w:val="285B1C53"/>
    <w:rsid w:val="287A4124"/>
    <w:rsid w:val="28814A83"/>
    <w:rsid w:val="2899001E"/>
    <w:rsid w:val="289F7086"/>
    <w:rsid w:val="28C32028"/>
    <w:rsid w:val="28CC490F"/>
    <w:rsid w:val="28DE40AA"/>
    <w:rsid w:val="29345E77"/>
    <w:rsid w:val="29453CBE"/>
    <w:rsid w:val="294C65AD"/>
    <w:rsid w:val="294E3480"/>
    <w:rsid w:val="29625C49"/>
    <w:rsid w:val="29806583"/>
    <w:rsid w:val="298B3C4C"/>
    <w:rsid w:val="29C46615"/>
    <w:rsid w:val="29EC23D0"/>
    <w:rsid w:val="29F26D24"/>
    <w:rsid w:val="2A15033F"/>
    <w:rsid w:val="2A1662C1"/>
    <w:rsid w:val="2A1C7367"/>
    <w:rsid w:val="2A2815FA"/>
    <w:rsid w:val="2A6D6092"/>
    <w:rsid w:val="2A7D76B4"/>
    <w:rsid w:val="2A830ABD"/>
    <w:rsid w:val="2A8A2314"/>
    <w:rsid w:val="2A8B5E0D"/>
    <w:rsid w:val="2AA12964"/>
    <w:rsid w:val="2AD8021A"/>
    <w:rsid w:val="2AEE1B3B"/>
    <w:rsid w:val="2AF47F2E"/>
    <w:rsid w:val="2B0025D7"/>
    <w:rsid w:val="2B1A10CF"/>
    <w:rsid w:val="2B2D22CA"/>
    <w:rsid w:val="2B437463"/>
    <w:rsid w:val="2B7807EE"/>
    <w:rsid w:val="2B8B2877"/>
    <w:rsid w:val="2B8C47CE"/>
    <w:rsid w:val="2B8C67CE"/>
    <w:rsid w:val="2BA50BF7"/>
    <w:rsid w:val="2BB563D7"/>
    <w:rsid w:val="2BBF00EC"/>
    <w:rsid w:val="2BC37CFD"/>
    <w:rsid w:val="2BD5237F"/>
    <w:rsid w:val="2BE536CE"/>
    <w:rsid w:val="2BE758D9"/>
    <w:rsid w:val="2BE76A97"/>
    <w:rsid w:val="2BEA7DD3"/>
    <w:rsid w:val="2C09049E"/>
    <w:rsid w:val="2C0A653C"/>
    <w:rsid w:val="2C0E0D23"/>
    <w:rsid w:val="2C191F85"/>
    <w:rsid w:val="2C8C4873"/>
    <w:rsid w:val="2C994A93"/>
    <w:rsid w:val="2C9F2D3A"/>
    <w:rsid w:val="2CE82D6F"/>
    <w:rsid w:val="2D2216DE"/>
    <w:rsid w:val="2D343236"/>
    <w:rsid w:val="2D65207D"/>
    <w:rsid w:val="2D6C5D01"/>
    <w:rsid w:val="2D6D6409"/>
    <w:rsid w:val="2D8D5C78"/>
    <w:rsid w:val="2D956040"/>
    <w:rsid w:val="2DC53663"/>
    <w:rsid w:val="2DD15014"/>
    <w:rsid w:val="2DD62E25"/>
    <w:rsid w:val="2DF57D44"/>
    <w:rsid w:val="2DF72DE4"/>
    <w:rsid w:val="2E0220AF"/>
    <w:rsid w:val="2E284D88"/>
    <w:rsid w:val="2E4B082A"/>
    <w:rsid w:val="2E5D4E86"/>
    <w:rsid w:val="2E5D790B"/>
    <w:rsid w:val="2E776A61"/>
    <w:rsid w:val="2E9A143D"/>
    <w:rsid w:val="2E9A3C18"/>
    <w:rsid w:val="2EBB0FEE"/>
    <w:rsid w:val="2EC63002"/>
    <w:rsid w:val="2ECB46DA"/>
    <w:rsid w:val="2F064D1A"/>
    <w:rsid w:val="2F0A6B38"/>
    <w:rsid w:val="2F0E78D3"/>
    <w:rsid w:val="2F4430A0"/>
    <w:rsid w:val="2F946CCB"/>
    <w:rsid w:val="2F975429"/>
    <w:rsid w:val="2FC8743B"/>
    <w:rsid w:val="2FD25781"/>
    <w:rsid w:val="2FDE33BA"/>
    <w:rsid w:val="2FF346DE"/>
    <w:rsid w:val="2FFB7730"/>
    <w:rsid w:val="2FFD7934"/>
    <w:rsid w:val="300D394D"/>
    <w:rsid w:val="30201A01"/>
    <w:rsid w:val="30462597"/>
    <w:rsid w:val="305667F5"/>
    <w:rsid w:val="30733ACD"/>
    <w:rsid w:val="30742360"/>
    <w:rsid w:val="30827221"/>
    <w:rsid w:val="308C3862"/>
    <w:rsid w:val="309379D8"/>
    <w:rsid w:val="309B6899"/>
    <w:rsid w:val="30A270F7"/>
    <w:rsid w:val="30D05919"/>
    <w:rsid w:val="30DF1478"/>
    <w:rsid w:val="30E91417"/>
    <w:rsid w:val="30EA055D"/>
    <w:rsid w:val="30EC586F"/>
    <w:rsid w:val="30F508D4"/>
    <w:rsid w:val="31174143"/>
    <w:rsid w:val="312B5ED3"/>
    <w:rsid w:val="31322E68"/>
    <w:rsid w:val="319C6071"/>
    <w:rsid w:val="31AC537E"/>
    <w:rsid w:val="31B420C4"/>
    <w:rsid w:val="31B82C24"/>
    <w:rsid w:val="31C17BA9"/>
    <w:rsid w:val="31C549B6"/>
    <w:rsid w:val="31E3679B"/>
    <w:rsid w:val="31E732FD"/>
    <w:rsid w:val="3212499D"/>
    <w:rsid w:val="32517576"/>
    <w:rsid w:val="3262346C"/>
    <w:rsid w:val="32A25643"/>
    <w:rsid w:val="32A64673"/>
    <w:rsid w:val="32B12408"/>
    <w:rsid w:val="32BE5C2C"/>
    <w:rsid w:val="32FB6478"/>
    <w:rsid w:val="331E793D"/>
    <w:rsid w:val="33240E2C"/>
    <w:rsid w:val="332637C2"/>
    <w:rsid w:val="33263B3F"/>
    <w:rsid w:val="33414C37"/>
    <w:rsid w:val="336963EB"/>
    <w:rsid w:val="33816EEB"/>
    <w:rsid w:val="338863E7"/>
    <w:rsid w:val="33A51E80"/>
    <w:rsid w:val="33A845DC"/>
    <w:rsid w:val="33EB55CD"/>
    <w:rsid w:val="33EC4C02"/>
    <w:rsid w:val="33F56B06"/>
    <w:rsid w:val="33F84E22"/>
    <w:rsid w:val="340D2360"/>
    <w:rsid w:val="3410665D"/>
    <w:rsid w:val="341F7742"/>
    <w:rsid w:val="34211214"/>
    <w:rsid w:val="342E63AB"/>
    <w:rsid w:val="34433534"/>
    <w:rsid w:val="345E036E"/>
    <w:rsid w:val="3466782F"/>
    <w:rsid w:val="347B5D1E"/>
    <w:rsid w:val="347C5A95"/>
    <w:rsid w:val="348F33B5"/>
    <w:rsid w:val="34950E68"/>
    <w:rsid w:val="34986E94"/>
    <w:rsid w:val="34AA5361"/>
    <w:rsid w:val="34AF62C9"/>
    <w:rsid w:val="34CB4388"/>
    <w:rsid w:val="34D66156"/>
    <w:rsid w:val="34D92909"/>
    <w:rsid w:val="34DC2C0A"/>
    <w:rsid w:val="34EC3BCC"/>
    <w:rsid w:val="34FA6E12"/>
    <w:rsid w:val="353D13E3"/>
    <w:rsid w:val="354D7158"/>
    <w:rsid w:val="354E6723"/>
    <w:rsid w:val="358D5588"/>
    <w:rsid w:val="35B069A7"/>
    <w:rsid w:val="35D7440F"/>
    <w:rsid w:val="35E05C46"/>
    <w:rsid w:val="35EF127D"/>
    <w:rsid w:val="36136070"/>
    <w:rsid w:val="36365688"/>
    <w:rsid w:val="363A3B40"/>
    <w:rsid w:val="365302AE"/>
    <w:rsid w:val="36607A0A"/>
    <w:rsid w:val="366A6C87"/>
    <w:rsid w:val="366E227C"/>
    <w:rsid w:val="366F2E0D"/>
    <w:rsid w:val="367B6A5C"/>
    <w:rsid w:val="36A74ADA"/>
    <w:rsid w:val="36AD60D5"/>
    <w:rsid w:val="36B224F9"/>
    <w:rsid w:val="36BD137C"/>
    <w:rsid w:val="36EC0CC9"/>
    <w:rsid w:val="37390A8E"/>
    <w:rsid w:val="373F410B"/>
    <w:rsid w:val="3756404C"/>
    <w:rsid w:val="376A0174"/>
    <w:rsid w:val="3772655E"/>
    <w:rsid w:val="378C13F6"/>
    <w:rsid w:val="37A662B4"/>
    <w:rsid w:val="37BD1A5A"/>
    <w:rsid w:val="37E16E9C"/>
    <w:rsid w:val="37EE7094"/>
    <w:rsid w:val="380803DD"/>
    <w:rsid w:val="38131FE2"/>
    <w:rsid w:val="382471D8"/>
    <w:rsid w:val="38296C89"/>
    <w:rsid w:val="383002EB"/>
    <w:rsid w:val="38586797"/>
    <w:rsid w:val="38602906"/>
    <w:rsid w:val="388843DC"/>
    <w:rsid w:val="38BC0149"/>
    <w:rsid w:val="38D87D1C"/>
    <w:rsid w:val="38DD3F57"/>
    <w:rsid w:val="38DE6D4B"/>
    <w:rsid w:val="391F535F"/>
    <w:rsid w:val="392E73EA"/>
    <w:rsid w:val="394F7350"/>
    <w:rsid w:val="39636459"/>
    <w:rsid w:val="396B7F6C"/>
    <w:rsid w:val="399C14F7"/>
    <w:rsid w:val="39B324CD"/>
    <w:rsid w:val="39B417A9"/>
    <w:rsid w:val="39F5707E"/>
    <w:rsid w:val="39FC5695"/>
    <w:rsid w:val="3A006D8E"/>
    <w:rsid w:val="3A3651E5"/>
    <w:rsid w:val="3A4E2342"/>
    <w:rsid w:val="3A744481"/>
    <w:rsid w:val="3A773F37"/>
    <w:rsid w:val="3A8C7BEF"/>
    <w:rsid w:val="3A906246"/>
    <w:rsid w:val="3AA842F0"/>
    <w:rsid w:val="3B133C60"/>
    <w:rsid w:val="3B2349B7"/>
    <w:rsid w:val="3B2D78CA"/>
    <w:rsid w:val="3B464036"/>
    <w:rsid w:val="3B4677B8"/>
    <w:rsid w:val="3B590718"/>
    <w:rsid w:val="3B616CFF"/>
    <w:rsid w:val="3B6259F6"/>
    <w:rsid w:val="3B75232A"/>
    <w:rsid w:val="3B894B0B"/>
    <w:rsid w:val="3B974891"/>
    <w:rsid w:val="3B976654"/>
    <w:rsid w:val="3B9B68EE"/>
    <w:rsid w:val="3BC01EFC"/>
    <w:rsid w:val="3BC36985"/>
    <w:rsid w:val="3BC52CC1"/>
    <w:rsid w:val="3BCA786A"/>
    <w:rsid w:val="3BD06659"/>
    <w:rsid w:val="3BD31E2F"/>
    <w:rsid w:val="3BF15831"/>
    <w:rsid w:val="3C092C4F"/>
    <w:rsid w:val="3C105946"/>
    <w:rsid w:val="3C2974B3"/>
    <w:rsid w:val="3C3262E6"/>
    <w:rsid w:val="3C3A44D8"/>
    <w:rsid w:val="3C471448"/>
    <w:rsid w:val="3C556941"/>
    <w:rsid w:val="3C5F759A"/>
    <w:rsid w:val="3C616601"/>
    <w:rsid w:val="3C6C525A"/>
    <w:rsid w:val="3C760652"/>
    <w:rsid w:val="3CA60D3D"/>
    <w:rsid w:val="3CA8464B"/>
    <w:rsid w:val="3CC904B6"/>
    <w:rsid w:val="3CCE23CB"/>
    <w:rsid w:val="3CD13E73"/>
    <w:rsid w:val="3CD17D17"/>
    <w:rsid w:val="3CED249E"/>
    <w:rsid w:val="3CEE6358"/>
    <w:rsid w:val="3D135173"/>
    <w:rsid w:val="3D3B2FFA"/>
    <w:rsid w:val="3D3C7F39"/>
    <w:rsid w:val="3D440F09"/>
    <w:rsid w:val="3D4504A0"/>
    <w:rsid w:val="3D5A1DE7"/>
    <w:rsid w:val="3D64467C"/>
    <w:rsid w:val="3D791A09"/>
    <w:rsid w:val="3D7E0A99"/>
    <w:rsid w:val="3D8734BB"/>
    <w:rsid w:val="3D932876"/>
    <w:rsid w:val="3D9A11D4"/>
    <w:rsid w:val="3DA16D89"/>
    <w:rsid w:val="3DA364BE"/>
    <w:rsid w:val="3DA475D8"/>
    <w:rsid w:val="3DB67810"/>
    <w:rsid w:val="3DD50C8A"/>
    <w:rsid w:val="3DE041CB"/>
    <w:rsid w:val="3DF71617"/>
    <w:rsid w:val="3E03620E"/>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0A7BF6"/>
    <w:rsid w:val="3F1D1096"/>
    <w:rsid w:val="3F2F0234"/>
    <w:rsid w:val="3F3D5750"/>
    <w:rsid w:val="3F5707E4"/>
    <w:rsid w:val="3F6363FE"/>
    <w:rsid w:val="3F756B8F"/>
    <w:rsid w:val="3F8D4B70"/>
    <w:rsid w:val="3F95482B"/>
    <w:rsid w:val="3FAF4907"/>
    <w:rsid w:val="3FE468EA"/>
    <w:rsid w:val="3FE91433"/>
    <w:rsid w:val="4019356B"/>
    <w:rsid w:val="401E1828"/>
    <w:rsid w:val="4041301D"/>
    <w:rsid w:val="404F1CD1"/>
    <w:rsid w:val="40592157"/>
    <w:rsid w:val="406E1CAE"/>
    <w:rsid w:val="40937DD1"/>
    <w:rsid w:val="40996ECE"/>
    <w:rsid w:val="40A0133A"/>
    <w:rsid w:val="40C31A53"/>
    <w:rsid w:val="40F33AA5"/>
    <w:rsid w:val="40F57964"/>
    <w:rsid w:val="40F92A66"/>
    <w:rsid w:val="40FF545D"/>
    <w:rsid w:val="410067C8"/>
    <w:rsid w:val="411E2D31"/>
    <w:rsid w:val="413C45E3"/>
    <w:rsid w:val="4147433B"/>
    <w:rsid w:val="418F0D2A"/>
    <w:rsid w:val="419500D6"/>
    <w:rsid w:val="41962BCF"/>
    <w:rsid w:val="41B617E9"/>
    <w:rsid w:val="41D01505"/>
    <w:rsid w:val="41DA3027"/>
    <w:rsid w:val="4217061E"/>
    <w:rsid w:val="4238518B"/>
    <w:rsid w:val="42474939"/>
    <w:rsid w:val="424C3C57"/>
    <w:rsid w:val="42613FF3"/>
    <w:rsid w:val="42660D96"/>
    <w:rsid w:val="428667D2"/>
    <w:rsid w:val="428B67D2"/>
    <w:rsid w:val="429B4E76"/>
    <w:rsid w:val="42AC0CAD"/>
    <w:rsid w:val="42C02B16"/>
    <w:rsid w:val="42CD1CE0"/>
    <w:rsid w:val="42D53E10"/>
    <w:rsid w:val="42E1381E"/>
    <w:rsid w:val="42ED6459"/>
    <w:rsid w:val="42FE58DD"/>
    <w:rsid w:val="43122A4F"/>
    <w:rsid w:val="43174B3D"/>
    <w:rsid w:val="433F0E43"/>
    <w:rsid w:val="434B790E"/>
    <w:rsid w:val="4360274F"/>
    <w:rsid w:val="43977AB6"/>
    <w:rsid w:val="43A3342B"/>
    <w:rsid w:val="43B65AD0"/>
    <w:rsid w:val="43C77C27"/>
    <w:rsid w:val="43DE09EE"/>
    <w:rsid w:val="43F860E9"/>
    <w:rsid w:val="44002FAD"/>
    <w:rsid w:val="44103ECC"/>
    <w:rsid w:val="4430589B"/>
    <w:rsid w:val="44356927"/>
    <w:rsid w:val="444E7AB7"/>
    <w:rsid w:val="449101DD"/>
    <w:rsid w:val="449D00C3"/>
    <w:rsid w:val="44AB36BA"/>
    <w:rsid w:val="44B92B77"/>
    <w:rsid w:val="44DE1391"/>
    <w:rsid w:val="44E328F5"/>
    <w:rsid w:val="44E72961"/>
    <w:rsid w:val="44F3065E"/>
    <w:rsid w:val="45144786"/>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323D4A"/>
    <w:rsid w:val="463351B6"/>
    <w:rsid w:val="46422483"/>
    <w:rsid w:val="46426740"/>
    <w:rsid w:val="4659254A"/>
    <w:rsid w:val="465B0637"/>
    <w:rsid w:val="465E3F0D"/>
    <w:rsid w:val="466A16E6"/>
    <w:rsid w:val="46791209"/>
    <w:rsid w:val="46893F2B"/>
    <w:rsid w:val="46C4686E"/>
    <w:rsid w:val="46D06EA9"/>
    <w:rsid w:val="46FD7572"/>
    <w:rsid w:val="472A3E43"/>
    <w:rsid w:val="472A6B09"/>
    <w:rsid w:val="47391126"/>
    <w:rsid w:val="473D0E4D"/>
    <w:rsid w:val="477B778F"/>
    <w:rsid w:val="478203EC"/>
    <w:rsid w:val="478464A5"/>
    <w:rsid w:val="47B025FA"/>
    <w:rsid w:val="47B40579"/>
    <w:rsid w:val="47EC7057"/>
    <w:rsid w:val="47EC7D13"/>
    <w:rsid w:val="48010DED"/>
    <w:rsid w:val="4809698F"/>
    <w:rsid w:val="48097DF4"/>
    <w:rsid w:val="480C2553"/>
    <w:rsid w:val="4811697D"/>
    <w:rsid w:val="484A2C8B"/>
    <w:rsid w:val="4867796E"/>
    <w:rsid w:val="48756309"/>
    <w:rsid w:val="487A3E25"/>
    <w:rsid w:val="487B0FC2"/>
    <w:rsid w:val="48833F78"/>
    <w:rsid w:val="488B0F72"/>
    <w:rsid w:val="488B5503"/>
    <w:rsid w:val="48937E21"/>
    <w:rsid w:val="48975AF1"/>
    <w:rsid w:val="489A0361"/>
    <w:rsid w:val="489D4E79"/>
    <w:rsid w:val="48B94FF3"/>
    <w:rsid w:val="48CD3EBF"/>
    <w:rsid w:val="48E37AAB"/>
    <w:rsid w:val="48EC362B"/>
    <w:rsid w:val="48FB2C50"/>
    <w:rsid w:val="48FD4B4C"/>
    <w:rsid w:val="490606C8"/>
    <w:rsid w:val="490A68E0"/>
    <w:rsid w:val="491055FE"/>
    <w:rsid w:val="49131B61"/>
    <w:rsid w:val="49261002"/>
    <w:rsid w:val="493A2D00"/>
    <w:rsid w:val="494C6EA1"/>
    <w:rsid w:val="494D4D8B"/>
    <w:rsid w:val="495F5B3E"/>
    <w:rsid w:val="496F77D7"/>
    <w:rsid w:val="497654FD"/>
    <w:rsid w:val="498F505D"/>
    <w:rsid w:val="49961747"/>
    <w:rsid w:val="49B64211"/>
    <w:rsid w:val="49F6167F"/>
    <w:rsid w:val="4A064FA0"/>
    <w:rsid w:val="4A0C76B0"/>
    <w:rsid w:val="4A16615C"/>
    <w:rsid w:val="4A4424D7"/>
    <w:rsid w:val="4A493572"/>
    <w:rsid w:val="4A525E27"/>
    <w:rsid w:val="4A5634BC"/>
    <w:rsid w:val="4A621223"/>
    <w:rsid w:val="4A6E0CA4"/>
    <w:rsid w:val="4A83134F"/>
    <w:rsid w:val="4AAC469A"/>
    <w:rsid w:val="4AB00BDC"/>
    <w:rsid w:val="4AB82D0F"/>
    <w:rsid w:val="4AD57AA1"/>
    <w:rsid w:val="4AEB7664"/>
    <w:rsid w:val="4AFD7C19"/>
    <w:rsid w:val="4B0567D1"/>
    <w:rsid w:val="4B1067E7"/>
    <w:rsid w:val="4B236AAE"/>
    <w:rsid w:val="4B555D27"/>
    <w:rsid w:val="4B707271"/>
    <w:rsid w:val="4B9739F7"/>
    <w:rsid w:val="4B974368"/>
    <w:rsid w:val="4B9A6B21"/>
    <w:rsid w:val="4B9C1FA2"/>
    <w:rsid w:val="4BB73B85"/>
    <w:rsid w:val="4BE96C25"/>
    <w:rsid w:val="4BEE2503"/>
    <w:rsid w:val="4C237EAA"/>
    <w:rsid w:val="4C245A30"/>
    <w:rsid w:val="4C2537F3"/>
    <w:rsid w:val="4C4579F1"/>
    <w:rsid w:val="4C5C2F8D"/>
    <w:rsid w:val="4C5D53ED"/>
    <w:rsid w:val="4C676029"/>
    <w:rsid w:val="4C8C2DBA"/>
    <w:rsid w:val="4CAF7256"/>
    <w:rsid w:val="4CB005C1"/>
    <w:rsid w:val="4CB6685F"/>
    <w:rsid w:val="4CBD71A8"/>
    <w:rsid w:val="4CC367FE"/>
    <w:rsid w:val="4D077F3C"/>
    <w:rsid w:val="4D123355"/>
    <w:rsid w:val="4D2A3B31"/>
    <w:rsid w:val="4D312C52"/>
    <w:rsid w:val="4D3D0468"/>
    <w:rsid w:val="4D3F03B7"/>
    <w:rsid w:val="4D4B0F25"/>
    <w:rsid w:val="4D905305"/>
    <w:rsid w:val="4D964A72"/>
    <w:rsid w:val="4D9C1254"/>
    <w:rsid w:val="4DDC25D7"/>
    <w:rsid w:val="4E1E04FA"/>
    <w:rsid w:val="4E526455"/>
    <w:rsid w:val="4E5A0B37"/>
    <w:rsid w:val="4E5F2074"/>
    <w:rsid w:val="4E793892"/>
    <w:rsid w:val="4E800872"/>
    <w:rsid w:val="4E9532A8"/>
    <w:rsid w:val="4E9A20A5"/>
    <w:rsid w:val="4EBD1C34"/>
    <w:rsid w:val="4EC569ED"/>
    <w:rsid w:val="4ED50EA1"/>
    <w:rsid w:val="4EEC050C"/>
    <w:rsid w:val="4EF833C6"/>
    <w:rsid w:val="4F104EC3"/>
    <w:rsid w:val="4F47354A"/>
    <w:rsid w:val="4F911C54"/>
    <w:rsid w:val="4F94527E"/>
    <w:rsid w:val="4FC4501C"/>
    <w:rsid w:val="4FCD637F"/>
    <w:rsid w:val="4FE625E0"/>
    <w:rsid w:val="4FEB08B0"/>
    <w:rsid w:val="4FED5402"/>
    <w:rsid w:val="50003B61"/>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373825"/>
    <w:rsid w:val="513A1AEF"/>
    <w:rsid w:val="5142540C"/>
    <w:rsid w:val="518832C8"/>
    <w:rsid w:val="51A0432A"/>
    <w:rsid w:val="51A86090"/>
    <w:rsid w:val="51B7396D"/>
    <w:rsid w:val="51BF0246"/>
    <w:rsid w:val="51F4743E"/>
    <w:rsid w:val="52090ACB"/>
    <w:rsid w:val="522E4CC3"/>
    <w:rsid w:val="5244713B"/>
    <w:rsid w:val="52615633"/>
    <w:rsid w:val="526A04DD"/>
    <w:rsid w:val="52977FD4"/>
    <w:rsid w:val="52A25790"/>
    <w:rsid w:val="52A96B6F"/>
    <w:rsid w:val="52B45975"/>
    <w:rsid w:val="52CB543D"/>
    <w:rsid w:val="52D94AA4"/>
    <w:rsid w:val="52EA3A62"/>
    <w:rsid w:val="52F50BB8"/>
    <w:rsid w:val="53097272"/>
    <w:rsid w:val="53152E87"/>
    <w:rsid w:val="53544462"/>
    <w:rsid w:val="53676980"/>
    <w:rsid w:val="53960CB2"/>
    <w:rsid w:val="5397158E"/>
    <w:rsid w:val="53D42C20"/>
    <w:rsid w:val="53E42050"/>
    <w:rsid w:val="53E67D0C"/>
    <w:rsid w:val="54013861"/>
    <w:rsid w:val="541C372E"/>
    <w:rsid w:val="544032D3"/>
    <w:rsid w:val="54487265"/>
    <w:rsid w:val="544D6070"/>
    <w:rsid w:val="545B4ECF"/>
    <w:rsid w:val="54605E1E"/>
    <w:rsid w:val="54910775"/>
    <w:rsid w:val="54AC5238"/>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5D3B8A"/>
    <w:rsid w:val="56620283"/>
    <w:rsid w:val="566B6D1E"/>
    <w:rsid w:val="569E129D"/>
    <w:rsid w:val="56BD5854"/>
    <w:rsid w:val="56C76EC1"/>
    <w:rsid w:val="57032A2C"/>
    <w:rsid w:val="570F5219"/>
    <w:rsid w:val="575D12B5"/>
    <w:rsid w:val="57610A87"/>
    <w:rsid w:val="577B1140"/>
    <w:rsid w:val="577B7F21"/>
    <w:rsid w:val="577F181B"/>
    <w:rsid w:val="57921984"/>
    <w:rsid w:val="579737F0"/>
    <w:rsid w:val="579B6AF6"/>
    <w:rsid w:val="579D4CED"/>
    <w:rsid w:val="57AB7B30"/>
    <w:rsid w:val="57AF5251"/>
    <w:rsid w:val="57B26373"/>
    <w:rsid w:val="57B3517E"/>
    <w:rsid w:val="57B63F04"/>
    <w:rsid w:val="57CD20C2"/>
    <w:rsid w:val="57D675AB"/>
    <w:rsid w:val="57D95FDD"/>
    <w:rsid w:val="57FD2F22"/>
    <w:rsid w:val="584D2325"/>
    <w:rsid w:val="584E184D"/>
    <w:rsid w:val="58917D2F"/>
    <w:rsid w:val="5894085C"/>
    <w:rsid w:val="58AE4F0C"/>
    <w:rsid w:val="58B85899"/>
    <w:rsid w:val="58C0702C"/>
    <w:rsid w:val="58E363A9"/>
    <w:rsid w:val="58F3790B"/>
    <w:rsid w:val="59272ECB"/>
    <w:rsid w:val="59307B25"/>
    <w:rsid w:val="595E1678"/>
    <w:rsid w:val="596D5BD4"/>
    <w:rsid w:val="596E0FB1"/>
    <w:rsid w:val="597E3DD8"/>
    <w:rsid w:val="59AB1AC0"/>
    <w:rsid w:val="59B31026"/>
    <w:rsid w:val="59F80043"/>
    <w:rsid w:val="5A09252F"/>
    <w:rsid w:val="5A0B2778"/>
    <w:rsid w:val="5A1B7FE4"/>
    <w:rsid w:val="5A2A7C7B"/>
    <w:rsid w:val="5A3E2560"/>
    <w:rsid w:val="5A5D3B6E"/>
    <w:rsid w:val="5A637A76"/>
    <w:rsid w:val="5A686384"/>
    <w:rsid w:val="5A6D33BA"/>
    <w:rsid w:val="5A792B1F"/>
    <w:rsid w:val="5A874767"/>
    <w:rsid w:val="5AA85BE2"/>
    <w:rsid w:val="5AAC4A22"/>
    <w:rsid w:val="5AAD6F28"/>
    <w:rsid w:val="5AC451BA"/>
    <w:rsid w:val="5AD63A24"/>
    <w:rsid w:val="5AE51FB6"/>
    <w:rsid w:val="5B1E5FDD"/>
    <w:rsid w:val="5B2E1A1D"/>
    <w:rsid w:val="5B455011"/>
    <w:rsid w:val="5B5559B5"/>
    <w:rsid w:val="5B843A1C"/>
    <w:rsid w:val="5B873E3F"/>
    <w:rsid w:val="5BC76675"/>
    <w:rsid w:val="5BF00249"/>
    <w:rsid w:val="5C02690E"/>
    <w:rsid w:val="5C196DA7"/>
    <w:rsid w:val="5C2A048C"/>
    <w:rsid w:val="5C35640B"/>
    <w:rsid w:val="5C7422AE"/>
    <w:rsid w:val="5C80234E"/>
    <w:rsid w:val="5C8A680C"/>
    <w:rsid w:val="5CBB1164"/>
    <w:rsid w:val="5CCE758F"/>
    <w:rsid w:val="5CD256AC"/>
    <w:rsid w:val="5CE45C2B"/>
    <w:rsid w:val="5CEB387F"/>
    <w:rsid w:val="5CF27722"/>
    <w:rsid w:val="5CFB5325"/>
    <w:rsid w:val="5D0C4701"/>
    <w:rsid w:val="5D0F0395"/>
    <w:rsid w:val="5D221076"/>
    <w:rsid w:val="5D38043B"/>
    <w:rsid w:val="5D397964"/>
    <w:rsid w:val="5D551783"/>
    <w:rsid w:val="5D5A391C"/>
    <w:rsid w:val="5D5C31CE"/>
    <w:rsid w:val="5D5F10C0"/>
    <w:rsid w:val="5D6308F7"/>
    <w:rsid w:val="5D891B7B"/>
    <w:rsid w:val="5D8A5E82"/>
    <w:rsid w:val="5D930F65"/>
    <w:rsid w:val="5D945FAA"/>
    <w:rsid w:val="5DAD38EE"/>
    <w:rsid w:val="5E006862"/>
    <w:rsid w:val="5E0207B9"/>
    <w:rsid w:val="5E093CEF"/>
    <w:rsid w:val="5E1834A1"/>
    <w:rsid w:val="5E261785"/>
    <w:rsid w:val="5E4A7017"/>
    <w:rsid w:val="5E552BBA"/>
    <w:rsid w:val="5E56783C"/>
    <w:rsid w:val="5E611C10"/>
    <w:rsid w:val="5E626095"/>
    <w:rsid w:val="5E6B4108"/>
    <w:rsid w:val="5E74631F"/>
    <w:rsid w:val="5E765627"/>
    <w:rsid w:val="5E7A0F3F"/>
    <w:rsid w:val="5E866777"/>
    <w:rsid w:val="5E9A5DEE"/>
    <w:rsid w:val="5EB15FBF"/>
    <w:rsid w:val="5EB91404"/>
    <w:rsid w:val="5EF13A09"/>
    <w:rsid w:val="5EF50A1B"/>
    <w:rsid w:val="5EFC7377"/>
    <w:rsid w:val="5F012A1A"/>
    <w:rsid w:val="5F06174D"/>
    <w:rsid w:val="5F101225"/>
    <w:rsid w:val="5F32711A"/>
    <w:rsid w:val="5F3A3602"/>
    <w:rsid w:val="5F45733B"/>
    <w:rsid w:val="5F4C0C3F"/>
    <w:rsid w:val="5F5B211E"/>
    <w:rsid w:val="5F6277C6"/>
    <w:rsid w:val="5F6D0B1D"/>
    <w:rsid w:val="5F8D0B82"/>
    <w:rsid w:val="5FCC5339"/>
    <w:rsid w:val="5FE34A5B"/>
    <w:rsid w:val="5FFE1E36"/>
    <w:rsid w:val="5FFF5CB2"/>
    <w:rsid w:val="60002155"/>
    <w:rsid w:val="60172C7B"/>
    <w:rsid w:val="60232584"/>
    <w:rsid w:val="602745AC"/>
    <w:rsid w:val="60275934"/>
    <w:rsid w:val="60305BC5"/>
    <w:rsid w:val="604D4C6F"/>
    <w:rsid w:val="605864BB"/>
    <w:rsid w:val="607330CE"/>
    <w:rsid w:val="607A3F88"/>
    <w:rsid w:val="60825176"/>
    <w:rsid w:val="60873AD9"/>
    <w:rsid w:val="60883EF9"/>
    <w:rsid w:val="609F2AC4"/>
    <w:rsid w:val="60C413D5"/>
    <w:rsid w:val="60FA2EE8"/>
    <w:rsid w:val="61054A27"/>
    <w:rsid w:val="6109503A"/>
    <w:rsid w:val="610A52BC"/>
    <w:rsid w:val="611D2366"/>
    <w:rsid w:val="61421856"/>
    <w:rsid w:val="615227C4"/>
    <w:rsid w:val="61626939"/>
    <w:rsid w:val="61654E3F"/>
    <w:rsid w:val="6182292A"/>
    <w:rsid w:val="618B5F69"/>
    <w:rsid w:val="61985864"/>
    <w:rsid w:val="619F7F92"/>
    <w:rsid w:val="61BB155E"/>
    <w:rsid w:val="61BD2EFD"/>
    <w:rsid w:val="61D1061E"/>
    <w:rsid w:val="61D70960"/>
    <w:rsid w:val="61F94C26"/>
    <w:rsid w:val="61FE4473"/>
    <w:rsid w:val="62000E56"/>
    <w:rsid w:val="62244584"/>
    <w:rsid w:val="624F3E49"/>
    <w:rsid w:val="62540537"/>
    <w:rsid w:val="625473B0"/>
    <w:rsid w:val="62586279"/>
    <w:rsid w:val="62632286"/>
    <w:rsid w:val="62775066"/>
    <w:rsid w:val="62885958"/>
    <w:rsid w:val="628903DB"/>
    <w:rsid w:val="62B47667"/>
    <w:rsid w:val="62C860CC"/>
    <w:rsid w:val="62F40B65"/>
    <w:rsid w:val="62FC2CFE"/>
    <w:rsid w:val="63024505"/>
    <w:rsid w:val="633923BD"/>
    <w:rsid w:val="63540CCD"/>
    <w:rsid w:val="635B1DB5"/>
    <w:rsid w:val="63711FED"/>
    <w:rsid w:val="63880DDC"/>
    <w:rsid w:val="63885935"/>
    <w:rsid w:val="6389298F"/>
    <w:rsid w:val="638D750D"/>
    <w:rsid w:val="639C0AAF"/>
    <w:rsid w:val="63AC52D2"/>
    <w:rsid w:val="63AC6CC0"/>
    <w:rsid w:val="63AE3C76"/>
    <w:rsid w:val="63B048E8"/>
    <w:rsid w:val="63BE65AF"/>
    <w:rsid w:val="63C17E4E"/>
    <w:rsid w:val="64043733"/>
    <w:rsid w:val="64055776"/>
    <w:rsid w:val="64175397"/>
    <w:rsid w:val="641A130C"/>
    <w:rsid w:val="64240056"/>
    <w:rsid w:val="643979E4"/>
    <w:rsid w:val="643E143A"/>
    <w:rsid w:val="644A0C02"/>
    <w:rsid w:val="647452F7"/>
    <w:rsid w:val="648B6EEF"/>
    <w:rsid w:val="64C158BF"/>
    <w:rsid w:val="64CE2EAA"/>
    <w:rsid w:val="65092215"/>
    <w:rsid w:val="653C3090"/>
    <w:rsid w:val="6545060B"/>
    <w:rsid w:val="65854376"/>
    <w:rsid w:val="658767BE"/>
    <w:rsid w:val="65882CD5"/>
    <w:rsid w:val="65892531"/>
    <w:rsid w:val="65E616BA"/>
    <w:rsid w:val="66153939"/>
    <w:rsid w:val="66195831"/>
    <w:rsid w:val="662B5A52"/>
    <w:rsid w:val="662E75B1"/>
    <w:rsid w:val="66342C2E"/>
    <w:rsid w:val="663E784C"/>
    <w:rsid w:val="66551A38"/>
    <w:rsid w:val="66662834"/>
    <w:rsid w:val="666D1F69"/>
    <w:rsid w:val="667133EA"/>
    <w:rsid w:val="6683763C"/>
    <w:rsid w:val="6688495F"/>
    <w:rsid w:val="668B6A45"/>
    <w:rsid w:val="66DE04FB"/>
    <w:rsid w:val="66F85C8F"/>
    <w:rsid w:val="67000CC4"/>
    <w:rsid w:val="67090CF6"/>
    <w:rsid w:val="671C2EDD"/>
    <w:rsid w:val="671E7365"/>
    <w:rsid w:val="67230B7E"/>
    <w:rsid w:val="672A3F5C"/>
    <w:rsid w:val="672B557E"/>
    <w:rsid w:val="672F3320"/>
    <w:rsid w:val="672F3F24"/>
    <w:rsid w:val="673B7F17"/>
    <w:rsid w:val="673E055F"/>
    <w:rsid w:val="67551CE3"/>
    <w:rsid w:val="677B0314"/>
    <w:rsid w:val="678F3DBF"/>
    <w:rsid w:val="67A22552"/>
    <w:rsid w:val="67A530AB"/>
    <w:rsid w:val="67B00574"/>
    <w:rsid w:val="67B22DCC"/>
    <w:rsid w:val="67B90A82"/>
    <w:rsid w:val="67BE71AA"/>
    <w:rsid w:val="67D90273"/>
    <w:rsid w:val="67DE5875"/>
    <w:rsid w:val="67E212BA"/>
    <w:rsid w:val="67E55852"/>
    <w:rsid w:val="67EB1AB4"/>
    <w:rsid w:val="67FA1285"/>
    <w:rsid w:val="68551F4F"/>
    <w:rsid w:val="68647B92"/>
    <w:rsid w:val="687C10C9"/>
    <w:rsid w:val="68840C16"/>
    <w:rsid w:val="68876EFB"/>
    <w:rsid w:val="68884654"/>
    <w:rsid w:val="688E6E24"/>
    <w:rsid w:val="689F444F"/>
    <w:rsid w:val="68A1639F"/>
    <w:rsid w:val="68B96DBB"/>
    <w:rsid w:val="68BB1E56"/>
    <w:rsid w:val="68CA2805"/>
    <w:rsid w:val="68E85AE5"/>
    <w:rsid w:val="68E937A3"/>
    <w:rsid w:val="68FC5484"/>
    <w:rsid w:val="692D78DC"/>
    <w:rsid w:val="693E15D3"/>
    <w:rsid w:val="69627681"/>
    <w:rsid w:val="696D1EDE"/>
    <w:rsid w:val="6977531D"/>
    <w:rsid w:val="69B51747"/>
    <w:rsid w:val="69BD5BBB"/>
    <w:rsid w:val="69CC2BFF"/>
    <w:rsid w:val="69D327F2"/>
    <w:rsid w:val="69FD55B8"/>
    <w:rsid w:val="6A0B1C62"/>
    <w:rsid w:val="6A0C584D"/>
    <w:rsid w:val="6A0D3F4C"/>
    <w:rsid w:val="6A2406C8"/>
    <w:rsid w:val="6A4B328A"/>
    <w:rsid w:val="6A4B36BE"/>
    <w:rsid w:val="6A4F6D30"/>
    <w:rsid w:val="6A60728C"/>
    <w:rsid w:val="6A8F2B46"/>
    <w:rsid w:val="6A9C2A7B"/>
    <w:rsid w:val="6AA47B81"/>
    <w:rsid w:val="6AB20DE6"/>
    <w:rsid w:val="6ABA3454"/>
    <w:rsid w:val="6AD743A0"/>
    <w:rsid w:val="6ADA106E"/>
    <w:rsid w:val="6ADC5EF8"/>
    <w:rsid w:val="6ADE0BD1"/>
    <w:rsid w:val="6AE96859"/>
    <w:rsid w:val="6B147746"/>
    <w:rsid w:val="6B24787C"/>
    <w:rsid w:val="6B33152A"/>
    <w:rsid w:val="6B573233"/>
    <w:rsid w:val="6B5B6274"/>
    <w:rsid w:val="6B694FD4"/>
    <w:rsid w:val="6B710BD6"/>
    <w:rsid w:val="6B935D53"/>
    <w:rsid w:val="6BCC7390"/>
    <w:rsid w:val="6C196F71"/>
    <w:rsid w:val="6C226FCB"/>
    <w:rsid w:val="6C31226F"/>
    <w:rsid w:val="6C390C24"/>
    <w:rsid w:val="6C552F0B"/>
    <w:rsid w:val="6C830396"/>
    <w:rsid w:val="6C8C2DF7"/>
    <w:rsid w:val="6C8C67B7"/>
    <w:rsid w:val="6C9D744C"/>
    <w:rsid w:val="6CE1459D"/>
    <w:rsid w:val="6CFD6256"/>
    <w:rsid w:val="6CFE67A8"/>
    <w:rsid w:val="6D167928"/>
    <w:rsid w:val="6D261515"/>
    <w:rsid w:val="6D26299B"/>
    <w:rsid w:val="6D4772EC"/>
    <w:rsid w:val="6D6D4FC1"/>
    <w:rsid w:val="6D785A21"/>
    <w:rsid w:val="6D8007DE"/>
    <w:rsid w:val="6D9078AF"/>
    <w:rsid w:val="6DAA3FEF"/>
    <w:rsid w:val="6DB523BB"/>
    <w:rsid w:val="6DC0172B"/>
    <w:rsid w:val="6DC47772"/>
    <w:rsid w:val="6DCB690C"/>
    <w:rsid w:val="6DD41A5B"/>
    <w:rsid w:val="6DD80303"/>
    <w:rsid w:val="6DF43C2E"/>
    <w:rsid w:val="6DF51CA3"/>
    <w:rsid w:val="6E684D47"/>
    <w:rsid w:val="6E8335BD"/>
    <w:rsid w:val="6E8E12EF"/>
    <w:rsid w:val="6E9045AA"/>
    <w:rsid w:val="6E972936"/>
    <w:rsid w:val="6EB74327"/>
    <w:rsid w:val="6EC91D52"/>
    <w:rsid w:val="6ED35697"/>
    <w:rsid w:val="6ED446C5"/>
    <w:rsid w:val="6F184A18"/>
    <w:rsid w:val="6F2A7D94"/>
    <w:rsid w:val="6F347F1E"/>
    <w:rsid w:val="6F6D0E8A"/>
    <w:rsid w:val="6F802313"/>
    <w:rsid w:val="6F8331F1"/>
    <w:rsid w:val="6FAE1A09"/>
    <w:rsid w:val="6FD75BF8"/>
    <w:rsid w:val="6FEF3B3E"/>
    <w:rsid w:val="6FF70753"/>
    <w:rsid w:val="70115CB9"/>
    <w:rsid w:val="705362D1"/>
    <w:rsid w:val="707723D0"/>
    <w:rsid w:val="70980188"/>
    <w:rsid w:val="70DB77AC"/>
    <w:rsid w:val="70F27898"/>
    <w:rsid w:val="70F5661B"/>
    <w:rsid w:val="70FF0D7D"/>
    <w:rsid w:val="71360107"/>
    <w:rsid w:val="713B688E"/>
    <w:rsid w:val="71593474"/>
    <w:rsid w:val="7183561A"/>
    <w:rsid w:val="71BE6408"/>
    <w:rsid w:val="71C64881"/>
    <w:rsid w:val="71D43752"/>
    <w:rsid w:val="71D7083C"/>
    <w:rsid w:val="71F1796A"/>
    <w:rsid w:val="720846CC"/>
    <w:rsid w:val="72154626"/>
    <w:rsid w:val="72202699"/>
    <w:rsid w:val="72262B5D"/>
    <w:rsid w:val="72283FF7"/>
    <w:rsid w:val="722E7212"/>
    <w:rsid w:val="723A0474"/>
    <w:rsid w:val="724A6828"/>
    <w:rsid w:val="725923E4"/>
    <w:rsid w:val="72864BF7"/>
    <w:rsid w:val="729023FC"/>
    <w:rsid w:val="72D153FC"/>
    <w:rsid w:val="72E72D01"/>
    <w:rsid w:val="733470C6"/>
    <w:rsid w:val="734E304B"/>
    <w:rsid w:val="73533CC2"/>
    <w:rsid w:val="73757CC9"/>
    <w:rsid w:val="739D75B7"/>
    <w:rsid w:val="73B06FFE"/>
    <w:rsid w:val="73BE3A62"/>
    <w:rsid w:val="73C0646E"/>
    <w:rsid w:val="74085625"/>
    <w:rsid w:val="742222F5"/>
    <w:rsid w:val="742348D0"/>
    <w:rsid w:val="74476126"/>
    <w:rsid w:val="744A23BB"/>
    <w:rsid w:val="7460720F"/>
    <w:rsid w:val="74624977"/>
    <w:rsid w:val="74706664"/>
    <w:rsid w:val="7475702A"/>
    <w:rsid w:val="747F3682"/>
    <w:rsid w:val="749C4185"/>
    <w:rsid w:val="749F7D37"/>
    <w:rsid w:val="74A60E8D"/>
    <w:rsid w:val="74A73931"/>
    <w:rsid w:val="74BE006A"/>
    <w:rsid w:val="74C91165"/>
    <w:rsid w:val="75067759"/>
    <w:rsid w:val="752E6DCD"/>
    <w:rsid w:val="752F65C4"/>
    <w:rsid w:val="75417C86"/>
    <w:rsid w:val="7551380D"/>
    <w:rsid w:val="75600BE5"/>
    <w:rsid w:val="7564475C"/>
    <w:rsid w:val="75834A5C"/>
    <w:rsid w:val="7583797F"/>
    <w:rsid w:val="758A310F"/>
    <w:rsid w:val="75952EE8"/>
    <w:rsid w:val="75D03F20"/>
    <w:rsid w:val="75D20F1D"/>
    <w:rsid w:val="75DA2C18"/>
    <w:rsid w:val="75F54412"/>
    <w:rsid w:val="761969BC"/>
    <w:rsid w:val="761D08E0"/>
    <w:rsid w:val="76400B70"/>
    <w:rsid w:val="765D347C"/>
    <w:rsid w:val="76826699"/>
    <w:rsid w:val="768F7938"/>
    <w:rsid w:val="76C87133"/>
    <w:rsid w:val="76CD08D5"/>
    <w:rsid w:val="76DB4B92"/>
    <w:rsid w:val="76DF266D"/>
    <w:rsid w:val="76FF4961"/>
    <w:rsid w:val="77052AA4"/>
    <w:rsid w:val="77136511"/>
    <w:rsid w:val="77340A39"/>
    <w:rsid w:val="77351FD0"/>
    <w:rsid w:val="77472422"/>
    <w:rsid w:val="77745210"/>
    <w:rsid w:val="777F31F2"/>
    <w:rsid w:val="77BC4C63"/>
    <w:rsid w:val="77D1700D"/>
    <w:rsid w:val="77DA1086"/>
    <w:rsid w:val="77E4568D"/>
    <w:rsid w:val="77EC04CC"/>
    <w:rsid w:val="78006A23"/>
    <w:rsid w:val="7859644F"/>
    <w:rsid w:val="78664B90"/>
    <w:rsid w:val="78775729"/>
    <w:rsid w:val="78A42DB0"/>
    <w:rsid w:val="78A656AB"/>
    <w:rsid w:val="78B2245C"/>
    <w:rsid w:val="78E172CC"/>
    <w:rsid w:val="78EA1D1F"/>
    <w:rsid w:val="7904172F"/>
    <w:rsid w:val="79062AD2"/>
    <w:rsid w:val="790F7E27"/>
    <w:rsid w:val="792A231A"/>
    <w:rsid w:val="79316829"/>
    <w:rsid w:val="79404FE3"/>
    <w:rsid w:val="79692435"/>
    <w:rsid w:val="797777F3"/>
    <w:rsid w:val="797C7409"/>
    <w:rsid w:val="797E66A9"/>
    <w:rsid w:val="79A97383"/>
    <w:rsid w:val="79C16FDE"/>
    <w:rsid w:val="79D5067E"/>
    <w:rsid w:val="79E27E8B"/>
    <w:rsid w:val="79F850CE"/>
    <w:rsid w:val="79FD443C"/>
    <w:rsid w:val="7A1D1975"/>
    <w:rsid w:val="7A3902E6"/>
    <w:rsid w:val="7A3E5150"/>
    <w:rsid w:val="7A4670D6"/>
    <w:rsid w:val="7A534B63"/>
    <w:rsid w:val="7A615382"/>
    <w:rsid w:val="7A653600"/>
    <w:rsid w:val="7A666C01"/>
    <w:rsid w:val="7A67303B"/>
    <w:rsid w:val="7A8772A3"/>
    <w:rsid w:val="7A910122"/>
    <w:rsid w:val="7AAB1D04"/>
    <w:rsid w:val="7ABA4368"/>
    <w:rsid w:val="7ABD2CC5"/>
    <w:rsid w:val="7AD05746"/>
    <w:rsid w:val="7AD90381"/>
    <w:rsid w:val="7B0F1951"/>
    <w:rsid w:val="7B226FCC"/>
    <w:rsid w:val="7B2446B7"/>
    <w:rsid w:val="7B257FFD"/>
    <w:rsid w:val="7B2C7CAA"/>
    <w:rsid w:val="7B343476"/>
    <w:rsid w:val="7B5A2978"/>
    <w:rsid w:val="7B5A7E4C"/>
    <w:rsid w:val="7B667AF9"/>
    <w:rsid w:val="7B7468F8"/>
    <w:rsid w:val="7BE64CF7"/>
    <w:rsid w:val="7BEE0103"/>
    <w:rsid w:val="7BFA3AA5"/>
    <w:rsid w:val="7BFD48E8"/>
    <w:rsid w:val="7C0515F5"/>
    <w:rsid w:val="7C0A0FE4"/>
    <w:rsid w:val="7C254906"/>
    <w:rsid w:val="7C4022C0"/>
    <w:rsid w:val="7C5022FF"/>
    <w:rsid w:val="7C590818"/>
    <w:rsid w:val="7C6E0182"/>
    <w:rsid w:val="7C7C10F6"/>
    <w:rsid w:val="7C853BEA"/>
    <w:rsid w:val="7C881368"/>
    <w:rsid w:val="7CE27788"/>
    <w:rsid w:val="7D0357E5"/>
    <w:rsid w:val="7D0C32F1"/>
    <w:rsid w:val="7D0F408D"/>
    <w:rsid w:val="7D287F1A"/>
    <w:rsid w:val="7D491C6C"/>
    <w:rsid w:val="7D4E22FA"/>
    <w:rsid w:val="7D5429C0"/>
    <w:rsid w:val="7D561D8E"/>
    <w:rsid w:val="7D6E6D43"/>
    <w:rsid w:val="7D6F7570"/>
    <w:rsid w:val="7D7069D2"/>
    <w:rsid w:val="7D7D498E"/>
    <w:rsid w:val="7D894AA5"/>
    <w:rsid w:val="7D8F021D"/>
    <w:rsid w:val="7D9B4E14"/>
    <w:rsid w:val="7DAD6DD7"/>
    <w:rsid w:val="7DB57A34"/>
    <w:rsid w:val="7DDB10A1"/>
    <w:rsid w:val="7DE60973"/>
    <w:rsid w:val="7DEF0916"/>
    <w:rsid w:val="7E184065"/>
    <w:rsid w:val="7E1E5218"/>
    <w:rsid w:val="7E7514D4"/>
    <w:rsid w:val="7E8D6E52"/>
    <w:rsid w:val="7E9764C7"/>
    <w:rsid w:val="7E9A4E1F"/>
    <w:rsid w:val="7EA7723A"/>
    <w:rsid w:val="7EB659FE"/>
    <w:rsid w:val="7EBC6AFC"/>
    <w:rsid w:val="7EF56FBB"/>
    <w:rsid w:val="7EFC38CE"/>
    <w:rsid w:val="7F067E4D"/>
    <w:rsid w:val="7F0768EB"/>
    <w:rsid w:val="7F143BEC"/>
    <w:rsid w:val="7F1629A4"/>
    <w:rsid w:val="7F49042A"/>
    <w:rsid w:val="7F5265F7"/>
    <w:rsid w:val="7F565496"/>
    <w:rsid w:val="7F6137FA"/>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qFormat/>
    <w:uiPriority w:val="0"/>
    <w:rPr>
      <w:b/>
      <w:bCs/>
    </w:rPr>
  </w:style>
  <w:style w:type="paragraph" w:styleId="62">
    <w:name w:val="Body Text First Indent"/>
    <w:basedOn w:val="24"/>
    <w:next w:val="52"/>
    <w:link w:val="328"/>
    <w:qFormat/>
    <w:uiPriority w:val="0"/>
    <w:pPr>
      <w:ind w:firstLine="420"/>
    </w:pPr>
    <w:rPr>
      <w:rFonts w:hAnsi="Calibri" w:cs="Times New Roman"/>
      <w:snapToGrid/>
      <w:szCs w:val="20"/>
    </w:rPr>
  </w:style>
  <w:style w:type="paragraph" w:styleId="63">
    <w:name w:val="Body Text First Indent 2"/>
    <w:basedOn w:val="25"/>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1"/>
    <w:link w:val="2"/>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7"/>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0"/>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5"/>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8"/>
    <w:qFormat/>
    <w:uiPriority w:val="0"/>
    <w:rPr>
      <w:b/>
      <w:bCs/>
      <w:kern w:val="2"/>
      <w:sz w:val="24"/>
      <w:szCs w:val="24"/>
    </w:rPr>
  </w:style>
  <w:style w:type="character" w:customStyle="1" w:styleId="315">
    <w:name w:val="正文文本缩进 2 字符"/>
    <w:link w:val="37"/>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2"/>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2"/>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2"/>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45</Pages>
  <Words>18596</Words>
  <Characters>19672</Characters>
  <Lines>191</Lines>
  <Paragraphs>53</Paragraphs>
  <TotalTime>4</TotalTime>
  <ScaleCrop>false</ScaleCrop>
  <LinksUpToDate>false</LinksUpToDate>
  <CharactersWithSpaces>22886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2024-06-12T07:46:57Z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