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adjustRightInd/>
        <w:spacing w:line="360" w:lineRule="auto"/>
        <w:jc w:val="both"/>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color w:val="auto"/>
          <w:sz w:val="72"/>
          <w:szCs w:val="72"/>
          <w:highlight w:val="none"/>
          <w:lang w:eastAsia="zh-CN"/>
        </w:rPr>
      </w:pPr>
      <w:r>
        <w:rPr>
          <w:rFonts w:hint="eastAsia" w:ascii="仿宋" w:hAnsi="仿宋" w:eastAsia="仿宋" w:cs="仿宋"/>
          <w:color w:val="auto"/>
          <w:sz w:val="48"/>
          <w:szCs w:val="48"/>
          <w:highlight w:val="none"/>
          <w:lang w:val="en-US" w:eastAsia="zh-CN"/>
        </w:rPr>
        <w:t>检验标本外送检验检测服务采购项目</w:t>
      </w:r>
    </w:p>
    <w:p>
      <w:pPr>
        <w:adjustRightInd/>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：BWZBDL2024-273</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pStyle w:val="4"/>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杭州市萧山区妇女儿童健康服务中心</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11</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06</w:t>
      </w:r>
      <w:r>
        <w:rPr>
          <w:rFonts w:hint="eastAsia" w:ascii="仿宋" w:hAnsi="仿宋" w:eastAsia="仿宋" w:cs="仿宋"/>
          <w:bCs/>
          <w:color w:val="auto"/>
          <w:sz w:val="32"/>
          <w:szCs w:val="32"/>
          <w:highlight w:val="none"/>
        </w:rPr>
        <w:t>日</w:t>
      </w:r>
    </w:p>
    <w:p>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pStyle w:val="636"/>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检验标本外送检验检测服务采购项目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11</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26</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14</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BWZBDL2024-273</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检验标本外送检验检测服务采购项目</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700000</w:t>
      </w:r>
      <w:r>
        <w:rPr>
          <w:rFonts w:hint="eastAsia" w:ascii="仿宋" w:hAnsi="仿宋" w:eastAsia="仿宋" w:cs="仿宋"/>
          <w:b w:val="0"/>
          <w:bCs/>
          <w:color w:val="auto"/>
          <w:sz w:val="24"/>
          <w:highlight w:val="none"/>
          <w:lang w:eastAsia="zh-CN"/>
        </w:rPr>
        <w:t>.00</w:t>
      </w:r>
      <w:r>
        <w:rPr>
          <w:rFonts w:hint="eastAsia" w:ascii="仿宋" w:hAnsi="仿宋" w:eastAsia="仿宋" w:cs="仿宋"/>
          <w:b w:val="0"/>
          <w:bCs/>
          <w:color w:val="auto"/>
          <w:sz w:val="24"/>
          <w:highlight w:val="none"/>
          <w:lang w:val="en-US" w:eastAsia="zh-CN"/>
        </w:rPr>
        <w:t>元</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lang w:val="en-US" w:eastAsia="zh-CN"/>
        </w:rPr>
        <w:t>统一折扣38.00%</w:t>
      </w:r>
    </w:p>
    <w:p>
      <w:pPr>
        <w:pStyle w:val="16"/>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检验标本外送检验检测服务，</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6"/>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snapToGrid/>
          <w:color w:val="auto"/>
          <w:kern w:val="2"/>
          <w:sz w:val="24"/>
          <w:szCs w:val="24"/>
          <w:highlight w:val="none"/>
          <w:lang w:val="en-US" w:eastAsia="zh-CN" w:bidi="ar-SA"/>
        </w:rPr>
        <w:t>合同履约期限：</w:t>
      </w:r>
      <w:r>
        <w:rPr>
          <w:rFonts w:hint="eastAsia" w:ascii="仿宋" w:hAnsi="仿宋" w:eastAsia="仿宋" w:cs="仿宋"/>
          <w:bCs/>
          <w:snapToGrid/>
          <w:color w:val="auto"/>
          <w:kern w:val="2"/>
          <w:sz w:val="24"/>
          <w:szCs w:val="24"/>
          <w:highlight w:val="none"/>
          <w:lang w:val="en-US" w:eastAsia="zh-CN"/>
        </w:rPr>
        <w:t>详见招标文件</w:t>
      </w:r>
    </w:p>
    <w:p>
      <w:pPr>
        <w:pStyle w:val="16"/>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val="0"/>
            <w:bCs w:val="0"/>
            <w:color w:val="auto"/>
            <w:kern w:val="0"/>
            <w:sz w:val="24"/>
            <w:highlight w:val="none"/>
          </w:rPr>
          <w:id w:val="-441836950"/>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sym w:font="Wingdings" w:char="F0FE"/>
          </w:r>
        </w:sdtContent>
      </w:sdt>
      <w:r>
        <w:rPr>
          <w:rFonts w:hint="eastAsia" w:ascii="仿宋" w:hAnsi="仿宋" w:eastAsia="仿宋" w:cs="仿宋"/>
          <w:b w:val="0"/>
          <w:bCs w:val="0"/>
          <w:color w:val="auto"/>
          <w:sz w:val="24"/>
          <w:highlight w:val="none"/>
        </w:rPr>
        <w:t>是；</w:t>
      </w:r>
      <w:sdt>
        <w:sdtPr>
          <w:rPr>
            <w:rFonts w:hint="eastAsia" w:ascii="仿宋" w:hAnsi="仿宋" w:eastAsia="仿宋" w:cs="仿宋"/>
            <w:b w:val="0"/>
            <w:bCs w:val="0"/>
            <w:color w:val="auto"/>
            <w:kern w:val="0"/>
            <w:sz w:val="24"/>
            <w:highlight w:val="none"/>
          </w:rPr>
          <w:id w:val="-1591624199"/>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t>☐</w:t>
          </w:r>
        </w:sdtContent>
      </w:sdt>
      <w:r>
        <w:rPr>
          <w:rFonts w:hint="eastAsia" w:ascii="仿宋" w:hAnsi="仿宋" w:eastAsia="仿宋" w:cs="仿宋"/>
          <w:b w:val="0"/>
          <w:bCs w:val="0"/>
          <w:color w:val="auto"/>
          <w:sz w:val="24"/>
          <w:highlight w:val="none"/>
        </w:rPr>
        <w:t>否</w:t>
      </w:r>
      <w:r>
        <w:rPr>
          <w:rFonts w:hint="eastAsia" w:ascii="仿宋" w:hAnsi="仿宋" w:eastAsia="仿宋" w:cs="仿宋"/>
          <w:b w:val="0"/>
          <w:bCs w:val="0"/>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pPr>
        <w:snapToGrid w:val="0"/>
        <w:spacing w:line="360" w:lineRule="auto"/>
        <w:ind w:firstLine="480" w:firstLineChars="200"/>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50898254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6071122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有特定资格要求：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bookmarkStart w:id="11" w:name="_Toc28359086"/>
      <w:bookmarkStart w:id="12" w:name="_Toc28359009"/>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杭州市萧山区妇女儿童健康服务中心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杭州市萧山区风情大道3300号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俞银飞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0571-82710379</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徐佳萍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w:t>
      </w:r>
      <w:r>
        <w:rPr>
          <w:rFonts w:hint="eastAsia" w:ascii="仿宋" w:hAnsi="仿宋" w:eastAsia="仿宋" w:cs="仿宋"/>
          <w:color w:val="auto"/>
          <w:sz w:val="24"/>
          <w:highlight w:val="none"/>
          <w:lang w:val="en-US" w:eastAsia="zh-CN"/>
        </w:rPr>
        <w:t>82752776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11"/>
      <w:bookmarkEnd w:id="12"/>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地址：杭州市萧山区金城路433号天汇园1幢A座5楼</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赵鑫华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高华萍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质疑联系方式：0571-83881208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3.同级政府采购监督管理部门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名称：萧山区财政局、浙江省政府采购行政裁决服务中心（杭州）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地址：杭州市上城区清泰街549号城建综合大楼11楼（快递仅限ems或顺丰）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传真：/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联系人 ：朱女士/王女士</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监督投诉电话：0571-87227671/0571-87800218</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政策咨询电话：0571-82756122（汤先生）</w:t>
      </w:r>
    </w:p>
    <w:p>
      <w:pPr>
        <w:spacing w:line="360" w:lineRule="auto"/>
        <w:ind w:firstLine="480"/>
        <w:rPr>
          <w:rFonts w:hint="eastAsia" w:ascii="仿宋" w:hAnsi="仿宋" w:eastAsia="仿宋" w:cs="仿宋"/>
          <w:color w:val="auto"/>
          <w:sz w:val="24"/>
          <w:highlight w:val="none"/>
          <w:lang w:val="en-US" w:eastAsia="zh-CN"/>
        </w:rPr>
      </w:pPr>
    </w:p>
    <w:p>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8"/>
        <w:gridCol w:w="6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pStyle w:val="806"/>
              <w:spacing w:line="240" w:lineRule="auto"/>
              <w:ind w:left="0" w:leftChars="0" w:firstLine="0" w:firstLineChars="0"/>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131"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eastAsia="zh-CN"/>
              </w:rPr>
              <w:t>检验标本外送检验检测服务</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其他未列明行业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其他服务业</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行业；</w:t>
            </w:r>
          </w:p>
          <w:p>
            <w:pPr>
              <w:numPr>
                <w:ilvl w:val="0"/>
                <w:numId w:val="0"/>
              </w:numPr>
              <w:snapToGrid w:val="0"/>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p>
          <w:p>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r>
              <w:rPr>
                <w:rFonts w:hint="eastAsia" w:ascii="仿宋" w:hAnsi="仿宋" w:eastAsia="仿宋" w:cs="仿宋"/>
                <w:color w:val="auto"/>
                <w:sz w:val="24"/>
                <w:szCs w:val="24"/>
                <w:highlight w:val="none"/>
                <w:lang w:eastAsia="zh-CN"/>
              </w:rPr>
              <w:t>。</w:t>
            </w:r>
          </w:p>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4"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240" w:lineRule="auto"/>
              <w:jc w:val="both"/>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lang w:val="en-US" w:eastAsia="zh-CN"/>
              </w:rPr>
              <w:t>A</w:t>
            </w:r>
            <w:r>
              <w:rPr>
                <w:rFonts w:hint="eastAsia" w:ascii="仿宋" w:hAnsi="仿宋" w:eastAsia="仿宋" w:cs="仿宋"/>
                <w:color w:val="auto"/>
                <w:sz w:val="24"/>
                <w:szCs w:val="24"/>
                <w:highlight w:val="none"/>
              </w:rPr>
              <w:t>不组织。</w:t>
            </w:r>
          </w:p>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240" w:lineRule="auto"/>
              <w:rPr>
                <w:rFonts w:hint="eastAsia" w:ascii="仿宋" w:hAnsi="仿宋" w:eastAsia="仿宋" w:cs="仿宋"/>
                <w:b/>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88"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napToGrid w:val="0"/>
              <w:spacing w:line="240" w:lineRule="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88" w:type="dxa"/>
            <w:vMerge w:val="restart"/>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131"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pPr>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240" w:lineRule="auto"/>
              <w:jc w:val="center"/>
              <w:rPr>
                <w:rFonts w:hint="eastAsia" w:ascii="仿宋" w:hAnsi="仿宋" w:eastAsia="仿宋" w:cs="仿宋"/>
                <w:color w:val="auto"/>
                <w:sz w:val="24"/>
                <w:szCs w:val="24"/>
                <w:highlight w:val="none"/>
              </w:rPr>
            </w:pPr>
          </w:p>
        </w:tc>
        <w:tc>
          <w:tcPr>
            <w:tcW w:w="1988" w:type="dxa"/>
            <w:vMerge w:val="continue"/>
            <w:tcBorders>
              <w:left w:val="single" w:color="auto" w:sz="4"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p>
        </w:tc>
        <w:tc>
          <w:tcPr>
            <w:tcW w:w="6131" w:type="dxa"/>
            <w:tcBorders>
              <w:top w:val="single" w:color="auto" w:sz="4"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pPr>
              <w:snapToGrid w:val="0"/>
              <w:spacing w:line="24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pPr>
              <w:snapToGrid w:val="0"/>
              <w:spacing w:line="24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pPr>
              <w:spacing w:line="240" w:lineRule="auto"/>
              <w:ind w:firstLine="241" w:firstLineChars="100"/>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lang w:eastAsia="zh-CN"/>
              </w:rPr>
              <w:t>；</w:t>
            </w:r>
          </w:p>
          <w:p>
            <w:pPr>
              <w:spacing w:line="24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p>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88" w:type="dxa"/>
            <w:tcBorders>
              <w:top w:val="single" w:color="000000" w:sz="8" w:space="0"/>
              <w:left w:val="single" w:color="000000" w:sz="2"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131" w:type="dxa"/>
            <w:tcBorders>
              <w:top w:val="single" w:color="000000" w:sz="8" w:space="0"/>
              <w:left w:val="single" w:color="000000" w:sz="2" w:space="0"/>
              <w:right w:val="single" w:color="000000" w:sz="8" w:space="0"/>
            </w:tcBorders>
            <w:vAlign w:val="center"/>
          </w:tcPr>
          <w:p>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pPr>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131" w:type="dxa"/>
            <w:tcBorders>
              <w:top w:val="single" w:color="000000" w:sz="8" w:space="0"/>
              <w:left w:val="single" w:color="000000" w:sz="2" w:space="0"/>
              <w:bottom w:val="single" w:color="000000" w:sz="8" w:space="0"/>
              <w:right w:val="single" w:color="000000" w:sz="8" w:space="0"/>
            </w:tcBorders>
            <w:vAlign w:val="center"/>
          </w:tcPr>
          <w:p>
            <w:pPr>
              <w:pStyle w:val="35"/>
              <w:spacing w:line="240" w:lineRule="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988"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131" w:type="dxa"/>
            <w:tcBorders>
              <w:top w:val="single" w:color="000000" w:sz="8" w:space="0"/>
              <w:left w:val="single" w:color="000000" w:sz="2" w:space="0"/>
              <w:bottom w:val="single" w:color="000000" w:sz="8" w:space="0"/>
              <w:right w:val="single" w:color="000000" w:sz="8" w:space="0"/>
            </w:tcBorders>
            <w:vAlign w:val="center"/>
          </w:tcPr>
          <w:p>
            <w:pPr>
              <w:pStyle w:val="35"/>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本项目采购代理费由中标人支付，根据预算金额为结算基础按国家发展计划委员会的计价格[2002]1980号文件收费标准下浮20%结算收取。</w:t>
            </w:r>
          </w:p>
          <w:p>
            <w:pPr>
              <w:pStyle w:val="35"/>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服务费缴纳账号：</w:t>
            </w:r>
          </w:p>
          <w:p>
            <w:pPr>
              <w:pStyle w:val="35"/>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开户银行：上海浦东发展银行萧山支行</w:t>
            </w:r>
          </w:p>
          <w:p>
            <w:pPr>
              <w:pStyle w:val="35"/>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账户名称：杭州博望建设工程招标投标代理有限公司</w:t>
            </w:r>
          </w:p>
          <w:p>
            <w:pPr>
              <w:pStyle w:val="35"/>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银行账号：95070154740001005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988" w:type="dxa"/>
            <w:tcBorders>
              <w:top w:val="single" w:color="000000" w:sz="8" w:space="0"/>
              <w:left w:val="single" w:color="000000" w:sz="2" w:space="0"/>
              <w:bottom w:val="single" w:color="000000" w:sz="8" w:space="0"/>
              <w:right w:val="single" w:color="000000" w:sz="8" w:space="0"/>
            </w:tcBorders>
            <w:vAlign w:val="center"/>
          </w:tcPr>
          <w:p>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131" w:type="dxa"/>
            <w:tcBorders>
              <w:top w:val="single" w:color="000000" w:sz="8" w:space="0"/>
              <w:left w:val="single" w:color="000000" w:sz="2" w:space="0"/>
              <w:bottom w:val="single" w:color="000000" w:sz="8" w:space="0"/>
              <w:right w:val="single" w:color="000000" w:sz="8" w:space="0"/>
            </w:tcBorders>
            <w:vAlign w:val="center"/>
          </w:tcPr>
          <w:p>
            <w:pPr>
              <w:spacing w:after="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988" w:type="dxa"/>
            <w:tcBorders>
              <w:top w:val="single" w:color="000000" w:sz="8" w:space="0"/>
              <w:left w:val="single" w:color="000000" w:sz="2" w:space="0"/>
              <w:bottom w:val="single" w:color="000000" w:sz="8" w:space="0"/>
              <w:right w:val="single" w:color="000000" w:sz="8" w:space="0"/>
            </w:tcBorders>
            <w:vAlign w:val="center"/>
          </w:tcPr>
          <w:p>
            <w:pPr>
              <w:spacing w:after="0"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131" w:type="dxa"/>
            <w:tcBorders>
              <w:top w:val="single" w:color="000000" w:sz="8" w:space="0"/>
              <w:left w:val="single" w:color="000000" w:sz="2" w:space="0"/>
              <w:bottom w:val="single" w:color="000000" w:sz="8" w:space="0"/>
              <w:right w:val="single" w:color="000000" w:sz="8" w:space="0"/>
            </w:tcBorders>
            <w:vAlign w:val="center"/>
          </w:tcPr>
          <w:p>
            <w:pPr>
              <w:snapToGrid w:val="0"/>
              <w:spacing w:after="0"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pPr>
              <w:snapToGrid w:val="0"/>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988" w:type="dxa"/>
            <w:tcBorders>
              <w:top w:val="single" w:color="000000" w:sz="8" w:space="0"/>
              <w:left w:val="single" w:color="000000" w:sz="2" w:space="0"/>
              <w:bottom w:val="single" w:color="auto" w:sz="4" w:space="0"/>
              <w:right w:val="single" w:color="000000" w:sz="8" w:space="0"/>
            </w:tcBorders>
            <w:vAlign w:val="center"/>
          </w:tcPr>
          <w:p>
            <w:pPr>
              <w:spacing w:after="0"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131" w:type="dxa"/>
            <w:tcBorders>
              <w:top w:val="single" w:color="000000" w:sz="8" w:space="0"/>
              <w:left w:val="single" w:color="000000" w:sz="2" w:space="0"/>
              <w:bottom w:val="single" w:color="auto" w:sz="4" w:space="0"/>
              <w:right w:val="single" w:color="000000" w:sz="8" w:space="0"/>
            </w:tcBorders>
            <w:vAlign w:val="center"/>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仿宋" w:hAnsi="仿宋" w:eastAsia="仿宋" w:cs="仿宋"/>
                <w:color w:val="auto"/>
                <w:sz w:val="24"/>
                <w:szCs w:val="24"/>
                <w:highlight w:val="none"/>
                <w:lang w:val="en-US" w:eastAsia="zh-CN"/>
              </w:rPr>
            </w:pPr>
          </w:p>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p>
            <w:pPr>
              <w:snapToGrid w:val="0"/>
              <w:spacing w:line="240" w:lineRule="auto"/>
              <w:jc w:val="center"/>
              <w:rPr>
                <w:rFonts w:hint="eastAsia" w:ascii="仿宋" w:hAnsi="仿宋" w:eastAsia="仿宋" w:cs="仿宋"/>
                <w:color w:val="auto"/>
                <w:sz w:val="24"/>
                <w:szCs w:val="24"/>
                <w:highlight w:val="none"/>
                <w:lang w:val="en-US" w:eastAsia="zh-CN"/>
              </w:rPr>
            </w:pPr>
          </w:p>
          <w:p>
            <w:pPr>
              <w:snapToGrid w:val="0"/>
              <w:spacing w:line="240" w:lineRule="auto"/>
              <w:jc w:val="center"/>
              <w:rPr>
                <w:rFonts w:hint="eastAsia" w:ascii="仿宋" w:hAnsi="仿宋" w:eastAsia="仿宋" w:cs="仿宋"/>
                <w:color w:val="auto"/>
                <w:sz w:val="24"/>
                <w:szCs w:val="24"/>
                <w:highlight w:val="none"/>
                <w:lang w:val="en-US" w:eastAsia="zh-CN"/>
              </w:rPr>
            </w:pPr>
          </w:p>
          <w:p>
            <w:pPr>
              <w:snapToGrid w:val="0"/>
              <w:spacing w:line="240" w:lineRule="auto"/>
              <w:jc w:val="center"/>
              <w:rPr>
                <w:rFonts w:hint="eastAsia" w:ascii="仿宋" w:hAnsi="仿宋" w:eastAsia="仿宋" w:cs="仿宋"/>
                <w:color w:val="auto"/>
                <w:sz w:val="24"/>
                <w:szCs w:val="24"/>
                <w:highlight w:val="none"/>
                <w:lang w:val="en-US" w:eastAsia="zh-CN"/>
              </w:rPr>
            </w:pPr>
          </w:p>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98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13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240" w:lineRule="auto"/>
              <w:jc w:val="center"/>
              <w:rPr>
                <w:rFonts w:hint="eastAsia" w:ascii="仿宋" w:hAnsi="仿宋" w:eastAsia="仿宋" w:cs="仿宋"/>
                <w:color w:val="auto"/>
                <w:sz w:val="24"/>
                <w:szCs w:val="24"/>
                <w:highlight w:val="none"/>
              </w:rPr>
            </w:pPr>
          </w:p>
        </w:tc>
        <w:tc>
          <w:tcPr>
            <w:tcW w:w="198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b/>
                <w:color w:val="auto"/>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369766551"/>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pPr>
              <w:spacing w:line="24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投标文件份数</w:t>
            </w:r>
          </w:p>
        </w:tc>
        <w:tc>
          <w:tcPr>
            <w:tcW w:w="6131"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中标人应在中标后向采购代理机构提供纸质投标文件一正二副（加盖公章）。</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pPr>
        <w:pStyle w:val="1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1"/>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pPr>
        <w:pStyle w:val="131"/>
        <w:spacing w:before="0"/>
        <w:ind w:firstLine="643"/>
        <w:rPr>
          <w:rFonts w:hint="eastAsia" w:ascii="仿宋" w:hAnsi="仿宋" w:eastAsia="仿宋" w:cs="仿宋"/>
          <w:b/>
          <w:color w:val="auto"/>
          <w:sz w:val="32"/>
          <w:highlight w:val="none"/>
        </w:rPr>
      </w:pPr>
    </w:p>
    <w:p>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1"/>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1"/>
        <w:snapToGrid w:val="0"/>
        <w:spacing w:before="0"/>
        <w:ind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5236011"/>
      <w:bookmarkEnd w:id="17"/>
      <w:bookmarkStart w:id="18" w:name="_Hlt74729768"/>
      <w:bookmarkEnd w:id="18"/>
      <w:bookmarkStart w:id="19" w:name="_Hlt74730295"/>
      <w:bookmarkEnd w:id="19"/>
      <w:bookmarkStart w:id="20" w:name="_Hlt68057669"/>
      <w:bookmarkEnd w:id="20"/>
      <w:bookmarkStart w:id="21" w:name="_Hlt68072998"/>
      <w:bookmarkEnd w:id="21"/>
      <w:bookmarkStart w:id="22" w:name="_Hlt68073093"/>
      <w:bookmarkEnd w:id="22"/>
      <w:bookmarkStart w:id="23" w:name="_Hlt74707468"/>
      <w:bookmarkEnd w:id="23"/>
      <w:bookmarkStart w:id="24" w:name="_Hlt68072990"/>
      <w:bookmarkEnd w:id="24"/>
      <w:bookmarkStart w:id="25" w:name="_Hlt68403820"/>
      <w:bookmarkEnd w:id="25"/>
      <w:bookmarkStart w:id="26" w:name="_Hlt74714665"/>
      <w:bookmarkEnd w:id="26"/>
      <w:bookmarkStart w:id="27" w:name="_Hlt75236290"/>
      <w:bookmarkEnd w:id="27"/>
      <w:bookmarkStart w:id="28" w:name="_Hlt75236101"/>
      <w:bookmarkEnd w:id="28"/>
    </w:p>
    <w:bookmarkEnd w:id="13"/>
    <w:bookmarkEnd w:id="14"/>
    <w:p>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t>（一）、招标一览表</w:t>
      </w:r>
    </w:p>
    <w:p>
      <w:pPr>
        <w:widowControl/>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标项：</w:t>
      </w:r>
      <w:r>
        <w:rPr>
          <w:rFonts w:hint="eastAsia" w:ascii="仿宋" w:hAnsi="仿宋" w:eastAsia="仿宋" w:cs="仿宋"/>
          <w:b/>
          <w:bCs/>
          <w:color w:val="auto"/>
          <w:sz w:val="24"/>
          <w:szCs w:val="24"/>
          <w:highlight w:val="none"/>
          <w:lang w:val="en-US" w:eastAsia="zh-CN"/>
        </w:rPr>
        <w:t>1</w:t>
      </w:r>
    </w:p>
    <w:tbl>
      <w:tblPr>
        <w:tblStyle w:val="63"/>
        <w:tblpPr w:leftFromText="180" w:rightFromText="180" w:vertAnchor="text" w:horzAnchor="margin" w:tblpXSpec="center" w:tblpY="63"/>
        <w:tblOverlap w:val="never"/>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2458"/>
        <w:gridCol w:w="675"/>
        <w:gridCol w:w="675"/>
        <w:gridCol w:w="1692"/>
        <w:gridCol w:w="191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3" w:hRule="atLeast"/>
          <w:jc w:val="center"/>
        </w:trPr>
        <w:tc>
          <w:tcPr>
            <w:tcW w:w="674" w:type="dxa"/>
            <w:tcMar>
              <w:top w:w="15" w:type="dxa"/>
              <w:left w:w="15" w:type="dxa"/>
              <w:bottom w:w="0" w:type="dxa"/>
              <w:right w:w="15" w:type="dxa"/>
            </w:tcMar>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序号</w:t>
            </w:r>
          </w:p>
        </w:tc>
        <w:tc>
          <w:tcPr>
            <w:tcW w:w="2458" w:type="dxa"/>
            <w:tcMar>
              <w:top w:w="15" w:type="dxa"/>
              <w:left w:w="15" w:type="dxa"/>
              <w:bottom w:w="0" w:type="dxa"/>
              <w:right w:w="15" w:type="dxa"/>
            </w:tcMar>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名称</w:t>
            </w:r>
          </w:p>
        </w:tc>
        <w:tc>
          <w:tcPr>
            <w:tcW w:w="675" w:type="dxa"/>
            <w:tcMar>
              <w:top w:w="15" w:type="dxa"/>
              <w:left w:w="15" w:type="dxa"/>
              <w:bottom w:w="0" w:type="dxa"/>
              <w:right w:w="15" w:type="dxa"/>
            </w:tcMar>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数量</w:t>
            </w:r>
          </w:p>
        </w:tc>
        <w:tc>
          <w:tcPr>
            <w:tcW w:w="675" w:type="dxa"/>
            <w:tcMar>
              <w:top w:w="15" w:type="dxa"/>
              <w:left w:w="15" w:type="dxa"/>
              <w:bottom w:w="0" w:type="dxa"/>
              <w:right w:w="15" w:type="dxa"/>
            </w:tcMar>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单位</w:t>
            </w:r>
          </w:p>
        </w:tc>
        <w:tc>
          <w:tcPr>
            <w:tcW w:w="1692" w:type="dxa"/>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预算</w:t>
            </w:r>
          </w:p>
        </w:tc>
        <w:tc>
          <w:tcPr>
            <w:tcW w:w="1917" w:type="dxa"/>
            <w:vAlign w:val="center"/>
          </w:tcPr>
          <w:p>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简要规格描述或基本情况介绍</w:t>
            </w:r>
          </w:p>
        </w:tc>
        <w:tc>
          <w:tcPr>
            <w:tcW w:w="850" w:type="dxa"/>
            <w:vAlign w:val="center"/>
          </w:tcPr>
          <w:p>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atLeast"/>
          <w:jc w:val="center"/>
        </w:trPr>
        <w:tc>
          <w:tcPr>
            <w:tcW w:w="674" w:type="dxa"/>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458" w:type="dxa"/>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检验标本外送检验检测服务采购项目</w:t>
            </w:r>
          </w:p>
        </w:tc>
        <w:tc>
          <w:tcPr>
            <w:tcW w:w="675" w:type="dxa"/>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675" w:type="dxa"/>
            <w:tcMar>
              <w:top w:w="15" w:type="dxa"/>
              <w:left w:w="15" w:type="dxa"/>
              <w:bottom w:w="0" w:type="dxa"/>
              <w:right w:w="15"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年</w:t>
            </w:r>
          </w:p>
        </w:tc>
        <w:tc>
          <w:tcPr>
            <w:tcW w:w="1692"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700000.00元</w:t>
            </w:r>
          </w:p>
        </w:tc>
        <w:tc>
          <w:tcPr>
            <w:tcW w:w="1917"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lang w:eastAsia="zh-CN"/>
              </w:rPr>
              <w:t>招标需求</w:t>
            </w:r>
          </w:p>
        </w:tc>
        <w:tc>
          <w:tcPr>
            <w:tcW w:w="850" w:type="dxa"/>
            <w:vAlign w:val="center"/>
          </w:tcPr>
          <w:p>
            <w:pPr>
              <w:jc w:val="center"/>
              <w:rPr>
                <w:rFonts w:hint="eastAsia" w:ascii="仿宋" w:hAnsi="仿宋" w:eastAsia="仿宋" w:cs="仿宋"/>
                <w:color w:val="auto"/>
                <w:kern w:val="2"/>
                <w:sz w:val="24"/>
                <w:szCs w:val="24"/>
                <w:highlight w:val="none"/>
                <w:lang w:val="en-US" w:eastAsia="zh-CN" w:bidi="ar-SA"/>
              </w:rPr>
            </w:pPr>
          </w:p>
        </w:tc>
      </w:tr>
    </w:tbl>
    <w:p>
      <w:pPr>
        <w:snapToGrid w:val="0"/>
        <w:spacing w:line="360" w:lineRule="auto"/>
        <w:jc w:val="both"/>
        <w:rPr>
          <w:rFonts w:hint="eastAsia" w:ascii="仿宋" w:hAnsi="仿宋" w:eastAsia="仿宋" w:cs="仿宋"/>
          <w:b/>
          <w:bCs/>
          <w:color w:val="auto"/>
          <w:sz w:val="28"/>
          <w:szCs w:val="28"/>
          <w:highlight w:val="none"/>
        </w:rPr>
      </w:pPr>
    </w:p>
    <w:p>
      <w:pPr>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（二）、招标需求</w:t>
      </w:r>
    </w:p>
    <w:p>
      <w:pPr>
        <w:widowControl w:val="0"/>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一、技术需求</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1、转运标本种类：血液、活检组织、尿液、分泌物等。</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2、标本需每日上门收取，且于第二日上午8点前发放检测报告；特殊标本可适当延长报告时间，但最多不得超过3天；报告单可在网上查询，所有报告单应在二年内可查询打印。</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3、运输冷链系统要求</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所有样本的运送必须符合样本温度的管理要求，采用相应的冷链运送技术，特殊标本运输过程中需干冰冻存。</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3.2所有样本运送必须采用符合相关标准的冷链物流车或转送车辆及冷链物流箱，冷链物流车或转送车辆及冷链物流箱配备数量满足标本转送要求。</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提供可实时监控物流各个环节的温度的系统和终端设备，能够对物流的全程进行温度监控、报警及记录，能够对整个过程进行溯源管理，并能够提交相关记录的纸质文档，以留档备查。一年3次以上无法进行运送温度溯源，招标人有权终止合同，并追究相关损失。</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样本交接及运送过程必须符合样本的安全管理要求，符合《病原微生物实验室生物安全管理条例》、《可感染人类的高致病性病原微生物菌（毒）种或样本运输管理规定》、《浙江省病原微生物实验室生物安全管理办法（试行）》等相关法律法规规章涉及的生物安全规定。</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5、运输车辆拥有运输标本专业设备如生物安全转运箱，并装有处置生物安全应急事件的应急箱及消毒用喷壶,可以应对突发生物安全事件的现场处置。</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6、标本转运物流流程规章制度（包括标本运输紧急预案）及工作各环节操作说明书。</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提供整个物流的完整书面规划方案，如配置的车辆多少，冷链车的数量，冷链箱的数量，每天物流运送的路线和车次的安排，如何保障样本每天的及时送达，安全措施、应急预案等等。该规划方案的书面文件作为评标的重要依据之一。</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年服务费：本项目的年服务费包括但不限于提供运输服务，配套车辆设备，配备服务人员，设备维护保养，微生物消毒，外送标本检测等及其涉及的运费、油费、保险费、工资、水电费、设备折旧费、税费等全部费用。</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9、考核要求</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9.1报告时间延迟半天扣检测费的50%，延迟一天检测费</w:t>
      </w:r>
      <w:r>
        <w:rPr>
          <w:rFonts w:hint="eastAsia" w:ascii="仿宋" w:hAnsi="仿宋" w:eastAsia="仿宋" w:cs="仿宋"/>
          <w:color w:val="auto"/>
          <w:sz w:val="24"/>
          <w:szCs w:val="24"/>
          <w:highlight w:val="none"/>
          <w:lang w:val="en-US" w:eastAsia="zh-CN"/>
        </w:rPr>
        <w:t>扣除100%</w:t>
      </w:r>
      <w:r>
        <w:rPr>
          <w:rFonts w:hint="eastAsia" w:ascii="仿宋" w:hAnsi="仿宋" w:eastAsia="仿宋" w:cs="仿宋"/>
          <w:color w:val="auto"/>
          <w:sz w:val="24"/>
          <w:szCs w:val="24"/>
          <w:highlight w:val="none"/>
        </w:rPr>
        <w:t>，如造成投诉纠纷需承担相应责任。五次以上延迟报告的，甲方有权利提前解除合同。</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9.2结果的准确性：对结果明显有差异的，要求复查，如引起医疗纠纷，</w:t>
      </w:r>
      <w:r>
        <w:rPr>
          <w:rFonts w:hint="eastAsia" w:ascii="仿宋" w:hAnsi="仿宋" w:eastAsia="仿宋" w:cs="仿宋"/>
          <w:color w:val="auto"/>
          <w:sz w:val="24"/>
          <w:szCs w:val="24"/>
          <w:highlight w:val="none"/>
          <w:lang w:val="en-US" w:eastAsia="zh-CN"/>
        </w:rPr>
        <w:t>中标单位</w:t>
      </w:r>
      <w:r>
        <w:rPr>
          <w:rFonts w:hint="eastAsia" w:ascii="仿宋" w:hAnsi="仿宋" w:eastAsia="仿宋" w:cs="仿宋"/>
          <w:color w:val="auto"/>
          <w:sz w:val="24"/>
          <w:szCs w:val="24"/>
          <w:highlight w:val="none"/>
        </w:rPr>
        <w:t>需承担相应责任。</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中标单位检测数据结果必须与杭州市萧山区妇女儿童健康服务中心现有设备，信息系统相匹配，并承担相应费用，所有化验结果必须能够上传至目前的Lis系统，并在His系统中可以查询。中标单位需在中标后7日内完成匹配工作。若10日后仍未完成匹配，采购单位可委托第三方进行匹配工作，费用由中标单位支付。</w:t>
      </w:r>
    </w:p>
    <w:p>
      <w:pPr>
        <w:widowControl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▲11、本项目需提供不少</w:t>
      </w:r>
      <w:r>
        <w:rPr>
          <w:rFonts w:hint="eastAsia" w:ascii="仿宋" w:hAnsi="仿宋" w:eastAsia="仿宋" w:cs="仿宋"/>
          <w:b/>
          <w:bCs/>
          <w:color w:val="auto"/>
          <w:sz w:val="24"/>
          <w:szCs w:val="24"/>
          <w:highlight w:val="none"/>
        </w:rPr>
        <w:t>于</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名</w:t>
      </w:r>
      <w:r>
        <w:rPr>
          <w:rFonts w:hint="eastAsia" w:ascii="仿宋" w:hAnsi="仿宋" w:eastAsia="仿宋" w:cs="仿宋"/>
          <w:b/>
          <w:bCs/>
          <w:color w:val="auto"/>
          <w:sz w:val="24"/>
          <w:szCs w:val="24"/>
          <w:highlight w:val="none"/>
        </w:rPr>
        <w:t>具有检验职称</w:t>
      </w:r>
      <w:r>
        <w:rPr>
          <w:rFonts w:hint="eastAsia" w:ascii="仿宋" w:hAnsi="仿宋" w:eastAsia="仿宋" w:cs="仿宋"/>
          <w:b/>
          <w:bCs/>
          <w:color w:val="auto"/>
          <w:sz w:val="24"/>
          <w:szCs w:val="24"/>
          <w:highlight w:val="none"/>
        </w:rPr>
        <w:t>的技术人员常驻，协助完成本中心日常检验工作。（投标文件中提供响应承诺，格式自拟）</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12、本项目采集标本及打印报告单所需的一切耗材及设备等由中标单位自行提供，费用自行考虑在投标报价内，今后不再另行支付。</w:t>
      </w:r>
    </w:p>
    <w:p>
      <w:pPr>
        <w:widowControl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▲13、检测项目必须使用与仪器配套的试剂。（投标文件中提供响应承诺，格式自拟）</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14、中标单位需免费完成上级单位对杭州市萧山区妇女儿童健康服务中心临时抽查的各项室间质评，并保证无不合格项。</w:t>
      </w:r>
    </w:p>
    <w:p>
      <w:pPr>
        <w:widowControl w:val="0"/>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二、检测内容</w:t>
      </w:r>
    </w:p>
    <w:tbl>
      <w:tblPr>
        <w:tblStyle w:val="63"/>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3457"/>
        <w:gridCol w:w="1201"/>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检测项目</w:t>
            </w:r>
          </w:p>
        </w:tc>
        <w:tc>
          <w:tcPr>
            <w:tcW w:w="1201"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64"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宫颈活检（图）</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35</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乙型肝炎病毒e抗原(定性)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组织块</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36</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乙型肝炎病毒e抗体(定性)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液基细胞学薄片检测(TCT)</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37</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乙型肝炎病毒核心抗体(定性)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子宫息肉（图）</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38</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丙型肝炎病毒抗体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子宫内容物（图）</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39</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梅毒甲苯胺红不加热血清试验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病理单克隆抗体检测</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40</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梅毒螺旋体特异性抗体（TPPA法）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Leep切除宫颈组织(CIN)(图)</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41</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甲胎蛋白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病理会诊</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42</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癌胚抗原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C-反应蛋白</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43</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鳞状细胞癌相关抗原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糖化血红蛋白</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44</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糖链抗原125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血浆D二聚体</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45</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人免疫缺陷病毒抗体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同型半胱氨酸</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46</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抗缪勒氏管激素（AMH)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甘油三酯</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47</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解脲支原体核酸测定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总胆固醇</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48</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(组合)TORCH5项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葡萄糖</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49</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(组合)甲状腺功能常规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丙氨酸氨基转移酶</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50</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(组合)性激素6项(雅培)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高密度脂蛋白胆固醇</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51</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(组合)污水培养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低密度脂蛋白胆固醇</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52</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(组合)风湿全套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肌酐</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53</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(组合)甲状腺功能全套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铁蛋白</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54</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(组合)女性肿瘤标志物五项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雌二醇</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55</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(组合)乙肝六项(定性)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促黄体生成素</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56</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(组合)乙肝三系（定性）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3457" w:type="dxa"/>
            <w:noWrap/>
            <w:vAlign w:val="center"/>
          </w:tcPr>
          <w:p>
            <w:pPr>
              <w:spacing w:line="240" w:lineRule="auto"/>
              <w:ind w:firstLine="19" w:firstLineChars="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泌乳素</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57</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(组合)男性肿瘤标志物五项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24</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睾酮</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58</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(组合)HPV-25型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卵泡刺激素</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59</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叶酸利用能力基因检测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26</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β人绒毛膜促性腺激素</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60</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淋球菌培养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27</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孕酮</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61</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衣原体检测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28</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促甲状腺激素</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62</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真菌培养+药敏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29</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总IgE</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63</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真菌培养及鉴定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30</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胰岛素</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64</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消毒液培养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风疹病毒抗体IgM(定性)</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65</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物体表面培养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乙型肝炎病毒核心抗体IgM(定性)</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66</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空气培养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乙型肝炎病毒表面抗原(定性)</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67</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支原体培养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6"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34</w:t>
            </w:r>
          </w:p>
        </w:tc>
        <w:tc>
          <w:tcPr>
            <w:tcW w:w="3457"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乙型肝炎病毒表面抗体(定性)</w:t>
            </w:r>
          </w:p>
        </w:tc>
        <w:tc>
          <w:tcPr>
            <w:tcW w:w="1201"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68</w:t>
            </w:r>
          </w:p>
        </w:tc>
        <w:tc>
          <w:tcPr>
            <w:tcW w:w="3364" w:type="dxa"/>
            <w:noWrap/>
            <w:vAlign w:val="center"/>
          </w:tcPr>
          <w:p>
            <w:pPr>
              <w:spacing w:line="240" w:lineRule="auto"/>
              <w:ind w:firstLine="19" w:firstLineChars="8"/>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手指洗脱物/洗脱液培养</w:t>
            </w:r>
          </w:p>
        </w:tc>
      </w:tr>
    </w:tbl>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说明：1、检测内容包括但不仅限于以上内容。</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2、检测项目价格包含配套车辆设备、配备服务人员、设备维护保养、微生物消毒、外送标本检测等及其涉及的运费、油费、保险费、工资、水电费、设备折旧费、税费等全部费用，请各投标人合理报价。</w:t>
      </w:r>
    </w:p>
    <w:p>
      <w:pPr>
        <w:widowControl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▲3、本项目投标报价按统一折扣报价，最高</w:t>
      </w:r>
      <w:r>
        <w:rPr>
          <w:rFonts w:hint="eastAsia" w:ascii="仿宋" w:hAnsi="仿宋" w:eastAsia="仿宋" w:cs="仿宋"/>
          <w:b/>
          <w:bCs/>
          <w:color w:val="auto"/>
          <w:sz w:val="24"/>
          <w:szCs w:val="24"/>
          <w:highlight w:val="none"/>
          <w:lang w:val="en-US" w:eastAsia="zh-CN"/>
        </w:rPr>
        <w:t>统一折扣</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38.00%，</w:t>
      </w:r>
      <w:r>
        <w:rPr>
          <w:rFonts w:hint="eastAsia" w:ascii="仿宋" w:hAnsi="仿宋" w:eastAsia="仿宋" w:cs="仿宋"/>
          <w:b/>
          <w:bCs/>
          <w:color w:val="auto"/>
          <w:sz w:val="24"/>
          <w:szCs w:val="24"/>
          <w:highlight w:val="none"/>
        </w:rPr>
        <w:t>结算的唯一标准是浙江省医疗服务行业物价收费标准。</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例：投标人投标报价为</w:t>
      </w:r>
      <w:r>
        <w:rPr>
          <w:rFonts w:hint="eastAsia" w:ascii="仿宋" w:hAnsi="仿宋" w:eastAsia="仿宋" w:cs="仿宋"/>
          <w:color w:val="auto"/>
          <w:sz w:val="24"/>
          <w:szCs w:val="24"/>
          <w:highlight w:val="none"/>
          <w:lang w:val="en-US" w:eastAsia="zh-CN"/>
        </w:rPr>
        <w:t>38.00%</w:t>
      </w:r>
      <w:r>
        <w:rPr>
          <w:rFonts w:hint="eastAsia" w:ascii="仿宋" w:hAnsi="仿宋" w:eastAsia="仿宋" w:cs="仿宋"/>
          <w:color w:val="auto"/>
          <w:sz w:val="24"/>
          <w:szCs w:val="24"/>
          <w:highlight w:val="none"/>
        </w:rPr>
        <w:t>，即中标后按检测项目浙江省医疗服务价格收费标准×数量×</w:t>
      </w:r>
      <w:r>
        <w:rPr>
          <w:rFonts w:hint="eastAsia" w:ascii="仿宋" w:hAnsi="仿宋" w:eastAsia="仿宋" w:cs="仿宋"/>
          <w:color w:val="auto"/>
          <w:sz w:val="24"/>
          <w:szCs w:val="24"/>
          <w:highlight w:val="none"/>
          <w:lang w:val="en-US" w:eastAsia="zh-CN"/>
        </w:rPr>
        <w:t>38.00%</w:t>
      </w:r>
      <w:r>
        <w:rPr>
          <w:rFonts w:hint="eastAsia" w:ascii="仿宋" w:hAnsi="仿宋" w:eastAsia="仿宋" w:cs="仿宋"/>
          <w:color w:val="auto"/>
          <w:sz w:val="24"/>
          <w:szCs w:val="24"/>
          <w:highlight w:val="none"/>
        </w:rPr>
        <w:t>结算。</w:t>
      </w:r>
    </w:p>
    <w:p>
      <w:pPr>
        <w:widowControl w:val="0"/>
        <w:adjustRightIn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三、商务需求</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1、服务时间及地点</w:t>
      </w:r>
    </w:p>
    <w:p>
      <w:pPr>
        <w:widowControl w:val="0"/>
        <w:adjustRightIn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服务时间：</w:t>
      </w:r>
      <w:r>
        <w:rPr>
          <w:rFonts w:hint="eastAsia" w:ascii="仿宋" w:hAnsi="仿宋" w:eastAsia="仿宋" w:cs="仿宋"/>
          <w:b/>
          <w:bCs/>
          <w:color w:val="auto"/>
          <w:sz w:val="24"/>
          <w:szCs w:val="24"/>
          <w:highlight w:val="none"/>
          <w:lang w:val="en-US" w:eastAsia="zh-CN"/>
        </w:rPr>
        <w:t>1年</w:t>
      </w:r>
      <w:r>
        <w:rPr>
          <w:rFonts w:hint="eastAsia" w:ascii="仿宋" w:hAnsi="仿宋" w:eastAsia="仿宋" w:cs="仿宋"/>
          <w:b/>
          <w:bCs/>
          <w:color w:val="auto"/>
          <w:sz w:val="24"/>
          <w:szCs w:val="24"/>
          <w:highlight w:val="none"/>
        </w:rPr>
        <w:t>（具体时间以合同签订为准）。</w:t>
      </w:r>
    </w:p>
    <w:p>
      <w:pPr>
        <w:widowControl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合同履行完毕后，在未找到接替服务公司前，中标人应延续服务，费用按原合同签订的费用标准支付。</w:t>
      </w:r>
    </w:p>
    <w:p>
      <w:pPr>
        <w:widowControl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服务地点：采购人指定地点。</w:t>
      </w:r>
    </w:p>
    <w:p>
      <w:pPr>
        <w:widowControl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2、项目实施计划</w:t>
      </w:r>
    </w:p>
    <w:p>
      <w:pPr>
        <w:widowControl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项目实施的组织工作方案：工作时间进度表、工作程序或步骤、管理和协调方法、送货方案等。</w:t>
      </w:r>
    </w:p>
    <w:p>
      <w:pPr>
        <w:widowControl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w:t>
      </w:r>
    </w:p>
    <w:p>
      <w:pPr>
        <w:pageBreakBefore w:val="0"/>
        <w:kinsoku/>
        <w:wordWrap/>
        <w:overflowPunct/>
        <w:topLinePunct w:val="0"/>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按月按实结算。</w:t>
      </w:r>
    </w:p>
    <w:p>
      <w:pPr>
        <w:pStyle w:val="3"/>
        <w:spacing w:line="360" w:lineRule="auto"/>
        <w:ind w:left="0" w:leftChars="0" w:firstLine="482" w:firstLineChars="200"/>
        <w:rPr>
          <w:rFonts w:hint="eastAsia" w:ascii="仿宋" w:hAnsi="仿宋" w:eastAsia="仿宋" w:cs="仿宋"/>
          <w:color w:val="auto"/>
          <w:sz w:val="24"/>
          <w:szCs w:val="24"/>
          <w:highlight w:val="none"/>
        </w:rPr>
      </w:pPr>
    </w:p>
    <w:p>
      <w:pPr>
        <w:pStyle w:val="3"/>
        <w:spacing w:line="360" w:lineRule="auto"/>
        <w:ind w:left="0" w:leftChars="0" w:firstLine="482" w:firstLineChars="200"/>
        <w:rPr>
          <w:rFonts w:hint="eastAsia" w:ascii="仿宋" w:hAnsi="仿宋" w:eastAsia="仿宋" w:cs="仿宋"/>
          <w:color w:val="auto"/>
          <w:sz w:val="24"/>
          <w:szCs w:val="24"/>
          <w:highlight w:val="none"/>
        </w:rPr>
      </w:pPr>
    </w:p>
    <w:p>
      <w:pPr>
        <w:pStyle w:val="3"/>
        <w:spacing w:line="360" w:lineRule="auto"/>
        <w:ind w:left="0" w:leftChars="0" w:firstLine="482" w:firstLineChars="200"/>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注：招标文件中打▲内容为实质性要求，不允许有负偏离，否则将以涉及无效投标条款作无效投标。</w:t>
      </w: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0290"/>
      <w:bookmarkEnd w:id="30"/>
      <w:bookmarkStart w:id="31" w:name="_Toc184312131"/>
      <w:bookmarkEnd w:id="31"/>
      <w:bookmarkStart w:id="32" w:name="_Toc184313265"/>
      <w:bookmarkEnd w:id="32"/>
      <w:bookmarkStart w:id="33" w:name="_Toc184308059"/>
      <w:bookmarkEnd w:id="33"/>
      <w:bookmarkStart w:id="34" w:name="_Toc184312095"/>
      <w:bookmarkEnd w:id="34"/>
      <w:bookmarkStart w:id="35" w:name="_Toc184308052"/>
      <w:bookmarkEnd w:id="35"/>
      <w:bookmarkStart w:id="36" w:name="_Toc184310315"/>
      <w:bookmarkEnd w:id="36"/>
      <w:bookmarkStart w:id="37" w:name="_Toc184308048"/>
      <w:bookmarkEnd w:id="37"/>
      <w:bookmarkStart w:id="38" w:name="_Toc184313243"/>
      <w:bookmarkEnd w:id="38"/>
      <w:bookmarkStart w:id="39" w:name="_Toc184310272"/>
      <w:bookmarkEnd w:id="39"/>
      <w:bookmarkStart w:id="40" w:name="_Toc184313281"/>
      <w:bookmarkEnd w:id="40"/>
      <w:bookmarkStart w:id="41" w:name="_Toc184312117"/>
      <w:bookmarkEnd w:id="41"/>
      <w:bookmarkStart w:id="42" w:name="_Toc184314474"/>
      <w:bookmarkEnd w:id="42"/>
      <w:bookmarkStart w:id="43" w:name="_Toc184308047"/>
      <w:bookmarkEnd w:id="43"/>
      <w:bookmarkStart w:id="44" w:name="_Toc184313267"/>
      <w:bookmarkEnd w:id="44"/>
      <w:bookmarkStart w:id="45" w:name="_Toc184310334"/>
      <w:bookmarkEnd w:id="45"/>
      <w:bookmarkStart w:id="46" w:name="_Toc184314415"/>
      <w:bookmarkEnd w:id="46"/>
      <w:bookmarkStart w:id="47" w:name="_Toc184308078"/>
      <w:bookmarkEnd w:id="47"/>
      <w:bookmarkStart w:id="48" w:name="_Toc184312078"/>
      <w:bookmarkEnd w:id="48"/>
      <w:bookmarkStart w:id="49" w:name="_Toc184312121"/>
      <w:bookmarkEnd w:id="49"/>
      <w:bookmarkStart w:id="50" w:name="_Toc184314426"/>
      <w:bookmarkEnd w:id="50"/>
      <w:bookmarkStart w:id="51" w:name="_Toc184314419"/>
      <w:bookmarkEnd w:id="51"/>
      <w:bookmarkStart w:id="52" w:name="_Toc184314427"/>
      <w:bookmarkEnd w:id="52"/>
      <w:bookmarkStart w:id="53" w:name="_Toc184313310"/>
      <w:bookmarkEnd w:id="53"/>
      <w:bookmarkStart w:id="54" w:name="_Toc184312098"/>
      <w:bookmarkEnd w:id="54"/>
      <w:bookmarkStart w:id="55" w:name="_Toc184310323"/>
      <w:bookmarkEnd w:id="55"/>
      <w:bookmarkStart w:id="56" w:name="_Toc184314448"/>
      <w:bookmarkEnd w:id="56"/>
      <w:bookmarkStart w:id="57" w:name="_Toc184313290"/>
      <w:bookmarkEnd w:id="57"/>
      <w:bookmarkStart w:id="58" w:name="_Toc184312118"/>
      <w:bookmarkEnd w:id="58"/>
      <w:bookmarkStart w:id="59" w:name="_Toc184313293"/>
      <w:bookmarkEnd w:id="59"/>
      <w:bookmarkStart w:id="60" w:name="_Toc184310289"/>
      <w:bookmarkEnd w:id="60"/>
      <w:bookmarkStart w:id="61" w:name="_Toc184312071"/>
      <w:bookmarkEnd w:id="61"/>
      <w:bookmarkStart w:id="62" w:name="_Toc184308108"/>
      <w:bookmarkEnd w:id="62"/>
      <w:bookmarkStart w:id="63" w:name="_Toc184314455"/>
      <w:bookmarkEnd w:id="63"/>
      <w:bookmarkStart w:id="64" w:name="_Toc184314466"/>
      <w:bookmarkEnd w:id="64"/>
      <w:bookmarkStart w:id="65" w:name="_Toc184310338"/>
      <w:bookmarkEnd w:id="65"/>
      <w:bookmarkStart w:id="66" w:name="_Toc184314414"/>
      <w:bookmarkEnd w:id="66"/>
      <w:bookmarkStart w:id="67" w:name="_Toc184308103"/>
      <w:bookmarkEnd w:id="67"/>
      <w:bookmarkStart w:id="68" w:name="_Toc184308042"/>
      <w:bookmarkEnd w:id="68"/>
      <w:bookmarkStart w:id="69" w:name="_Toc184312094"/>
      <w:bookmarkEnd w:id="69"/>
      <w:bookmarkStart w:id="70" w:name="_Toc184310308"/>
      <w:bookmarkEnd w:id="70"/>
      <w:bookmarkStart w:id="71" w:name="_Toc184310280"/>
      <w:bookmarkEnd w:id="71"/>
      <w:bookmarkStart w:id="72" w:name="_Toc184310312"/>
      <w:bookmarkEnd w:id="72"/>
      <w:bookmarkStart w:id="73" w:name="_Toc184312125"/>
      <w:bookmarkEnd w:id="73"/>
      <w:bookmarkStart w:id="74" w:name="_Toc184314478"/>
      <w:bookmarkEnd w:id="74"/>
      <w:bookmarkStart w:id="75" w:name="_Toc184310276"/>
      <w:bookmarkEnd w:id="75"/>
      <w:bookmarkStart w:id="76" w:name="_Toc184314441"/>
      <w:bookmarkEnd w:id="76"/>
      <w:bookmarkStart w:id="77" w:name="_Toc184312097"/>
      <w:bookmarkEnd w:id="77"/>
      <w:bookmarkStart w:id="78" w:name="_Toc184313286"/>
      <w:bookmarkEnd w:id="78"/>
      <w:bookmarkStart w:id="79" w:name="_Toc184313271"/>
      <w:bookmarkEnd w:id="79"/>
      <w:bookmarkStart w:id="80" w:name="_Toc184312112"/>
      <w:bookmarkEnd w:id="80"/>
      <w:bookmarkStart w:id="81" w:name="_Toc184308075"/>
      <w:bookmarkEnd w:id="81"/>
      <w:bookmarkStart w:id="82" w:name="_Toc184312088"/>
      <w:bookmarkEnd w:id="82"/>
      <w:bookmarkStart w:id="83" w:name="_Toc184313279"/>
      <w:bookmarkEnd w:id="83"/>
      <w:bookmarkStart w:id="84" w:name="_Toc184308099"/>
      <w:bookmarkEnd w:id="84"/>
      <w:bookmarkStart w:id="85" w:name="_Toc184308063"/>
      <w:bookmarkEnd w:id="85"/>
      <w:bookmarkStart w:id="86" w:name="_Toc184314451"/>
      <w:bookmarkEnd w:id="86"/>
      <w:bookmarkStart w:id="87" w:name="_Toc184313264"/>
      <w:bookmarkEnd w:id="87"/>
      <w:bookmarkStart w:id="88" w:name="_Toc184314422"/>
      <w:bookmarkEnd w:id="88"/>
      <w:bookmarkStart w:id="89" w:name="_Toc184313266"/>
      <w:bookmarkEnd w:id="89"/>
      <w:bookmarkStart w:id="90" w:name="_Toc184310316"/>
      <w:bookmarkEnd w:id="90"/>
      <w:bookmarkStart w:id="91" w:name="_Toc184312090"/>
      <w:bookmarkEnd w:id="91"/>
      <w:bookmarkStart w:id="92" w:name="_Toc184314469"/>
      <w:bookmarkEnd w:id="92"/>
      <w:bookmarkStart w:id="93" w:name="_Toc184313295"/>
      <w:bookmarkEnd w:id="93"/>
      <w:bookmarkStart w:id="94" w:name="_Toc184310297"/>
      <w:bookmarkEnd w:id="94"/>
      <w:bookmarkStart w:id="95" w:name="_Toc184314428"/>
      <w:bookmarkEnd w:id="95"/>
      <w:bookmarkStart w:id="96" w:name="_Toc184314456"/>
      <w:bookmarkEnd w:id="96"/>
      <w:bookmarkStart w:id="97" w:name="_Toc184313300"/>
      <w:bookmarkEnd w:id="97"/>
      <w:bookmarkStart w:id="98" w:name="_Toc184312113"/>
      <w:bookmarkEnd w:id="98"/>
      <w:bookmarkStart w:id="99" w:name="_Toc184312122"/>
      <w:bookmarkEnd w:id="99"/>
      <w:bookmarkStart w:id="100" w:name="_Toc184313249"/>
      <w:bookmarkEnd w:id="100"/>
      <w:bookmarkStart w:id="101" w:name="_Toc184314446"/>
      <w:bookmarkEnd w:id="101"/>
      <w:bookmarkStart w:id="102" w:name="_Toc184313238"/>
      <w:bookmarkEnd w:id="102"/>
      <w:bookmarkStart w:id="103" w:name="_Toc184314457"/>
      <w:bookmarkEnd w:id="103"/>
      <w:bookmarkStart w:id="104" w:name="_Toc184312072"/>
      <w:bookmarkEnd w:id="104"/>
      <w:bookmarkStart w:id="105" w:name="_Toc184313246"/>
      <w:bookmarkEnd w:id="105"/>
      <w:bookmarkStart w:id="106" w:name="_Toc184314447"/>
      <w:bookmarkEnd w:id="106"/>
      <w:bookmarkStart w:id="107" w:name="_Toc184310277"/>
      <w:bookmarkEnd w:id="107"/>
      <w:bookmarkStart w:id="108" w:name="_Toc184313268"/>
      <w:bookmarkEnd w:id="108"/>
      <w:bookmarkStart w:id="109" w:name="_Toc184310273"/>
      <w:bookmarkEnd w:id="109"/>
      <w:bookmarkStart w:id="110" w:name="_Toc184310325"/>
      <w:bookmarkEnd w:id="110"/>
      <w:bookmarkStart w:id="111" w:name="_Toc184310322"/>
      <w:bookmarkEnd w:id="111"/>
      <w:bookmarkStart w:id="112" w:name="_Toc184314452"/>
      <w:bookmarkEnd w:id="112"/>
      <w:bookmarkStart w:id="113" w:name="_Toc184308060"/>
      <w:bookmarkEnd w:id="113"/>
      <w:bookmarkStart w:id="114" w:name="_Toc184314459"/>
      <w:bookmarkEnd w:id="114"/>
      <w:bookmarkStart w:id="115" w:name="_Toc184312077"/>
      <w:bookmarkEnd w:id="115"/>
      <w:bookmarkStart w:id="116" w:name="_Toc184310288"/>
      <w:bookmarkEnd w:id="116"/>
      <w:bookmarkStart w:id="117" w:name="_Toc184312119"/>
      <w:bookmarkEnd w:id="117"/>
      <w:bookmarkStart w:id="118" w:name="_Toc184310303"/>
      <w:bookmarkEnd w:id="118"/>
      <w:bookmarkStart w:id="119" w:name="_Toc184308101"/>
      <w:bookmarkEnd w:id="119"/>
      <w:bookmarkStart w:id="120" w:name="_Toc184314481"/>
      <w:bookmarkEnd w:id="120"/>
      <w:bookmarkStart w:id="121" w:name="_Toc184308045"/>
      <w:bookmarkEnd w:id="121"/>
      <w:bookmarkStart w:id="122" w:name="_Toc184312129"/>
      <w:bookmarkEnd w:id="122"/>
      <w:bookmarkStart w:id="123" w:name="_Toc184314443"/>
      <w:bookmarkEnd w:id="123"/>
      <w:bookmarkStart w:id="124" w:name="_Toc184310311"/>
      <w:bookmarkEnd w:id="124"/>
      <w:bookmarkStart w:id="125" w:name="_Toc184314464"/>
      <w:bookmarkEnd w:id="125"/>
      <w:bookmarkStart w:id="126" w:name="_Toc184314476"/>
      <w:bookmarkEnd w:id="126"/>
      <w:bookmarkStart w:id="127" w:name="_Toc184313262"/>
      <w:bookmarkEnd w:id="127"/>
      <w:bookmarkStart w:id="128" w:name="_Toc184313296"/>
      <w:bookmarkEnd w:id="128"/>
      <w:bookmarkStart w:id="129" w:name="_Toc184310319"/>
      <w:bookmarkEnd w:id="129"/>
      <w:bookmarkStart w:id="130" w:name="_Toc184314435"/>
      <w:bookmarkEnd w:id="130"/>
      <w:bookmarkStart w:id="131" w:name="_Toc184308073"/>
      <w:bookmarkEnd w:id="131"/>
      <w:bookmarkStart w:id="132" w:name="_Toc184312108"/>
      <w:bookmarkEnd w:id="132"/>
      <w:bookmarkStart w:id="133" w:name="_Toc184308092"/>
      <w:bookmarkEnd w:id="133"/>
      <w:bookmarkStart w:id="134" w:name="_Toc184314445"/>
      <w:bookmarkEnd w:id="134"/>
      <w:bookmarkStart w:id="135" w:name="_Toc184313283"/>
      <w:bookmarkEnd w:id="135"/>
      <w:bookmarkStart w:id="136" w:name="_Toc184312132"/>
      <w:bookmarkEnd w:id="136"/>
      <w:bookmarkStart w:id="137" w:name="_Toc184313292"/>
      <w:bookmarkEnd w:id="137"/>
      <w:bookmarkStart w:id="138" w:name="_Toc184312106"/>
      <w:bookmarkEnd w:id="138"/>
      <w:bookmarkStart w:id="139" w:name="_Toc184312133"/>
      <w:bookmarkEnd w:id="139"/>
      <w:bookmarkStart w:id="140" w:name="_Toc184314420"/>
      <w:bookmarkEnd w:id="140"/>
      <w:bookmarkStart w:id="141" w:name="_Toc184310299"/>
      <w:bookmarkEnd w:id="141"/>
      <w:bookmarkStart w:id="142" w:name="_Toc184313297"/>
      <w:bookmarkEnd w:id="142"/>
      <w:bookmarkStart w:id="143" w:name="_Toc184313245"/>
      <w:bookmarkEnd w:id="143"/>
      <w:bookmarkStart w:id="144" w:name="_Toc184312092"/>
      <w:bookmarkEnd w:id="144"/>
      <w:bookmarkStart w:id="145" w:name="_Toc184314421"/>
      <w:bookmarkEnd w:id="145"/>
      <w:bookmarkStart w:id="146" w:name="_Toc184308107"/>
      <w:bookmarkEnd w:id="146"/>
      <w:bookmarkStart w:id="147" w:name="_Toc184314424"/>
      <w:bookmarkEnd w:id="147"/>
      <w:bookmarkStart w:id="148" w:name="_Toc184312102"/>
      <w:bookmarkEnd w:id="148"/>
      <w:bookmarkStart w:id="149" w:name="_Toc184313274"/>
      <w:bookmarkEnd w:id="149"/>
      <w:bookmarkStart w:id="150" w:name="_Toc184308043"/>
      <w:bookmarkEnd w:id="150"/>
      <w:bookmarkStart w:id="151" w:name="_Toc184308084"/>
      <w:bookmarkEnd w:id="151"/>
      <w:bookmarkStart w:id="152" w:name="_Toc184308106"/>
      <w:bookmarkEnd w:id="152"/>
      <w:bookmarkStart w:id="153" w:name="_Toc184312124"/>
      <w:bookmarkEnd w:id="153"/>
      <w:bookmarkStart w:id="154" w:name="_Toc184308085"/>
      <w:bookmarkEnd w:id="154"/>
      <w:bookmarkStart w:id="155" w:name="_Toc184310284"/>
      <w:bookmarkEnd w:id="155"/>
      <w:bookmarkStart w:id="156" w:name="_Toc184312073"/>
      <w:bookmarkEnd w:id="156"/>
      <w:bookmarkStart w:id="157" w:name="_Toc184312136"/>
      <w:bookmarkEnd w:id="157"/>
      <w:bookmarkStart w:id="158" w:name="_Toc184313239"/>
      <w:bookmarkEnd w:id="158"/>
      <w:bookmarkStart w:id="159" w:name="_Toc184308097"/>
      <w:bookmarkEnd w:id="159"/>
      <w:bookmarkStart w:id="160" w:name="_Toc184314454"/>
      <w:bookmarkEnd w:id="160"/>
      <w:bookmarkStart w:id="161" w:name="_Toc184312096"/>
      <w:bookmarkEnd w:id="161"/>
      <w:bookmarkStart w:id="162" w:name="_Toc184310328"/>
      <w:bookmarkEnd w:id="162"/>
      <w:bookmarkStart w:id="163" w:name="_Toc184312107"/>
      <w:bookmarkEnd w:id="163"/>
      <w:bookmarkStart w:id="164" w:name="_Toc184314482"/>
      <w:bookmarkEnd w:id="164"/>
      <w:bookmarkStart w:id="165" w:name="_Toc184313302"/>
      <w:bookmarkEnd w:id="165"/>
      <w:bookmarkStart w:id="166" w:name="_Toc184314438"/>
      <w:bookmarkEnd w:id="166"/>
      <w:bookmarkStart w:id="167" w:name="_Toc184308046"/>
      <w:bookmarkEnd w:id="167"/>
      <w:bookmarkStart w:id="168" w:name="_Toc184314412"/>
      <w:bookmarkEnd w:id="168"/>
      <w:bookmarkStart w:id="169" w:name="_Toc184313242"/>
      <w:bookmarkEnd w:id="169"/>
      <w:bookmarkStart w:id="170" w:name="_Toc184310326"/>
      <w:bookmarkEnd w:id="170"/>
      <w:bookmarkStart w:id="171" w:name="_Toc184312116"/>
      <w:bookmarkEnd w:id="171"/>
      <w:bookmarkStart w:id="172" w:name="_Toc184308081"/>
      <w:bookmarkEnd w:id="172"/>
      <w:bookmarkStart w:id="173" w:name="_Toc184308062"/>
      <w:bookmarkEnd w:id="173"/>
      <w:bookmarkStart w:id="174" w:name="_Toc184310274"/>
      <w:bookmarkEnd w:id="174"/>
      <w:bookmarkStart w:id="175" w:name="_Toc184312138"/>
      <w:bookmarkEnd w:id="175"/>
      <w:bookmarkStart w:id="176" w:name="_Toc184313307"/>
      <w:bookmarkEnd w:id="176"/>
      <w:bookmarkStart w:id="177" w:name="_Toc184310318"/>
      <w:bookmarkEnd w:id="177"/>
      <w:bookmarkStart w:id="178" w:name="_Toc184310294"/>
      <w:bookmarkEnd w:id="178"/>
      <w:bookmarkStart w:id="179" w:name="_Toc184308065"/>
      <w:bookmarkEnd w:id="179"/>
      <w:bookmarkStart w:id="180" w:name="_Toc184314434"/>
      <w:bookmarkEnd w:id="180"/>
      <w:bookmarkStart w:id="181" w:name="_Toc184308074"/>
      <w:bookmarkEnd w:id="181"/>
      <w:bookmarkStart w:id="182" w:name="_Toc184308053"/>
      <w:bookmarkEnd w:id="182"/>
      <w:bookmarkStart w:id="183" w:name="_Toc184314436"/>
      <w:bookmarkEnd w:id="183"/>
      <w:bookmarkStart w:id="184" w:name="_Toc184308037"/>
      <w:bookmarkEnd w:id="184"/>
      <w:bookmarkStart w:id="185" w:name="_Toc184312099"/>
      <w:bookmarkEnd w:id="185"/>
      <w:bookmarkStart w:id="186" w:name="_Toc184314470"/>
      <w:bookmarkEnd w:id="186"/>
      <w:bookmarkStart w:id="187" w:name="_Toc184308054"/>
      <w:bookmarkEnd w:id="187"/>
      <w:bookmarkStart w:id="188" w:name="_Toc184313277"/>
      <w:bookmarkEnd w:id="188"/>
      <w:bookmarkStart w:id="189" w:name="_Toc184312079"/>
      <w:bookmarkEnd w:id="189"/>
      <w:bookmarkStart w:id="190" w:name="_Toc184312135"/>
      <w:bookmarkEnd w:id="190"/>
      <w:bookmarkStart w:id="191" w:name="_Toc184308070"/>
      <w:bookmarkEnd w:id="191"/>
      <w:bookmarkStart w:id="192" w:name="_Toc184313240"/>
      <w:bookmarkEnd w:id="192"/>
      <w:bookmarkStart w:id="193" w:name="_Toc184314453"/>
      <w:bookmarkEnd w:id="193"/>
      <w:bookmarkStart w:id="194" w:name="_Toc184313275"/>
      <w:bookmarkEnd w:id="194"/>
      <w:bookmarkStart w:id="195" w:name="_Toc184314433"/>
      <w:bookmarkEnd w:id="195"/>
      <w:bookmarkStart w:id="196" w:name="_Toc184313259"/>
      <w:bookmarkEnd w:id="196"/>
      <w:bookmarkStart w:id="197" w:name="_Toc184308061"/>
      <w:bookmarkEnd w:id="197"/>
      <w:bookmarkStart w:id="198" w:name="_Toc184312104"/>
      <w:bookmarkEnd w:id="198"/>
      <w:bookmarkStart w:id="199" w:name="_Toc184312130"/>
      <w:bookmarkEnd w:id="199"/>
      <w:bookmarkStart w:id="200" w:name="_Toc184312100"/>
      <w:bookmarkEnd w:id="200"/>
      <w:bookmarkStart w:id="201" w:name="_Toc184314442"/>
      <w:bookmarkEnd w:id="201"/>
      <w:bookmarkStart w:id="202" w:name="_Toc184308096"/>
      <w:bookmarkEnd w:id="202"/>
      <w:bookmarkStart w:id="203" w:name="_Toc184314416"/>
      <w:bookmarkEnd w:id="203"/>
      <w:bookmarkStart w:id="204" w:name="_Toc184308094"/>
      <w:bookmarkEnd w:id="204"/>
      <w:bookmarkStart w:id="205" w:name="_Toc184308087"/>
      <w:bookmarkEnd w:id="205"/>
      <w:bookmarkStart w:id="206" w:name="_Toc184312103"/>
      <w:bookmarkEnd w:id="206"/>
      <w:bookmarkStart w:id="207" w:name="_Toc184308077"/>
      <w:bookmarkEnd w:id="207"/>
      <w:bookmarkStart w:id="208" w:name="_Toc184310279"/>
      <w:bookmarkEnd w:id="208"/>
      <w:bookmarkStart w:id="209" w:name="_Toc184313269"/>
      <w:bookmarkEnd w:id="209"/>
      <w:bookmarkStart w:id="210" w:name="_Toc184312123"/>
      <w:bookmarkEnd w:id="210"/>
      <w:bookmarkStart w:id="211" w:name="_Toc184313304"/>
      <w:bookmarkEnd w:id="211"/>
      <w:bookmarkStart w:id="212" w:name="_Toc184312105"/>
      <w:bookmarkEnd w:id="212"/>
      <w:bookmarkStart w:id="213" w:name="_Toc184313248"/>
      <w:bookmarkEnd w:id="213"/>
      <w:bookmarkStart w:id="214" w:name="_Toc184313270"/>
      <w:bookmarkEnd w:id="214"/>
      <w:bookmarkStart w:id="215" w:name="_Toc184313294"/>
      <w:bookmarkEnd w:id="215"/>
      <w:bookmarkStart w:id="216" w:name="_Toc184314465"/>
      <w:bookmarkEnd w:id="216"/>
      <w:bookmarkStart w:id="217" w:name="_Toc184313309"/>
      <w:bookmarkEnd w:id="217"/>
      <w:bookmarkStart w:id="218" w:name="_Toc184310283"/>
      <w:bookmarkEnd w:id="218"/>
      <w:bookmarkStart w:id="219" w:name="_Toc184314440"/>
      <w:bookmarkEnd w:id="219"/>
      <w:bookmarkStart w:id="220" w:name="_Toc184312109"/>
      <w:bookmarkEnd w:id="220"/>
      <w:bookmarkStart w:id="221" w:name="_Toc184310304"/>
      <w:bookmarkEnd w:id="221"/>
      <w:bookmarkStart w:id="222" w:name="_Toc184314432"/>
      <w:bookmarkEnd w:id="222"/>
      <w:bookmarkStart w:id="223" w:name="_Toc184312086"/>
      <w:bookmarkEnd w:id="223"/>
      <w:bookmarkStart w:id="224" w:name="_Toc184308104"/>
      <w:bookmarkEnd w:id="224"/>
      <w:bookmarkStart w:id="225" w:name="_Toc184308100"/>
      <w:bookmarkEnd w:id="225"/>
      <w:bookmarkStart w:id="226" w:name="_Toc184312093"/>
      <w:bookmarkEnd w:id="226"/>
      <w:bookmarkStart w:id="227" w:name="_Toc184308064"/>
      <w:bookmarkEnd w:id="227"/>
      <w:bookmarkStart w:id="228" w:name="_Toc184308069"/>
      <w:bookmarkEnd w:id="228"/>
      <w:bookmarkStart w:id="229" w:name="_Toc184313254"/>
      <w:bookmarkEnd w:id="229"/>
      <w:bookmarkStart w:id="230" w:name="_Toc184308041"/>
      <w:bookmarkEnd w:id="230"/>
      <w:bookmarkStart w:id="231" w:name="_Toc184310296"/>
      <w:bookmarkEnd w:id="231"/>
      <w:bookmarkStart w:id="232" w:name="_Toc184314411"/>
      <w:bookmarkEnd w:id="232"/>
      <w:bookmarkStart w:id="233" w:name="_Toc184312091"/>
      <w:bookmarkEnd w:id="233"/>
      <w:bookmarkStart w:id="234" w:name="_Toc184313241"/>
      <w:bookmarkEnd w:id="234"/>
      <w:bookmarkStart w:id="235" w:name="_Toc184310286"/>
      <w:bookmarkEnd w:id="235"/>
      <w:bookmarkStart w:id="236" w:name="_Toc184313299"/>
      <w:bookmarkEnd w:id="236"/>
      <w:bookmarkStart w:id="237" w:name="_Toc184313272"/>
      <w:bookmarkEnd w:id="237"/>
      <w:bookmarkStart w:id="238" w:name="_Toc184313306"/>
      <w:bookmarkEnd w:id="238"/>
      <w:bookmarkStart w:id="239" w:name="_Toc184310314"/>
      <w:bookmarkEnd w:id="239"/>
      <w:bookmarkStart w:id="240" w:name="_Toc184310293"/>
      <w:bookmarkEnd w:id="240"/>
      <w:bookmarkStart w:id="241" w:name="_Toc184314437"/>
      <w:bookmarkEnd w:id="241"/>
      <w:bookmarkStart w:id="242" w:name="_Toc184308072"/>
      <w:bookmarkEnd w:id="242"/>
      <w:bookmarkStart w:id="243" w:name="_Toc184314477"/>
      <w:bookmarkEnd w:id="243"/>
      <w:bookmarkStart w:id="244" w:name="_Toc184313308"/>
      <w:bookmarkEnd w:id="244"/>
      <w:bookmarkStart w:id="245" w:name="_Toc184310287"/>
      <w:bookmarkEnd w:id="245"/>
      <w:bookmarkStart w:id="246" w:name="_Toc184312080"/>
      <w:bookmarkEnd w:id="246"/>
      <w:bookmarkStart w:id="247" w:name="_Toc184310306"/>
      <w:bookmarkEnd w:id="247"/>
      <w:bookmarkStart w:id="248" w:name="_Toc184313301"/>
      <w:bookmarkEnd w:id="248"/>
      <w:bookmarkStart w:id="249" w:name="_Toc184308089"/>
      <w:bookmarkEnd w:id="249"/>
      <w:bookmarkStart w:id="250" w:name="_Toc184312127"/>
      <w:bookmarkEnd w:id="250"/>
      <w:bookmarkStart w:id="251" w:name="_Toc184314423"/>
      <w:bookmarkEnd w:id="251"/>
      <w:bookmarkStart w:id="252" w:name="_Toc184308049"/>
      <w:bookmarkEnd w:id="252"/>
      <w:bookmarkStart w:id="253" w:name="_Toc184308090"/>
      <w:bookmarkEnd w:id="253"/>
      <w:bookmarkStart w:id="254" w:name="_Toc184314472"/>
      <w:bookmarkEnd w:id="254"/>
      <w:bookmarkStart w:id="255" w:name="_Toc184310343"/>
      <w:bookmarkEnd w:id="255"/>
      <w:bookmarkStart w:id="256" w:name="_Toc184310341"/>
      <w:bookmarkEnd w:id="256"/>
      <w:bookmarkStart w:id="257" w:name="_Toc184310333"/>
      <w:bookmarkEnd w:id="257"/>
      <w:bookmarkStart w:id="258" w:name="_Toc184310281"/>
      <w:bookmarkEnd w:id="258"/>
      <w:bookmarkStart w:id="259" w:name="_Toc184310321"/>
      <w:bookmarkEnd w:id="259"/>
      <w:bookmarkStart w:id="260" w:name="_Toc184314430"/>
      <w:bookmarkEnd w:id="260"/>
      <w:bookmarkStart w:id="261" w:name="_Toc184312083"/>
      <w:bookmarkEnd w:id="261"/>
      <w:bookmarkStart w:id="262" w:name="_Toc184308039"/>
      <w:bookmarkEnd w:id="262"/>
      <w:bookmarkStart w:id="263" w:name="_Toc184313260"/>
      <w:bookmarkEnd w:id="263"/>
      <w:bookmarkStart w:id="264" w:name="_Toc184308067"/>
      <w:bookmarkEnd w:id="264"/>
      <w:bookmarkStart w:id="265" w:name="_Toc184313250"/>
      <w:bookmarkEnd w:id="265"/>
      <w:bookmarkStart w:id="266" w:name="_Toc184313257"/>
      <w:bookmarkEnd w:id="266"/>
      <w:bookmarkStart w:id="267" w:name="_Toc184310295"/>
      <w:bookmarkEnd w:id="267"/>
      <w:bookmarkStart w:id="268" w:name="_Toc184312139"/>
      <w:bookmarkEnd w:id="268"/>
      <w:bookmarkStart w:id="269" w:name="_Toc184314418"/>
      <w:bookmarkEnd w:id="269"/>
      <w:bookmarkStart w:id="270" w:name="_Toc184312084"/>
      <w:bookmarkEnd w:id="270"/>
      <w:bookmarkStart w:id="271" w:name="_Toc184314413"/>
      <w:bookmarkEnd w:id="271"/>
      <w:bookmarkStart w:id="272" w:name="_Toc184313303"/>
      <w:bookmarkEnd w:id="272"/>
      <w:bookmarkStart w:id="273" w:name="_Toc184314479"/>
      <w:bookmarkEnd w:id="273"/>
      <w:bookmarkStart w:id="274" w:name="_Toc184310275"/>
      <w:bookmarkEnd w:id="274"/>
      <w:bookmarkStart w:id="275" w:name="_Toc184312128"/>
      <w:bookmarkEnd w:id="275"/>
      <w:bookmarkStart w:id="276" w:name="_Toc184308076"/>
      <w:bookmarkEnd w:id="276"/>
      <w:bookmarkStart w:id="277" w:name="_Toc184308071"/>
      <w:bookmarkEnd w:id="277"/>
      <w:bookmarkStart w:id="278" w:name="_Toc184310302"/>
      <w:bookmarkEnd w:id="278"/>
      <w:bookmarkStart w:id="279" w:name="_Toc184312111"/>
      <w:bookmarkEnd w:id="279"/>
      <w:bookmarkStart w:id="280" w:name="_Toc184310307"/>
      <w:bookmarkEnd w:id="280"/>
      <w:bookmarkStart w:id="281" w:name="_Toc184308079"/>
      <w:bookmarkEnd w:id="281"/>
      <w:bookmarkStart w:id="282" w:name="_Toc184313244"/>
      <w:bookmarkEnd w:id="282"/>
      <w:bookmarkStart w:id="283" w:name="_Toc184312087"/>
      <w:bookmarkEnd w:id="283"/>
      <w:bookmarkStart w:id="284" w:name="_Toc184308105"/>
      <w:bookmarkEnd w:id="284"/>
      <w:bookmarkStart w:id="285" w:name="_Toc184313285"/>
      <w:bookmarkEnd w:id="285"/>
      <w:bookmarkStart w:id="286" w:name="_Toc184308058"/>
      <w:bookmarkEnd w:id="286"/>
      <w:bookmarkStart w:id="287" w:name="_Toc184308095"/>
      <w:bookmarkEnd w:id="287"/>
      <w:bookmarkStart w:id="288" w:name="_Toc184310313"/>
      <w:bookmarkEnd w:id="288"/>
      <w:bookmarkStart w:id="289" w:name="_Toc184314444"/>
      <w:bookmarkEnd w:id="289"/>
      <w:bookmarkStart w:id="290" w:name="_Toc184308038"/>
      <w:bookmarkEnd w:id="290"/>
      <w:bookmarkStart w:id="291" w:name="_Toc184308036"/>
      <w:bookmarkEnd w:id="291"/>
      <w:bookmarkStart w:id="292" w:name="_Toc184310298"/>
      <w:bookmarkEnd w:id="292"/>
      <w:bookmarkStart w:id="293" w:name="_Toc184313256"/>
      <w:bookmarkEnd w:id="293"/>
      <w:bookmarkStart w:id="294" w:name="_Toc184310337"/>
      <w:bookmarkEnd w:id="294"/>
      <w:bookmarkStart w:id="295" w:name="_Toc184310309"/>
      <w:bookmarkEnd w:id="295"/>
      <w:bookmarkStart w:id="296" w:name="_Toc184314475"/>
      <w:bookmarkEnd w:id="296"/>
      <w:bookmarkStart w:id="297" w:name="_Toc184312074"/>
      <w:bookmarkEnd w:id="297"/>
      <w:bookmarkStart w:id="298" w:name="_Toc184314468"/>
      <w:bookmarkEnd w:id="298"/>
      <w:bookmarkStart w:id="299" w:name="_Toc184312120"/>
      <w:bookmarkEnd w:id="299"/>
      <w:bookmarkStart w:id="300" w:name="_Toc184314462"/>
      <w:bookmarkEnd w:id="300"/>
      <w:bookmarkStart w:id="301" w:name="_Toc184314461"/>
      <w:bookmarkEnd w:id="301"/>
      <w:bookmarkStart w:id="302" w:name="_Toc184312110"/>
      <w:bookmarkEnd w:id="302"/>
      <w:bookmarkStart w:id="303" w:name="_Toc184313261"/>
      <w:bookmarkEnd w:id="303"/>
      <w:bookmarkStart w:id="304" w:name="_Toc184310339"/>
      <w:bookmarkEnd w:id="304"/>
      <w:bookmarkStart w:id="305" w:name="_Toc184312089"/>
      <w:bookmarkEnd w:id="305"/>
      <w:bookmarkStart w:id="306" w:name="_Toc184310282"/>
      <w:bookmarkEnd w:id="306"/>
      <w:bookmarkStart w:id="307" w:name="_Toc184308055"/>
      <w:bookmarkEnd w:id="307"/>
      <w:bookmarkStart w:id="308" w:name="_Toc184308088"/>
      <w:bookmarkEnd w:id="308"/>
      <w:bookmarkStart w:id="309" w:name="_Toc184312114"/>
      <w:bookmarkEnd w:id="309"/>
      <w:bookmarkStart w:id="310" w:name="_Toc184310291"/>
      <w:bookmarkEnd w:id="310"/>
      <w:bookmarkStart w:id="311" w:name="_Toc184313253"/>
      <w:bookmarkEnd w:id="311"/>
      <w:bookmarkStart w:id="312" w:name="_Toc184313255"/>
      <w:bookmarkEnd w:id="312"/>
      <w:bookmarkStart w:id="313" w:name="_Toc184308093"/>
      <w:bookmarkEnd w:id="313"/>
      <w:bookmarkStart w:id="314" w:name="_Toc184310332"/>
      <w:bookmarkEnd w:id="314"/>
      <w:bookmarkStart w:id="315" w:name="_Toc184313305"/>
      <w:bookmarkEnd w:id="315"/>
      <w:bookmarkStart w:id="316" w:name="_Toc184308102"/>
      <w:bookmarkEnd w:id="316"/>
      <w:bookmarkStart w:id="317" w:name="_Toc184314471"/>
      <w:bookmarkEnd w:id="317"/>
      <w:bookmarkStart w:id="318" w:name="_Toc184312082"/>
      <w:bookmarkEnd w:id="318"/>
      <w:bookmarkStart w:id="319" w:name="_Toc184314480"/>
      <w:bookmarkEnd w:id="319"/>
      <w:bookmarkStart w:id="320" w:name="_Toc184310305"/>
      <w:bookmarkEnd w:id="320"/>
      <w:bookmarkStart w:id="321" w:name="_Toc184310342"/>
      <w:bookmarkEnd w:id="321"/>
      <w:bookmarkStart w:id="322" w:name="_Toc184314425"/>
      <w:bookmarkEnd w:id="322"/>
      <w:bookmarkStart w:id="323" w:name="_Toc184314460"/>
      <w:bookmarkEnd w:id="323"/>
      <w:bookmarkStart w:id="324" w:name="_Toc184314467"/>
      <w:bookmarkEnd w:id="324"/>
      <w:bookmarkStart w:id="325" w:name="_Toc184314417"/>
      <w:bookmarkEnd w:id="325"/>
      <w:bookmarkStart w:id="326" w:name="_Toc184308057"/>
      <w:bookmarkEnd w:id="326"/>
      <w:bookmarkStart w:id="327" w:name="_Toc184312075"/>
      <w:bookmarkEnd w:id="327"/>
      <w:bookmarkStart w:id="328" w:name="_Toc184314439"/>
      <w:bookmarkEnd w:id="328"/>
      <w:bookmarkStart w:id="329" w:name="_Toc184313291"/>
      <w:bookmarkEnd w:id="329"/>
      <w:bookmarkStart w:id="330" w:name="_Toc184310340"/>
      <w:bookmarkEnd w:id="330"/>
      <w:bookmarkStart w:id="331" w:name="_Toc184312134"/>
      <w:bookmarkEnd w:id="331"/>
      <w:bookmarkStart w:id="332" w:name="_Toc184312076"/>
      <w:bookmarkEnd w:id="332"/>
      <w:bookmarkStart w:id="333" w:name="_Toc184312067"/>
      <w:bookmarkEnd w:id="333"/>
      <w:bookmarkStart w:id="334" w:name="_Toc184314463"/>
      <w:bookmarkEnd w:id="334"/>
      <w:bookmarkStart w:id="335" w:name="_Toc184313282"/>
      <w:bookmarkEnd w:id="335"/>
      <w:bookmarkStart w:id="336" w:name="_Toc184313263"/>
      <w:bookmarkEnd w:id="336"/>
      <w:bookmarkStart w:id="337" w:name="_Toc184312101"/>
      <w:bookmarkEnd w:id="337"/>
      <w:bookmarkStart w:id="338" w:name="_Toc184310330"/>
      <w:bookmarkEnd w:id="338"/>
      <w:bookmarkStart w:id="339" w:name="_Toc184310331"/>
      <w:bookmarkEnd w:id="339"/>
      <w:bookmarkStart w:id="340" w:name="_Toc184313284"/>
      <w:bookmarkEnd w:id="340"/>
      <w:bookmarkStart w:id="341" w:name="_Toc184310329"/>
      <w:bookmarkEnd w:id="341"/>
      <w:bookmarkStart w:id="342" w:name="_Toc184314431"/>
      <w:bookmarkEnd w:id="342"/>
      <w:bookmarkStart w:id="343" w:name="_Toc184314449"/>
      <w:bookmarkEnd w:id="343"/>
      <w:bookmarkStart w:id="344" w:name="_Toc184308051"/>
      <w:bookmarkEnd w:id="344"/>
      <w:bookmarkStart w:id="345" w:name="_Toc184310335"/>
      <w:bookmarkEnd w:id="345"/>
      <w:bookmarkStart w:id="346" w:name="_Toc184312068"/>
      <w:bookmarkEnd w:id="346"/>
      <w:bookmarkStart w:id="347" w:name="_Toc184314473"/>
      <w:bookmarkEnd w:id="347"/>
      <w:bookmarkStart w:id="348" w:name="_Toc184308080"/>
      <w:bookmarkEnd w:id="348"/>
      <w:bookmarkStart w:id="349" w:name="_Toc184313273"/>
      <w:bookmarkEnd w:id="349"/>
      <w:bookmarkStart w:id="350" w:name="_Toc184308066"/>
      <w:bookmarkEnd w:id="350"/>
      <w:bookmarkStart w:id="351" w:name="_Toc184313287"/>
      <w:bookmarkEnd w:id="351"/>
      <w:bookmarkStart w:id="352" w:name="_Toc184313258"/>
      <w:bookmarkEnd w:id="352"/>
      <w:bookmarkStart w:id="353" w:name="_Toc184310320"/>
      <w:bookmarkEnd w:id="353"/>
      <w:bookmarkStart w:id="354" w:name="_Toc184308068"/>
      <w:bookmarkEnd w:id="354"/>
      <w:bookmarkStart w:id="355" w:name="_Toc184310317"/>
      <w:bookmarkEnd w:id="355"/>
      <w:bookmarkStart w:id="356" w:name="_Toc184312081"/>
      <w:bookmarkEnd w:id="356"/>
      <w:bookmarkStart w:id="357" w:name="_Toc184308086"/>
      <w:bookmarkEnd w:id="357"/>
      <w:bookmarkStart w:id="358" w:name="_Toc184313298"/>
      <w:bookmarkEnd w:id="358"/>
      <w:bookmarkStart w:id="359" w:name="_Toc184312115"/>
      <w:bookmarkEnd w:id="359"/>
      <w:bookmarkStart w:id="360" w:name="_Toc184310324"/>
      <w:bookmarkEnd w:id="360"/>
      <w:bookmarkStart w:id="361" w:name="_Toc184312070"/>
      <w:bookmarkEnd w:id="361"/>
      <w:bookmarkStart w:id="362" w:name="_Toc184308091"/>
      <w:bookmarkEnd w:id="362"/>
      <w:bookmarkStart w:id="363" w:name="_Toc184314429"/>
      <w:bookmarkEnd w:id="363"/>
      <w:bookmarkStart w:id="364" w:name="_Toc184310327"/>
      <w:bookmarkEnd w:id="364"/>
      <w:bookmarkStart w:id="365" w:name="_Toc184312069"/>
      <w:bookmarkEnd w:id="365"/>
      <w:bookmarkStart w:id="366" w:name="_Toc184313247"/>
      <w:bookmarkEnd w:id="366"/>
      <w:bookmarkStart w:id="367" w:name="_Toc184313251"/>
      <w:bookmarkEnd w:id="367"/>
      <w:bookmarkStart w:id="368" w:name="_Toc184308098"/>
      <w:bookmarkEnd w:id="368"/>
      <w:bookmarkStart w:id="369" w:name="_Toc184308050"/>
      <w:bookmarkEnd w:id="369"/>
      <w:bookmarkStart w:id="370" w:name="_Toc184308056"/>
      <w:bookmarkEnd w:id="370"/>
      <w:bookmarkStart w:id="371" w:name="_Toc184310336"/>
      <w:bookmarkEnd w:id="371"/>
      <w:bookmarkStart w:id="372" w:name="_Toc184308082"/>
      <w:bookmarkEnd w:id="372"/>
      <w:bookmarkStart w:id="373" w:name="_Toc184308040"/>
      <w:bookmarkEnd w:id="373"/>
      <w:bookmarkStart w:id="374" w:name="_Toc184310310"/>
      <w:bookmarkEnd w:id="374"/>
      <w:bookmarkStart w:id="375" w:name="_Toc184310278"/>
      <w:bookmarkEnd w:id="375"/>
      <w:bookmarkStart w:id="376" w:name="_Toc184312126"/>
      <w:bookmarkEnd w:id="376"/>
      <w:bookmarkStart w:id="377" w:name="_Toc184310344"/>
      <w:bookmarkEnd w:id="377"/>
      <w:bookmarkStart w:id="378" w:name="_Toc184312085"/>
      <w:bookmarkEnd w:id="378"/>
      <w:bookmarkStart w:id="379" w:name="_Toc184310292"/>
      <w:bookmarkEnd w:id="379"/>
      <w:bookmarkStart w:id="380" w:name="_Toc184313276"/>
      <w:bookmarkEnd w:id="380"/>
      <w:bookmarkStart w:id="381" w:name="_Toc184313288"/>
      <w:bookmarkEnd w:id="381"/>
      <w:bookmarkStart w:id="382" w:name="_Toc184310301"/>
      <w:bookmarkEnd w:id="382"/>
      <w:bookmarkStart w:id="383" w:name="_Toc184308044"/>
      <w:bookmarkEnd w:id="383"/>
      <w:bookmarkStart w:id="384" w:name="_Toc184312137"/>
      <w:bookmarkEnd w:id="384"/>
      <w:bookmarkStart w:id="385" w:name="_Toc184313252"/>
      <w:bookmarkEnd w:id="385"/>
      <w:bookmarkStart w:id="386" w:name="_Toc184313280"/>
      <w:bookmarkEnd w:id="386"/>
      <w:bookmarkStart w:id="387" w:name="_Toc184314458"/>
      <w:bookmarkEnd w:id="387"/>
      <w:bookmarkStart w:id="388" w:name="_Toc184314410"/>
      <w:bookmarkEnd w:id="388"/>
      <w:bookmarkStart w:id="389" w:name="_Toc184313278"/>
      <w:bookmarkEnd w:id="389"/>
      <w:bookmarkStart w:id="390" w:name="_Toc184308083"/>
      <w:bookmarkEnd w:id="390"/>
      <w:bookmarkStart w:id="391" w:name="_Toc184314450"/>
      <w:bookmarkEnd w:id="391"/>
      <w:bookmarkStart w:id="392" w:name="_Toc184310285"/>
      <w:bookmarkEnd w:id="392"/>
      <w:bookmarkStart w:id="393" w:name="_Toc184310300"/>
      <w:bookmarkEnd w:id="393"/>
      <w:bookmarkStart w:id="394" w:name="_Toc184313289"/>
      <w:bookmarkEnd w:id="394"/>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20"/>
          <w:highlight w:val="none"/>
        </w:rPr>
        <w:t>评标办法前附表</w:t>
      </w:r>
    </w:p>
    <w:tbl>
      <w:tblPr>
        <w:tblStyle w:val="6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40"/>
        <w:gridCol w:w="705"/>
        <w:gridCol w:w="1"/>
        <w:gridCol w:w="489"/>
        <w:gridCol w:w="5518"/>
        <w:gridCol w:w="759"/>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253" w:type="dxa"/>
            <w:gridSpan w:val="5"/>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759"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94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商务资信分</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投标人自2021年1月以来具有相同类型医院标本检测服务业绩的，每个业绩得0.5分，最高得2分。（证明材料以投标文件中所附检测合同复印件为评审依据。未按要求附证明材料或证明材料不完整的不得分）</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投标人实验室通过检验检测机构资质认定的得3分。</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根据投标人提供的2023年国家卫生健康委临床检验中心室间质评证书复印件情况得分，提供55份及以上得8分，45-54份得4分，45份及以下得2分，不提供不得分。</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投标人实验室通过ISO 15189认可开展项目数＞170项得8分、170≥认可开展项目数＞150项得7分、150≥认可开展项目数＞130项得6分、130（含）或以下得2分；提供浙江省外的实验室项目认可资料的本项目得1分；未通过或近3年违反CNAS相关规定，有暂停认证情况的，本项目不得分。</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有效的质量管理体系认证证书、环境管理认证证书、职业健康安全管理认证证书，每个得1分，最高得3分。（投标文件中提供证书复印件及全国认证认可信息公共服务平台网站（http://www.cnca.gov.cn/）查询页面截图，证书需在有效期内，认证范围均须包含医学检验等服务，不提供不得分。）</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投标人获得PCR实验室资质得1分。（投标文件中提供资质证书，不提供的不得分。）</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投标人实验室列入省级“临床检验结果互认的医疗机构”名单的得3分。</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1"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w:t>
            </w:r>
            <w:r>
              <w:rPr>
                <w:rFonts w:hint="eastAsia" w:ascii="仿宋" w:hAnsi="仿宋" w:eastAsia="仿宋" w:cs="仿宋"/>
                <w:color w:val="auto"/>
                <w:sz w:val="24"/>
                <w:szCs w:val="24"/>
                <w:highlight w:val="none"/>
              </w:rPr>
              <w:t>术</w:t>
            </w:r>
            <w:r>
              <w:rPr>
                <w:rFonts w:hint="eastAsia" w:ascii="仿宋" w:hAnsi="仿宋" w:eastAsia="仿宋" w:cs="仿宋"/>
                <w:color w:val="auto"/>
                <w:sz w:val="24"/>
                <w:szCs w:val="24"/>
                <w:highlight w:val="none"/>
                <w:lang w:val="en-US" w:eastAsia="zh-CN"/>
              </w:rPr>
              <w:t>与服务</w:t>
            </w:r>
            <w:r>
              <w:rPr>
                <w:rFonts w:hint="eastAsia" w:ascii="仿宋" w:hAnsi="仿宋" w:eastAsia="仿宋" w:cs="仿宋"/>
                <w:color w:val="auto"/>
                <w:sz w:val="24"/>
                <w:szCs w:val="24"/>
                <w:highlight w:val="none"/>
              </w:rPr>
              <w:t>分</w:t>
            </w:r>
          </w:p>
        </w:tc>
        <w:tc>
          <w:tcPr>
            <w:tcW w:w="54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6713" w:type="dxa"/>
            <w:gridSpan w:val="4"/>
            <w:tcBorders>
              <w:top w:val="single" w:color="auto" w:sz="4" w:space="0"/>
              <w:left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投标方案中提供</w:t>
            </w:r>
            <w:r>
              <w:rPr>
                <w:rFonts w:hint="eastAsia" w:ascii="仿宋" w:hAnsi="仿宋" w:eastAsia="仿宋" w:cs="仿宋"/>
                <w:color w:val="auto"/>
                <w:kern w:val="0"/>
                <w:sz w:val="24"/>
                <w:szCs w:val="24"/>
                <w:highlight w:val="none"/>
                <w:lang w:eastAsia="zh-CN"/>
              </w:rPr>
              <w:t>为本项目服务实验室所</w:t>
            </w:r>
            <w:r>
              <w:rPr>
                <w:rFonts w:hint="eastAsia" w:ascii="仿宋" w:hAnsi="仿宋" w:eastAsia="仿宋" w:cs="仿宋"/>
                <w:color w:val="auto"/>
                <w:kern w:val="0"/>
                <w:sz w:val="24"/>
                <w:szCs w:val="24"/>
                <w:highlight w:val="none"/>
              </w:rPr>
              <w:t>使用</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rPr>
              <w:t>主要设备</w:t>
            </w:r>
            <w:r>
              <w:rPr>
                <w:rFonts w:hint="eastAsia" w:ascii="仿宋" w:hAnsi="仿宋" w:eastAsia="仿宋" w:cs="仿宋"/>
                <w:color w:val="auto"/>
                <w:kern w:val="0"/>
                <w:sz w:val="24"/>
                <w:szCs w:val="24"/>
                <w:highlight w:val="none"/>
                <w:lang w:eastAsia="zh-CN"/>
              </w:rPr>
              <w:t>，对其进行评议。</w:t>
            </w:r>
            <w:r>
              <w:rPr>
                <w:rFonts w:hint="eastAsia" w:ascii="仿宋" w:hAnsi="仿宋" w:eastAsia="仿宋" w:cs="仿宋"/>
                <w:color w:val="auto"/>
                <w:kern w:val="0"/>
                <w:sz w:val="24"/>
                <w:szCs w:val="24"/>
                <w:highlight w:val="none"/>
              </w:rPr>
              <w:t>注：提供检测仪器设备</w:t>
            </w:r>
            <w:r>
              <w:rPr>
                <w:rFonts w:hint="eastAsia" w:ascii="仿宋" w:hAnsi="仿宋" w:eastAsia="仿宋" w:cs="仿宋"/>
                <w:color w:val="auto"/>
                <w:kern w:val="0"/>
                <w:sz w:val="24"/>
                <w:szCs w:val="24"/>
                <w:highlight w:val="none"/>
                <w:lang w:eastAsia="zh-CN"/>
              </w:rPr>
              <w:t>品牌、型号、数量、性能参数</w:t>
            </w:r>
            <w:r>
              <w:rPr>
                <w:rFonts w:hint="eastAsia" w:ascii="仿宋" w:hAnsi="仿宋" w:eastAsia="仿宋" w:cs="仿宋"/>
                <w:color w:val="auto"/>
                <w:kern w:val="0"/>
                <w:sz w:val="24"/>
                <w:szCs w:val="24"/>
                <w:highlight w:val="none"/>
              </w:rPr>
              <w:t>等资料。</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705"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项目方案</w:t>
            </w:r>
          </w:p>
        </w:tc>
        <w:tc>
          <w:tcPr>
            <w:tcW w:w="600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服务内容、具体实施方案</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lang w:val="en-US" w:eastAsia="zh-CN"/>
              </w:rPr>
              <w:t>评定。</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p>
        </w:tc>
        <w:tc>
          <w:tcPr>
            <w:tcW w:w="705" w:type="dxa"/>
            <w:vMerge w:val="continue"/>
            <w:tcBorders>
              <w:left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p>
        </w:tc>
        <w:tc>
          <w:tcPr>
            <w:tcW w:w="600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日常管理措施</w:t>
            </w:r>
            <w:r>
              <w:rPr>
                <w:rFonts w:hint="eastAsia" w:ascii="仿宋" w:hAnsi="仿宋" w:eastAsia="仿宋" w:cs="仿宋"/>
                <w:color w:val="auto"/>
                <w:kern w:val="0"/>
                <w:sz w:val="24"/>
                <w:szCs w:val="24"/>
                <w:highlight w:val="none"/>
                <w:lang w:eastAsia="zh-CN"/>
              </w:rPr>
              <w:t>、过程控制综合</w:t>
            </w:r>
            <w:r>
              <w:rPr>
                <w:rFonts w:hint="eastAsia" w:ascii="仿宋" w:hAnsi="仿宋" w:eastAsia="仿宋" w:cs="仿宋"/>
                <w:color w:val="auto"/>
                <w:kern w:val="0"/>
                <w:sz w:val="24"/>
                <w:szCs w:val="24"/>
                <w:highlight w:val="none"/>
                <w:lang w:val="en-US" w:eastAsia="zh-CN"/>
              </w:rPr>
              <w:t>评定。</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p>
        </w:tc>
        <w:tc>
          <w:tcPr>
            <w:tcW w:w="705" w:type="dxa"/>
            <w:vMerge w:val="continue"/>
            <w:tcBorders>
              <w:left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p>
        </w:tc>
        <w:tc>
          <w:tcPr>
            <w:tcW w:w="600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检测项目实施的环节安排、进度安排</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lang w:val="en-US" w:eastAsia="zh-CN"/>
              </w:rPr>
              <w:t>评定。</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706" w:type="dxa"/>
            <w:gridSpan w:val="2"/>
            <w:vMerge w:val="restart"/>
            <w:tcBorders>
              <w:top w:val="single" w:color="auto" w:sz="4" w:space="0"/>
              <w:left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质量管理方案</w:t>
            </w:r>
          </w:p>
        </w:tc>
        <w:tc>
          <w:tcPr>
            <w:tcW w:w="6007" w:type="dxa"/>
            <w:gridSpan w:val="2"/>
            <w:tcBorders>
              <w:top w:val="single" w:color="auto" w:sz="4" w:space="0"/>
              <w:left w:val="single" w:color="auto" w:sz="4" w:space="0"/>
              <w:right w:val="single" w:color="auto" w:sz="4" w:space="0"/>
            </w:tcBorders>
            <w:vAlign w:val="center"/>
          </w:tcPr>
          <w:p>
            <w:pPr>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质量管理方案的内容、完整性</w:t>
            </w:r>
            <w:r>
              <w:rPr>
                <w:rFonts w:hint="eastAsia" w:ascii="仿宋" w:hAnsi="仿宋" w:eastAsia="仿宋" w:cs="仿宋"/>
                <w:color w:val="auto"/>
                <w:kern w:val="0"/>
                <w:sz w:val="24"/>
                <w:szCs w:val="24"/>
                <w:highlight w:val="none"/>
                <w:lang w:eastAsia="zh-CN"/>
              </w:rPr>
              <w:t>综合</w:t>
            </w:r>
            <w:r>
              <w:rPr>
                <w:rFonts w:hint="eastAsia" w:ascii="仿宋" w:hAnsi="仿宋" w:eastAsia="仿宋" w:cs="仿宋"/>
                <w:color w:val="auto"/>
                <w:kern w:val="0"/>
                <w:sz w:val="24"/>
                <w:szCs w:val="24"/>
                <w:highlight w:val="none"/>
                <w:lang w:val="en-US" w:eastAsia="zh-CN"/>
              </w:rPr>
              <w:t>评定。</w:t>
            </w:r>
            <w:bookmarkStart w:id="521" w:name="_GoBack"/>
            <w:bookmarkEnd w:id="521"/>
          </w:p>
          <w:p>
            <w:pPr>
              <w:spacing w:line="24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b w:val="0"/>
                <w:bCs w:val="0"/>
                <w:color w:val="auto"/>
                <w:sz w:val="24"/>
                <w:szCs w:val="24"/>
                <w:highlight w:val="none"/>
                <w:lang w:eastAsia="zh-CN"/>
              </w:rPr>
              <w:t>。</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p>
        </w:tc>
        <w:tc>
          <w:tcPr>
            <w:tcW w:w="706" w:type="dxa"/>
            <w:gridSpan w:val="2"/>
            <w:vMerge w:val="continue"/>
            <w:tcBorders>
              <w:left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lang w:val="en-US" w:eastAsia="zh-CN"/>
              </w:rPr>
            </w:pPr>
          </w:p>
        </w:tc>
        <w:tc>
          <w:tcPr>
            <w:tcW w:w="6007" w:type="dxa"/>
            <w:gridSpan w:val="2"/>
            <w:tcBorders>
              <w:top w:val="single" w:color="auto" w:sz="4" w:space="0"/>
              <w:left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w:t>
            </w:r>
            <w:r>
              <w:rPr>
                <w:rFonts w:hint="eastAsia" w:ascii="仿宋" w:hAnsi="仿宋" w:eastAsia="仿宋" w:cs="仿宋"/>
                <w:color w:val="auto"/>
                <w:kern w:val="0"/>
                <w:sz w:val="24"/>
                <w:szCs w:val="24"/>
                <w:highlight w:val="none"/>
                <w:lang w:eastAsia="zh-CN"/>
              </w:rPr>
              <w:t>管理</w:t>
            </w:r>
            <w:r>
              <w:rPr>
                <w:rFonts w:hint="eastAsia" w:ascii="仿宋" w:hAnsi="仿宋" w:eastAsia="仿宋" w:cs="仿宋"/>
                <w:color w:val="auto"/>
                <w:kern w:val="0"/>
                <w:sz w:val="24"/>
                <w:szCs w:val="24"/>
                <w:highlight w:val="none"/>
              </w:rPr>
              <w:t>方案内容的措施可行性</w:t>
            </w:r>
            <w:r>
              <w:rPr>
                <w:rFonts w:hint="eastAsia" w:ascii="仿宋" w:hAnsi="仿宋" w:eastAsia="仿宋" w:cs="仿宋"/>
                <w:color w:val="auto"/>
                <w:kern w:val="0"/>
                <w:sz w:val="24"/>
                <w:szCs w:val="24"/>
                <w:highlight w:val="none"/>
                <w:lang w:eastAsia="zh-CN"/>
              </w:rPr>
              <w:t>、</w:t>
            </w:r>
            <w:r>
              <w:rPr>
                <w:rFonts w:hint="eastAsia" w:ascii="仿宋" w:hAnsi="仿宋" w:eastAsia="仿宋" w:cs="仿宋"/>
                <w:b w:val="0"/>
                <w:bCs w:val="0"/>
                <w:color w:val="auto"/>
                <w:sz w:val="24"/>
                <w:szCs w:val="24"/>
                <w:highlight w:val="none"/>
              </w:rPr>
              <w:t>与项目的匹配性进行评分</w:t>
            </w:r>
            <w:r>
              <w:rPr>
                <w:rFonts w:hint="eastAsia" w:ascii="仿宋" w:hAnsi="仿宋" w:eastAsia="仿宋" w:cs="仿宋"/>
                <w:color w:val="auto"/>
                <w:kern w:val="0"/>
                <w:sz w:val="24"/>
                <w:szCs w:val="24"/>
                <w:highlight w:val="none"/>
                <w:lang w:val="en-US" w:eastAsia="zh-CN"/>
              </w:rPr>
              <w:t>。</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r>
              <w:rPr>
                <w:rFonts w:hint="eastAsia" w:ascii="仿宋" w:hAnsi="仿宋" w:eastAsia="仿宋" w:cs="仿宋"/>
                <w:color w:val="auto"/>
                <w:kern w:val="0"/>
                <w:sz w:val="24"/>
                <w:szCs w:val="24"/>
                <w:highlight w:val="none"/>
              </w:rPr>
              <w:t>。</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投标人提供信息服务团队和院方LIS公司的合作方案：考查配合度、技术能力、响应速度、</w:t>
            </w:r>
            <w:r>
              <w:rPr>
                <w:rFonts w:hint="eastAsia" w:ascii="仿宋" w:hAnsi="仿宋" w:eastAsia="仿宋" w:cs="仿宋"/>
                <w:color w:val="auto"/>
                <w:kern w:val="0"/>
                <w:sz w:val="24"/>
                <w:szCs w:val="24"/>
                <w:highlight w:val="none"/>
                <w:lang w:eastAsia="zh-CN"/>
              </w:rPr>
              <w:t>检测结果传输及时性、</w:t>
            </w:r>
            <w:r>
              <w:rPr>
                <w:rFonts w:hint="eastAsia" w:ascii="仿宋" w:hAnsi="仿宋" w:eastAsia="仿宋" w:cs="仿宋"/>
                <w:color w:val="auto"/>
                <w:kern w:val="0"/>
                <w:sz w:val="24"/>
                <w:szCs w:val="24"/>
                <w:highlight w:val="none"/>
              </w:rPr>
              <w:t>承担接口费等，要求确保检测结果上传至萧山区妇女儿童健康中心，能实现无纸化传输检测结果（不包括图文报告）根据数据上传方案的完善性及可行性综合评定。</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信息安全认证：投标人所使用的信息系统通过第三方权威认证的信息系统安全等级保护，提供三级信息系统安全登记保护备案证明的得</w:t>
            </w:r>
            <w:r>
              <w:rPr>
                <w:rFonts w:hint="eastAsia" w:ascii="仿宋" w:hAnsi="仿宋" w:eastAsia="仿宋" w:cs="仿宋"/>
                <w:color w:val="auto"/>
                <w:kern w:val="0"/>
                <w:sz w:val="24"/>
                <w:szCs w:val="24"/>
                <w:highlight w:val="none"/>
                <w:lang w:val="en-US" w:eastAsia="zh-CN"/>
              </w:rPr>
              <w:t>2分，未提供的不得分。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医疗冷链物流公司情况：</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①投标人提供的医疗冷链物流公司与投标人属同一集团或法人的得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分（提供营业执照及相关证明）；医疗冷链物流公司为第三方冷链物流公司的得2分（提供有效合作协议）。</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②投标人提供的物流公司获得</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药品冷链物流运作规范</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GB/T 28842-2012 国家标准试点企业的得2分，未提供者不得分。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标本收集、储存、运送、接送流程等：</w:t>
            </w:r>
          </w:p>
          <w:p>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①标本有专人收集，且提供投标人社保证明的得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分，否则不得分。</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②投标人承诺每天取样一次（含周六、日）的得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分，少一天扣1分，扣完为止。</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671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投标人提供标本运送应急预案、售后服务方案，根据方案完整性、可行性、响应速度等综合</w:t>
            </w:r>
            <w:r>
              <w:rPr>
                <w:rFonts w:hint="eastAsia" w:ascii="仿宋" w:hAnsi="仿宋" w:eastAsia="仿宋" w:cs="仿宋"/>
                <w:color w:val="auto"/>
                <w:kern w:val="0"/>
                <w:sz w:val="24"/>
                <w:szCs w:val="24"/>
                <w:highlight w:val="none"/>
                <w:lang w:val="en-US" w:eastAsia="zh-CN"/>
              </w:rPr>
              <w:t>评定</w:t>
            </w:r>
            <w:r>
              <w:rPr>
                <w:rFonts w:hint="eastAsia" w:ascii="仿宋" w:hAnsi="仿宋" w:eastAsia="仿宋" w:cs="仿宋"/>
                <w:color w:val="auto"/>
                <w:kern w:val="0"/>
                <w:sz w:val="24"/>
                <w:szCs w:val="24"/>
                <w:highlight w:val="none"/>
                <w:lang w:eastAsia="zh-CN"/>
              </w:rPr>
              <w:t>。</w:t>
            </w:r>
          </w:p>
          <w:p>
            <w:pPr>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方案内容完整且与项目匹配度好的得5分；方案内容较为完整且与项目匹配度较好的得4分；方案内容基本完整且与项目匹配度较好的得3分；方案内容存在欠缺或与项目匹配度一般的得2分；方案内容缺失严重或与项目不匹配的得1分；不提供不得分。</w:t>
            </w:r>
          </w:p>
        </w:tc>
        <w:tc>
          <w:tcPr>
            <w:tcW w:w="7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主</w:t>
            </w:r>
            <w:r>
              <w:rPr>
                <w:rFonts w:hint="eastAsia" w:ascii="仿宋" w:hAnsi="仿宋" w:eastAsia="仿宋" w:cs="仿宋"/>
                <w:color w:val="auto"/>
                <w:kern w:val="0"/>
                <w:sz w:val="24"/>
                <w:szCs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81"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分</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1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价格权值=0.</w:t>
            </w:r>
            <w:r>
              <w:rPr>
                <w:rFonts w:hint="eastAsia" w:ascii="仿宋" w:hAnsi="仿宋" w:eastAsia="仿宋" w:cs="仿宋"/>
                <w:color w:val="auto"/>
                <w:sz w:val="24"/>
                <w:szCs w:val="24"/>
                <w:highlight w:val="none"/>
                <w:lang w:val="en-US" w:eastAsia="zh-CN"/>
              </w:rPr>
              <w:t>20</w:t>
            </w:r>
          </w:p>
        </w:tc>
        <w:tc>
          <w:tcPr>
            <w:tcW w:w="5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评标基准价／投标报价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×价格权值×100（计算得分保留小数点后2位）</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例如各投标人投标报价（统一折扣）为：</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.00%时，则</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rPr>
              <w:t>.00%为评标基准价。</w:t>
            </w:r>
            <w:r>
              <w:rPr>
                <w:rFonts w:hint="eastAsia" w:ascii="仿宋" w:hAnsi="仿宋" w:eastAsia="仿宋" w:cs="仿宋"/>
                <w:color w:val="auto"/>
                <w:sz w:val="24"/>
                <w:szCs w:val="24"/>
                <w:highlight w:val="none"/>
                <w:lang w:eastAsia="zh-CN"/>
              </w:rPr>
              <w:t>）</w:t>
            </w:r>
          </w:p>
        </w:tc>
        <w:tc>
          <w:tcPr>
            <w:tcW w:w="7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b w:val="0"/>
          <w:bCs/>
          <w:color w:val="auto"/>
          <w:sz w:val="24"/>
          <w:szCs w:val="24"/>
          <w:highlight w:val="none"/>
        </w:rPr>
        <w:t>1、评分条款中涉及的业绩、荣誉、人员、社保等分公司均有效。</w:t>
      </w:r>
    </w:p>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3、投标人编制投标文件（商务技术文件部分）时，建议按此目录（序号和内容）提供评标标准相应的商务技术资料。</w:t>
      </w:r>
    </w:p>
    <w:p>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pPr>
        <w:rPr>
          <w:rFonts w:hint="eastAsia" w:ascii="仿宋" w:hAnsi="仿宋" w:eastAsia="仿宋" w:cs="仿宋"/>
          <w:b/>
          <w:color w:val="auto"/>
          <w:sz w:val="36"/>
          <w:szCs w:val="36"/>
          <w:highlight w:val="none"/>
        </w:rPr>
      </w:pPr>
      <w:bookmarkStart w:id="395" w:name="第五部分"/>
      <w:bookmarkStart w:id="396" w:name="_Toc86217003"/>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hint="eastAsia" w:ascii="仿宋" w:hAnsi="仿宋" w:eastAsia="仿宋" w:cs="仿宋"/>
          <w:color w:val="auto"/>
          <w:sz w:val="24"/>
          <w:highlight w:val="none"/>
        </w:rPr>
      </w:pPr>
    </w:p>
    <w:p>
      <w:pPr>
        <w:pStyle w:val="3"/>
        <w:rPr>
          <w:rFonts w:hint="eastAsia" w:ascii="仿宋" w:hAnsi="仿宋" w:eastAsia="仿宋" w:cs="仿宋"/>
          <w:color w:val="auto"/>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8"/>
        <w:spacing w:before="120" w:line="22" w:lineRule="atLeast"/>
        <w:rPr>
          <w:rFonts w:hint="eastAsia" w:ascii="仿宋" w:hAnsi="仿宋" w:eastAsia="仿宋" w:cs="仿宋"/>
          <w:color w:val="auto"/>
          <w:szCs w:val="24"/>
          <w:highlight w:val="none"/>
        </w:rPr>
      </w:pPr>
    </w:p>
    <w:p>
      <w:pPr>
        <w:pStyle w:val="598"/>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hint="eastAsia" w:ascii="仿宋" w:hAnsi="仿宋" w:eastAsia="仿宋" w:cs="仿宋"/>
          <w:b/>
          <w:color w:val="auto"/>
          <w:sz w:val="24"/>
          <w:highlight w:val="none"/>
        </w:r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color w:val="auto"/>
          <w:sz w:val="24"/>
          <w:highlight w:val="none"/>
        </w:rPr>
      </w:pPr>
      <w:bookmarkStart w:id="397" w:name="_Toc19273"/>
      <w:bookmarkStart w:id="398" w:name="_Toc20421"/>
      <w:bookmarkStart w:id="399" w:name="_Toc22967"/>
      <w:bookmarkStart w:id="400" w:name="_Toc15367"/>
      <w:bookmarkStart w:id="401" w:name="_Toc28855"/>
      <w:r>
        <w:rPr>
          <w:rFonts w:hint="eastAsia" w:ascii="仿宋" w:hAnsi="仿宋" w:eastAsia="仿宋" w:cs="仿宋"/>
          <w:b/>
          <w:color w:val="auto"/>
          <w:sz w:val="24"/>
          <w:highlight w:val="none"/>
        </w:rPr>
        <w:t>1.1 合同组成部分</w:t>
      </w:r>
      <w:bookmarkEnd w:id="397"/>
      <w:bookmarkEnd w:id="398"/>
      <w:bookmarkEnd w:id="399"/>
      <w:bookmarkEnd w:id="400"/>
      <w:bookmarkEnd w:id="40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402" w:name="_Toc2918"/>
      <w:bookmarkStart w:id="403" w:name="_Toc6773"/>
      <w:bookmarkStart w:id="404" w:name="_Toc22185"/>
      <w:bookmarkStart w:id="405" w:name="_Toc18585"/>
      <w:bookmarkStart w:id="406" w:name="_Toc6311"/>
      <w:r>
        <w:rPr>
          <w:rFonts w:hint="eastAsia" w:ascii="仿宋" w:hAnsi="仿宋" w:eastAsia="仿宋" w:cs="仿宋"/>
          <w:b/>
          <w:color w:val="auto"/>
          <w:sz w:val="24"/>
          <w:highlight w:val="none"/>
        </w:rPr>
        <w:t>1.2 标的</w:t>
      </w:r>
      <w:bookmarkEnd w:id="402"/>
      <w:bookmarkEnd w:id="403"/>
      <w:bookmarkEnd w:id="404"/>
      <w:bookmarkEnd w:id="405"/>
      <w:bookmarkEnd w:id="406"/>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pPr>
        <w:spacing w:line="560" w:lineRule="exact"/>
        <w:ind w:firstLine="480" w:firstLineChars="200"/>
        <w:rPr>
          <w:rFonts w:hint="eastAsia" w:ascii="仿宋" w:hAnsi="仿宋" w:eastAsia="仿宋" w:cs="仿宋"/>
          <w:color w:val="auto"/>
          <w:sz w:val="24"/>
          <w:highlight w:val="none"/>
          <w:u w:val="single"/>
        </w:rPr>
      </w:pPr>
      <w:bookmarkStart w:id="407" w:name="_Toc5635"/>
      <w:bookmarkStart w:id="408" w:name="_Toc4929"/>
      <w:bookmarkStart w:id="409" w:name="_Toc13918"/>
      <w:bookmarkStart w:id="410" w:name="_Toc1386"/>
      <w:bookmarkStart w:id="411"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19"/>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0" w:firstLineChars="200"/>
        <w:rPr>
          <w:rFonts w:hint="eastAsia" w:ascii="仿宋" w:hAnsi="仿宋" w:eastAsia="仿宋" w:cs="仿宋"/>
          <w:color w:val="auto"/>
          <w:sz w:val="24"/>
          <w:highlight w:val="none"/>
        </w:rPr>
      </w:pPr>
      <w:bookmarkStart w:id="412" w:name="_Toc14993"/>
      <w:bookmarkStart w:id="413" w:name="_Toc26916"/>
      <w:bookmarkStart w:id="414" w:name="_Toc30506"/>
      <w:bookmarkStart w:id="415" w:name="_Toc30158"/>
      <w:bookmarkStart w:id="416" w:name="_Toc3654"/>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3"/>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2"/>
    <w:bookmarkEnd w:id="413"/>
    <w:bookmarkEnd w:id="414"/>
    <w:bookmarkEnd w:id="415"/>
    <w:bookmarkEnd w:id="416"/>
    <w:p>
      <w:pPr>
        <w:pStyle w:val="959"/>
        <w:spacing w:before="0" w:beforeAutospacing="0" w:after="0" w:afterAutospacing="0" w:line="360" w:lineRule="auto"/>
        <w:ind w:firstLine="480"/>
        <w:rPr>
          <w:rFonts w:hint="eastAsia" w:ascii="仿宋" w:hAnsi="仿宋" w:eastAsia="仿宋" w:cs="仿宋"/>
          <w:b/>
          <w:color w:val="auto"/>
          <w:highlight w:val="none"/>
        </w:rPr>
      </w:pPr>
      <w:bookmarkStart w:id="417" w:name="_Toc10340"/>
      <w:bookmarkStart w:id="418" w:name="_Toc22618"/>
      <w:bookmarkStart w:id="419" w:name="_Toc1814"/>
      <w:bookmarkStart w:id="420" w:name="_Toc4760"/>
      <w:bookmarkStart w:id="421" w:name="_Toc3625"/>
      <w:bookmarkStart w:id="422" w:name="_Toc8772"/>
      <w:bookmarkStart w:id="423" w:name="_Toc11108"/>
      <w:bookmarkStart w:id="424" w:name="_Toc31421"/>
      <w:r>
        <w:rPr>
          <w:rFonts w:hint="eastAsia" w:ascii="仿宋" w:hAnsi="仿宋" w:eastAsia="仿宋" w:cs="仿宋"/>
          <w:b/>
          <w:color w:val="auto"/>
          <w:highlight w:val="none"/>
        </w:rPr>
        <w:t>1.4履约保证金</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bCs/>
          <w:color w:val="auto"/>
          <w:sz w:val="24"/>
          <w:highlight w:val="none"/>
        </w:rPr>
      </w:pPr>
      <w:bookmarkStart w:id="425" w:name="_Toc8586"/>
      <w:bookmarkStart w:id="426" w:name="_Toc5698"/>
      <w:bookmarkStart w:id="427" w:name="_Toc2375"/>
      <w:bookmarkStart w:id="428" w:name="_Toc24662"/>
      <w:bookmarkStart w:id="429" w:name="_Toc3079"/>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bookmarkStart w:id="430" w:name="_Toc9497"/>
      <w:bookmarkStart w:id="431" w:name="_Toc32454"/>
      <w:bookmarkStart w:id="432" w:name="_Toc30329"/>
      <w:bookmarkStart w:id="433" w:name="_Toc18683"/>
      <w:bookmarkStart w:id="434"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pPr>
        <w:spacing w:line="560" w:lineRule="exact"/>
        <w:ind w:firstLine="482" w:firstLineChars="200"/>
        <w:outlineLvl w:val="0"/>
        <w:rPr>
          <w:rFonts w:hint="eastAsia" w:ascii="仿宋" w:hAnsi="仿宋" w:eastAsia="仿宋" w:cs="仿宋"/>
          <w:b/>
          <w:color w:val="auto"/>
          <w:sz w:val="24"/>
          <w:highlight w:val="none"/>
        </w:rPr>
      </w:pPr>
      <w:bookmarkStart w:id="435" w:name="_Toc28375"/>
      <w:bookmarkStart w:id="436" w:name="_Toc15583"/>
      <w:bookmarkStart w:id="437" w:name="_Toc16021"/>
      <w:r>
        <w:rPr>
          <w:rFonts w:hint="eastAsia" w:ascii="仿宋" w:hAnsi="仿宋" w:eastAsia="仿宋" w:cs="仿宋"/>
          <w:b/>
          <w:color w:val="auto"/>
          <w:sz w:val="24"/>
          <w:highlight w:val="none"/>
        </w:rPr>
        <w:t>1.9合同争议的解决</w:t>
      </w:r>
      <w:bookmarkEnd w:id="435"/>
      <w:bookmarkEnd w:id="436"/>
      <w:bookmarkEnd w:id="437"/>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38" w:name="_Toc11173"/>
      <w:bookmarkStart w:id="439" w:name="_Toc15322"/>
      <w:bookmarkStart w:id="440" w:name="_Toc7245"/>
      <w:r>
        <w:rPr>
          <w:rFonts w:hint="eastAsia" w:ascii="仿宋" w:hAnsi="仿宋" w:eastAsia="仿宋" w:cs="仿宋"/>
          <w:b/>
          <w:color w:val="auto"/>
          <w:sz w:val="24"/>
          <w:highlight w:val="none"/>
        </w:rPr>
        <w:t>2.0 合同生效</w:t>
      </w:r>
      <w:bookmarkEnd w:id="438"/>
      <w:bookmarkEnd w:id="439"/>
      <w:bookmarkEnd w:id="440"/>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p>
    <w:p>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hint="eastAsia" w:ascii="仿宋" w:hAnsi="仿宋" w:eastAsia="仿宋" w:cs="仿宋"/>
          <w:b/>
          <w:color w:val="auto"/>
          <w:sz w:val="24"/>
          <w:highlight w:val="none"/>
        </w:rPr>
      </w:pPr>
      <w:bookmarkStart w:id="441" w:name="_Toc14021"/>
      <w:bookmarkStart w:id="442" w:name="_Toc5228"/>
      <w:bookmarkStart w:id="443" w:name="_Toc31297"/>
      <w:bookmarkStart w:id="444" w:name="_Toc19680"/>
      <w:bookmarkStart w:id="445" w:name="_Toc25079"/>
      <w:r>
        <w:rPr>
          <w:rFonts w:hint="eastAsia" w:ascii="仿宋" w:hAnsi="仿宋" w:eastAsia="仿宋" w:cs="仿宋"/>
          <w:b/>
          <w:color w:val="auto"/>
          <w:sz w:val="24"/>
          <w:highlight w:val="none"/>
        </w:rPr>
        <w:t>2.1 定义</w:t>
      </w:r>
      <w:bookmarkEnd w:id="441"/>
      <w:bookmarkEnd w:id="442"/>
      <w:bookmarkEnd w:id="443"/>
      <w:bookmarkEnd w:id="444"/>
      <w:bookmarkEnd w:id="44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hint="eastAsia" w:ascii="仿宋" w:hAnsi="仿宋" w:eastAsia="仿宋" w:cs="仿宋"/>
          <w:b/>
          <w:color w:val="auto"/>
          <w:sz w:val="24"/>
          <w:highlight w:val="none"/>
        </w:rPr>
      </w:pPr>
      <w:bookmarkStart w:id="446" w:name="_Toc19539"/>
      <w:bookmarkStart w:id="447" w:name="_Toc3769"/>
      <w:bookmarkStart w:id="448" w:name="_Toc16752"/>
      <w:bookmarkStart w:id="449" w:name="_Toc23289"/>
      <w:bookmarkStart w:id="450" w:name="_Toc31402"/>
      <w:r>
        <w:rPr>
          <w:rFonts w:hint="eastAsia" w:ascii="仿宋" w:hAnsi="仿宋" w:eastAsia="仿宋" w:cs="仿宋"/>
          <w:b/>
          <w:color w:val="auto"/>
          <w:sz w:val="24"/>
          <w:highlight w:val="none"/>
        </w:rPr>
        <w:t>2.2 技术规范</w:t>
      </w:r>
      <w:bookmarkEnd w:id="446"/>
      <w:bookmarkEnd w:id="447"/>
      <w:bookmarkEnd w:id="448"/>
      <w:bookmarkEnd w:id="449"/>
      <w:bookmarkEnd w:id="45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51" w:name="_Toc13673"/>
      <w:bookmarkStart w:id="452" w:name="_Toc27945"/>
      <w:bookmarkStart w:id="453" w:name="_Toc9161"/>
      <w:bookmarkStart w:id="454" w:name="_Toc12412"/>
      <w:bookmarkStart w:id="455" w:name="_Toc4133"/>
      <w:r>
        <w:rPr>
          <w:rFonts w:hint="eastAsia" w:ascii="仿宋" w:hAnsi="仿宋" w:eastAsia="仿宋" w:cs="仿宋"/>
          <w:b/>
          <w:color w:val="auto"/>
          <w:sz w:val="24"/>
          <w:highlight w:val="none"/>
        </w:rPr>
        <w:t>2.3 知识产权</w:t>
      </w:r>
      <w:bookmarkEnd w:id="451"/>
      <w:bookmarkEnd w:id="452"/>
      <w:bookmarkEnd w:id="453"/>
      <w:bookmarkEnd w:id="454"/>
      <w:bookmarkEnd w:id="45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auto"/>
          <w:sz w:val="24"/>
          <w:highlight w:val="none"/>
        </w:rPr>
      </w:pPr>
      <w:bookmarkStart w:id="456" w:name="_Toc22011"/>
      <w:bookmarkStart w:id="457" w:name="_Toc26555"/>
      <w:bookmarkStart w:id="458" w:name="_Toc31233"/>
      <w:bookmarkStart w:id="459" w:name="_Toc15447"/>
      <w:bookmarkStart w:id="460" w:name="_Toc32670"/>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61" w:name="_Toc16163"/>
      <w:bookmarkStart w:id="462" w:name="_Toc18990"/>
      <w:bookmarkStart w:id="463" w:name="_Toc13467"/>
      <w:bookmarkStart w:id="464" w:name="_Toc30507"/>
      <w:bookmarkStart w:id="465" w:name="_Toc13154"/>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69" w:name="_Toc21830"/>
      <w:bookmarkStart w:id="470" w:name="_Toc42"/>
      <w:bookmarkStart w:id="471" w:name="_Toc26689"/>
      <w:bookmarkStart w:id="472" w:name="_Toc23368"/>
      <w:bookmarkStart w:id="473" w:name="_Toc10663"/>
      <w:r>
        <w:rPr>
          <w:rFonts w:hint="eastAsia" w:ascii="仿宋" w:hAnsi="仿宋" w:eastAsia="仿宋" w:cs="仿宋"/>
          <w:b/>
          <w:color w:val="auto"/>
          <w:sz w:val="24"/>
          <w:highlight w:val="none"/>
        </w:rPr>
        <w:t>2.10 合同转让和分包</w:t>
      </w:r>
      <w:bookmarkEnd w:id="469"/>
      <w:bookmarkEnd w:id="470"/>
      <w:bookmarkEnd w:id="471"/>
      <w:bookmarkEnd w:id="472"/>
      <w:bookmarkEnd w:id="47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highlight w:val="none"/>
        </w:rPr>
      </w:pPr>
      <w:bookmarkStart w:id="474" w:name="_Toc26633"/>
      <w:bookmarkStart w:id="475" w:name="_Toc32494"/>
      <w:bookmarkStart w:id="476" w:name="_Toc14371"/>
      <w:bookmarkStart w:id="477" w:name="_Toc25571"/>
      <w:bookmarkStart w:id="478" w:name="_Toc4720"/>
      <w:r>
        <w:rPr>
          <w:rFonts w:hint="eastAsia" w:ascii="仿宋" w:hAnsi="仿宋" w:eastAsia="仿宋" w:cs="仿宋"/>
          <w:b/>
          <w:color w:val="auto"/>
          <w:sz w:val="24"/>
          <w:highlight w:val="none"/>
        </w:rPr>
        <w:t>2.11 不可抗力</w:t>
      </w:r>
      <w:bookmarkEnd w:id="474"/>
      <w:bookmarkEnd w:id="475"/>
      <w:bookmarkEnd w:id="476"/>
      <w:bookmarkEnd w:id="477"/>
      <w:bookmarkEnd w:id="47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79" w:name="_Toc24465"/>
      <w:bookmarkStart w:id="480" w:name="_Toc23854"/>
      <w:bookmarkStart w:id="481" w:name="_Toc14115"/>
      <w:bookmarkStart w:id="482" w:name="_Toc25783"/>
      <w:bookmarkStart w:id="483" w:name="_Toc3638"/>
      <w:r>
        <w:rPr>
          <w:rFonts w:hint="eastAsia" w:ascii="仿宋" w:hAnsi="仿宋" w:eastAsia="仿宋" w:cs="仿宋"/>
          <w:b/>
          <w:color w:val="auto"/>
          <w:sz w:val="24"/>
          <w:highlight w:val="none"/>
        </w:rPr>
        <w:t>2.12 税费</w:t>
      </w:r>
      <w:bookmarkEnd w:id="479"/>
      <w:bookmarkEnd w:id="480"/>
      <w:bookmarkEnd w:id="481"/>
      <w:bookmarkEnd w:id="482"/>
      <w:bookmarkEnd w:id="48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auto"/>
          <w:sz w:val="24"/>
          <w:highlight w:val="none"/>
        </w:rPr>
      </w:pPr>
      <w:bookmarkStart w:id="484" w:name="_Toc26883"/>
      <w:bookmarkStart w:id="485" w:name="_Toc7315"/>
      <w:bookmarkStart w:id="486" w:name="_Toc30105"/>
      <w:bookmarkStart w:id="487" w:name="_Toc25525"/>
      <w:bookmarkStart w:id="488" w:name="_Toc14814"/>
      <w:r>
        <w:rPr>
          <w:rFonts w:hint="eastAsia" w:ascii="仿宋" w:hAnsi="仿宋" w:eastAsia="仿宋" w:cs="仿宋"/>
          <w:b/>
          <w:color w:val="auto"/>
          <w:sz w:val="24"/>
          <w:highlight w:val="none"/>
        </w:rPr>
        <w:t>2.13 乙方破产</w:t>
      </w:r>
      <w:bookmarkEnd w:id="484"/>
      <w:bookmarkEnd w:id="485"/>
      <w:bookmarkEnd w:id="486"/>
      <w:bookmarkEnd w:id="487"/>
      <w:bookmarkEnd w:id="48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489" w:name="_Toc2016"/>
      <w:bookmarkStart w:id="490" w:name="_Toc1123"/>
      <w:bookmarkStart w:id="491" w:name="_Toc23323"/>
      <w:r>
        <w:rPr>
          <w:rFonts w:hint="eastAsia" w:ascii="仿宋" w:hAnsi="仿宋" w:eastAsia="仿宋" w:cs="仿宋"/>
          <w:b/>
          <w:color w:val="auto"/>
          <w:sz w:val="24"/>
          <w:highlight w:val="none"/>
        </w:rPr>
        <w:t>2.14 合同中止、终止</w:t>
      </w:r>
      <w:bookmarkEnd w:id="489"/>
      <w:bookmarkEnd w:id="490"/>
      <w:bookmarkEnd w:id="49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492" w:name="_Toc1969"/>
      <w:bookmarkStart w:id="493" w:name="_Toc14525"/>
      <w:bookmarkStart w:id="494" w:name="_Toc17363"/>
      <w:r>
        <w:rPr>
          <w:rFonts w:hint="eastAsia" w:ascii="仿宋" w:hAnsi="仿宋" w:eastAsia="仿宋" w:cs="仿宋"/>
          <w:b/>
          <w:color w:val="auto"/>
          <w:sz w:val="24"/>
          <w:highlight w:val="none"/>
        </w:rPr>
        <w:t>2.15 检验和验收</w:t>
      </w:r>
      <w:bookmarkEnd w:id="492"/>
      <w:bookmarkEnd w:id="493"/>
      <w:bookmarkEnd w:id="494"/>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95" w:name="_Toc12666"/>
      <w:bookmarkStart w:id="496" w:name="_Toc25198"/>
      <w:bookmarkStart w:id="497" w:name="_Toc31892"/>
      <w:bookmarkStart w:id="498" w:name="_Toc9808"/>
      <w:bookmarkStart w:id="499" w:name="_Toc2308"/>
      <w:r>
        <w:rPr>
          <w:rFonts w:hint="eastAsia" w:ascii="仿宋" w:hAnsi="仿宋" w:eastAsia="仿宋" w:cs="仿宋"/>
          <w:b/>
          <w:color w:val="auto"/>
          <w:sz w:val="24"/>
          <w:highlight w:val="none"/>
        </w:rPr>
        <w:t>2.16 通知和送达</w:t>
      </w:r>
      <w:bookmarkEnd w:id="495"/>
      <w:bookmarkEnd w:id="496"/>
      <w:bookmarkEnd w:id="497"/>
      <w:bookmarkEnd w:id="498"/>
      <w:bookmarkEnd w:id="499"/>
    </w:p>
    <w:p>
      <w:pPr>
        <w:spacing w:line="560" w:lineRule="exact"/>
        <w:ind w:firstLine="480" w:firstLineChars="200"/>
        <w:rPr>
          <w:rFonts w:hint="eastAsia" w:ascii="仿宋" w:hAnsi="仿宋" w:eastAsia="仿宋" w:cs="仿宋"/>
          <w:color w:val="auto"/>
          <w:sz w:val="24"/>
          <w:highlight w:val="none"/>
        </w:rPr>
      </w:pPr>
      <w:bookmarkStart w:id="500" w:name="_Toc18401"/>
      <w:bookmarkStart w:id="50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pPr>
        <w:spacing w:line="560" w:lineRule="exact"/>
        <w:ind w:firstLine="482" w:firstLineChars="200"/>
        <w:outlineLvl w:val="0"/>
        <w:rPr>
          <w:rFonts w:hint="eastAsia" w:ascii="仿宋" w:hAnsi="仿宋" w:eastAsia="仿宋" w:cs="仿宋"/>
          <w:b/>
          <w:color w:val="auto"/>
          <w:sz w:val="24"/>
          <w:highlight w:val="none"/>
        </w:rPr>
      </w:pPr>
      <w:bookmarkStart w:id="502" w:name="_Toc20808"/>
      <w:bookmarkStart w:id="503" w:name="_Toc27644"/>
      <w:bookmarkStart w:id="504" w:name="_Toc12254"/>
      <w:bookmarkStart w:id="505" w:name="_Toc28906"/>
      <w:bookmarkStart w:id="506" w:name="_Toc5063"/>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07" w:name="_Toc18540"/>
      <w:bookmarkStart w:id="508" w:name="_Toc30599"/>
      <w:bookmarkStart w:id="509" w:name="_Toc4355"/>
      <w:r>
        <w:rPr>
          <w:rFonts w:hint="eastAsia" w:ascii="仿宋" w:hAnsi="仿宋" w:eastAsia="仿宋" w:cs="仿宋"/>
          <w:b/>
          <w:color w:val="auto"/>
          <w:sz w:val="24"/>
          <w:highlight w:val="none"/>
        </w:rPr>
        <w:t>2.18 计量单位</w:t>
      </w:r>
      <w:bookmarkEnd w:id="507"/>
      <w:bookmarkEnd w:id="508"/>
      <w:bookmarkEnd w:id="50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1" w:name="_Hlk101257010"/>
      <w:r>
        <w:rPr>
          <w:rFonts w:hint="eastAsia" w:ascii="仿宋" w:hAnsi="仿宋" w:eastAsia="仿宋" w:cs="仿宋"/>
          <w:color w:val="auto"/>
          <w:sz w:val="24"/>
          <w:highlight w:val="none"/>
        </w:rPr>
        <w:t>（如果有)</w:t>
      </w:r>
      <w:bookmarkEnd w:id="511"/>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9"/>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ind w:firstLine="1911" w:firstLineChars="595"/>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both"/>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pPr>
              <w:spacing w:line="240" w:lineRule="auto"/>
              <w:jc w:val="center"/>
              <w:rPr>
                <w:rFonts w:hint="eastAsia" w:ascii="仿宋" w:hAnsi="仿宋" w:eastAsia="仿宋" w:cs="仿宋"/>
                <w:b/>
                <w:color w:val="auto"/>
                <w:sz w:val="24"/>
                <w:highlight w:val="none"/>
              </w:rPr>
            </w:pPr>
          </w:p>
          <w:p>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pPr>
              <w:spacing w:line="24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2127" w:type="dxa"/>
            <w:vAlign w:val="center"/>
          </w:tcPr>
          <w:p>
            <w:pPr>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2127" w:type="dxa"/>
            <w:vAlign w:val="center"/>
          </w:tcPr>
          <w:p>
            <w:pPr>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2127" w:type="dxa"/>
            <w:vAlign w:val="center"/>
          </w:tcPr>
          <w:p>
            <w:pPr>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2127" w:type="dxa"/>
            <w:vAlign w:val="center"/>
          </w:tcPr>
          <w:p>
            <w:pPr>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pPr>
              <w:spacing w:line="240" w:lineRule="auto"/>
              <w:jc w:val="center"/>
              <w:rPr>
                <w:rFonts w:hint="eastAsia" w:ascii="仿宋" w:hAnsi="仿宋" w:eastAsia="仿宋" w:cs="仿宋"/>
                <w:color w:val="auto"/>
                <w:sz w:val="24"/>
                <w:highlight w:val="none"/>
              </w:rPr>
            </w:pPr>
          </w:p>
        </w:tc>
        <w:tc>
          <w:tcPr>
            <w:tcW w:w="992"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410" w:type="dxa"/>
            <w:vAlign w:val="center"/>
          </w:tcPr>
          <w:p>
            <w:pPr>
              <w:snapToGrid w:val="0"/>
              <w:spacing w:line="240" w:lineRule="auto"/>
              <w:jc w:val="center"/>
              <w:rPr>
                <w:rFonts w:hint="eastAsia" w:ascii="仿宋" w:hAnsi="仿宋" w:eastAsia="仿宋" w:cs="仿宋"/>
                <w:color w:val="auto"/>
                <w:sz w:val="24"/>
                <w:highlight w:val="none"/>
              </w:rPr>
            </w:pPr>
          </w:p>
        </w:tc>
        <w:tc>
          <w:tcPr>
            <w:tcW w:w="2268" w:type="dxa"/>
            <w:vAlign w:val="center"/>
          </w:tcPr>
          <w:p>
            <w:pPr>
              <w:snapToGrid w:val="0"/>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c>
          <w:tcPr>
            <w:tcW w:w="2127" w:type="dxa"/>
            <w:vAlign w:val="center"/>
          </w:tcPr>
          <w:p>
            <w:pPr>
              <w:spacing w:line="240" w:lineRule="auto"/>
              <w:jc w:val="center"/>
              <w:rPr>
                <w:rFonts w:hint="eastAsia" w:ascii="仿宋" w:hAnsi="仿宋" w:eastAsia="仿宋" w:cs="仿宋"/>
                <w:color w:val="auto"/>
                <w:sz w:val="24"/>
                <w:highlight w:val="none"/>
              </w:rPr>
            </w:pPr>
          </w:p>
        </w:tc>
        <w:tc>
          <w:tcPr>
            <w:tcW w:w="2126" w:type="dxa"/>
            <w:vAlign w:val="center"/>
          </w:tcPr>
          <w:p>
            <w:pPr>
              <w:spacing w:line="24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统一折扣（%）</w:t>
            </w:r>
          </w:p>
        </w:tc>
        <w:tc>
          <w:tcPr>
            <w:tcW w:w="8647" w:type="dxa"/>
            <w:gridSpan w:val="4"/>
            <w:vAlign w:val="center"/>
          </w:tcPr>
          <w:p>
            <w:pPr>
              <w:spacing w:line="24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pPr>
        <w:spacing w:line="360" w:lineRule="auto"/>
        <w:ind w:firstLine="482" w:firstLineChars="200"/>
        <w:rPr>
          <w:rFonts w:hint="eastAsia" w:ascii="仿宋" w:hAnsi="仿宋" w:eastAsia="仿宋" w:cs="仿宋"/>
          <w:b/>
          <w:color w:val="auto"/>
          <w:kern w:val="0"/>
          <w:sz w:val="24"/>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2" w:name="OLE_LINK13"/>
      <w:bookmarkStart w:id="513" w:name="OLE_LINK14"/>
      <w:r>
        <w:rPr>
          <w:rFonts w:hint="eastAsia" w:ascii="仿宋" w:hAnsi="仿宋" w:eastAsia="仿宋" w:cs="仿宋"/>
          <w:b/>
          <w:color w:val="auto"/>
          <w:spacing w:val="6"/>
          <w:sz w:val="32"/>
          <w:szCs w:val="32"/>
          <w:highlight w:val="none"/>
        </w:rPr>
        <w:t>残疾人福利性单位声明函</w:t>
      </w:r>
    </w:p>
    <w:bookmarkEnd w:id="512"/>
    <w:bookmarkEnd w:id="51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4" w:name="_Hlk101131882"/>
      <w:r>
        <w:rPr>
          <w:rFonts w:hint="eastAsia" w:ascii="仿宋" w:hAnsi="仿宋" w:eastAsia="仿宋" w:cs="仿宋"/>
          <w:color w:val="auto"/>
          <w:kern w:val="0"/>
          <w:sz w:val="24"/>
          <w:highlight w:val="none"/>
          <w:u w:val="single"/>
        </w:rPr>
        <w:t>联合体成员X,……</w:t>
      </w:r>
      <w:bookmarkEnd w:id="51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5"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5"/>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6"/>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napToGrid w:val="0"/>
        <w:spacing w:line="360" w:lineRule="auto"/>
        <w:ind w:firstLine="3666" w:firstLineChars="1100"/>
        <w:rPr>
          <w:rFonts w:hint="eastAsia" w:ascii="仿宋" w:hAnsi="仿宋" w:eastAsia="仿宋" w:cs="仿宋"/>
          <w:b/>
          <w:color w:val="auto"/>
          <w:spacing w:val="6"/>
          <w:sz w:val="32"/>
          <w:szCs w:val="32"/>
          <w:highlight w:val="none"/>
        </w:rPr>
      </w:pPr>
    </w:p>
    <w:p>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napToGrid w:val="0"/>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仿宋" w:hAnsi="仿宋" w:eastAsia="仿宋" w:cs="仿宋"/>
          <w:color w:val="auto"/>
          <w:sz w:val="24"/>
          <w:highlight w:val="none"/>
          <w:lang w:eastAsia="zh-CN"/>
        </w:rPr>
        <w:t>。</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3"/>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1920"/>
        <w:rPr>
          <w:rFonts w:hint="eastAsia" w:ascii="仿宋" w:hAnsi="仿宋" w:eastAsia="仿宋" w:cs="仿宋"/>
          <w:color w:val="auto"/>
          <w:highlight w:val="none"/>
          <w:lang w:val="zh-CN"/>
        </w:rPr>
      </w:pPr>
    </w:p>
    <w:p>
      <w:pPr>
        <w:snapToGrid w:val="0"/>
        <w:spacing w:line="360" w:lineRule="auto"/>
        <w:ind w:right="240"/>
        <w:jc w:val="right"/>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hint="eastAsia" w:ascii="仿宋" w:hAnsi="仿宋" w:eastAsia="仿宋" w:cs="仿宋"/>
          <w:color w:val="auto"/>
          <w:highlight w:val="none"/>
          <w:lang w:val="zh-CN"/>
        </w:rPr>
      </w:pPr>
    </w:p>
    <w:p>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3"/>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sz w:val="32"/>
          <w:szCs w:val="32"/>
          <w:highlight w:val="none"/>
        </w:rPr>
      </w:pPr>
    </w:p>
    <w:p>
      <w:pPr>
        <w:pStyle w:val="3"/>
        <w:rPr>
          <w:rFonts w:hint="eastAsia" w:ascii="仿宋" w:hAnsi="仿宋" w:eastAsia="仿宋" w:cs="仿宋"/>
          <w:color w:val="auto"/>
          <w:highlight w:val="none"/>
        </w:rPr>
      </w:pPr>
    </w:p>
    <w:p>
      <w:pPr>
        <w:pStyle w:val="3"/>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164085800"/>
    <w:bookmarkStart w:id="519" w:name="_Toc91899912"/>
    <w:bookmarkStart w:id="520" w:name="_Toc3611018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02F80"/>
    <w:multiLevelType w:val="singleLevel"/>
    <w:tmpl w:val="A5802F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030d3377-caef-400d-b420-fe11a526b98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21081"/>
    <w:rsid w:val="036634D2"/>
    <w:rsid w:val="03C14E34"/>
    <w:rsid w:val="03DD35E4"/>
    <w:rsid w:val="04076900"/>
    <w:rsid w:val="041A5A3B"/>
    <w:rsid w:val="042311BA"/>
    <w:rsid w:val="042A28FC"/>
    <w:rsid w:val="042B157A"/>
    <w:rsid w:val="048F763B"/>
    <w:rsid w:val="049F330E"/>
    <w:rsid w:val="04AA775C"/>
    <w:rsid w:val="04AF1889"/>
    <w:rsid w:val="04DC6821"/>
    <w:rsid w:val="04F66F48"/>
    <w:rsid w:val="05043453"/>
    <w:rsid w:val="05251E14"/>
    <w:rsid w:val="05A16594"/>
    <w:rsid w:val="05A7762D"/>
    <w:rsid w:val="06043D1B"/>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BD1FA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858B5"/>
    <w:rsid w:val="0CFE707A"/>
    <w:rsid w:val="0D063BDA"/>
    <w:rsid w:val="0D08375F"/>
    <w:rsid w:val="0D184CFB"/>
    <w:rsid w:val="0D4A7419"/>
    <w:rsid w:val="0D4E2FA5"/>
    <w:rsid w:val="0D5164F9"/>
    <w:rsid w:val="0D567A1D"/>
    <w:rsid w:val="0D827401"/>
    <w:rsid w:val="0D84094E"/>
    <w:rsid w:val="0D8A00E9"/>
    <w:rsid w:val="0D8D589E"/>
    <w:rsid w:val="0DA01C73"/>
    <w:rsid w:val="0DD63300"/>
    <w:rsid w:val="0DF50604"/>
    <w:rsid w:val="0DF702FE"/>
    <w:rsid w:val="0E060E51"/>
    <w:rsid w:val="0E5604B2"/>
    <w:rsid w:val="0E6D5D79"/>
    <w:rsid w:val="0E9D0089"/>
    <w:rsid w:val="0EA10635"/>
    <w:rsid w:val="0EB803EE"/>
    <w:rsid w:val="0EF94D4B"/>
    <w:rsid w:val="0F192CA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85E95"/>
    <w:rsid w:val="10F33360"/>
    <w:rsid w:val="10FC16EA"/>
    <w:rsid w:val="110F1D40"/>
    <w:rsid w:val="111F1082"/>
    <w:rsid w:val="11266F33"/>
    <w:rsid w:val="114F7C08"/>
    <w:rsid w:val="118963A1"/>
    <w:rsid w:val="11C6522A"/>
    <w:rsid w:val="11E104CC"/>
    <w:rsid w:val="11E20309"/>
    <w:rsid w:val="12255233"/>
    <w:rsid w:val="12530213"/>
    <w:rsid w:val="127723A9"/>
    <w:rsid w:val="12862074"/>
    <w:rsid w:val="12883966"/>
    <w:rsid w:val="129E45B4"/>
    <w:rsid w:val="12D81596"/>
    <w:rsid w:val="12E31C16"/>
    <w:rsid w:val="13072A44"/>
    <w:rsid w:val="135F4BE2"/>
    <w:rsid w:val="139B1A0A"/>
    <w:rsid w:val="139D25C7"/>
    <w:rsid w:val="13BF3CE4"/>
    <w:rsid w:val="141008D8"/>
    <w:rsid w:val="14125FE6"/>
    <w:rsid w:val="14300297"/>
    <w:rsid w:val="146D271E"/>
    <w:rsid w:val="14982588"/>
    <w:rsid w:val="149A5AD9"/>
    <w:rsid w:val="14A7619D"/>
    <w:rsid w:val="150536C3"/>
    <w:rsid w:val="150B2427"/>
    <w:rsid w:val="150C1963"/>
    <w:rsid w:val="151447A0"/>
    <w:rsid w:val="154A6454"/>
    <w:rsid w:val="15762120"/>
    <w:rsid w:val="15C10692"/>
    <w:rsid w:val="163C4081"/>
    <w:rsid w:val="16917328"/>
    <w:rsid w:val="16A8729C"/>
    <w:rsid w:val="16B33777"/>
    <w:rsid w:val="16BC70A7"/>
    <w:rsid w:val="16C6339E"/>
    <w:rsid w:val="172F2D79"/>
    <w:rsid w:val="17557BEF"/>
    <w:rsid w:val="17D349C1"/>
    <w:rsid w:val="1830729E"/>
    <w:rsid w:val="1870062C"/>
    <w:rsid w:val="18817102"/>
    <w:rsid w:val="18830A15"/>
    <w:rsid w:val="18852B28"/>
    <w:rsid w:val="188B5321"/>
    <w:rsid w:val="189E35C3"/>
    <w:rsid w:val="196F168A"/>
    <w:rsid w:val="19932372"/>
    <w:rsid w:val="19A20DD5"/>
    <w:rsid w:val="19AE03F1"/>
    <w:rsid w:val="1A071A03"/>
    <w:rsid w:val="1A1F16AE"/>
    <w:rsid w:val="1A3B5C77"/>
    <w:rsid w:val="1A984BAD"/>
    <w:rsid w:val="1AB677C4"/>
    <w:rsid w:val="1AB8220E"/>
    <w:rsid w:val="1AE4166C"/>
    <w:rsid w:val="1AF06CFB"/>
    <w:rsid w:val="1AF11B8D"/>
    <w:rsid w:val="1B11359C"/>
    <w:rsid w:val="1B2A271F"/>
    <w:rsid w:val="1B3042C2"/>
    <w:rsid w:val="1B3A5949"/>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B761C"/>
    <w:rsid w:val="1F5771FF"/>
    <w:rsid w:val="1F76778A"/>
    <w:rsid w:val="1FAA27D5"/>
    <w:rsid w:val="1FD46CF6"/>
    <w:rsid w:val="1FD52DD5"/>
    <w:rsid w:val="1FE868A9"/>
    <w:rsid w:val="20034907"/>
    <w:rsid w:val="20173E4B"/>
    <w:rsid w:val="203D5274"/>
    <w:rsid w:val="204E48BC"/>
    <w:rsid w:val="208921B3"/>
    <w:rsid w:val="20973DEB"/>
    <w:rsid w:val="20B26522"/>
    <w:rsid w:val="20B44310"/>
    <w:rsid w:val="20D95AE6"/>
    <w:rsid w:val="211116EB"/>
    <w:rsid w:val="214747E7"/>
    <w:rsid w:val="216133FC"/>
    <w:rsid w:val="2185666F"/>
    <w:rsid w:val="218A7CE6"/>
    <w:rsid w:val="21D56769"/>
    <w:rsid w:val="21E52EF3"/>
    <w:rsid w:val="21FB5D7B"/>
    <w:rsid w:val="22015E94"/>
    <w:rsid w:val="220B1C3D"/>
    <w:rsid w:val="221A5330"/>
    <w:rsid w:val="221D1D20"/>
    <w:rsid w:val="22334A87"/>
    <w:rsid w:val="22BE6801"/>
    <w:rsid w:val="23130EA7"/>
    <w:rsid w:val="23337719"/>
    <w:rsid w:val="233500BF"/>
    <w:rsid w:val="23377FF7"/>
    <w:rsid w:val="236B425F"/>
    <w:rsid w:val="23836192"/>
    <w:rsid w:val="23901F29"/>
    <w:rsid w:val="239C0061"/>
    <w:rsid w:val="23B908A4"/>
    <w:rsid w:val="23E95BEF"/>
    <w:rsid w:val="23FD0064"/>
    <w:rsid w:val="241866F9"/>
    <w:rsid w:val="24465B9C"/>
    <w:rsid w:val="245375B0"/>
    <w:rsid w:val="24642C0A"/>
    <w:rsid w:val="24B22173"/>
    <w:rsid w:val="24B95AD9"/>
    <w:rsid w:val="24BE24DA"/>
    <w:rsid w:val="24CF5825"/>
    <w:rsid w:val="24D663E6"/>
    <w:rsid w:val="24D77F2B"/>
    <w:rsid w:val="258B00E2"/>
    <w:rsid w:val="25A917A6"/>
    <w:rsid w:val="25BE27CC"/>
    <w:rsid w:val="25CB4C74"/>
    <w:rsid w:val="25F74A5C"/>
    <w:rsid w:val="26112CDF"/>
    <w:rsid w:val="2628662C"/>
    <w:rsid w:val="262D45DE"/>
    <w:rsid w:val="26871DC8"/>
    <w:rsid w:val="26A53EF9"/>
    <w:rsid w:val="26A94201"/>
    <w:rsid w:val="26AC274F"/>
    <w:rsid w:val="26D26A6B"/>
    <w:rsid w:val="27044A29"/>
    <w:rsid w:val="27102AEF"/>
    <w:rsid w:val="271D34C8"/>
    <w:rsid w:val="276142BF"/>
    <w:rsid w:val="27783712"/>
    <w:rsid w:val="27907362"/>
    <w:rsid w:val="28333E1D"/>
    <w:rsid w:val="28454BD6"/>
    <w:rsid w:val="28455253"/>
    <w:rsid w:val="28551971"/>
    <w:rsid w:val="285B1C53"/>
    <w:rsid w:val="289F7086"/>
    <w:rsid w:val="28B95A3F"/>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04BAB"/>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A6B47"/>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A4C90"/>
    <w:rsid w:val="34211214"/>
    <w:rsid w:val="342E63AB"/>
    <w:rsid w:val="34950E68"/>
    <w:rsid w:val="34986E94"/>
    <w:rsid w:val="34AF62C9"/>
    <w:rsid w:val="34CB4388"/>
    <w:rsid w:val="34FA6E12"/>
    <w:rsid w:val="354D7158"/>
    <w:rsid w:val="358D5588"/>
    <w:rsid w:val="359A3740"/>
    <w:rsid w:val="363A3B40"/>
    <w:rsid w:val="365302AE"/>
    <w:rsid w:val="36607A0A"/>
    <w:rsid w:val="366E227C"/>
    <w:rsid w:val="366F2E0D"/>
    <w:rsid w:val="367B6A5C"/>
    <w:rsid w:val="36A74ADA"/>
    <w:rsid w:val="36AD60D5"/>
    <w:rsid w:val="36B224F9"/>
    <w:rsid w:val="36EC0CC9"/>
    <w:rsid w:val="373F410B"/>
    <w:rsid w:val="3754266E"/>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BE1B66"/>
    <w:rsid w:val="3B2349B7"/>
    <w:rsid w:val="3B616CFF"/>
    <w:rsid w:val="3B6259F6"/>
    <w:rsid w:val="3B976654"/>
    <w:rsid w:val="3BC01EFC"/>
    <w:rsid w:val="3BCA786A"/>
    <w:rsid w:val="3BD31E2F"/>
    <w:rsid w:val="3BF15831"/>
    <w:rsid w:val="3C105946"/>
    <w:rsid w:val="3C471448"/>
    <w:rsid w:val="3C5F759A"/>
    <w:rsid w:val="3C6C525A"/>
    <w:rsid w:val="3CB06F3E"/>
    <w:rsid w:val="3CCE23CB"/>
    <w:rsid w:val="3CD17D17"/>
    <w:rsid w:val="3CD216C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C06CB"/>
    <w:rsid w:val="3F060E16"/>
    <w:rsid w:val="3F1D1096"/>
    <w:rsid w:val="3F1F0523"/>
    <w:rsid w:val="3F2F0234"/>
    <w:rsid w:val="3F6363FE"/>
    <w:rsid w:val="3F756B8F"/>
    <w:rsid w:val="3F95482B"/>
    <w:rsid w:val="4019356B"/>
    <w:rsid w:val="40592157"/>
    <w:rsid w:val="406E1CAE"/>
    <w:rsid w:val="40A0133A"/>
    <w:rsid w:val="40C31A53"/>
    <w:rsid w:val="40C55A1F"/>
    <w:rsid w:val="40FF545D"/>
    <w:rsid w:val="410067C8"/>
    <w:rsid w:val="416D025C"/>
    <w:rsid w:val="418F0D2A"/>
    <w:rsid w:val="41D01505"/>
    <w:rsid w:val="42474939"/>
    <w:rsid w:val="424C3C57"/>
    <w:rsid w:val="42613FF3"/>
    <w:rsid w:val="42660D96"/>
    <w:rsid w:val="428667D2"/>
    <w:rsid w:val="42CD1CE0"/>
    <w:rsid w:val="42E1381E"/>
    <w:rsid w:val="42ED6459"/>
    <w:rsid w:val="42FE58DD"/>
    <w:rsid w:val="43174B3D"/>
    <w:rsid w:val="434B22C3"/>
    <w:rsid w:val="434B790E"/>
    <w:rsid w:val="4360274F"/>
    <w:rsid w:val="43977AB6"/>
    <w:rsid w:val="43A3342B"/>
    <w:rsid w:val="43C77C27"/>
    <w:rsid w:val="43DE09EE"/>
    <w:rsid w:val="44002FAD"/>
    <w:rsid w:val="445C3545"/>
    <w:rsid w:val="449101DD"/>
    <w:rsid w:val="44B30B0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27B6"/>
    <w:rsid w:val="46C4686E"/>
    <w:rsid w:val="46E4393B"/>
    <w:rsid w:val="477B778F"/>
    <w:rsid w:val="478203EC"/>
    <w:rsid w:val="47A76412"/>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30473"/>
    <w:rsid w:val="496F77D7"/>
    <w:rsid w:val="497654FD"/>
    <w:rsid w:val="49B64211"/>
    <w:rsid w:val="49E56AF9"/>
    <w:rsid w:val="49F6167F"/>
    <w:rsid w:val="4A064FA0"/>
    <w:rsid w:val="4A086C1A"/>
    <w:rsid w:val="4A16615C"/>
    <w:rsid w:val="4A4424D7"/>
    <w:rsid w:val="4AB82D0F"/>
    <w:rsid w:val="4AEB7664"/>
    <w:rsid w:val="4AFD7C19"/>
    <w:rsid w:val="4B0567D1"/>
    <w:rsid w:val="4B236AAE"/>
    <w:rsid w:val="4B363761"/>
    <w:rsid w:val="4B707271"/>
    <w:rsid w:val="4B9739F7"/>
    <w:rsid w:val="4BEE2503"/>
    <w:rsid w:val="4C245A30"/>
    <w:rsid w:val="4C7A04D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21F09"/>
    <w:rsid w:val="5021480F"/>
    <w:rsid w:val="50727DE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6450"/>
    <w:rsid w:val="51B7396D"/>
    <w:rsid w:val="51D424C0"/>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727C8"/>
    <w:rsid w:val="560D186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B1CDB"/>
    <w:rsid w:val="58917D2F"/>
    <w:rsid w:val="5894085C"/>
    <w:rsid w:val="58AE4F0C"/>
    <w:rsid w:val="58B85899"/>
    <w:rsid w:val="58D45994"/>
    <w:rsid w:val="58E363A9"/>
    <w:rsid w:val="591F4280"/>
    <w:rsid w:val="59267D5E"/>
    <w:rsid w:val="595E1678"/>
    <w:rsid w:val="596D5BD4"/>
    <w:rsid w:val="597E3DD8"/>
    <w:rsid w:val="59B36DE2"/>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1162A"/>
    <w:rsid w:val="5B2E1A1D"/>
    <w:rsid w:val="5B843A1C"/>
    <w:rsid w:val="5B873E3F"/>
    <w:rsid w:val="5C02690E"/>
    <w:rsid w:val="5C196DA7"/>
    <w:rsid w:val="5C2A048C"/>
    <w:rsid w:val="5C80234E"/>
    <w:rsid w:val="5C8A680C"/>
    <w:rsid w:val="5D0C4701"/>
    <w:rsid w:val="5D0F0395"/>
    <w:rsid w:val="5D221076"/>
    <w:rsid w:val="5D397964"/>
    <w:rsid w:val="5D552ADE"/>
    <w:rsid w:val="5D5A391C"/>
    <w:rsid w:val="5D5F10C0"/>
    <w:rsid w:val="5D891B7B"/>
    <w:rsid w:val="5DAD38EE"/>
    <w:rsid w:val="5DE13E74"/>
    <w:rsid w:val="5DFB43B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E182D"/>
    <w:rsid w:val="60232584"/>
    <w:rsid w:val="602A11BD"/>
    <w:rsid w:val="6068418F"/>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4104D"/>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A3D28"/>
    <w:rsid w:val="643E143A"/>
    <w:rsid w:val="64491666"/>
    <w:rsid w:val="64835083"/>
    <w:rsid w:val="648B6EEF"/>
    <w:rsid w:val="64C158BF"/>
    <w:rsid w:val="64CE2EAA"/>
    <w:rsid w:val="64F4441F"/>
    <w:rsid w:val="653C3090"/>
    <w:rsid w:val="6546685C"/>
    <w:rsid w:val="65854376"/>
    <w:rsid w:val="658767BE"/>
    <w:rsid w:val="65892531"/>
    <w:rsid w:val="66142D83"/>
    <w:rsid w:val="66195831"/>
    <w:rsid w:val="662E75B1"/>
    <w:rsid w:val="66342C2E"/>
    <w:rsid w:val="663E784C"/>
    <w:rsid w:val="668B6A45"/>
    <w:rsid w:val="66A60D1F"/>
    <w:rsid w:val="67011F07"/>
    <w:rsid w:val="672F3F24"/>
    <w:rsid w:val="673E055F"/>
    <w:rsid w:val="67551CE3"/>
    <w:rsid w:val="67A22552"/>
    <w:rsid w:val="67B22DCC"/>
    <w:rsid w:val="67BE71AA"/>
    <w:rsid w:val="67CE6B7E"/>
    <w:rsid w:val="67D90273"/>
    <w:rsid w:val="67DE5875"/>
    <w:rsid w:val="67E55852"/>
    <w:rsid w:val="67EB1AB4"/>
    <w:rsid w:val="67FA1285"/>
    <w:rsid w:val="684D5256"/>
    <w:rsid w:val="68551F4F"/>
    <w:rsid w:val="68637AB5"/>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53F02"/>
    <w:rsid w:val="6D167928"/>
    <w:rsid w:val="6D26299B"/>
    <w:rsid w:val="6D4772EC"/>
    <w:rsid w:val="6D9078AF"/>
    <w:rsid w:val="6DAA3FEF"/>
    <w:rsid w:val="6DC0172B"/>
    <w:rsid w:val="6DCB690C"/>
    <w:rsid w:val="6DD41A5B"/>
    <w:rsid w:val="6DF43C2E"/>
    <w:rsid w:val="6DF51CA3"/>
    <w:rsid w:val="6E4D0F51"/>
    <w:rsid w:val="6E8335BD"/>
    <w:rsid w:val="6E8E12EF"/>
    <w:rsid w:val="6E972936"/>
    <w:rsid w:val="6ED446C5"/>
    <w:rsid w:val="6F2A7D94"/>
    <w:rsid w:val="6F8331F1"/>
    <w:rsid w:val="6FAE1A09"/>
    <w:rsid w:val="6FD75BF8"/>
    <w:rsid w:val="707723D0"/>
    <w:rsid w:val="70F01D72"/>
    <w:rsid w:val="70F5661B"/>
    <w:rsid w:val="71360107"/>
    <w:rsid w:val="713B688E"/>
    <w:rsid w:val="71D43752"/>
    <w:rsid w:val="71EF18F4"/>
    <w:rsid w:val="71F1796A"/>
    <w:rsid w:val="72154626"/>
    <w:rsid w:val="72262B5D"/>
    <w:rsid w:val="72283FF7"/>
    <w:rsid w:val="722E7212"/>
    <w:rsid w:val="723A0474"/>
    <w:rsid w:val="72485A07"/>
    <w:rsid w:val="725923E4"/>
    <w:rsid w:val="72864BF7"/>
    <w:rsid w:val="729023FC"/>
    <w:rsid w:val="7393161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DE470D"/>
    <w:rsid w:val="77052AA4"/>
    <w:rsid w:val="77136511"/>
    <w:rsid w:val="77340A39"/>
    <w:rsid w:val="77351FD0"/>
    <w:rsid w:val="77472422"/>
    <w:rsid w:val="777F31F2"/>
    <w:rsid w:val="77D1700D"/>
    <w:rsid w:val="77EC04CC"/>
    <w:rsid w:val="78775729"/>
    <w:rsid w:val="78A42DB0"/>
    <w:rsid w:val="78A656AB"/>
    <w:rsid w:val="78AC6133"/>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B5D54"/>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54463"/>
    <w:rsid w:val="7E9A4E1F"/>
    <w:rsid w:val="7EA7723A"/>
    <w:rsid w:val="7EF56FBB"/>
    <w:rsid w:val="7F0768EB"/>
    <w:rsid w:val="7F143BEC"/>
    <w:rsid w:val="7F715AF2"/>
    <w:rsid w:val="7F886E69"/>
    <w:rsid w:val="7F900C13"/>
    <w:rsid w:val="7FF4AB44"/>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Note Heading"/>
    <w:basedOn w:val="1"/>
    <w:next w:val="1"/>
    <w:qFormat/>
    <w:uiPriority w:val="0"/>
    <w:pPr>
      <w:jc w:val="center"/>
    </w:pPr>
    <w:rPr>
      <w:rFonts w:ascii="仿宋_GB2312" w:hAnsi="Symbol" w:eastAsia="仿宋_GB2312" w:cs="Times New Roman"/>
      <w:szCs w:val="20"/>
      <w:lang w:val="zh-CN"/>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qFormat/>
    <w:uiPriority w:val="0"/>
    <w:pPr>
      <w:ind w:firstLine="420"/>
    </w:pPr>
    <w:rPr>
      <w:rFonts w:hAnsi="Calibri" w:cs="Times New Roman"/>
      <w:snapToGrid/>
      <w:szCs w:val="20"/>
    </w:rPr>
  </w:style>
  <w:style w:type="paragraph" w:styleId="26">
    <w:name w:val="Body Text Indent"/>
    <w:basedOn w:val="1"/>
    <w:next w:val="27"/>
    <w:link w:val="264"/>
    <w:qFormat/>
    <w:uiPriority w:val="0"/>
    <w:pPr>
      <w:spacing w:line="480" w:lineRule="exact"/>
      <w:ind w:firstLine="480" w:firstLineChars="200"/>
    </w:pPr>
    <w:rPr>
      <w:rFonts w:ascii="宋体" w:hAnsi="宋体"/>
      <w:sz w:val="24"/>
    </w:rPr>
  </w:style>
  <w:style w:type="paragraph" w:styleId="27">
    <w:name w:val="Body Text First Indent 2"/>
    <w:basedOn w:val="26"/>
    <w:next w:val="25"/>
    <w:link w:val="121"/>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lang w:val="zh-CN" w:eastAsia="zh-CN" w:bidi="ar-SA"/>
    </w:rPr>
  </w:style>
  <w:style w:type="paragraph" w:customStyle="1" w:styleId="81">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7"/>
    <w:qFormat/>
    <w:uiPriority w:val="0"/>
    <w:rPr>
      <w:rFonts w:ascii="宋体" w:hAnsi="宋体"/>
      <w:kern w:val="2"/>
      <w:sz w:val="21"/>
      <w:szCs w:val="24"/>
    </w:rPr>
  </w:style>
  <w:style w:type="character" w:customStyle="1" w:styleId="122">
    <w:name w:val="font11"/>
    <w:basedOn w:val="70"/>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8"/>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5"/>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封面编号"/>
    <w:basedOn w:val="1"/>
    <w:qFormat/>
    <w:uiPriority w:val="0"/>
    <w:pPr>
      <w:spacing w:line="360" w:lineRule="auto"/>
      <w:jc w:val="center"/>
    </w:pPr>
    <w:rPr>
      <w:rFonts w:ascii="黑体" w:hAnsi="宋体" w:eastAsia="黑体" w:cs="宋体"/>
      <w:b/>
      <w:bCs/>
      <w:sz w:val="38"/>
      <w:szCs w:val="20"/>
    </w:rPr>
  </w:style>
  <w:style w:type="paragraph" w:customStyle="1" w:styleId="96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6">
    <w:name w:val="表格居左"/>
    <w:basedOn w:val="1"/>
    <w:qFormat/>
    <w:uiPriority w:val="0"/>
    <w:pPr>
      <w:jc w:val="left"/>
    </w:pPr>
    <w:rPr>
      <w:rFonts w:ascii="宋体" w:hAnsi="宋体"/>
      <w:szCs w:val="20"/>
    </w:rPr>
  </w:style>
  <w:style w:type="paragraph" w:customStyle="1" w:styleId="967">
    <w:name w:val="正文文字缩进1"/>
    <w:basedOn w:val="1"/>
    <w:qFormat/>
    <w:uiPriority w:val="0"/>
    <w:pPr>
      <w:autoSpaceDE w:val="0"/>
      <w:autoSpaceDN w:val="0"/>
      <w:adjustRightInd w:val="0"/>
      <w:textAlignment w:val="baseline"/>
    </w:pPr>
    <w:rPr>
      <w:rFonts w:ascii="Symbol" w:hAnsi="Symbol" w:eastAsia="仿宋_GB2312" w:cs="Symbol"/>
      <w:spacing w:val="-2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35841</Words>
  <Characters>38132</Characters>
  <Lines>281</Lines>
  <Paragraphs>79</Paragraphs>
  <TotalTime>0</TotalTime>
  <ScaleCrop>false</ScaleCrop>
  <LinksUpToDate>false</LinksUpToDate>
  <CharactersWithSpaces>43488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DELL</cp:lastModifiedBy>
  <cp:lastPrinted>2021-12-27T11:06:00Z</cp:lastPrinted>
  <dcterms:modified xsi:type="dcterms:W3CDTF">2024-11-06T05:41:15Z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B53F6372450E49A8B1A0597D8136ECDB_13</vt:lpwstr>
  </property>
</Properties>
</file>