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z w:val="24"/>
          <w:highlight w:val="none"/>
        </w:rPr>
      </w:pPr>
    </w:p>
    <w:p>
      <w:pPr>
        <w:adjustRightInd/>
        <w:spacing w:line="360" w:lineRule="auto"/>
        <w:jc w:val="center"/>
        <w:rPr>
          <w:rFonts w:ascii="仿宋" w:hAnsi="仿宋" w:eastAsia="仿宋" w:cs="仿宋"/>
          <w:b/>
          <w:color w:val="auto"/>
          <w:sz w:val="44"/>
          <w:szCs w:val="44"/>
          <w:highlight w:val="none"/>
        </w:rPr>
      </w:pPr>
    </w:p>
    <w:p>
      <w:pPr>
        <w:adjustRightInd/>
        <w:spacing w:line="360" w:lineRule="auto"/>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lang w:eastAsia="zh-CN"/>
        </w:rPr>
        <w:t>杭州市萧山区人民法院</w:t>
      </w:r>
      <w:r>
        <w:rPr>
          <w:rFonts w:hint="eastAsia" w:ascii="仿宋" w:hAnsi="仿宋" w:eastAsia="仿宋" w:cs="仿宋"/>
          <w:b/>
          <w:bCs/>
          <w:color w:val="auto"/>
          <w:sz w:val="52"/>
          <w:szCs w:val="52"/>
          <w:highlight w:val="none"/>
          <w:lang w:val="en-US" w:eastAsia="zh-CN"/>
        </w:rPr>
        <w:t>2024年</w:t>
      </w:r>
      <w:r>
        <w:rPr>
          <w:rFonts w:hint="eastAsia" w:ascii="仿宋" w:hAnsi="仿宋" w:eastAsia="仿宋" w:cs="仿宋"/>
          <w:b/>
          <w:bCs/>
          <w:color w:val="auto"/>
          <w:sz w:val="52"/>
          <w:szCs w:val="52"/>
          <w:highlight w:val="none"/>
          <w:lang w:eastAsia="zh-CN"/>
        </w:rPr>
        <w:t>电子</w:t>
      </w:r>
      <w:r>
        <w:rPr>
          <w:rFonts w:hint="eastAsia" w:ascii="仿宋" w:hAnsi="仿宋" w:eastAsia="仿宋" w:cs="仿宋"/>
          <w:b/>
          <w:bCs/>
          <w:color w:val="auto"/>
          <w:sz w:val="52"/>
          <w:szCs w:val="52"/>
          <w:highlight w:val="none"/>
          <w:lang w:val="en-US" w:eastAsia="zh-CN"/>
        </w:rPr>
        <w:t>卷宗</w:t>
      </w:r>
      <w:r>
        <w:rPr>
          <w:rFonts w:hint="eastAsia" w:ascii="仿宋" w:hAnsi="仿宋" w:eastAsia="仿宋" w:cs="仿宋"/>
          <w:b/>
          <w:bCs/>
          <w:color w:val="auto"/>
          <w:sz w:val="52"/>
          <w:szCs w:val="52"/>
          <w:highlight w:val="none"/>
          <w:lang w:eastAsia="zh-CN"/>
        </w:rPr>
        <w:t>随案生成服务政府采购项目</w:t>
      </w:r>
    </w:p>
    <w:p>
      <w:pPr>
        <w:adjustRightInd/>
        <w:spacing w:line="360" w:lineRule="auto"/>
        <w:jc w:val="center"/>
        <w:rPr>
          <w:rFonts w:ascii="仿宋" w:hAnsi="仿宋" w:eastAsia="仿宋" w:cs="仿宋"/>
          <w:color w:val="auto"/>
          <w:sz w:val="48"/>
          <w:szCs w:val="48"/>
          <w:highlight w:val="none"/>
        </w:rPr>
      </w:pPr>
    </w:p>
    <w:p>
      <w:pPr>
        <w:adjustRightInd/>
        <w:spacing w:line="360" w:lineRule="auto"/>
        <w:jc w:val="center"/>
        <w:rPr>
          <w:rFonts w:ascii="仿宋" w:hAnsi="仿宋" w:eastAsia="仿宋" w:cs="仿宋"/>
          <w:color w:val="auto"/>
          <w:sz w:val="48"/>
          <w:szCs w:val="48"/>
          <w:highlight w:val="none"/>
        </w:rPr>
      </w:pPr>
    </w:p>
    <w:p>
      <w:pPr>
        <w:adjustRightInd/>
        <w:spacing w:line="360" w:lineRule="auto"/>
        <w:jc w:val="center"/>
        <w:rPr>
          <w:rFonts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pPr>
        <w:adjustRightInd/>
        <w:spacing w:line="360" w:lineRule="auto"/>
        <w:jc w:val="center"/>
        <w:rPr>
          <w:rFonts w:hint="default" w:ascii="仿宋" w:hAnsi="仿宋" w:eastAsia="仿宋" w:cs="仿宋"/>
          <w:color w:val="auto"/>
          <w:sz w:val="32"/>
          <w:szCs w:val="21"/>
          <w:highlight w:val="none"/>
          <w:lang w:val="en-US"/>
        </w:rPr>
      </w:pPr>
      <w:r>
        <w:rPr>
          <w:rFonts w:hint="eastAsia" w:ascii="仿宋" w:hAnsi="仿宋" w:eastAsia="仿宋" w:cs="仿宋"/>
          <w:color w:val="auto"/>
          <w:sz w:val="32"/>
          <w:szCs w:val="32"/>
          <w:highlight w:val="none"/>
        </w:rPr>
        <w:t>项目编号:BWZBDL2024-145</w:t>
      </w:r>
    </w:p>
    <w:p>
      <w:pPr>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jc w:val="center"/>
        <w:rPr>
          <w:rFonts w:ascii="仿宋" w:hAnsi="仿宋" w:eastAsia="仿宋" w:cs="仿宋"/>
          <w:b/>
          <w:color w:val="auto"/>
          <w:sz w:val="44"/>
          <w:szCs w:val="44"/>
          <w:highlight w:val="none"/>
        </w:rPr>
      </w:pPr>
    </w:p>
    <w:p>
      <w:pPr>
        <w:spacing w:line="360" w:lineRule="auto"/>
        <w:jc w:val="center"/>
        <w:rPr>
          <w:rFonts w:ascii="仿宋" w:hAnsi="仿宋" w:eastAsia="仿宋" w:cs="仿宋"/>
          <w:b/>
          <w:color w:val="auto"/>
          <w:sz w:val="44"/>
          <w:szCs w:val="44"/>
          <w:highlight w:val="none"/>
        </w:rPr>
      </w:pPr>
    </w:p>
    <w:p>
      <w:pPr>
        <w:spacing w:line="360" w:lineRule="auto"/>
        <w:jc w:val="center"/>
        <w:rPr>
          <w:rFonts w:ascii="仿宋" w:hAnsi="仿宋" w:eastAsia="仿宋" w:cs="仿宋"/>
          <w:color w:val="auto"/>
          <w:sz w:val="24"/>
          <w:highlight w:val="none"/>
        </w:rPr>
      </w:pPr>
    </w:p>
    <w:p>
      <w:pPr>
        <w:spacing w:line="360" w:lineRule="auto"/>
        <w:rPr>
          <w:rFonts w:ascii="仿宋" w:hAnsi="仿宋" w:eastAsia="仿宋" w:cs="仿宋"/>
          <w:color w:val="auto"/>
          <w:sz w:val="32"/>
          <w:szCs w:val="32"/>
          <w:highlight w:val="none"/>
        </w:rPr>
      </w:pPr>
    </w:p>
    <w:p>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杭州市萧山区人民法院</w:t>
      </w:r>
    </w:p>
    <w:p>
      <w:pPr>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杭州博望建设工程招标投标代理有限公司</w:t>
      </w:r>
    </w:p>
    <w:p>
      <w:pPr>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202</w:t>
      </w:r>
      <w:r>
        <w:rPr>
          <w:rFonts w:hint="eastAsia" w:ascii="仿宋" w:hAnsi="仿宋" w:eastAsia="仿宋" w:cs="仿宋"/>
          <w:bCs/>
          <w:color w:val="auto"/>
          <w:sz w:val="32"/>
          <w:szCs w:val="32"/>
          <w:highlight w:val="none"/>
          <w:lang w:val="en-US" w:eastAsia="zh-CN"/>
        </w:rPr>
        <w:t>4</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06</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26</w:t>
      </w:r>
      <w:r>
        <w:rPr>
          <w:rFonts w:hint="eastAsia" w:ascii="仿宋" w:hAnsi="仿宋" w:eastAsia="仿宋" w:cs="仿宋"/>
          <w:bCs/>
          <w:color w:val="auto"/>
          <w:sz w:val="32"/>
          <w:szCs w:val="32"/>
          <w:highlight w:val="none"/>
        </w:rPr>
        <w:t>日</w:t>
      </w:r>
    </w:p>
    <w:p>
      <w:pPr>
        <w:pStyle w:val="2"/>
        <w:rPr>
          <w:rFonts w:ascii="仿宋" w:eastAsia="仿宋" w:cs="仿宋"/>
          <w:color w:val="auto"/>
          <w:highlight w:val="none"/>
        </w:rPr>
      </w:pP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pPr>
        <w:pStyle w:val="639"/>
        <w:rPr>
          <w:rFonts w:ascii="仿宋" w:hAnsi="仿宋" w:eastAsia="仿宋" w:cs="仿宋"/>
          <w:color w:val="auto"/>
          <w:highlight w:val="none"/>
        </w:rPr>
      </w:pPr>
    </w:p>
    <w:p>
      <w:pPr>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ascii="仿宋" w:hAnsi="仿宋" w:eastAsia="仿宋" w:cs="仿宋"/>
          <w:color w:val="auto"/>
          <w:sz w:val="32"/>
          <w:szCs w:val="32"/>
          <w:highlight w:val="none"/>
        </w:rPr>
      </w:pPr>
    </w:p>
    <w:p>
      <w:pPr>
        <w:spacing w:line="360" w:lineRule="auto"/>
        <w:rPr>
          <w:rFonts w:ascii="仿宋" w:hAnsi="仿宋" w:eastAsia="仿宋" w:cs="仿宋"/>
          <w:color w:val="auto"/>
          <w:sz w:val="32"/>
          <w:szCs w:val="32"/>
          <w:highlight w:val="none"/>
        </w:rPr>
      </w:pP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adjustRightInd/>
        <w:spacing w:line="360" w:lineRule="auto"/>
        <w:jc w:val="center"/>
        <w:outlineLvl w:val="0"/>
        <w:rPr>
          <w:rFonts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杭州市萧山区人民法院2024年电子卷宗随案生成服务政府采购项目</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https://www.zcygov.cn/）获取（下载）招标文件，并于2024年</w:t>
      </w:r>
      <w:r>
        <w:rPr>
          <w:rStyle w:val="76"/>
          <w:rFonts w:hint="eastAsia" w:ascii="仿宋" w:hAnsi="仿宋" w:eastAsia="仿宋" w:cs="仿宋"/>
          <w:snapToGrid/>
          <w:color w:val="auto"/>
          <w:kern w:val="2"/>
          <w:sz w:val="24"/>
          <w:szCs w:val="24"/>
          <w:highlight w:val="none"/>
          <w:lang w:val="en-US" w:eastAsia="zh-CN"/>
        </w:rPr>
        <w:t>07</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17</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09</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0</w:t>
      </w:r>
      <w:r>
        <w:rPr>
          <w:rStyle w:val="76"/>
          <w:rFonts w:hint="eastAsia" w:ascii="仿宋" w:hAnsi="仿宋" w:eastAsia="仿宋" w:cs="仿宋"/>
          <w:snapToGrid/>
          <w:color w:val="auto"/>
          <w:kern w:val="2"/>
          <w:sz w:val="24"/>
          <w:szCs w:val="24"/>
          <w:highlight w:val="none"/>
        </w:rPr>
        <w:t>0分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pPr>
        <w:spacing w:line="360" w:lineRule="auto"/>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rPr>
        <w:t>BWZBDL2024-145</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bCs/>
          <w:color w:val="auto"/>
          <w:sz w:val="24"/>
          <w:highlight w:val="none"/>
          <w:lang w:eastAsia="zh-CN"/>
        </w:rPr>
        <w:t>杭州市萧山区人民法院2024年电子卷宗随案生成服务政府采购项目</w:t>
      </w:r>
    </w:p>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val="0"/>
          <w:bCs/>
          <w:color w:val="auto"/>
          <w:sz w:val="24"/>
          <w:highlight w:val="none"/>
          <w:lang w:val="en-US" w:eastAsia="zh-CN"/>
        </w:rPr>
        <w:t>105</w:t>
      </w:r>
      <w:r>
        <w:rPr>
          <w:rFonts w:hint="eastAsia" w:ascii="仿宋" w:hAnsi="仿宋" w:eastAsia="仿宋" w:cs="仿宋"/>
          <w:b w:val="0"/>
          <w:bCs/>
          <w:color w:val="auto"/>
          <w:sz w:val="24"/>
          <w:highlight w:val="none"/>
        </w:rPr>
        <w:t>0000</w:t>
      </w:r>
      <w:r>
        <w:rPr>
          <w:rFonts w:hint="eastAsia" w:ascii="仿宋" w:hAnsi="仿宋" w:eastAsia="仿宋" w:cs="仿宋"/>
          <w:b w:val="0"/>
          <w:bCs/>
          <w:color w:val="auto"/>
          <w:sz w:val="24"/>
          <w:highlight w:val="none"/>
          <w:lang w:val="en-US" w:eastAsia="zh-CN"/>
        </w:rPr>
        <w:t>.00</w:t>
      </w:r>
    </w:p>
    <w:p>
      <w:pPr>
        <w:spacing w:line="360" w:lineRule="auto"/>
        <w:ind w:firstLine="480"/>
        <w:rPr>
          <w:rFonts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lang w:val="en-US" w:eastAsia="zh-CN"/>
        </w:rPr>
        <w:t>105</w:t>
      </w:r>
      <w:r>
        <w:rPr>
          <w:rFonts w:hint="eastAsia" w:ascii="仿宋" w:hAnsi="仿宋" w:eastAsia="仿宋" w:cs="仿宋"/>
          <w:b w:val="0"/>
          <w:bCs/>
          <w:color w:val="auto"/>
          <w:sz w:val="24"/>
          <w:highlight w:val="none"/>
        </w:rPr>
        <w:t>0000</w:t>
      </w:r>
      <w:r>
        <w:rPr>
          <w:rFonts w:hint="eastAsia" w:ascii="仿宋" w:hAnsi="仿宋" w:eastAsia="仿宋" w:cs="仿宋"/>
          <w:b w:val="0"/>
          <w:bCs/>
          <w:color w:val="auto"/>
          <w:sz w:val="24"/>
          <w:highlight w:val="none"/>
          <w:lang w:val="en-US" w:eastAsia="zh-CN"/>
        </w:rPr>
        <w:t>.00</w:t>
      </w:r>
    </w:p>
    <w:p>
      <w:pPr>
        <w:pStyle w:val="5"/>
        <w:spacing w:line="360" w:lineRule="auto"/>
        <w:ind w:firstLine="480"/>
        <w:rPr>
          <w:rFonts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color w:val="auto"/>
          <w:sz w:val="24"/>
          <w:highlight w:val="none"/>
          <w:lang w:eastAsia="zh-CN"/>
        </w:rPr>
        <w:t>杭州市萧山区人民法院2024年电子卷宗随案生成服务政府采购项目</w:t>
      </w:r>
      <w:r>
        <w:rPr>
          <w:rFonts w:hint="eastAsia" w:ascii="仿宋" w:hAnsi="仿宋" w:eastAsia="仿宋" w:cs="仿宋"/>
          <w:bCs/>
          <w:color w:val="auto"/>
          <w:sz w:val="24"/>
          <w:highlight w:val="none"/>
        </w:rPr>
        <w:t>，</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Cs/>
          <w:color w:val="auto"/>
          <w:sz w:val="24"/>
          <w:highlight w:val="none"/>
          <w:lang w:eastAsia="zh-CN"/>
        </w:rPr>
        <w:t>2024年电子卷宗随案生成服务</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pPr>
        <w:pStyle w:val="132"/>
        <w:ind w:firstLine="482"/>
        <w:outlineLvl w:val="2"/>
        <w:rPr>
          <w:rFonts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color w:val="auto"/>
          <w:szCs w:val="24"/>
          <w:highlight w:val="none"/>
        </w:rPr>
        <w:t>详见采购需求</w:t>
      </w:r>
      <w:r>
        <w:rPr>
          <w:rFonts w:hint="eastAsia" w:ascii="仿宋" w:hAnsi="仿宋" w:eastAsia="仿宋" w:cs="仿宋"/>
          <w:bCs/>
          <w:color w:val="auto"/>
          <w:highlight w:val="none"/>
        </w:rPr>
        <w:t>。</w:t>
      </w:r>
    </w:p>
    <w:p>
      <w:pPr>
        <w:pStyle w:val="5"/>
        <w:spacing w:line="360" w:lineRule="auto"/>
        <w:ind w:firstLine="480"/>
        <w:rPr>
          <w:rFonts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pPr>
        <w:spacing w:line="360" w:lineRule="auto"/>
        <w:ind w:firstLine="48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1928616923"/>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MS Gothic" w:hAnsi="MS Gothic" w:eastAsia="仿宋" w:cs="仿宋"/>
              <w:snapToGrid w:val="0"/>
              <w:color w:val="auto"/>
              <w:kern w:val="28"/>
              <w:sz w:val="24"/>
              <w:szCs w:val="20"/>
              <w:highlight w:val="none"/>
              <w:lang w:val="en-US" w:eastAsia="zh-CN" w:bidi="ar-SA"/>
            </w:rPr>
            <w:t>☐</w:t>
          </w:r>
        </w:sdtContent>
      </w:sdt>
      <w:r>
        <w:rPr>
          <w:rFonts w:hint="eastAsia" w:ascii="仿宋" w:hAnsi="仿宋" w:eastAsia="仿宋" w:cs="仿宋"/>
          <w:snapToGrid w:val="0"/>
          <w:color w:val="auto"/>
          <w:kern w:val="28"/>
          <w:sz w:val="24"/>
          <w:szCs w:val="20"/>
          <w:highlight w:val="none"/>
        </w:rPr>
        <w:t>无（注：不得限制大中型企业与小微企业组成联合体参与投标）；</w:t>
      </w:r>
    </w:p>
    <w:p>
      <w:pPr>
        <w:spacing w:line="360" w:lineRule="auto"/>
        <w:ind w:firstLine="48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4"/>
          <w14:checkbox>
            <w14:checked w14:val="1"/>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Wingdings" w:hAnsi="Wingdings" w:eastAsia="仿宋" w:cs="仿宋"/>
              <w:snapToGrid w:val="0"/>
              <w:color w:val="auto"/>
              <w:kern w:val="28"/>
              <w:sz w:val="24"/>
              <w:szCs w:val="20"/>
              <w:highlight w:val="none"/>
              <w:lang w:val="en-US" w:eastAsia="zh-CN" w:bidi="ar-SA"/>
            </w:rPr>
            <w:t>þ</w:t>
          </w:r>
        </w:sdtContent>
      </w:sdt>
      <w:r>
        <w:rPr>
          <w:rFonts w:hint="eastAsia" w:ascii="仿宋" w:hAnsi="仿宋" w:eastAsia="仿宋" w:cs="仿宋"/>
          <w:snapToGrid w:val="0"/>
          <w:color w:val="auto"/>
          <w:kern w:val="28"/>
          <w:sz w:val="24"/>
          <w:szCs w:val="20"/>
          <w:highlight w:val="none"/>
        </w:rPr>
        <w:t>专门面向中小企业</w:t>
      </w:r>
    </w:p>
    <w:p>
      <w:pPr>
        <w:spacing w:line="360" w:lineRule="auto"/>
        <w:ind w:firstLine="84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5"/>
          <w14:checkbox>
            <w14:checked w14:val="1"/>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Wingdings" w:hAnsi="Wingdings" w:eastAsia="仿宋" w:cs="仿宋"/>
              <w:snapToGrid w:val="0"/>
              <w:color w:val="auto"/>
              <w:kern w:val="28"/>
              <w:sz w:val="24"/>
              <w:szCs w:val="20"/>
              <w:highlight w:val="none"/>
              <w:lang w:val="en-US" w:eastAsia="zh-CN" w:bidi="ar-SA"/>
            </w:rPr>
            <w:t>þ</w:t>
          </w:r>
        </w:sdtContent>
      </w:sdt>
      <w:r>
        <w:rPr>
          <w:rFonts w:hint="eastAsia" w:ascii="仿宋" w:hAnsi="仿宋" w:eastAsia="仿宋" w:cs="仿宋"/>
          <w:snapToGrid w:val="0"/>
          <w:color w:val="auto"/>
          <w:kern w:val="28"/>
          <w:sz w:val="24"/>
          <w:szCs w:val="20"/>
          <w:highlight w:val="none"/>
        </w:rPr>
        <w:t>服务全部由符合政策要求的中小企业承接，提供中小企业声明函；</w:t>
      </w:r>
    </w:p>
    <w:p>
      <w:pPr>
        <w:spacing w:line="360" w:lineRule="auto"/>
        <w:ind w:firstLine="84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6"/>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服务全部由符合政策要求的小微企业承接，提供中小企业声明函；</w:t>
      </w:r>
    </w:p>
    <w:p>
      <w:pPr>
        <w:spacing w:line="360" w:lineRule="auto"/>
        <w:ind w:firstLine="48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7"/>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要求以联合体形式参加，提供联合协议和中小企业声明函，联合协议中中小企业合同金额应当达到  %，其中小微企业合同金额应当达到 %;如果供应商本身提供所有标的均由中小企业制造、承建或承接，并相应达到了前述比例要求，视同符合了资格条件，无需再与其他中小企业组成联合体参加政府采购活动，无需提供联合协议；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34630645"/>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要求合同分包，提供分包意向协议和中小企业声明函，分包意向协议中中小企业合同金额应当达到达到  % ，其中小微企业合同金额应当达到 % ;如果供应商本身提供所有标的均由中小企业制造、承建或承接，并相应达到了前述比例要求，视同符合了资格条件，无需再向中小企业分包，无需提供分包意向协议；</w:t>
      </w:r>
    </w:p>
    <w:p>
      <w:pPr>
        <w:spacing w:line="360" w:lineRule="auto"/>
        <w:ind w:firstLine="480" w:firstLineChars="200"/>
        <w:rPr>
          <w:rFonts w:hint="eastAsia" w:ascii="仿宋" w:hAnsi="仿宋" w:eastAsia="仿宋" w:cs="仿宋"/>
          <w:color w:val="auto"/>
          <w:sz w:val="24"/>
          <w:highlight w:val="yellow"/>
          <w:lang w:val="en-US" w:eastAsia="zh-CN"/>
        </w:rPr>
      </w:pPr>
      <w:r>
        <w:rPr>
          <w:rFonts w:hint="eastAsia" w:ascii="仿宋" w:hAnsi="仿宋" w:eastAsia="仿宋" w:cs="仿宋"/>
          <w:color w:val="auto"/>
          <w:sz w:val="24"/>
          <w:highlight w:val="yellow"/>
        </w:rPr>
        <w:t>4.本项目的特定资格要求：</w:t>
      </w:r>
      <w:r>
        <w:rPr>
          <w:rFonts w:hint="eastAsia" w:ascii="仿宋" w:hAnsi="仿宋" w:eastAsia="仿宋" w:cs="仿宋"/>
          <w:color w:val="auto"/>
          <w:sz w:val="24"/>
          <w:highlight w:val="yellow"/>
          <w:lang w:val="en-US" w:eastAsia="zh-CN"/>
        </w:rPr>
        <w:t>无</w:t>
      </w:r>
      <w:r>
        <w:rPr>
          <w:rFonts w:hint="eastAsia" w:ascii="仿宋" w:hAnsi="仿宋" w:eastAsia="仿宋" w:cs="仿宋"/>
          <w:color w:val="auto"/>
          <w:sz w:val="24"/>
          <w:highlight w:val="yellow"/>
          <w:lang w:eastAsia="zh-CN"/>
        </w:rPr>
        <w:t>。</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0分00秒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spacing w:line="360" w:lineRule="auto"/>
        <w:ind w:firstLine="420" w:firstLineChars="175"/>
        <w:rPr>
          <w:rFonts w:hint="eastAsia" w:ascii="仿宋" w:hAnsi="仿宋" w:eastAsia="仿宋" w:cs="仿宋"/>
          <w:color w:val="auto"/>
          <w:sz w:val="24"/>
          <w:highlight w:val="none"/>
          <w:lang w:eastAsia="zh-CN"/>
        </w:rPr>
      </w:pPr>
      <w:bookmarkStart w:id="11" w:name="_Hlk136593563"/>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杭州市萧山区人民法院</w:t>
      </w:r>
    </w:p>
    <w:p>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地址：杭州市萧山区金城路477号</w:t>
      </w:r>
    </w:p>
    <w:p>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项目联系人（询问）：丁安娜</w:t>
      </w:r>
    </w:p>
    <w:p>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项目联系方式（询问）：0571-82665005</w:t>
      </w:r>
    </w:p>
    <w:p>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质疑联系人：袁金伟</w:t>
      </w:r>
    </w:p>
    <w:p>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质疑联系方式：0571-82665188</w:t>
      </w:r>
    </w:p>
    <w:bookmarkEnd w:id="11"/>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w:t>
      </w:r>
    </w:p>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名称：杭州博望建设工程招标投标代理有限公司</w:t>
      </w:r>
    </w:p>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地址：杭州市萧山区金城路433号天汇园一幢A座5楼</w:t>
      </w:r>
    </w:p>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项目联系人（询问）：范梦迪</w:t>
      </w:r>
    </w:p>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项目联系方式（询问）：0571-83881208</w:t>
      </w:r>
    </w:p>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质疑联系人：高华萍</w:t>
      </w:r>
    </w:p>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质疑联系方式：0571-83881218</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名称：萧山区财政局、浙江省政府采购行政裁决服务中心（杭州）</w:t>
      </w:r>
    </w:p>
    <w:p>
      <w:pPr>
        <w:spacing w:line="360" w:lineRule="auto"/>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地址：杭州市上城区四季青街道新业路市民之家G03办公室（快递仅限ems或顺丰）</w:t>
      </w:r>
    </w:p>
    <w:p>
      <w:pPr>
        <w:spacing w:line="360" w:lineRule="auto"/>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传真：/</w:t>
      </w:r>
    </w:p>
    <w:p>
      <w:pPr>
        <w:spacing w:line="360" w:lineRule="auto"/>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联系人：朱女士/王女士</w:t>
      </w:r>
    </w:p>
    <w:p>
      <w:pPr>
        <w:spacing w:line="360" w:lineRule="auto"/>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监督投诉电话：0571-85252453</w:t>
      </w:r>
    </w:p>
    <w:p>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政策咨询电话：0571-82756122（汤先生）</w:t>
      </w:r>
    </w:p>
    <w:p>
      <w:pPr>
        <w:spacing w:line="240" w:lineRule="auto"/>
        <w:ind w:firstLine="480" w:firstLineChars="200"/>
        <w:rPr>
          <w:rFonts w:hint="eastAsia" w:ascii="仿宋" w:hAnsi="仿宋" w:eastAsia="仿宋" w:cs="仿宋"/>
          <w:color w:val="auto"/>
          <w:sz w:val="24"/>
          <w:highlight w:val="none"/>
        </w:rPr>
      </w:pPr>
    </w:p>
    <w:p>
      <w:pPr>
        <w:spacing w:line="24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24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pPr>
        <w:adjustRightInd/>
        <w:spacing w:line="360"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72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252"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25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25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highlight w:val="none"/>
                <w:u w:val="single"/>
                <w:lang w:eastAsia="zh-CN"/>
              </w:rPr>
              <w:t>杭州市萧山区人民法院2024年电子卷宗随案生成服务政府采购项目</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软件和信息技术服务业 </w:t>
            </w:r>
            <w:r>
              <w:rPr>
                <w:rFonts w:hint="eastAsia" w:ascii="仿宋" w:hAnsi="仿宋" w:eastAsia="仿宋" w:cs="仿宋"/>
                <w:color w:val="auto"/>
                <w:sz w:val="24"/>
                <w:highlight w:val="none"/>
              </w:rPr>
              <w:t>行业；</w:t>
            </w:r>
          </w:p>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25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pPr>
              <w:spacing w:line="400" w:lineRule="exact"/>
              <w:rPr>
                <w:rFonts w:hint="eastAsia" w:ascii="仿宋" w:hAnsi="仿宋" w:eastAsia="仿宋" w:cs="仿宋"/>
                <w:color w:val="auto"/>
                <w:kern w:val="0"/>
                <w:sz w:val="24"/>
                <w:highlight w:val="none"/>
                <w:lang w:eastAsia="zh-CN"/>
              </w:rPr>
            </w:pPr>
            <w:sdt>
              <w:sdtPr>
                <w:rPr>
                  <w:rFonts w:hint="eastAsia" w:ascii="仿宋" w:hAnsi="仿宋" w:eastAsia="仿宋" w:cs="仿宋"/>
                  <w:color w:val="auto"/>
                  <w:kern w:val="0"/>
                  <w:sz w:val="24"/>
                  <w:highlight w:val="none"/>
                </w:rPr>
                <w:id w:val="1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p>
            <w:pPr>
              <w:spacing w:line="40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highlight w:val="none"/>
                <w:u w:val="single"/>
              </w:rPr>
              <w:t>评分标准</w:t>
            </w:r>
            <w:r>
              <w:rPr>
                <w:rFonts w:hint="eastAsia" w:ascii="仿宋" w:hAnsi="仿宋" w:eastAsia="仿宋" w:cs="仿宋"/>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25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lang w:val="en-US" w:eastAsia="zh-CN"/>
              </w:rPr>
              <w:t xml:space="preserve"> 培训、验收 </w:t>
            </w:r>
            <w:r>
              <w:rPr>
                <w:rFonts w:hint="eastAsia" w:ascii="仿宋" w:hAnsi="仿宋" w:eastAsia="仿宋" w:cs="仿宋"/>
                <w:color w:val="auto"/>
                <w:sz w:val="24"/>
                <w:highlight w:val="none"/>
              </w:rPr>
              <w:t>工作分包。</w:t>
            </w:r>
          </w:p>
          <w:p>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25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25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25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400" w:lineRule="exact"/>
              <w:rPr>
                <w:rFonts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400" w:lineRule="exact"/>
              <w:jc w:val="center"/>
              <w:rPr>
                <w:rFonts w:ascii="仿宋" w:hAnsi="仿宋" w:eastAsia="仿宋" w:cs="仿宋"/>
                <w:color w:val="auto"/>
                <w:sz w:val="24"/>
                <w:highlight w:val="none"/>
              </w:rPr>
            </w:pPr>
          </w:p>
          <w:p>
            <w:pPr>
              <w:snapToGrid w:val="0"/>
              <w:spacing w:line="400" w:lineRule="exact"/>
              <w:jc w:val="center"/>
              <w:rPr>
                <w:rFonts w:ascii="仿宋" w:hAnsi="仿宋" w:eastAsia="仿宋" w:cs="仿宋"/>
                <w:color w:val="auto"/>
                <w:sz w:val="24"/>
                <w:highlight w:val="none"/>
              </w:rPr>
            </w:pPr>
          </w:p>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252" w:type="dxa"/>
            <w:tcBorders>
              <w:top w:val="single" w:color="000000" w:sz="8" w:space="0"/>
              <w:left w:val="single" w:color="000000" w:sz="2" w:space="0"/>
              <w:bottom w:val="single" w:color="auto" w:sz="4" w:space="0"/>
              <w:right w:val="single" w:color="000000" w:sz="8" w:space="0"/>
            </w:tcBorders>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spacing w:line="400" w:lineRule="exact"/>
              <w:rPr>
                <w:rFonts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5" w:hRule="atLeast"/>
          <w:tblHeader/>
        </w:trPr>
        <w:tc>
          <w:tcPr>
            <w:tcW w:w="629" w:type="dxa"/>
            <w:vMerge w:val="continue"/>
            <w:tcBorders>
              <w:left w:val="single" w:color="auto" w:sz="4" w:space="0"/>
              <w:bottom w:val="single" w:color="auto" w:sz="4" w:space="0"/>
              <w:right w:val="single" w:color="auto" w:sz="4" w:space="0"/>
            </w:tcBorders>
          </w:tcPr>
          <w:p>
            <w:pPr>
              <w:snapToGrid w:val="0"/>
              <w:spacing w:line="400" w:lineRule="exact"/>
              <w:jc w:val="center"/>
              <w:rPr>
                <w:rFonts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p>
        </w:tc>
        <w:tc>
          <w:tcPr>
            <w:tcW w:w="6252" w:type="dxa"/>
            <w:tcBorders>
              <w:top w:val="single" w:color="auto" w:sz="4"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252"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252"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p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snapToGrid w:val="0"/>
              <w:spacing w:line="400" w:lineRule="exact"/>
              <w:ind w:firstLine="241" w:firstLineChars="10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pPr>
              <w:snapToGrid w:val="0"/>
              <w:spacing w:line="400" w:lineRule="exact"/>
              <w:ind w:firstLine="241" w:firstLineChars="100"/>
              <w:jc w:val="left"/>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pPr>
              <w:spacing w:line="400" w:lineRule="exact"/>
              <w:ind w:firstLine="241" w:firstLineChars="100"/>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pPr>
              <w:spacing w:line="400" w:lineRule="exact"/>
              <w:ind w:firstLine="241" w:firstLineChars="100"/>
              <w:rPr>
                <w:rFonts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252" w:type="dxa"/>
            <w:tcBorders>
              <w:top w:val="single" w:color="000000" w:sz="8" w:space="0"/>
              <w:left w:val="single" w:color="000000" w:sz="2" w:space="0"/>
              <w:right w:val="single" w:color="000000" w:sz="8" w:space="0"/>
            </w:tcBorders>
            <w:vAlign w:val="center"/>
          </w:tcPr>
          <w:p>
            <w:pPr>
              <w:spacing w:line="400" w:lineRule="exact"/>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pacing w:line="400" w:lineRule="exact"/>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本项目支持《杭州市萧山区政府采购支持中小企业信用融资暂行办法》。</w:t>
            </w:r>
          </w:p>
          <w:p>
            <w:pPr>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有融资需求的中标供应商可参照相关规定及银行方案凭政府采购合同向相关合作银行提出信用融资（贷款）申请。详见http://www.xiaoshan.gov.cn/art/2018/12/20/art_1229293109_1559514.html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252" w:type="dxa"/>
            <w:tcBorders>
              <w:top w:val="single" w:color="000000" w:sz="8" w:space="0"/>
              <w:left w:val="single" w:color="000000" w:sz="2" w:space="0"/>
              <w:bottom w:val="single" w:color="000000" w:sz="8" w:space="0"/>
              <w:right w:val="single" w:color="000000" w:sz="8" w:space="0"/>
            </w:tcBorders>
            <w:vAlign w:val="center"/>
          </w:tcPr>
          <w:p>
            <w:pPr>
              <w:pStyle w:val="32"/>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本项目备份文件是否收取：不收取</w:t>
            </w:r>
          </w:p>
          <w:p>
            <w:pPr>
              <w:pStyle w:val="32"/>
              <w:spacing w:line="40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中标单位在中标后提供纸质投标文件一正二副。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252" w:type="dxa"/>
            <w:tcBorders>
              <w:top w:val="single" w:color="000000" w:sz="8" w:space="0"/>
              <w:left w:val="single" w:color="000000" w:sz="2" w:space="0"/>
              <w:bottom w:val="single" w:color="000000" w:sz="8" w:space="0"/>
              <w:right w:val="single" w:color="000000" w:sz="8" w:space="0"/>
            </w:tcBorders>
            <w:vAlign w:val="center"/>
          </w:tcPr>
          <w:p>
            <w:pPr>
              <w:pageBreakBefore w:val="0"/>
              <w:kinsoku/>
              <w:wordWrap/>
              <w:overflowPunct/>
              <w:topLinePunct w:val="0"/>
              <w:autoSpaceDE/>
              <w:autoSpaceDN/>
              <w:bidi w:val="0"/>
              <w:snapToGrid w:val="0"/>
              <w:spacing w:line="360" w:lineRule="exact"/>
              <w:textAlignment w:val="auto"/>
              <w:rPr>
                <w:rFonts w:hint="eastAsia" w:ascii="仿宋" w:hAnsi="仿宋" w:eastAsia="仿宋"/>
                <w:color w:val="auto"/>
                <w:sz w:val="24"/>
                <w:highlight w:val="none"/>
              </w:rPr>
            </w:pPr>
            <w:r>
              <w:rPr>
                <w:rFonts w:hint="eastAsia" w:ascii="仿宋" w:hAnsi="仿宋" w:eastAsia="仿宋"/>
                <w:color w:val="auto"/>
                <w:sz w:val="24"/>
                <w:highlight w:val="none"/>
                <w:lang w:val="zh-CN"/>
              </w:rPr>
              <w:t>本项目采购代理费由中标人支付。</w:t>
            </w:r>
            <w:r>
              <w:rPr>
                <w:rFonts w:hint="eastAsia" w:ascii="仿宋" w:hAnsi="仿宋" w:eastAsia="仿宋"/>
                <w:color w:val="auto"/>
                <w:sz w:val="24"/>
                <w:highlight w:val="none"/>
              </w:rPr>
              <w:t>本次招标委托代理费按国家发展计划委员会的计价格[2002]1980号文件收费标准下浮</w:t>
            </w:r>
            <w:r>
              <w:rPr>
                <w:rFonts w:hint="eastAsia" w:ascii="仿宋" w:hAnsi="仿宋" w:eastAsia="仿宋"/>
                <w:color w:val="auto"/>
                <w:sz w:val="24"/>
                <w:highlight w:val="none"/>
                <w:lang w:val="en-US" w:eastAsia="zh-CN"/>
              </w:rPr>
              <w:t>35</w:t>
            </w:r>
            <w:r>
              <w:rPr>
                <w:rFonts w:hint="eastAsia" w:ascii="仿宋" w:hAnsi="仿宋" w:eastAsia="仿宋"/>
                <w:color w:val="auto"/>
                <w:sz w:val="24"/>
                <w:highlight w:val="none"/>
              </w:rPr>
              <w:t>%结算收取（单项不足2000元的按2000元计算）。</w:t>
            </w:r>
          </w:p>
          <w:p>
            <w:pPr>
              <w:pageBreakBefore w:val="0"/>
              <w:kinsoku/>
              <w:wordWrap/>
              <w:overflowPunct/>
              <w:topLinePunct w:val="0"/>
              <w:autoSpaceDE/>
              <w:autoSpaceDN/>
              <w:bidi w:val="0"/>
              <w:snapToGrid w:val="0"/>
              <w:spacing w:line="360" w:lineRule="exact"/>
              <w:textAlignment w:val="auto"/>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服务费缴纳账号：</w:t>
            </w:r>
          </w:p>
          <w:p>
            <w:pPr>
              <w:pageBreakBefore w:val="0"/>
              <w:kinsoku/>
              <w:wordWrap/>
              <w:overflowPunct/>
              <w:topLinePunct w:val="0"/>
              <w:autoSpaceDE/>
              <w:autoSpaceDN/>
              <w:bidi w:val="0"/>
              <w:snapToGrid w:val="0"/>
              <w:spacing w:line="360" w:lineRule="exact"/>
              <w:textAlignment w:val="auto"/>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开户银行：上海浦东发展银行萧山支行</w:t>
            </w:r>
          </w:p>
          <w:p>
            <w:pPr>
              <w:pageBreakBefore w:val="0"/>
              <w:kinsoku/>
              <w:wordWrap/>
              <w:overflowPunct/>
              <w:topLinePunct w:val="0"/>
              <w:autoSpaceDE/>
              <w:autoSpaceDN/>
              <w:bidi w:val="0"/>
              <w:snapToGrid w:val="0"/>
              <w:spacing w:line="360" w:lineRule="exact"/>
              <w:textAlignment w:val="auto"/>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账户名称：杭州博望建设工程招标投标代理有限公司</w:t>
            </w:r>
          </w:p>
          <w:p>
            <w:pPr>
              <w:pageBreakBefore w:val="0"/>
              <w:kinsoku/>
              <w:wordWrap/>
              <w:overflowPunct/>
              <w:topLinePunct w:val="0"/>
              <w:autoSpaceDE/>
              <w:autoSpaceDN/>
              <w:bidi w:val="0"/>
              <w:snapToGrid w:val="0"/>
              <w:spacing w:line="360" w:lineRule="exact"/>
              <w:textAlignment w:val="auto"/>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银行账号：95070154740001005</w:t>
            </w:r>
          </w:p>
          <w:p>
            <w:pPr>
              <w:pStyle w:val="32"/>
              <w:spacing w:line="400" w:lineRule="exact"/>
              <w:rPr>
                <w:rFonts w:ascii="仿宋" w:hAnsi="仿宋" w:eastAsia="仿宋" w:cs="仿宋"/>
                <w:color w:val="auto"/>
                <w:kern w:val="28"/>
                <w:sz w:val="24"/>
                <w:szCs w:val="24"/>
                <w:highlight w:val="none"/>
              </w:rPr>
            </w:pPr>
            <w:r>
              <w:rPr>
                <w:rFonts w:hint="eastAsia" w:ascii="仿宋" w:hAnsi="仿宋" w:eastAsia="仿宋"/>
                <w:color w:val="auto"/>
                <w:sz w:val="24"/>
                <w:highlight w:val="none"/>
              </w:rPr>
              <w:t>联系电话：0571-82373980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jc w:val="center"/>
              <w:rPr>
                <w:rFonts w:ascii="仿宋" w:hAnsi="仿宋" w:eastAsia="仿宋" w:cs="仿宋"/>
                <w:color w:val="auto"/>
                <w:sz w:val="24"/>
                <w:highlight w:val="none"/>
              </w:rPr>
            </w:pPr>
            <w:r>
              <w:rPr>
                <w:rFonts w:hint="eastAsia" w:ascii="仿宋" w:hAnsi="仿宋" w:eastAsia="仿宋" w:cs="仿宋"/>
                <w:b/>
                <w:color w:val="auto"/>
                <w:sz w:val="24"/>
                <w:highlight w:val="none"/>
              </w:rPr>
              <w:t>资格审查和信用信息审查</w:t>
            </w:r>
          </w:p>
        </w:tc>
        <w:tc>
          <w:tcPr>
            <w:tcW w:w="625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质疑接收人及答复</w:t>
            </w:r>
          </w:p>
        </w:tc>
        <w:tc>
          <w:tcPr>
            <w:tcW w:w="6252"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采购人、采购机构质疑接收人、联系方式：详见公告</w:t>
            </w:r>
          </w:p>
          <w:p>
            <w:pPr>
              <w:snapToGrid w:val="0"/>
              <w:spacing w:line="40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线上提交质疑方式：政采云线上质疑路径：项目采购-询问质疑投诉-质疑列表。请使用ca签章在每一页质疑文件中加盖电子公章，上传完整附件。</w:t>
            </w:r>
          </w:p>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本项目涉及资格条件、采购需求、评分办法及采购过程中有关现场考察或开标前答疑会等事项由采购人进行答复。</w:t>
            </w:r>
          </w:p>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履约验收</w:t>
            </w:r>
          </w:p>
        </w:tc>
        <w:tc>
          <w:tcPr>
            <w:tcW w:w="625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联系电话: 0571-83587785/0571-82816012  </w:t>
            </w:r>
          </w:p>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联系地址: 萧山区通惠北路2-1号302室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25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400" w:lineRule="exact"/>
              <w:jc w:val="center"/>
              <w:rPr>
                <w:rFonts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p>
        </w:tc>
        <w:tc>
          <w:tcPr>
            <w:tcW w:w="625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auto"/>
                <w:sz w:val="24"/>
                <w:highlight w:val="none"/>
              </w:rPr>
            </w:pPr>
            <w:sdt>
              <w:sdtPr>
                <w:rPr>
                  <w:rFonts w:hint="eastAsia" w:ascii="仿宋" w:hAnsi="仿宋" w:eastAsia="仿宋" w:cs="仿宋"/>
                  <w:color w:val="auto"/>
                  <w:sz w:val="24"/>
                  <w:highlight w:val="none"/>
                </w:rPr>
                <w:id w:val="23"/>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t>☐</w:t>
                </w:r>
              </w:sdtContent>
            </w:sdt>
            <w:r>
              <w:rPr>
                <w:rFonts w:hint="eastAsia" w:ascii="仿宋" w:hAnsi="仿宋" w:eastAsia="仿宋" w:cs="仿宋"/>
                <w:color w:val="auto"/>
                <w:sz w:val="24"/>
                <w:highlight w:val="none"/>
              </w:rPr>
              <w:t>联合体投标的，联合体各方均需按招标文件第四部分评标标准要求提供资信证明文件，否则视为不符合相关要求。</w:t>
            </w:r>
          </w:p>
          <w:p>
            <w:pPr>
              <w:spacing w:line="400" w:lineRule="exact"/>
              <w:rPr>
                <w:rFonts w:hint="eastAsia" w:ascii="仿宋" w:hAnsi="仿宋" w:eastAsia="仿宋" w:cs="仿宋"/>
                <w:color w:val="auto"/>
                <w:sz w:val="24"/>
                <w:highlight w:val="none"/>
                <w:lang w:eastAsia="zh-CN"/>
              </w:rPr>
            </w:pPr>
            <w:sdt>
              <w:sdtPr>
                <w:rPr>
                  <w:rFonts w:hint="eastAsia" w:ascii="仿宋" w:hAnsi="仿宋" w:eastAsia="仿宋" w:cs="仿宋"/>
                  <w:color w:val="auto"/>
                  <w:sz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sym w:font="Wingdings" w:char="F0FE"/>
                </w:r>
              </w:sdtContent>
            </w:sdt>
            <w:r>
              <w:rPr>
                <w:rFonts w:hint="eastAsia" w:ascii="仿宋" w:hAnsi="仿宋" w:eastAsia="仿宋" w:cs="仿宋"/>
                <w:color w:val="auto"/>
                <w:sz w:val="24"/>
                <w:highlight w:val="none"/>
              </w:rPr>
              <w:t>联合体投标的，联合体中有一方或者联合体成员根据分工按招标文件第四部分评标标准要求提供资信证明文件的，视为符合了相关要求。</w:t>
            </w:r>
          </w:p>
          <w:p>
            <w:pPr>
              <w:spacing w:line="40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评审因素对应的要求视为采购需求的一部分。</w:t>
            </w:r>
          </w:p>
          <w:p>
            <w:pPr>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严格执行预算限价，项目如涉及办公用房装修、通用办公设备家具的不得超限额标准。（萧财国资【2019】389号）</w:t>
            </w:r>
          </w:p>
          <w:p>
            <w:pPr>
              <w:spacing w:line="400" w:lineRule="exact"/>
              <w:rPr>
                <w:rFonts w:ascii="仿宋" w:hAnsi="仿宋" w:eastAsia="仿宋" w:cs="仿宋"/>
                <w:color w:val="auto"/>
                <w:sz w:val="24"/>
                <w:highlight w:val="none"/>
              </w:rPr>
            </w:pPr>
            <w:r>
              <w:rPr>
                <w:rFonts w:hint="eastAsia" w:ascii="仿宋" w:hAnsi="仿宋" w:eastAsia="仿宋" w:cs="仿宋"/>
                <w:b/>
                <w:bCs/>
                <w:color w:val="auto"/>
                <w:sz w:val="24"/>
                <w:highlight w:val="none"/>
              </w:rPr>
              <w:t>本项目通用总则条款与前附表等专用特别规定有冲突之处，以专用条款（特别规定）为准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8" w:hRule="atLeast"/>
          <w:tblHeader/>
        </w:trPr>
        <w:tc>
          <w:tcPr>
            <w:tcW w:w="629" w:type="dxa"/>
            <w:tcBorders>
              <w:left w:val="single" w:color="000000" w:sz="8" w:space="0"/>
              <w:bottom w:val="single" w:color="auto" w:sz="4" w:space="0"/>
              <w:right w:val="single" w:color="000000" w:sz="2" w:space="0"/>
            </w:tcBorders>
          </w:tcPr>
          <w:p>
            <w:pPr>
              <w:snapToGrid w:val="0"/>
              <w:spacing w:line="400" w:lineRule="exact"/>
              <w:jc w:val="center"/>
              <w:rPr>
                <w:rFonts w:ascii="仿宋" w:hAnsi="仿宋" w:eastAsia="仿宋" w:cs="仿宋"/>
                <w:color w:val="auto"/>
                <w:sz w:val="24"/>
                <w:highlight w:val="none"/>
              </w:rPr>
            </w:pPr>
          </w:p>
        </w:tc>
        <w:tc>
          <w:tcPr>
            <w:tcW w:w="1843" w:type="dxa"/>
            <w:tcBorders>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p>
        </w:tc>
        <w:tc>
          <w:tcPr>
            <w:tcW w:w="625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本项目每个标项推荐中标候选人数量：1</w:t>
            </w:r>
          </w:p>
        </w:tc>
      </w:tr>
    </w:tbl>
    <w:p>
      <w:pPr>
        <w:snapToGrid w:val="0"/>
        <w:spacing w:line="360" w:lineRule="auto"/>
        <w:jc w:val="center"/>
        <w:rPr>
          <w:rFonts w:ascii="仿宋" w:hAnsi="仿宋" w:eastAsia="仿宋" w:cs="仿宋"/>
          <w:b/>
          <w:color w:val="auto"/>
          <w:sz w:val="32"/>
          <w:szCs w:val="20"/>
          <w:highlight w:val="none"/>
        </w:rPr>
      </w:pPr>
    </w:p>
    <w:bookmarkEnd w:id="10"/>
    <w:p>
      <w:pPr>
        <w:adjustRightInd/>
        <w:spacing w:line="360" w:lineRule="auto"/>
        <w:ind w:firstLine="3845" w:firstLineChars="1197"/>
        <w:outlineLvl w:val="0"/>
        <w:rPr>
          <w:rFonts w:ascii="仿宋" w:hAnsi="仿宋" w:eastAsia="仿宋" w:cs="仿宋"/>
          <w:b/>
          <w:color w:val="auto"/>
          <w:sz w:val="32"/>
          <w:szCs w:val="20"/>
          <w:highlight w:val="none"/>
        </w:rPr>
      </w:pPr>
      <w:bookmarkStart w:id="12" w:name="_Toc164416483"/>
      <w:bookmarkStart w:id="13" w:name="第三部分"/>
      <w:r>
        <w:rPr>
          <w:rFonts w:hint="eastAsia" w:ascii="仿宋" w:hAnsi="仿宋" w:eastAsia="仿宋" w:cs="仿宋"/>
          <w:b/>
          <w:color w:val="auto"/>
          <w:sz w:val="32"/>
          <w:szCs w:val="20"/>
          <w:highlight w:val="none"/>
        </w:rPr>
        <w:t>一、总则</w:t>
      </w:r>
    </w:p>
    <w:p>
      <w:pPr>
        <w:snapToGrid w:val="0"/>
        <w:spacing w:line="360" w:lineRule="auto"/>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1.适用范围</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2.定义</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评标办法明确具体的扣除比例，未明确的，</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评标办法明确具体的扣除比例，未明确的，</w:t>
      </w:r>
      <w:r>
        <w:rPr>
          <w:rFonts w:hint="eastAsia" w:ascii="仿宋" w:hAnsi="仿宋" w:eastAsia="仿宋" w:cs="仿宋"/>
          <w:color w:val="auto"/>
          <w:sz w:val="24"/>
          <w:highlight w:val="none"/>
        </w:rPr>
        <w:t>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pPr>
        <w:spacing w:line="360" w:lineRule="auto"/>
        <w:ind w:firstLine="240" w:firstLineChars="100"/>
        <w:rPr>
          <w:rFonts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4.询问、质疑、投诉</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pPr>
        <w:pStyle w:val="32"/>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pPr>
        <w:pStyle w:val="32"/>
        <w:spacing w:line="360" w:lineRule="auto"/>
        <w:ind w:left="479" w:leftChars="228"/>
        <w:rPr>
          <w:rFonts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pPr>
        <w:pStyle w:val="32"/>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pPr>
        <w:pStyle w:val="32"/>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pPr>
        <w:pStyle w:val="32"/>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pPr>
        <w:pStyle w:val="32"/>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pPr>
        <w:pStyle w:val="32"/>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pPr>
        <w:pStyle w:val="32"/>
        <w:spacing w:line="360" w:lineRule="auto"/>
        <w:ind w:firstLine="960" w:firstLineChars="4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pPr>
        <w:pStyle w:val="891"/>
        <w:shd w:val="clear" w:color="auto" w:fill="FFFFFF"/>
        <w:snapToGrid w:val="0"/>
        <w:spacing w:after="240" w:afterAutospacing="0" w:line="360" w:lineRule="auto"/>
        <w:ind w:firstLine="480" w:firstLineChars="200"/>
        <w:contextualSpacing/>
        <w:rPr>
          <w:rFonts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132"/>
        <w:snapToGrid w:val="0"/>
        <w:spacing w:before="0"/>
        <w:ind w:firstLine="360"/>
        <w:rPr>
          <w:rFonts w:ascii="仿宋" w:hAnsi="仿宋" w:eastAsia="仿宋" w:cs="仿宋"/>
          <w:color w:val="auto"/>
          <w:sz w:val="18"/>
          <w:szCs w:val="18"/>
          <w:highlight w:val="none"/>
        </w:rPr>
      </w:pPr>
    </w:p>
    <w:p>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6.招标文件的澄清、修改</w:t>
      </w:r>
    </w:p>
    <w:p>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7.招标文件的获取</w:t>
      </w:r>
    </w:p>
    <w:p>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5"/>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10.投标文件的语言</w:t>
      </w:r>
    </w:p>
    <w:p>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11.投标文件的组成</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pPr>
        <w:snapToGrid w:val="0"/>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132"/>
        <w:snapToGrid w:val="0"/>
        <w:spacing w:before="0"/>
        <w:ind w:firstLine="0" w:firstLineChars="0"/>
        <w:outlineLvl w:val="0"/>
        <w:rPr>
          <w:rFonts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rPr>
        <w:t>投标文件的编制</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132"/>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2"/>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132"/>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14.投标文件的提交、补充、修改、撤回</w:t>
      </w:r>
    </w:p>
    <w:p>
      <w:pPr>
        <w:pStyle w:val="132"/>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32"/>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2"/>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2"/>
        <w:spacing w:line="360" w:lineRule="auto"/>
        <w:ind w:firstLine="360" w:firstLineChars="1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pPr>
        <w:pStyle w:val="32"/>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pPr>
        <w:pStyle w:val="132"/>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24"/>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pPr>
        <w:pStyle w:val="132"/>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32"/>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32"/>
        <w:spacing w:before="0"/>
        <w:ind w:firstLine="480"/>
        <w:jc w:val="left"/>
        <w:rPr>
          <w:rFonts w:hint="eastAsia" w:ascii="仿宋" w:hAnsi="仿宋" w:eastAsia="仿宋" w:cs="仿宋"/>
          <w:color w:val="auto"/>
          <w:highlight w:val="none"/>
          <w:lang w:eastAsia="zh-CN"/>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2"/>
        <w:spacing w:before="0"/>
        <w:ind w:firstLine="480"/>
        <w:jc w:val="left"/>
        <w:rPr>
          <w:rFonts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17.4在投标截止时间起至投标有效期届满，供应商投标文件不可撤销。</w:t>
      </w:r>
    </w:p>
    <w:p>
      <w:pPr>
        <w:pStyle w:val="132"/>
        <w:spacing w:before="0"/>
        <w:ind w:firstLine="480"/>
        <w:rPr>
          <w:rFonts w:ascii="仿宋" w:hAnsi="仿宋" w:eastAsia="仿宋" w:cs="仿宋"/>
          <w:color w:val="auto"/>
          <w:highlight w:val="none"/>
        </w:rPr>
      </w:pPr>
    </w:p>
    <w:p>
      <w:pPr>
        <w:pStyle w:val="132"/>
        <w:spacing w:before="0"/>
        <w:ind w:firstLine="643"/>
        <w:rPr>
          <w:rFonts w:ascii="仿宋" w:hAnsi="仿宋" w:eastAsia="仿宋" w:cs="仿宋"/>
          <w:b/>
          <w:color w:val="auto"/>
          <w:sz w:val="32"/>
          <w:highlight w:val="none"/>
        </w:rPr>
      </w:pPr>
    </w:p>
    <w:p>
      <w:pPr>
        <w:pStyle w:val="132"/>
        <w:spacing w:before="0"/>
        <w:ind w:firstLine="1928" w:firstLineChars="600"/>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59"/>
        <w:spacing w:before="0" w:line="360" w:lineRule="auto"/>
        <w:ind w:left="0" w:firstLine="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559"/>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pPr>
        <w:pStyle w:val="559"/>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pPr>
        <w:pStyle w:val="24"/>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18.3投标文件未按时解密，投标人提供了备份投标文件的，以备份投标文件作为依据，否则视为投标文件撤回。投标文件已按时解密的，备份投标文件自动失效。</w:t>
      </w:r>
    </w:p>
    <w:p>
      <w:pPr>
        <w:pStyle w:val="24"/>
        <w:spacing w:line="360" w:lineRule="auto"/>
        <w:ind w:firstLine="0" w:firstLineChars="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19、资格审查</w:t>
      </w:r>
    </w:p>
    <w:p>
      <w:pPr>
        <w:pStyle w:val="13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19.1开标后，采购人将依据法律法规和招标文件的规定，对投标人的资格进行审查。</w:t>
      </w:r>
    </w:p>
    <w:p>
      <w:pPr>
        <w:pStyle w:val="132"/>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132"/>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3对未通过资格审查的投标人，告知其未通过的原因。</w:t>
      </w:r>
    </w:p>
    <w:p>
      <w:pPr>
        <w:pStyle w:val="132"/>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pPr>
        <w:pStyle w:val="132"/>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132"/>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20.1信用信息查询渠道及截止时间：采购人将在资格审查时通过“信用中国”网站(www.creditchina.gov.cn)、中国政府采购网(www.ccgp.gov.cn)渠道查询投标人接受资格时的信用记录。</w:t>
      </w:r>
    </w:p>
    <w:p>
      <w:pPr>
        <w:pStyle w:val="132"/>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32"/>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2"/>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132"/>
        <w:spacing w:before="0"/>
        <w:ind w:firstLine="0" w:firstLineChars="0"/>
        <w:rPr>
          <w:rFonts w:ascii="仿宋" w:hAnsi="仿宋" w:eastAsia="仿宋" w:cs="仿宋"/>
          <w:color w:val="auto"/>
          <w:kern w:val="0"/>
          <w:szCs w:val="24"/>
          <w:highlight w:val="none"/>
        </w:rPr>
      </w:pPr>
    </w:p>
    <w:p>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ascii="仿宋" w:hAnsi="仿宋" w:eastAsia="仿宋" w:cs="仿宋"/>
          <w:b/>
          <w:color w:val="auto"/>
          <w:sz w:val="24"/>
          <w:highlight w:val="none"/>
        </w:rPr>
      </w:pPr>
      <w:bookmarkStart w:id="14"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pacing w:line="360" w:lineRule="auto"/>
        <w:rPr>
          <w:rFonts w:ascii="仿宋" w:hAnsi="仿宋" w:eastAsia="仿宋" w:cs="仿宋"/>
          <w:b/>
          <w:color w:val="auto"/>
          <w:sz w:val="24"/>
          <w:highlight w:val="none"/>
        </w:rPr>
      </w:pPr>
    </w:p>
    <w:p>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22.确定中标供应商</w:t>
      </w:r>
    </w:p>
    <w:p>
      <w:pPr>
        <w:pStyle w:val="132"/>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pPr>
        <w:pStyle w:val="132"/>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23.中标通知与中标结果公告</w:t>
      </w:r>
    </w:p>
    <w:p>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5" w:name="_Hlk101184471"/>
      <w:r>
        <w:rPr>
          <w:rFonts w:hint="eastAsia" w:ascii="仿宋" w:hAnsi="仿宋" w:eastAsia="仿宋" w:cs="仿宋"/>
          <w:color w:val="auto"/>
          <w:sz w:val="24"/>
          <w:highlight w:val="none"/>
        </w:rPr>
        <w:t>资格审查情况、评审专家抽取规则、符合性审查情况、</w:t>
      </w:r>
      <w:bookmarkEnd w:id="15"/>
      <w:r>
        <w:rPr>
          <w:rFonts w:hint="eastAsia" w:ascii="仿宋" w:hAnsi="仿宋" w:eastAsia="仿宋" w:cs="仿宋"/>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合同主要条款详见第五部分拟签订的合同文本。</w:t>
      </w:r>
    </w:p>
    <w:p>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25.合同的签订</w:t>
      </w:r>
    </w:p>
    <w:p>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2"/>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2"/>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26.履约保证金</w:t>
      </w:r>
    </w:p>
    <w:p>
      <w:pPr>
        <w:tabs>
          <w:tab w:val="left" w:pos="0"/>
        </w:tabs>
        <w:spacing w:line="360" w:lineRule="auto"/>
        <w:ind w:firstLine="482"/>
        <w:rPr>
          <w:rFonts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2"/>
        <w:ind w:left="0" w:firstLine="480" w:firstLineChars="200"/>
        <w:rPr>
          <w:rFonts w:ascii="仿宋" w:eastAsia="仿宋" w:cs="仿宋"/>
          <w:b w:val="0"/>
          <w:bCs w:val="0"/>
          <w:snapToGrid w:val="0"/>
          <w:color w:val="auto"/>
          <w:kern w:val="28"/>
          <w:sz w:val="24"/>
          <w:highlight w:val="none"/>
        </w:rPr>
      </w:pPr>
      <w:r>
        <w:rPr>
          <w:rFonts w:hint="eastAsia" w:ascii="仿宋" w:eastAsia="仿宋" w:cs="仿宋"/>
          <w:b w:val="0"/>
          <w:bCs w:val="0"/>
          <w:snapToGrid w:val="0"/>
          <w:color w:val="auto"/>
          <w:kern w:val="28"/>
          <w:sz w:val="24"/>
          <w:highlight w:val="none"/>
        </w:rPr>
        <w:t>供应商</w:t>
      </w:r>
      <w:r>
        <w:rPr>
          <w:rFonts w:hint="eastAsia" w:ascii="仿宋" w:eastAsia="仿宋" w:cs="仿宋"/>
          <w:b w:val="0"/>
          <w:bCs w:val="0"/>
          <w:snapToGrid w:val="0"/>
          <w:color w:val="auto"/>
          <w:kern w:val="28"/>
          <w:sz w:val="24"/>
          <w:highlight w:val="none"/>
          <w:lang w:val="en-US"/>
        </w:rPr>
        <w:t>可</w:t>
      </w:r>
      <w:r>
        <w:rPr>
          <w:rFonts w:hint="eastAsia" w:asci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rFonts w:ascii="仿宋" w:eastAsia="仿宋" w:cs="仿宋"/>
          <w:color w:val="auto"/>
          <w:highlight w:val="none"/>
        </w:rPr>
      </w:pPr>
      <w:r>
        <w:rPr>
          <w:rFonts w:hint="eastAsia" w:ascii="仿宋" w:eastAsia="仿宋" w:cs="仿宋"/>
          <w:color w:val="auto"/>
          <w:sz w:val="24"/>
          <w:highlight w:val="none"/>
          <w:lang w:val="en-US"/>
        </w:rPr>
        <w:t>27.预付款</w:t>
      </w:r>
    </w:p>
    <w:p>
      <w:pPr>
        <w:adjustRightInd/>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ascii="仿宋" w:hAnsi="仿宋" w:eastAsia="仿宋" w:cs="仿宋"/>
          <w:color w:val="auto"/>
          <w:highlight w:val="none"/>
        </w:rPr>
      </w:pPr>
    </w:p>
    <w:p>
      <w:pPr>
        <w:snapToGrid w:val="0"/>
        <w:spacing w:line="360" w:lineRule="auto"/>
        <w:ind w:firstLine="3357" w:firstLineChars="1045"/>
        <w:rPr>
          <w:rFonts w:ascii="仿宋" w:hAnsi="仿宋" w:eastAsia="仿宋" w:cs="仿宋"/>
          <w:b/>
          <w:color w:val="auto"/>
          <w:sz w:val="32"/>
          <w:highlight w:val="none"/>
        </w:rPr>
      </w:pPr>
    </w:p>
    <w:p>
      <w:pPr>
        <w:snapToGrid w:val="0"/>
        <w:spacing w:line="360" w:lineRule="auto"/>
        <w:ind w:firstLine="3357" w:firstLineChars="1045"/>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32"/>
        <w:snapToGrid w:val="0"/>
        <w:spacing w:before="0"/>
        <w:ind w:firstLine="0" w:firstLineChars="0"/>
        <w:rPr>
          <w:rFonts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pPr>
        <w:pStyle w:val="132"/>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color w:val="auto"/>
          <w:sz w:val="24"/>
          <w:highlight w:val="none"/>
        </w:rPr>
      </w:pPr>
    </w:p>
    <w:p>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4"/>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30.验收</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pPr>
        <w:tabs>
          <w:tab w:val="left" w:pos="0"/>
        </w:tabs>
        <w:spacing w:line="360" w:lineRule="auto"/>
        <w:ind w:firstLine="480"/>
        <w:rPr>
          <w:rFonts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75236011"/>
      <w:bookmarkEnd w:id="16"/>
      <w:bookmarkStart w:id="17" w:name="_Hlt74729768"/>
      <w:bookmarkEnd w:id="17"/>
      <w:bookmarkStart w:id="18" w:name="_Hlt68403820"/>
      <w:bookmarkEnd w:id="18"/>
      <w:bookmarkStart w:id="19" w:name="_Hlt74730295"/>
      <w:bookmarkEnd w:id="19"/>
      <w:bookmarkStart w:id="20" w:name="_Hlt74707468"/>
      <w:bookmarkEnd w:id="20"/>
      <w:bookmarkStart w:id="21" w:name="_Hlt68073093"/>
      <w:bookmarkEnd w:id="21"/>
      <w:bookmarkStart w:id="22" w:name="_Hlt68057669"/>
      <w:bookmarkEnd w:id="22"/>
      <w:bookmarkStart w:id="23" w:name="_Hlt68072998"/>
      <w:bookmarkEnd w:id="23"/>
      <w:bookmarkStart w:id="24" w:name="_Hlt74714665"/>
      <w:bookmarkEnd w:id="24"/>
      <w:bookmarkStart w:id="25" w:name="_Hlt68072990"/>
      <w:bookmarkEnd w:id="25"/>
      <w:bookmarkStart w:id="26" w:name="_Hlt75236290"/>
      <w:bookmarkEnd w:id="26"/>
      <w:bookmarkStart w:id="27" w:name="_Hlt75236101"/>
      <w:bookmarkEnd w:id="27"/>
    </w:p>
    <w:bookmarkEnd w:id="12"/>
    <w:bookmarkEnd w:id="13"/>
    <w:p>
      <w:pPr>
        <w:spacing w:line="360" w:lineRule="auto"/>
        <w:jc w:val="center"/>
        <w:outlineLvl w:val="0"/>
        <w:rPr>
          <w:rFonts w:ascii="仿宋" w:hAnsi="仿宋" w:eastAsia="仿宋" w:cs="仿宋"/>
          <w:b/>
          <w:color w:val="auto"/>
          <w:sz w:val="36"/>
          <w:szCs w:val="36"/>
          <w:highlight w:val="none"/>
        </w:rPr>
      </w:pPr>
      <w:bookmarkStart w:id="28" w:name="第四部分"/>
      <w:r>
        <w:rPr>
          <w:rFonts w:hint="eastAsia" w:ascii="仿宋" w:hAnsi="仿宋" w:eastAsia="仿宋" w:cs="仿宋"/>
          <w:b/>
          <w:color w:val="auto"/>
          <w:sz w:val="36"/>
          <w:szCs w:val="36"/>
          <w:highlight w:val="none"/>
        </w:rPr>
        <w:t>第三部分   采购需求</w:t>
      </w:r>
    </w:p>
    <w:p>
      <w:pPr>
        <w:snapToGrid w:val="0"/>
        <w:jc w:val="center"/>
        <w:rPr>
          <w:rStyle w:val="967"/>
          <w:rFonts w:ascii="仿宋" w:hAnsi="仿宋" w:eastAsia="仿宋" w:cs="仿宋"/>
          <w:color w:val="auto"/>
          <w:highlight w:val="none"/>
        </w:rPr>
      </w:pPr>
      <w:r>
        <w:rPr>
          <w:rStyle w:val="967"/>
          <w:rFonts w:hint="eastAsia" w:ascii="仿宋" w:hAnsi="仿宋" w:eastAsia="仿宋" w:cs="仿宋"/>
          <w:color w:val="auto"/>
          <w:highlight w:val="none"/>
        </w:rPr>
        <w:t>属于实质性要求条款的，请用符号“▲”标明，否则属于非实质性要求。</w:t>
      </w:r>
    </w:p>
    <w:p>
      <w:pPr>
        <w:snapToGrid w:val="0"/>
        <w:jc w:val="center"/>
        <w:rPr>
          <w:rStyle w:val="967"/>
          <w:rFonts w:ascii="仿宋" w:hAnsi="仿宋" w:eastAsia="仿宋" w:cs="仿宋"/>
          <w:color w:val="auto"/>
          <w:highlight w:val="none"/>
        </w:rPr>
      </w:pPr>
      <w:r>
        <w:rPr>
          <w:rStyle w:val="967"/>
          <w:rFonts w:hint="eastAsia" w:ascii="仿宋" w:hAnsi="仿宋" w:eastAsia="仿宋" w:cs="仿宋"/>
          <w:color w:val="auto"/>
          <w:highlight w:val="none"/>
        </w:rPr>
        <w:t>“★”系产品采购项目中单一产品或核心产品。</w:t>
      </w:r>
    </w:p>
    <w:p>
      <w:pPr>
        <w:pStyle w:val="2"/>
        <w:rPr>
          <w:rFonts w:ascii="仿宋" w:eastAsia="仿宋" w:cs="仿宋"/>
          <w:color w:val="auto"/>
          <w:highlight w:val="none"/>
        </w:rPr>
      </w:pPr>
    </w:p>
    <w:p>
      <w:pPr>
        <w:pStyle w:val="2"/>
        <w:numPr>
          <w:ilvl w:val="0"/>
          <w:numId w:val="0"/>
        </w:numPr>
        <w:ind w:left="630" w:leftChars="0" w:hanging="630" w:firstLineChars="0"/>
        <w:jc w:val="center"/>
        <w:rPr>
          <w:rFonts w:ascii="仿宋" w:eastAsia="仿宋" w:cs="仿宋"/>
          <w:color w:val="auto"/>
          <w:highlight w:val="none"/>
        </w:rPr>
      </w:pPr>
      <w:r>
        <w:rPr>
          <w:rFonts w:hint="default" w:ascii="仿宋" w:hAnsi="仿宋" w:eastAsia="仿宋" w:cs="仿宋"/>
          <w:b/>
          <w:bCs/>
          <w:color w:val="auto"/>
          <w:kern w:val="2"/>
          <w:sz w:val="32"/>
          <w:szCs w:val="32"/>
          <w:highlight w:val="none"/>
          <w:lang w:val="zh-CN" w:eastAsia="zh-CN" w:bidi="ar-SA"/>
        </w:rPr>
        <w:t>一、</w:t>
      </w:r>
      <w:r>
        <w:rPr>
          <w:rFonts w:hint="eastAsia" w:ascii="仿宋" w:eastAsia="仿宋" w:cs="仿宋"/>
          <w:color w:val="auto"/>
          <w:highlight w:val="none"/>
        </w:rPr>
        <w:t>招标一览表</w:t>
      </w:r>
    </w:p>
    <w:p>
      <w:pP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标项一：</w:t>
      </w:r>
      <w:r>
        <w:rPr>
          <w:rFonts w:hint="eastAsia" w:ascii="仿宋" w:hAnsi="仿宋" w:eastAsia="仿宋" w:cs="仿宋"/>
          <w:b/>
          <w:bCs/>
          <w:color w:val="auto"/>
          <w:sz w:val="24"/>
          <w:szCs w:val="24"/>
          <w:highlight w:val="none"/>
          <w:lang w:eastAsia="zh-CN"/>
        </w:rPr>
        <w:t>杭州市萧山区人民法院2024年电子卷宗随案生成服务政府采购项目</w:t>
      </w:r>
    </w:p>
    <w:tbl>
      <w:tblPr>
        <w:tblStyle w:val="62"/>
        <w:tblpPr w:leftFromText="180" w:rightFromText="180" w:vertAnchor="text" w:horzAnchor="margin" w:tblpXSpec="center" w:tblpY="63"/>
        <w:tblOverlap w:val="never"/>
        <w:tblW w:w="8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499"/>
        <w:gridCol w:w="550"/>
        <w:gridCol w:w="934"/>
        <w:gridCol w:w="1416"/>
        <w:gridCol w:w="1534"/>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2" w:hRule="atLeast"/>
          <w:jc w:val="center"/>
        </w:trPr>
        <w:tc>
          <w:tcPr>
            <w:tcW w:w="523" w:type="dxa"/>
            <w:tcMar>
              <w:top w:w="15" w:type="dxa"/>
              <w:left w:w="15" w:type="dxa"/>
              <w:bottom w:w="0" w:type="dxa"/>
              <w:right w:w="15" w:type="dxa"/>
            </w:tcMar>
            <w:vAlign w:val="center"/>
          </w:tcPr>
          <w:p>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499" w:type="dxa"/>
            <w:tcMar>
              <w:top w:w="15" w:type="dxa"/>
              <w:left w:w="15" w:type="dxa"/>
              <w:bottom w:w="0" w:type="dxa"/>
              <w:right w:w="15" w:type="dxa"/>
            </w:tcMar>
            <w:vAlign w:val="center"/>
          </w:tcPr>
          <w:p>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550" w:type="dxa"/>
            <w:tcMar>
              <w:top w:w="15" w:type="dxa"/>
              <w:left w:w="15" w:type="dxa"/>
              <w:bottom w:w="0" w:type="dxa"/>
              <w:right w:w="15" w:type="dxa"/>
            </w:tcMar>
            <w:vAlign w:val="center"/>
          </w:tcPr>
          <w:p>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934" w:type="dxa"/>
            <w:tcMar>
              <w:top w:w="15" w:type="dxa"/>
              <w:left w:w="15" w:type="dxa"/>
              <w:bottom w:w="0" w:type="dxa"/>
              <w:right w:w="15" w:type="dxa"/>
            </w:tcMar>
            <w:vAlign w:val="center"/>
          </w:tcPr>
          <w:p>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416" w:type="dxa"/>
            <w:vAlign w:val="center"/>
          </w:tcPr>
          <w:p>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预算（元）</w:t>
            </w:r>
          </w:p>
        </w:tc>
        <w:tc>
          <w:tcPr>
            <w:tcW w:w="1534" w:type="dxa"/>
            <w:vAlign w:val="center"/>
          </w:tcPr>
          <w:p>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简要规格描述或基本情况介绍</w:t>
            </w:r>
          </w:p>
        </w:tc>
        <w:tc>
          <w:tcPr>
            <w:tcW w:w="1537" w:type="dxa"/>
            <w:vAlign w:val="center"/>
          </w:tcPr>
          <w:p>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97" w:hRule="atLeast"/>
          <w:jc w:val="center"/>
        </w:trPr>
        <w:tc>
          <w:tcPr>
            <w:tcW w:w="523" w:type="dxa"/>
            <w:tcMar>
              <w:top w:w="15" w:type="dxa"/>
              <w:left w:w="15" w:type="dxa"/>
              <w:bottom w:w="0" w:type="dxa"/>
              <w:right w:w="15" w:type="dxa"/>
            </w:tcMar>
            <w:vAlign w:val="center"/>
          </w:tcPr>
          <w:p>
            <w:pPr>
              <w:tabs>
                <w:tab w:val="left" w:pos="0"/>
              </w:tabs>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499" w:type="dxa"/>
            <w:tcMar>
              <w:top w:w="15" w:type="dxa"/>
              <w:left w:w="15" w:type="dxa"/>
              <w:bottom w:w="0" w:type="dxa"/>
              <w:right w:w="15" w:type="dxa"/>
            </w:tcMar>
            <w:vAlign w:val="center"/>
          </w:tcPr>
          <w:p>
            <w:pPr>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杭州市萧山区人民法院2024年电子卷宗随案生成服务政府采购项目</w:t>
            </w:r>
          </w:p>
        </w:tc>
        <w:tc>
          <w:tcPr>
            <w:tcW w:w="550" w:type="dxa"/>
            <w:tcMar>
              <w:top w:w="15" w:type="dxa"/>
              <w:left w:w="15" w:type="dxa"/>
              <w:bottom w:w="0" w:type="dxa"/>
              <w:right w:w="15" w:type="dxa"/>
            </w:tcMar>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934" w:type="dxa"/>
            <w:tcMar>
              <w:top w:w="15" w:type="dxa"/>
              <w:left w:w="15" w:type="dxa"/>
              <w:bottom w:w="0" w:type="dxa"/>
              <w:right w:w="15" w:type="dxa"/>
            </w:tcMar>
            <w:vAlign w:val="center"/>
          </w:tcPr>
          <w:p>
            <w:pPr>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年</w:t>
            </w:r>
          </w:p>
        </w:tc>
        <w:tc>
          <w:tcPr>
            <w:tcW w:w="1416" w:type="dxa"/>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1050</w:t>
            </w:r>
            <w:r>
              <w:rPr>
                <w:rFonts w:hint="eastAsia" w:ascii="仿宋" w:hAnsi="仿宋" w:eastAsia="仿宋" w:cs="仿宋"/>
                <w:color w:val="auto"/>
                <w:sz w:val="24"/>
                <w:highlight w:val="none"/>
              </w:rPr>
              <w:t>000.00</w:t>
            </w:r>
          </w:p>
        </w:tc>
        <w:tc>
          <w:tcPr>
            <w:tcW w:w="1534" w:type="dxa"/>
            <w:vAlign w:val="center"/>
          </w:tcPr>
          <w:p>
            <w:pPr>
              <w:tabs>
                <w:tab w:val="left" w:pos="0"/>
              </w:tabs>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zh-Hans"/>
              </w:rPr>
              <w:t>二、</w:t>
            </w:r>
            <w:r>
              <w:rPr>
                <w:rFonts w:hint="eastAsia" w:ascii="仿宋" w:hAnsi="仿宋" w:eastAsia="仿宋" w:cs="仿宋"/>
                <w:color w:val="auto"/>
                <w:sz w:val="24"/>
                <w:highlight w:val="none"/>
              </w:rPr>
              <w:t>采购需求</w:t>
            </w:r>
          </w:p>
        </w:tc>
        <w:tc>
          <w:tcPr>
            <w:tcW w:w="1537" w:type="dxa"/>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1050</w:t>
            </w:r>
            <w:r>
              <w:rPr>
                <w:rFonts w:hint="eastAsia" w:ascii="仿宋" w:hAnsi="仿宋" w:eastAsia="仿宋" w:cs="仿宋"/>
                <w:color w:val="auto"/>
                <w:sz w:val="24"/>
                <w:highlight w:val="none"/>
              </w:rPr>
              <w:t>000.00</w:t>
            </w:r>
          </w:p>
        </w:tc>
      </w:tr>
    </w:tbl>
    <w:p>
      <w:pPr>
        <w:rPr>
          <w:rFonts w:ascii="仿宋" w:hAnsi="仿宋" w:eastAsia="仿宋" w:cs="仿宋"/>
          <w:b/>
          <w:color w:val="auto"/>
          <w:sz w:val="22"/>
          <w:szCs w:val="22"/>
          <w:highlight w:val="none"/>
        </w:rPr>
      </w:pPr>
    </w:p>
    <w:p>
      <w:pPr>
        <w:pStyle w:val="2"/>
        <w:numPr>
          <w:ilvl w:val="0"/>
          <w:numId w:val="0"/>
        </w:numPr>
        <w:ind w:left="630" w:leftChars="0" w:hanging="630" w:firstLineChars="0"/>
        <w:jc w:val="center"/>
        <w:rPr>
          <w:rFonts w:hint="default" w:ascii="仿宋" w:hAnsi="仿宋" w:eastAsia="仿宋" w:cs="仿宋"/>
          <w:b/>
          <w:bCs/>
          <w:color w:val="auto"/>
          <w:kern w:val="2"/>
          <w:sz w:val="32"/>
          <w:szCs w:val="32"/>
          <w:highlight w:val="none"/>
          <w:lang w:val="zh-CN" w:eastAsia="zh-CN" w:bidi="ar-SA"/>
        </w:rPr>
      </w:pPr>
    </w:p>
    <w:p>
      <w:pPr>
        <w:pStyle w:val="2"/>
        <w:numPr>
          <w:ilvl w:val="0"/>
          <w:numId w:val="0"/>
        </w:numPr>
        <w:ind w:left="630" w:leftChars="0" w:hanging="630" w:firstLineChars="0"/>
        <w:jc w:val="center"/>
        <w:rPr>
          <w:rFonts w:ascii="仿宋" w:eastAsia="仿宋" w:cs="仿宋"/>
          <w:color w:val="auto"/>
          <w:highlight w:val="none"/>
        </w:rPr>
      </w:pPr>
      <w:r>
        <w:rPr>
          <w:rFonts w:hint="default" w:ascii="仿宋" w:hAnsi="仿宋" w:eastAsia="仿宋" w:cs="仿宋"/>
          <w:b/>
          <w:bCs/>
          <w:color w:val="auto"/>
          <w:kern w:val="2"/>
          <w:sz w:val="32"/>
          <w:szCs w:val="32"/>
          <w:highlight w:val="none"/>
          <w:lang w:val="zh-CN" w:eastAsia="zh-CN" w:bidi="ar-SA"/>
        </w:rPr>
        <w:t>二、</w:t>
      </w:r>
      <w:r>
        <w:rPr>
          <w:rFonts w:hint="eastAsia" w:ascii="仿宋" w:eastAsia="仿宋" w:cs="仿宋"/>
          <w:color w:val="auto"/>
          <w:highlight w:val="none"/>
        </w:rPr>
        <w:t>采购需求</w:t>
      </w:r>
    </w:p>
    <w:p>
      <w:pPr>
        <w:tabs>
          <w:tab w:val="left" w:pos="0"/>
        </w:tabs>
        <w:adjustRightIn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技术需求：</w:t>
      </w:r>
    </w:p>
    <w:p>
      <w:pPr>
        <w:tabs>
          <w:tab w:val="left" w:pos="0"/>
        </w:tabs>
        <w:adjustRightInd w:val="0"/>
        <w:spacing w:line="360" w:lineRule="auto"/>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一、项目背景：</w:t>
      </w:r>
    </w:p>
    <w:p>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全面落实最高法院“智慧法院”“人民法院信息化4.0”建设和浙江省委“数字化改革”的工作部署，根据浙江省高级人民法院出台的《浙江法院电子卷宗集中编目工作指引（试行）》（浙高法办〔2021〕40 号）、《浙江法院全面推进无纸化办案实施方案》（浙高法﹝2020﹞33号）、萧山法院配套出台的《杭州市萧山区人民法院无纸化办案实施方案（试行）》（杭萧法﹝2020﹞17号）文件要求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推进杭州市</w:t>
      </w:r>
      <w:r>
        <w:rPr>
          <w:rFonts w:hint="eastAsia" w:ascii="仿宋" w:hAnsi="仿宋" w:eastAsia="仿宋" w:cs="仿宋"/>
          <w:color w:val="auto"/>
          <w:sz w:val="24"/>
          <w:szCs w:val="24"/>
          <w:highlight w:val="none"/>
          <w:lang w:eastAsia="zh-CN"/>
        </w:rPr>
        <w:t>萧山</w:t>
      </w:r>
      <w:r>
        <w:rPr>
          <w:rFonts w:hint="eastAsia" w:ascii="仿宋" w:hAnsi="仿宋" w:eastAsia="仿宋" w:cs="仿宋"/>
          <w:color w:val="auto"/>
          <w:sz w:val="24"/>
          <w:szCs w:val="24"/>
          <w:highlight w:val="none"/>
        </w:rPr>
        <w:t>区人民法院的档案数字化建设工作，实现档案查阅利用的高效、便捷，需要采购诉讼材料扫描、修图和零星编目、档案质检、归档要求的装订、历年文书档案扫描等服务。项目主要工作包含立案扫描、过程性补充材料扫描、扫描辅助、提档状态下的质检、归档后封面的打印、案卷信息的核对、拆卷重新装订、入库上架打箱运送等工作。要求扫描精度不低于300DPI，质量抽检的合格率达到99%以上。整个工作实施过程中需要的其他加工配置软件，由投标人自行提供，且为正版软件。</w:t>
      </w:r>
    </w:p>
    <w:p>
      <w:pPr>
        <w:tabs>
          <w:tab w:val="left" w:pos="0"/>
        </w:tabs>
        <w:adjustRightInd w:val="0"/>
        <w:spacing w:line="360" w:lineRule="auto"/>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二、具体需求：</w:t>
      </w:r>
    </w:p>
    <w:p>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1.服务内容：</w:t>
      </w:r>
    </w:p>
    <w:p>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（1）负责202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月1日（具体时间以正式合同为准）后立案的审理（执行）案件立案过程中产生的诉讼材料扫描、修图、挂接、上传和零星编目等工作；协助业务部门完成审理、结案过程中诉讼材料的扫描、修图、编目、检验、提交归档等工作；</w:t>
      </w:r>
    </w:p>
    <w:p>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（2）负责202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月1日（具体时间以正式合同为准）后结案的包含我院院部非集约化案件(包括刑事案件)提档状态下的质检、归档后封面的打印、案卷信息的核对、拆卷重新装订、入库上架打箱运送等后续工作（刑庭档案工作需要项目公司派员前往刑庭办理），历年文书档案扫描、修图、挂接上传等工作。</w:t>
      </w:r>
    </w:p>
    <w:p>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2.无纸化技术服务（诉讼材料扫描、零星编目服务）总体工作量参考：202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年，全院共办结各类案</w:t>
      </w:r>
      <w:r>
        <w:rPr>
          <w:rFonts w:hint="eastAsia" w:ascii="仿宋" w:hAnsi="仿宋" w:eastAsia="仿宋" w:cs="仿宋"/>
          <w:color w:val="auto"/>
          <w:sz w:val="24"/>
          <w:szCs w:val="24"/>
          <w:highlight w:val="none"/>
          <w:lang w:val="en-US" w:eastAsia="zh-CN"/>
        </w:rPr>
        <w:t>32435</w:t>
      </w:r>
      <w:r>
        <w:rPr>
          <w:rFonts w:hint="eastAsia" w:ascii="仿宋" w:hAnsi="仿宋" w:eastAsia="仿宋" w:cs="仿宋"/>
          <w:color w:val="auto"/>
          <w:sz w:val="24"/>
          <w:szCs w:val="24"/>
          <w:highlight w:val="none"/>
        </w:rPr>
        <w:t>件，其中审理</w:t>
      </w:r>
      <w:r>
        <w:rPr>
          <w:rFonts w:hint="eastAsia" w:ascii="仿宋" w:hAnsi="仿宋" w:eastAsia="仿宋" w:cs="仿宋"/>
          <w:color w:val="auto"/>
          <w:sz w:val="24"/>
          <w:szCs w:val="24"/>
          <w:highlight w:val="none"/>
          <w:lang w:val="en-US" w:eastAsia="zh-CN"/>
        </w:rPr>
        <w:t>22546</w:t>
      </w:r>
      <w:r>
        <w:rPr>
          <w:rFonts w:hint="eastAsia" w:ascii="仿宋" w:hAnsi="仿宋" w:eastAsia="仿宋" w:cs="仿宋"/>
          <w:color w:val="auto"/>
          <w:sz w:val="24"/>
          <w:szCs w:val="24"/>
          <w:highlight w:val="none"/>
        </w:rPr>
        <w:t>件，执行</w:t>
      </w:r>
      <w:r>
        <w:rPr>
          <w:rFonts w:hint="eastAsia" w:ascii="仿宋" w:hAnsi="仿宋" w:eastAsia="仿宋" w:cs="仿宋"/>
          <w:color w:val="auto"/>
          <w:sz w:val="24"/>
          <w:szCs w:val="24"/>
          <w:highlight w:val="none"/>
          <w:lang w:val="en-US" w:eastAsia="zh-CN"/>
        </w:rPr>
        <w:t>9889</w:t>
      </w:r>
      <w:r>
        <w:rPr>
          <w:rFonts w:hint="eastAsia" w:ascii="仿宋" w:hAnsi="仿宋" w:eastAsia="仿宋" w:cs="仿宋"/>
          <w:color w:val="auto"/>
          <w:sz w:val="24"/>
          <w:szCs w:val="24"/>
          <w:highlight w:val="none"/>
        </w:rPr>
        <w:t>件；</w:t>
      </w:r>
      <w:r>
        <w:rPr>
          <w:rFonts w:hint="eastAsia" w:ascii="仿宋" w:hAnsi="仿宋" w:eastAsia="仿宋" w:cs="仿宋"/>
          <w:color w:val="auto"/>
          <w:sz w:val="24"/>
          <w:szCs w:val="24"/>
          <w:highlight w:val="none"/>
          <w:lang w:val="en-US" w:eastAsia="zh-CN"/>
        </w:rPr>
        <w:t>2023年，全院共办归各类案件 43572件，其中集约化 31981件，非集约化11591件。</w:t>
      </w:r>
    </w:p>
    <w:p>
      <w:pPr>
        <w:tabs>
          <w:tab w:val="left" w:pos="0"/>
        </w:tabs>
        <w:adjustRightInd w:val="0"/>
        <w:spacing w:line="360" w:lineRule="auto"/>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▲3.无纸化技术服务（诉讼材料扫描、零星编目服务）的服务点及岗位设置：</w:t>
      </w:r>
    </w:p>
    <w:p>
      <w:pPr>
        <w:tabs>
          <w:tab w:val="left" w:pos="0"/>
        </w:tabs>
        <w:adjustRightInd w:val="0"/>
        <w:spacing w:line="360" w:lineRule="auto"/>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（1）前端岗位设置：在诉讼服务中心、院部集约化中心、人民法庭、刑事审判庭和执行局共7处，配置扫描岗位</w:t>
      </w:r>
      <w:r>
        <w:rPr>
          <w:rFonts w:hint="eastAsia" w:ascii="仿宋" w:hAnsi="仿宋" w:eastAsia="仿宋" w:cs="仿宋"/>
          <w:b/>
          <w:bCs/>
          <w:color w:val="auto"/>
          <w:sz w:val="24"/>
          <w:szCs w:val="24"/>
          <w:highlight w:val="none"/>
          <w:lang w:val="en-US" w:eastAsia="zh-CN"/>
        </w:rPr>
        <w:t>9</w:t>
      </w:r>
      <w:r>
        <w:rPr>
          <w:rFonts w:hint="eastAsia" w:ascii="仿宋" w:hAnsi="仿宋" w:eastAsia="仿宋" w:cs="仿宋"/>
          <w:b/>
          <w:bCs/>
          <w:color w:val="auto"/>
          <w:sz w:val="24"/>
          <w:szCs w:val="24"/>
          <w:highlight w:val="none"/>
        </w:rPr>
        <w:t>个，另配置组长兼检查员岗位1个，共</w:t>
      </w:r>
      <w:r>
        <w:rPr>
          <w:rFonts w:hint="eastAsia" w:ascii="仿宋" w:hAnsi="仿宋" w:eastAsia="仿宋" w:cs="仿宋"/>
          <w:b/>
          <w:bCs/>
          <w:color w:val="auto"/>
          <w:sz w:val="24"/>
          <w:szCs w:val="24"/>
          <w:highlight w:val="none"/>
          <w:lang w:val="en-US" w:eastAsia="zh-CN"/>
        </w:rPr>
        <w:t>10</w:t>
      </w:r>
      <w:r>
        <w:rPr>
          <w:rFonts w:hint="eastAsia" w:ascii="仿宋" w:hAnsi="仿宋" w:eastAsia="仿宋" w:cs="仿宋"/>
          <w:b/>
          <w:bCs/>
          <w:color w:val="auto"/>
          <w:sz w:val="24"/>
          <w:szCs w:val="24"/>
          <w:highlight w:val="none"/>
        </w:rPr>
        <w:t>个岗位；</w:t>
      </w:r>
    </w:p>
    <w:p>
      <w:pPr>
        <w:tabs>
          <w:tab w:val="left" w:pos="0"/>
        </w:tabs>
        <w:adjustRightInd w:val="0"/>
        <w:spacing w:line="360" w:lineRule="auto"/>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（2）后端岗位设置：档案质检</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eastAsia="zh-CN"/>
        </w:rPr>
        <w:t>个</w:t>
      </w:r>
      <w:r>
        <w:rPr>
          <w:rFonts w:hint="eastAsia" w:ascii="仿宋" w:hAnsi="仿宋" w:eastAsia="仿宋" w:cs="仿宋"/>
          <w:b/>
          <w:bCs/>
          <w:color w:val="auto"/>
          <w:sz w:val="24"/>
          <w:szCs w:val="24"/>
          <w:highlight w:val="none"/>
        </w:rPr>
        <w:t>（负责非集约化提交归档的案件），封面打印、核对移交清册案件、拆卷装订及历年文书档案扫描、修图、挂接2</w:t>
      </w:r>
      <w:r>
        <w:rPr>
          <w:rFonts w:hint="eastAsia" w:ascii="仿宋" w:hAnsi="仿宋" w:eastAsia="仿宋" w:cs="仿宋"/>
          <w:b/>
          <w:bCs/>
          <w:color w:val="auto"/>
          <w:sz w:val="24"/>
          <w:szCs w:val="24"/>
          <w:highlight w:val="none"/>
          <w:lang w:eastAsia="zh-CN"/>
        </w:rPr>
        <w:t>个</w:t>
      </w:r>
      <w:r>
        <w:rPr>
          <w:rFonts w:hint="eastAsia" w:ascii="仿宋" w:hAnsi="仿宋" w:eastAsia="仿宋" w:cs="仿宋"/>
          <w:b/>
          <w:bCs/>
          <w:color w:val="auto"/>
          <w:sz w:val="24"/>
          <w:szCs w:val="24"/>
          <w:highlight w:val="none"/>
        </w:rPr>
        <w:t>，入库上架打箱及每周四刑庭收案兼组长1</w:t>
      </w:r>
      <w:r>
        <w:rPr>
          <w:rFonts w:hint="eastAsia" w:ascii="仿宋" w:hAnsi="仿宋" w:eastAsia="仿宋" w:cs="仿宋"/>
          <w:b/>
          <w:bCs/>
          <w:color w:val="auto"/>
          <w:sz w:val="24"/>
          <w:szCs w:val="24"/>
          <w:highlight w:val="none"/>
          <w:lang w:eastAsia="zh-CN"/>
        </w:rPr>
        <w:t>个</w:t>
      </w:r>
      <w:r>
        <w:rPr>
          <w:rFonts w:hint="eastAsia" w:ascii="仿宋" w:hAnsi="仿宋" w:eastAsia="仿宋" w:cs="仿宋"/>
          <w:b/>
          <w:bCs/>
          <w:color w:val="auto"/>
          <w:sz w:val="24"/>
          <w:szCs w:val="24"/>
          <w:highlight w:val="none"/>
        </w:rPr>
        <w:t>，共</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lang w:eastAsia="zh-CN"/>
        </w:rPr>
        <w:t>个岗位</w:t>
      </w:r>
      <w:r>
        <w:rPr>
          <w:rFonts w:hint="eastAsia" w:ascii="仿宋" w:hAnsi="仿宋" w:eastAsia="仿宋" w:cs="仿宋"/>
          <w:b/>
          <w:bCs/>
          <w:color w:val="auto"/>
          <w:sz w:val="24"/>
          <w:szCs w:val="24"/>
          <w:highlight w:val="none"/>
        </w:rPr>
        <w:t>。</w:t>
      </w:r>
    </w:p>
    <w:p>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4.无纸化技术服务部分所需的A3/A4扫描仪由中标人负责提供，参数不得低于杭州市中级人民法院发布的《关于加快推进全市法院电子卷宗随案同步生成系统建设的通知》的设备参数要求。</w:t>
      </w:r>
    </w:p>
    <w:p>
      <w:pPr>
        <w:tabs>
          <w:tab w:val="left" w:pos="0"/>
        </w:tabs>
        <w:adjustRightInd w:val="0"/>
        <w:spacing w:line="360" w:lineRule="auto"/>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中标单位需在正式进场前半个月对劳务派遣人员进行入职培训及其他相关培训，及时有效地适应院内工作流程；同时，中标单位在同等条件下应优先留用现有扫描人员，无法留用的需及时配备相应的扫描人员到岗，不得对法院审判及档案工作产生影响。</w:t>
      </w:r>
    </w:p>
    <w:p>
      <w:pPr>
        <w:tabs>
          <w:tab w:val="left" w:pos="0"/>
        </w:tabs>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扫描点岗位设置</w:t>
      </w:r>
    </w:p>
    <w:tbl>
      <w:tblPr>
        <w:tblStyle w:val="63"/>
        <w:tblW w:w="49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3037"/>
        <w:gridCol w:w="208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 w:hRule="atLeast"/>
        </w:trPr>
        <w:tc>
          <w:tcPr>
            <w:tcW w:w="1335" w:type="pct"/>
            <w:vAlign w:val="center"/>
          </w:tcPr>
          <w:p>
            <w:pPr>
              <w:tabs>
                <w:tab w:val="left" w:pos="0"/>
              </w:tabs>
              <w:adjustRightIn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扫描点岗位设置</w:t>
            </w:r>
          </w:p>
        </w:tc>
        <w:tc>
          <w:tcPr>
            <w:tcW w:w="1812" w:type="pct"/>
            <w:vAlign w:val="center"/>
          </w:tcPr>
          <w:p>
            <w:pPr>
              <w:tabs>
                <w:tab w:val="left" w:pos="0"/>
              </w:tabs>
              <w:adjustRightInd w:val="0"/>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工作内容</w:t>
            </w:r>
          </w:p>
        </w:tc>
        <w:tc>
          <w:tcPr>
            <w:tcW w:w="1244" w:type="pct"/>
            <w:vAlign w:val="center"/>
          </w:tcPr>
          <w:p>
            <w:pPr>
              <w:tabs>
                <w:tab w:val="left" w:pos="0"/>
              </w:tabs>
              <w:adjustRightInd w:val="0"/>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工作地点</w:t>
            </w:r>
          </w:p>
        </w:tc>
        <w:tc>
          <w:tcPr>
            <w:tcW w:w="608" w:type="pct"/>
            <w:vAlign w:val="center"/>
          </w:tcPr>
          <w:p>
            <w:pPr>
              <w:tabs>
                <w:tab w:val="left" w:pos="0"/>
              </w:tabs>
              <w:adjustRightIn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岗位数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335" w:type="pct"/>
            <w:vMerge w:val="restart"/>
            <w:noWrap/>
            <w:vAlign w:val="center"/>
          </w:tcPr>
          <w:p>
            <w:pPr>
              <w:tabs>
                <w:tab w:val="left" w:pos="0"/>
              </w:tabs>
              <w:adjustRightIn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随案扫描服务人员</w:t>
            </w:r>
          </w:p>
        </w:tc>
        <w:tc>
          <w:tcPr>
            <w:tcW w:w="1812" w:type="pct"/>
            <w:vMerge w:val="restart"/>
            <w:noWrap/>
            <w:vAlign w:val="center"/>
          </w:tcPr>
          <w:p>
            <w:pPr>
              <w:tabs>
                <w:tab w:val="left" w:pos="0"/>
              </w:tabs>
              <w:adjustRightIn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诉讼案卷的电子卷宗同步生成工作，即在立案和审理</w:t>
            </w:r>
            <w:r>
              <w:rPr>
                <w:rFonts w:hint="eastAsia" w:ascii="仿宋" w:hAnsi="仿宋" w:eastAsia="仿宋" w:cs="仿宋"/>
                <w:color w:val="auto"/>
                <w:sz w:val="24"/>
                <w:szCs w:val="24"/>
                <w:highlight w:val="none"/>
                <w:lang w:eastAsia="zh-CN"/>
              </w:rPr>
              <w:t>、执行</w:t>
            </w:r>
            <w:r>
              <w:rPr>
                <w:rFonts w:hint="eastAsia" w:ascii="仿宋" w:hAnsi="仿宋" w:eastAsia="仿宋" w:cs="仿宋"/>
                <w:color w:val="auto"/>
                <w:sz w:val="24"/>
                <w:szCs w:val="24"/>
                <w:highlight w:val="none"/>
              </w:rPr>
              <w:t>过程中诉讼材料的整理、扫描及上传至审判信息系统。</w:t>
            </w:r>
          </w:p>
        </w:tc>
        <w:tc>
          <w:tcPr>
            <w:tcW w:w="1244" w:type="pct"/>
            <w:noWrap/>
            <w:vAlign w:val="center"/>
          </w:tcPr>
          <w:p>
            <w:pPr>
              <w:tabs>
                <w:tab w:val="left" w:pos="0"/>
              </w:tabs>
              <w:adjustRightInd w:val="0"/>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诉讼服务中心</w:t>
            </w:r>
          </w:p>
        </w:tc>
        <w:tc>
          <w:tcPr>
            <w:tcW w:w="608" w:type="pct"/>
            <w:noWrap/>
            <w:vAlign w:val="center"/>
          </w:tcPr>
          <w:p>
            <w:pPr>
              <w:tabs>
                <w:tab w:val="left" w:pos="0"/>
              </w:tabs>
              <w:adjustRightIn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335" w:type="pct"/>
            <w:vMerge w:val="continue"/>
            <w:noWrap/>
            <w:vAlign w:val="center"/>
          </w:tcPr>
          <w:p>
            <w:pPr>
              <w:tabs>
                <w:tab w:val="left" w:pos="0"/>
              </w:tabs>
              <w:adjustRightInd w:val="0"/>
              <w:spacing w:line="240" w:lineRule="auto"/>
              <w:jc w:val="center"/>
              <w:rPr>
                <w:rFonts w:hint="eastAsia" w:ascii="仿宋" w:hAnsi="仿宋" w:eastAsia="仿宋" w:cs="仿宋"/>
                <w:color w:val="auto"/>
                <w:sz w:val="24"/>
                <w:szCs w:val="24"/>
                <w:highlight w:val="none"/>
              </w:rPr>
            </w:pPr>
          </w:p>
        </w:tc>
        <w:tc>
          <w:tcPr>
            <w:tcW w:w="1812" w:type="pct"/>
            <w:vMerge w:val="continue"/>
            <w:noWrap/>
            <w:vAlign w:val="center"/>
          </w:tcPr>
          <w:p>
            <w:pPr>
              <w:tabs>
                <w:tab w:val="left" w:pos="0"/>
              </w:tabs>
              <w:adjustRightInd w:val="0"/>
              <w:spacing w:line="240" w:lineRule="auto"/>
              <w:jc w:val="center"/>
              <w:rPr>
                <w:rFonts w:hint="eastAsia" w:ascii="仿宋" w:hAnsi="仿宋" w:eastAsia="仿宋" w:cs="仿宋"/>
                <w:color w:val="auto"/>
                <w:sz w:val="24"/>
                <w:szCs w:val="24"/>
                <w:highlight w:val="none"/>
              </w:rPr>
            </w:pPr>
          </w:p>
        </w:tc>
        <w:tc>
          <w:tcPr>
            <w:tcW w:w="1244" w:type="pct"/>
            <w:noWrap/>
            <w:vAlign w:val="center"/>
          </w:tcPr>
          <w:p>
            <w:pPr>
              <w:tabs>
                <w:tab w:val="left" w:pos="0"/>
              </w:tabs>
              <w:adjustRightInd w:val="0"/>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刑事审判法庭</w:t>
            </w:r>
          </w:p>
          <w:p>
            <w:pPr>
              <w:tabs>
                <w:tab w:val="left" w:pos="0"/>
              </w:tabs>
              <w:adjustRightInd w:val="0"/>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(南阳人民法庭)</w:t>
            </w:r>
          </w:p>
        </w:tc>
        <w:tc>
          <w:tcPr>
            <w:tcW w:w="608" w:type="pct"/>
            <w:noWrap/>
            <w:vAlign w:val="center"/>
          </w:tcPr>
          <w:p>
            <w:pPr>
              <w:tabs>
                <w:tab w:val="left" w:pos="0"/>
              </w:tabs>
              <w:adjustRightInd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335" w:type="pct"/>
            <w:vMerge w:val="continue"/>
            <w:noWrap/>
            <w:vAlign w:val="center"/>
          </w:tcPr>
          <w:p>
            <w:pPr>
              <w:tabs>
                <w:tab w:val="left" w:pos="0"/>
              </w:tabs>
              <w:adjustRightInd w:val="0"/>
              <w:spacing w:line="240" w:lineRule="auto"/>
              <w:jc w:val="center"/>
              <w:rPr>
                <w:rFonts w:hint="eastAsia" w:ascii="仿宋" w:hAnsi="仿宋" w:eastAsia="仿宋" w:cs="仿宋"/>
                <w:color w:val="auto"/>
                <w:sz w:val="24"/>
                <w:szCs w:val="24"/>
                <w:highlight w:val="none"/>
                <w:lang w:eastAsia="zh-CN"/>
              </w:rPr>
            </w:pPr>
          </w:p>
        </w:tc>
        <w:tc>
          <w:tcPr>
            <w:tcW w:w="1812" w:type="pct"/>
            <w:vMerge w:val="continue"/>
            <w:noWrap/>
            <w:vAlign w:val="center"/>
          </w:tcPr>
          <w:p>
            <w:pPr>
              <w:tabs>
                <w:tab w:val="left" w:pos="0"/>
              </w:tabs>
              <w:adjustRightInd w:val="0"/>
              <w:spacing w:line="240" w:lineRule="auto"/>
              <w:jc w:val="center"/>
              <w:rPr>
                <w:rFonts w:hint="eastAsia" w:ascii="仿宋" w:hAnsi="仿宋" w:eastAsia="仿宋" w:cs="仿宋"/>
                <w:color w:val="auto"/>
                <w:sz w:val="24"/>
                <w:szCs w:val="24"/>
                <w:highlight w:val="none"/>
                <w:lang w:eastAsia="zh-CN"/>
              </w:rPr>
            </w:pPr>
          </w:p>
        </w:tc>
        <w:tc>
          <w:tcPr>
            <w:tcW w:w="1244" w:type="pct"/>
            <w:noWrap/>
            <w:vAlign w:val="center"/>
          </w:tcPr>
          <w:p>
            <w:pPr>
              <w:tabs>
                <w:tab w:val="left" w:pos="0"/>
              </w:tabs>
              <w:adjustRightInd w:val="0"/>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临浦人民法庭</w:t>
            </w:r>
          </w:p>
        </w:tc>
        <w:tc>
          <w:tcPr>
            <w:tcW w:w="608" w:type="pct"/>
            <w:noWrap/>
            <w:vAlign w:val="center"/>
          </w:tcPr>
          <w:p>
            <w:pPr>
              <w:tabs>
                <w:tab w:val="left" w:pos="0"/>
              </w:tabs>
              <w:adjustRightInd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335" w:type="pct"/>
            <w:vMerge w:val="continue"/>
            <w:noWrap/>
            <w:vAlign w:val="center"/>
          </w:tcPr>
          <w:p>
            <w:pPr>
              <w:tabs>
                <w:tab w:val="left" w:pos="0"/>
              </w:tabs>
              <w:adjustRightInd w:val="0"/>
              <w:spacing w:line="240" w:lineRule="auto"/>
              <w:jc w:val="center"/>
              <w:rPr>
                <w:rFonts w:hint="eastAsia" w:ascii="仿宋" w:hAnsi="仿宋" w:eastAsia="仿宋" w:cs="仿宋"/>
                <w:color w:val="auto"/>
                <w:sz w:val="24"/>
                <w:szCs w:val="24"/>
                <w:highlight w:val="none"/>
                <w:lang w:eastAsia="zh-CN"/>
              </w:rPr>
            </w:pPr>
          </w:p>
        </w:tc>
        <w:tc>
          <w:tcPr>
            <w:tcW w:w="1812" w:type="pct"/>
            <w:vMerge w:val="continue"/>
            <w:noWrap/>
            <w:vAlign w:val="center"/>
          </w:tcPr>
          <w:p>
            <w:pPr>
              <w:tabs>
                <w:tab w:val="left" w:pos="0"/>
              </w:tabs>
              <w:adjustRightInd w:val="0"/>
              <w:spacing w:line="240" w:lineRule="auto"/>
              <w:jc w:val="center"/>
              <w:rPr>
                <w:rFonts w:hint="eastAsia" w:ascii="仿宋" w:hAnsi="仿宋" w:eastAsia="仿宋" w:cs="仿宋"/>
                <w:color w:val="auto"/>
                <w:sz w:val="24"/>
                <w:szCs w:val="24"/>
                <w:highlight w:val="none"/>
                <w:lang w:eastAsia="zh-CN"/>
              </w:rPr>
            </w:pPr>
          </w:p>
        </w:tc>
        <w:tc>
          <w:tcPr>
            <w:tcW w:w="1244" w:type="pct"/>
            <w:noWrap/>
            <w:vAlign w:val="center"/>
          </w:tcPr>
          <w:p>
            <w:pPr>
              <w:tabs>
                <w:tab w:val="left" w:pos="0"/>
              </w:tabs>
              <w:adjustRightInd w:val="0"/>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瓜沥人民法庭</w:t>
            </w:r>
          </w:p>
        </w:tc>
        <w:tc>
          <w:tcPr>
            <w:tcW w:w="608" w:type="pct"/>
            <w:noWrap/>
            <w:vAlign w:val="center"/>
          </w:tcPr>
          <w:p>
            <w:pPr>
              <w:tabs>
                <w:tab w:val="left" w:pos="0"/>
              </w:tabs>
              <w:adjustRightInd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335" w:type="pct"/>
            <w:vMerge w:val="continue"/>
            <w:noWrap/>
            <w:vAlign w:val="center"/>
          </w:tcPr>
          <w:p>
            <w:pPr>
              <w:tabs>
                <w:tab w:val="left" w:pos="0"/>
              </w:tabs>
              <w:adjustRightInd w:val="0"/>
              <w:spacing w:line="240" w:lineRule="auto"/>
              <w:jc w:val="center"/>
              <w:rPr>
                <w:rFonts w:hint="eastAsia" w:ascii="仿宋" w:hAnsi="仿宋" w:eastAsia="仿宋" w:cs="仿宋"/>
                <w:color w:val="auto"/>
                <w:sz w:val="24"/>
                <w:szCs w:val="24"/>
                <w:highlight w:val="none"/>
                <w:lang w:eastAsia="zh-CN"/>
              </w:rPr>
            </w:pPr>
          </w:p>
        </w:tc>
        <w:tc>
          <w:tcPr>
            <w:tcW w:w="1812" w:type="pct"/>
            <w:vMerge w:val="continue"/>
            <w:noWrap/>
            <w:vAlign w:val="center"/>
          </w:tcPr>
          <w:p>
            <w:pPr>
              <w:tabs>
                <w:tab w:val="left" w:pos="0"/>
              </w:tabs>
              <w:adjustRightInd w:val="0"/>
              <w:spacing w:line="240" w:lineRule="auto"/>
              <w:jc w:val="center"/>
              <w:rPr>
                <w:rFonts w:hint="eastAsia" w:ascii="仿宋" w:hAnsi="仿宋" w:eastAsia="仿宋" w:cs="仿宋"/>
                <w:color w:val="auto"/>
                <w:sz w:val="24"/>
                <w:szCs w:val="24"/>
                <w:highlight w:val="none"/>
                <w:lang w:eastAsia="zh-CN"/>
              </w:rPr>
            </w:pPr>
          </w:p>
        </w:tc>
        <w:tc>
          <w:tcPr>
            <w:tcW w:w="1244" w:type="pct"/>
            <w:noWrap/>
            <w:vAlign w:val="center"/>
          </w:tcPr>
          <w:p>
            <w:pPr>
              <w:tabs>
                <w:tab w:val="left" w:pos="0"/>
              </w:tabs>
              <w:adjustRightInd w:val="0"/>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宁围人民法庭</w:t>
            </w:r>
          </w:p>
        </w:tc>
        <w:tc>
          <w:tcPr>
            <w:tcW w:w="608" w:type="pct"/>
            <w:noWrap/>
            <w:vAlign w:val="center"/>
          </w:tcPr>
          <w:p>
            <w:pPr>
              <w:tabs>
                <w:tab w:val="left" w:pos="0"/>
              </w:tabs>
              <w:adjustRightInd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335" w:type="pct"/>
            <w:vMerge w:val="continue"/>
            <w:noWrap/>
            <w:vAlign w:val="center"/>
          </w:tcPr>
          <w:p>
            <w:pPr>
              <w:tabs>
                <w:tab w:val="left" w:pos="0"/>
              </w:tabs>
              <w:adjustRightInd w:val="0"/>
              <w:spacing w:line="240" w:lineRule="auto"/>
              <w:jc w:val="center"/>
              <w:rPr>
                <w:rFonts w:hint="eastAsia" w:ascii="仿宋" w:hAnsi="仿宋" w:eastAsia="仿宋" w:cs="仿宋"/>
                <w:color w:val="auto"/>
                <w:sz w:val="24"/>
                <w:szCs w:val="24"/>
                <w:highlight w:val="none"/>
                <w:lang w:eastAsia="zh-CN"/>
              </w:rPr>
            </w:pPr>
          </w:p>
        </w:tc>
        <w:tc>
          <w:tcPr>
            <w:tcW w:w="1812" w:type="pct"/>
            <w:vMerge w:val="continue"/>
            <w:noWrap/>
            <w:vAlign w:val="center"/>
          </w:tcPr>
          <w:p>
            <w:pPr>
              <w:tabs>
                <w:tab w:val="left" w:pos="0"/>
              </w:tabs>
              <w:adjustRightInd w:val="0"/>
              <w:spacing w:line="240" w:lineRule="auto"/>
              <w:jc w:val="center"/>
              <w:rPr>
                <w:rFonts w:hint="eastAsia" w:ascii="仿宋" w:hAnsi="仿宋" w:eastAsia="仿宋" w:cs="仿宋"/>
                <w:color w:val="auto"/>
                <w:sz w:val="24"/>
                <w:szCs w:val="24"/>
                <w:highlight w:val="none"/>
                <w:lang w:eastAsia="zh-CN"/>
              </w:rPr>
            </w:pPr>
          </w:p>
        </w:tc>
        <w:tc>
          <w:tcPr>
            <w:tcW w:w="1244" w:type="pct"/>
            <w:noWrap/>
            <w:vAlign w:val="center"/>
          </w:tcPr>
          <w:p>
            <w:pPr>
              <w:tabs>
                <w:tab w:val="left" w:pos="0"/>
              </w:tabs>
              <w:adjustRightInd w:val="0"/>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执行局</w:t>
            </w:r>
          </w:p>
        </w:tc>
        <w:tc>
          <w:tcPr>
            <w:tcW w:w="608" w:type="pct"/>
            <w:noWrap/>
            <w:vAlign w:val="center"/>
          </w:tcPr>
          <w:p>
            <w:pPr>
              <w:tabs>
                <w:tab w:val="left" w:pos="0"/>
              </w:tabs>
              <w:adjustRightInd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335" w:type="pct"/>
            <w:vMerge w:val="continue"/>
            <w:noWrap/>
            <w:vAlign w:val="center"/>
          </w:tcPr>
          <w:p>
            <w:pPr>
              <w:tabs>
                <w:tab w:val="left" w:pos="0"/>
              </w:tabs>
              <w:adjustRightInd w:val="0"/>
              <w:spacing w:line="240" w:lineRule="auto"/>
              <w:jc w:val="center"/>
              <w:rPr>
                <w:rFonts w:hint="eastAsia" w:ascii="仿宋" w:hAnsi="仿宋" w:eastAsia="仿宋" w:cs="仿宋"/>
                <w:color w:val="auto"/>
                <w:sz w:val="24"/>
                <w:szCs w:val="24"/>
                <w:highlight w:val="none"/>
                <w:lang w:eastAsia="zh-CN"/>
              </w:rPr>
            </w:pPr>
          </w:p>
        </w:tc>
        <w:tc>
          <w:tcPr>
            <w:tcW w:w="1812" w:type="pct"/>
            <w:vMerge w:val="continue"/>
            <w:noWrap/>
            <w:vAlign w:val="center"/>
          </w:tcPr>
          <w:p>
            <w:pPr>
              <w:tabs>
                <w:tab w:val="left" w:pos="0"/>
              </w:tabs>
              <w:adjustRightInd w:val="0"/>
              <w:spacing w:line="240" w:lineRule="auto"/>
              <w:jc w:val="center"/>
              <w:rPr>
                <w:rFonts w:hint="eastAsia" w:ascii="仿宋" w:hAnsi="仿宋" w:eastAsia="仿宋" w:cs="仿宋"/>
                <w:color w:val="auto"/>
                <w:sz w:val="24"/>
                <w:szCs w:val="24"/>
                <w:highlight w:val="none"/>
                <w:lang w:eastAsia="zh-CN"/>
              </w:rPr>
            </w:pPr>
          </w:p>
        </w:tc>
        <w:tc>
          <w:tcPr>
            <w:tcW w:w="1244" w:type="pct"/>
            <w:noWrap/>
            <w:vAlign w:val="center"/>
          </w:tcPr>
          <w:p>
            <w:pPr>
              <w:tabs>
                <w:tab w:val="left" w:pos="0"/>
              </w:tabs>
              <w:adjustRightInd w:val="0"/>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集约中心</w:t>
            </w:r>
          </w:p>
        </w:tc>
        <w:tc>
          <w:tcPr>
            <w:tcW w:w="608" w:type="pct"/>
            <w:noWrap/>
            <w:vAlign w:val="center"/>
          </w:tcPr>
          <w:p>
            <w:pPr>
              <w:tabs>
                <w:tab w:val="left" w:pos="0"/>
              </w:tabs>
              <w:adjustRightInd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 w:hRule="atLeast"/>
        </w:trPr>
        <w:tc>
          <w:tcPr>
            <w:tcW w:w="1335" w:type="pct"/>
            <w:noWrap/>
            <w:vAlign w:val="center"/>
          </w:tcPr>
          <w:p>
            <w:pPr>
              <w:tabs>
                <w:tab w:val="left" w:pos="0"/>
              </w:tabs>
              <w:adjustRightInd w:val="0"/>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档案室</w:t>
            </w:r>
            <w:r>
              <w:rPr>
                <w:rFonts w:hint="eastAsia" w:ascii="仿宋" w:hAnsi="仿宋" w:eastAsia="仿宋" w:cs="仿宋"/>
                <w:color w:val="auto"/>
                <w:sz w:val="24"/>
                <w:szCs w:val="24"/>
                <w:highlight w:val="none"/>
                <w:lang w:eastAsia="zh-CN"/>
              </w:rPr>
              <w:t>辅助人员</w:t>
            </w:r>
          </w:p>
        </w:tc>
        <w:tc>
          <w:tcPr>
            <w:tcW w:w="1812" w:type="pct"/>
            <w:noWrap/>
            <w:vAlign w:val="center"/>
          </w:tcPr>
          <w:p>
            <w:pPr>
              <w:tabs>
                <w:tab w:val="left" w:pos="0"/>
              </w:tabs>
              <w:adjustRightIn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档案质检</w:t>
            </w:r>
            <w:r>
              <w:rPr>
                <w:rFonts w:hint="eastAsia" w:ascii="仿宋" w:hAnsi="仿宋" w:eastAsia="仿宋" w:cs="仿宋"/>
                <w:color w:val="auto"/>
                <w:sz w:val="24"/>
                <w:szCs w:val="24"/>
                <w:highlight w:val="none"/>
                <w:lang w:val="en-US" w:eastAsia="zh-CN"/>
              </w:rPr>
              <w:t>2个</w:t>
            </w:r>
            <w:r>
              <w:rPr>
                <w:rFonts w:hint="eastAsia" w:ascii="仿宋" w:hAnsi="仿宋" w:eastAsia="仿宋" w:cs="仿宋"/>
                <w:color w:val="auto"/>
                <w:sz w:val="24"/>
                <w:szCs w:val="24"/>
                <w:highlight w:val="none"/>
              </w:rPr>
              <w:t>（负责非集约化提交归档的案件），封面打印、核对移交清册案件、拆卷装订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及历年文书档案扫描、修图、挂接2</w:t>
            </w:r>
            <w:r>
              <w:rPr>
                <w:rFonts w:hint="eastAsia" w:ascii="仿宋" w:hAnsi="仿宋" w:eastAsia="仿宋" w:cs="仿宋"/>
                <w:color w:val="auto"/>
                <w:sz w:val="24"/>
                <w:szCs w:val="24"/>
                <w:highlight w:val="none"/>
                <w:lang w:val="en-US" w:eastAsia="zh-CN"/>
              </w:rPr>
              <w:t>个</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入库上架打箱及每周四刑庭收案兼组长1</w:t>
            </w:r>
            <w:r>
              <w:rPr>
                <w:rFonts w:hint="eastAsia" w:ascii="仿宋" w:hAnsi="仿宋" w:eastAsia="仿宋" w:cs="仿宋"/>
                <w:color w:val="auto"/>
                <w:sz w:val="24"/>
                <w:szCs w:val="24"/>
                <w:highlight w:val="none"/>
                <w:lang w:val="en-US" w:eastAsia="zh-CN"/>
              </w:rPr>
              <w:t>个</w:t>
            </w:r>
            <w:r>
              <w:rPr>
                <w:rFonts w:hint="eastAsia" w:ascii="仿宋" w:hAnsi="仿宋" w:eastAsia="仿宋" w:cs="仿宋"/>
                <w:color w:val="auto"/>
                <w:sz w:val="24"/>
                <w:szCs w:val="24"/>
                <w:highlight w:val="none"/>
                <w:lang w:eastAsia="zh-CN"/>
              </w:rPr>
              <w:t>。</w:t>
            </w:r>
          </w:p>
        </w:tc>
        <w:tc>
          <w:tcPr>
            <w:tcW w:w="1244" w:type="pct"/>
            <w:noWrap/>
            <w:vAlign w:val="center"/>
          </w:tcPr>
          <w:p>
            <w:pPr>
              <w:tabs>
                <w:tab w:val="left" w:pos="0"/>
              </w:tabs>
              <w:adjustRightIn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08" w:type="pct"/>
            <w:noWrap/>
            <w:vAlign w:val="center"/>
          </w:tcPr>
          <w:p>
            <w:pPr>
              <w:tabs>
                <w:tab w:val="left" w:pos="0"/>
              </w:tabs>
              <w:adjustRightInd w:val="0"/>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 w:hRule="atLeast"/>
        </w:trPr>
        <w:tc>
          <w:tcPr>
            <w:tcW w:w="1335" w:type="pct"/>
            <w:noWrap/>
            <w:vAlign w:val="center"/>
          </w:tcPr>
          <w:p>
            <w:pPr>
              <w:tabs>
                <w:tab w:val="left" w:pos="0"/>
              </w:tabs>
              <w:adjustRightIn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扫描组长</w:t>
            </w:r>
            <w:r>
              <w:rPr>
                <w:rFonts w:hint="eastAsia" w:ascii="仿宋" w:hAnsi="仿宋" w:eastAsia="仿宋" w:cs="仿宋"/>
                <w:color w:val="auto"/>
                <w:sz w:val="24"/>
                <w:szCs w:val="24"/>
                <w:highlight w:val="none"/>
                <w:lang w:eastAsia="zh-CN"/>
              </w:rPr>
              <w:t>（配置在集约中心）</w:t>
            </w:r>
          </w:p>
        </w:tc>
        <w:tc>
          <w:tcPr>
            <w:tcW w:w="1812" w:type="pct"/>
            <w:noWrap/>
            <w:vAlign w:val="center"/>
          </w:tcPr>
          <w:p>
            <w:pPr>
              <w:tabs>
                <w:tab w:val="left" w:pos="0"/>
              </w:tabs>
              <w:adjustRightIn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244" w:type="pct"/>
            <w:noWrap/>
            <w:vAlign w:val="center"/>
          </w:tcPr>
          <w:p>
            <w:pPr>
              <w:tabs>
                <w:tab w:val="left" w:pos="0"/>
              </w:tabs>
              <w:adjustRightIn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08" w:type="pct"/>
            <w:noWrap/>
            <w:vAlign w:val="center"/>
          </w:tcPr>
          <w:p>
            <w:pPr>
              <w:tabs>
                <w:tab w:val="left" w:pos="0"/>
              </w:tabs>
              <w:adjustRightInd w:val="0"/>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r>
    </w:tbl>
    <w:p>
      <w:pPr>
        <w:tabs>
          <w:tab w:val="left" w:pos="0"/>
        </w:tabs>
        <w:adjustRightInd w:val="0"/>
        <w:spacing w:line="360" w:lineRule="auto"/>
        <w:rPr>
          <w:rFonts w:hint="eastAsia" w:ascii="仿宋" w:hAnsi="仿宋" w:eastAsia="仿宋" w:cs="仿宋"/>
          <w:b/>
          <w:bCs/>
          <w:color w:val="auto"/>
          <w:sz w:val="24"/>
          <w:szCs w:val="24"/>
          <w:highlight w:val="none"/>
        </w:rPr>
      </w:pPr>
    </w:p>
    <w:p>
      <w:pPr>
        <w:tabs>
          <w:tab w:val="left" w:pos="0"/>
        </w:tabs>
        <w:adjustRightIn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三、管理考核：</w:t>
      </w:r>
    </w:p>
    <w:p>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扫描中标单位需要提供扫描加工服务人员的组织机构表（管理人员、操作人员和质检人员等具体人员职责和要求）和健全的人员管理制度。扫描服务人员应当具备高中以上文化素质，有良好的职业道德，由中标单位扫描组长负责人员的日常管理，同时须自觉接受萧山法院的管理，包括作息时间、节假日安排、工作安排、规章制度等。对于违反规定在工作时间从事非工作事项被监督检查发现并造成影响的，每人次扣除服务费500元。服务人员应当严格遵守保密纪律，严禁泄露在工作中知悉的秘密，发生此类情况的服务人员直接退回给服务公司，并扣除服务费10000元每人次。</w:t>
      </w:r>
    </w:p>
    <w:p>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根据书记员送交的纸质材料，负责在次日内完成数字化处理并上传电子卷宗管理系统。无正当理由超时的，每日每页扣除服务费100元。检查是否有内部、涉密、未成年等不该扫描入卷的材料存在，负责处理的电子卷宗材料符合上级法院要求。经检查发现不符合要求的，每页扣除服务费100元，并负责及时补正；未限时补正的，每页加扣服务费500元。装订案卷整理齐整，线结抽紧，封条贴牢。未装订好致使材料散落，每本扣200元。案件上架、打箱错误致案件无法利用，每本案卷扣500元。</w:t>
      </w:r>
    </w:p>
    <w:p>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发生岗位人员缺失的，应当有人替班并及时补足。每月累计缺岗3日以内的，每天每人扣除服务费300元；3日以上5日以内的，每人每天扣除服务费1000元；超过5日的，每人每天扣除服务费5000元。缺岗超过半日的，以1日计；发生迟到或早退的，每月累计3次计缺岗1日。</w:t>
      </w:r>
    </w:p>
    <w:p>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4.认真检查纸质档案与电子档案的一致性，发现一处问题，每页扣100元。</w:t>
      </w:r>
    </w:p>
    <w:p>
      <w:pPr>
        <w:tabs>
          <w:tab w:val="left" w:pos="0"/>
        </w:tabs>
        <w:adjustRightIn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四、验收要求：</w:t>
      </w:r>
    </w:p>
    <w:p>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1.加工单位数据自检合格后，递交萧山法院验收。数据验收以周为单位，分批由加工单位自检合格后提交。</w:t>
      </w:r>
    </w:p>
    <w:p>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档案实体验收必须逐卷清点，按档案数量、文件状况、卷内文件页数与顺序、装订要求等进行检查，如发现档案丢失、损坏、圈划或涂改等将追究法律责任。顺序错误、装订不符要求、卷间文件颠倒等作为差错，需要重新调整。</w:t>
      </w:r>
    </w:p>
    <w:p>
      <w:pPr>
        <w:tabs>
          <w:tab w:val="left" w:pos="0"/>
        </w:tabs>
        <w:adjustRightIn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五、安全要求：</w:t>
      </w:r>
    </w:p>
    <w:p>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严格遵守《保密守则》及浙江省高院的有关规定。档案扫描工作必须在本院指定的场所内进行，确保场所正常秩序和安全。不得遗失、损坏档案，如有违法者，将追究法律责任。中标人应做到：</w:t>
      </w:r>
    </w:p>
    <w:p>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1.与项目工作人员签订保密协议，加强对工作人员的保密教育，并确保人员稳定性，避免加工人员频繁调动。</w:t>
      </w:r>
    </w:p>
    <w:p>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2.建立严格的保密制度，加强管理，杜绝工作人员对档案及档案信息的私自复制行为。</w:t>
      </w:r>
    </w:p>
    <w:p>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3.不同的工序之间要采取措施，杜绝泄密事故的发生。</w:t>
      </w:r>
    </w:p>
    <w:p>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4.扫描加工场地的安全及保密措施，具备保密设施，保证档案原件的安全和保密。在工作平台上建立监管系统，实时监控工作人员的操作过程，统一记录保存。</w:t>
      </w:r>
    </w:p>
    <w:p>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5.数据在迁移入本院的数据口后，工作站上的数据必须在本院工作人员的现场监督下销毁。</w:t>
      </w:r>
    </w:p>
    <w:p>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6.不得在工作场所使用与工作无关的任何电器设备。</w:t>
      </w:r>
    </w:p>
    <w:p>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7．加工单位的人员应服从萧山法院的管理，包括作息时间、节假日安排、工作安排、规章制度等。</w:t>
      </w:r>
    </w:p>
    <w:p>
      <w:pPr>
        <w:tabs>
          <w:tab w:val="left" w:pos="0"/>
        </w:tabs>
        <w:adjustRightInd w:val="0"/>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商务需求</w:t>
      </w:r>
    </w:p>
    <w:p>
      <w:pPr>
        <w:tabs>
          <w:tab w:val="left" w:pos="0"/>
        </w:tabs>
        <w:adjustRightIn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服务时间及付款：</w:t>
      </w:r>
    </w:p>
    <w:p>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1.服务期：1年（服务期限从202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月至202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月，具体起止日期从合同签订之日算起）。</w:t>
      </w:r>
    </w:p>
    <w:p>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2.在服务期内中标人能严格履行合同并经考核合格，按照合同结算费用。如中标人在服务期内违反合同约定，经考核不合格，采购单位有权提前终止合同。</w:t>
      </w:r>
    </w:p>
    <w:p>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3.付款方式：</w:t>
      </w:r>
    </w:p>
    <w:p>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付款在合同生效以及具备实施条件后支付合同价的40%，剩余款项按三个季度支付，每个季度支付合同价的20%，最后一次支付时间为合同期满以后。双方根据季度考核情况，到岗人员和设备的日期、数量清单按实办理结算。</w:t>
      </w:r>
    </w:p>
    <w:p>
      <w:pPr>
        <w:tabs>
          <w:tab w:val="left" w:pos="0"/>
        </w:tabs>
        <w:adjustRightInd w:val="0"/>
        <w:spacing w:line="360" w:lineRule="auto"/>
        <w:ind w:firstLine="480"/>
        <w:rPr>
          <w:rFonts w:hint="eastAsia" w:ascii="仿宋" w:hAnsi="仿宋" w:eastAsia="仿宋" w:cs="仿宋"/>
          <w:color w:val="auto"/>
          <w:sz w:val="24"/>
          <w:szCs w:val="24"/>
          <w:highlight w:val="none"/>
        </w:rPr>
      </w:pPr>
    </w:p>
    <w:p>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1、打▲内容为实质性要求，不允许有负偏离，否则将以涉及无效投标条款作无效投标。</w:t>
      </w:r>
    </w:p>
    <w:p>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、中标人所提供的货物、服务须与投标承诺一致，不得以次充好、偷工减料，若在项目验收中发现有上述情况，将向有关部门举报，根据相关规定进行处理。</w:t>
      </w:r>
    </w:p>
    <w:p>
      <w:pPr>
        <w:ind w:firstLine="337" w:firstLineChars="0"/>
        <w:rPr>
          <w:rFonts w:ascii="仿宋" w:hAnsi="仿宋" w:eastAsia="仿宋" w:cs="仿宋"/>
          <w:color w:val="auto"/>
          <w:highlight w:val="none"/>
        </w:rPr>
      </w:pPr>
    </w:p>
    <w:p>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9" w:name="_Toc184314464"/>
      <w:bookmarkEnd w:id="29"/>
      <w:bookmarkStart w:id="30" w:name="_Toc184312097"/>
      <w:bookmarkEnd w:id="30"/>
      <w:bookmarkStart w:id="31" w:name="_Toc184313295"/>
      <w:bookmarkEnd w:id="31"/>
      <w:bookmarkStart w:id="32" w:name="_Toc184314419"/>
      <w:bookmarkEnd w:id="32"/>
      <w:bookmarkStart w:id="33" w:name="_Toc184314476"/>
      <w:bookmarkEnd w:id="33"/>
      <w:bookmarkStart w:id="34" w:name="_Toc184314415"/>
      <w:bookmarkEnd w:id="34"/>
      <w:bookmarkStart w:id="35" w:name="_Toc184313290"/>
      <w:bookmarkEnd w:id="35"/>
      <w:bookmarkStart w:id="36" w:name="_Toc184312090"/>
      <w:bookmarkEnd w:id="36"/>
      <w:bookmarkStart w:id="37" w:name="_Toc184312108"/>
      <w:bookmarkEnd w:id="37"/>
      <w:bookmarkStart w:id="38" w:name="_Toc184310286"/>
      <w:bookmarkEnd w:id="38"/>
      <w:bookmarkStart w:id="39" w:name="_Toc184310305"/>
      <w:bookmarkEnd w:id="39"/>
      <w:bookmarkStart w:id="40" w:name="_Toc184312079"/>
      <w:bookmarkEnd w:id="40"/>
      <w:bookmarkStart w:id="41" w:name="_Toc184308064"/>
      <w:bookmarkEnd w:id="41"/>
      <w:bookmarkStart w:id="42" w:name="_Toc184312102"/>
      <w:bookmarkEnd w:id="42"/>
      <w:bookmarkStart w:id="43" w:name="_Toc184313256"/>
      <w:bookmarkEnd w:id="43"/>
      <w:bookmarkStart w:id="44" w:name="_Toc184313289"/>
      <w:bookmarkEnd w:id="44"/>
      <w:bookmarkStart w:id="45" w:name="_Toc184313267"/>
      <w:bookmarkEnd w:id="45"/>
      <w:bookmarkStart w:id="46" w:name="_Toc184310296"/>
      <w:bookmarkEnd w:id="46"/>
      <w:bookmarkStart w:id="47" w:name="_Toc184308102"/>
      <w:bookmarkEnd w:id="47"/>
      <w:bookmarkStart w:id="48" w:name="_Toc184312095"/>
      <w:bookmarkEnd w:id="48"/>
      <w:bookmarkStart w:id="49" w:name="_Toc184313260"/>
      <w:bookmarkEnd w:id="49"/>
      <w:bookmarkStart w:id="50" w:name="_Toc184310291"/>
      <w:bookmarkEnd w:id="50"/>
      <w:bookmarkStart w:id="51" w:name="_Toc184314445"/>
      <w:bookmarkEnd w:id="51"/>
      <w:bookmarkStart w:id="52" w:name="_Toc184313238"/>
      <w:bookmarkEnd w:id="52"/>
      <w:bookmarkStart w:id="53" w:name="_Toc184308082"/>
      <w:bookmarkEnd w:id="53"/>
      <w:bookmarkStart w:id="54" w:name="_Toc184313303"/>
      <w:bookmarkEnd w:id="54"/>
      <w:bookmarkStart w:id="55" w:name="_Toc184310326"/>
      <w:bookmarkEnd w:id="55"/>
      <w:bookmarkStart w:id="56" w:name="_Toc184314449"/>
      <w:bookmarkEnd w:id="56"/>
      <w:bookmarkStart w:id="57" w:name="_Toc184313288"/>
      <w:bookmarkEnd w:id="57"/>
      <w:bookmarkStart w:id="58" w:name="_Toc184308094"/>
      <w:bookmarkEnd w:id="58"/>
      <w:bookmarkStart w:id="59" w:name="_Toc184314420"/>
      <w:bookmarkEnd w:id="59"/>
      <w:bookmarkStart w:id="60" w:name="_Toc184310287"/>
      <w:bookmarkEnd w:id="60"/>
      <w:bookmarkStart w:id="61" w:name="_Toc184313287"/>
      <w:bookmarkEnd w:id="61"/>
      <w:bookmarkStart w:id="62" w:name="_Toc184314459"/>
      <w:bookmarkEnd w:id="62"/>
      <w:bookmarkStart w:id="63" w:name="_Toc184310333"/>
      <w:bookmarkEnd w:id="63"/>
      <w:bookmarkStart w:id="64" w:name="_Toc184313278"/>
      <w:bookmarkEnd w:id="64"/>
      <w:bookmarkStart w:id="65" w:name="_Toc184313301"/>
      <w:bookmarkEnd w:id="65"/>
      <w:bookmarkStart w:id="66" w:name="_Toc184310320"/>
      <w:bookmarkEnd w:id="66"/>
      <w:bookmarkStart w:id="67" w:name="_Toc184310337"/>
      <w:bookmarkEnd w:id="67"/>
      <w:bookmarkStart w:id="68" w:name="_Toc184310338"/>
      <w:bookmarkEnd w:id="68"/>
      <w:bookmarkStart w:id="69" w:name="_Toc184313297"/>
      <w:bookmarkEnd w:id="69"/>
      <w:bookmarkStart w:id="70" w:name="_Toc184310276"/>
      <w:bookmarkEnd w:id="70"/>
      <w:bookmarkStart w:id="71" w:name="_Toc184313299"/>
      <w:bookmarkEnd w:id="71"/>
      <w:bookmarkStart w:id="72" w:name="_Toc184314413"/>
      <w:bookmarkEnd w:id="72"/>
      <w:bookmarkStart w:id="73" w:name="_Toc184308052"/>
      <w:bookmarkEnd w:id="73"/>
      <w:bookmarkStart w:id="74" w:name="_Toc184314438"/>
      <w:bookmarkEnd w:id="74"/>
      <w:bookmarkStart w:id="75" w:name="_Toc184313307"/>
      <w:bookmarkEnd w:id="75"/>
      <w:bookmarkStart w:id="76" w:name="_Toc184314471"/>
      <w:bookmarkEnd w:id="76"/>
      <w:bookmarkStart w:id="77" w:name="_Toc184310336"/>
      <w:bookmarkEnd w:id="77"/>
      <w:bookmarkStart w:id="78" w:name="_Toc184314457"/>
      <w:bookmarkEnd w:id="78"/>
      <w:bookmarkStart w:id="79" w:name="_Toc184310306"/>
      <w:bookmarkEnd w:id="79"/>
      <w:bookmarkStart w:id="80" w:name="_Toc184308059"/>
      <w:bookmarkEnd w:id="80"/>
      <w:bookmarkStart w:id="81" w:name="_Toc184313252"/>
      <w:bookmarkEnd w:id="81"/>
      <w:bookmarkStart w:id="82" w:name="_Toc184312086"/>
      <w:bookmarkEnd w:id="82"/>
      <w:bookmarkStart w:id="83" w:name="_Toc184308079"/>
      <w:bookmarkEnd w:id="83"/>
      <w:bookmarkStart w:id="84" w:name="_Toc184313248"/>
      <w:bookmarkEnd w:id="84"/>
      <w:bookmarkStart w:id="85" w:name="_Toc184310281"/>
      <w:bookmarkEnd w:id="85"/>
      <w:bookmarkStart w:id="86" w:name="_Toc184310304"/>
      <w:bookmarkEnd w:id="86"/>
      <w:bookmarkStart w:id="87" w:name="_Toc184313245"/>
      <w:bookmarkEnd w:id="87"/>
      <w:bookmarkStart w:id="88" w:name="_Toc184313246"/>
      <w:bookmarkEnd w:id="88"/>
      <w:bookmarkStart w:id="89" w:name="_Toc184313250"/>
      <w:bookmarkEnd w:id="89"/>
      <w:bookmarkStart w:id="90" w:name="_Toc184313263"/>
      <w:bookmarkEnd w:id="90"/>
      <w:bookmarkStart w:id="91" w:name="_Toc184313309"/>
      <w:bookmarkEnd w:id="91"/>
      <w:bookmarkStart w:id="92" w:name="_Toc184314441"/>
      <w:bookmarkEnd w:id="92"/>
      <w:bookmarkStart w:id="93" w:name="_Toc184313310"/>
      <w:bookmarkEnd w:id="93"/>
      <w:bookmarkStart w:id="94" w:name="_Toc184312099"/>
      <w:bookmarkEnd w:id="94"/>
      <w:bookmarkStart w:id="95" w:name="_Toc184313274"/>
      <w:bookmarkEnd w:id="95"/>
      <w:bookmarkStart w:id="96" w:name="_Toc184314456"/>
      <w:bookmarkEnd w:id="96"/>
      <w:bookmarkStart w:id="97" w:name="_Toc184313255"/>
      <w:bookmarkEnd w:id="97"/>
      <w:bookmarkStart w:id="98" w:name="_Toc184310342"/>
      <w:bookmarkEnd w:id="98"/>
      <w:bookmarkStart w:id="99" w:name="_Toc184314424"/>
      <w:bookmarkEnd w:id="99"/>
      <w:bookmarkStart w:id="100" w:name="_Toc184310282"/>
      <w:bookmarkEnd w:id="100"/>
      <w:bookmarkStart w:id="101" w:name="_Toc184313279"/>
      <w:bookmarkEnd w:id="101"/>
      <w:bookmarkStart w:id="102" w:name="_Toc184312080"/>
      <w:bookmarkEnd w:id="102"/>
      <w:bookmarkStart w:id="103" w:name="_Toc184308103"/>
      <w:bookmarkEnd w:id="103"/>
      <w:bookmarkStart w:id="104" w:name="_Toc184308063"/>
      <w:bookmarkEnd w:id="104"/>
      <w:bookmarkStart w:id="105" w:name="_Toc184312138"/>
      <w:bookmarkEnd w:id="105"/>
      <w:bookmarkStart w:id="106" w:name="_Toc184310317"/>
      <w:bookmarkEnd w:id="106"/>
      <w:bookmarkStart w:id="107" w:name="_Toc184313265"/>
      <w:bookmarkEnd w:id="107"/>
      <w:bookmarkStart w:id="108" w:name="_Toc184312109"/>
      <w:bookmarkEnd w:id="108"/>
      <w:bookmarkStart w:id="109" w:name="_Toc184308107"/>
      <w:bookmarkEnd w:id="109"/>
      <w:bookmarkStart w:id="110" w:name="_Toc184314414"/>
      <w:bookmarkEnd w:id="110"/>
      <w:bookmarkStart w:id="111" w:name="_Toc184310290"/>
      <w:bookmarkEnd w:id="111"/>
      <w:bookmarkStart w:id="112" w:name="_Toc184308047"/>
      <w:bookmarkEnd w:id="112"/>
      <w:bookmarkStart w:id="113" w:name="_Toc184314422"/>
      <w:bookmarkEnd w:id="113"/>
      <w:bookmarkStart w:id="114" w:name="_Toc184312082"/>
      <w:bookmarkEnd w:id="114"/>
      <w:bookmarkStart w:id="115" w:name="_Toc184313269"/>
      <w:bookmarkEnd w:id="115"/>
      <w:bookmarkStart w:id="116" w:name="_Toc184312089"/>
      <w:bookmarkEnd w:id="116"/>
      <w:bookmarkStart w:id="117" w:name="_Toc184312092"/>
      <w:bookmarkEnd w:id="117"/>
      <w:bookmarkStart w:id="118" w:name="_Toc184312120"/>
      <w:bookmarkEnd w:id="118"/>
      <w:bookmarkStart w:id="119" w:name="_Toc184308080"/>
      <w:bookmarkEnd w:id="119"/>
      <w:bookmarkStart w:id="120" w:name="_Toc184310318"/>
      <w:bookmarkEnd w:id="120"/>
      <w:bookmarkStart w:id="121" w:name="_Toc184314426"/>
      <w:bookmarkEnd w:id="121"/>
      <w:bookmarkStart w:id="122" w:name="_Toc184314472"/>
      <w:bookmarkEnd w:id="122"/>
      <w:bookmarkStart w:id="123" w:name="_Toc184312111"/>
      <w:bookmarkEnd w:id="123"/>
      <w:bookmarkStart w:id="124" w:name="_Toc184314451"/>
      <w:bookmarkEnd w:id="124"/>
      <w:bookmarkStart w:id="125" w:name="_Toc184310343"/>
      <w:bookmarkEnd w:id="125"/>
      <w:bookmarkStart w:id="126" w:name="_Toc184312117"/>
      <w:bookmarkEnd w:id="126"/>
      <w:bookmarkStart w:id="127" w:name="_Toc184310328"/>
      <w:bookmarkEnd w:id="127"/>
      <w:bookmarkStart w:id="128" w:name="_Toc184310294"/>
      <w:bookmarkEnd w:id="128"/>
      <w:bookmarkStart w:id="129" w:name="_Toc184312132"/>
      <w:bookmarkEnd w:id="129"/>
      <w:bookmarkStart w:id="130" w:name="_Toc184308086"/>
      <w:bookmarkEnd w:id="130"/>
      <w:bookmarkStart w:id="131" w:name="_Toc184313277"/>
      <w:bookmarkEnd w:id="131"/>
      <w:bookmarkStart w:id="132" w:name="_Toc184308069"/>
      <w:bookmarkEnd w:id="132"/>
      <w:bookmarkStart w:id="133" w:name="_Toc184308098"/>
      <w:bookmarkEnd w:id="133"/>
      <w:bookmarkStart w:id="134" w:name="_Toc184308090"/>
      <w:bookmarkEnd w:id="134"/>
      <w:bookmarkStart w:id="135" w:name="_Toc184310315"/>
      <w:bookmarkEnd w:id="135"/>
      <w:bookmarkStart w:id="136" w:name="_Toc184312119"/>
      <w:bookmarkEnd w:id="136"/>
      <w:bookmarkStart w:id="137" w:name="_Toc184313257"/>
      <w:bookmarkEnd w:id="137"/>
      <w:bookmarkStart w:id="138" w:name="_Toc184312096"/>
      <w:bookmarkEnd w:id="138"/>
      <w:bookmarkStart w:id="139" w:name="_Toc184310275"/>
      <w:bookmarkEnd w:id="139"/>
      <w:bookmarkStart w:id="140" w:name="_Toc184314442"/>
      <w:bookmarkEnd w:id="140"/>
      <w:bookmarkStart w:id="141" w:name="_Toc184312070"/>
      <w:bookmarkEnd w:id="141"/>
      <w:bookmarkStart w:id="142" w:name="_Toc184314437"/>
      <w:bookmarkEnd w:id="142"/>
      <w:bookmarkStart w:id="143" w:name="_Toc184314443"/>
      <w:bookmarkEnd w:id="143"/>
      <w:bookmarkStart w:id="144" w:name="_Toc184312083"/>
      <w:bookmarkEnd w:id="144"/>
      <w:bookmarkStart w:id="145" w:name="_Toc184313298"/>
      <w:bookmarkEnd w:id="145"/>
      <w:bookmarkStart w:id="146" w:name="_Toc184310299"/>
      <w:bookmarkEnd w:id="146"/>
      <w:bookmarkStart w:id="147" w:name="_Toc184308045"/>
      <w:bookmarkEnd w:id="147"/>
      <w:bookmarkStart w:id="148" w:name="_Toc184314473"/>
      <w:bookmarkEnd w:id="148"/>
      <w:bookmarkStart w:id="149" w:name="_Toc184314428"/>
      <w:bookmarkEnd w:id="149"/>
      <w:bookmarkStart w:id="150" w:name="_Toc184314454"/>
      <w:bookmarkEnd w:id="150"/>
      <w:bookmarkStart w:id="151" w:name="_Toc184313258"/>
      <w:bookmarkEnd w:id="151"/>
      <w:bookmarkStart w:id="152" w:name="_Toc184313247"/>
      <w:bookmarkEnd w:id="152"/>
      <w:bookmarkStart w:id="153" w:name="_Toc184314447"/>
      <w:bookmarkEnd w:id="153"/>
      <w:bookmarkStart w:id="154" w:name="_Toc184312134"/>
      <w:bookmarkEnd w:id="154"/>
      <w:bookmarkStart w:id="155" w:name="_Toc184310340"/>
      <w:bookmarkEnd w:id="155"/>
      <w:bookmarkStart w:id="156" w:name="_Toc184312130"/>
      <w:bookmarkEnd w:id="156"/>
      <w:bookmarkStart w:id="157" w:name="_Toc184310314"/>
      <w:bookmarkEnd w:id="157"/>
      <w:bookmarkStart w:id="158" w:name="_Toc184314421"/>
      <w:bookmarkEnd w:id="158"/>
      <w:bookmarkStart w:id="159" w:name="_Toc184312118"/>
      <w:bookmarkEnd w:id="159"/>
      <w:bookmarkStart w:id="160" w:name="_Toc184312126"/>
      <w:bookmarkEnd w:id="160"/>
      <w:bookmarkStart w:id="161" w:name="_Toc184314416"/>
      <w:bookmarkEnd w:id="161"/>
      <w:bookmarkStart w:id="162" w:name="_Toc184314481"/>
      <w:bookmarkEnd w:id="162"/>
      <w:bookmarkStart w:id="163" w:name="_Toc184312124"/>
      <w:bookmarkEnd w:id="163"/>
      <w:bookmarkStart w:id="164" w:name="_Toc184310280"/>
      <w:bookmarkEnd w:id="164"/>
      <w:bookmarkStart w:id="165" w:name="_Toc184314427"/>
      <w:bookmarkEnd w:id="165"/>
      <w:bookmarkStart w:id="166" w:name="_Toc184314423"/>
      <w:bookmarkEnd w:id="166"/>
      <w:bookmarkStart w:id="167" w:name="_Toc184308038"/>
      <w:bookmarkEnd w:id="167"/>
      <w:bookmarkStart w:id="168" w:name="_Toc184310297"/>
      <w:bookmarkEnd w:id="168"/>
      <w:bookmarkStart w:id="169" w:name="_Toc184312110"/>
      <w:bookmarkEnd w:id="169"/>
      <w:bookmarkStart w:id="170" w:name="_Toc184314478"/>
      <w:bookmarkEnd w:id="170"/>
      <w:bookmarkStart w:id="171" w:name="_Toc184310331"/>
      <w:bookmarkEnd w:id="171"/>
      <w:bookmarkStart w:id="172" w:name="_Toc184312127"/>
      <w:bookmarkEnd w:id="172"/>
      <w:bookmarkStart w:id="173" w:name="_Toc184313259"/>
      <w:bookmarkEnd w:id="173"/>
      <w:bookmarkStart w:id="174" w:name="_Toc184312087"/>
      <w:bookmarkEnd w:id="174"/>
      <w:bookmarkStart w:id="175" w:name="_Toc184314475"/>
      <w:bookmarkEnd w:id="175"/>
      <w:bookmarkStart w:id="176" w:name="_Toc184308043"/>
      <w:bookmarkEnd w:id="176"/>
      <w:bookmarkStart w:id="177" w:name="_Toc184313264"/>
      <w:bookmarkEnd w:id="177"/>
      <w:bookmarkStart w:id="178" w:name="_Toc184313280"/>
      <w:bookmarkEnd w:id="178"/>
      <w:bookmarkStart w:id="179" w:name="_Toc184308101"/>
      <w:bookmarkEnd w:id="179"/>
      <w:bookmarkStart w:id="180" w:name="_Toc184308068"/>
      <w:bookmarkEnd w:id="180"/>
      <w:bookmarkStart w:id="181" w:name="_Toc184314467"/>
      <w:bookmarkEnd w:id="181"/>
      <w:bookmarkStart w:id="182" w:name="_Toc184312121"/>
      <w:bookmarkEnd w:id="182"/>
      <w:bookmarkStart w:id="183" w:name="_Toc184312114"/>
      <w:bookmarkEnd w:id="183"/>
      <w:bookmarkStart w:id="184" w:name="_Toc184314430"/>
      <w:bookmarkEnd w:id="184"/>
      <w:bookmarkStart w:id="185" w:name="_Toc184313286"/>
      <w:bookmarkEnd w:id="185"/>
      <w:bookmarkStart w:id="186" w:name="_Toc184308058"/>
      <w:bookmarkEnd w:id="186"/>
      <w:bookmarkStart w:id="187" w:name="_Toc184314432"/>
      <w:bookmarkEnd w:id="187"/>
      <w:bookmarkStart w:id="188" w:name="_Toc184310319"/>
      <w:bookmarkEnd w:id="188"/>
      <w:bookmarkStart w:id="189" w:name="_Toc184310322"/>
      <w:bookmarkEnd w:id="189"/>
      <w:bookmarkStart w:id="190" w:name="_Toc184313305"/>
      <w:bookmarkEnd w:id="190"/>
      <w:bookmarkStart w:id="191" w:name="_Toc184312081"/>
      <w:bookmarkEnd w:id="191"/>
      <w:bookmarkStart w:id="192" w:name="_Toc184310327"/>
      <w:bookmarkEnd w:id="192"/>
      <w:bookmarkStart w:id="193" w:name="_Toc184310285"/>
      <w:bookmarkEnd w:id="193"/>
      <w:bookmarkStart w:id="194" w:name="_Toc184313239"/>
      <w:bookmarkEnd w:id="194"/>
      <w:bookmarkStart w:id="195" w:name="_Toc184314477"/>
      <w:bookmarkEnd w:id="195"/>
      <w:bookmarkStart w:id="196" w:name="_Toc184308078"/>
      <w:bookmarkEnd w:id="196"/>
      <w:bookmarkStart w:id="197" w:name="_Toc184308054"/>
      <w:bookmarkEnd w:id="197"/>
      <w:bookmarkStart w:id="198" w:name="_Toc184314462"/>
      <w:bookmarkEnd w:id="198"/>
      <w:bookmarkStart w:id="199" w:name="_Toc184314460"/>
      <w:bookmarkEnd w:id="199"/>
      <w:bookmarkStart w:id="200" w:name="_Toc184308042"/>
      <w:bookmarkEnd w:id="200"/>
      <w:bookmarkStart w:id="201" w:name="_Toc184308081"/>
      <w:bookmarkEnd w:id="201"/>
      <w:bookmarkStart w:id="202" w:name="_Toc184312128"/>
      <w:bookmarkEnd w:id="202"/>
      <w:bookmarkStart w:id="203" w:name="_Toc184310334"/>
      <w:bookmarkEnd w:id="203"/>
      <w:bookmarkStart w:id="204" w:name="_Toc184308049"/>
      <w:bookmarkEnd w:id="204"/>
      <w:bookmarkStart w:id="205" w:name="_Toc184312088"/>
      <w:bookmarkEnd w:id="205"/>
      <w:bookmarkStart w:id="206" w:name="_Toc184312094"/>
      <w:bookmarkEnd w:id="206"/>
      <w:bookmarkStart w:id="207" w:name="_Toc184314463"/>
      <w:bookmarkEnd w:id="207"/>
      <w:bookmarkStart w:id="208" w:name="_Toc184314479"/>
      <w:bookmarkEnd w:id="208"/>
      <w:bookmarkStart w:id="209" w:name="_Toc184310279"/>
      <w:bookmarkEnd w:id="209"/>
      <w:bookmarkStart w:id="210" w:name="_Toc184314440"/>
      <w:bookmarkEnd w:id="210"/>
      <w:bookmarkStart w:id="211" w:name="_Toc184312069"/>
      <w:bookmarkEnd w:id="211"/>
      <w:bookmarkStart w:id="212" w:name="_Toc184308087"/>
      <w:bookmarkEnd w:id="212"/>
      <w:bookmarkStart w:id="213" w:name="_Toc184308077"/>
      <w:bookmarkEnd w:id="213"/>
      <w:bookmarkStart w:id="214" w:name="_Toc184314417"/>
      <w:bookmarkEnd w:id="214"/>
      <w:bookmarkStart w:id="215" w:name="_Toc184312125"/>
      <w:bookmarkEnd w:id="215"/>
      <w:bookmarkStart w:id="216" w:name="_Toc184313302"/>
      <w:bookmarkEnd w:id="216"/>
      <w:bookmarkStart w:id="217" w:name="_Toc184312098"/>
      <w:bookmarkEnd w:id="217"/>
      <w:bookmarkStart w:id="218" w:name="_Toc184314446"/>
      <w:bookmarkEnd w:id="218"/>
      <w:bookmarkStart w:id="219" w:name="_Toc184308095"/>
      <w:bookmarkEnd w:id="219"/>
      <w:bookmarkStart w:id="220" w:name="_Toc184310283"/>
      <w:bookmarkEnd w:id="220"/>
      <w:bookmarkStart w:id="221" w:name="_Toc184313296"/>
      <w:bookmarkEnd w:id="221"/>
      <w:bookmarkStart w:id="222" w:name="_Toc184314410"/>
      <w:bookmarkEnd w:id="222"/>
      <w:bookmarkStart w:id="223" w:name="_Toc184308093"/>
      <w:bookmarkEnd w:id="223"/>
      <w:bookmarkStart w:id="224" w:name="_Toc184312107"/>
      <w:bookmarkEnd w:id="224"/>
      <w:bookmarkStart w:id="225" w:name="_Toc184308056"/>
      <w:bookmarkEnd w:id="225"/>
      <w:bookmarkStart w:id="226" w:name="_Toc184313244"/>
      <w:bookmarkEnd w:id="226"/>
      <w:bookmarkStart w:id="227" w:name="_Toc184313294"/>
      <w:bookmarkEnd w:id="227"/>
      <w:bookmarkStart w:id="228" w:name="_Toc184314444"/>
      <w:bookmarkEnd w:id="228"/>
      <w:bookmarkStart w:id="229" w:name="_Toc184312112"/>
      <w:bookmarkEnd w:id="229"/>
      <w:bookmarkStart w:id="230" w:name="_Toc184308071"/>
      <w:bookmarkEnd w:id="230"/>
      <w:bookmarkStart w:id="231" w:name="_Toc184312101"/>
      <w:bookmarkEnd w:id="231"/>
      <w:bookmarkStart w:id="232" w:name="_Toc184310313"/>
      <w:bookmarkEnd w:id="232"/>
      <w:bookmarkStart w:id="233" w:name="_Toc184308053"/>
      <w:bookmarkEnd w:id="233"/>
      <w:bookmarkStart w:id="234" w:name="_Toc184308048"/>
      <w:bookmarkEnd w:id="234"/>
      <w:bookmarkStart w:id="235" w:name="_Toc184310316"/>
      <w:bookmarkEnd w:id="235"/>
      <w:bookmarkStart w:id="236" w:name="_Toc184308092"/>
      <w:bookmarkEnd w:id="236"/>
      <w:bookmarkStart w:id="237" w:name="_Toc184313283"/>
      <w:bookmarkEnd w:id="237"/>
      <w:bookmarkStart w:id="238" w:name="_Toc184313275"/>
      <w:bookmarkEnd w:id="238"/>
      <w:bookmarkStart w:id="239" w:name="_Toc184314435"/>
      <w:bookmarkEnd w:id="239"/>
      <w:bookmarkStart w:id="240" w:name="_Toc184310273"/>
      <w:bookmarkEnd w:id="240"/>
      <w:bookmarkStart w:id="241" w:name="_Toc184310272"/>
      <w:bookmarkEnd w:id="241"/>
      <w:bookmarkStart w:id="242" w:name="_Toc184308070"/>
      <w:bookmarkEnd w:id="242"/>
      <w:bookmarkStart w:id="243" w:name="_Toc184312106"/>
      <w:bookmarkEnd w:id="243"/>
      <w:bookmarkStart w:id="244" w:name="_Toc184310274"/>
      <w:bookmarkEnd w:id="244"/>
      <w:bookmarkStart w:id="245" w:name="_Toc184308062"/>
      <w:bookmarkEnd w:id="245"/>
      <w:bookmarkStart w:id="246" w:name="_Toc184314458"/>
      <w:bookmarkEnd w:id="246"/>
      <w:bookmarkStart w:id="247" w:name="_Toc184312139"/>
      <w:bookmarkEnd w:id="247"/>
      <w:bookmarkStart w:id="248" w:name="_Toc184314433"/>
      <w:bookmarkEnd w:id="248"/>
      <w:bookmarkStart w:id="249" w:name="_Toc184313240"/>
      <w:bookmarkEnd w:id="249"/>
      <w:bookmarkStart w:id="250" w:name="_Toc184313270"/>
      <w:bookmarkEnd w:id="250"/>
      <w:bookmarkStart w:id="251" w:name="_Toc184313308"/>
      <w:bookmarkEnd w:id="251"/>
      <w:bookmarkStart w:id="252" w:name="_Toc184308089"/>
      <w:bookmarkEnd w:id="252"/>
      <w:bookmarkStart w:id="253" w:name="_Toc184312068"/>
      <w:bookmarkEnd w:id="253"/>
      <w:bookmarkStart w:id="254" w:name="_Toc184314461"/>
      <w:bookmarkEnd w:id="254"/>
      <w:bookmarkStart w:id="255" w:name="_Toc184312073"/>
      <w:bookmarkEnd w:id="255"/>
      <w:bookmarkStart w:id="256" w:name="_Toc184312104"/>
      <w:bookmarkEnd w:id="256"/>
      <w:bookmarkStart w:id="257" w:name="_Toc184313285"/>
      <w:bookmarkEnd w:id="257"/>
      <w:bookmarkStart w:id="258" w:name="_Toc184312122"/>
      <w:bookmarkEnd w:id="258"/>
      <w:bookmarkStart w:id="259" w:name="_Toc184308044"/>
      <w:bookmarkEnd w:id="259"/>
      <w:bookmarkStart w:id="260" w:name="_Toc184313272"/>
      <w:bookmarkEnd w:id="260"/>
      <w:bookmarkStart w:id="261" w:name="_Toc184310341"/>
      <w:bookmarkEnd w:id="261"/>
      <w:bookmarkStart w:id="262" w:name="_Toc184310324"/>
      <w:bookmarkEnd w:id="262"/>
      <w:bookmarkStart w:id="263" w:name="_Toc184308040"/>
      <w:bookmarkEnd w:id="263"/>
      <w:bookmarkStart w:id="264" w:name="_Toc184310323"/>
      <w:bookmarkEnd w:id="264"/>
      <w:bookmarkStart w:id="265" w:name="_Toc184314412"/>
      <w:bookmarkEnd w:id="265"/>
      <w:bookmarkStart w:id="266" w:name="_Toc184310284"/>
      <w:bookmarkEnd w:id="266"/>
      <w:bookmarkStart w:id="267" w:name="_Toc184308065"/>
      <w:bookmarkEnd w:id="267"/>
      <w:bookmarkStart w:id="268" w:name="_Toc184310301"/>
      <w:bookmarkEnd w:id="268"/>
      <w:bookmarkStart w:id="269" w:name="_Toc184312116"/>
      <w:bookmarkEnd w:id="269"/>
      <w:bookmarkStart w:id="270" w:name="_Toc184312084"/>
      <w:bookmarkEnd w:id="270"/>
      <w:bookmarkStart w:id="271" w:name="_Toc184313251"/>
      <w:bookmarkEnd w:id="271"/>
      <w:bookmarkStart w:id="272" w:name="_Toc184314434"/>
      <w:bookmarkEnd w:id="272"/>
      <w:bookmarkStart w:id="273" w:name="_Toc184308104"/>
      <w:bookmarkEnd w:id="273"/>
      <w:bookmarkStart w:id="274" w:name="_Toc184312113"/>
      <w:bookmarkEnd w:id="274"/>
      <w:bookmarkStart w:id="275" w:name="_Toc184310277"/>
      <w:bookmarkEnd w:id="275"/>
      <w:bookmarkStart w:id="276" w:name="_Toc184314469"/>
      <w:bookmarkEnd w:id="276"/>
      <w:bookmarkStart w:id="277" w:name="_Toc184312078"/>
      <w:bookmarkEnd w:id="277"/>
      <w:bookmarkStart w:id="278" w:name="_Toc184308085"/>
      <w:bookmarkEnd w:id="278"/>
      <w:bookmarkStart w:id="279" w:name="_Toc184314468"/>
      <w:bookmarkEnd w:id="279"/>
      <w:bookmarkStart w:id="280" w:name="_Toc184308073"/>
      <w:bookmarkEnd w:id="280"/>
      <w:bookmarkStart w:id="281" w:name="_Toc184314411"/>
      <w:bookmarkEnd w:id="281"/>
      <w:bookmarkStart w:id="282" w:name="_Toc184314452"/>
      <w:bookmarkEnd w:id="282"/>
      <w:bookmarkStart w:id="283" w:name="_Toc184314474"/>
      <w:bookmarkEnd w:id="283"/>
      <w:bookmarkStart w:id="284" w:name="_Toc184312129"/>
      <w:bookmarkEnd w:id="284"/>
      <w:bookmarkStart w:id="285" w:name="_Toc184313261"/>
      <w:bookmarkEnd w:id="285"/>
      <w:bookmarkStart w:id="286" w:name="_Toc184313281"/>
      <w:bookmarkEnd w:id="286"/>
      <w:bookmarkStart w:id="287" w:name="_Toc184308100"/>
      <w:bookmarkEnd w:id="287"/>
      <w:bookmarkStart w:id="288" w:name="_Toc184313266"/>
      <w:bookmarkEnd w:id="288"/>
      <w:bookmarkStart w:id="289" w:name="_Toc184312093"/>
      <w:bookmarkEnd w:id="289"/>
      <w:bookmarkStart w:id="290" w:name="_Toc184308105"/>
      <w:bookmarkEnd w:id="290"/>
      <w:bookmarkStart w:id="291" w:name="_Toc184310309"/>
      <w:bookmarkEnd w:id="291"/>
      <w:bookmarkStart w:id="292" w:name="_Toc184312103"/>
      <w:bookmarkEnd w:id="292"/>
      <w:bookmarkStart w:id="293" w:name="_Toc184308061"/>
      <w:bookmarkEnd w:id="293"/>
      <w:bookmarkStart w:id="294" w:name="_Toc184308083"/>
      <w:bookmarkEnd w:id="294"/>
      <w:bookmarkStart w:id="295" w:name="_Toc184308039"/>
      <w:bookmarkEnd w:id="295"/>
      <w:bookmarkStart w:id="296" w:name="_Toc184308051"/>
      <w:bookmarkEnd w:id="296"/>
      <w:bookmarkStart w:id="297" w:name="_Toc184313241"/>
      <w:bookmarkEnd w:id="297"/>
      <w:bookmarkStart w:id="298" w:name="_Toc184312131"/>
      <w:bookmarkEnd w:id="298"/>
      <w:bookmarkStart w:id="299" w:name="_Toc184312077"/>
      <w:bookmarkEnd w:id="299"/>
      <w:bookmarkStart w:id="300" w:name="_Toc184312067"/>
      <w:bookmarkEnd w:id="300"/>
      <w:bookmarkStart w:id="301" w:name="_Toc184312115"/>
      <w:bookmarkEnd w:id="301"/>
      <w:bookmarkStart w:id="302" w:name="_Toc184313249"/>
      <w:bookmarkEnd w:id="302"/>
      <w:bookmarkStart w:id="303" w:name="_Toc184312135"/>
      <w:bookmarkEnd w:id="303"/>
      <w:bookmarkStart w:id="304" w:name="_Toc184310311"/>
      <w:bookmarkEnd w:id="304"/>
      <w:bookmarkStart w:id="305" w:name="_Toc184313262"/>
      <w:bookmarkEnd w:id="305"/>
      <w:bookmarkStart w:id="306" w:name="_Toc184314448"/>
      <w:bookmarkEnd w:id="306"/>
      <w:bookmarkStart w:id="307" w:name="_Toc184310302"/>
      <w:bookmarkEnd w:id="307"/>
      <w:bookmarkStart w:id="308" w:name="_Toc184313268"/>
      <w:bookmarkEnd w:id="308"/>
      <w:bookmarkStart w:id="309" w:name="_Toc184314470"/>
      <w:bookmarkEnd w:id="309"/>
      <w:bookmarkStart w:id="310" w:name="_Toc184308084"/>
      <w:bookmarkEnd w:id="310"/>
      <w:bookmarkStart w:id="311" w:name="_Toc184313276"/>
      <w:bookmarkEnd w:id="311"/>
      <w:bookmarkStart w:id="312" w:name="_Toc184312091"/>
      <w:bookmarkEnd w:id="312"/>
      <w:bookmarkStart w:id="313" w:name="_Toc184308099"/>
      <w:bookmarkEnd w:id="313"/>
      <w:bookmarkStart w:id="314" w:name="_Toc184310344"/>
      <w:bookmarkEnd w:id="314"/>
      <w:bookmarkStart w:id="315" w:name="_Toc184312100"/>
      <w:bookmarkEnd w:id="315"/>
      <w:bookmarkStart w:id="316" w:name="_Toc184308060"/>
      <w:bookmarkEnd w:id="316"/>
      <w:bookmarkStart w:id="317" w:name="_Toc184308036"/>
      <w:bookmarkEnd w:id="317"/>
      <w:bookmarkStart w:id="318" w:name="_Toc184313293"/>
      <w:bookmarkEnd w:id="318"/>
      <w:bookmarkStart w:id="319" w:name="_Toc184308050"/>
      <w:bookmarkEnd w:id="319"/>
      <w:bookmarkStart w:id="320" w:name="_Toc184313292"/>
      <w:bookmarkEnd w:id="320"/>
      <w:bookmarkStart w:id="321" w:name="_Toc184314453"/>
      <w:bookmarkEnd w:id="321"/>
      <w:bookmarkStart w:id="322" w:name="_Toc184310308"/>
      <w:bookmarkEnd w:id="322"/>
      <w:bookmarkStart w:id="323" w:name="_Toc184310321"/>
      <w:bookmarkEnd w:id="323"/>
      <w:bookmarkStart w:id="324" w:name="_Toc184314431"/>
      <w:bookmarkEnd w:id="324"/>
      <w:bookmarkStart w:id="325" w:name="_Toc184310293"/>
      <w:bookmarkEnd w:id="325"/>
      <w:bookmarkStart w:id="326" w:name="_Toc184312075"/>
      <w:bookmarkEnd w:id="326"/>
      <w:bookmarkStart w:id="327" w:name="_Toc184313254"/>
      <w:bookmarkEnd w:id="327"/>
      <w:bookmarkStart w:id="328" w:name="_Toc184310335"/>
      <w:bookmarkEnd w:id="328"/>
      <w:bookmarkStart w:id="329" w:name="_Toc184308041"/>
      <w:bookmarkEnd w:id="329"/>
      <w:bookmarkStart w:id="330" w:name="_Toc184312123"/>
      <w:bookmarkEnd w:id="330"/>
      <w:bookmarkStart w:id="331" w:name="_Toc184308072"/>
      <w:bookmarkEnd w:id="331"/>
      <w:bookmarkStart w:id="332" w:name="_Toc184310329"/>
      <w:bookmarkEnd w:id="332"/>
      <w:bookmarkStart w:id="333" w:name="_Toc184310330"/>
      <w:bookmarkEnd w:id="333"/>
      <w:bookmarkStart w:id="334" w:name="_Toc184314429"/>
      <w:bookmarkEnd w:id="334"/>
      <w:bookmarkStart w:id="335" w:name="_Toc184314436"/>
      <w:bookmarkEnd w:id="335"/>
      <w:bookmarkStart w:id="336" w:name="_Toc184308106"/>
      <w:bookmarkEnd w:id="336"/>
      <w:bookmarkStart w:id="337" w:name="_Toc184313253"/>
      <w:bookmarkEnd w:id="337"/>
      <w:bookmarkStart w:id="338" w:name="_Toc184308088"/>
      <w:bookmarkEnd w:id="338"/>
      <w:bookmarkStart w:id="339" w:name="_Toc184310289"/>
      <w:bookmarkEnd w:id="339"/>
      <w:bookmarkStart w:id="340" w:name="_Toc184314455"/>
      <w:bookmarkEnd w:id="340"/>
      <w:bookmarkStart w:id="341" w:name="_Toc184313271"/>
      <w:bookmarkEnd w:id="341"/>
      <w:bookmarkStart w:id="342" w:name="_Toc184313243"/>
      <w:bookmarkEnd w:id="342"/>
      <w:bookmarkStart w:id="343" w:name="_Toc184314418"/>
      <w:bookmarkEnd w:id="343"/>
      <w:bookmarkStart w:id="344" w:name="_Toc184310307"/>
      <w:bookmarkEnd w:id="344"/>
      <w:bookmarkStart w:id="345" w:name="_Toc184308108"/>
      <w:bookmarkEnd w:id="345"/>
      <w:bookmarkStart w:id="346" w:name="_Toc184310310"/>
      <w:bookmarkEnd w:id="346"/>
      <w:bookmarkStart w:id="347" w:name="_Toc184312074"/>
      <w:bookmarkEnd w:id="347"/>
      <w:bookmarkStart w:id="348" w:name="_Toc184310339"/>
      <w:bookmarkEnd w:id="348"/>
      <w:bookmarkStart w:id="349" w:name="_Toc184313282"/>
      <w:bookmarkEnd w:id="349"/>
      <w:bookmarkStart w:id="350" w:name="_Toc184308076"/>
      <w:bookmarkEnd w:id="350"/>
      <w:bookmarkStart w:id="351" w:name="_Toc184310325"/>
      <w:bookmarkEnd w:id="351"/>
      <w:bookmarkStart w:id="352" w:name="_Toc184308066"/>
      <w:bookmarkEnd w:id="352"/>
      <w:bookmarkStart w:id="353" w:name="_Toc184310312"/>
      <w:bookmarkEnd w:id="353"/>
      <w:bookmarkStart w:id="354" w:name="_Toc184310303"/>
      <w:bookmarkEnd w:id="354"/>
      <w:bookmarkStart w:id="355" w:name="_Toc184313291"/>
      <w:bookmarkEnd w:id="355"/>
      <w:bookmarkStart w:id="356" w:name="_Toc184308037"/>
      <w:bookmarkEnd w:id="356"/>
      <w:bookmarkStart w:id="357" w:name="_Toc184314482"/>
      <w:bookmarkEnd w:id="357"/>
      <w:bookmarkStart w:id="358" w:name="_Toc184308067"/>
      <w:bookmarkEnd w:id="358"/>
      <w:bookmarkStart w:id="359" w:name="_Toc184312105"/>
      <w:bookmarkEnd w:id="359"/>
      <w:bookmarkStart w:id="360" w:name="_Toc184308074"/>
      <w:bookmarkEnd w:id="360"/>
      <w:bookmarkStart w:id="361" w:name="_Toc184310278"/>
      <w:bookmarkEnd w:id="361"/>
      <w:bookmarkStart w:id="362" w:name="_Toc184308096"/>
      <w:bookmarkEnd w:id="362"/>
      <w:bookmarkStart w:id="363" w:name="_Toc184312071"/>
      <w:bookmarkEnd w:id="363"/>
      <w:bookmarkStart w:id="364" w:name="_Toc184313304"/>
      <w:bookmarkEnd w:id="364"/>
      <w:bookmarkStart w:id="365" w:name="_Toc184312072"/>
      <w:bookmarkEnd w:id="365"/>
      <w:bookmarkStart w:id="366" w:name="_Toc184314439"/>
      <w:bookmarkEnd w:id="366"/>
      <w:bookmarkStart w:id="367" w:name="_Toc184314425"/>
      <w:bookmarkEnd w:id="367"/>
      <w:bookmarkStart w:id="368" w:name="_Toc184313300"/>
      <w:bookmarkEnd w:id="368"/>
      <w:bookmarkStart w:id="369" w:name="_Toc184310332"/>
      <w:bookmarkEnd w:id="369"/>
      <w:bookmarkStart w:id="370" w:name="_Toc184314465"/>
      <w:bookmarkEnd w:id="370"/>
      <w:bookmarkStart w:id="371" w:name="_Toc184314480"/>
      <w:bookmarkEnd w:id="371"/>
      <w:bookmarkStart w:id="372" w:name="_Toc184313284"/>
      <w:bookmarkEnd w:id="372"/>
      <w:bookmarkStart w:id="373" w:name="_Toc184312085"/>
      <w:bookmarkEnd w:id="373"/>
      <w:bookmarkStart w:id="374" w:name="_Toc184308055"/>
      <w:bookmarkEnd w:id="374"/>
      <w:bookmarkStart w:id="375" w:name="_Toc184312137"/>
      <w:bookmarkEnd w:id="375"/>
      <w:bookmarkStart w:id="376" w:name="_Toc184308046"/>
      <w:bookmarkEnd w:id="376"/>
      <w:bookmarkStart w:id="377" w:name="_Toc184313273"/>
      <w:bookmarkEnd w:id="377"/>
      <w:bookmarkStart w:id="378" w:name="_Toc184310292"/>
      <w:bookmarkEnd w:id="378"/>
      <w:bookmarkStart w:id="379" w:name="_Toc184310295"/>
      <w:bookmarkEnd w:id="379"/>
      <w:bookmarkStart w:id="380" w:name="_Toc184308091"/>
      <w:bookmarkEnd w:id="380"/>
      <w:bookmarkStart w:id="381" w:name="_Toc184308097"/>
      <w:bookmarkEnd w:id="381"/>
      <w:bookmarkStart w:id="382" w:name="_Toc184313242"/>
      <w:bookmarkEnd w:id="382"/>
      <w:bookmarkStart w:id="383" w:name="_Toc184312133"/>
      <w:bookmarkEnd w:id="383"/>
      <w:bookmarkStart w:id="384" w:name="_Toc184312136"/>
      <w:bookmarkEnd w:id="384"/>
      <w:bookmarkStart w:id="385" w:name="_Toc184314466"/>
      <w:bookmarkEnd w:id="385"/>
      <w:bookmarkStart w:id="386" w:name="_Toc184310300"/>
      <w:bookmarkEnd w:id="386"/>
      <w:bookmarkStart w:id="387" w:name="_Toc184312076"/>
      <w:bookmarkEnd w:id="387"/>
      <w:bookmarkStart w:id="388" w:name="_Toc184308075"/>
      <w:bookmarkEnd w:id="388"/>
      <w:bookmarkStart w:id="389" w:name="_Toc184310298"/>
      <w:bookmarkEnd w:id="389"/>
      <w:bookmarkStart w:id="390" w:name="_Toc184314450"/>
      <w:bookmarkEnd w:id="390"/>
      <w:bookmarkStart w:id="391" w:name="_Toc184310288"/>
      <w:bookmarkEnd w:id="391"/>
      <w:bookmarkStart w:id="392" w:name="_Toc184308057"/>
      <w:bookmarkEnd w:id="392"/>
      <w:bookmarkStart w:id="393" w:name="_Toc184313306"/>
      <w:bookmarkEnd w:id="393"/>
      <w:r>
        <w:rPr>
          <w:rFonts w:hint="eastAsia" w:ascii="仿宋" w:hAnsi="仿宋" w:eastAsia="仿宋" w:cs="仿宋"/>
          <w:b/>
          <w:color w:val="auto"/>
          <w:sz w:val="36"/>
          <w:szCs w:val="36"/>
          <w:highlight w:val="none"/>
        </w:rPr>
        <w:t>评标办法</w:t>
      </w:r>
    </w:p>
    <w:p>
      <w:pPr>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3"/>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53"/>
        <w:gridCol w:w="709"/>
        <w:gridCol w:w="5556"/>
        <w:gridCol w:w="964"/>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9" w:type="dxa"/>
          </w:tcPr>
          <w:p>
            <w:pPr>
              <w:jc w:val="center"/>
              <w:rPr>
                <w:rFonts w:ascii="仿宋" w:hAnsi="仿宋" w:eastAsia="仿宋"/>
                <w:color w:val="auto"/>
                <w:sz w:val="24"/>
                <w:szCs w:val="24"/>
                <w:highlight w:val="none"/>
              </w:rPr>
            </w:pPr>
          </w:p>
        </w:tc>
        <w:tc>
          <w:tcPr>
            <w:tcW w:w="553" w:type="dxa"/>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6265" w:type="dxa"/>
            <w:gridSpan w:val="2"/>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评分内容和标准</w:t>
            </w:r>
          </w:p>
        </w:tc>
        <w:tc>
          <w:tcPr>
            <w:tcW w:w="964" w:type="dxa"/>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分值</w:t>
            </w:r>
          </w:p>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区间</w:t>
            </w:r>
          </w:p>
        </w:tc>
        <w:tc>
          <w:tcPr>
            <w:tcW w:w="961" w:type="dxa"/>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主客</w:t>
            </w:r>
          </w:p>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商务资信分</w:t>
            </w:r>
          </w:p>
        </w:tc>
        <w:tc>
          <w:tcPr>
            <w:tcW w:w="553" w:type="dxa"/>
            <w:vAlign w:val="center"/>
          </w:tcPr>
          <w:p>
            <w:pPr>
              <w:pStyle w:val="260"/>
              <w:widowControl/>
              <w:numPr>
                <w:ilvl w:val="0"/>
                <w:numId w:val="0"/>
              </w:numPr>
              <w:ind w:left="420" w:leftChars="0" w:hanging="420" w:firstLineChars="0"/>
              <w:contextualSpacing/>
              <w:jc w:val="center"/>
              <w:rPr>
                <w:rFonts w:ascii="仿宋" w:hAnsi="仿宋" w:eastAsia="仿宋"/>
                <w:color w:val="auto"/>
                <w:sz w:val="24"/>
                <w:szCs w:val="24"/>
                <w:highlight w:val="none"/>
              </w:rPr>
            </w:pPr>
            <w:r>
              <w:rPr>
                <w:rFonts w:hint="eastAsia" w:ascii="仿宋" w:hAnsi="仿宋" w:eastAsia="仿宋" w:cs="Lucida Sans"/>
                <w:color w:val="auto"/>
                <w:kern w:val="2"/>
                <w:sz w:val="24"/>
                <w:szCs w:val="24"/>
                <w:highlight w:val="none"/>
                <w:lang w:val="en-US" w:eastAsia="zh-CN" w:bidi="ar-SA"/>
              </w:rPr>
              <w:t>1</w:t>
            </w:r>
          </w:p>
        </w:tc>
        <w:tc>
          <w:tcPr>
            <w:tcW w:w="709" w:type="dxa"/>
            <w:vAlign w:val="center"/>
          </w:tcPr>
          <w:p>
            <w:pPr>
              <w:rPr>
                <w:rFonts w:ascii="仿宋" w:hAnsi="仿宋" w:eastAsia="仿宋"/>
                <w:color w:val="auto"/>
                <w:sz w:val="24"/>
                <w:szCs w:val="24"/>
                <w:highlight w:val="none"/>
              </w:rPr>
            </w:pPr>
            <w:r>
              <w:rPr>
                <w:rFonts w:hint="eastAsia" w:ascii="仿宋" w:hAnsi="仿宋" w:eastAsia="仿宋"/>
                <w:color w:val="auto"/>
                <w:sz w:val="24"/>
                <w:szCs w:val="24"/>
                <w:highlight w:val="none"/>
              </w:rPr>
              <w:t>项目业绩</w:t>
            </w:r>
          </w:p>
        </w:tc>
        <w:tc>
          <w:tcPr>
            <w:tcW w:w="5556" w:type="dxa"/>
          </w:tcPr>
          <w:p>
            <w:pPr>
              <w:widowControl/>
              <w:jc w:val="left"/>
              <w:rPr>
                <w:rFonts w:ascii="仿宋" w:hAnsi="仿宋" w:eastAsia="仿宋" w:cstheme="majorBidi"/>
                <w:color w:val="auto"/>
                <w:kern w:val="0"/>
                <w:sz w:val="24"/>
                <w:szCs w:val="24"/>
                <w:highlight w:val="none"/>
              </w:rPr>
            </w:pPr>
            <w:r>
              <w:rPr>
                <w:rFonts w:hint="eastAsia" w:ascii="仿宋" w:hAnsi="仿宋" w:eastAsia="仿宋" w:cstheme="majorBidi"/>
                <w:color w:val="auto"/>
                <w:kern w:val="0"/>
                <w:sz w:val="24"/>
                <w:szCs w:val="24"/>
                <w:highlight w:val="none"/>
              </w:rPr>
              <w:t>投标人20</w:t>
            </w:r>
            <w:r>
              <w:rPr>
                <w:rFonts w:hint="eastAsia" w:ascii="仿宋" w:hAnsi="仿宋" w:eastAsia="仿宋" w:cstheme="majorBidi"/>
                <w:color w:val="auto"/>
                <w:kern w:val="0"/>
                <w:sz w:val="24"/>
                <w:szCs w:val="24"/>
                <w:highlight w:val="none"/>
                <w:lang w:val="en-US" w:eastAsia="zh-CN"/>
              </w:rPr>
              <w:t>21</w:t>
            </w:r>
            <w:r>
              <w:rPr>
                <w:rFonts w:hint="eastAsia" w:ascii="仿宋" w:hAnsi="仿宋" w:eastAsia="仿宋" w:cstheme="majorBidi"/>
                <w:color w:val="auto"/>
                <w:kern w:val="0"/>
                <w:sz w:val="24"/>
                <w:szCs w:val="24"/>
                <w:highlight w:val="none"/>
              </w:rPr>
              <w:t>年至今承担过同类项目业绩，并获得相关单位好评的，投标文件中提供合同证明及相关单位好评证明，每提供1个得0.5分，最高得1分。</w:t>
            </w:r>
          </w:p>
        </w:tc>
        <w:tc>
          <w:tcPr>
            <w:tcW w:w="964" w:type="dxa"/>
            <w:vAlign w:val="center"/>
          </w:tcPr>
          <w:p>
            <w:pPr>
              <w:ind w:left="194" w:hanging="194" w:hangingChars="81"/>
              <w:rPr>
                <w:rFonts w:ascii="仿宋" w:hAnsi="仿宋" w:eastAsia="仿宋"/>
                <w:color w:val="auto"/>
                <w:sz w:val="24"/>
                <w:szCs w:val="24"/>
                <w:highlight w:val="none"/>
              </w:rPr>
            </w:pPr>
            <w:r>
              <w:rPr>
                <w:rFonts w:hint="eastAsia" w:ascii="仿宋" w:hAnsi="仿宋" w:eastAsia="仿宋"/>
                <w:color w:val="auto"/>
                <w:sz w:val="24"/>
                <w:szCs w:val="24"/>
                <w:highlight w:val="none"/>
              </w:rPr>
              <w:t>0-1分</w:t>
            </w:r>
          </w:p>
        </w:tc>
        <w:tc>
          <w:tcPr>
            <w:tcW w:w="961" w:type="dxa"/>
            <w:vAlign w:val="center"/>
          </w:tcPr>
          <w:p>
            <w:pPr>
              <w:rPr>
                <w:rFonts w:ascii="仿宋" w:hAnsi="仿宋" w:eastAsia="仿宋"/>
                <w:color w:val="auto"/>
                <w:sz w:val="24"/>
                <w:szCs w:val="24"/>
                <w:highlight w:val="none"/>
              </w:rPr>
            </w:pPr>
            <w:r>
              <w:rPr>
                <w:rFonts w:hint="eastAsia" w:ascii="仿宋" w:hAnsi="仿宋" w:eastAsia="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pStyle w:val="260"/>
              <w:ind w:left="420" w:firstLine="480"/>
              <w:jc w:val="center"/>
              <w:rPr>
                <w:rFonts w:ascii="仿宋" w:hAnsi="仿宋" w:eastAsia="仿宋"/>
                <w:color w:val="auto"/>
                <w:sz w:val="24"/>
                <w:szCs w:val="24"/>
                <w:highlight w:val="none"/>
              </w:rPr>
            </w:pPr>
          </w:p>
        </w:tc>
        <w:tc>
          <w:tcPr>
            <w:tcW w:w="553" w:type="dxa"/>
            <w:vAlign w:val="center"/>
          </w:tcPr>
          <w:p>
            <w:pPr>
              <w:pStyle w:val="260"/>
              <w:widowControl/>
              <w:numPr>
                <w:ilvl w:val="0"/>
                <w:numId w:val="0"/>
              </w:numPr>
              <w:ind w:left="420" w:leftChars="0" w:hanging="420" w:firstLineChars="0"/>
              <w:contextualSpacing/>
              <w:jc w:val="center"/>
              <w:rPr>
                <w:rFonts w:ascii="仿宋" w:hAnsi="仿宋" w:eastAsia="仿宋"/>
                <w:color w:val="auto"/>
                <w:sz w:val="24"/>
                <w:szCs w:val="24"/>
                <w:highlight w:val="none"/>
              </w:rPr>
            </w:pPr>
            <w:r>
              <w:rPr>
                <w:rFonts w:hint="eastAsia" w:ascii="仿宋" w:hAnsi="仿宋" w:eastAsia="仿宋" w:cs="Lucida Sans"/>
                <w:color w:val="auto"/>
                <w:kern w:val="2"/>
                <w:sz w:val="24"/>
                <w:szCs w:val="24"/>
                <w:highlight w:val="none"/>
                <w:lang w:val="en-US" w:eastAsia="zh-CN" w:bidi="ar-SA"/>
              </w:rPr>
              <w:t>2</w:t>
            </w:r>
          </w:p>
        </w:tc>
        <w:tc>
          <w:tcPr>
            <w:tcW w:w="709" w:type="dxa"/>
            <w:vAlign w:val="center"/>
          </w:tcPr>
          <w:p>
            <w:pPr>
              <w:rPr>
                <w:rFonts w:ascii="仿宋" w:hAnsi="仿宋" w:eastAsia="仿宋"/>
                <w:color w:val="auto"/>
                <w:sz w:val="24"/>
                <w:szCs w:val="24"/>
                <w:highlight w:val="none"/>
              </w:rPr>
            </w:pPr>
            <w:r>
              <w:rPr>
                <w:rFonts w:hint="eastAsia" w:ascii="仿宋" w:hAnsi="仿宋" w:eastAsia="仿宋"/>
                <w:color w:val="auto"/>
                <w:sz w:val="24"/>
                <w:szCs w:val="24"/>
                <w:highlight w:val="none"/>
              </w:rPr>
              <w:t>认证证书</w:t>
            </w:r>
          </w:p>
        </w:tc>
        <w:tc>
          <w:tcPr>
            <w:tcW w:w="5556" w:type="dxa"/>
          </w:tcPr>
          <w:p>
            <w:pPr>
              <w:rPr>
                <w:rFonts w:ascii="仿宋" w:hAnsi="仿宋" w:eastAsia="仿宋"/>
                <w:color w:val="auto"/>
                <w:sz w:val="24"/>
                <w:szCs w:val="24"/>
                <w:highlight w:val="none"/>
              </w:rPr>
            </w:pPr>
            <w:r>
              <w:rPr>
                <w:rFonts w:hint="eastAsia" w:ascii="仿宋" w:hAnsi="仿宋" w:eastAsia="仿宋"/>
                <w:color w:val="auto"/>
                <w:sz w:val="24"/>
                <w:szCs w:val="24"/>
                <w:highlight w:val="none"/>
              </w:rPr>
              <w:t>1）投标人具有</w:t>
            </w:r>
            <w:r>
              <w:rPr>
                <w:rFonts w:hint="eastAsia" w:ascii="仿宋" w:hAnsi="仿宋" w:eastAsia="仿宋"/>
                <w:color w:val="auto"/>
                <w:sz w:val="24"/>
                <w:szCs w:val="24"/>
                <w:highlight w:val="none"/>
                <w:lang w:eastAsia="zh-CN"/>
              </w:rPr>
              <w:t>有效的</w:t>
            </w:r>
            <w:r>
              <w:rPr>
                <w:rFonts w:hint="eastAsia" w:ascii="仿宋" w:hAnsi="仿宋" w:eastAsia="仿宋"/>
                <w:color w:val="auto"/>
                <w:sz w:val="24"/>
                <w:szCs w:val="24"/>
                <w:highlight w:val="none"/>
              </w:rPr>
              <w:t>质量管理体系认证证书（认证范围包含档案数字化或档案数据加工）得1分，没有不得分。</w:t>
            </w:r>
          </w:p>
          <w:p>
            <w:pPr>
              <w:rPr>
                <w:rFonts w:ascii="仿宋" w:hAnsi="仿宋" w:eastAsia="仿宋"/>
                <w:color w:val="auto"/>
                <w:sz w:val="24"/>
                <w:szCs w:val="24"/>
                <w:highlight w:val="none"/>
              </w:rPr>
            </w:pPr>
            <w:r>
              <w:rPr>
                <w:rFonts w:hint="eastAsia" w:ascii="仿宋" w:hAnsi="仿宋" w:eastAsia="仿宋"/>
                <w:color w:val="auto"/>
                <w:sz w:val="24"/>
                <w:szCs w:val="24"/>
                <w:highlight w:val="none"/>
              </w:rPr>
              <w:t>2）投标供应商具有</w:t>
            </w:r>
            <w:r>
              <w:rPr>
                <w:rFonts w:hint="eastAsia" w:ascii="仿宋" w:hAnsi="仿宋" w:eastAsia="仿宋"/>
                <w:color w:val="auto"/>
                <w:sz w:val="24"/>
                <w:szCs w:val="24"/>
                <w:highlight w:val="none"/>
                <w:lang w:eastAsia="zh-CN"/>
              </w:rPr>
              <w:t>有效的</w:t>
            </w:r>
            <w:r>
              <w:rPr>
                <w:rFonts w:hint="eastAsia" w:ascii="仿宋" w:hAnsi="仿宋" w:eastAsia="仿宋"/>
                <w:color w:val="auto"/>
                <w:sz w:val="24"/>
                <w:szCs w:val="24"/>
                <w:highlight w:val="none"/>
              </w:rPr>
              <w:t>环境管理体系认证证书，（认证范围包含档案数字化或档案数据加工）得1分，没有不得分。</w:t>
            </w:r>
          </w:p>
          <w:p>
            <w:pPr>
              <w:rPr>
                <w:rFonts w:ascii="仿宋" w:hAnsi="仿宋" w:eastAsia="仿宋"/>
                <w:color w:val="auto"/>
                <w:sz w:val="24"/>
                <w:szCs w:val="24"/>
                <w:highlight w:val="none"/>
              </w:rPr>
            </w:pPr>
            <w:r>
              <w:rPr>
                <w:rFonts w:hint="eastAsia" w:ascii="仿宋" w:hAnsi="仿宋" w:eastAsia="仿宋"/>
                <w:color w:val="auto"/>
                <w:sz w:val="24"/>
                <w:szCs w:val="24"/>
                <w:highlight w:val="none"/>
              </w:rPr>
              <w:t>3）投标人具有</w:t>
            </w:r>
            <w:r>
              <w:rPr>
                <w:rFonts w:hint="eastAsia" w:ascii="仿宋" w:hAnsi="仿宋" w:eastAsia="仿宋"/>
                <w:color w:val="auto"/>
                <w:sz w:val="24"/>
                <w:szCs w:val="24"/>
                <w:highlight w:val="none"/>
                <w:lang w:eastAsia="zh-CN"/>
              </w:rPr>
              <w:t>有效的</w:t>
            </w:r>
            <w:r>
              <w:rPr>
                <w:rFonts w:ascii="仿宋" w:hAnsi="仿宋" w:eastAsia="仿宋"/>
                <w:color w:val="auto"/>
                <w:sz w:val="24"/>
                <w:szCs w:val="24"/>
                <w:highlight w:val="none"/>
              </w:rPr>
              <w:t>信息安全管理体系认证</w:t>
            </w:r>
            <w:r>
              <w:rPr>
                <w:rFonts w:hint="eastAsia" w:ascii="仿宋" w:hAnsi="仿宋" w:eastAsia="仿宋"/>
                <w:color w:val="auto"/>
                <w:sz w:val="24"/>
                <w:szCs w:val="24"/>
                <w:highlight w:val="none"/>
              </w:rPr>
              <w:t>证书（认证范围包含档案数字化或档案数据加工），得1分，没有不得分。</w:t>
            </w:r>
          </w:p>
          <w:p>
            <w:pPr>
              <w:rPr>
                <w:rFonts w:ascii="仿宋" w:hAnsi="仿宋" w:eastAsia="仿宋"/>
                <w:color w:val="auto"/>
                <w:sz w:val="24"/>
                <w:szCs w:val="24"/>
                <w:highlight w:val="none"/>
              </w:rPr>
            </w:pPr>
            <w:r>
              <w:rPr>
                <w:rFonts w:hint="eastAsia" w:ascii="仿宋" w:hAnsi="仿宋" w:eastAsia="仿宋"/>
                <w:color w:val="auto"/>
                <w:sz w:val="24"/>
                <w:szCs w:val="24"/>
                <w:highlight w:val="none"/>
              </w:rPr>
              <w:t>4）投标人具有</w:t>
            </w:r>
            <w:r>
              <w:rPr>
                <w:rFonts w:hint="eastAsia" w:ascii="仿宋" w:hAnsi="仿宋" w:eastAsia="仿宋"/>
                <w:color w:val="auto"/>
                <w:sz w:val="24"/>
                <w:szCs w:val="24"/>
                <w:highlight w:val="none"/>
                <w:lang w:eastAsia="zh-CN"/>
              </w:rPr>
              <w:t>有效的</w:t>
            </w:r>
            <w:r>
              <w:rPr>
                <w:rFonts w:hint="eastAsia" w:ascii="仿宋" w:hAnsi="仿宋" w:eastAsia="仿宋"/>
                <w:color w:val="auto"/>
                <w:sz w:val="24"/>
                <w:szCs w:val="24"/>
                <w:highlight w:val="none"/>
              </w:rPr>
              <w:t>职业健康安全管理体系认证证书认证范围包含档案数字化或档案数据加工），得1分，没有不得分。</w:t>
            </w:r>
          </w:p>
          <w:p>
            <w:pPr>
              <w:rPr>
                <w:rFonts w:ascii="仿宋" w:hAnsi="仿宋" w:eastAsia="仿宋"/>
                <w:color w:val="auto"/>
                <w:sz w:val="24"/>
                <w:szCs w:val="24"/>
                <w:highlight w:val="none"/>
              </w:rPr>
            </w:pPr>
            <w:r>
              <w:rPr>
                <w:rFonts w:hint="eastAsia" w:ascii="仿宋" w:hAnsi="仿宋" w:eastAsia="仿宋"/>
                <w:color w:val="auto"/>
                <w:sz w:val="24"/>
                <w:szCs w:val="24"/>
                <w:highlight w:val="none"/>
              </w:rPr>
              <w:t>5）投标人具有</w:t>
            </w:r>
            <w:r>
              <w:rPr>
                <w:rFonts w:hint="eastAsia" w:ascii="仿宋" w:hAnsi="仿宋" w:eastAsia="仿宋"/>
                <w:color w:val="auto"/>
                <w:sz w:val="24"/>
                <w:szCs w:val="24"/>
                <w:highlight w:val="none"/>
                <w:lang w:eastAsia="zh-CN"/>
              </w:rPr>
              <w:t>有效的</w:t>
            </w:r>
            <w:r>
              <w:rPr>
                <w:rFonts w:hint="eastAsia" w:ascii="仿宋" w:hAnsi="仿宋" w:eastAsia="仿宋"/>
                <w:color w:val="auto"/>
                <w:sz w:val="24"/>
                <w:szCs w:val="24"/>
                <w:highlight w:val="none"/>
              </w:rPr>
              <w:t>档案产品与服务类企业认证证书（档案数字化加工服务类），5星认证得1分，4星认证得0.5分，3星及以下认证不得分。</w:t>
            </w:r>
          </w:p>
          <w:p>
            <w:pPr>
              <w:rPr>
                <w:rFonts w:ascii="仿宋" w:hAnsi="仿宋" w:eastAsia="仿宋"/>
                <w:color w:val="auto"/>
                <w:sz w:val="24"/>
                <w:szCs w:val="24"/>
                <w:highlight w:val="none"/>
              </w:rPr>
            </w:pPr>
            <w:r>
              <w:rPr>
                <w:rFonts w:hint="eastAsia" w:ascii="仿宋" w:hAnsi="仿宋" w:eastAsia="仿宋"/>
                <w:color w:val="auto"/>
                <w:sz w:val="24"/>
                <w:szCs w:val="24"/>
                <w:highlight w:val="none"/>
              </w:rPr>
              <w:t>6）投标人具有</w:t>
            </w:r>
            <w:r>
              <w:rPr>
                <w:rFonts w:hint="eastAsia" w:ascii="仿宋" w:hAnsi="仿宋" w:eastAsia="仿宋"/>
                <w:color w:val="auto"/>
                <w:sz w:val="24"/>
                <w:szCs w:val="24"/>
                <w:highlight w:val="none"/>
                <w:lang w:eastAsia="zh-CN"/>
              </w:rPr>
              <w:t>有效的</w:t>
            </w:r>
            <w:r>
              <w:rPr>
                <w:rFonts w:hint="eastAsia" w:ascii="仿宋" w:hAnsi="仿宋" w:eastAsia="仿宋"/>
                <w:color w:val="auto"/>
                <w:sz w:val="24"/>
                <w:szCs w:val="24"/>
                <w:highlight w:val="none"/>
              </w:rPr>
              <w:t>售后服务认证证书（认证范围包含档案数字化或档案数据加工），5星认证得1分，4星认证得0.5分，3星及以下认证不得分。</w:t>
            </w:r>
          </w:p>
          <w:p>
            <w:pPr>
              <w:rPr>
                <w:rFonts w:ascii="仿宋" w:hAnsi="仿宋" w:eastAsia="仿宋"/>
                <w:color w:val="auto"/>
                <w:sz w:val="24"/>
                <w:szCs w:val="24"/>
                <w:highlight w:val="none"/>
              </w:rPr>
            </w:pPr>
            <w:r>
              <w:rPr>
                <w:rFonts w:hint="eastAsia" w:ascii="仿宋" w:hAnsi="仿宋" w:eastAsia="仿宋"/>
                <w:color w:val="auto"/>
                <w:sz w:val="24"/>
                <w:szCs w:val="24"/>
                <w:highlight w:val="none"/>
              </w:rPr>
              <w:t>（投标人需提供有效期内的证书复印件，未提供不得分。）</w:t>
            </w:r>
          </w:p>
        </w:tc>
        <w:tc>
          <w:tcPr>
            <w:tcW w:w="964" w:type="dxa"/>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0-6分</w:t>
            </w:r>
          </w:p>
        </w:tc>
        <w:tc>
          <w:tcPr>
            <w:tcW w:w="961" w:type="dxa"/>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pStyle w:val="260"/>
              <w:ind w:left="420" w:firstLine="480"/>
              <w:jc w:val="center"/>
              <w:rPr>
                <w:rFonts w:ascii="仿宋" w:hAnsi="仿宋" w:eastAsia="仿宋"/>
                <w:color w:val="auto"/>
                <w:sz w:val="24"/>
                <w:szCs w:val="24"/>
                <w:highlight w:val="none"/>
              </w:rPr>
            </w:pPr>
          </w:p>
        </w:tc>
        <w:tc>
          <w:tcPr>
            <w:tcW w:w="553" w:type="dxa"/>
            <w:vAlign w:val="center"/>
          </w:tcPr>
          <w:p>
            <w:pPr>
              <w:pStyle w:val="260"/>
              <w:widowControl/>
              <w:numPr>
                <w:ilvl w:val="0"/>
                <w:numId w:val="0"/>
              </w:numPr>
              <w:ind w:left="420" w:leftChars="0" w:hanging="420" w:firstLineChars="0"/>
              <w:contextualSpacing/>
              <w:jc w:val="center"/>
              <w:rPr>
                <w:rFonts w:hint="default" w:ascii="仿宋" w:hAnsi="仿宋" w:eastAsia="仿宋" w:cs="Lucida Sans"/>
                <w:color w:val="auto"/>
                <w:kern w:val="2"/>
                <w:sz w:val="24"/>
                <w:szCs w:val="24"/>
                <w:highlight w:val="none"/>
                <w:lang w:val="en-US" w:eastAsia="zh-CN" w:bidi="ar-SA"/>
              </w:rPr>
            </w:pPr>
            <w:r>
              <w:rPr>
                <w:rFonts w:hint="eastAsia" w:ascii="仿宋" w:hAnsi="仿宋" w:eastAsia="仿宋" w:cs="Lucida Sans"/>
                <w:color w:val="auto"/>
                <w:kern w:val="2"/>
                <w:sz w:val="24"/>
                <w:szCs w:val="24"/>
                <w:highlight w:val="none"/>
                <w:lang w:val="en-US" w:eastAsia="zh-CN" w:bidi="ar-SA"/>
              </w:rPr>
              <w:t>3</w:t>
            </w:r>
          </w:p>
        </w:tc>
        <w:tc>
          <w:tcPr>
            <w:tcW w:w="709" w:type="dxa"/>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资质</w:t>
            </w:r>
          </w:p>
          <w:p>
            <w:pPr>
              <w:rPr>
                <w:rFonts w:hint="eastAsia" w:ascii="仿宋" w:hAnsi="仿宋" w:eastAsia="仿宋"/>
                <w:color w:val="auto"/>
                <w:sz w:val="24"/>
                <w:szCs w:val="24"/>
                <w:highlight w:val="none"/>
              </w:rPr>
            </w:pPr>
            <w:r>
              <w:rPr>
                <w:rFonts w:hint="eastAsia" w:ascii="仿宋" w:hAnsi="仿宋" w:eastAsia="仿宋" w:cs="仿宋"/>
                <w:b w:val="0"/>
                <w:bCs/>
                <w:color w:val="auto"/>
                <w:kern w:val="0"/>
                <w:sz w:val="24"/>
                <w:szCs w:val="24"/>
                <w:highlight w:val="none"/>
                <w:lang w:val="en-US" w:eastAsia="zh-CN"/>
              </w:rPr>
              <w:t>证书</w:t>
            </w:r>
          </w:p>
        </w:tc>
        <w:tc>
          <w:tcPr>
            <w:tcW w:w="5556" w:type="dxa"/>
            <w:vAlign w:val="center"/>
          </w:tcPr>
          <w:p>
            <w:pPr>
              <w:keepNext w:val="0"/>
              <w:keepLines w:val="0"/>
              <w:pageBreakBefore w:val="0"/>
              <w:kinsoku/>
              <w:wordWrap/>
              <w:overflowPunct/>
              <w:topLinePunct w:val="0"/>
              <w:autoSpaceDE/>
              <w:autoSpaceDN/>
              <w:bidi w:val="0"/>
              <w:adjustRightInd w:val="0"/>
              <w:snapToGrid/>
              <w:spacing w:line="360" w:lineRule="exact"/>
              <w:outlineLvl w:val="0"/>
              <w:rPr>
                <w:rFonts w:hint="eastAsia" w:ascii="仿宋" w:hAnsi="仿宋" w:eastAsia="仿宋"/>
                <w:color w:val="auto"/>
                <w:sz w:val="24"/>
                <w:szCs w:val="24"/>
                <w:highlight w:val="none"/>
              </w:rPr>
            </w:pPr>
            <w:r>
              <w:rPr>
                <w:rFonts w:hint="eastAsia" w:ascii="仿宋" w:hAnsi="仿宋" w:eastAsia="仿宋" w:cs="仿宋"/>
                <w:b w:val="0"/>
                <w:bCs/>
                <w:color w:val="auto"/>
                <w:kern w:val="0"/>
                <w:sz w:val="24"/>
                <w:szCs w:val="24"/>
                <w:highlight w:val="none"/>
                <w:lang w:val="zh-CN"/>
              </w:rPr>
              <w:t>投标人具有保密行政管理部门颁发的国家秘密载体印制资质乙级</w:t>
            </w:r>
            <w:r>
              <w:rPr>
                <w:rFonts w:hint="eastAsia" w:ascii="仿宋" w:hAnsi="仿宋" w:eastAsia="仿宋" w:cs="仿宋"/>
                <w:b w:val="0"/>
                <w:bCs/>
                <w:color w:val="auto"/>
                <w:kern w:val="0"/>
                <w:sz w:val="24"/>
                <w:szCs w:val="24"/>
                <w:highlight w:val="none"/>
                <w:lang w:val="en-US" w:eastAsia="zh-CN"/>
              </w:rPr>
              <w:t>及</w:t>
            </w:r>
            <w:r>
              <w:rPr>
                <w:rFonts w:hint="eastAsia" w:ascii="仿宋" w:hAnsi="仿宋" w:eastAsia="仿宋" w:cs="仿宋"/>
                <w:b w:val="0"/>
                <w:bCs/>
                <w:color w:val="auto"/>
                <w:kern w:val="0"/>
                <w:sz w:val="24"/>
                <w:szCs w:val="24"/>
                <w:highlight w:val="none"/>
                <w:lang w:val="zh-CN"/>
              </w:rPr>
              <w:t>以上资质证书（省外机构还应在本省保密行政管理部门备案），资质类别应包含档案数字化，</w:t>
            </w:r>
            <w:r>
              <w:rPr>
                <w:rFonts w:hint="eastAsia" w:ascii="仿宋" w:hAnsi="仿宋" w:eastAsia="仿宋" w:cs="仿宋"/>
                <w:b w:val="0"/>
                <w:bCs/>
                <w:color w:val="auto"/>
                <w:kern w:val="0"/>
                <w:sz w:val="24"/>
                <w:szCs w:val="24"/>
                <w:highlight w:val="none"/>
                <w:lang w:val="en-US" w:eastAsia="zh-CN"/>
              </w:rPr>
              <w:t>得3分。提供证书复印件，未提供不得分。</w:t>
            </w:r>
          </w:p>
        </w:tc>
        <w:tc>
          <w:tcPr>
            <w:tcW w:w="964" w:type="dxa"/>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olor w:val="auto"/>
                <w:sz w:val="24"/>
                <w:szCs w:val="24"/>
                <w:highlight w:val="none"/>
              </w:rPr>
            </w:pPr>
            <w:r>
              <w:rPr>
                <w:rFonts w:hint="eastAsia" w:ascii="仿宋" w:hAnsi="仿宋" w:eastAsia="仿宋" w:cs="仿宋"/>
                <w:b w:val="0"/>
                <w:bCs/>
                <w:color w:val="auto"/>
                <w:kern w:val="0"/>
                <w:sz w:val="24"/>
                <w:szCs w:val="24"/>
                <w:highlight w:val="none"/>
                <w:lang w:val="en-US" w:eastAsia="zh-CN"/>
              </w:rPr>
              <w:t>0-3</w:t>
            </w:r>
          </w:p>
        </w:tc>
        <w:tc>
          <w:tcPr>
            <w:tcW w:w="961" w:type="dxa"/>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olor w:val="auto"/>
                <w:sz w:val="24"/>
                <w:szCs w:val="24"/>
                <w:highlight w:val="none"/>
              </w:rPr>
            </w:pPr>
            <w:r>
              <w:rPr>
                <w:rFonts w:hint="eastAsia" w:ascii="仿宋" w:hAnsi="仿宋" w:eastAsia="仿宋" w:cs="仿宋"/>
                <w:b w:val="0"/>
                <w:bCs/>
                <w:color w:val="auto"/>
                <w:kern w:val="0"/>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709" w:type="dxa"/>
            <w:vMerge w:val="restart"/>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技术服务分</w:t>
            </w:r>
          </w:p>
        </w:tc>
        <w:tc>
          <w:tcPr>
            <w:tcW w:w="553" w:type="dxa"/>
            <w:vMerge w:val="restart"/>
            <w:vAlign w:val="center"/>
          </w:tcPr>
          <w:p>
            <w:pPr>
              <w:pStyle w:val="260"/>
              <w:widowControl/>
              <w:numPr>
                <w:ilvl w:val="0"/>
                <w:numId w:val="0"/>
              </w:numPr>
              <w:ind w:left="420" w:leftChars="0" w:hanging="420" w:firstLineChars="0"/>
              <w:contextualSpacing/>
              <w:jc w:val="center"/>
              <w:rPr>
                <w:rFonts w:ascii="仿宋" w:hAnsi="仿宋" w:eastAsia="仿宋"/>
                <w:color w:val="auto"/>
                <w:sz w:val="24"/>
                <w:szCs w:val="24"/>
                <w:highlight w:val="none"/>
              </w:rPr>
            </w:pPr>
            <w:r>
              <w:rPr>
                <w:rFonts w:hint="eastAsia" w:ascii="仿宋" w:hAnsi="仿宋" w:eastAsia="仿宋" w:cs="Lucida Sans"/>
                <w:color w:val="auto"/>
                <w:kern w:val="2"/>
                <w:sz w:val="24"/>
                <w:szCs w:val="24"/>
                <w:highlight w:val="none"/>
                <w:lang w:val="en-US" w:eastAsia="zh-CN" w:bidi="ar-SA"/>
              </w:rPr>
              <w:t>4</w:t>
            </w:r>
          </w:p>
        </w:tc>
        <w:tc>
          <w:tcPr>
            <w:tcW w:w="709" w:type="dxa"/>
            <w:vMerge w:val="restart"/>
            <w:vAlign w:val="center"/>
          </w:tcPr>
          <w:p>
            <w:pPr>
              <w:rPr>
                <w:rFonts w:ascii="仿宋" w:hAnsi="仿宋" w:eastAsia="仿宋"/>
                <w:color w:val="auto"/>
                <w:sz w:val="24"/>
                <w:szCs w:val="24"/>
                <w:highlight w:val="none"/>
              </w:rPr>
            </w:pPr>
            <w:r>
              <w:rPr>
                <w:rFonts w:hint="eastAsia" w:ascii="仿宋" w:hAnsi="仿宋" w:eastAsia="仿宋"/>
                <w:color w:val="auto"/>
                <w:sz w:val="24"/>
                <w:szCs w:val="24"/>
                <w:highlight w:val="none"/>
              </w:rPr>
              <w:t>投标方案</w:t>
            </w:r>
          </w:p>
        </w:tc>
        <w:tc>
          <w:tcPr>
            <w:tcW w:w="5556" w:type="dxa"/>
            <w:vAlign w:val="center"/>
          </w:tcPr>
          <w:p>
            <w:pPr>
              <w:rPr>
                <w:rFonts w:ascii="仿宋" w:hAnsi="仿宋" w:eastAsia="仿宋"/>
                <w:color w:val="auto"/>
                <w:sz w:val="24"/>
                <w:szCs w:val="24"/>
                <w:highlight w:val="none"/>
              </w:rPr>
            </w:pPr>
            <w:r>
              <w:rPr>
                <w:rFonts w:hint="eastAsia" w:ascii="仿宋" w:hAnsi="仿宋" w:eastAsia="仿宋"/>
                <w:color w:val="auto"/>
                <w:sz w:val="24"/>
                <w:szCs w:val="24"/>
                <w:highlight w:val="none"/>
              </w:rPr>
              <w:t>投标方案的合理性、科学性、全面性</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根据对投标项目的理解程度、总体设计、组织实施、独到优势等情况综合评定。投标方案合理可行、符合项目实际操作，得</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分；投标方案较合理、较完整，得</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分；投标方案</w:t>
            </w:r>
            <w:r>
              <w:rPr>
                <w:rFonts w:hint="eastAsia" w:ascii="仿宋" w:hAnsi="仿宋" w:eastAsia="仿宋"/>
                <w:color w:val="auto"/>
                <w:sz w:val="24"/>
                <w:szCs w:val="24"/>
                <w:highlight w:val="none"/>
                <w:lang w:val="en-US" w:eastAsia="zh-CN"/>
              </w:rPr>
              <w:t>基本</w:t>
            </w:r>
            <w:r>
              <w:rPr>
                <w:rFonts w:hint="eastAsia" w:ascii="仿宋" w:hAnsi="仿宋" w:eastAsia="仿宋"/>
                <w:color w:val="auto"/>
                <w:sz w:val="24"/>
                <w:szCs w:val="24"/>
                <w:highlight w:val="none"/>
              </w:rPr>
              <w:t>合理、</w:t>
            </w:r>
            <w:r>
              <w:rPr>
                <w:rFonts w:hint="eastAsia" w:ascii="仿宋" w:hAnsi="仿宋" w:eastAsia="仿宋"/>
                <w:color w:val="auto"/>
                <w:sz w:val="24"/>
                <w:szCs w:val="24"/>
                <w:highlight w:val="none"/>
                <w:lang w:val="en-US" w:eastAsia="zh-CN"/>
              </w:rPr>
              <w:t>基本</w:t>
            </w:r>
            <w:r>
              <w:rPr>
                <w:rFonts w:hint="eastAsia" w:ascii="仿宋" w:hAnsi="仿宋" w:eastAsia="仿宋"/>
                <w:color w:val="auto"/>
                <w:sz w:val="24"/>
                <w:szCs w:val="24"/>
                <w:highlight w:val="none"/>
              </w:rPr>
              <w:t>完整，得</w:t>
            </w: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分；投标方案一般，得</w:t>
            </w:r>
            <w:r>
              <w:rPr>
                <w:rFonts w:hint="eastAsia" w:ascii="仿宋" w:hAnsi="仿宋" w:eastAsia="仿宋"/>
                <w:color w:val="auto"/>
                <w:sz w:val="24"/>
                <w:szCs w:val="24"/>
                <w:highlight w:val="none"/>
                <w:lang w:val="en-US" w:eastAsia="zh-CN"/>
              </w:rPr>
              <w:t>2</w:t>
            </w:r>
            <w:r>
              <w:rPr>
                <w:rFonts w:hint="eastAsia" w:ascii="仿宋" w:hAnsi="仿宋" w:eastAsia="仿宋"/>
                <w:color w:val="auto"/>
                <w:sz w:val="24"/>
                <w:szCs w:val="24"/>
                <w:highlight w:val="none"/>
              </w:rPr>
              <w:t>分</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投标方案</w:t>
            </w:r>
            <w:r>
              <w:rPr>
                <w:rFonts w:hint="eastAsia" w:ascii="仿宋" w:hAnsi="仿宋" w:eastAsia="仿宋"/>
                <w:color w:val="auto"/>
                <w:sz w:val="24"/>
                <w:szCs w:val="24"/>
                <w:highlight w:val="none"/>
                <w:lang w:val="en-US" w:eastAsia="zh-CN"/>
              </w:rPr>
              <w:t>有欠缺，得1分；不提供不得分</w:t>
            </w:r>
            <w:r>
              <w:rPr>
                <w:rFonts w:hint="eastAsia" w:ascii="仿宋" w:hAnsi="仿宋" w:eastAsia="仿宋"/>
                <w:color w:val="auto"/>
                <w:sz w:val="24"/>
                <w:szCs w:val="24"/>
                <w:highlight w:val="none"/>
              </w:rPr>
              <w:t>。</w:t>
            </w:r>
          </w:p>
        </w:tc>
        <w:tc>
          <w:tcPr>
            <w:tcW w:w="964" w:type="dxa"/>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0</w:t>
            </w:r>
            <w:r>
              <w:rPr>
                <w:rFonts w:hint="eastAsia" w:ascii="仿宋" w:hAnsi="仿宋" w:eastAsia="仿宋"/>
                <w:color w:val="auto"/>
                <w:sz w:val="24"/>
                <w:szCs w:val="24"/>
                <w:highlight w:val="none"/>
              </w:rPr>
              <w:t>-5分</w:t>
            </w:r>
          </w:p>
        </w:tc>
        <w:tc>
          <w:tcPr>
            <w:tcW w:w="961" w:type="dxa"/>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rPr>
                <w:rFonts w:ascii="仿宋" w:hAnsi="仿宋" w:eastAsia="仿宋"/>
                <w:color w:val="auto"/>
                <w:sz w:val="24"/>
                <w:szCs w:val="24"/>
                <w:highlight w:val="none"/>
              </w:rPr>
            </w:pPr>
          </w:p>
        </w:tc>
        <w:tc>
          <w:tcPr>
            <w:tcW w:w="553" w:type="dxa"/>
            <w:vMerge w:val="continue"/>
            <w:vAlign w:val="center"/>
          </w:tcPr>
          <w:p>
            <w:pPr>
              <w:pStyle w:val="260"/>
              <w:widowControl/>
              <w:numPr>
                <w:ilvl w:val="0"/>
                <w:numId w:val="1"/>
              </w:numPr>
              <w:ind w:firstLineChars="0"/>
              <w:contextualSpacing/>
              <w:jc w:val="center"/>
              <w:rPr>
                <w:rFonts w:ascii="仿宋" w:hAnsi="仿宋" w:eastAsia="仿宋"/>
                <w:color w:val="auto"/>
                <w:sz w:val="24"/>
                <w:szCs w:val="24"/>
                <w:highlight w:val="none"/>
              </w:rPr>
            </w:pPr>
          </w:p>
        </w:tc>
        <w:tc>
          <w:tcPr>
            <w:tcW w:w="709" w:type="dxa"/>
            <w:vMerge w:val="continue"/>
            <w:vAlign w:val="center"/>
          </w:tcPr>
          <w:p>
            <w:pPr>
              <w:rPr>
                <w:rFonts w:ascii="仿宋" w:hAnsi="仿宋" w:eastAsia="仿宋"/>
                <w:color w:val="auto"/>
                <w:sz w:val="24"/>
                <w:szCs w:val="24"/>
                <w:highlight w:val="none"/>
              </w:rPr>
            </w:pPr>
          </w:p>
        </w:tc>
        <w:tc>
          <w:tcPr>
            <w:tcW w:w="5556" w:type="dxa"/>
            <w:vAlign w:val="center"/>
          </w:tcPr>
          <w:p>
            <w:pPr>
              <w:rPr>
                <w:rFonts w:ascii="仿宋" w:hAnsi="仿宋" w:eastAsia="仿宋"/>
                <w:color w:val="auto"/>
                <w:sz w:val="24"/>
                <w:szCs w:val="24"/>
                <w:highlight w:val="none"/>
              </w:rPr>
            </w:pPr>
            <w:r>
              <w:rPr>
                <w:rFonts w:hint="eastAsia" w:ascii="仿宋" w:hAnsi="仿宋" w:eastAsia="仿宋"/>
                <w:color w:val="auto"/>
                <w:sz w:val="24"/>
                <w:szCs w:val="24"/>
                <w:highlight w:val="none"/>
              </w:rPr>
              <w:t>根据投标人按照招标文件的要求和规范，制定的详细、完善的流程方案，主要包括项目各个环节实施安排、关键技术（诉讼材料扫描、修图等）、工艺（如扫描前处理、扫描过程等）等内容。流程方案合理可行、符合项目实际操作，得</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分；流程方案较合理、较完整，得</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分；流程方案</w:t>
            </w:r>
            <w:r>
              <w:rPr>
                <w:rFonts w:hint="eastAsia" w:ascii="仿宋" w:hAnsi="仿宋" w:eastAsia="仿宋"/>
                <w:color w:val="auto"/>
                <w:sz w:val="24"/>
                <w:szCs w:val="24"/>
                <w:highlight w:val="none"/>
                <w:lang w:val="en-US" w:eastAsia="zh-CN"/>
              </w:rPr>
              <w:t>基本</w:t>
            </w:r>
            <w:r>
              <w:rPr>
                <w:rFonts w:hint="eastAsia" w:ascii="仿宋" w:hAnsi="仿宋" w:eastAsia="仿宋"/>
                <w:color w:val="auto"/>
                <w:sz w:val="24"/>
                <w:szCs w:val="24"/>
                <w:highlight w:val="none"/>
              </w:rPr>
              <w:t>合理、</w:t>
            </w:r>
            <w:r>
              <w:rPr>
                <w:rFonts w:hint="eastAsia" w:ascii="仿宋" w:hAnsi="仿宋" w:eastAsia="仿宋"/>
                <w:color w:val="auto"/>
                <w:sz w:val="24"/>
                <w:szCs w:val="24"/>
                <w:highlight w:val="none"/>
                <w:lang w:val="en-US" w:eastAsia="zh-CN"/>
              </w:rPr>
              <w:t>基本</w:t>
            </w:r>
            <w:r>
              <w:rPr>
                <w:rFonts w:hint="eastAsia" w:ascii="仿宋" w:hAnsi="仿宋" w:eastAsia="仿宋"/>
                <w:color w:val="auto"/>
                <w:sz w:val="24"/>
                <w:szCs w:val="24"/>
                <w:highlight w:val="none"/>
              </w:rPr>
              <w:t>完整，得</w:t>
            </w: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分</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流程方案一般，得</w:t>
            </w:r>
            <w:r>
              <w:rPr>
                <w:rFonts w:hint="eastAsia" w:ascii="仿宋" w:hAnsi="仿宋" w:eastAsia="仿宋"/>
                <w:color w:val="auto"/>
                <w:sz w:val="24"/>
                <w:szCs w:val="24"/>
                <w:highlight w:val="none"/>
                <w:lang w:val="en-US" w:eastAsia="zh-CN"/>
              </w:rPr>
              <w:t>2</w:t>
            </w:r>
            <w:r>
              <w:rPr>
                <w:rFonts w:hint="eastAsia" w:ascii="仿宋" w:hAnsi="仿宋" w:eastAsia="仿宋"/>
                <w:color w:val="auto"/>
                <w:sz w:val="24"/>
                <w:szCs w:val="24"/>
                <w:highlight w:val="none"/>
              </w:rPr>
              <w:t>分</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流程方案</w:t>
            </w:r>
            <w:r>
              <w:rPr>
                <w:rFonts w:hint="eastAsia" w:ascii="仿宋" w:hAnsi="仿宋" w:eastAsia="仿宋"/>
                <w:color w:val="auto"/>
                <w:sz w:val="24"/>
                <w:szCs w:val="24"/>
                <w:highlight w:val="none"/>
                <w:lang w:val="en-US" w:eastAsia="zh-CN"/>
              </w:rPr>
              <w:t>有欠缺，得1分；不提供不得分</w:t>
            </w:r>
            <w:r>
              <w:rPr>
                <w:rFonts w:hint="eastAsia" w:ascii="仿宋" w:hAnsi="仿宋" w:eastAsia="仿宋"/>
                <w:color w:val="auto"/>
                <w:sz w:val="24"/>
                <w:szCs w:val="24"/>
                <w:highlight w:val="none"/>
              </w:rPr>
              <w:t>。</w:t>
            </w:r>
          </w:p>
        </w:tc>
        <w:tc>
          <w:tcPr>
            <w:tcW w:w="964" w:type="dxa"/>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0</w:t>
            </w:r>
            <w:r>
              <w:rPr>
                <w:rFonts w:hint="eastAsia" w:ascii="仿宋" w:hAnsi="仿宋" w:eastAsia="仿宋"/>
                <w:color w:val="auto"/>
                <w:sz w:val="24"/>
                <w:szCs w:val="24"/>
                <w:highlight w:val="none"/>
              </w:rPr>
              <w:t>-5分</w:t>
            </w:r>
          </w:p>
        </w:tc>
        <w:tc>
          <w:tcPr>
            <w:tcW w:w="961" w:type="dxa"/>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rPr>
                <w:rFonts w:ascii="仿宋" w:hAnsi="仿宋" w:eastAsia="仿宋"/>
                <w:color w:val="auto"/>
                <w:sz w:val="24"/>
                <w:szCs w:val="24"/>
                <w:highlight w:val="none"/>
              </w:rPr>
            </w:pPr>
          </w:p>
        </w:tc>
        <w:tc>
          <w:tcPr>
            <w:tcW w:w="553" w:type="dxa"/>
            <w:vMerge w:val="continue"/>
            <w:vAlign w:val="center"/>
          </w:tcPr>
          <w:p>
            <w:pPr>
              <w:pStyle w:val="260"/>
              <w:ind w:firstLine="480"/>
              <w:jc w:val="center"/>
              <w:rPr>
                <w:rFonts w:ascii="仿宋" w:hAnsi="仿宋" w:eastAsia="仿宋"/>
                <w:color w:val="auto"/>
                <w:sz w:val="24"/>
                <w:szCs w:val="24"/>
                <w:highlight w:val="none"/>
              </w:rPr>
            </w:pPr>
          </w:p>
        </w:tc>
        <w:tc>
          <w:tcPr>
            <w:tcW w:w="709" w:type="dxa"/>
            <w:vMerge w:val="continue"/>
            <w:vAlign w:val="center"/>
          </w:tcPr>
          <w:p>
            <w:pPr>
              <w:rPr>
                <w:rFonts w:ascii="仿宋" w:hAnsi="仿宋" w:eastAsia="仿宋"/>
                <w:color w:val="auto"/>
                <w:sz w:val="24"/>
                <w:szCs w:val="24"/>
                <w:highlight w:val="none"/>
              </w:rPr>
            </w:pPr>
          </w:p>
        </w:tc>
        <w:tc>
          <w:tcPr>
            <w:tcW w:w="5556" w:type="dxa"/>
            <w:vAlign w:val="center"/>
          </w:tcPr>
          <w:p>
            <w:pPr>
              <w:rPr>
                <w:rFonts w:ascii="仿宋" w:hAnsi="仿宋" w:eastAsia="仿宋"/>
                <w:color w:val="auto"/>
                <w:sz w:val="24"/>
                <w:szCs w:val="24"/>
                <w:highlight w:val="none"/>
              </w:rPr>
            </w:pPr>
            <w:r>
              <w:rPr>
                <w:rFonts w:hint="eastAsia" w:ascii="仿宋" w:hAnsi="仿宋" w:eastAsia="仿宋"/>
                <w:color w:val="auto"/>
                <w:sz w:val="24"/>
                <w:szCs w:val="24"/>
                <w:highlight w:val="none"/>
              </w:rPr>
              <w:t>根据投标人提供的质检方案（包括质检环节依据、质检环节安排、各环节质检方法、具体项目检查规则及月度绩效、项目现场规范巡检记录表等）和验收方案（包括质量验收、竣工验收等）可行性、有效性等内容。质检方案合理可行、符合项目实际操作，得5分；质检方案较合理、较完整，得</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分；质检方案</w:t>
            </w:r>
            <w:r>
              <w:rPr>
                <w:rFonts w:hint="eastAsia" w:ascii="仿宋" w:hAnsi="仿宋" w:eastAsia="仿宋"/>
                <w:color w:val="auto"/>
                <w:sz w:val="24"/>
                <w:szCs w:val="24"/>
                <w:highlight w:val="none"/>
                <w:lang w:val="en-US" w:eastAsia="zh-CN"/>
              </w:rPr>
              <w:t>基本</w:t>
            </w:r>
            <w:r>
              <w:rPr>
                <w:rFonts w:hint="eastAsia" w:ascii="仿宋" w:hAnsi="仿宋" w:eastAsia="仿宋"/>
                <w:color w:val="auto"/>
                <w:sz w:val="24"/>
                <w:szCs w:val="24"/>
                <w:highlight w:val="none"/>
              </w:rPr>
              <w:t>合理、</w:t>
            </w:r>
            <w:r>
              <w:rPr>
                <w:rFonts w:hint="eastAsia" w:ascii="仿宋" w:hAnsi="仿宋" w:eastAsia="仿宋"/>
                <w:color w:val="auto"/>
                <w:sz w:val="24"/>
                <w:szCs w:val="24"/>
                <w:highlight w:val="none"/>
                <w:lang w:val="en-US" w:eastAsia="zh-CN"/>
              </w:rPr>
              <w:t>基本</w:t>
            </w:r>
            <w:r>
              <w:rPr>
                <w:rFonts w:hint="eastAsia" w:ascii="仿宋" w:hAnsi="仿宋" w:eastAsia="仿宋"/>
                <w:color w:val="auto"/>
                <w:sz w:val="24"/>
                <w:szCs w:val="24"/>
                <w:highlight w:val="none"/>
              </w:rPr>
              <w:t>完整，得</w:t>
            </w: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分；质检方案一般，得</w:t>
            </w:r>
            <w:r>
              <w:rPr>
                <w:rFonts w:hint="eastAsia" w:ascii="仿宋" w:hAnsi="仿宋" w:eastAsia="仿宋"/>
                <w:color w:val="auto"/>
                <w:sz w:val="24"/>
                <w:szCs w:val="24"/>
                <w:highlight w:val="none"/>
                <w:lang w:val="en-US" w:eastAsia="zh-CN"/>
              </w:rPr>
              <w:t>2</w:t>
            </w:r>
            <w:r>
              <w:rPr>
                <w:rFonts w:hint="eastAsia" w:ascii="仿宋" w:hAnsi="仿宋" w:eastAsia="仿宋"/>
                <w:color w:val="auto"/>
                <w:sz w:val="24"/>
                <w:szCs w:val="24"/>
                <w:highlight w:val="none"/>
              </w:rPr>
              <w:t>分</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质检方案</w:t>
            </w:r>
            <w:r>
              <w:rPr>
                <w:rFonts w:hint="eastAsia" w:ascii="仿宋" w:hAnsi="仿宋" w:eastAsia="仿宋"/>
                <w:color w:val="auto"/>
                <w:sz w:val="24"/>
                <w:szCs w:val="24"/>
                <w:highlight w:val="none"/>
                <w:lang w:val="en-US" w:eastAsia="zh-CN"/>
              </w:rPr>
              <w:t>有欠缺，得1分；不提供不得分</w:t>
            </w:r>
            <w:r>
              <w:rPr>
                <w:rFonts w:hint="eastAsia" w:ascii="仿宋" w:hAnsi="仿宋" w:eastAsia="仿宋"/>
                <w:color w:val="auto"/>
                <w:sz w:val="24"/>
                <w:szCs w:val="24"/>
                <w:highlight w:val="none"/>
              </w:rPr>
              <w:t>。</w:t>
            </w:r>
          </w:p>
        </w:tc>
        <w:tc>
          <w:tcPr>
            <w:tcW w:w="964" w:type="dxa"/>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0</w:t>
            </w:r>
            <w:r>
              <w:rPr>
                <w:rFonts w:hint="eastAsia" w:ascii="仿宋" w:hAnsi="仿宋" w:eastAsia="仿宋"/>
                <w:color w:val="auto"/>
                <w:sz w:val="24"/>
                <w:szCs w:val="24"/>
                <w:highlight w:val="none"/>
              </w:rPr>
              <w:t>-5分</w:t>
            </w:r>
          </w:p>
        </w:tc>
        <w:tc>
          <w:tcPr>
            <w:tcW w:w="961" w:type="dxa"/>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260"/>
              <w:ind w:left="420" w:firstLine="480"/>
              <w:rPr>
                <w:rFonts w:ascii="仿宋" w:hAnsi="仿宋" w:eastAsia="仿宋"/>
                <w:color w:val="auto"/>
                <w:sz w:val="24"/>
                <w:szCs w:val="24"/>
                <w:highlight w:val="none"/>
              </w:rPr>
            </w:pPr>
          </w:p>
        </w:tc>
        <w:tc>
          <w:tcPr>
            <w:tcW w:w="553" w:type="dxa"/>
            <w:vMerge w:val="restart"/>
            <w:vAlign w:val="center"/>
          </w:tcPr>
          <w:p>
            <w:pPr>
              <w:pStyle w:val="260"/>
              <w:widowControl/>
              <w:numPr>
                <w:ilvl w:val="0"/>
                <w:numId w:val="0"/>
              </w:numPr>
              <w:ind w:left="420" w:leftChars="0" w:hanging="420" w:firstLineChars="0"/>
              <w:contextualSpacing/>
              <w:jc w:val="center"/>
              <w:rPr>
                <w:rFonts w:ascii="仿宋" w:hAnsi="仿宋" w:eastAsia="仿宋"/>
                <w:color w:val="auto"/>
                <w:sz w:val="24"/>
                <w:szCs w:val="24"/>
                <w:highlight w:val="none"/>
              </w:rPr>
            </w:pPr>
            <w:r>
              <w:rPr>
                <w:rFonts w:hint="eastAsia" w:ascii="仿宋" w:hAnsi="仿宋" w:eastAsia="仿宋" w:cs="Lucida Sans"/>
                <w:color w:val="auto"/>
                <w:kern w:val="2"/>
                <w:sz w:val="24"/>
                <w:szCs w:val="24"/>
                <w:highlight w:val="none"/>
                <w:lang w:val="en-US" w:eastAsia="zh-CN" w:bidi="ar-SA"/>
              </w:rPr>
              <w:t>5</w:t>
            </w:r>
          </w:p>
        </w:tc>
        <w:tc>
          <w:tcPr>
            <w:tcW w:w="709" w:type="dxa"/>
            <w:vMerge w:val="restart"/>
            <w:vAlign w:val="center"/>
          </w:tcPr>
          <w:p>
            <w:pPr>
              <w:rPr>
                <w:rFonts w:ascii="仿宋" w:hAnsi="仿宋" w:eastAsia="仿宋"/>
                <w:color w:val="auto"/>
                <w:sz w:val="24"/>
                <w:szCs w:val="24"/>
                <w:highlight w:val="none"/>
              </w:rPr>
            </w:pPr>
            <w:r>
              <w:rPr>
                <w:rFonts w:hint="eastAsia" w:ascii="仿宋" w:hAnsi="仿宋" w:eastAsia="仿宋"/>
                <w:color w:val="auto"/>
                <w:sz w:val="24"/>
                <w:szCs w:val="24"/>
                <w:highlight w:val="none"/>
              </w:rPr>
              <w:t>拟投入的软件设备</w:t>
            </w:r>
          </w:p>
        </w:tc>
        <w:tc>
          <w:tcPr>
            <w:tcW w:w="5556" w:type="dxa"/>
            <w:vAlign w:val="center"/>
          </w:tcPr>
          <w:p>
            <w:pPr>
              <w:rPr>
                <w:rFonts w:ascii="仿宋" w:hAnsi="仿宋" w:eastAsia="仿宋"/>
                <w:color w:val="auto"/>
                <w:sz w:val="24"/>
                <w:szCs w:val="24"/>
                <w:highlight w:val="none"/>
              </w:rPr>
            </w:pPr>
            <w:r>
              <w:rPr>
                <w:rFonts w:hint="eastAsia" w:ascii="仿宋" w:hAnsi="仿宋" w:eastAsia="仿宋"/>
                <w:color w:val="auto"/>
                <w:sz w:val="24"/>
                <w:szCs w:val="24"/>
                <w:highlight w:val="none"/>
              </w:rPr>
              <w:t>根据投标人拟投入本项目的加工软件（如档案数字化加工系统、档案规范整理系统、档案电子数据移交挂接系统等，需提供功能截图或其他软件技术功能证明材料）等内容综合评定。</w:t>
            </w:r>
            <w:r>
              <w:rPr>
                <w:rFonts w:hint="eastAsia" w:ascii="仿宋" w:hAnsi="仿宋" w:eastAsia="仿宋"/>
                <w:color w:val="auto"/>
                <w:sz w:val="24"/>
                <w:szCs w:val="24"/>
                <w:highlight w:val="none"/>
                <w:lang w:val="en-US" w:eastAsia="zh-CN"/>
              </w:rPr>
              <w:t>加工软件</w:t>
            </w:r>
            <w:r>
              <w:rPr>
                <w:rFonts w:hint="eastAsia" w:ascii="仿宋" w:hAnsi="仿宋" w:eastAsia="仿宋"/>
                <w:color w:val="auto"/>
                <w:sz w:val="24"/>
                <w:szCs w:val="24"/>
                <w:highlight w:val="none"/>
              </w:rPr>
              <w:t>方案合理可行、符合项目实际操作，得5分；</w:t>
            </w:r>
            <w:r>
              <w:rPr>
                <w:rFonts w:hint="eastAsia" w:ascii="仿宋" w:hAnsi="仿宋" w:eastAsia="仿宋"/>
                <w:color w:val="auto"/>
                <w:sz w:val="24"/>
                <w:szCs w:val="24"/>
                <w:highlight w:val="none"/>
                <w:lang w:val="en-US" w:eastAsia="zh-CN"/>
              </w:rPr>
              <w:t>加工软件</w:t>
            </w:r>
            <w:r>
              <w:rPr>
                <w:rFonts w:hint="eastAsia" w:ascii="仿宋" w:hAnsi="仿宋" w:eastAsia="仿宋"/>
                <w:color w:val="auto"/>
                <w:sz w:val="24"/>
                <w:szCs w:val="24"/>
                <w:highlight w:val="none"/>
              </w:rPr>
              <w:t>方案较合理、较完整，得</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分；</w:t>
            </w:r>
            <w:r>
              <w:rPr>
                <w:rFonts w:hint="eastAsia" w:ascii="仿宋" w:hAnsi="仿宋" w:eastAsia="仿宋"/>
                <w:color w:val="auto"/>
                <w:sz w:val="24"/>
                <w:szCs w:val="24"/>
                <w:highlight w:val="none"/>
                <w:lang w:val="en-US" w:eastAsia="zh-CN"/>
              </w:rPr>
              <w:t>加工软件</w:t>
            </w:r>
            <w:r>
              <w:rPr>
                <w:rFonts w:hint="eastAsia" w:ascii="仿宋" w:hAnsi="仿宋" w:eastAsia="仿宋"/>
                <w:color w:val="auto"/>
                <w:sz w:val="24"/>
                <w:szCs w:val="24"/>
                <w:highlight w:val="none"/>
              </w:rPr>
              <w:t>方案</w:t>
            </w:r>
            <w:r>
              <w:rPr>
                <w:rFonts w:hint="eastAsia" w:ascii="仿宋" w:hAnsi="仿宋" w:eastAsia="仿宋"/>
                <w:color w:val="auto"/>
                <w:sz w:val="24"/>
                <w:szCs w:val="24"/>
                <w:highlight w:val="none"/>
                <w:lang w:val="en-US" w:eastAsia="zh-CN"/>
              </w:rPr>
              <w:t>基本</w:t>
            </w:r>
            <w:r>
              <w:rPr>
                <w:rFonts w:hint="eastAsia" w:ascii="仿宋" w:hAnsi="仿宋" w:eastAsia="仿宋"/>
                <w:color w:val="auto"/>
                <w:sz w:val="24"/>
                <w:szCs w:val="24"/>
                <w:highlight w:val="none"/>
              </w:rPr>
              <w:t>合理、</w:t>
            </w:r>
            <w:r>
              <w:rPr>
                <w:rFonts w:hint="eastAsia" w:ascii="仿宋" w:hAnsi="仿宋" w:eastAsia="仿宋"/>
                <w:color w:val="auto"/>
                <w:sz w:val="24"/>
                <w:szCs w:val="24"/>
                <w:highlight w:val="none"/>
                <w:lang w:val="en-US" w:eastAsia="zh-CN"/>
              </w:rPr>
              <w:t>基本</w:t>
            </w:r>
            <w:r>
              <w:rPr>
                <w:rFonts w:hint="eastAsia" w:ascii="仿宋" w:hAnsi="仿宋" w:eastAsia="仿宋"/>
                <w:color w:val="auto"/>
                <w:sz w:val="24"/>
                <w:szCs w:val="24"/>
                <w:highlight w:val="none"/>
              </w:rPr>
              <w:t>完整，得</w:t>
            </w: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分；</w:t>
            </w:r>
            <w:r>
              <w:rPr>
                <w:rFonts w:hint="eastAsia" w:ascii="仿宋" w:hAnsi="仿宋" w:eastAsia="仿宋"/>
                <w:color w:val="auto"/>
                <w:sz w:val="24"/>
                <w:szCs w:val="24"/>
                <w:highlight w:val="none"/>
                <w:lang w:val="en-US" w:eastAsia="zh-CN"/>
              </w:rPr>
              <w:t>加工软件</w:t>
            </w:r>
            <w:r>
              <w:rPr>
                <w:rFonts w:hint="eastAsia" w:ascii="仿宋" w:hAnsi="仿宋" w:eastAsia="仿宋"/>
                <w:color w:val="auto"/>
                <w:sz w:val="24"/>
                <w:szCs w:val="24"/>
                <w:highlight w:val="none"/>
              </w:rPr>
              <w:t>方案一般，得</w:t>
            </w:r>
            <w:r>
              <w:rPr>
                <w:rFonts w:hint="eastAsia" w:ascii="仿宋" w:hAnsi="仿宋" w:eastAsia="仿宋"/>
                <w:color w:val="auto"/>
                <w:sz w:val="24"/>
                <w:szCs w:val="24"/>
                <w:highlight w:val="none"/>
                <w:lang w:val="en-US" w:eastAsia="zh-CN"/>
              </w:rPr>
              <w:t>2</w:t>
            </w:r>
            <w:r>
              <w:rPr>
                <w:rFonts w:hint="eastAsia" w:ascii="仿宋" w:hAnsi="仿宋" w:eastAsia="仿宋"/>
                <w:color w:val="auto"/>
                <w:sz w:val="24"/>
                <w:szCs w:val="24"/>
                <w:highlight w:val="none"/>
              </w:rPr>
              <w:t>分</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加工软件</w:t>
            </w:r>
            <w:r>
              <w:rPr>
                <w:rFonts w:hint="eastAsia" w:ascii="仿宋" w:hAnsi="仿宋" w:eastAsia="仿宋"/>
                <w:color w:val="auto"/>
                <w:sz w:val="24"/>
                <w:szCs w:val="24"/>
                <w:highlight w:val="none"/>
              </w:rPr>
              <w:t>方案</w:t>
            </w:r>
            <w:r>
              <w:rPr>
                <w:rFonts w:hint="eastAsia" w:ascii="仿宋" w:hAnsi="仿宋" w:eastAsia="仿宋"/>
                <w:color w:val="auto"/>
                <w:sz w:val="24"/>
                <w:szCs w:val="24"/>
                <w:highlight w:val="none"/>
                <w:lang w:val="en-US" w:eastAsia="zh-CN"/>
              </w:rPr>
              <w:t>有欠缺，得1分；不提供不得分</w:t>
            </w:r>
            <w:r>
              <w:rPr>
                <w:rFonts w:hint="eastAsia" w:ascii="仿宋" w:hAnsi="仿宋" w:eastAsia="仿宋"/>
                <w:color w:val="auto"/>
                <w:sz w:val="24"/>
                <w:szCs w:val="24"/>
                <w:highlight w:val="none"/>
              </w:rPr>
              <w:t>。</w:t>
            </w:r>
          </w:p>
        </w:tc>
        <w:tc>
          <w:tcPr>
            <w:tcW w:w="964" w:type="dxa"/>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0</w:t>
            </w:r>
            <w:r>
              <w:rPr>
                <w:rFonts w:hint="eastAsia" w:ascii="仿宋" w:hAnsi="仿宋" w:eastAsia="仿宋"/>
                <w:color w:val="auto"/>
                <w:sz w:val="24"/>
                <w:szCs w:val="24"/>
                <w:highlight w:val="none"/>
              </w:rPr>
              <w:t>-5分</w:t>
            </w:r>
          </w:p>
        </w:tc>
        <w:tc>
          <w:tcPr>
            <w:tcW w:w="961" w:type="dxa"/>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709" w:type="dxa"/>
            <w:vMerge w:val="continue"/>
          </w:tcPr>
          <w:p>
            <w:pPr>
              <w:pStyle w:val="260"/>
              <w:ind w:left="420" w:firstLine="480"/>
              <w:rPr>
                <w:rFonts w:ascii="仿宋" w:hAnsi="仿宋" w:eastAsia="仿宋"/>
                <w:color w:val="auto"/>
                <w:sz w:val="24"/>
                <w:szCs w:val="24"/>
                <w:highlight w:val="none"/>
              </w:rPr>
            </w:pPr>
          </w:p>
        </w:tc>
        <w:tc>
          <w:tcPr>
            <w:tcW w:w="553" w:type="dxa"/>
            <w:vMerge w:val="continue"/>
            <w:vAlign w:val="center"/>
          </w:tcPr>
          <w:p>
            <w:pPr>
              <w:pStyle w:val="260"/>
              <w:ind w:firstLine="480"/>
              <w:jc w:val="center"/>
              <w:rPr>
                <w:rFonts w:ascii="仿宋" w:hAnsi="仿宋" w:eastAsia="仿宋"/>
                <w:color w:val="auto"/>
                <w:sz w:val="24"/>
                <w:szCs w:val="24"/>
                <w:highlight w:val="none"/>
              </w:rPr>
            </w:pPr>
          </w:p>
        </w:tc>
        <w:tc>
          <w:tcPr>
            <w:tcW w:w="709" w:type="dxa"/>
            <w:vMerge w:val="continue"/>
            <w:vAlign w:val="center"/>
          </w:tcPr>
          <w:p>
            <w:pPr>
              <w:rPr>
                <w:rFonts w:ascii="仿宋" w:hAnsi="仿宋" w:eastAsia="仿宋"/>
                <w:color w:val="auto"/>
                <w:sz w:val="24"/>
                <w:szCs w:val="24"/>
                <w:highlight w:val="none"/>
              </w:rPr>
            </w:pPr>
          </w:p>
        </w:tc>
        <w:tc>
          <w:tcPr>
            <w:tcW w:w="5556" w:type="dxa"/>
            <w:vAlign w:val="center"/>
          </w:tcPr>
          <w:p>
            <w:pPr>
              <w:rPr>
                <w:rFonts w:ascii="仿宋" w:hAnsi="仿宋" w:eastAsia="仿宋"/>
                <w:color w:val="auto"/>
                <w:sz w:val="24"/>
                <w:szCs w:val="24"/>
                <w:highlight w:val="none"/>
              </w:rPr>
            </w:pPr>
            <w:r>
              <w:rPr>
                <w:rFonts w:hint="eastAsia" w:ascii="仿宋" w:hAnsi="仿宋" w:eastAsia="仿宋"/>
                <w:color w:val="auto"/>
                <w:sz w:val="24"/>
                <w:szCs w:val="24"/>
                <w:highlight w:val="none"/>
              </w:rPr>
              <w:t>根据供应商提供的扫描需要的设备数量、设备的先进性、针对性、设备配置是否合理、高效等内容综合评定。</w:t>
            </w:r>
            <w:r>
              <w:rPr>
                <w:rFonts w:hint="eastAsia" w:ascii="仿宋" w:hAnsi="仿宋" w:eastAsia="仿宋"/>
                <w:color w:val="auto"/>
                <w:sz w:val="24"/>
                <w:szCs w:val="24"/>
                <w:highlight w:val="none"/>
                <w:lang w:val="en-US" w:eastAsia="zh-CN"/>
              </w:rPr>
              <w:t>设备配置</w:t>
            </w:r>
            <w:r>
              <w:rPr>
                <w:rFonts w:hint="eastAsia" w:ascii="仿宋" w:hAnsi="仿宋" w:eastAsia="仿宋"/>
                <w:color w:val="auto"/>
                <w:sz w:val="24"/>
                <w:szCs w:val="24"/>
                <w:highlight w:val="none"/>
              </w:rPr>
              <w:t>合理</w:t>
            </w:r>
            <w:r>
              <w:rPr>
                <w:rFonts w:hint="eastAsia" w:ascii="仿宋" w:hAnsi="仿宋" w:eastAsia="仿宋"/>
                <w:color w:val="auto"/>
                <w:sz w:val="24"/>
                <w:szCs w:val="24"/>
                <w:highlight w:val="none"/>
                <w:lang w:val="en-US" w:eastAsia="zh-CN"/>
              </w:rPr>
              <w:t>高效</w:t>
            </w:r>
            <w:r>
              <w:rPr>
                <w:rFonts w:hint="eastAsia" w:ascii="仿宋" w:hAnsi="仿宋" w:eastAsia="仿宋"/>
                <w:color w:val="auto"/>
                <w:sz w:val="24"/>
                <w:szCs w:val="24"/>
                <w:highlight w:val="none"/>
              </w:rPr>
              <w:t>、符合项目实际操作，得</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分；</w:t>
            </w:r>
            <w:r>
              <w:rPr>
                <w:rFonts w:hint="eastAsia" w:ascii="仿宋" w:hAnsi="仿宋" w:eastAsia="仿宋"/>
                <w:color w:val="auto"/>
                <w:sz w:val="24"/>
                <w:szCs w:val="24"/>
                <w:highlight w:val="none"/>
                <w:lang w:val="en-US" w:eastAsia="zh-CN"/>
              </w:rPr>
              <w:t>设备配置较</w:t>
            </w:r>
            <w:r>
              <w:rPr>
                <w:rFonts w:hint="eastAsia" w:ascii="仿宋" w:hAnsi="仿宋" w:eastAsia="仿宋"/>
                <w:color w:val="auto"/>
                <w:sz w:val="24"/>
                <w:szCs w:val="24"/>
                <w:highlight w:val="none"/>
              </w:rPr>
              <w:t>合理</w:t>
            </w:r>
            <w:r>
              <w:rPr>
                <w:rFonts w:hint="eastAsia" w:ascii="仿宋" w:hAnsi="仿宋" w:eastAsia="仿宋"/>
                <w:color w:val="auto"/>
                <w:sz w:val="24"/>
                <w:szCs w:val="24"/>
                <w:highlight w:val="none"/>
                <w:lang w:val="en-US" w:eastAsia="zh-CN"/>
              </w:rPr>
              <w:t>高效</w:t>
            </w:r>
            <w:r>
              <w:rPr>
                <w:rFonts w:hint="eastAsia" w:ascii="仿宋" w:hAnsi="仿宋" w:eastAsia="仿宋"/>
                <w:color w:val="auto"/>
                <w:sz w:val="24"/>
                <w:szCs w:val="24"/>
                <w:highlight w:val="none"/>
              </w:rPr>
              <w:t>，得</w:t>
            </w: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分；</w:t>
            </w:r>
            <w:r>
              <w:rPr>
                <w:rFonts w:hint="eastAsia" w:ascii="仿宋" w:hAnsi="仿宋" w:eastAsia="仿宋"/>
                <w:color w:val="auto"/>
                <w:sz w:val="24"/>
                <w:szCs w:val="24"/>
                <w:highlight w:val="none"/>
                <w:lang w:val="en-US" w:eastAsia="zh-CN"/>
              </w:rPr>
              <w:t>设备配置基本</w:t>
            </w:r>
            <w:r>
              <w:rPr>
                <w:rFonts w:hint="eastAsia" w:ascii="仿宋" w:hAnsi="仿宋" w:eastAsia="仿宋"/>
                <w:color w:val="auto"/>
                <w:sz w:val="24"/>
                <w:szCs w:val="24"/>
                <w:highlight w:val="none"/>
              </w:rPr>
              <w:t>合理</w:t>
            </w:r>
            <w:r>
              <w:rPr>
                <w:rFonts w:hint="eastAsia" w:ascii="仿宋" w:hAnsi="仿宋" w:eastAsia="仿宋"/>
                <w:color w:val="auto"/>
                <w:sz w:val="24"/>
                <w:szCs w:val="24"/>
                <w:highlight w:val="none"/>
                <w:lang w:val="en-US" w:eastAsia="zh-CN"/>
              </w:rPr>
              <w:t>高效</w:t>
            </w:r>
            <w:r>
              <w:rPr>
                <w:rFonts w:hint="eastAsia" w:ascii="仿宋" w:hAnsi="仿宋" w:eastAsia="仿宋"/>
                <w:color w:val="auto"/>
                <w:sz w:val="24"/>
                <w:szCs w:val="24"/>
                <w:highlight w:val="none"/>
              </w:rPr>
              <w:t>，得</w:t>
            </w:r>
            <w:r>
              <w:rPr>
                <w:rFonts w:hint="eastAsia" w:ascii="仿宋" w:hAnsi="仿宋" w:eastAsia="仿宋"/>
                <w:color w:val="auto"/>
                <w:sz w:val="24"/>
                <w:szCs w:val="24"/>
                <w:highlight w:val="none"/>
                <w:lang w:val="en-US" w:eastAsia="zh-CN"/>
              </w:rPr>
              <w:t>2</w:t>
            </w:r>
            <w:r>
              <w:rPr>
                <w:rFonts w:hint="eastAsia" w:ascii="仿宋" w:hAnsi="仿宋" w:eastAsia="仿宋"/>
                <w:color w:val="auto"/>
                <w:sz w:val="24"/>
                <w:szCs w:val="24"/>
                <w:highlight w:val="none"/>
              </w:rPr>
              <w:t>分；</w:t>
            </w:r>
            <w:r>
              <w:rPr>
                <w:rFonts w:hint="eastAsia" w:ascii="仿宋" w:hAnsi="仿宋" w:eastAsia="仿宋"/>
                <w:color w:val="auto"/>
                <w:sz w:val="24"/>
                <w:szCs w:val="24"/>
                <w:highlight w:val="none"/>
                <w:lang w:val="en-US" w:eastAsia="zh-CN"/>
              </w:rPr>
              <w:t>设备配置有欠缺，得1分；不提供不得分</w:t>
            </w:r>
            <w:r>
              <w:rPr>
                <w:rFonts w:hint="eastAsia" w:ascii="仿宋" w:hAnsi="仿宋" w:eastAsia="仿宋"/>
                <w:color w:val="auto"/>
                <w:sz w:val="24"/>
                <w:szCs w:val="24"/>
                <w:highlight w:val="none"/>
              </w:rPr>
              <w:t>。</w:t>
            </w:r>
          </w:p>
        </w:tc>
        <w:tc>
          <w:tcPr>
            <w:tcW w:w="964" w:type="dxa"/>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0-4</w:t>
            </w:r>
            <w:r>
              <w:rPr>
                <w:rFonts w:hint="eastAsia" w:ascii="仿宋" w:hAnsi="仿宋" w:eastAsia="仿宋"/>
                <w:color w:val="auto"/>
                <w:sz w:val="24"/>
                <w:szCs w:val="24"/>
                <w:highlight w:val="none"/>
              </w:rPr>
              <w:t>分</w:t>
            </w:r>
          </w:p>
        </w:tc>
        <w:tc>
          <w:tcPr>
            <w:tcW w:w="961" w:type="dxa"/>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260"/>
              <w:ind w:left="420" w:firstLine="480"/>
              <w:rPr>
                <w:rFonts w:ascii="仿宋" w:hAnsi="仿宋" w:eastAsia="仿宋"/>
                <w:color w:val="auto"/>
                <w:sz w:val="24"/>
                <w:szCs w:val="24"/>
                <w:highlight w:val="none"/>
              </w:rPr>
            </w:pPr>
          </w:p>
        </w:tc>
        <w:tc>
          <w:tcPr>
            <w:tcW w:w="553" w:type="dxa"/>
            <w:vMerge w:val="continue"/>
            <w:vAlign w:val="center"/>
          </w:tcPr>
          <w:p>
            <w:pPr>
              <w:pStyle w:val="260"/>
              <w:ind w:firstLine="480"/>
              <w:jc w:val="center"/>
              <w:rPr>
                <w:rFonts w:ascii="仿宋" w:hAnsi="仿宋" w:eastAsia="仿宋"/>
                <w:color w:val="auto"/>
                <w:sz w:val="24"/>
                <w:szCs w:val="24"/>
                <w:highlight w:val="none"/>
              </w:rPr>
            </w:pPr>
          </w:p>
        </w:tc>
        <w:tc>
          <w:tcPr>
            <w:tcW w:w="709" w:type="dxa"/>
            <w:vMerge w:val="continue"/>
            <w:vAlign w:val="center"/>
          </w:tcPr>
          <w:p>
            <w:pPr>
              <w:rPr>
                <w:rFonts w:ascii="仿宋" w:hAnsi="仿宋" w:eastAsia="仿宋"/>
                <w:color w:val="auto"/>
                <w:sz w:val="24"/>
                <w:szCs w:val="24"/>
                <w:highlight w:val="none"/>
              </w:rPr>
            </w:pPr>
          </w:p>
        </w:tc>
        <w:tc>
          <w:tcPr>
            <w:tcW w:w="5556" w:type="dxa"/>
          </w:tcPr>
          <w:p>
            <w:pPr>
              <w:rPr>
                <w:rFonts w:ascii="仿宋" w:hAnsi="仿宋" w:eastAsia="仿宋"/>
                <w:color w:val="auto"/>
                <w:sz w:val="24"/>
                <w:szCs w:val="24"/>
                <w:highlight w:val="none"/>
              </w:rPr>
            </w:pPr>
            <w:r>
              <w:rPr>
                <w:rFonts w:hint="eastAsia" w:ascii="仿宋" w:hAnsi="仿宋" w:eastAsia="仿宋"/>
                <w:color w:val="auto"/>
                <w:sz w:val="24"/>
                <w:szCs w:val="24"/>
                <w:highlight w:val="none"/>
              </w:rPr>
              <w:t>投标人拥有具有自主产权法院随案电子卷宗信息系统软件的得2分（投标时提供软件著作权证书复印件）</w:t>
            </w:r>
          </w:p>
        </w:tc>
        <w:tc>
          <w:tcPr>
            <w:tcW w:w="964" w:type="dxa"/>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0-2分</w:t>
            </w:r>
          </w:p>
        </w:tc>
        <w:tc>
          <w:tcPr>
            <w:tcW w:w="961" w:type="dxa"/>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260"/>
              <w:ind w:left="420" w:firstLine="480"/>
              <w:rPr>
                <w:rFonts w:ascii="仿宋" w:hAnsi="仿宋" w:eastAsia="仿宋"/>
                <w:color w:val="auto"/>
                <w:sz w:val="24"/>
                <w:szCs w:val="24"/>
                <w:highlight w:val="none"/>
              </w:rPr>
            </w:pPr>
          </w:p>
        </w:tc>
        <w:tc>
          <w:tcPr>
            <w:tcW w:w="553" w:type="dxa"/>
            <w:vMerge w:val="continue"/>
            <w:vAlign w:val="center"/>
          </w:tcPr>
          <w:p>
            <w:pPr>
              <w:pStyle w:val="260"/>
              <w:ind w:firstLine="480"/>
              <w:jc w:val="center"/>
              <w:rPr>
                <w:rFonts w:ascii="仿宋" w:hAnsi="仿宋" w:eastAsia="仿宋"/>
                <w:color w:val="auto"/>
                <w:sz w:val="24"/>
                <w:szCs w:val="24"/>
                <w:highlight w:val="none"/>
              </w:rPr>
            </w:pPr>
          </w:p>
        </w:tc>
        <w:tc>
          <w:tcPr>
            <w:tcW w:w="709" w:type="dxa"/>
            <w:vMerge w:val="continue"/>
            <w:vAlign w:val="center"/>
          </w:tcPr>
          <w:p>
            <w:pPr>
              <w:rPr>
                <w:rFonts w:ascii="仿宋" w:hAnsi="仿宋" w:eastAsia="仿宋"/>
                <w:color w:val="auto"/>
                <w:sz w:val="24"/>
                <w:szCs w:val="24"/>
                <w:highlight w:val="none"/>
              </w:rPr>
            </w:pPr>
          </w:p>
        </w:tc>
        <w:tc>
          <w:tcPr>
            <w:tcW w:w="5556" w:type="dxa"/>
          </w:tcPr>
          <w:p>
            <w:pPr>
              <w:rPr>
                <w:rFonts w:ascii="仿宋" w:hAnsi="仿宋" w:eastAsia="仿宋"/>
                <w:color w:val="auto"/>
                <w:sz w:val="24"/>
                <w:szCs w:val="24"/>
                <w:highlight w:val="none"/>
              </w:rPr>
            </w:pPr>
            <w:r>
              <w:rPr>
                <w:rFonts w:hint="eastAsia" w:ascii="仿宋" w:hAnsi="仿宋" w:eastAsia="仿宋"/>
                <w:color w:val="auto"/>
                <w:sz w:val="24"/>
                <w:szCs w:val="24"/>
                <w:highlight w:val="none"/>
              </w:rPr>
              <w:t>投标人拥有具有自主产权法院档案归集系统软件的得2分（投标时提供软件著作权证书复印件）</w:t>
            </w:r>
          </w:p>
        </w:tc>
        <w:tc>
          <w:tcPr>
            <w:tcW w:w="964" w:type="dxa"/>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0-2分</w:t>
            </w:r>
          </w:p>
        </w:tc>
        <w:tc>
          <w:tcPr>
            <w:tcW w:w="961" w:type="dxa"/>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260"/>
              <w:ind w:left="420" w:firstLine="480"/>
              <w:rPr>
                <w:rFonts w:ascii="仿宋" w:hAnsi="仿宋" w:eastAsia="仿宋"/>
                <w:color w:val="auto"/>
                <w:sz w:val="24"/>
                <w:szCs w:val="24"/>
                <w:highlight w:val="none"/>
              </w:rPr>
            </w:pPr>
          </w:p>
        </w:tc>
        <w:tc>
          <w:tcPr>
            <w:tcW w:w="553" w:type="dxa"/>
            <w:vAlign w:val="center"/>
          </w:tcPr>
          <w:p>
            <w:pPr>
              <w:pStyle w:val="260"/>
              <w:widowControl/>
              <w:numPr>
                <w:ilvl w:val="0"/>
                <w:numId w:val="0"/>
              </w:numPr>
              <w:ind w:left="420" w:leftChars="0" w:hanging="420" w:firstLineChars="0"/>
              <w:contextualSpacing/>
              <w:jc w:val="center"/>
              <w:rPr>
                <w:rFonts w:ascii="仿宋" w:hAnsi="仿宋" w:eastAsia="仿宋"/>
                <w:color w:val="auto"/>
                <w:sz w:val="24"/>
                <w:szCs w:val="24"/>
                <w:highlight w:val="none"/>
              </w:rPr>
            </w:pPr>
            <w:r>
              <w:rPr>
                <w:rFonts w:hint="eastAsia" w:ascii="仿宋" w:hAnsi="仿宋" w:eastAsia="仿宋" w:cs="Lucida Sans"/>
                <w:color w:val="auto"/>
                <w:kern w:val="2"/>
                <w:sz w:val="24"/>
                <w:szCs w:val="24"/>
                <w:highlight w:val="none"/>
                <w:lang w:val="en-US" w:eastAsia="zh-CN" w:bidi="ar-SA"/>
              </w:rPr>
              <w:t>6</w:t>
            </w:r>
          </w:p>
        </w:tc>
        <w:tc>
          <w:tcPr>
            <w:tcW w:w="709" w:type="dxa"/>
            <w:vAlign w:val="center"/>
          </w:tcPr>
          <w:p>
            <w:pPr>
              <w:rPr>
                <w:rFonts w:ascii="仿宋" w:hAnsi="仿宋" w:eastAsia="仿宋"/>
                <w:color w:val="auto"/>
                <w:sz w:val="24"/>
                <w:szCs w:val="24"/>
                <w:highlight w:val="none"/>
              </w:rPr>
            </w:pPr>
            <w:r>
              <w:rPr>
                <w:rFonts w:hint="eastAsia" w:ascii="仿宋" w:hAnsi="仿宋" w:eastAsia="仿宋"/>
                <w:color w:val="auto"/>
                <w:sz w:val="24"/>
                <w:szCs w:val="24"/>
                <w:highlight w:val="none"/>
              </w:rPr>
              <w:t>项目进度</w:t>
            </w:r>
          </w:p>
        </w:tc>
        <w:tc>
          <w:tcPr>
            <w:tcW w:w="5556" w:type="dxa"/>
            <w:vAlign w:val="center"/>
          </w:tcPr>
          <w:p>
            <w:pPr>
              <w:rPr>
                <w:rFonts w:ascii="仿宋" w:hAnsi="仿宋" w:eastAsia="仿宋"/>
                <w:color w:val="auto"/>
                <w:sz w:val="24"/>
                <w:szCs w:val="24"/>
                <w:highlight w:val="none"/>
              </w:rPr>
            </w:pPr>
            <w:r>
              <w:rPr>
                <w:rFonts w:hint="eastAsia" w:ascii="仿宋" w:hAnsi="仿宋" w:eastAsia="仿宋"/>
                <w:color w:val="auto"/>
                <w:sz w:val="24"/>
                <w:szCs w:val="24"/>
                <w:highlight w:val="none"/>
              </w:rPr>
              <w:t>保证进度和项目完成的方案和措施等综合评定。项目进度方案合理可行、符合项目实际操作，得</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分；项目进度方案方案较合理、较完整，得</w:t>
            </w: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分；项目进度方案方案</w:t>
            </w:r>
            <w:r>
              <w:rPr>
                <w:rFonts w:hint="eastAsia" w:ascii="仿宋" w:hAnsi="仿宋" w:eastAsia="仿宋"/>
                <w:color w:val="auto"/>
                <w:sz w:val="24"/>
                <w:szCs w:val="24"/>
                <w:highlight w:val="none"/>
                <w:lang w:val="en-US" w:eastAsia="zh-CN"/>
              </w:rPr>
              <w:t>基本</w:t>
            </w:r>
            <w:r>
              <w:rPr>
                <w:rFonts w:hint="eastAsia" w:ascii="仿宋" w:hAnsi="仿宋" w:eastAsia="仿宋"/>
                <w:color w:val="auto"/>
                <w:sz w:val="24"/>
                <w:szCs w:val="24"/>
                <w:highlight w:val="none"/>
              </w:rPr>
              <w:t>合理、</w:t>
            </w:r>
            <w:r>
              <w:rPr>
                <w:rFonts w:hint="eastAsia" w:ascii="仿宋" w:hAnsi="仿宋" w:eastAsia="仿宋"/>
                <w:color w:val="auto"/>
                <w:sz w:val="24"/>
                <w:szCs w:val="24"/>
                <w:highlight w:val="none"/>
                <w:lang w:val="en-US" w:eastAsia="zh-CN"/>
              </w:rPr>
              <w:t>基本</w:t>
            </w:r>
            <w:r>
              <w:rPr>
                <w:rFonts w:hint="eastAsia" w:ascii="仿宋" w:hAnsi="仿宋" w:eastAsia="仿宋"/>
                <w:color w:val="auto"/>
                <w:sz w:val="24"/>
                <w:szCs w:val="24"/>
                <w:highlight w:val="none"/>
              </w:rPr>
              <w:t>完整，得</w:t>
            </w:r>
            <w:r>
              <w:rPr>
                <w:rFonts w:hint="eastAsia" w:ascii="仿宋" w:hAnsi="仿宋" w:eastAsia="仿宋"/>
                <w:color w:val="auto"/>
                <w:sz w:val="24"/>
                <w:szCs w:val="24"/>
                <w:highlight w:val="none"/>
                <w:lang w:val="en-US" w:eastAsia="zh-CN"/>
              </w:rPr>
              <w:t>2</w:t>
            </w:r>
            <w:r>
              <w:rPr>
                <w:rFonts w:hint="eastAsia" w:ascii="仿宋" w:hAnsi="仿宋" w:eastAsia="仿宋"/>
                <w:color w:val="auto"/>
                <w:sz w:val="24"/>
                <w:szCs w:val="24"/>
                <w:highlight w:val="none"/>
              </w:rPr>
              <w:t>分；项目进度方案方案一般，得</w:t>
            </w:r>
            <w:r>
              <w:rPr>
                <w:rFonts w:hint="eastAsia" w:ascii="仿宋" w:hAnsi="仿宋" w:eastAsia="仿宋"/>
                <w:color w:val="auto"/>
                <w:sz w:val="24"/>
                <w:szCs w:val="24"/>
                <w:highlight w:val="none"/>
                <w:lang w:val="en-US" w:eastAsia="zh-CN"/>
              </w:rPr>
              <w:t>1</w:t>
            </w:r>
            <w:r>
              <w:rPr>
                <w:rFonts w:hint="eastAsia" w:ascii="仿宋" w:hAnsi="仿宋" w:eastAsia="仿宋"/>
                <w:color w:val="auto"/>
                <w:sz w:val="24"/>
                <w:szCs w:val="24"/>
                <w:highlight w:val="none"/>
              </w:rPr>
              <w:t>分</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项目进度方案</w:t>
            </w:r>
            <w:r>
              <w:rPr>
                <w:rFonts w:hint="eastAsia" w:ascii="仿宋" w:hAnsi="仿宋" w:eastAsia="仿宋"/>
                <w:color w:val="auto"/>
                <w:sz w:val="24"/>
                <w:szCs w:val="24"/>
                <w:highlight w:val="none"/>
                <w:lang w:val="en-US" w:eastAsia="zh-CN"/>
              </w:rPr>
              <w:t>有欠缺，得0.5分；不提供不得分</w:t>
            </w:r>
            <w:r>
              <w:rPr>
                <w:rFonts w:hint="eastAsia" w:ascii="仿宋" w:hAnsi="仿宋" w:eastAsia="仿宋"/>
                <w:color w:val="auto"/>
                <w:sz w:val="24"/>
                <w:szCs w:val="24"/>
                <w:highlight w:val="none"/>
              </w:rPr>
              <w:t>。</w:t>
            </w:r>
          </w:p>
        </w:tc>
        <w:tc>
          <w:tcPr>
            <w:tcW w:w="964" w:type="dxa"/>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0</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分</w:t>
            </w:r>
          </w:p>
        </w:tc>
        <w:tc>
          <w:tcPr>
            <w:tcW w:w="961" w:type="dxa"/>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260"/>
              <w:ind w:left="420" w:firstLine="480"/>
              <w:rPr>
                <w:rFonts w:ascii="仿宋" w:hAnsi="仿宋" w:eastAsia="仿宋"/>
                <w:color w:val="auto"/>
                <w:sz w:val="24"/>
                <w:szCs w:val="24"/>
                <w:highlight w:val="none"/>
              </w:rPr>
            </w:pPr>
          </w:p>
        </w:tc>
        <w:tc>
          <w:tcPr>
            <w:tcW w:w="553" w:type="dxa"/>
            <w:vMerge w:val="restart"/>
            <w:vAlign w:val="center"/>
          </w:tcPr>
          <w:p>
            <w:pPr>
              <w:pStyle w:val="260"/>
              <w:widowControl/>
              <w:numPr>
                <w:ilvl w:val="0"/>
                <w:numId w:val="0"/>
              </w:numPr>
              <w:ind w:left="420" w:leftChars="0" w:hanging="420" w:firstLineChars="0"/>
              <w:contextualSpacing/>
              <w:jc w:val="center"/>
              <w:rPr>
                <w:rFonts w:ascii="仿宋" w:hAnsi="仿宋" w:eastAsia="仿宋"/>
                <w:color w:val="auto"/>
                <w:sz w:val="24"/>
                <w:szCs w:val="24"/>
                <w:highlight w:val="none"/>
              </w:rPr>
            </w:pPr>
            <w:r>
              <w:rPr>
                <w:rFonts w:hint="eastAsia" w:ascii="仿宋" w:hAnsi="仿宋" w:eastAsia="仿宋" w:cs="Lucida Sans"/>
                <w:color w:val="auto"/>
                <w:kern w:val="2"/>
                <w:sz w:val="24"/>
                <w:szCs w:val="24"/>
                <w:highlight w:val="none"/>
                <w:lang w:val="en-US" w:eastAsia="zh-CN" w:bidi="ar-SA"/>
              </w:rPr>
              <w:t>7</w:t>
            </w:r>
          </w:p>
        </w:tc>
        <w:tc>
          <w:tcPr>
            <w:tcW w:w="709" w:type="dxa"/>
            <w:vMerge w:val="restart"/>
            <w:vAlign w:val="center"/>
          </w:tcPr>
          <w:p>
            <w:pPr>
              <w:adjustRightInd w:val="0"/>
              <w:snapToGrid w:val="0"/>
              <w:spacing w:line="360" w:lineRule="exact"/>
              <w:rPr>
                <w:rFonts w:ascii="仿宋" w:hAnsi="仿宋" w:eastAsia="仿宋"/>
                <w:color w:val="auto"/>
                <w:sz w:val="24"/>
                <w:szCs w:val="24"/>
                <w:highlight w:val="none"/>
              </w:rPr>
            </w:pPr>
            <w:r>
              <w:rPr>
                <w:rFonts w:hint="eastAsia" w:ascii="仿宋" w:hAnsi="仿宋" w:eastAsia="仿宋" w:cs="仿宋_GB2312"/>
                <w:color w:val="auto"/>
                <w:sz w:val="24"/>
                <w:szCs w:val="24"/>
                <w:highlight w:val="none"/>
              </w:rPr>
              <w:t>拟派团队力量</w:t>
            </w:r>
          </w:p>
        </w:tc>
        <w:tc>
          <w:tcPr>
            <w:tcW w:w="5556" w:type="dxa"/>
          </w:tcPr>
          <w:p>
            <w:pPr>
              <w:rPr>
                <w:rFonts w:ascii="仿宋" w:hAnsi="仿宋" w:eastAsia="仿宋"/>
                <w:color w:val="auto"/>
                <w:sz w:val="24"/>
                <w:szCs w:val="24"/>
                <w:highlight w:val="none"/>
              </w:rPr>
            </w:pPr>
            <w:r>
              <w:rPr>
                <w:rFonts w:hint="eastAsia" w:ascii="仿宋" w:hAnsi="仿宋" w:eastAsia="仿宋"/>
                <w:color w:val="auto"/>
                <w:sz w:val="24"/>
                <w:szCs w:val="24"/>
                <w:highlight w:val="none"/>
              </w:rPr>
              <w:t>本项目的负责人具备法学专业全日制本科学历的得2分，具有档案专业中级资格证书的得2分，具有档案服务项目经理高级研修班证书的得2分。（投标时提供相关人员证书复印件及社保机构出具的投标人为以上人员缴纳的近6个月社保证明</w:t>
            </w:r>
            <w:r>
              <w:rPr>
                <w:rFonts w:hint="eastAsia" w:ascii="仿宋" w:hAnsi="仿宋" w:eastAsia="仿宋"/>
                <w:color w:val="auto"/>
                <w:sz w:val="24"/>
                <w:szCs w:val="24"/>
                <w:highlight w:val="none"/>
                <w:lang w:val="en-US" w:eastAsia="zh-CN"/>
              </w:rPr>
              <w:t>或劳动合同</w:t>
            </w:r>
            <w:r>
              <w:rPr>
                <w:rFonts w:hint="eastAsia" w:ascii="仿宋" w:hAnsi="仿宋" w:eastAsia="仿宋"/>
                <w:color w:val="auto"/>
                <w:sz w:val="24"/>
                <w:szCs w:val="24"/>
                <w:highlight w:val="none"/>
              </w:rPr>
              <w:t>复印件，未提供不得分）</w:t>
            </w:r>
          </w:p>
        </w:tc>
        <w:tc>
          <w:tcPr>
            <w:tcW w:w="964" w:type="dxa"/>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0-6分</w:t>
            </w:r>
          </w:p>
        </w:tc>
        <w:tc>
          <w:tcPr>
            <w:tcW w:w="961" w:type="dxa"/>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260"/>
              <w:ind w:left="420" w:firstLine="480"/>
              <w:rPr>
                <w:rFonts w:ascii="仿宋" w:hAnsi="仿宋" w:eastAsia="仿宋"/>
                <w:color w:val="auto"/>
                <w:sz w:val="24"/>
                <w:szCs w:val="24"/>
                <w:highlight w:val="none"/>
              </w:rPr>
            </w:pPr>
          </w:p>
        </w:tc>
        <w:tc>
          <w:tcPr>
            <w:tcW w:w="553" w:type="dxa"/>
            <w:vMerge w:val="continue"/>
            <w:vAlign w:val="center"/>
          </w:tcPr>
          <w:p>
            <w:pPr>
              <w:pStyle w:val="260"/>
              <w:ind w:firstLine="480"/>
              <w:jc w:val="center"/>
              <w:rPr>
                <w:rFonts w:ascii="仿宋" w:hAnsi="仿宋" w:eastAsia="仿宋"/>
                <w:color w:val="auto"/>
                <w:sz w:val="24"/>
                <w:szCs w:val="24"/>
                <w:highlight w:val="none"/>
              </w:rPr>
            </w:pPr>
          </w:p>
        </w:tc>
        <w:tc>
          <w:tcPr>
            <w:tcW w:w="709" w:type="dxa"/>
            <w:vMerge w:val="continue"/>
            <w:vAlign w:val="center"/>
          </w:tcPr>
          <w:p>
            <w:pPr>
              <w:rPr>
                <w:rFonts w:ascii="仿宋" w:hAnsi="仿宋" w:eastAsia="仿宋"/>
                <w:color w:val="auto"/>
                <w:sz w:val="24"/>
                <w:szCs w:val="24"/>
                <w:highlight w:val="none"/>
              </w:rPr>
            </w:pPr>
          </w:p>
        </w:tc>
        <w:tc>
          <w:tcPr>
            <w:tcW w:w="5556" w:type="dxa"/>
          </w:tcPr>
          <w:p>
            <w:pPr>
              <w:rPr>
                <w:rFonts w:ascii="仿宋" w:hAnsi="仿宋" w:eastAsia="仿宋"/>
                <w:color w:val="auto"/>
                <w:sz w:val="24"/>
                <w:szCs w:val="24"/>
                <w:highlight w:val="none"/>
              </w:rPr>
            </w:pPr>
            <w:r>
              <w:rPr>
                <w:rFonts w:hint="eastAsia" w:ascii="仿宋" w:hAnsi="仿宋" w:eastAsia="仿宋"/>
                <w:color w:val="auto"/>
                <w:sz w:val="24"/>
                <w:szCs w:val="24"/>
                <w:highlight w:val="none"/>
              </w:rPr>
              <w:t>参与实施本项目的工作人员同时具有</w:t>
            </w:r>
            <w:r>
              <w:rPr>
                <w:rFonts w:hint="eastAsia" w:ascii="仿宋" w:hAnsi="仿宋" w:eastAsia="仿宋"/>
                <w:color w:val="auto"/>
                <w:sz w:val="24"/>
                <w:szCs w:val="24"/>
                <w:highlight w:val="none"/>
                <w:lang w:eastAsia="zh-CN"/>
              </w:rPr>
              <w:t>档案培训中心颁布的</w:t>
            </w:r>
            <w:r>
              <w:rPr>
                <w:rFonts w:hint="eastAsia" w:ascii="仿宋" w:hAnsi="仿宋" w:eastAsia="仿宋"/>
                <w:color w:val="auto"/>
                <w:sz w:val="24"/>
                <w:szCs w:val="24"/>
                <w:highlight w:val="none"/>
              </w:rPr>
              <w:t>“档案管理岗位培训证书”和“安全保密培训证书”，5人及以下不得分，每增加1人得1分，最高得5分。（投标时提供相关人员证书复印件及社保机构出具的投标人为以上人员缴纳的近6个月社保证明</w:t>
            </w:r>
            <w:r>
              <w:rPr>
                <w:rFonts w:hint="eastAsia" w:ascii="仿宋" w:hAnsi="仿宋" w:eastAsia="仿宋"/>
                <w:color w:val="auto"/>
                <w:sz w:val="24"/>
                <w:szCs w:val="24"/>
                <w:highlight w:val="none"/>
                <w:lang w:val="en-US" w:eastAsia="zh-CN"/>
              </w:rPr>
              <w:t>或劳动合同</w:t>
            </w:r>
            <w:r>
              <w:rPr>
                <w:rFonts w:hint="eastAsia" w:ascii="仿宋" w:hAnsi="仿宋" w:eastAsia="仿宋"/>
                <w:color w:val="auto"/>
                <w:sz w:val="24"/>
                <w:szCs w:val="24"/>
                <w:highlight w:val="none"/>
              </w:rPr>
              <w:t>复印件，未提供不得分）</w:t>
            </w:r>
          </w:p>
        </w:tc>
        <w:tc>
          <w:tcPr>
            <w:tcW w:w="964" w:type="dxa"/>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0-5分</w:t>
            </w:r>
          </w:p>
        </w:tc>
        <w:tc>
          <w:tcPr>
            <w:tcW w:w="961" w:type="dxa"/>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260"/>
              <w:ind w:left="420" w:firstLine="480"/>
              <w:rPr>
                <w:rFonts w:ascii="仿宋" w:hAnsi="仿宋" w:eastAsia="仿宋"/>
                <w:color w:val="auto"/>
                <w:sz w:val="24"/>
                <w:szCs w:val="24"/>
                <w:highlight w:val="none"/>
              </w:rPr>
            </w:pPr>
          </w:p>
        </w:tc>
        <w:tc>
          <w:tcPr>
            <w:tcW w:w="553" w:type="dxa"/>
            <w:vMerge w:val="continue"/>
            <w:vAlign w:val="center"/>
          </w:tcPr>
          <w:p>
            <w:pPr>
              <w:pStyle w:val="260"/>
              <w:ind w:firstLine="480"/>
              <w:jc w:val="center"/>
              <w:rPr>
                <w:rFonts w:ascii="仿宋" w:hAnsi="仿宋" w:eastAsia="仿宋"/>
                <w:color w:val="auto"/>
                <w:sz w:val="24"/>
                <w:szCs w:val="24"/>
                <w:highlight w:val="none"/>
              </w:rPr>
            </w:pPr>
          </w:p>
        </w:tc>
        <w:tc>
          <w:tcPr>
            <w:tcW w:w="709" w:type="dxa"/>
            <w:vMerge w:val="continue"/>
            <w:vAlign w:val="center"/>
          </w:tcPr>
          <w:p>
            <w:pPr>
              <w:rPr>
                <w:rFonts w:ascii="仿宋" w:hAnsi="仿宋" w:eastAsia="仿宋"/>
                <w:color w:val="auto"/>
                <w:sz w:val="24"/>
                <w:szCs w:val="24"/>
                <w:highlight w:val="none"/>
              </w:rPr>
            </w:pPr>
          </w:p>
        </w:tc>
        <w:tc>
          <w:tcPr>
            <w:tcW w:w="5556" w:type="dxa"/>
          </w:tcPr>
          <w:p>
            <w:pPr>
              <w:rPr>
                <w:rFonts w:ascii="仿宋" w:hAnsi="仿宋" w:eastAsia="仿宋"/>
                <w:color w:val="auto"/>
                <w:sz w:val="24"/>
                <w:szCs w:val="24"/>
                <w:highlight w:val="none"/>
              </w:rPr>
            </w:pPr>
            <w:r>
              <w:rPr>
                <w:rFonts w:hint="eastAsia" w:ascii="仿宋" w:hAnsi="仿宋" w:eastAsia="仿宋"/>
                <w:color w:val="auto"/>
                <w:sz w:val="24"/>
                <w:szCs w:val="24"/>
                <w:highlight w:val="none"/>
              </w:rPr>
              <w:t>参与实施本项目的工作人员具有“档案抢救和保护技术岗位培训证书”的得1分，最多得2分。（投标时提供相关人员证书复印件及社保机构出具的投标人为以上人员缴纳的近6个月社保证明</w:t>
            </w:r>
            <w:r>
              <w:rPr>
                <w:rFonts w:hint="eastAsia" w:ascii="仿宋" w:hAnsi="仿宋" w:eastAsia="仿宋"/>
                <w:color w:val="auto"/>
                <w:sz w:val="24"/>
                <w:szCs w:val="24"/>
                <w:highlight w:val="none"/>
                <w:lang w:val="en-US" w:eastAsia="zh-CN"/>
              </w:rPr>
              <w:t>或劳动合同</w:t>
            </w:r>
            <w:r>
              <w:rPr>
                <w:rFonts w:hint="eastAsia" w:ascii="仿宋" w:hAnsi="仿宋" w:eastAsia="仿宋"/>
                <w:color w:val="auto"/>
                <w:sz w:val="24"/>
                <w:szCs w:val="24"/>
                <w:highlight w:val="none"/>
              </w:rPr>
              <w:t>复印件，未提供不得分）</w:t>
            </w:r>
          </w:p>
        </w:tc>
        <w:tc>
          <w:tcPr>
            <w:tcW w:w="964" w:type="dxa"/>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0-2分</w:t>
            </w:r>
          </w:p>
        </w:tc>
        <w:tc>
          <w:tcPr>
            <w:tcW w:w="961" w:type="dxa"/>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260"/>
              <w:ind w:left="420" w:firstLine="480"/>
              <w:rPr>
                <w:rFonts w:ascii="仿宋" w:hAnsi="仿宋" w:eastAsia="仿宋"/>
                <w:color w:val="auto"/>
                <w:sz w:val="24"/>
                <w:szCs w:val="24"/>
                <w:highlight w:val="none"/>
              </w:rPr>
            </w:pPr>
          </w:p>
        </w:tc>
        <w:tc>
          <w:tcPr>
            <w:tcW w:w="553" w:type="dxa"/>
            <w:vMerge w:val="continue"/>
            <w:vAlign w:val="center"/>
          </w:tcPr>
          <w:p>
            <w:pPr>
              <w:pStyle w:val="260"/>
              <w:ind w:firstLine="480"/>
              <w:jc w:val="center"/>
              <w:rPr>
                <w:rFonts w:ascii="仿宋" w:hAnsi="仿宋" w:eastAsia="仿宋"/>
                <w:color w:val="auto"/>
                <w:sz w:val="24"/>
                <w:szCs w:val="24"/>
                <w:highlight w:val="none"/>
              </w:rPr>
            </w:pPr>
          </w:p>
        </w:tc>
        <w:tc>
          <w:tcPr>
            <w:tcW w:w="709" w:type="dxa"/>
            <w:vMerge w:val="continue"/>
            <w:vAlign w:val="center"/>
          </w:tcPr>
          <w:p>
            <w:pPr>
              <w:rPr>
                <w:rFonts w:ascii="仿宋" w:hAnsi="仿宋" w:eastAsia="仿宋"/>
                <w:color w:val="auto"/>
                <w:sz w:val="24"/>
                <w:szCs w:val="24"/>
                <w:highlight w:val="none"/>
              </w:rPr>
            </w:pPr>
          </w:p>
        </w:tc>
        <w:tc>
          <w:tcPr>
            <w:tcW w:w="5556" w:type="dxa"/>
          </w:tcPr>
          <w:p>
            <w:pPr>
              <w:rPr>
                <w:rFonts w:ascii="仿宋" w:hAnsi="仿宋" w:eastAsia="仿宋"/>
                <w:color w:val="auto"/>
                <w:sz w:val="24"/>
                <w:szCs w:val="24"/>
                <w:highlight w:val="none"/>
              </w:rPr>
            </w:pPr>
            <w:r>
              <w:rPr>
                <w:rFonts w:hint="eastAsia" w:ascii="仿宋" w:hAnsi="仿宋" w:eastAsia="仿宋"/>
                <w:color w:val="auto"/>
                <w:sz w:val="24"/>
                <w:szCs w:val="24"/>
                <w:highlight w:val="none"/>
              </w:rPr>
              <w:t>参与实施本项目的项目组人员具有档案专业初级资格证书的，每人得1分；具有档案专业中级资格证书的，每人得2分，最多得6分。（投标时提供相关人员证书复印件及社保机构出具的投标人为以上人员缴纳的近6个月社保证明</w:t>
            </w:r>
            <w:r>
              <w:rPr>
                <w:rFonts w:hint="eastAsia" w:ascii="仿宋" w:hAnsi="仿宋" w:eastAsia="仿宋"/>
                <w:color w:val="auto"/>
                <w:sz w:val="24"/>
                <w:szCs w:val="24"/>
                <w:highlight w:val="none"/>
                <w:lang w:val="en-US" w:eastAsia="zh-CN"/>
              </w:rPr>
              <w:t>或劳动合同</w:t>
            </w:r>
            <w:r>
              <w:rPr>
                <w:rFonts w:hint="eastAsia" w:ascii="仿宋" w:hAnsi="仿宋" w:eastAsia="仿宋"/>
                <w:color w:val="auto"/>
                <w:sz w:val="24"/>
                <w:szCs w:val="24"/>
                <w:highlight w:val="none"/>
              </w:rPr>
              <w:t>复印件，未提供不得分）</w:t>
            </w:r>
          </w:p>
        </w:tc>
        <w:tc>
          <w:tcPr>
            <w:tcW w:w="964" w:type="dxa"/>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0-6分</w:t>
            </w:r>
          </w:p>
        </w:tc>
        <w:tc>
          <w:tcPr>
            <w:tcW w:w="961" w:type="dxa"/>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260"/>
              <w:ind w:left="420" w:firstLine="480"/>
              <w:rPr>
                <w:rFonts w:ascii="仿宋" w:hAnsi="仿宋" w:eastAsia="仿宋"/>
                <w:color w:val="auto"/>
                <w:sz w:val="24"/>
                <w:szCs w:val="24"/>
                <w:highlight w:val="none"/>
              </w:rPr>
            </w:pPr>
          </w:p>
        </w:tc>
        <w:tc>
          <w:tcPr>
            <w:tcW w:w="553" w:type="dxa"/>
            <w:vAlign w:val="center"/>
          </w:tcPr>
          <w:p>
            <w:pPr>
              <w:pStyle w:val="260"/>
              <w:widowControl/>
              <w:numPr>
                <w:ilvl w:val="0"/>
                <w:numId w:val="0"/>
              </w:numPr>
              <w:ind w:left="420" w:leftChars="0" w:hanging="420" w:firstLineChars="0"/>
              <w:contextualSpacing/>
              <w:jc w:val="center"/>
              <w:rPr>
                <w:rFonts w:ascii="仿宋" w:hAnsi="仿宋" w:eastAsia="仿宋"/>
                <w:color w:val="auto"/>
                <w:sz w:val="24"/>
                <w:szCs w:val="24"/>
                <w:highlight w:val="none"/>
              </w:rPr>
            </w:pPr>
            <w:r>
              <w:rPr>
                <w:rFonts w:hint="eastAsia" w:ascii="仿宋" w:hAnsi="仿宋" w:eastAsia="仿宋" w:cs="Lucida Sans"/>
                <w:color w:val="auto"/>
                <w:kern w:val="2"/>
                <w:sz w:val="24"/>
                <w:szCs w:val="24"/>
                <w:highlight w:val="none"/>
                <w:lang w:val="en-US" w:eastAsia="zh-CN" w:bidi="ar-SA"/>
              </w:rPr>
              <w:t>8</w:t>
            </w:r>
          </w:p>
        </w:tc>
        <w:tc>
          <w:tcPr>
            <w:tcW w:w="709" w:type="dxa"/>
            <w:vAlign w:val="center"/>
          </w:tcPr>
          <w:p>
            <w:pPr>
              <w:rPr>
                <w:rFonts w:ascii="仿宋" w:hAnsi="仿宋" w:eastAsia="仿宋"/>
                <w:color w:val="auto"/>
                <w:sz w:val="24"/>
                <w:szCs w:val="24"/>
                <w:highlight w:val="none"/>
              </w:rPr>
            </w:pPr>
            <w:r>
              <w:rPr>
                <w:rFonts w:hint="eastAsia" w:ascii="仿宋" w:hAnsi="仿宋" w:eastAsia="仿宋"/>
                <w:color w:val="auto"/>
                <w:sz w:val="24"/>
                <w:szCs w:val="24"/>
                <w:highlight w:val="none"/>
              </w:rPr>
              <w:t>合理化建议</w:t>
            </w:r>
          </w:p>
        </w:tc>
        <w:tc>
          <w:tcPr>
            <w:tcW w:w="5556" w:type="dxa"/>
            <w:vAlign w:val="center"/>
          </w:tcPr>
          <w:p>
            <w:pPr>
              <w:rPr>
                <w:rFonts w:hint="eastAsia" w:ascii="仿宋" w:hAnsi="仿宋" w:eastAsia="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rPr>
              <w:t>投标人根据本项目提供合理化建议或意见，每一条具有实施性的建议或意见得1分，本项最高得3分。</w:t>
            </w:r>
          </w:p>
        </w:tc>
        <w:tc>
          <w:tcPr>
            <w:tcW w:w="964" w:type="dxa"/>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0</w:t>
            </w:r>
            <w:r>
              <w:rPr>
                <w:rFonts w:hint="eastAsia" w:ascii="仿宋" w:hAnsi="仿宋" w:eastAsia="仿宋"/>
                <w:color w:val="auto"/>
                <w:sz w:val="24"/>
                <w:szCs w:val="24"/>
                <w:highlight w:val="none"/>
              </w:rPr>
              <w:t>-3分</w:t>
            </w:r>
          </w:p>
        </w:tc>
        <w:tc>
          <w:tcPr>
            <w:tcW w:w="961" w:type="dxa"/>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260"/>
              <w:ind w:left="420" w:firstLine="480"/>
              <w:rPr>
                <w:rFonts w:ascii="仿宋" w:hAnsi="仿宋" w:eastAsia="仿宋"/>
                <w:color w:val="auto"/>
                <w:sz w:val="24"/>
                <w:szCs w:val="24"/>
                <w:highlight w:val="none"/>
              </w:rPr>
            </w:pPr>
          </w:p>
        </w:tc>
        <w:tc>
          <w:tcPr>
            <w:tcW w:w="553" w:type="dxa"/>
            <w:vAlign w:val="center"/>
          </w:tcPr>
          <w:p>
            <w:pPr>
              <w:pStyle w:val="260"/>
              <w:widowControl/>
              <w:numPr>
                <w:ilvl w:val="0"/>
                <w:numId w:val="0"/>
              </w:numPr>
              <w:ind w:left="420" w:leftChars="0" w:hanging="420" w:firstLineChars="0"/>
              <w:contextualSpacing/>
              <w:jc w:val="center"/>
              <w:rPr>
                <w:rFonts w:ascii="仿宋" w:hAnsi="仿宋" w:eastAsia="仿宋"/>
                <w:color w:val="auto"/>
                <w:sz w:val="24"/>
                <w:szCs w:val="24"/>
                <w:highlight w:val="none"/>
              </w:rPr>
            </w:pPr>
            <w:r>
              <w:rPr>
                <w:rFonts w:hint="eastAsia" w:ascii="仿宋" w:hAnsi="仿宋" w:eastAsia="仿宋" w:cs="Lucida Sans"/>
                <w:color w:val="auto"/>
                <w:kern w:val="2"/>
                <w:sz w:val="24"/>
                <w:szCs w:val="24"/>
                <w:highlight w:val="none"/>
                <w:lang w:val="en-US" w:eastAsia="zh-CN" w:bidi="ar-SA"/>
              </w:rPr>
              <w:t>9</w:t>
            </w:r>
          </w:p>
        </w:tc>
        <w:tc>
          <w:tcPr>
            <w:tcW w:w="709" w:type="dxa"/>
            <w:vAlign w:val="center"/>
          </w:tcPr>
          <w:p>
            <w:pPr>
              <w:rPr>
                <w:rFonts w:ascii="仿宋" w:hAnsi="仿宋" w:eastAsia="仿宋"/>
                <w:color w:val="auto"/>
                <w:sz w:val="24"/>
                <w:szCs w:val="24"/>
                <w:highlight w:val="none"/>
              </w:rPr>
            </w:pPr>
            <w:r>
              <w:rPr>
                <w:rFonts w:hint="eastAsia" w:ascii="仿宋" w:hAnsi="仿宋" w:eastAsia="仿宋"/>
                <w:color w:val="auto"/>
                <w:sz w:val="24"/>
                <w:szCs w:val="24"/>
                <w:highlight w:val="none"/>
              </w:rPr>
              <w:t>服务质量</w:t>
            </w:r>
          </w:p>
        </w:tc>
        <w:tc>
          <w:tcPr>
            <w:tcW w:w="5556" w:type="dxa"/>
            <w:vAlign w:val="center"/>
          </w:tcPr>
          <w:p>
            <w:pPr>
              <w:rPr>
                <w:rFonts w:ascii="仿宋" w:hAnsi="仿宋" w:eastAsia="仿宋"/>
                <w:color w:val="auto"/>
                <w:sz w:val="24"/>
                <w:szCs w:val="24"/>
                <w:highlight w:val="none"/>
              </w:rPr>
            </w:pPr>
            <w:r>
              <w:rPr>
                <w:rFonts w:hint="eastAsia" w:ascii="仿宋" w:hAnsi="仿宋" w:eastAsia="仿宋"/>
                <w:color w:val="auto"/>
                <w:sz w:val="24"/>
                <w:szCs w:val="24"/>
                <w:highlight w:val="none"/>
              </w:rPr>
              <w:t>服务质量保证情况（根据服务期限、可实现程度、提供优惠等情况综合评定）。服务质量情况完整可行，得</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分；服务质量情况较完整，得</w:t>
            </w: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分；服务质量情况</w:t>
            </w:r>
            <w:r>
              <w:rPr>
                <w:rFonts w:hint="eastAsia" w:ascii="仿宋" w:hAnsi="仿宋" w:eastAsia="仿宋"/>
                <w:color w:val="auto"/>
                <w:sz w:val="24"/>
                <w:szCs w:val="24"/>
                <w:highlight w:val="none"/>
                <w:lang w:val="en-US" w:eastAsia="zh-CN"/>
              </w:rPr>
              <w:t>基本</w:t>
            </w:r>
            <w:r>
              <w:rPr>
                <w:rFonts w:hint="eastAsia" w:ascii="仿宋" w:hAnsi="仿宋" w:eastAsia="仿宋"/>
                <w:color w:val="auto"/>
                <w:sz w:val="24"/>
                <w:szCs w:val="24"/>
                <w:highlight w:val="none"/>
              </w:rPr>
              <w:t>完整，得</w:t>
            </w:r>
            <w:r>
              <w:rPr>
                <w:rFonts w:hint="eastAsia" w:ascii="仿宋" w:hAnsi="仿宋" w:eastAsia="仿宋"/>
                <w:color w:val="auto"/>
                <w:sz w:val="24"/>
                <w:szCs w:val="24"/>
                <w:highlight w:val="none"/>
                <w:lang w:val="en-US" w:eastAsia="zh-CN"/>
              </w:rPr>
              <w:t>2</w:t>
            </w:r>
            <w:r>
              <w:rPr>
                <w:rFonts w:hint="eastAsia" w:ascii="仿宋" w:hAnsi="仿宋" w:eastAsia="仿宋"/>
                <w:color w:val="auto"/>
                <w:sz w:val="24"/>
                <w:szCs w:val="24"/>
                <w:highlight w:val="none"/>
              </w:rPr>
              <w:t>分；服务质量情况一般，得</w:t>
            </w:r>
            <w:r>
              <w:rPr>
                <w:rFonts w:hint="eastAsia" w:ascii="仿宋" w:hAnsi="仿宋" w:eastAsia="仿宋"/>
                <w:color w:val="auto"/>
                <w:sz w:val="24"/>
                <w:szCs w:val="24"/>
                <w:highlight w:val="none"/>
                <w:lang w:val="en-US" w:eastAsia="zh-CN"/>
              </w:rPr>
              <w:t>1</w:t>
            </w:r>
            <w:r>
              <w:rPr>
                <w:rFonts w:hint="eastAsia" w:ascii="仿宋" w:hAnsi="仿宋" w:eastAsia="仿宋"/>
                <w:color w:val="auto"/>
                <w:sz w:val="24"/>
                <w:szCs w:val="24"/>
                <w:highlight w:val="none"/>
              </w:rPr>
              <w:t>分</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服务质量情况</w:t>
            </w:r>
            <w:r>
              <w:rPr>
                <w:rFonts w:hint="eastAsia" w:ascii="仿宋" w:hAnsi="仿宋" w:eastAsia="仿宋"/>
                <w:color w:val="auto"/>
                <w:sz w:val="24"/>
                <w:szCs w:val="24"/>
                <w:highlight w:val="none"/>
                <w:lang w:val="en-US" w:eastAsia="zh-CN"/>
              </w:rPr>
              <w:t>有欠缺，得0.5分；不提供不得分</w:t>
            </w:r>
            <w:r>
              <w:rPr>
                <w:rFonts w:hint="eastAsia" w:ascii="仿宋" w:hAnsi="仿宋" w:eastAsia="仿宋"/>
                <w:color w:val="auto"/>
                <w:sz w:val="24"/>
                <w:szCs w:val="24"/>
                <w:highlight w:val="none"/>
              </w:rPr>
              <w:t>。</w:t>
            </w:r>
          </w:p>
        </w:tc>
        <w:tc>
          <w:tcPr>
            <w:tcW w:w="964" w:type="dxa"/>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0</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分</w:t>
            </w:r>
          </w:p>
        </w:tc>
        <w:tc>
          <w:tcPr>
            <w:tcW w:w="961" w:type="dxa"/>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709" w:type="dxa"/>
            <w:vMerge w:val="continue"/>
          </w:tcPr>
          <w:p>
            <w:pPr>
              <w:pStyle w:val="260"/>
              <w:ind w:left="420" w:firstLine="480"/>
              <w:rPr>
                <w:rFonts w:ascii="仿宋" w:hAnsi="仿宋" w:eastAsia="仿宋"/>
                <w:color w:val="auto"/>
                <w:sz w:val="24"/>
                <w:szCs w:val="24"/>
                <w:highlight w:val="none"/>
              </w:rPr>
            </w:pPr>
          </w:p>
        </w:tc>
        <w:tc>
          <w:tcPr>
            <w:tcW w:w="553" w:type="dxa"/>
            <w:vAlign w:val="center"/>
          </w:tcPr>
          <w:p>
            <w:pPr>
              <w:pStyle w:val="260"/>
              <w:widowControl/>
              <w:numPr>
                <w:ilvl w:val="0"/>
                <w:numId w:val="0"/>
              </w:numPr>
              <w:ind w:left="420" w:leftChars="0" w:hanging="420" w:firstLineChars="0"/>
              <w:contextualSpacing/>
              <w:jc w:val="center"/>
              <w:rPr>
                <w:rFonts w:hint="default" w:ascii="仿宋" w:hAnsi="仿宋" w:eastAsia="仿宋"/>
                <w:color w:val="auto"/>
                <w:sz w:val="24"/>
                <w:szCs w:val="24"/>
                <w:highlight w:val="none"/>
                <w:lang w:val="en-US"/>
              </w:rPr>
            </w:pPr>
            <w:r>
              <w:rPr>
                <w:rFonts w:hint="eastAsia" w:ascii="仿宋" w:hAnsi="仿宋" w:eastAsia="仿宋" w:cs="Lucida Sans"/>
                <w:color w:val="auto"/>
                <w:kern w:val="2"/>
                <w:sz w:val="24"/>
                <w:szCs w:val="24"/>
                <w:highlight w:val="none"/>
                <w:lang w:val="en-US" w:eastAsia="zh-CN" w:bidi="ar-SA"/>
              </w:rPr>
              <w:t>10</w:t>
            </w:r>
          </w:p>
        </w:tc>
        <w:tc>
          <w:tcPr>
            <w:tcW w:w="709" w:type="dxa"/>
            <w:vAlign w:val="center"/>
          </w:tcPr>
          <w:p>
            <w:pPr>
              <w:rPr>
                <w:rFonts w:ascii="仿宋" w:hAnsi="仿宋" w:eastAsia="仿宋"/>
                <w:color w:val="auto"/>
                <w:sz w:val="24"/>
                <w:szCs w:val="24"/>
                <w:highlight w:val="none"/>
              </w:rPr>
            </w:pPr>
            <w:r>
              <w:rPr>
                <w:rFonts w:hint="eastAsia" w:ascii="仿宋" w:hAnsi="仿宋" w:eastAsia="仿宋"/>
                <w:color w:val="auto"/>
                <w:sz w:val="24"/>
                <w:szCs w:val="24"/>
                <w:highlight w:val="none"/>
              </w:rPr>
              <w:t>售后服务承诺</w:t>
            </w:r>
          </w:p>
        </w:tc>
        <w:tc>
          <w:tcPr>
            <w:tcW w:w="5556" w:type="dxa"/>
            <w:vAlign w:val="center"/>
          </w:tcPr>
          <w:p>
            <w:pPr>
              <w:rPr>
                <w:rFonts w:ascii="仿宋" w:hAnsi="仿宋" w:eastAsia="仿宋"/>
                <w:color w:val="auto"/>
                <w:sz w:val="24"/>
                <w:szCs w:val="24"/>
                <w:highlight w:val="none"/>
              </w:rPr>
            </w:pPr>
            <w:r>
              <w:rPr>
                <w:rFonts w:hint="eastAsia" w:ascii="仿宋" w:hAnsi="仿宋" w:eastAsia="仿宋"/>
                <w:color w:val="auto"/>
                <w:sz w:val="24"/>
                <w:szCs w:val="24"/>
                <w:highlight w:val="none"/>
              </w:rPr>
              <w:t>售后服务承诺（根据服务能力、措施、响应等情况综合评定）。服务承诺完整可行，符合项目实际操作，得</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分；服务承诺较完整可行，得</w:t>
            </w: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分；服务承诺</w:t>
            </w:r>
            <w:r>
              <w:rPr>
                <w:rFonts w:hint="eastAsia" w:ascii="仿宋" w:hAnsi="仿宋" w:eastAsia="仿宋"/>
                <w:color w:val="auto"/>
                <w:sz w:val="24"/>
                <w:szCs w:val="24"/>
                <w:highlight w:val="none"/>
                <w:lang w:val="en-US" w:eastAsia="zh-CN"/>
              </w:rPr>
              <w:t>基本</w:t>
            </w:r>
            <w:r>
              <w:rPr>
                <w:rFonts w:hint="eastAsia" w:ascii="仿宋" w:hAnsi="仿宋" w:eastAsia="仿宋"/>
                <w:color w:val="auto"/>
                <w:sz w:val="24"/>
                <w:szCs w:val="24"/>
                <w:highlight w:val="none"/>
              </w:rPr>
              <w:t>完整可行，得</w:t>
            </w:r>
            <w:r>
              <w:rPr>
                <w:rFonts w:hint="eastAsia" w:ascii="仿宋" w:hAnsi="仿宋" w:eastAsia="仿宋"/>
                <w:color w:val="auto"/>
                <w:sz w:val="24"/>
                <w:szCs w:val="24"/>
                <w:highlight w:val="none"/>
                <w:lang w:val="en-US" w:eastAsia="zh-CN"/>
              </w:rPr>
              <w:t>2</w:t>
            </w:r>
            <w:r>
              <w:rPr>
                <w:rFonts w:hint="eastAsia" w:ascii="仿宋" w:hAnsi="仿宋" w:eastAsia="仿宋"/>
                <w:color w:val="auto"/>
                <w:sz w:val="24"/>
                <w:szCs w:val="24"/>
                <w:highlight w:val="none"/>
              </w:rPr>
              <w:t>分；服务承诺一般，得</w:t>
            </w:r>
            <w:r>
              <w:rPr>
                <w:rFonts w:hint="eastAsia" w:ascii="仿宋" w:hAnsi="仿宋" w:eastAsia="仿宋"/>
                <w:color w:val="auto"/>
                <w:sz w:val="24"/>
                <w:szCs w:val="24"/>
                <w:highlight w:val="none"/>
                <w:lang w:val="en-US" w:eastAsia="zh-CN"/>
              </w:rPr>
              <w:t>1</w:t>
            </w:r>
            <w:r>
              <w:rPr>
                <w:rFonts w:hint="eastAsia" w:ascii="仿宋" w:hAnsi="仿宋" w:eastAsia="仿宋"/>
                <w:color w:val="auto"/>
                <w:sz w:val="24"/>
                <w:szCs w:val="24"/>
                <w:highlight w:val="none"/>
              </w:rPr>
              <w:t>分</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服务承诺</w:t>
            </w:r>
            <w:r>
              <w:rPr>
                <w:rFonts w:hint="eastAsia" w:ascii="仿宋" w:hAnsi="仿宋" w:eastAsia="仿宋"/>
                <w:color w:val="auto"/>
                <w:sz w:val="24"/>
                <w:szCs w:val="24"/>
                <w:highlight w:val="none"/>
                <w:lang w:val="en-US" w:eastAsia="zh-CN"/>
              </w:rPr>
              <w:t>有欠缺，得0.5分；不提供不得分</w:t>
            </w:r>
            <w:r>
              <w:rPr>
                <w:rFonts w:hint="eastAsia" w:ascii="仿宋" w:hAnsi="仿宋" w:eastAsia="仿宋"/>
                <w:color w:val="auto"/>
                <w:sz w:val="24"/>
                <w:szCs w:val="24"/>
                <w:highlight w:val="none"/>
              </w:rPr>
              <w:t>。</w:t>
            </w:r>
          </w:p>
        </w:tc>
        <w:tc>
          <w:tcPr>
            <w:tcW w:w="964" w:type="dxa"/>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0</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分</w:t>
            </w:r>
          </w:p>
        </w:tc>
        <w:tc>
          <w:tcPr>
            <w:tcW w:w="961" w:type="dxa"/>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709" w:type="dxa"/>
            <w:vMerge w:val="continue"/>
          </w:tcPr>
          <w:p>
            <w:pPr>
              <w:pStyle w:val="260"/>
              <w:ind w:left="420" w:firstLine="480"/>
              <w:rPr>
                <w:rFonts w:ascii="仿宋" w:hAnsi="仿宋" w:eastAsia="仿宋"/>
                <w:color w:val="auto"/>
                <w:sz w:val="24"/>
                <w:szCs w:val="24"/>
                <w:highlight w:val="none"/>
              </w:rPr>
            </w:pPr>
          </w:p>
        </w:tc>
        <w:tc>
          <w:tcPr>
            <w:tcW w:w="553" w:type="dxa"/>
            <w:vAlign w:val="center"/>
          </w:tcPr>
          <w:p>
            <w:pPr>
              <w:pStyle w:val="260"/>
              <w:widowControl/>
              <w:numPr>
                <w:ilvl w:val="0"/>
                <w:numId w:val="0"/>
              </w:numPr>
              <w:ind w:left="420" w:leftChars="0" w:hanging="420" w:firstLineChars="0"/>
              <w:contextualSpacing/>
              <w:jc w:val="center"/>
              <w:rPr>
                <w:rFonts w:hint="default" w:ascii="仿宋" w:hAnsi="仿宋" w:eastAsia="仿宋"/>
                <w:color w:val="auto"/>
                <w:sz w:val="24"/>
                <w:szCs w:val="24"/>
                <w:highlight w:val="none"/>
                <w:lang w:val="en-US"/>
              </w:rPr>
            </w:pPr>
            <w:r>
              <w:rPr>
                <w:rFonts w:hint="eastAsia" w:ascii="仿宋" w:hAnsi="仿宋" w:eastAsia="仿宋" w:cs="Lucida Sans"/>
                <w:color w:val="auto"/>
                <w:kern w:val="2"/>
                <w:sz w:val="24"/>
                <w:szCs w:val="24"/>
                <w:highlight w:val="none"/>
                <w:lang w:val="en-US" w:eastAsia="zh-CN" w:bidi="ar-SA"/>
              </w:rPr>
              <w:t>11</w:t>
            </w:r>
          </w:p>
        </w:tc>
        <w:tc>
          <w:tcPr>
            <w:tcW w:w="709" w:type="dxa"/>
            <w:vAlign w:val="center"/>
          </w:tcPr>
          <w:p>
            <w:pPr>
              <w:rPr>
                <w:rFonts w:ascii="仿宋" w:hAnsi="仿宋" w:eastAsia="仿宋"/>
                <w:color w:val="auto"/>
                <w:sz w:val="24"/>
                <w:szCs w:val="24"/>
                <w:highlight w:val="none"/>
              </w:rPr>
            </w:pPr>
            <w:r>
              <w:rPr>
                <w:rFonts w:hint="eastAsia" w:ascii="仿宋" w:hAnsi="仿宋" w:eastAsia="仿宋"/>
                <w:color w:val="auto"/>
                <w:sz w:val="24"/>
                <w:szCs w:val="24"/>
                <w:highlight w:val="none"/>
              </w:rPr>
              <w:t>服务效率</w:t>
            </w:r>
          </w:p>
        </w:tc>
        <w:tc>
          <w:tcPr>
            <w:tcW w:w="5556" w:type="dxa"/>
            <w:vAlign w:val="center"/>
          </w:tcPr>
          <w:p>
            <w:pPr>
              <w:rPr>
                <w:rFonts w:ascii="仿宋" w:hAnsi="仿宋" w:eastAsia="仿宋"/>
                <w:color w:val="auto"/>
                <w:sz w:val="24"/>
                <w:szCs w:val="24"/>
                <w:highlight w:val="none"/>
                <w:lang w:val="zh-CN"/>
              </w:rPr>
            </w:pPr>
            <w:r>
              <w:rPr>
                <w:rFonts w:hint="eastAsia" w:ascii="仿宋" w:hAnsi="仿宋" w:eastAsia="仿宋"/>
                <w:color w:val="auto"/>
                <w:sz w:val="24"/>
                <w:szCs w:val="24"/>
                <w:highlight w:val="none"/>
              </w:rPr>
              <w:t>服务效率</w:t>
            </w:r>
            <w:r>
              <w:rPr>
                <w:rFonts w:hint="eastAsia" w:ascii="仿宋" w:hAnsi="仿宋" w:eastAsia="仿宋"/>
                <w:color w:val="auto"/>
                <w:sz w:val="24"/>
                <w:szCs w:val="24"/>
                <w:highlight w:val="none"/>
                <w:lang w:val="zh-CN"/>
              </w:rPr>
              <w:t>响应时间承诺：</w:t>
            </w:r>
          </w:p>
          <w:p>
            <w:pPr>
              <w:rPr>
                <w:rFonts w:ascii="仿宋" w:hAnsi="仿宋" w:eastAsia="仿宋"/>
                <w:color w:val="auto"/>
                <w:sz w:val="24"/>
                <w:szCs w:val="24"/>
                <w:highlight w:val="none"/>
              </w:rPr>
            </w:pPr>
            <w:r>
              <w:rPr>
                <w:rFonts w:hint="eastAsia" w:ascii="仿宋" w:hAnsi="仿宋" w:eastAsia="仿宋"/>
                <w:color w:val="auto"/>
                <w:sz w:val="24"/>
                <w:szCs w:val="24"/>
                <w:highlight w:val="none"/>
              </w:rPr>
              <w:t>若采购人对日常工作有异议，</w:t>
            </w:r>
            <w:r>
              <w:rPr>
                <w:rFonts w:hint="eastAsia" w:ascii="仿宋" w:hAnsi="仿宋" w:eastAsia="仿宋"/>
                <w:color w:val="auto"/>
                <w:sz w:val="24"/>
                <w:szCs w:val="24"/>
                <w:highlight w:val="none"/>
                <w:lang w:val="zh-CN"/>
              </w:rPr>
              <w:t>接到采购人质疑通知后2小时内做出明确响应和安排，</w:t>
            </w:r>
            <w:r>
              <w:rPr>
                <w:rFonts w:hint="eastAsia" w:ascii="仿宋" w:hAnsi="仿宋" w:eastAsia="仿宋"/>
                <w:color w:val="auto"/>
                <w:sz w:val="24"/>
                <w:szCs w:val="24"/>
                <w:highlight w:val="none"/>
              </w:rPr>
              <w:t>12</w:t>
            </w:r>
            <w:r>
              <w:rPr>
                <w:rFonts w:hint="eastAsia" w:ascii="仿宋" w:hAnsi="仿宋" w:eastAsia="仿宋"/>
                <w:color w:val="auto"/>
                <w:sz w:val="24"/>
                <w:szCs w:val="24"/>
                <w:highlight w:val="none"/>
                <w:lang w:val="zh-CN"/>
              </w:rPr>
              <w:t>小时内做出明确的书面承诺和处理意见</w:t>
            </w:r>
            <w:r>
              <w:rPr>
                <w:rFonts w:hint="eastAsia" w:ascii="仿宋" w:hAnsi="仿宋" w:eastAsia="仿宋"/>
                <w:color w:val="auto"/>
                <w:sz w:val="24"/>
                <w:szCs w:val="24"/>
                <w:highlight w:val="none"/>
              </w:rPr>
              <w:t>得2分；4</w:t>
            </w:r>
            <w:r>
              <w:rPr>
                <w:rFonts w:hint="eastAsia" w:ascii="仿宋" w:hAnsi="仿宋" w:eastAsia="仿宋"/>
                <w:color w:val="auto"/>
                <w:sz w:val="24"/>
                <w:szCs w:val="24"/>
                <w:highlight w:val="none"/>
                <w:lang w:val="zh-CN"/>
              </w:rPr>
              <w:t>小时内做出明确响应和安排，</w:t>
            </w:r>
            <w:r>
              <w:rPr>
                <w:rFonts w:hint="eastAsia" w:ascii="仿宋" w:hAnsi="仿宋" w:eastAsia="仿宋"/>
                <w:color w:val="auto"/>
                <w:sz w:val="24"/>
                <w:szCs w:val="24"/>
                <w:highlight w:val="none"/>
              </w:rPr>
              <w:t>24</w:t>
            </w:r>
            <w:r>
              <w:rPr>
                <w:rFonts w:hint="eastAsia" w:ascii="仿宋" w:hAnsi="仿宋" w:eastAsia="仿宋"/>
                <w:color w:val="auto"/>
                <w:sz w:val="24"/>
                <w:szCs w:val="24"/>
                <w:highlight w:val="none"/>
                <w:lang w:val="zh-CN"/>
              </w:rPr>
              <w:t>小时内做出明确的书面承诺和处理意见</w:t>
            </w:r>
            <w:r>
              <w:rPr>
                <w:rFonts w:hint="eastAsia" w:ascii="仿宋" w:hAnsi="仿宋" w:eastAsia="仿宋"/>
                <w:color w:val="auto"/>
                <w:sz w:val="24"/>
                <w:szCs w:val="24"/>
                <w:highlight w:val="none"/>
              </w:rPr>
              <w:t>得1分；其余不得分。</w:t>
            </w:r>
          </w:p>
          <w:p>
            <w:pPr>
              <w:rPr>
                <w:rFonts w:ascii="仿宋" w:hAnsi="仿宋" w:eastAsia="仿宋"/>
                <w:color w:val="auto"/>
                <w:sz w:val="24"/>
                <w:szCs w:val="24"/>
                <w:highlight w:val="none"/>
              </w:rPr>
            </w:pPr>
            <w:r>
              <w:rPr>
                <w:rFonts w:hint="eastAsia" w:ascii="仿宋" w:hAnsi="仿宋" w:eastAsia="仿宋"/>
                <w:color w:val="auto"/>
                <w:sz w:val="24"/>
                <w:szCs w:val="24"/>
                <w:highlight w:val="none"/>
                <w:lang w:val="zh-CN"/>
              </w:rPr>
              <w:t>如</w:t>
            </w:r>
            <w:r>
              <w:rPr>
                <w:rFonts w:hint="eastAsia" w:ascii="仿宋" w:hAnsi="仿宋" w:eastAsia="仿宋"/>
                <w:color w:val="auto"/>
                <w:sz w:val="24"/>
                <w:szCs w:val="24"/>
                <w:highlight w:val="none"/>
              </w:rPr>
              <w:t>因设备问题</w:t>
            </w:r>
            <w:r>
              <w:rPr>
                <w:rFonts w:hint="eastAsia" w:ascii="仿宋" w:hAnsi="仿宋" w:eastAsia="仿宋"/>
                <w:color w:val="auto"/>
                <w:sz w:val="24"/>
                <w:szCs w:val="24"/>
                <w:highlight w:val="none"/>
                <w:lang w:val="zh-CN"/>
              </w:rPr>
              <w:t>需现场服务的，具有解决质疑能力的技术人员应在</w:t>
            </w: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zh-CN"/>
              </w:rPr>
              <w:t>小时内到达现场解决问题</w:t>
            </w:r>
            <w:r>
              <w:rPr>
                <w:rFonts w:hint="eastAsia" w:ascii="仿宋" w:hAnsi="仿宋" w:eastAsia="仿宋"/>
                <w:color w:val="auto"/>
                <w:sz w:val="24"/>
                <w:szCs w:val="24"/>
                <w:highlight w:val="none"/>
              </w:rPr>
              <w:t>得3分；</w:t>
            </w:r>
            <w:r>
              <w:rPr>
                <w:rFonts w:hint="eastAsia" w:ascii="仿宋" w:hAnsi="仿宋" w:eastAsia="仿宋"/>
                <w:color w:val="auto"/>
                <w:sz w:val="24"/>
                <w:szCs w:val="24"/>
                <w:highlight w:val="none"/>
                <w:lang w:val="zh-CN"/>
              </w:rPr>
              <w:t>在</w:t>
            </w:r>
            <w:r>
              <w:rPr>
                <w:rFonts w:hint="eastAsia" w:ascii="仿宋" w:hAnsi="仿宋" w:eastAsia="仿宋"/>
                <w:color w:val="auto"/>
                <w:sz w:val="24"/>
                <w:szCs w:val="24"/>
                <w:highlight w:val="none"/>
              </w:rPr>
              <w:t>3</w:t>
            </w:r>
            <w:r>
              <w:rPr>
                <w:rFonts w:hint="eastAsia" w:ascii="仿宋" w:hAnsi="仿宋" w:eastAsia="仿宋"/>
                <w:color w:val="auto"/>
                <w:sz w:val="24"/>
                <w:szCs w:val="24"/>
                <w:highlight w:val="none"/>
                <w:lang w:val="zh-CN"/>
              </w:rPr>
              <w:t>小时内到达现场解决问题</w:t>
            </w:r>
            <w:r>
              <w:rPr>
                <w:rFonts w:hint="eastAsia" w:ascii="仿宋" w:hAnsi="仿宋" w:eastAsia="仿宋"/>
                <w:color w:val="auto"/>
                <w:sz w:val="24"/>
                <w:szCs w:val="24"/>
                <w:highlight w:val="none"/>
              </w:rPr>
              <w:t>得2分；</w:t>
            </w:r>
            <w:r>
              <w:rPr>
                <w:rFonts w:hint="eastAsia" w:ascii="仿宋" w:hAnsi="仿宋" w:eastAsia="仿宋"/>
                <w:color w:val="auto"/>
                <w:sz w:val="24"/>
                <w:szCs w:val="24"/>
                <w:highlight w:val="none"/>
                <w:lang w:val="zh-CN"/>
              </w:rPr>
              <w:t>在</w:t>
            </w:r>
            <w:r>
              <w:rPr>
                <w:rFonts w:hint="eastAsia" w:ascii="仿宋" w:hAnsi="仿宋" w:eastAsia="仿宋"/>
                <w:color w:val="auto"/>
                <w:sz w:val="24"/>
                <w:szCs w:val="24"/>
                <w:highlight w:val="none"/>
              </w:rPr>
              <w:t>6</w:t>
            </w:r>
            <w:r>
              <w:rPr>
                <w:rFonts w:hint="eastAsia" w:ascii="仿宋" w:hAnsi="仿宋" w:eastAsia="仿宋"/>
                <w:color w:val="auto"/>
                <w:sz w:val="24"/>
                <w:szCs w:val="24"/>
                <w:highlight w:val="none"/>
                <w:lang w:val="zh-CN"/>
              </w:rPr>
              <w:t>小时内到达现场解决问题</w:t>
            </w:r>
            <w:r>
              <w:rPr>
                <w:rFonts w:hint="eastAsia" w:ascii="仿宋" w:hAnsi="仿宋" w:eastAsia="仿宋"/>
                <w:color w:val="auto"/>
                <w:sz w:val="24"/>
                <w:szCs w:val="24"/>
                <w:highlight w:val="none"/>
              </w:rPr>
              <w:t>得1分；提供</w:t>
            </w:r>
            <w:r>
              <w:rPr>
                <w:rFonts w:ascii="仿宋" w:hAnsi="仿宋" w:eastAsia="仿宋"/>
                <w:color w:val="auto"/>
                <w:sz w:val="24"/>
                <w:szCs w:val="24"/>
                <w:highlight w:val="none"/>
              </w:rPr>
              <w:t>常住办公人员的暂住证以及租房信息截图</w:t>
            </w:r>
            <w:r>
              <w:rPr>
                <w:rFonts w:hint="eastAsia" w:ascii="仿宋" w:hAnsi="仿宋" w:eastAsia="仿宋"/>
                <w:color w:val="auto"/>
                <w:sz w:val="24"/>
                <w:szCs w:val="24"/>
                <w:highlight w:val="none"/>
              </w:rPr>
              <w:t>，其余不得分。</w:t>
            </w:r>
          </w:p>
        </w:tc>
        <w:tc>
          <w:tcPr>
            <w:tcW w:w="964" w:type="dxa"/>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0-5分</w:t>
            </w:r>
          </w:p>
        </w:tc>
        <w:tc>
          <w:tcPr>
            <w:tcW w:w="961" w:type="dxa"/>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260"/>
              <w:ind w:left="420" w:firstLine="480"/>
              <w:rPr>
                <w:rFonts w:ascii="仿宋" w:hAnsi="仿宋" w:eastAsia="仿宋"/>
                <w:color w:val="auto"/>
                <w:sz w:val="24"/>
                <w:szCs w:val="24"/>
                <w:highlight w:val="none"/>
              </w:rPr>
            </w:pPr>
          </w:p>
        </w:tc>
        <w:tc>
          <w:tcPr>
            <w:tcW w:w="553" w:type="dxa"/>
            <w:vAlign w:val="center"/>
          </w:tcPr>
          <w:p>
            <w:pPr>
              <w:pStyle w:val="260"/>
              <w:widowControl/>
              <w:numPr>
                <w:ilvl w:val="0"/>
                <w:numId w:val="0"/>
              </w:numPr>
              <w:ind w:left="420" w:leftChars="0" w:hanging="420" w:firstLineChars="0"/>
              <w:contextualSpacing/>
              <w:jc w:val="center"/>
              <w:rPr>
                <w:rFonts w:hint="default" w:ascii="仿宋" w:hAnsi="仿宋" w:eastAsia="仿宋"/>
                <w:color w:val="auto"/>
                <w:sz w:val="24"/>
                <w:szCs w:val="24"/>
                <w:highlight w:val="none"/>
                <w:lang w:val="en-US"/>
              </w:rPr>
            </w:pPr>
            <w:r>
              <w:rPr>
                <w:rFonts w:hint="eastAsia" w:ascii="仿宋" w:hAnsi="仿宋" w:eastAsia="仿宋" w:cs="Lucida Sans"/>
                <w:color w:val="auto"/>
                <w:kern w:val="2"/>
                <w:sz w:val="24"/>
                <w:szCs w:val="24"/>
                <w:highlight w:val="none"/>
                <w:lang w:val="en-US" w:eastAsia="zh-CN" w:bidi="ar-SA"/>
              </w:rPr>
              <w:t>12</w:t>
            </w:r>
          </w:p>
        </w:tc>
        <w:tc>
          <w:tcPr>
            <w:tcW w:w="709" w:type="dxa"/>
            <w:vAlign w:val="center"/>
          </w:tcPr>
          <w:p>
            <w:pPr>
              <w:rPr>
                <w:rFonts w:ascii="仿宋" w:hAnsi="仿宋" w:eastAsia="仿宋"/>
                <w:color w:val="auto"/>
                <w:sz w:val="24"/>
                <w:szCs w:val="24"/>
                <w:highlight w:val="none"/>
              </w:rPr>
            </w:pPr>
            <w:r>
              <w:rPr>
                <w:rFonts w:hint="eastAsia" w:ascii="仿宋" w:hAnsi="仿宋" w:eastAsia="仿宋"/>
                <w:color w:val="auto"/>
                <w:sz w:val="24"/>
                <w:szCs w:val="24"/>
                <w:highlight w:val="none"/>
              </w:rPr>
              <w:t>应急方案</w:t>
            </w:r>
          </w:p>
        </w:tc>
        <w:tc>
          <w:tcPr>
            <w:tcW w:w="5556" w:type="dxa"/>
            <w:vAlign w:val="center"/>
          </w:tcPr>
          <w:p>
            <w:pPr>
              <w:rPr>
                <w:rFonts w:ascii="仿宋" w:hAnsi="仿宋" w:eastAsia="仿宋"/>
                <w:color w:val="auto"/>
                <w:sz w:val="24"/>
                <w:szCs w:val="24"/>
                <w:highlight w:val="none"/>
              </w:rPr>
            </w:pPr>
            <w:r>
              <w:rPr>
                <w:rFonts w:hint="eastAsia" w:ascii="仿宋" w:hAnsi="仿宋" w:eastAsia="仿宋"/>
                <w:color w:val="auto"/>
                <w:sz w:val="24"/>
                <w:szCs w:val="24"/>
                <w:highlight w:val="none"/>
              </w:rPr>
              <w:t>突发事件的应急措施以及接到重大任务时工作安排科学合理、内部管理制度齐全、管理措施有力等方面（综合评定）。应急方案针对性强，工作安排科学合理，能够有效的预见可能发生的问题并能够顺利解决问题的得5分；方案针对尚可，能够有效的预见可能发生的问题但处理问题能力有不足的得</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分；方案</w:t>
            </w:r>
            <w:r>
              <w:rPr>
                <w:rFonts w:hint="eastAsia" w:ascii="仿宋" w:hAnsi="仿宋" w:eastAsia="仿宋"/>
                <w:color w:val="auto"/>
                <w:sz w:val="24"/>
                <w:szCs w:val="24"/>
                <w:highlight w:val="none"/>
                <w:lang w:val="en-US" w:eastAsia="zh-CN"/>
              </w:rPr>
              <w:t>基本具有针对性</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基本</w:t>
            </w:r>
            <w:r>
              <w:rPr>
                <w:rFonts w:hint="eastAsia" w:ascii="仿宋" w:hAnsi="仿宋" w:eastAsia="仿宋"/>
                <w:color w:val="auto"/>
                <w:sz w:val="24"/>
                <w:szCs w:val="24"/>
                <w:highlight w:val="none"/>
              </w:rPr>
              <w:t>有效的预见可能发生的问题但处理问题能力有不足的得</w:t>
            </w: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分；方案预见性不足，针对突发应急问题处理不充分没有完善的应急机制的得2分；方案内容简略，无法保证有效的应急响应的得1分，未提供应急预案不得分。</w:t>
            </w:r>
          </w:p>
        </w:tc>
        <w:tc>
          <w:tcPr>
            <w:tcW w:w="964" w:type="dxa"/>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0-5分</w:t>
            </w:r>
          </w:p>
        </w:tc>
        <w:tc>
          <w:tcPr>
            <w:tcW w:w="961" w:type="dxa"/>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260"/>
              <w:ind w:left="420" w:firstLine="480"/>
              <w:rPr>
                <w:rFonts w:ascii="仿宋" w:hAnsi="仿宋" w:eastAsia="仿宋"/>
                <w:color w:val="auto"/>
                <w:sz w:val="24"/>
                <w:szCs w:val="24"/>
                <w:highlight w:val="none"/>
              </w:rPr>
            </w:pPr>
          </w:p>
        </w:tc>
        <w:tc>
          <w:tcPr>
            <w:tcW w:w="553" w:type="dxa"/>
            <w:vAlign w:val="center"/>
          </w:tcPr>
          <w:p>
            <w:pPr>
              <w:pStyle w:val="260"/>
              <w:widowControl/>
              <w:numPr>
                <w:ilvl w:val="0"/>
                <w:numId w:val="0"/>
              </w:numPr>
              <w:ind w:left="420" w:leftChars="0" w:hanging="420" w:firstLineChars="0"/>
              <w:contextualSpacing/>
              <w:jc w:val="center"/>
              <w:rPr>
                <w:rFonts w:hint="default" w:ascii="仿宋" w:hAnsi="仿宋" w:eastAsia="仿宋"/>
                <w:color w:val="auto"/>
                <w:sz w:val="24"/>
                <w:szCs w:val="24"/>
                <w:highlight w:val="none"/>
                <w:lang w:val="en-US"/>
              </w:rPr>
            </w:pPr>
            <w:r>
              <w:rPr>
                <w:rFonts w:hint="eastAsia" w:ascii="仿宋" w:hAnsi="仿宋" w:eastAsia="仿宋" w:cs="Lucida Sans"/>
                <w:color w:val="auto"/>
                <w:kern w:val="2"/>
                <w:sz w:val="24"/>
                <w:szCs w:val="24"/>
                <w:highlight w:val="none"/>
                <w:lang w:val="en-US" w:eastAsia="zh-CN" w:bidi="ar-SA"/>
              </w:rPr>
              <w:t>13</w:t>
            </w:r>
          </w:p>
        </w:tc>
        <w:tc>
          <w:tcPr>
            <w:tcW w:w="709" w:type="dxa"/>
            <w:vAlign w:val="center"/>
          </w:tcPr>
          <w:p>
            <w:pPr>
              <w:rPr>
                <w:rFonts w:ascii="仿宋" w:hAnsi="仿宋" w:eastAsia="仿宋"/>
                <w:color w:val="auto"/>
                <w:sz w:val="24"/>
                <w:szCs w:val="24"/>
                <w:highlight w:val="none"/>
              </w:rPr>
            </w:pPr>
            <w:r>
              <w:rPr>
                <w:rFonts w:hint="eastAsia" w:ascii="仿宋" w:hAnsi="仿宋" w:eastAsia="仿宋"/>
                <w:color w:val="auto"/>
                <w:sz w:val="24"/>
                <w:szCs w:val="24"/>
                <w:highlight w:val="none"/>
              </w:rPr>
              <w:t>管理制度</w:t>
            </w:r>
          </w:p>
        </w:tc>
        <w:tc>
          <w:tcPr>
            <w:tcW w:w="5556" w:type="dxa"/>
            <w:vAlign w:val="center"/>
          </w:tcPr>
          <w:p>
            <w:pPr>
              <w:rPr>
                <w:rFonts w:ascii="仿宋" w:hAnsi="仿宋" w:eastAsia="仿宋"/>
                <w:color w:val="auto"/>
                <w:sz w:val="24"/>
                <w:szCs w:val="24"/>
                <w:highlight w:val="none"/>
              </w:rPr>
            </w:pPr>
            <w:r>
              <w:rPr>
                <w:rFonts w:hint="eastAsia" w:ascii="仿宋" w:hAnsi="仿宋" w:eastAsia="仿宋"/>
                <w:color w:val="auto"/>
                <w:sz w:val="24"/>
                <w:szCs w:val="24"/>
                <w:highlight w:val="none"/>
              </w:rPr>
              <w:t>根据本项目的特点投标人是否制定内部管理制度及考核办法的情况评标委员会综合评定。内部制度完善、考核条款符合项目实际，得3分；内部制度较完善、考核条款较可行，得2分；内部制度一般、无考核条款，得1分；无制度不得分。</w:t>
            </w:r>
          </w:p>
        </w:tc>
        <w:tc>
          <w:tcPr>
            <w:tcW w:w="964" w:type="dxa"/>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0-3分</w:t>
            </w:r>
          </w:p>
        </w:tc>
        <w:tc>
          <w:tcPr>
            <w:tcW w:w="961" w:type="dxa"/>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260"/>
              <w:ind w:left="420" w:firstLine="480"/>
              <w:rPr>
                <w:rFonts w:ascii="仿宋" w:hAnsi="仿宋" w:eastAsia="仿宋"/>
                <w:color w:val="auto"/>
                <w:sz w:val="24"/>
                <w:szCs w:val="24"/>
                <w:highlight w:val="none"/>
              </w:rPr>
            </w:pPr>
          </w:p>
        </w:tc>
        <w:tc>
          <w:tcPr>
            <w:tcW w:w="553" w:type="dxa"/>
            <w:vAlign w:val="center"/>
          </w:tcPr>
          <w:p>
            <w:pPr>
              <w:pStyle w:val="260"/>
              <w:widowControl/>
              <w:numPr>
                <w:ilvl w:val="0"/>
                <w:numId w:val="0"/>
              </w:numPr>
              <w:ind w:left="420" w:leftChars="0" w:hanging="420" w:firstLineChars="0"/>
              <w:contextualSpacing/>
              <w:jc w:val="center"/>
              <w:rPr>
                <w:rFonts w:hint="default" w:ascii="仿宋" w:hAnsi="仿宋" w:eastAsia="仿宋"/>
                <w:color w:val="auto"/>
                <w:sz w:val="24"/>
                <w:szCs w:val="24"/>
                <w:highlight w:val="none"/>
                <w:lang w:val="en-US"/>
              </w:rPr>
            </w:pPr>
            <w:r>
              <w:rPr>
                <w:rFonts w:hint="eastAsia" w:ascii="仿宋" w:hAnsi="仿宋" w:eastAsia="仿宋" w:cs="Lucida Sans"/>
                <w:color w:val="auto"/>
                <w:kern w:val="2"/>
                <w:sz w:val="24"/>
                <w:szCs w:val="24"/>
                <w:highlight w:val="none"/>
                <w:lang w:val="en-US" w:eastAsia="zh-CN" w:bidi="ar-SA"/>
              </w:rPr>
              <w:t>14</w:t>
            </w:r>
          </w:p>
        </w:tc>
        <w:tc>
          <w:tcPr>
            <w:tcW w:w="709" w:type="dxa"/>
            <w:vAlign w:val="center"/>
          </w:tcPr>
          <w:p>
            <w:pPr>
              <w:rPr>
                <w:rFonts w:ascii="仿宋" w:hAnsi="仿宋" w:eastAsia="仿宋"/>
                <w:color w:val="auto"/>
                <w:sz w:val="24"/>
                <w:szCs w:val="24"/>
                <w:highlight w:val="none"/>
              </w:rPr>
            </w:pPr>
            <w:r>
              <w:rPr>
                <w:rFonts w:hint="eastAsia" w:ascii="仿宋" w:hAnsi="仿宋" w:eastAsia="仿宋"/>
                <w:color w:val="auto"/>
                <w:sz w:val="24"/>
                <w:szCs w:val="24"/>
                <w:highlight w:val="none"/>
              </w:rPr>
              <w:t>服务能力</w:t>
            </w:r>
          </w:p>
        </w:tc>
        <w:tc>
          <w:tcPr>
            <w:tcW w:w="5556" w:type="dxa"/>
            <w:vAlign w:val="center"/>
          </w:tcPr>
          <w:p>
            <w:pPr>
              <w:rPr>
                <w:rFonts w:ascii="仿宋" w:hAnsi="仿宋" w:eastAsia="仿宋"/>
                <w:color w:val="auto"/>
                <w:sz w:val="24"/>
                <w:szCs w:val="24"/>
                <w:highlight w:val="none"/>
              </w:rPr>
            </w:pPr>
            <w:r>
              <w:rPr>
                <w:rFonts w:hint="eastAsia" w:ascii="仿宋" w:hAnsi="仿宋" w:eastAsia="仿宋"/>
                <w:color w:val="auto"/>
                <w:sz w:val="24"/>
                <w:szCs w:val="24"/>
                <w:highlight w:val="none"/>
              </w:rPr>
              <w:t>具有国产化电脑操作系统的档案数字化加工的服务能力。服务</w:t>
            </w:r>
            <w:r>
              <w:rPr>
                <w:rFonts w:hint="eastAsia" w:ascii="仿宋" w:hAnsi="仿宋" w:eastAsia="仿宋"/>
                <w:color w:val="auto"/>
                <w:sz w:val="24"/>
                <w:szCs w:val="24"/>
                <w:highlight w:val="none"/>
                <w:lang w:val="en-US" w:eastAsia="zh-CN"/>
              </w:rPr>
              <w:t>能力方案</w:t>
            </w:r>
            <w:r>
              <w:rPr>
                <w:rFonts w:hint="eastAsia" w:ascii="仿宋" w:hAnsi="仿宋" w:eastAsia="仿宋"/>
                <w:color w:val="auto"/>
                <w:sz w:val="24"/>
                <w:szCs w:val="24"/>
                <w:highlight w:val="none"/>
              </w:rPr>
              <w:t>可行，得5分；服务</w:t>
            </w:r>
            <w:r>
              <w:rPr>
                <w:rFonts w:hint="eastAsia" w:ascii="仿宋" w:hAnsi="仿宋" w:eastAsia="仿宋"/>
                <w:color w:val="auto"/>
                <w:sz w:val="24"/>
                <w:szCs w:val="24"/>
                <w:highlight w:val="none"/>
                <w:lang w:val="en-US" w:eastAsia="zh-CN"/>
              </w:rPr>
              <w:t>能力方案</w:t>
            </w:r>
            <w:r>
              <w:rPr>
                <w:rFonts w:hint="eastAsia" w:ascii="仿宋" w:hAnsi="仿宋" w:eastAsia="仿宋"/>
                <w:color w:val="auto"/>
                <w:sz w:val="24"/>
                <w:szCs w:val="24"/>
                <w:highlight w:val="none"/>
              </w:rPr>
              <w:t>较完整，得</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分；服务</w:t>
            </w:r>
            <w:r>
              <w:rPr>
                <w:rFonts w:hint="eastAsia" w:ascii="仿宋" w:hAnsi="仿宋" w:eastAsia="仿宋"/>
                <w:color w:val="auto"/>
                <w:sz w:val="24"/>
                <w:szCs w:val="24"/>
                <w:highlight w:val="none"/>
                <w:lang w:val="en-US" w:eastAsia="zh-CN"/>
              </w:rPr>
              <w:t>能力方案基本</w:t>
            </w:r>
            <w:r>
              <w:rPr>
                <w:rFonts w:hint="eastAsia" w:ascii="仿宋" w:hAnsi="仿宋" w:eastAsia="仿宋"/>
                <w:color w:val="auto"/>
                <w:sz w:val="24"/>
                <w:szCs w:val="24"/>
                <w:highlight w:val="none"/>
              </w:rPr>
              <w:t>完整，得</w:t>
            </w: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分；服务</w:t>
            </w:r>
            <w:r>
              <w:rPr>
                <w:rFonts w:hint="eastAsia" w:ascii="仿宋" w:hAnsi="仿宋" w:eastAsia="仿宋"/>
                <w:color w:val="auto"/>
                <w:sz w:val="24"/>
                <w:szCs w:val="24"/>
                <w:highlight w:val="none"/>
                <w:lang w:val="en-US" w:eastAsia="zh-CN"/>
              </w:rPr>
              <w:t>能力方案</w:t>
            </w:r>
            <w:r>
              <w:rPr>
                <w:rFonts w:hint="eastAsia" w:ascii="仿宋" w:hAnsi="仿宋" w:eastAsia="仿宋"/>
                <w:color w:val="auto"/>
                <w:sz w:val="24"/>
                <w:szCs w:val="24"/>
                <w:highlight w:val="none"/>
              </w:rPr>
              <w:t>一般，得</w:t>
            </w:r>
            <w:r>
              <w:rPr>
                <w:rFonts w:hint="eastAsia" w:ascii="仿宋" w:hAnsi="仿宋" w:eastAsia="仿宋"/>
                <w:color w:val="auto"/>
                <w:sz w:val="24"/>
                <w:szCs w:val="24"/>
                <w:highlight w:val="none"/>
                <w:lang w:val="en-US" w:eastAsia="zh-CN"/>
              </w:rPr>
              <w:t>2</w:t>
            </w:r>
            <w:r>
              <w:rPr>
                <w:rFonts w:hint="eastAsia" w:ascii="仿宋" w:hAnsi="仿宋" w:eastAsia="仿宋"/>
                <w:color w:val="auto"/>
                <w:sz w:val="24"/>
                <w:szCs w:val="24"/>
                <w:highlight w:val="none"/>
              </w:rPr>
              <w:t>分</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服务</w:t>
            </w:r>
            <w:r>
              <w:rPr>
                <w:rFonts w:hint="eastAsia" w:ascii="仿宋" w:hAnsi="仿宋" w:eastAsia="仿宋"/>
                <w:color w:val="auto"/>
                <w:sz w:val="24"/>
                <w:szCs w:val="24"/>
                <w:highlight w:val="none"/>
                <w:lang w:val="en-US" w:eastAsia="zh-CN"/>
              </w:rPr>
              <w:t>能力方案有欠缺，得1分；不提供不得分</w:t>
            </w:r>
            <w:r>
              <w:rPr>
                <w:rFonts w:hint="eastAsia" w:ascii="仿宋" w:hAnsi="仿宋" w:eastAsia="仿宋"/>
                <w:color w:val="auto"/>
                <w:sz w:val="24"/>
                <w:szCs w:val="24"/>
                <w:highlight w:val="none"/>
              </w:rPr>
              <w:t>。</w:t>
            </w:r>
          </w:p>
        </w:tc>
        <w:tc>
          <w:tcPr>
            <w:tcW w:w="964" w:type="dxa"/>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0</w:t>
            </w:r>
            <w:r>
              <w:rPr>
                <w:rFonts w:hint="eastAsia" w:ascii="仿宋" w:hAnsi="仿宋" w:eastAsia="仿宋"/>
                <w:color w:val="auto"/>
                <w:sz w:val="24"/>
                <w:szCs w:val="24"/>
                <w:highlight w:val="none"/>
              </w:rPr>
              <w:t>-5分</w:t>
            </w:r>
          </w:p>
        </w:tc>
        <w:tc>
          <w:tcPr>
            <w:tcW w:w="961" w:type="dxa"/>
            <w:vAlign w:val="center"/>
          </w:tcPr>
          <w:p>
            <w:pPr>
              <w:jc w:val="center"/>
              <w:rPr>
                <w:rFonts w:ascii="仿宋" w:hAnsi="仿宋" w:eastAsia="仿宋"/>
                <w:color w:val="auto"/>
                <w:sz w:val="24"/>
                <w:szCs w:val="24"/>
                <w:highlight w:val="none"/>
              </w:rPr>
            </w:pPr>
            <w:r>
              <w:rPr>
                <w:rFonts w:hint="eastAsia" w:ascii="仿宋" w:hAnsi="仿宋" w:eastAsia="仿宋" w:cs="仿宋"/>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60"/>
              <w:ind w:left="0" w:leftChars="0" w:firstLine="0" w:firstLineChars="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价格</w:t>
            </w:r>
            <w:r>
              <w:rPr>
                <w:rFonts w:hint="eastAsia" w:ascii="仿宋" w:hAnsi="仿宋" w:eastAsia="仿宋" w:cs="仿宋"/>
                <w:b w:val="0"/>
                <w:bCs/>
                <w:color w:val="auto"/>
                <w:kern w:val="0"/>
                <w:sz w:val="24"/>
                <w:szCs w:val="24"/>
                <w:highlight w:val="none"/>
              </w:rPr>
              <w:t>分</w:t>
            </w:r>
          </w:p>
        </w:tc>
        <w:tc>
          <w:tcPr>
            <w:tcW w:w="1262" w:type="dxa"/>
            <w:gridSpan w:val="2"/>
            <w:vAlign w:val="center"/>
          </w:tcPr>
          <w:p>
            <w:pPr>
              <w:keepNext w:val="0"/>
              <w:keepLines w:val="0"/>
              <w:pageBreakBefore w:val="0"/>
              <w:widowControl/>
              <w:kinsoku/>
              <w:wordWrap/>
              <w:overflowPunct/>
              <w:topLinePunct w:val="0"/>
              <w:autoSpaceDE/>
              <w:autoSpaceDN/>
              <w:bidi w:val="0"/>
              <w:adjustRightInd w:val="0"/>
              <w:snapToGrid/>
              <w:spacing w:line="360" w:lineRule="exact"/>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价格权值</w:t>
            </w:r>
          </w:p>
          <w:p>
            <w:pPr>
              <w:jc w:val="center"/>
              <w:rPr>
                <w:rFonts w:hint="default" w:ascii="仿宋" w:hAnsi="仿宋" w:eastAsia="仿宋"/>
                <w:color w:val="auto"/>
                <w:sz w:val="24"/>
                <w:szCs w:val="24"/>
                <w:highlight w:val="none"/>
                <w:lang w:val="en-US"/>
              </w:rPr>
            </w:pPr>
            <w:r>
              <w:rPr>
                <w:rFonts w:hint="eastAsia" w:ascii="仿宋" w:hAnsi="仿宋" w:eastAsia="仿宋" w:cs="仿宋"/>
                <w:b w:val="0"/>
                <w:bCs/>
                <w:color w:val="auto"/>
                <w:kern w:val="0"/>
                <w:sz w:val="24"/>
                <w:szCs w:val="24"/>
                <w:highlight w:val="none"/>
                <w:lang w:val="en-US" w:eastAsia="zh-CN"/>
              </w:rPr>
              <w:t>=0.10</w:t>
            </w:r>
          </w:p>
        </w:tc>
        <w:tc>
          <w:tcPr>
            <w:tcW w:w="5556" w:type="dxa"/>
            <w:vAlign w:val="center"/>
          </w:tcPr>
          <w:p>
            <w:pPr>
              <w:keepNext w:val="0"/>
              <w:keepLines w:val="0"/>
              <w:pageBreakBefore w:val="0"/>
              <w:widowControl/>
              <w:kinsoku/>
              <w:wordWrap/>
              <w:overflowPunct/>
              <w:topLinePunct w:val="0"/>
              <w:autoSpaceDE/>
              <w:autoSpaceDN/>
              <w:bidi w:val="0"/>
              <w:adjustRightInd w:val="0"/>
              <w:snapToGrid/>
              <w:spacing w:line="360" w:lineRule="exac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价格分：</w:t>
            </w:r>
          </w:p>
          <w:p>
            <w:pPr>
              <w:keepNext w:val="0"/>
              <w:keepLines w:val="0"/>
              <w:pageBreakBefore w:val="0"/>
              <w:widowControl/>
              <w:kinsoku/>
              <w:wordWrap/>
              <w:overflowPunct/>
              <w:topLinePunct w:val="0"/>
              <w:autoSpaceDE/>
              <w:autoSpaceDN/>
              <w:bidi w:val="0"/>
              <w:adjustRightInd w:val="0"/>
              <w:snapToGrid/>
              <w:spacing w:line="360" w:lineRule="exac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最低有效投标价格为评标基准价</w:t>
            </w:r>
          </w:p>
          <w:p>
            <w:pPr>
              <w:keepNext w:val="0"/>
              <w:keepLines w:val="0"/>
              <w:pageBreakBefore w:val="0"/>
              <w:widowControl/>
              <w:kinsoku/>
              <w:wordWrap/>
              <w:overflowPunct/>
              <w:topLinePunct w:val="0"/>
              <w:autoSpaceDE/>
              <w:autoSpaceDN/>
              <w:bidi w:val="0"/>
              <w:adjustRightInd w:val="0"/>
              <w:snapToGrid/>
              <w:spacing w:line="360" w:lineRule="exac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投标报价得分=(评标基准价／投标报价)×价格权值×100</w:t>
            </w:r>
          </w:p>
          <w:p>
            <w:pPr>
              <w:keepNext w:val="0"/>
              <w:keepLines w:val="0"/>
              <w:pageBreakBefore w:val="0"/>
              <w:widowControl/>
              <w:kinsoku/>
              <w:wordWrap/>
              <w:overflowPunct/>
              <w:topLinePunct w:val="0"/>
              <w:autoSpaceDE/>
              <w:autoSpaceDN/>
              <w:bidi w:val="0"/>
              <w:adjustRightInd w:val="0"/>
              <w:snapToGrid/>
              <w:spacing w:line="360" w:lineRule="exac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（计算得分保留小数点后2位）</w:t>
            </w:r>
          </w:p>
          <w:p>
            <w:pPr>
              <w:rPr>
                <w:rFonts w:hint="eastAsia" w:ascii="仿宋" w:hAnsi="仿宋" w:eastAsia="仿宋"/>
                <w:color w:val="auto"/>
                <w:sz w:val="24"/>
                <w:szCs w:val="24"/>
                <w:highlight w:val="none"/>
              </w:rPr>
            </w:pPr>
            <w:r>
              <w:rPr>
                <w:rFonts w:hint="eastAsia" w:ascii="仿宋" w:hAnsi="仿宋" w:eastAsia="仿宋" w:cs="仿宋"/>
                <w:b w:val="0"/>
                <w:bCs/>
                <w:color w:val="auto"/>
                <w:kern w:val="0"/>
                <w:sz w:val="24"/>
                <w:szCs w:val="24"/>
                <w:highlight w:val="none"/>
              </w:rPr>
              <w:t>评标过程中，不得去掉报价中的最高报价和最低报价。</w:t>
            </w:r>
          </w:p>
        </w:tc>
        <w:tc>
          <w:tcPr>
            <w:tcW w:w="964" w:type="dxa"/>
            <w:vAlign w:val="center"/>
          </w:tcPr>
          <w:p>
            <w:pPr>
              <w:jc w:val="center"/>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0-10分</w:t>
            </w:r>
          </w:p>
        </w:tc>
        <w:tc>
          <w:tcPr>
            <w:tcW w:w="961" w:type="dxa"/>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bl>
    <w:p>
      <w:pPr>
        <w:spacing w:line="360" w:lineRule="auto"/>
        <w:rPr>
          <w:rFonts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1、投标人编制投标文件（商务技术文件部分）时，建议按此目录（序号和内容）提供评标标准相应的商务技术资料。</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2、评分条款中涉及的业绩、荣誉、人员、社保等分公司均有效。涉及社保、劳动关系证明关系的，如人员为法人代表，则无需提供相关证明，提供营业执照及身份证即可。</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3、投标文件中如附有外文资料，必须逐一对应翻译成中文并加盖投标人公章后附在相关外文资料后面，否则外文资料不予认可。</w:t>
      </w:r>
    </w:p>
    <w:p>
      <w:pPr>
        <w:spacing w:line="360" w:lineRule="auto"/>
        <w:rPr>
          <w:rFonts w:ascii="仿宋" w:hAnsi="仿宋" w:eastAsia="仿宋" w:cs="仿宋"/>
          <w:color w:val="auto"/>
          <w:highlight w:val="none"/>
        </w:rPr>
      </w:pPr>
    </w:p>
    <w:p>
      <w:pPr>
        <w:snapToGrid w:val="0"/>
        <w:spacing w:line="360" w:lineRule="auto"/>
        <w:rPr>
          <w:rFonts w:ascii="仿宋" w:hAnsi="仿宋" w:eastAsia="仿宋" w:cs="仿宋"/>
          <w:b/>
          <w:color w:val="auto"/>
          <w:sz w:val="24"/>
          <w:highlight w:val="none"/>
        </w:rPr>
      </w:pPr>
    </w:p>
    <w:p>
      <w:pPr>
        <w:snapToGrid w:val="0"/>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spacing w:line="360" w:lineRule="auto"/>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bookmarkStart w:id="520" w:name="_GoBack"/>
      <w:bookmarkEnd w:id="520"/>
      <w:r>
        <w:rPr>
          <w:rFonts w:hint="eastAsia" w:ascii="仿宋" w:hAnsi="仿宋" w:eastAsia="仿宋" w:cs="仿宋"/>
          <w:b/>
          <w:color w:val="auto"/>
          <w:kern w:val="0"/>
          <w:sz w:val="24"/>
          <w:highlight w:val="none"/>
        </w:rPr>
        <w:t>。</w:t>
      </w:r>
    </w:p>
    <w:p>
      <w:pPr>
        <w:pStyle w:val="132"/>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13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13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13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13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13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13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132"/>
        <w:spacing w:before="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4.2.13投标人未提供样品或提供的样品不满足采购需求实质性条件的，投标无效；</w:t>
      </w:r>
    </w:p>
    <w:p>
      <w:pPr>
        <w:pStyle w:val="2"/>
        <w:ind w:left="862" w:leftChars="205"/>
        <w:rPr>
          <w:rFonts w:ascii="仿宋" w:eastAsia="仿宋" w:cs="仿宋"/>
          <w:color w:val="auto"/>
          <w:highlight w:val="none"/>
        </w:rPr>
      </w:pPr>
      <w:r>
        <w:rPr>
          <w:rFonts w:hint="eastAsia" w:ascii="仿宋" w:eastAsia="仿宋" w:cs="仿宋"/>
          <w:b w:val="0"/>
          <w:bCs w:val="0"/>
          <w:color w:val="auto"/>
          <w:kern w:val="0"/>
          <w:sz w:val="24"/>
          <w:szCs w:val="24"/>
          <w:highlight w:val="none"/>
          <w:lang w:val="en-US"/>
        </w:rPr>
        <w:t>4.2.14 投标文件不满足招标文件的实质性要求的；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4.2.15法律、法规、规章（适用本市的）及省级以上规范性文件（适用本市的）规定的其他无效情形。</w:t>
      </w:r>
    </w:p>
    <w:p>
      <w:pPr>
        <w:pStyle w:val="24"/>
        <w:snapToGrid w:val="0"/>
        <w:spacing w:line="360" w:lineRule="auto"/>
        <w:ind w:firstLine="472" w:firstLineChars="196"/>
        <w:rPr>
          <w:rFonts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pPr>
        <w:pStyle w:val="24"/>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4"/>
        <w:snapToGrid w:val="0"/>
        <w:spacing w:line="360" w:lineRule="auto"/>
        <w:rPr>
          <w:rFonts w:ascii="仿宋" w:hAnsi="仿宋" w:eastAsia="仿宋" w:cs="仿宋"/>
          <w:b/>
          <w:color w:val="auto"/>
          <w:sz w:val="36"/>
          <w:szCs w:val="36"/>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8"/>
      <w:bookmarkStart w:id="394" w:name="第五部分"/>
      <w:bookmarkStart w:id="395" w:name="_Toc86217003"/>
      <w:r>
        <w:rPr>
          <w:rFonts w:hint="eastAsia" w:ascii="仿宋" w:hAnsi="仿宋" w:eastAsia="仿宋" w:cs="仿宋"/>
          <w:b/>
          <w:color w:val="auto"/>
          <w:sz w:val="36"/>
          <w:szCs w:val="36"/>
          <w:highlight w:val="none"/>
        </w:rPr>
        <w:br w:type="page"/>
      </w:r>
    </w:p>
    <w:p>
      <w:pPr>
        <w:spacing w:line="360" w:lineRule="auto"/>
        <w:ind w:left="720" w:leftChars="343" w:firstLine="1084" w:firstLineChars="300"/>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spacing w:line="480" w:lineRule="auto"/>
        <w:jc w:val="center"/>
        <w:rPr>
          <w:rFonts w:ascii="仿宋" w:hAnsi="仿宋" w:eastAsia="仿宋" w:cs="仿宋"/>
          <w:b/>
          <w:color w:val="auto"/>
          <w:sz w:val="28"/>
          <w:szCs w:val="28"/>
          <w:highlight w:val="none"/>
        </w:rPr>
      </w:pPr>
    </w:p>
    <w:p>
      <w:pPr>
        <w:spacing w:line="480" w:lineRule="auto"/>
        <w:jc w:val="center"/>
        <w:rPr>
          <w:rFonts w:ascii="仿宋" w:hAnsi="仿宋" w:eastAsia="仿宋" w:cs="仿宋"/>
          <w:b/>
          <w:color w:val="auto"/>
          <w:sz w:val="24"/>
          <w:highlight w:val="none"/>
        </w:rPr>
      </w:pPr>
    </w:p>
    <w:p>
      <w:pPr>
        <w:spacing w:line="480" w:lineRule="auto"/>
        <w:jc w:val="center"/>
        <w:rPr>
          <w:rFonts w:ascii="仿宋" w:hAnsi="仿宋" w:eastAsia="仿宋" w:cs="仿宋"/>
          <w:b/>
          <w:color w:val="auto"/>
          <w:sz w:val="24"/>
          <w:highlight w:val="none"/>
        </w:rPr>
      </w:pPr>
    </w:p>
    <w:p>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pPr>
        <w:pStyle w:val="704"/>
        <w:ind w:firstLine="2843" w:firstLineChars="1180"/>
        <w:rPr>
          <w:rFonts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pPr>
        <w:spacing w:before="120" w:line="22" w:lineRule="atLeast"/>
        <w:rPr>
          <w:rFonts w:ascii="仿宋" w:hAnsi="仿宋" w:eastAsia="仿宋" w:cs="仿宋"/>
          <w:color w:val="auto"/>
          <w:sz w:val="24"/>
          <w:highlight w:val="none"/>
        </w:rPr>
      </w:pPr>
    </w:p>
    <w:p>
      <w:pPr>
        <w:pStyle w:val="2"/>
        <w:rPr>
          <w:rFonts w:ascii="仿宋" w:eastAsia="仿宋" w:cs="仿宋"/>
          <w:color w:val="auto"/>
          <w:highlight w:val="none"/>
        </w:rPr>
      </w:pPr>
    </w:p>
    <w:p>
      <w:pPr>
        <w:spacing w:before="120" w:line="22" w:lineRule="atLeast"/>
        <w:ind w:left="96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601"/>
        <w:spacing w:before="120" w:line="22" w:lineRule="atLeast"/>
        <w:rPr>
          <w:rFonts w:ascii="仿宋" w:hAnsi="仿宋" w:eastAsia="仿宋" w:cs="仿宋"/>
          <w:color w:val="auto"/>
          <w:szCs w:val="24"/>
          <w:highlight w:val="none"/>
        </w:rPr>
      </w:pPr>
    </w:p>
    <w:p>
      <w:pPr>
        <w:pStyle w:val="601"/>
        <w:spacing w:before="120" w:line="22" w:lineRule="atLeast"/>
        <w:rPr>
          <w:rFonts w:ascii="仿宋" w:hAnsi="仿宋" w:eastAsia="仿宋" w:cs="仿宋"/>
          <w:color w:val="auto"/>
          <w:szCs w:val="24"/>
          <w:highlight w:val="none"/>
        </w:rPr>
      </w:pPr>
    </w:p>
    <w:p>
      <w:pPr>
        <w:rPr>
          <w:rFonts w:ascii="仿宋" w:hAnsi="仿宋" w:eastAsia="仿宋" w:cs="仿宋"/>
          <w:color w:val="auto"/>
          <w:sz w:val="24"/>
          <w:highlight w:val="none"/>
        </w:rPr>
      </w:pPr>
    </w:p>
    <w:p>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spacing w:before="120" w:line="22" w:lineRule="atLeast"/>
        <w:rPr>
          <w:rFonts w:ascii="仿宋" w:hAnsi="仿宋" w:eastAsia="仿宋" w:cs="仿宋"/>
          <w:color w:val="auto"/>
          <w:sz w:val="24"/>
          <w:highlight w:val="none"/>
        </w:rPr>
      </w:pPr>
    </w:p>
    <w:p>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before="120" w:line="22" w:lineRule="atLeast"/>
        <w:rPr>
          <w:rFonts w:ascii="仿宋" w:hAnsi="仿宋" w:eastAsia="仿宋" w:cs="仿宋"/>
          <w:color w:val="auto"/>
          <w:sz w:val="24"/>
          <w:highlight w:val="none"/>
        </w:rPr>
      </w:pPr>
    </w:p>
    <w:p>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22" w:lineRule="atLeast"/>
        <w:rPr>
          <w:rFonts w:ascii="仿宋" w:hAnsi="仿宋" w:eastAsia="仿宋" w:cs="仿宋"/>
          <w:color w:val="auto"/>
          <w:sz w:val="24"/>
          <w:highlight w:val="none"/>
        </w:rPr>
      </w:pPr>
    </w:p>
    <w:p>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ascii="仿宋" w:hAnsi="仿宋" w:eastAsia="仿宋" w:cs="仿宋"/>
          <w:color w:val="auto"/>
          <w:kern w:val="0"/>
          <w:sz w:val="24"/>
          <w:highlight w:val="none"/>
        </w:rPr>
        <w:sectPr>
          <w:pgSz w:w="11907" w:h="16840"/>
          <w:pgMar w:top="1474" w:right="1814" w:bottom="1474" w:left="1814" w:header="851" w:footer="851" w:gutter="0"/>
          <w:cols w:space="720" w:num="1"/>
        </w:sectPr>
      </w:pPr>
    </w:p>
    <w:p>
      <w:pPr>
        <w:rPr>
          <w:rFonts w:ascii="仿宋" w:hAnsi="仿宋" w:eastAsia="仿宋" w:cs="仿宋"/>
          <w:b/>
          <w:color w:val="auto"/>
          <w:sz w:val="24"/>
          <w:highlight w:val="none"/>
        </w:rPr>
      </w:pP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pPr>
        <w:spacing w:line="560" w:lineRule="exact"/>
        <w:ind w:firstLine="482" w:firstLineChars="200"/>
        <w:outlineLvl w:val="0"/>
        <w:rPr>
          <w:rFonts w:ascii="仿宋" w:hAnsi="仿宋" w:eastAsia="仿宋" w:cs="仿宋"/>
          <w:color w:val="auto"/>
          <w:sz w:val="24"/>
          <w:highlight w:val="none"/>
        </w:rPr>
      </w:pPr>
      <w:bookmarkStart w:id="396" w:name="_Toc19273"/>
      <w:bookmarkStart w:id="397" w:name="_Toc22967"/>
      <w:bookmarkStart w:id="398" w:name="_Toc28855"/>
      <w:bookmarkStart w:id="399" w:name="_Toc20421"/>
      <w:bookmarkStart w:id="400" w:name="_Toc15367"/>
      <w:r>
        <w:rPr>
          <w:rFonts w:hint="eastAsia" w:ascii="仿宋" w:hAnsi="仿宋" w:eastAsia="仿宋" w:cs="仿宋"/>
          <w:b/>
          <w:color w:val="auto"/>
          <w:sz w:val="24"/>
          <w:highlight w:val="none"/>
        </w:rPr>
        <w:t>1.1 合同组成部分</w:t>
      </w:r>
      <w:bookmarkEnd w:id="396"/>
      <w:bookmarkEnd w:id="397"/>
      <w:bookmarkEnd w:id="398"/>
      <w:bookmarkEnd w:id="399"/>
      <w:bookmarkEnd w:id="400"/>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pPr>
        <w:spacing w:line="560" w:lineRule="exact"/>
        <w:ind w:firstLine="482" w:firstLineChars="200"/>
        <w:outlineLvl w:val="0"/>
        <w:rPr>
          <w:rFonts w:ascii="仿宋" w:hAnsi="仿宋" w:eastAsia="仿宋" w:cs="仿宋"/>
          <w:b/>
          <w:color w:val="auto"/>
          <w:sz w:val="24"/>
          <w:highlight w:val="none"/>
        </w:rPr>
      </w:pPr>
      <w:bookmarkStart w:id="401" w:name="_Toc2918"/>
      <w:bookmarkStart w:id="402" w:name="_Toc22185"/>
      <w:bookmarkStart w:id="403" w:name="_Toc6311"/>
      <w:bookmarkStart w:id="404" w:name="_Toc18585"/>
      <w:bookmarkStart w:id="405" w:name="_Toc6773"/>
      <w:r>
        <w:rPr>
          <w:rFonts w:hint="eastAsia" w:ascii="仿宋" w:hAnsi="仿宋" w:eastAsia="仿宋" w:cs="仿宋"/>
          <w:b/>
          <w:color w:val="auto"/>
          <w:sz w:val="24"/>
          <w:highlight w:val="none"/>
        </w:rPr>
        <w:t>1.2 标的</w:t>
      </w:r>
      <w:bookmarkEnd w:id="401"/>
      <w:bookmarkEnd w:id="402"/>
      <w:bookmarkEnd w:id="403"/>
      <w:bookmarkEnd w:id="404"/>
      <w:bookmarkEnd w:id="405"/>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pStyle w:val="962"/>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（是/否）涉及货物。若涉及货物的，则：</w:t>
      </w:r>
    </w:p>
    <w:p>
      <w:pPr>
        <w:spacing w:line="560" w:lineRule="exact"/>
        <w:ind w:firstLine="480" w:firstLineChars="200"/>
        <w:rPr>
          <w:rFonts w:ascii="仿宋" w:hAnsi="仿宋" w:eastAsia="仿宋" w:cs="仿宋"/>
          <w:color w:val="auto"/>
          <w:sz w:val="24"/>
          <w:highlight w:val="none"/>
          <w:u w:val="single"/>
        </w:rPr>
      </w:pPr>
      <w:bookmarkStart w:id="406" w:name="_Toc21124"/>
      <w:bookmarkStart w:id="407" w:name="_Toc4929"/>
      <w:bookmarkStart w:id="408" w:name="_Toc1386"/>
      <w:bookmarkStart w:id="409" w:name="_Toc13918"/>
      <w:bookmarkStart w:id="410" w:name="_Toc5635"/>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6"/>
      <w:bookmarkEnd w:id="407"/>
      <w:bookmarkEnd w:id="408"/>
      <w:bookmarkEnd w:id="409"/>
      <w:bookmarkEnd w:id="410"/>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pPr>
              <w:pStyle w:val="322"/>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pPr>
              <w:pStyle w:val="322"/>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ascii="仿宋" w:hAnsi="仿宋" w:eastAsia="仿宋" w:cs="仿宋"/>
                <w:color w:val="auto"/>
                <w:sz w:val="24"/>
                <w:szCs w:val="24"/>
                <w:highlight w:val="none"/>
              </w:rPr>
            </w:pPr>
          </w:p>
        </w:tc>
        <w:tc>
          <w:tcPr>
            <w:tcW w:w="3402" w:type="dxa"/>
            <w:vAlign w:val="center"/>
          </w:tcPr>
          <w:p>
            <w:pPr>
              <w:pStyle w:val="322"/>
              <w:spacing w:line="560" w:lineRule="exact"/>
              <w:ind w:firstLine="200"/>
              <w:jc w:val="center"/>
              <w:rPr>
                <w:rFonts w:ascii="仿宋" w:hAnsi="仿宋" w:eastAsia="仿宋" w:cs="仿宋"/>
                <w:color w:val="auto"/>
                <w:sz w:val="24"/>
                <w:szCs w:val="24"/>
                <w:highlight w:val="none"/>
              </w:rPr>
            </w:pPr>
          </w:p>
        </w:tc>
        <w:tc>
          <w:tcPr>
            <w:tcW w:w="2552" w:type="dxa"/>
            <w:vAlign w:val="center"/>
          </w:tcPr>
          <w:p>
            <w:pPr>
              <w:pStyle w:val="322"/>
              <w:spacing w:line="560" w:lineRule="exact"/>
              <w:ind w:firstLine="20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ascii="仿宋" w:hAnsi="仿宋" w:eastAsia="仿宋" w:cs="仿宋"/>
                <w:color w:val="auto"/>
                <w:sz w:val="24"/>
                <w:szCs w:val="24"/>
                <w:highlight w:val="none"/>
              </w:rPr>
            </w:pPr>
          </w:p>
        </w:tc>
        <w:tc>
          <w:tcPr>
            <w:tcW w:w="3402" w:type="dxa"/>
            <w:vAlign w:val="center"/>
          </w:tcPr>
          <w:p>
            <w:pPr>
              <w:pStyle w:val="322"/>
              <w:spacing w:line="560" w:lineRule="exact"/>
              <w:ind w:firstLine="200"/>
              <w:jc w:val="center"/>
              <w:rPr>
                <w:rFonts w:ascii="仿宋" w:hAnsi="仿宋" w:eastAsia="仿宋" w:cs="仿宋"/>
                <w:color w:val="auto"/>
                <w:sz w:val="24"/>
                <w:szCs w:val="24"/>
                <w:highlight w:val="none"/>
              </w:rPr>
            </w:pPr>
          </w:p>
        </w:tc>
        <w:tc>
          <w:tcPr>
            <w:tcW w:w="2552" w:type="dxa"/>
            <w:vAlign w:val="center"/>
          </w:tcPr>
          <w:p>
            <w:pPr>
              <w:pStyle w:val="322"/>
              <w:spacing w:line="560" w:lineRule="exact"/>
              <w:ind w:firstLine="20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ascii="仿宋" w:hAnsi="仿宋" w:eastAsia="仿宋" w:cs="仿宋"/>
                <w:color w:val="auto"/>
                <w:sz w:val="24"/>
                <w:szCs w:val="24"/>
                <w:highlight w:val="none"/>
              </w:rPr>
            </w:pPr>
          </w:p>
        </w:tc>
        <w:tc>
          <w:tcPr>
            <w:tcW w:w="3402" w:type="dxa"/>
            <w:vAlign w:val="center"/>
          </w:tcPr>
          <w:p>
            <w:pPr>
              <w:pStyle w:val="322"/>
              <w:spacing w:line="560" w:lineRule="exact"/>
              <w:ind w:firstLine="200"/>
              <w:jc w:val="center"/>
              <w:rPr>
                <w:rFonts w:ascii="仿宋" w:hAnsi="仿宋" w:eastAsia="仿宋" w:cs="仿宋"/>
                <w:color w:val="auto"/>
                <w:sz w:val="24"/>
                <w:szCs w:val="24"/>
                <w:highlight w:val="none"/>
              </w:rPr>
            </w:pPr>
          </w:p>
        </w:tc>
        <w:tc>
          <w:tcPr>
            <w:tcW w:w="2552" w:type="dxa"/>
            <w:vAlign w:val="center"/>
          </w:tcPr>
          <w:p>
            <w:pPr>
              <w:pStyle w:val="322"/>
              <w:spacing w:line="560" w:lineRule="exact"/>
              <w:ind w:firstLine="20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ascii="仿宋" w:hAnsi="仿宋" w:eastAsia="仿宋" w:cs="仿宋"/>
                <w:color w:val="auto"/>
                <w:sz w:val="24"/>
                <w:szCs w:val="24"/>
                <w:highlight w:val="none"/>
              </w:rPr>
            </w:pPr>
          </w:p>
        </w:tc>
        <w:tc>
          <w:tcPr>
            <w:tcW w:w="3402" w:type="dxa"/>
            <w:vAlign w:val="center"/>
          </w:tcPr>
          <w:p>
            <w:pPr>
              <w:pStyle w:val="322"/>
              <w:spacing w:line="560" w:lineRule="exact"/>
              <w:ind w:firstLine="200"/>
              <w:jc w:val="center"/>
              <w:rPr>
                <w:rFonts w:ascii="仿宋" w:hAnsi="仿宋" w:eastAsia="仿宋" w:cs="仿宋"/>
                <w:color w:val="auto"/>
                <w:sz w:val="24"/>
                <w:szCs w:val="24"/>
                <w:highlight w:val="none"/>
              </w:rPr>
            </w:pPr>
          </w:p>
        </w:tc>
        <w:tc>
          <w:tcPr>
            <w:tcW w:w="2552" w:type="dxa"/>
            <w:vAlign w:val="center"/>
          </w:tcPr>
          <w:p>
            <w:pPr>
              <w:pStyle w:val="322"/>
              <w:spacing w:line="560" w:lineRule="exact"/>
              <w:ind w:firstLine="20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2"/>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pPr>
              <w:pStyle w:val="322"/>
              <w:spacing w:line="560" w:lineRule="exact"/>
              <w:ind w:firstLine="200"/>
              <w:jc w:val="center"/>
              <w:rPr>
                <w:rFonts w:ascii="仿宋" w:hAnsi="仿宋" w:eastAsia="仿宋" w:cs="仿宋"/>
                <w:color w:val="auto"/>
                <w:sz w:val="24"/>
                <w:szCs w:val="24"/>
                <w:highlight w:val="none"/>
              </w:rPr>
            </w:pPr>
          </w:p>
        </w:tc>
      </w:tr>
    </w:tbl>
    <w:p>
      <w:pPr>
        <w:spacing w:line="560" w:lineRule="exact"/>
        <w:ind w:firstLine="480" w:firstLineChars="200"/>
        <w:rPr>
          <w:rFonts w:ascii="仿宋" w:hAnsi="仿宋" w:eastAsia="仿宋" w:cs="仿宋"/>
          <w:color w:val="auto"/>
          <w:sz w:val="24"/>
          <w:highlight w:val="none"/>
        </w:rPr>
      </w:pPr>
      <w:bookmarkStart w:id="411" w:name="_Toc30158"/>
      <w:bookmarkStart w:id="412" w:name="_Toc14993"/>
      <w:bookmarkStart w:id="413" w:name="_Toc3654"/>
      <w:bookmarkStart w:id="414" w:name="_Toc30506"/>
      <w:bookmarkStart w:id="415" w:name="_Toc26916"/>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pStyle w:val="2"/>
        <w:rPr>
          <w:rFonts w:ascii="仿宋" w:eastAsia="仿宋" w:cs="仿宋"/>
          <w:color w:val="auto"/>
          <w:highlight w:val="none"/>
          <w:lang w:val="en-US"/>
        </w:rPr>
      </w:pPr>
      <w:r>
        <w:rPr>
          <w:rFonts w:hint="eastAsia" w:ascii="仿宋" w:eastAsia="仿宋" w:cs="仿宋"/>
          <w:color w:val="auto"/>
          <w:sz w:val="24"/>
          <w:highlight w:val="none"/>
          <w:lang w:val="en-US"/>
        </w:rPr>
        <w:t xml:space="preserve">    </w:t>
      </w:r>
      <w:r>
        <w:rPr>
          <w:rFonts w:hint="eastAsia" w:ascii="仿宋" w:eastAsia="仿宋" w:cs="仿宋"/>
          <w:b w:val="0"/>
          <w:bCs w:val="0"/>
          <w:color w:val="auto"/>
          <w:sz w:val="24"/>
          <w:highlight w:val="none"/>
          <w:lang w:val="en-US"/>
        </w:rPr>
        <w:t>1.3.3其他计价方式：</w:t>
      </w:r>
      <w:r>
        <w:rPr>
          <w:rFonts w:hint="eastAsia" w:ascii="仿宋" w:eastAsia="仿宋" w:cs="仿宋"/>
          <w:b w:val="0"/>
          <w:bCs w:val="0"/>
          <w:color w:val="auto"/>
          <w:sz w:val="24"/>
          <w:highlight w:val="none"/>
          <w:u w:val="single"/>
          <w:lang w:val="en-US"/>
        </w:rPr>
        <w:t xml:space="preserve">                   </w:t>
      </w:r>
      <w:r>
        <w:rPr>
          <w:rFonts w:hint="eastAsia" w:ascii="仿宋" w:eastAsia="仿宋" w:cs="仿宋"/>
          <w:b w:val="0"/>
          <w:bCs w:val="0"/>
          <w:color w:val="auto"/>
          <w:sz w:val="24"/>
          <w:highlight w:val="none"/>
        </w:rPr>
        <w:t>。</w:t>
      </w:r>
    </w:p>
    <w:bookmarkEnd w:id="411"/>
    <w:bookmarkEnd w:id="412"/>
    <w:bookmarkEnd w:id="413"/>
    <w:bookmarkEnd w:id="414"/>
    <w:bookmarkEnd w:id="415"/>
    <w:p>
      <w:pPr>
        <w:pStyle w:val="962"/>
        <w:spacing w:before="0" w:beforeAutospacing="0" w:after="0" w:afterAutospacing="0" w:line="360" w:lineRule="auto"/>
        <w:ind w:firstLine="480"/>
        <w:rPr>
          <w:rFonts w:ascii="仿宋" w:hAnsi="仿宋" w:eastAsia="仿宋" w:cs="仿宋"/>
          <w:b/>
          <w:color w:val="auto"/>
          <w:highlight w:val="none"/>
        </w:rPr>
      </w:pPr>
      <w:bookmarkStart w:id="416" w:name="_Toc22618"/>
      <w:bookmarkStart w:id="417" w:name="_Toc1814"/>
      <w:bookmarkStart w:id="418" w:name="_Toc10340"/>
      <w:bookmarkStart w:id="419" w:name="_Toc8772"/>
      <w:bookmarkStart w:id="420" w:name="_Toc3625"/>
      <w:bookmarkStart w:id="421" w:name="_Toc31421"/>
      <w:bookmarkStart w:id="422" w:name="_Toc11108"/>
      <w:bookmarkStart w:id="423" w:name="_Toc4760"/>
      <w:r>
        <w:rPr>
          <w:rFonts w:hint="eastAsia" w:ascii="仿宋" w:hAnsi="仿宋" w:eastAsia="仿宋" w:cs="仿宋"/>
          <w:b/>
          <w:color w:val="auto"/>
          <w:highlight w:val="none"/>
        </w:rPr>
        <w:t>1.4履约保证金</w:t>
      </w:r>
    </w:p>
    <w:p>
      <w:pPr>
        <w:pStyle w:val="962"/>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2"/>
        <w:tabs>
          <w:tab w:val="left" w:pos="0"/>
        </w:tabs>
        <w:spacing w:line="560" w:lineRule="exact"/>
        <w:ind w:left="0" w:firstLine="480" w:firstLineChars="200"/>
        <w:rPr>
          <w:rFonts w:ascii="仿宋" w:eastAsia="仿宋" w:cs="仿宋"/>
          <w:color w:val="auto"/>
          <w:highlight w:val="none"/>
          <w:lang w:val="en-US"/>
        </w:rPr>
      </w:pPr>
      <w:r>
        <w:rPr>
          <w:rFonts w:hint="eastAsia" w:asci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1.5</w:t>
      </w:r>
      <w:bookmarkEnd w:id="416"/>
      <w:bookmarkEnd w:id="417"/>
      <w:bookmarkEnd w:id="418"/>
      <w:r>
        <w:rPr>
          <w:rFonts w:hint="eastAsia" w:ascii="仿宋" w:hAnsi="仿宋" w:eastAsia="仿宋" w:cs="仿宋"/>
          <w:b/>
          <w:color w:val="auto"/>
          <w:sz w:val="24"/>
          <w:highlight w:val="none"/>
        </w:rPr>
        <w:t>预付款</w:t>
      </w:r>
    </w:p>
    <w:p>
      <w:pPr>
        <w:pStyle w:val="962"/>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pPr>
        <w:spacing w:line="5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962"/>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62"/>
        <w:spacing w:before="0" w:beforeAutospacing="0" w:after="0" w:afterAutospacing="0" w:line="360" w:lineRule="auto"/>
        <w:ind w:firstLine="480"/>
        <w:rPr>
          <w:rFonts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62"/>
        <w:spacing w:before="0" w:beforeAutospacing="0" w:after="0" w:afterAutospacing="0" w:line="360" w:lineRule="auto"/>
        <w:ind w:firstLine="480"/>
        <w:rPr>
          <w:rFonts w:ascii="仿宋" w:hAnsi="仿宋" w:eastAsia="仿宋" w:cs="仿宋"/>
          <w:b/>
          <w:bCs/>
          <w:color w:val="auto"/>
          <w:highlight w:val="none"/>
        </w:rPr>
      </w:pPr>
      <w:r>
        <w:rPr>
          <w:rFonts w:hint="eastAsia" w:ascii="仿宋" w:hAnsi="仿宋" w:eastAsia="仿宋" w:cs="仿宋"/>
          <w:b/>
          <w:bCs/>
          <w:color w:val="auto"/>
          <w:highlight w:val="none"/>
        </w:rPr>
        <w:t>1.6资金支付</w:t>
      </w:r>
    </w:p>
    <w:p>
      <w:pPr>
        <w:pStyle w:val="962"/>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9"/>
      <w:bookmarkEnd w:id="420"/>
      <w:bookmarkEnd w:id="421"/>
      <w:bookmarkEnd w:id="422"/>
      <w:bookmarkEnd w:id="423"/>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outlineLvl w:val="0"/>
        <w:rPr>
          <w:rFonts w:ascii="仿宋" w:hAnsi="仿宋" w:eastAsia="仿宋" w:cs="仿宋"/>
          <w:bCs/>
          <w:color w:val="auto"/>
          <w:sz w:val="24"/>
          <w:highlight w:val="none"/>
        </w:rPr>
      </w:pPr>
      <w:bookmarkStart w:id="424" w:name="_Toc24662"/>
      <w:bookmarkStart w:id="425" w:name="_Toc3079"/>
      <w:bookmarkStart w:id="426" w:name="_Toc5698"/>
      <w:bookmarkStart w:id="427" w:name="_Toc2375"/>
      <w:bookmarkStart w:id="428" w:name="_Toc8586"/>
      <w:r>
        <w:rPr>
          <w:rFonts w:hint="eastAsia" w:ascii="仿宋" w:hAnsi="仿宋" w:eastAsia="仿宋" w:cs="仿宋"/>
          <w:bCs/>
          <w:color w:val="auto"/>
          <w:sz w:val="24"/>
          <w:highlight w:val="none"/>
        </w:rPr>
        <w:t>1.7.4若服务涉及货物的，则货物的：</w:t>
      </w:r>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4"/>
      <w:bookmarkEnd w:id="425"/>
      <w:bookmarkEnd w:id="426"/>
      <w:bookmarkEnd w:id="427"/>
      <w:bookmarkEnd w:id="428"/>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pPr>
        <w:pStyle w:val="2"/>
        <w:ind w:left="0" w:firstLine="480" w:firstLineChars="200"/>
        <w:rPr>
          <w:rFonts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b w:val="0"/>
          <w:bCs w:val="0"/>
          <w:color w:val="auto"/>
          <w:sz w:val="24"/>
          <w:szCs w:val="24"/>
          <w:highlight w:val="none"/>
          <w:u w:val="single"/>
          <w:lang w:val="en-US"/>
        </w:rPr>
        <w:t xml:space="preserve">  0.0</w:t>
      </w:r>
      <w:r>
        <w:rPr>
          <w:rFonts w:hint="eastAsia" w:ascii="仿宋" w:eastAsia="仿宋" w:cs="仿宋"/>
          <w:b w:val="0"/>
          <w:bCs w:val="0"/>
          <w:color w:val="auto"/>
          <w:sz w:val="24"/>
          <w:szCs w:val="24"/>
          <w:highlight w:val="none"/>
          <w:lang w:val="en-US"/>
        </w:rPr>
        <w:t xml:space="preserve">5（可根据情况修改） </w:t>
      </w:r>
      <w:r>
        <w:rPr>
          <w:rFonts w:hint="eastAsia" w:ascii="仿宋" w:eastAsia="仿宋" w:cs="仿宋"/>
          <w:b w:val="0"/>
          <w:bCs w:val="0"/>
          <w:color w:val="auto"/>
          <w:sz w:val="24"/>
          <w:szCs w:val="24"/>
          <w:highlight w:val="none"/>
          <w:u w:val="single"/>
          <w:lang w:val="en-US"/>
        </w:rPr>
        <w:t xml:space="preserve">  </w:t>
      </w:r>
      <w:r>
        <w:rPr>
          <w:rFonts w:hint="eastAsia" w:ascii="仿宋" w:eastAsia="仿宋" w:cs="仿宋"/>
          <w:b w:val="0"/>
          <w:bCs w:val="0"/>
          <w:color w:val="auto"/>
          <w:sz w:val="24"/>
          <w:szCs w:val="24"/>
          <w:highlight w:val="none"/>
          <w:lang w:val="en-US"/>
        </w:rPr>
        <w:t>%计算，最高限额为本合同总价的</w:t>
      </w:r>
      <w:r>
        <w:rPr>
          <w:rFonts w:hint="eastAsia" w:ascii="仿宋" w:eastAsia="仿宋" w:cs="仿宋"/>
          <w:b w:val="0"/>
          <w:bCs w:val="0"/>
          <w:color w:val="auto"/>
          <w:sz w:val="24"/>
          <w:szCs w:val="24"/>
          <w:highlight w:val="none"/>
          <w:u w:val="single"/>
          <w:lang w:val="en-US"/>
        </w:rPr>
        <w:t xml:space="preserve">  20  </w:t>
      </w:r>
      <w:r>
        <w:rPr>
          <w:rFonts w:hint="eastAsia" w:asci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仿宋"/>
          <w:color w:val="auto"/>
          <w:sz w:val="24"/>
          <w:highlight w:val="none"/>
        </w:rPr>
      </w:pPr>
      <w:bookmarkStart w:id="429" w:name="_Toc32454"/>
      <w:bookmarkStart w:id="430" w:name="_Toc30329"/>
      <w:bookmarkStart w:id="431" w:name="_Toc18683"/>
      <w:bookmarkStart w:id="432" w:name="_Toc9497"/>
      <w:bookmarkStart w:id="433" w:name="_Toc26807"/>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9"/>
    <w:bookmarkEnd w:id="430"/>
    <w:bookmarkEnd w:id="431"/>
    <w:bookmarkEnd w:id="432"/>
    <w:bookmarkEnd w:id="433"/>
    <w:p>
      <w:pPr>
        <w:spacing w:line="560" w:lineRule="exact"/>
        <w:ind w:firstLine="482" w:firstLineChars="200"/>
        <w:outlineLvl w:val="0"/>
        <w:rPr>
          <w:rFonts w:ascii="仿宋" w:hAnsi="仿宋" w:eastAsia="仿宋" w:cs="仿宋"/>
          <w:b/>
          <w:color w:val="auto"/>
          <w:sz w:val="24"/>
          <w:highlight w:val="none"/>
        </w:rPr>
      </w:pPr>
      <w:bookmarkStart w:id="434" w:name="_Toc16021"/>
      <w:bookmarkStart w:id="435" w:name="_Toc15583"/>
      <w:bookmarkStart w:id="436" w:name="_Toc28375"/>
      <w:r>
        <w:rPr>
          <w:rFonts w:hint="eastAsia" w:ascii="仿宋" w:hAnsi="仿宋" w:eastAsia="仿宋" w:cs="仿宋"/>
          <w:b/>
          <w:color w:val="auto"/>
          <w:sz w:val="24"/>
          <w:highlight w:val="none"/>
        </w:rPr>
        <w:t>1.9合同争议的解决</w:t>
      </w:r>
      <w:bookmarkEnd w:id="434"/>
      <w:bookmarkEnd w:id="435"/>
      <w:bookmarkEnd w:id="436"/>
    </w:p>
    <w:p>
      <w:pPr>
        <w:spacing w:line="560" w:lineRule="exact"/>
        <w:ind w:left="-61" w:leftChars="-29" w:right="-420" w:rightChars="-200"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pPr>
        <w:spacing w:line="560" w:lineRule="exact"/>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pPr>
        <w:spacing w:line="560" w:lineRule="exact"/>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pPr>
        <w:spacing w:line="560" w:lineRule="exact"/>
        <w:ind w:firstLine="482" w:firstLineChars="200"/>
        <w:outlineLvl w:val="0"/>
        <w:rPr>
          <w:rFonts w:ascii="仿宋" w:hAnsi="仿宋" w:eastAsia="仿宋" w:cs="仿宋"/>
          <w:b/>
          <w:color w:val="auto"/>
          <w:sz w:val="24"/>
          <w:highlight w:val="none"/>
        </w:rPr>
      </w:pPr>
      <w:bookmarkStart w:id="437" w:name="_Toc11173"/>
      <w:bookmarkStart w:id="438" w:name="_Toc15322"/>
      <w:bookmarkStart w:id="439" w:name="_Toc7245"/>
      <w:r>
        <w:rPr>
          <w:rFonts w:hint="eastAsia" w:ascii="仿宋" w:hAnsi="仿宋" w:eastAsia="仿宋" w:cs="仿宋"/>
          <w:b/>
          <w:color w:val="auto"/>
          <w:sz w:val="24"/>
          <w:highlight w:val="none"/>
        </w:rPr>
        <w:t>2.0 合同生效</w:t>
      </w:r>
      <w:bookmarkEnd w:id="437"/>
      <w:bookmarkEnd w:id="438"/>
      <w:bookmarkEnd w:id="439"/>
    </w:p>
    <w:p>
      <w:pPr>
        <w:spacing w:line="56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pPr>
        <w:autoSpaceDE w:val="0"/>
        <w:autoSpaceDN w:val="0"/>
        <w:spacing w:line="560" w:lineRule="exact"/>
        <w:rPr>
          <w:rFonts w:ascii="仿宋" w:hAnsi="仿宋" w:eastAsia="仿宋" w:cs="仿宋"/>
          <w:color w:val="auto"/>
          <w:sz w:val="24"/>
          <w:highlight w:val="none"/>
          <w:lang w:val="zh-CN"/>
        </w:rPr>
      </w:pP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pPr>
        <w:autoSpaceDE w:val="0"/>
        <w:autoSpaceDN w:val="0"/>
        <w:spacing w:line="560" w:lineRule="exact"/>
        <w:rPr>
          <w:rFonts w:ascii="仿宋" w:hAnsi="仿宋" w:eastAsia="仿宋" w:cs="仿宋"/>
          <w:color w:val="auto"/>
          <w:sz w:val="24"/>
          <w:highlight w:val="none"/>
          <w:lang w:val="zh-CN"/>
        </w:rPr>
      </w:pP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pPr>
        <w:widowControl/>
        <w:spacing w:line="560" w:lineRule="exact"/>
        <w:jc w:val="left"/>
        <w:rPr>
          <w:rFonts w:ascii="仿宋" w:hAnsi="仿宋" w:eastAsia="仿宋" w:cs="仿宋"/>
          <w:b/>
          <w:color w:val="auto"/>
          <w:sz w:val="24"/>
          <w:highlight w:val="none"/>
        </w:rPr>
      </w:pPr>
    </w:p>
    <w:p>
      <w:pPr>
        <w:widowControl/>
        <w:adjustRightInd/>
        <w:jc w:val="left"/>
        <w:rPr>
          <w:rFonts w:ascii="仿宋" w:hAnsi="仿宋" w:eastAsia="仿宋" w:cs="仿宋"/>
          <w:b/>
          <w:color w:val="auto"/>
          <w:sz w:val="24"/>
          <w:highlight w:val="none"/>
        </w:rPr>
      </w:pPr>
      <w:r>
        <w:rPr>
          <w:rFonts w:hint="eastAsia" w:ascii="仿宋" w:hAnsi="仿宋" w:eastAsia="仿宋" w:cs="仿宋"/>
          <w:b/>
          <w:color w:val="auto"/>
          <w:highlight w:val="none"/>
        </w:rPr>
        <w:br w:type="page"/>
      </w:r>
    </w:p>
    <w:p>
      <w:pPr>
        <w:pStyle w:val="704"/>
        <w:spacing w:line="560" w:lineRule="exact"/>
        <w:ind w:firstLine="482"/>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pPr>
        <w:spacing w:line="560" w:lineRule="exact"/>
        <w:ind w:firstLine="482" w:firstLineChars="200"/>
        <w:outlineLvl w:val="0"/>
        <w:rPr>
          <w:rFonts w:ascii="仿宋" w:hAnsi="仿宋" w:eastAsia="仿宋" w:cs="仿宋"/>
          <w:b/>
          <w:color w:val="auto"/>
          <w:sz w:val="24"/>
          <w:highlight w:val="none"/>
        </w:rPr>
      </w:pPr>
      <w:bookmarkStart w:id="440" w:name="_Toc31297"/>
      <w:bookmarkStart w:id="441" w:name="_Toc19680"/>
      <w:bookmarkStart w:id="442" w:name="_Toc25079"/>
      <w:bookmarkStart w:id="443" w:name="_Toc14021"/>
      <w:bookmarkStart w:id="444" w:name="_Toc5228"/>
      <w:r>
        <w:rPr>
          <w:rFonts w:hint="eastAsia" w:ascii="仿宋" w:hAnsi="仿宋" w:eastAsia="仿宋" w:cs="仿宋"/>
          <w:b/>
          <w:color w:val="auto"/>
          <w:sz w:val="24"/>
          <w:highlight w:val="none"/>
        </w:rPr>
        <w:t>2.1 定义</w:t>
      </w:r>
      <w:bookmarkEnd w:id="440"/>
      <w:bookmarkEnd w:id="441"/>
      <w:bookmarkEnd w:id="442"/>
      <w:bookmarkEnd w:id="443"/>
      <w:bookmarkEnd w:id="444"/>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pPr>
        <w:spacing w:line="560" w:lineRule="exact"/>
        <w:ind w:firstLine="482" w:firstLineChars="200"/>
        <w:outlineLvl w:val="0"/>
        <w:rPr>
          <w:rFonts w:ascii="仿宋" w:hAnsi="仿宋" w:eastAsia="仿宋" w:cs="仿宋"/>
          <w:b/>
          <w:color w:val="auto"/>
          <w:sz w:val="24"/>
          <w:highlight w:val="none"/>
        </w:rPr>
      </w:pPr>
      <w:bookmarkStart w:id="445" w:name="_Toc23289"/>
      <w:bookmarkStart w:id="446" w:name="_Toc16752"/>
      <w:bookmarkStart w:id="447" w:name="_Toc19539"/>
      <w:bookmarkStart w:id="448" w:name="_Toc31402"/>
      <w:bookmarkStart w:id="449" w:name="_Toc3769"/>
      <w:r>
        <w:rPr>
          <w:rFonts w:hint="eastAsia" w:ascii="仿宋" w:hAnsi="仿宋" w:eastAsia="仿宋" w:cs="仿宋"/>
          <w:b/>
          <w:color w:val="auto"/>
          <w:sz w:val="24"/>
          <w:highlight w:val="none"/>
        </w:rPr>
        <w:t>2.2 技术规范</w:t>
      </w:r>
      <w:bookmarkEnd w:id="445"/>
      <w:bookmarkEnd w:id="446"/>
      <w:bookmarkEnd w:id="447"/>
      <w:bookmarkEnd w:id="448"/>
      <w:bookmarkEnd w:id="449"/>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cs="仿宋"/>
          <w:b/>
          <w:color w:val="auto"/>
          <w:sz w:val="24"/>
          <w:highlight w:val="none"/>
        </w:rPr>
      </w:pPr>
      <w:bookmarkStart w:id="450" w:name="_Toc13673"/>
      <w:bookmarkStart w:id="451" w:name="_Toc27945"/>
      <w:bookmarkStart w:id="452" w:name="_Toc9161"/>
      <w:bookmarkStart w:id="453" w:name="_Toc4133"/>
      <w:bookmarkStart w:id="454" w:name="_Toc12412"/>
      <w:r>
        <w:rPr>
          <w:rFonts w:hint="eastAsia" w:ascii="仿宋" w:hAnsi="仿宋" w:eastAsia="仿宋" w:cs="仿宋"/>
          <w:b/>
          <w:color w:val="auto"/>
          <w:sz w:val="24"/>
          <w:highlight w:val="none"/>
        </w:rPr>
        <w:t>2.3 知识产权</w:t>
      </w:r>
      <w:bookmarkEnd w:id="450"/>
      <w:bookmarkEnd w:id="451"/>
      <w:bookmarkEnd w:id="452"/>
      <w:bookmarkEnd w:id="453"/>
      <w:bookmarkEnd w:id="454"/>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pPr>
        <w:spacing w:line="560" w:lineRule="exact"/>
        <w:ind w:firstLine="482" w:firstLineChars="200"/>
        <w:outlineLvl w:val="0"/>
        <w:rPr>
          <w:rFonts w:ascii="仿宋" w:hAnsi="仿宋" w:eastAsia="仿宋" w:cs="仿宋"/>
          <w:b/>
          <w:color w:val="auto"/>
          <w:sz w:val="24"/>
          <w:highlight w:val="none"/>
        </w:rPr>
      </w:pPr>
      <w:bookmarkStart w:id="455" w:name="_Toc31233"/>
      <w:bookmarkStart w:id="456" w:name="_Toc22011"/>
      <w:bookmarkStart w:id="457" w:name="_Toc32670"/>
      <w:bookmarkStart w:id="458" w:name="_Toc26555"/>
      <w:bookmarkStart w:id="459" w:name="_Toc15447"/>
      <w:r>
        <w:rPr>
          <w:rFonts w:hint="eastAsia" w:ascii="仿宋" w:hAnsi="仿宋" w:eastAsia="仿宋" w:cs="仿宋"/>
          <w:b/>
          <w:color w:val="auto"/>
          <w:sz w:val="24"/>
          <w:highlight w:val="none"/>
        </w:rPr>
        <w:t>2.5 结算方式和付款条件</w:t>
      </w:r>
      <w:bookmarkEnd w:id="455"/>
      <w:bookmarkEnd w:id="456"/>
      <w:bookmarkEnd w:id="457"/>
      <w:bookmarkEnd w:id="458"/>
      <w:bookmarkEnd w:id="459"/>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ascii="仿宋" w:hAnsi="仿宋" w:eastAsia="仿宋" w:cs="仿宋"/>
          <w:b/>
          <w:color w:val="auto"/>
          <w:sz w:val="24"/>
          <w:highlight w:val="none"/>
        </w:rPr>
      </w:pPr>
      <w:bookmarkStart w:id="460" w:name="_Toc13467"/>
      <w:bookmarkStart w:id="461" w:name="_Toc18990"/>
      <w:bookmarkStart w:id="462" w:name="_Toc30507"/>
      <w:bookmarkStart w:id="463" w:name="_Toc13154"/>
      <w:bookmarkStart w:id="464" w:name="_Toc16163"/>
      <w:r>
        <w:rPr>
          <w:rFonts w:hint="eastAsia" w:ascii="仿宋" w:hAnsi="仿宋" w:eastAsia="仿宋" w:cs="仿宋"/>
          <w:b/>
          <w:color w:val="auto"/>
          <w:sz w:val="24"/>
          <w:highlight w:val="none"/>
        </w:rPr>
        <w:t>2.6 技术资料和保密义务</w:t>
      </w:r>
      <w:bookmarkEnd w:id="460"/>
      <w:bookmarkEnd w:id="461"/>
      <w:bookmarkEnd w:id="462"/>
      <w:bookmarkEnd w:id="463"/>
      <w:bookmarkEnd w:id="464"/>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cs="仿宋"/>
          <w:b/>
          <w:color w:val="auto"/>
          <w:sz w:val="24"/>
          <w:highlight w:val="none"/>
        </w:rPr>
      </w:pPr>
      <w:bookmarkStart w:id="465" w:name="_Toc19069"/>
      <w:r>
        <w:rPr>
          <w:rFonts w:hint="eastAsia" w:ascii="仿宋" w:hAnsi="仿宋" w:eastAsia="仿宋" w:cs="仿宋"/>
          <w:b/>
          <w:color w:val="auto"/>
          <w:sz w:val="24"/>
          <w:highlight w:val="none"/>
        </w:rPr>
        <w:t>2.7 质量保证</w:t>
      </w:r>
      <w:bookmarkEnd w:id="465"/>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cs="仿宋"/>
          <w:b/>
          <w:color w:val="auto"/>
          <w:sz w:val="24"/>
          <w:highlight w:val="none"/>
        </w:rPr>
      </w:pPr>
      <w:bookmarkStart w:id="466" w:name="_Toc22267"/>
      <w:r>
        <w:rPr>
          <w:rFonts w:hint="eastAsia" w:ascii="仿宋" w:hAnsi="仿宋" w:eastAsia="仿宋" w:cs="仿宋"/>
          <w:b/>
          <w:color w:val="auto"/>
          <w:sz w:val="24"/>
          <w:highlight w:val="none"/>
        </w:rPr>
        <w:t>2.8 延迟履行</w:t>
      </w:r>
      <w:bookmarkEnd w:id="466"/>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ascii="仿宋" w:hAnsi="仿宋" w:eastAsia="仿宋" w:cs="仿宋"/>
          <w:b/>
          <w:color w:val="auto"/>
          <w:sz w:val="24"/>
          <w:highlight w:val="none"/>
        </w:rPr>
      </w:pPr>
      <w:bookmarkStart w:id="467" w:name="_Toc10611"/>
      <w:r>
        <w:rPr>
          <w:rFonts w:hint="eastAsia" w:ascii="仿宋" w:hAnsi="仿宋" w:eastAsia="仿宋" w:cs="仿宋"/>
          <w:b/>
          <w:color w:val="auto"/>
          <w:sz w:val="24"/>
          <w:highlight w:val="none"/>
        </w:rPr>
        <w:t>2.9 合同变更</w:t>
      </w:r>
      <w:bookmarkEnd w:id="467"/>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color w:val="auto"/>
          <w:sz w:val="24"/>
          <w:highlight w:val="none"/>
        </w:rPr>
      </w:pPr>
      <w:bookmarkStart w:id="468" w:name="_Toc10663"/>
      <w:bookmarkStart w:id="469" w:name="_Toc26689"/>
      <w:bookmarkStart w:id="470" w:name="_Toc23368"/>
      <w:bookmarkStart w:id="471" w:name="_Toc21830"/>
      <w:bookmarkStart w:id="472" w:name="_Toc42"/>
      <w:r>
        <w:rPr>
          <w:rFonts w:hint="eastAsia" w:ascii="仿宋" w:hAnsi="仿宋" w:eastAsia="仿宋" w:cs="仿宋"/>
          <w:b/>
          <w:color w:val="auto"/>
          <w:sz w:val="24"/>
          <w:highlight w:val="none"/>
        </w:rPr>
        <w:t>2.10 合同转让和分包</w:t>
      </w:r>
      <w:bookmarkEnd w:id="468"/>
      <w:bookmarkEnd w:id="469"/>
      <w:bookmarkEnd w:id="470"/>
      <w:bookmarkEnd w:id="471"/>
      <w:bookmarkEnd w:id="472"/>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ascii="仿宋" w:hAnsi="仿宋" w:eastAsia="仿宋" w:cs="仿宋"/>
          <w:b/>
          <w:color w:val="auto"/>
          <w:sz w:val="24"/>
          <w:highlight w:val="none"/>
        </w:rPr>
      </w:pPr>
      <w:bookmarkStart w:id="473" w:name="_Toc14371"/>
      <w:bookmarkStart w:id="474" w:name="_Toc4720"/>
      <w:bookmarkStart w:id="475" w:name="_Toc32494"/>
      <w:bookmarkStart w:id="476" w:name="_Toc26633"/>
      <w:bookmarkStart w:id="477" w:name="_Toc25571"/>
      <w:r>
        <w:rPr>
          <w:rFonts w:hint="eastAsia" w:ascii="仿宋" w:hAnsi="仿宋" w:eastAsia="仿宋" w:cs="仿宋"/>
          <w:b/>
          <w:color w:val="auto"/>
          <w:sz w:val="24"/>
          <w:highlight w:val="none"/>
        </w:rPr>
        <w:t>2.11 不可抗力</w:t>
      </w:r>
      <w:bookmarkEnd w:id="473"/>
      <w:bookmarkEnd w:id="474"/>
      <w:bookmarkEnd w:id="475"/>
      <w:bookmarkEnd w:id="476"/>
      <w:bookmarkEnd w:id="477"/>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pPr>
        <w:spacing w:line="560" w:lineRule="exact"/>
        <w:ind w:firstLine="482" w:firstLineChars="200"/>
        <w:outlineLvl w:val="0"/>
        <w:rPr>
          <w:rFonts w:ascii="仿宋" w:hAnsi="仿宋" w:eastAsia="仿宋" w:cs="仿宋"/>
          <w:b/>
          <w:color w:val="auto"/>
          <w:sz w:val="24"/>
          <w:highlight w:val="none"/>
        </w:rPr>
      </w:pPr>
      <w:bookmarkStart w:id="478" w:name="_Toc14115"/>
      <w:bookmarkStart w:id="479" w:name="_Toc25783"/>
      <w:bookmarkStart w:id="480" w:name="_Toc24465"/>
      <w:bookmarkStart w:id="481" w:name="_Toc3638"/>
      <w:bookmarkStart w:id="482" w:name="_Toc23854"/>
      <w:r>
        <w:rPr>
          <w:rFonts w:hint="eastAsia" w:ascii="仿宋" w:hAnsi="仿宋" w:eastAsia="仿宋" w:cs="仿宋"/>
          <w:b/>
          <w:color w:val="auto"/>
          <w:sz w:val="24"/>
          <w:highlight w:val="none"/>
        </w:rPr>
        <w:t>2.12 税费</w:t>
      </w:r>
      <w:bookmarkEnd w:id="478"/>
      <w:bookmarkEnd w:id="479"/>
      <w:bookmarkEnd w:id="480"/>
      <w:bookmarkEnd w:id="481"/>
      <w:bookmarkEnd w:id="482"/>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pPr>
        <w:spacing w:line="560" w:lineRule="exact"/>
        <w:ind w:firstLine="482" w:firstLineChars="200"/>
        <w:outlineLvl w:val="0"/>
        <w:rPr>
          <w:rFonts w:ascii="仿宋" w:hAnsi="仿宋" w:eastAsia="仿宋" w:cs="仿宋"/>
          <w:b/>
          <w:color w:val="auto"/>
          <w:sz w:val="24"/>
          <w:highlight w:val="none"/>
        </w:rPr>
      </w:pPr>
      <w:bookmarkStart w:id="483" w:name="_Toc7315"/>
      <w:bookmarkStart w:id="484" w:name="_Toc30105"/>
      <w:bookmarkStart w:id="485" w:name="_Toc14814"/>
      <w:bookmarkStart w:id="486" w:name="_Toc25525"/>
      <w:bookmarkStart w:id="487" w:name="_Toc26883"/>
      <w:r>
        <w:rPr>
          <w:rFonts w:hint="eastAsia" w:ascii="仿宋" w:hAnsi="仿宋" w:eastAsia="仿宋" w:cs="仿宋"/>
          <w:b/>
          <w:color w:val="auto"/>
          <w:sz w:val="24"/>
          <w:highlight w:val="none"/>
        </w:rPr>
        <w:t>2.13 乙方破产</w:t>
      </w:r>
      <w:bookmarkEnd w:id="483"/>
      <w:bookmarkEnd w:id="484"/>
      <w:bookmarkEnd w:id="485"/>
      <w:bookmarkEnd w:id="486"/>
      <w:bookmarkEnd w:id="487"/>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cs="仿宋"/>
          <w:b/>
          <w:color w:val="auto"/>
          <w:sz w:val="24"/>
          <w:highlight w:val="none"/>
        </w:rPr>
      </w:pPr>
      <w:bookmarkStart w:id="488" w:name="_Toc23323"/>
      <w:bookmarkStart w:id="489" w:name="_Toc2016"/>
      <w:bookmarkStart w:id="490" w:name="_Toc1123"/>
      <w:r>
        <w:rPr>
          <w:rFonts w:hint="eastAsia" w:ascii="仿宋" w:hAnsi="仿宋" w:eastAsia="仿宋" w:cs="仿宋"/>
          <w:b/>
          <w:color w:val="auto"/>
          <w:sz w:val="24"/>
          <w:highlight w:val="none"/>
        </w:rPr>
        <w:t>2.14 合同中止、终止</w:t>
      </w:r>
      <w:bookmarkEnd w:id="488"/>
      <w:bookmarkEnd w:id="489"/>
      <w:bookmarkEnd w:id="490"/>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color w:val="auto"/>
          <w:sz w:val="24"/>
          <w:highlight w:val="none"/>
        </w:rPr>
      </w:pPr>
      <w:bookmarkStart w:id="491" w:name="_Toc1969"/>
      <w:bookmarkStart w:id="492" w:name="_Toc17363"/>
      <w:bookmarkStart w:id="493" w:name="_Toc14525"/>
      <w:r>
        <w:rPr>
          <w:rFonts w:hint="eastAsia" w:ascii="仿宋" w:hAnsi="仿宋" w:eastAsia="仿宋" w:cs="仿宋"/>
          <w:b/>
          <w:color w:val="auto"/>
          <w:sz w:val="24"/>
          <w:highlight w:val="none"/>
        </w:rPr>
        <w:t>2.15 检验和验收</w:t>
      </w:r>
      <w:bookmarkEnd w:id="491"/>
      <w:bookmarkEnd w:id="492"/>
      <w:bookmarkEnd w:id="493"/>
    </w:p>
    <w:p>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pPr>
        <w:spacing w:line="560" w:lineRule="exact"/>
        <w:ind w:firstLine="482" w:firstLineChars="200"/>
        <w:outlineLvl w:val="0"/>
        <w:rPr>
          <w:rFonts w:ascii="仿宋" w:hAnsi="仿宋" w:eastAsia="仿宋" w:cs="仿宋"/>
          <w:b/>
          <w:color w:val="auto"/>
          <w:sz w:val="24"/>
          <w:highlight w:val="none"/>
        </w:rPr>
      </w:pPr>
      <w:bookmarkStart w:id="494" w:name="_Toc12666"/>
      <w:bookmarkStart w:id="495" w:name="_Toc2308"/>
      <w:bookmarkStart w:id="496" w:name="_Toc25198"/>
      <w:bookmarkStart w:id="497" w:name="_Toc9808"/>
      <w:bookmarkStart w:id="498" w:name="_Toc31892"/>
      <w:r>
        <w:rPr>
          <w:rFonts w:hint="eastAsia" w:ascii="仿宋" w:hAnsi="仿宋" w:eastAsia="仿宋" w:cs="仿宋"/>
          <w:b/>
          <w:color w:val="auto"/>
          <w:sz w:val="24"/>
          <w:highlight w:val="none"/>
        </w:rPr>
        <w:t>2.16 通知和送达</w:t>
      </w:r>
      <w:bookmarkEnd w:id="494"/>
      <w:bookmarkEnd w:id="495"/>
      <w:bookmarkEnd w:id="496"/>
      <w:bookmarkEnd w:id="497"/>
      <w:bookmarkEnd w:id="498"/>
    </w:p>
    <w:p>
      <w:pPr>
        <w:spacing w:line="560" w:lineRule="exact"/>
        <w:ind w:firstLine="480" w:firstLineChars="200"/>
        <w:rPr>
          <w:rFonts w:ascii="仿宋" w:hAnsi="仿宋" w:eastAsia="仿宋" w:cs="仿宋"/>
          <w:color w:val="auto"/>
          <w:sz w:val="24"/>
          <w:highlight w:val="none"/>
        </w:rPr>
      </w:pPr>
      <w:bookmarkStart w:id="499" w:name="_Toc18401"/>
      <w:bookmarkStart w:id="500" w:name="_Toc27674"/>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9"/>
      <w:bookmarkEnd w:id="500"/>
    </w:p>
    <w:p>
      <w:pPr>
        <w:spacing w:line="560" w:lineRule="exact"/>
        <w:ind w:firstLine="482" w:firstLineChars="200"/>
        <w:outlineLvl w:val="0"/>
        <w:rPr>
          <w:rFonts w:ascii="仿宋" w:hAnsi="仿宋" w:eastAsia="仿宋" w:cs="仿宋"/>
          <w:b/>
          <w:color w:val="auto"/>
          <w:sz w:val="24"/>
          <w:highlight w:val="none"/>
        </w:rPr>
      </w:pPr>
      <w:bookmarkStart w:id="501" w:name="_Toc20808"/>
      <w:bookmarkStart w:id="502" w:name="_Toc28906"/>
      <w:bookmarkStart w:id="503" w:name="_Toc12254"/>
      <w:bookmarkStart w:id="504" w:name="_Toc5063"/>
      <w:bookmarkStart w:id="505" w:name="_Toc27644"/>
      <w:r>
        <w:rPr>
          <w:rFonts w:hint="eastAsia" w:ascii="仿宋" w:hAnsi="仿宋" w:eastAsia="仿宋" w:cs="仿宋"/>
          <w:b/>
          <w:color w:val="auto"/>
          <w:sz w:val="24"/>
          <w:highlight w:val="none"/>
        </w:rPr>
        <w:t>2.17 合同使用的文字和适用的法律</w:t>
      </w:r>
      <w:bookmarkEnd w:id="501"/>
      <w:bookmarkEnd w:id="502"/>
      <w:bookmarkEnd w:id="503"/>
      <w:bookmarkEnd w:id="504"/>
      <w:bookmarkEnd w:id="505"/>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pPr>
        <w:spacing w:line="560" w:lineRule="exact"/>
        <w:ind w:firstLine="482" w:firstLineChars="200"/>
        <w:outlineLvl w:val="0"/>
        <w:rPr>
          <w:rFonts w:ascii="仿宋" w:hAnsi="仿宋" w:eastAsia="仿宋" w:cs="仿宋"/>
          <w:b/>
          <w:color w:val="auto"/>
          <w:sz w:val="24"/>
          <w:highlight w:val="none"/>
        </w:rPr>
      </w:pPr>
      <w:bookmarkStart w:id="506" w:name="_Toc30599"/>
      <w:bookmarkStart w:id="507" w:name="_Toc18540"/>
      <w:bookmarkStart w:id="508" w:name="_Toc4355"/>
      <w:r>
        <w:rPr>
          <w:rFonts w:hint="eastAsia" w:ascii="仿宋" w:hAnsi="仿宋" w:eastAsia="仿宋" w:cs="仿宋"/>
          <w:b/>
          <w:color w:val="auto"/>
          <w:sz w:val="24"/>
          <w:highlight w:val="none"/>
        </w:rPr>
        <w:t>2.18 计量单位</w:t>
      </w:r>
      <w:bookmarkEnd w:id="506"/>
      <w:bookmarkEnd w:id="507"/>
      <w:bookmarkEnd w:id="508"/>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pPr>
        <w:spacing w:line="360" w:lineRule="auto"/>
        <w:jc w:val="center"/>
        <w:outlineLvl w:val="0"/>
        <w:rPr>
          <w:rFonts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09" w:name="_Toc331685784"/>
      <w:r>
        <w:rPr>
          <w:rFonts w:hint="eastAsia" w:ascii="仿宋" w:hAnsi="仿宋" w:eastAsia="仿宋" w:cs="仿宋"/>
          <w:b/>
          <w:color w:val="auto"/>
          <w:sz w:val="24"/>
          <w:highlight w:val="none"/>
        </w:rPr>
        <w:t xml:space="preserve"> </w:t>
      </w:r>
      <w:bookmarkEnd w:id="509"/>
      <w:r>
        <w:rPr>
          <w:rFonts w:hint="eastAsia" w:ascii="仿宋" w:hAnsi="仿宋" w:eastAsia="仿宋" w:cs="仿宋"/>
          <w:b/>
          <w:color w:val="auto"/>
          <w:sz w:val="24"/>
          <w:highlight w:val="none"/>
        </w:rPr>
        <w:t>第三部分  合同专用条款</w:t>
      </w:r>
    </w:p>
    <w:p>
      <w:pPr>
        <w:spacing w:line="560" w:lineRule="exact"/>
        <w:ind w:left="-420" w:leftChars="-200"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05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9"/>
        <w:gridCol w:w="80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69" w:type="dxa"/>
            <w:tcBorders>
              <w:lef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088"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088" w:type="dxa"/>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088" w:type="dxa"/>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088" w:type="dxa"/>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088" w:type="dxa"/>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088" w:type="dxa"/>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088" w:type="dxa"/>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088" w:type="dxa"/>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088" w:type="dxa"/>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088" w:type="dxa"/>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088" w:type="dxa"/>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088" w:type="dxa"/>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088" w:type="dxa"/>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088" w:type="dxa"/>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088" w:type="dxa"/>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088" w:type="dxa"/>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088" w:type="dxa"/>
            <w:vAlign w:val="center"/>
          </w:tcPr>
          <w:p>
            <w:pPr>
              <w:spacing w:line="360" w:lineRule="auto"/>
              <w:ind w:left="-420" w:leftChars="-200" w:right="-420" w:rightChars="-200" w:firstLine="480" w:firstLineChars="200"/>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2.5</w:t>
            </w:r>
          </w:p>
        </w:tc>
        <w:tc>
          <w:tcPr>
            <w:tcW w:w="8088" w:type="dxa"/>
            <w:vAlign w:val="center"/>
          </w:tcPr>
          <w:p>
            <w:pPr>
              <w:spacing w:line="360" w:lineRule="auto"/>
              <w:ind w:left="-420" w:leftChars="-200" w:right="-420" w:rightChars="-200" w:firstLine="480" w:firstLineChars="200"/>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088" w:type="dxa"/>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088" w:type="dxa"/>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088" w:type="dxa"/>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088" w:type="dxa"/>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69" w:type="dxa"/>
            <w:tcBorders>
              <w:left w:val="single" w:color="auto" w:sz="4" w:space="0"/>
            </w:tcBorders>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088" w:type="dxa"/>
          </w:tcPr>
          <w:p>
            <w:pPr>
              <w:spacing w:line="360" w:lineRule="auto"/>
              <w:rPr>
                <w:rFonts w:ascii="仿宋" w:hAnsi="仿宋" w:eastAsia="仿宋" w:cs="仿宋"/>
                <w:color w:val="auto"/>
                <w:sz w:val="24"/>
                <w:highlight w:val="none"/>
              </w:rPr>
            </w:pPr>
          </w:p>
        </w:tc>
      </w:tr>
    </w:tbl>
    <w:p>
      <w:pPr>
        <w:spacing w:line="360" w:lineRule="auto"/>
        <w:ind w:left="-420" w:leftChars="-200" w:right="-420" w:rightChars="-200" w:firstLine="480" w:firstLineChars="200"/>
        <w:jc w:val="center"/>
        <w:outlineLvl w:val="0"/>
        <w:rPr>
          <w:rFonts w:ascii="仿宋" w:hAnsi="仿宋" w:eastAsia="仿宋" w:cs="仿宋"/>
          <w:color w:val="auto"/>
          <w:sz w:val="24"/>
          <w:highlight w:val="none"/>
        </w:rPr>
      </w:pPr>
    </w:p>
    <w:p>
      <w:pPr>
        <w:rPr>
          <w:rFonts w:ascii="仿宋" w:hAnsi="仿宋" w:eastAsia="仿宋" w:cs="仿宋"/>
          <w:color w:val="auto"/>
          <w:highlight w:val="none"/>
        </w:rPr>
      </w:pPr>
    </w:p>
    <w:p>
      <w:pP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widowControl/>
        <w:adjustRightInd/>
        <w:jc w:val="cente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4"/>
      <w:r>
        <w:rPr>
          <w:rFonts w:hint="eastAsia" w:ascii="仿宋" w:hAnsi="仿宋" w:eastAsia="仿宋" w:cs="仿宋"/>
          <w:b/>
          <w:color w:val="auto"/>
          <w:sz w:val="36"/>
          <w:szCs w:val="20"/>
          <w:highlight w:val="none"/>
        </w:rPr>
        <w:t xml:space="preserve"> </w:t>
      </w:r>
      <w:bookmarkEnd w:id="395"/>
      <w:r>
        <w:rPr>
          <w:rFonts w:hint="eastAsia" w:ascii="仿宋" w:hAnsi="仿宋" w:eastAsia="仿宋" w:cs="仿宋"/>
          <w:b/>
          <w:color w:val="auto"/>
          <w:sz w:val="36"/>
          <w:szCs w:val="20"/>
          <w:highlight w:val="none"/>
        </w:rPr>
        <w:t>应提交的有关格式范例</w:t>
      </w:r>
    </w:p>
    <w:p>
      <w:pPr>
        <w:spacing w:line="360" w:lineRule="auto"/>
        <w:jc w:val="center"/>
        <w:outlineLvl w:val="0"/>
        <w:rPr>
          <w:rFonts w:ascii="仿宋" w:hAnsi="仿宋" w:eastAsia="仿宋" w:cs="仿宋"/>
          <w:b/>
          <w:color w:val="auto"/>
          <w:kern w:val="0"/>
          <w:sz w:val="36"/>
          <w:szCs w:val="36"/>
          <w:highlight w:val="none"/>
        </w:rPr>
      </w:pPr>
    </w:p>
    <w:p>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ascii="仿宋" w:hAnsi="仿宋" w:eastAsia="仿宋" w:cs="仿宋"/>
          <w:b/>
          <w:color w:val="auto"/>
          <w:kern w:val="0"/>
          <w:sz w:val="36"/>
          <w:szCs w:val="36"/>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pPr>
        <w:snapToGrid w:val="0"/>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p>
    <w:p>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firstLine="559" w:firstLineChars="233"/>
        <w:jc w:val="left"/>
        <w:rPr>
          <w:rFonts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ascii="仿宋" w:hAnsi="仿宋" w:eastAsia="仿宋" w:cs="仿宋"/>
          <w:color w:val="auto"/>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widowControl/>
        <w:adjustRightInd/>
        <w:jc w:val="left"/>
        <w:rPr>
          <w:rFonts w:ascii="仿宋" w:hAnsi="仿宋" w:eastAsia="仿宋" w:cs="仿宋"/>
          <w:b/>
          <w:color w:val="auto"/>
          <w:kern w:val="0"/>
          <w:sz w:val="32"/>
          <w:szCs w:val="32"/>
          <w:highlight w:val="none"/>
        </w:rPr>
      </w:pPr>
    </w:p>
    <w:p>
      <w:pPr>
        <w:widowControl/>
        <w:spacing w:line="360" w:lineRule="auto"/>
        <w:ind w:firstLine="643" w:firstLineChars="20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ascii="仿宋" w:hAnsi="仿宋" w:eastAsia="仿宋" w:cs="仿宋"/>
          <w:color w:val="auto"/>
          <w:sz w:val="24"/>
          <w:highlight w:val="none"/>
        </w:rPr>
      </w:pPr>
    </w:p>
    <w:p>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pPr>
        <w:widowControl/>
        <w:spacing w:line="360" w:lineRule="auto"/>
        <w:ind w:left="150"/>
        <w:jc w:val="center"/>
        <w:rPr>
          <w:rFonts w:ascii="仿宋" w:hAnsi="仿宋" w:eastAsia="仿宋" w:cs="仿宋"/>
          <w:b/>
          <w:color w:val="auto"/>
          <w:kern w:val="0"/>
          <w:sz w:val="32"/>
          <w:szCs w:val="32"/>
          <w:highlight w:val="none"/>
        </w:rPr>
      </w:pPr>
    </w:p>
    <w:p>
      <w:pPr>
        <w:widowControl/>
        <w:spacing w:line="360" w:lineRule="auto"/>
        <w:ind w:left="15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ascii="仿宋" w:hAnsi="仿宋" w:eastAsia="仿宋" w:cs="仿宋"/>
          <w:color w:val="auto"/>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widowControl/>
        <w:adjustRightInd/>
        <w:jc w:val="left"/>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pacing w:line="360" w:lineRule="auto"/>
        <w:ind w:right="420" w:firstLine="3614" w:firstLineChars="100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ascii="仿宋" w:hAnsi="仿宋" w:eastAsia="仿宋" w:cs="仿宋"/>
          <w:b/>
          <w:color w:val="auto"/>
          <w:kern w:val="0"/>
          <w:sz w:val="24"/>
          <w:highlight w:val="none"/>
        </w:rPr>
      </w:pPr>
    </w:p>
    <w:p>
      <w:pPr>
        <w:spacing w:line="360"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rPr>
          <w:rFonts w:ascii="仿宋" w:hAnsi="仿宋" w:eastAsia="仿宋" w:cs="仿宋"/>
          <w:b/>
          <w:color w:val="auto"/>
          <w:kern w:val="0"/>
          <w:sz w:val="32"/>
          <w:szCs w:val="32"/>
          <w:highlight w:val="none"/>
          <w:lang w:val="zh-CN"/>
        </w:rPr>
      </w:pPr>
    </w:p>
    <w:p>
      <w:pPr>
        <w:widowControl/>
        <w:adjustRightInd/>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10" w:name="_Hlk101257010"/>
      <w:r>
        <w:rPr>
          <w:rFonts w:hint="eastAsia" w:ascii="仿宋" w:hAnsi="仿宋" w:eastAsia="仿宋" w:cs="仿宋"/>
          <w:color w:val="auto"/>
          <w:sz w:val="24"/>
          <w:highlight w:val="none"/>
        </w:rPr>
        <w:t>（如果有)</w:t>
      </w:r>
      <w:bookmarkEnd w:id="510"/>
      <w:r>
        <w:rPr>
          <w:rFonts w:hint="eastAsia" w:ascii="仿宋" w:hAnsi="仿宋" w:eastAsia="仿宋" w:cs="仿宋"/>
          <w:snapToGrid w:val="0"/>
          <w:color w:val="auto"/>
          <w:kern w:val="28"/>
          <w:sz w:val="24"/>
          <w:szCs w:val="20"/>
          <w:highlight w:val="none"/>
        </w:rPr>
        <w:t>；</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pPr>
        <w:snapToGrid w:val="0"/>
        <w:spacing w:line="360" w:lineRule="auto"/>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360" w:lineRule="auto"/>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ascii="仿宋" w:hAnsi="仿宋" w:eastAsia="仿宋" w:cs="仿宋"/>
          <w:color w:val="auto"/>
          <w:kern w:val="0"/>
          <w:sz w:val="24"/>
          <w:highlight w:val="none"/>
          <w:u w:val="single"/>
        </w:rPr>
      </w:pP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360" w:lineRule="auto"/>
        <w:jc w:val="center"/>
        <w:rPr>
          <w:rFonts w:ascii="仿宋" w:hAnsi="仿宋" w:eastAsia="仿宋" w:cs="仿宋"/>
          <w:b/>
          <w:color w:val="auto"/>
          <w:kern w:val="0"/>
          <w:sz w:val="32"/>
          <w:szCs w:val="32"/>
          <w:highlight w:val="none"/>
        </w:rPr>
      </w:pPr>
    </w:p>
    <w:p>
      <w:pPr>
        <w:snapToGrid w:val="0"/>
        <w:spacing w:line="360" w:lineRule="auto"/>
        <w:rPr>
          <w:rFonts w:ascii="仿宋" w:hAnsi="仿宋" w:eastAsia="仿宋" w:cs="仿宋"/>
          <w:color w:val="auto"/>
          <w:sz w:val="24"/>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pStyle w:val="2"/>
        <w:rPr>
          <w:rFonts w:ascii="仿宋" w:eastAsia="仿宋" w:cs="仿宋"/>
          <w:color w:val="auto"/>
          <w:highlight w:val="none"/>
          <w:lang w:val="en-US"/>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rPr>
          <w:rFonts w:ascii="仿宋" w:hAnsi="仿宋" w:eastAsia="仿宋" w:cs="仿宋"/>
          <w:color w:val="auto"/>
          <w:sz w:val="24"/>
          <w:highlight w:val="none"/>
        </w:rPr>
      </w:pPr>
    </w:p>
    <w:p>
      <w:pPr>
        <w:snapToGrid w:val="0"/>
        <w:spacing w:line="360" w:lineRule="auto"/>
        <w:ind w:firstLine="2872" w:firstLineChars="894"/>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ascii="仿宋" w:hAnsi="仿宋" w:eastAsia="仿宋" w:cs="仿宋"/>
          <w:color w:val="auto"/>
          <w:sz w:val="24"/>
          <w:highlight w:val="none"/>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ascii="仿宋" w:hAnsi="仿宋" w:eastAsia="仿宋" w:cs="仿宋"/>
          <w:b/>
          <w:color w:val="auto"/>
          <w:kern w:val="0"/>
          <w:sz w:val="32"/>
          <w:szCs w:val="32"/>
          <w:highlight w:val="none"/>
        </w:rPr>
      </w:pPr>
    </w:p>
    <w:p>
      <w:pPr>
        <w:rPr>
          <w:rFonts w:ascii="仿宋" w:hAnsi="仿宋" w:eastAsia="仿宋" w:cs="仿宋"/>
          <w:color w:val="auto"/>
          <w:highlight w:val="none"/>
        </w:rPr>
      </w:pP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ascii="仿宋" w:hAnsi="仿宋" w:eastAsia="仿宋" w:cs="仿宋"/>
          <w:b/>
          <w:color w:val="auto"/>
          <w:kern w:val="0"/>
          <w:sz w:val="32"/>
          <w:szCs w:val="32"/>
          <w:highlight w:val="none"/>
          <w:lang w:val="zh-CN"/>
        </w:rPr>
      </w:pPr>
    </w:p>
    <w:p>
      <w:pPr>
        <w:autoSpaceDE w:val="0"/>
        <w:autoSpaceDN w:val="0"/>
        <w:spacing w:line="360" w:lineRule="auto"/>
        <w:jc w:val="center"/>
        <w:rPr>
          <w:rFonts w:ascii="仿宋" w:hAnsi="仿宋" w:eastAsia="仿宋" w:cs="仿宋"/>
          <w:b/>
          <w:color w:val="auto"/>
          <w:kern w:val="0"/>
          <w:sz w:val="32"/>
          <w:szCs w:val="32"/>
          <w:highlight w:val="none"/>
          <w:lang w:val="zh-CN"/>
        </w:rPr>
      </w:pPr>
    </w:p>
    <w:p>
      <w:pPr>
        <w:autoSpaceDE w:val="0"/>
        <w:autoSpaceDN w:val="0"/>
        <w:spacing w:line="360" w:lineRule="auto"/>
        <w:jc w:val="center"/>
        <w:rPr>
          <w:rFonts w:ascii="仿宋" w:hAnsi="仿宋" w:eastAsia="仿宋" w:cs="仿宋"/>
          <w:b/>
          <w:color w:val="auto"/>
          <w:kern w:val="0"/>
          <w:sz w:val="32"/>
          <w:szCs w:val="32"/>
          <w:highlight w:val="none"/>
          <w:lang w:val="zh-CN"/>
        </w:rPr>
      </w:pPr>
    </w:p>
    <w:p>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5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0"/>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50"/>
              <w:adjustRightInd w:val="0"/>
              <w:spacing w:line="360" w:lineRule="auto"/>
              <w:rPr>
                <w:rFonts w:ascii="仿宋" w:hAnsi="仿宋" w:eastAsia="仿宋" w:cs="仿宋"/>
                <w:bCs/>
                <w:color w:val="auto"/>
                <w:sz w:val="24"/>
                <w:highlight w:val="none"/>
              </w:rPr>
            </w:pPr>
          </w:p>
        </w:tc>
      </w:tr>
    </w:tbl>
    <w:p>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snapToGrid w:val="0"/>
        <w:spacing w:line="360" w:lineRule="auto"/>
        <w:ind w:right="480"/>
        <w:rPr>
          <w:rFonts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rPr>
          <w:rFonts w:ascii="仿宋" w:hAnsi="仿宋" w:eastAsia="仿宋" w:cs="仿宋"/>
          <w:color w:val="auto"/>
          <w:kern w:val="0"/>
          <w:sz w:val="24"/>
          <w:highlight w:val="none"/>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pPr>
        <w:jc w:val="center"/>
        <w:rPr>
          <w:rFonts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pPr>
              <w:rPr>
                <w:rFonts w:ascii="仿宋" w:hAnsi="仿宋" w:eastAsia="仿宋" w:cs="仿宋"/>
                <w:color w:val="auto"/>
                <w:sz w:val="24"/>
                <w:highlight w:val="none"/>
              </w:rPr>
            </w:pPr>
          </w:p>
          <w:p>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pP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ind w:firstLine="2891" w:firstLineChars="9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pPr>
              <w:spacing w:line="360" w:lineRule="auto"/>
              <w:jc w:val="center"/>
              <w:rPr>
                <w:rFonts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r>
    </w:tbl>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pPr>
              <w:jc w:val="center"/>
              <w:rPr>
                <w:rFonts w:ascii="仿宋" w:hAnsi="仿宋" w:eastAsia="仿宋" w:cs="仿宋"/>
                <w:b/>
                <w:color w:val="auto"/>
                <w:kern w:val="0"/>
                <w:sz w:val="32"/>
                <w:szCs w:val="32"/>
                <w:highlight w:val="none"/>
              </w:rPr>
            </w:pPr>
          </w:p>
        </w:tc>
        <w:tc>
          <w:tcPr>
            <w:tcW w:w="3546" w:type="dxa"/>
          </w:tcPr>
          <w:p>
            <w:pPr>
              <w:jc w:val="center"/>
              <w:rPr>
                <w:rFonts w:ascii="仿宋" w:hAnsi="仿宋" w:eastAsia="仿宋" w:cs="仿宋"/>
                <w:b/>
                <w:color w:val="auto"/>
                <w:kern w:val="0"/>
                <w:sz w:val="32"/>
                <w:szCs w:val="32"/>
                <w:highlight w:val="none"/>
              </w:rPr>
            </w:pPr>
          </w:p>
        </w:tc>
        <w:tc>
          <w:tcPr>
            <w:tcW w:w="1276" w:type="dxa"/>
          </w:tcPr>
          <w:p>
            <w:pPr>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pPr>
              <w:jc w:val="center"/>
              <w:rPr>
                <w:rFonts w:ascii="仿宋" w:hAnsi="仿宋" w:eastAsia="仿宋" w:cs="仿宋"/>
                <w:b/>
                <w:color w:val="auto"/>
                <w:kern w:val="0"/>
                <w:sz w:val="32"/>
                <w:szCs w:val="32"/>
                <w:highlight w:val="none"/>
              </w:rPr>
            </w:pPr>
          </w:p>
        </w:tc>
        <w:tc>
          <w:tcPr>
            <w:tcW w:w="3546" w:type="dxa"/>
          </w:tcPr>
          <w:p>
            <w:pPr>
              <w:jc w:val="center"/>
              <w:rPr>
                <w:rFonts w:ascii="仿宋" w:hAnsi="仿宋" w:eastAsia="仿宋" w:cs="仿宋"/>
                <w:b/>
                <w:color w:val="auto"/>
                <w:kern w:val="0"/>
                <w:sz w:val="32"/>
                <w:szCs w:val="32"/>
                <w:highlight w:val="none"/>
              </w:rPr>
            </w:pPr>
          </w:p>
        </w:tc>
        <w:tc>
          <w:tcPr>
            <w:tcW w:w="1276" w:type="dxa"/>
          </w:tcPr>
          <w:p>
            <w:pPr>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pPr>
              <w:jc w:val="center"/>
              <w:rPr>
                <w:rFonts w:ascii="仿宋" w:hAnsi="仿宋" w:eastAsia="仿宋" w:cs="仿宋"/>
                <w:b/>
                <w:color w:val="auto"/>
                <w:kern w:val="0"/>
                <w:sz w:val="32"/>
                <w:szCs w:val="32"/>
                <w:highlight w:val="none"/>
              </w:rPr>
            </w:pPr>
          </w:p>
        </w:tc>
        <w:tc>
          <w:tcPr>
            <w:tcW w:w="3546" w:type="dxa"/>
          </w:tcPr>
          <w:p>
            <w:pPr>
              <w:jc w:val="center"/>
              <w:rPr>
                <w:rFonts w:ascii="仿宋" w:hAnsi="仿宋" w:eastAsia="仿宋" w:cs="仿宋"/>
                <w:b/>
                <w:color w:val="auto"/>
                <w:kern w:val="0"/>
                <w:sz w:val="32"/>
                <w:szCs w:val="32"/>
                <w:highlight w:val="none"/>
              </w:rPr>
            </w:pPr>
          </w:p>
        </w:tc>
        <w:tc>
          <w:tcPr>
            <w:tcW w:w="1276" w:type="dxa"/>
          </w:tcPr>
          <w:p>
            <w:pPr>
              <w:jc w:val="center"/>
              <w:rPr>
                <w:rFonts w:ascii="仿宋" w:hAnsi="仿宋" w:eastAsia="仿宋" w:cs="仿宋"/>
                <w:b/>
                <w:color w:val="auto"/>
                <w:kern w:val="0"/>
                <w:sz w:val="32"/>
                <w:szCs w:val="32"/>
                <w:highlight w:val="none"/>
              </w:rPr>
            </w:pPr>
          </w:p>
        </w:tc>
      </w:tr>
    </w:tbl>
    <w:p>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ascii="仿宋" w:hAnsi="仿宋" w:eastAsia="仿宋" w:cs="仿宋"/>
          <w:b/>
          <w:color w:val="auto"/>
          <w:kern w:val="0"/>
          <w:sz w:val="32"/>
          <w:szCs w:val="32"/>
          <w:highlight w:val="none"/>
        </w:rPr>
      </w:pP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ind w:firstLine="1911" w:firstLineChars="595"/>
        <w:rPr>
          <w:rFonts w:ascii="仿宋" w:hAnsi="仿宋" w:eastAsia="仿宋" w:cs="仿宋"/>
          <w:b/>
          <w:bCs/>
          <w:color w:val="auto"/>
          <w:sz w:val="32"/>
          <w:szCs w:val="32"/>
          <w:highlight w:val="none"/>
        </w:rPr>
      </w:pPr>
    </w:p>
    <w:p>
      <w:pPr>
        <w:ind w:firstLine="1911" w:firstLineChars="595"/>
        <w:rPr>
          <w:rFonts w:ascii="仿宋" w:hAnsi="仿宋" w:eastAsia="仿宋" w:cs="仿宋"/>
          <w:b/>
          <w:bCs/>
          <w:color w:val="auto"/>
          <w:sz w:val="32"/>
          <w:szCs w:val="32"/>
          <w:highlight w:val="none"/>
        </w:rPr>
      </w:pPr>
    </w:p>
    <w:p>
      <w:pPr>
        <w:ind w:firstLine="1911" w:firstLineChars="595"/>
        <w:rPr>
          <w:rFonts w:ascii="仿宋" w:hAnsi="仿宋" w:eastAsia="仿宋" w:cs="仿宋"/>
          <w:b/>
          <w:bCs/>
          <w:color w:val="auto"/>
          <w:sz w:val="32"/>
          <w:szCs w:val="32"/>
          <w:highlight w:val="none"/>
        </w:rPr>
      </w:pPr>
    </w:p>
    <w:p>
      <w:pPr>
        <w:widowControl/>
        <w:adjustRightInd/>
        <w:jc w:val="left"/>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ind w:firstLine="1911" w:firstLineChars="595"/>
        <w:rPr>
          <w:rFonts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ascii="仿宋" w:hAnsi="仿宋" w:eastAsia="仿宋" w:cs="仿宋"/>
          <w:b/>
          <w:bCs/>
          <w:color w:val="auto"/>
          <w:sz w:val="24"/>
          <w:highlight w:val="none"/>
        </w:rPr>
      </w:pP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pacing w:line="360" w:lineRule="auto"/>
        <w:jc w:val="center"/>
        <w:rPr>
          <w:rFonts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ascii="仿宋" w:hAnsi="仿宋" w:eastAsia="仿宋" w:cs="仿宋"/>
          <w:b/>
          <w:color w:val="auto"/>
          <w:kern w:val="0"/>
          <w:sz w:val="36"/>
          <w:szCs w:val="36"/>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pStyle w:val="695"/>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5"/>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22"/>
        <w:gridCol w:w="2412"/>
        <w:gridCol w:w="1983"/>
        <w:gridCol w:w="1721"/>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22"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412" w:type="dxa"/>
          </w:tcPr>
          <w:p>
            <w:pPr>
              <w:spacing w:line="360" w:lineRule="auto"/>
              <w:jc w:val="center"/>
              <w:rPr>
                <w:rFonts w:ascii="仿宋" w:hAnsi="仿宋" w:eastAsia="仿宋" w:cs="仿宋"/>
                <w:b/>
                <w:color w:val="auto"/>
                <w:sz w:val="24"/>
                <w:highlight w:val="none"/>
              </w:rPr>
            </w:pPr>
          </w:p>
          <w:p>
            <w:pPr>
              <w:spacing w:line="36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服务范围</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要求</w:t>
            </w:r>
          </w:p>
        </w:tc>
        <w:tc>
          <w:tcPr>
            <w:tcW w:w="1983"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1721" w:type="dxa"/>
            <w:vAlign w:val="center"/>
          </w:tcPr>
          <w:p>
            <w:pPr>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数量</w:t>
            </w:r>
          </w:p>
        </w:tc>
        <w:tc>
          <w:tcPr>
            <w:tcW w:w="2126" w:type="dxa"/>
            <w:vAlign w:val="center"/>
          </w:tcPr>
          <w:p>
            <w:pPr>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单价</w:t>
            </w:r>
          </w:p>
        </w:tc>
        <w:tc>
          <w:tcPr>
            <w:tcW w:w="2127" w:type="dxa"/>
          </w:tcPr>
          <w:p>
            <w:pPr>
              <w:spacing w:line="360" w:lineRule="auto"/>
              <w:jc w:val="center"/>
              <w:rPr>
                <w:rFonts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总价</w:t>
            </w:r>
          </w:p>
        </w:tc>
        <w:tc>
          <w:tcPr>
            <w:tcW w:w="2126" w:type="dxa"/>
            <w:vAlign w:val="center"/>
          </w:tcPr>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pPr>
              <w:spacing w:line="360" w:lineRule="auto"/>
              <w:jc w:val="center"/>
              <w:rPr>
                <w:rFonts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817" w:type="dxa"/>
            <w:vAlign w:val="center"/>
          </w:tcPr>
          <w:p>
            <w:pPr>
              <w:spacing w:line="360" w:lineRule="auto"/>
              <w:jc w:val="center"/>
              <w:rPr>
                <w:rFonts w:ascii="仿宋" w:hAnsi="仿宋" w:eastAsia="仿宋" w:cs="仿宋"/>
                <w:color w:val="auto"/>
                <w:sz w:val="24"/>
                <w:highlight w:val="none"/>
              </w:rPr>
            </w:pPr>
          </w:p>
        </w:tc>
        <w:tc>
          <w:tcPr>
            <w:tcW w:w="1822" w:type="dxa"/>
            <w:vAlign w:val="center"/>
          </w:tcPr>
          <w:p>
            <w:pPr>
              <w:snapToGrid w:val="0"/>
              <w:spacing w:line="360" w:lineRule="auto"/>
              <w:jc w:val="center"/>
              <w:rPr>
                <w:rFonts w:ascii="仿宋" w:hAnsi="仿宋" w:eastAsia="仿宋" w:cs="仿宋"/>
                <w:color w:val="auto"/>
                <w:sz w:val="24"/>
                <w:highlight w:val="none"/>
              </w:rPr>
            </w:pPr>
          </w:p>
        </w:tc>
        <w:tc>
          <w:tcPr>
            <w:tcW w:w="2412" w:type="dxa"/>
            <w:vAlign w:val="center"/>
          </w:tcPr>
          <w:p>
            <w:pPr>
              <w:snapToGrid w:val="0"/>
              <w:spacing w:line="360" w:lineRule="auto"/>
              <w:jc w:val="center"/>
              <w:rPr>
                <w:rFonts w:ascii="仿宋" w:hAnsi="仿宋" w:eastAsia="仿宋" w:cs="仿宋"/>
                <w:color w:val="auto"/>
                <w:sz w:val="24"/>
                <w:highlight w:val="none"/>
              </w:rPr>
            </w:pPr>
          </w:p>
        </w:tc>
        <w:tc>
          <w:tcPr>
            <w:tcW w:w="1983" w:type="dxa"/>
            <w:vAlign w:val="center"/>
          </w:tcPr>
          <w:p>
            <w:pPr>
              <w:snapToGrid w:val="0"/>
              <w:spacing w:line="360" w:lineRule="auto"/>
              <w:jc w:val="center"/>
              <w:rPr>
                <w:rFonts w:hint="default" w:ascii="仿宋" w:hAnsi="仿宋" w:eastAsia="仿宋" w:cs="仿宋"/>
                <w:color w:val="auto"/>
                <w:sz w:val="24"/>
                <w:highlight w:val="none"/>
                <w:lang w:val="en-US" w:eastAsia="zh-CN"/>
              </w:rPr>
            </w:pPr>
          </w:p>
        </w:tc>
        <w:tc>
          <w:tcPr>
            <w:tcW w:w="1721" w:type="dxa"/>
            <w:vAlign w:val="center"/>
          </w:tcPr>
          <w:p>
            <w:pPr>
              <w:snapToGrid w:val="0"/>
              <w:spacing w:line="360" w:lineRule="auto"/>
              <w:jc w:val="center"/>
              <w:rPr>
                <w:rFonts w:hint="eastAsia" w:ascii="仿宋" w:hAnsi="仿宋" w:eastAsia="仿宋" w:cs="仿宋"/>
                <w:color w:val="auto"/>
                <w:sz w:val="24"/>
                <w:highlight w:val="none"/>
                <w:lang w:val="en-US" w:eastAsia="zh-CN"/>
              </w:rPr>
            </w:pPr>
          </w:p>
        </w:tc>
        <w:tc>
          <w:tcPr>
            <w:tcW w:w="2126" w:type="dxa"/>
            <w:vAlign w:val="center"/>
          </w:tcPr>
          <w:p>
            <w:pPr>
              <w:spacing w:line="360" w:lineRule="auto"/>
              <w:jc w:val="center"/>
              <w:rPr>
                <w:rFonts w:ascii="仿宋" w:hAnsi="仿宋" w:eastAsia="仿宋" w:cs="仿宋"/>
                <w:color w:val="auto"/>
                <w:sz w:val="24"/>
                <w:highlight w:val="none"/>
              </w:rPr>
            </w:pPr>
          </w:p>
        </w:tc>
        <w:tc>
          <w:tcPr>
            <w:tcW w:w="2127" w:type="dxa"/>
          </w:tcPr>
          <w:p>
            <w:pPr>
              <w:spacing w:line="360" w:lineRule="auto"/>
              <w:jc w:val="center"/>
              <w:rPr>
                <w:rFonts w:ascii="仿宋" w:hAnsi="仿宋" w:eastAsia="仿宋" w:cs="仿宋"/>
                <w:color w:val="auto"/>
                <w:sz w:val="24"/>
                <w:highlight w:val="none"/>
              </w:rPr>
            </w:pPr>
          </w:p>
        </w:tc>
        <w:tc>
          <w:tcPr>
            <w:tcW w:w="2126"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仿宋" w:hAnsi="仿宋" w:eastAsia="仿宋" w:cs="仿宋"/>
                <w:color w:val="auto"/>
                <w:sz w:val="24"/>
                <w:highlight w:val="none"/>
              </w:rPr>
            </w:pPr>
          </w:p>
        </w:tc>
        <w:tc>
          <w:tcPr>
            <w:tcW w:w="1822" w:type="dxa"/>
            <w:vAlign w:val="center"/>
          </w:tcPr>
          <w:p>
            <w:pPr>
              <w:snapToGrid w:val="0"/>
              <w:spacing w:line="360" w:lineRule="auto"/>
              <w:jc w:val="center"/>
              <w:rPr>
                <w:rFonts w:hint="default" w:ascii="仿宋" w:hAnsi="仿宋" w:eastAsia="仿宋" w:cs="仿宋"/>
                <w:color w:val="auto"/>
                <w:sz w:val="24"/>
                <w:highlight w:val="none"/>
                <w:lang w:val="en-US"/>
              </w:rPr>
            </w:pPr>
          </w:p>
        </w:tc>
        <w:tc>
          <w:tcPr>
            <w:tcW w:w="2412" w:type="dxa"/>
            <w:vAlign w:val="center"/>
          </w:tcPr>
          <w:p>
            <w:pPr>
              <w:snapToGrid w:val="0"/>
              <w:spacing w:line="360" w:lineRule="auto"/>
              <w:jc w:val="center"/>
              <w:rPr>
                <w:rFonts w:ascii="仿宋" w:hAnsi="仿宋" w:eastAsia="仿宋" w:cs="仿宋"/>
                <w:color w:val="auto"/>
                <w:sz w:val="24"/>
                <w:highlight w:val="none"/>
              </w:rPr>
            </w:pPr>
          </w:p>
        </w:tc>
        <w:tc>
          <w:tcPr>
            <w:tcW w:w="1983" w:type="dxa"/>
            <w:vAlign w:val="center"/>
          </w:tcPr>
          <w:p>
            <w:pPr>
              <w:snapToGrid w:val="0"/>
              <w:spacing w:line="360" w:lineRule="auto"/>
              <w:jc w:val="center"/>
              <w:rPr>
                <w:rFonts w:ascii="仿宋" w:hAnsi="仿宋" w:eastAsia="仿宋" w:cs="仿宋"/>
                <w:color w:val="auto"/>
                <w:sz w:val="24"/>
                <w:highlight w:val="none"/>
              </w:rPr>
            </w:pPr>
          </w:p>
        </w:tc>
        <w:tc>
          <w:tcPr>
            <w:tcW w:w="1721" w:type="dxa"/>
            <w:vAlign w:val="center"/>
          </w:tcPr>
          <w:p>
            <w:pPr>
              <w:snapToGrid w:val="0"/>
              <w:spacing w:line="360" w:lineRule="auto"/>
              <w:jc w:val="center"/>
              <w:rPr>
                <w:rFonts w:ascii="仿宋" w:hAnsi="仿宋" w:eastAsia="仿宋" w:cs="仿宋"/>
                <w:color w:val="auto"/>
                <w:sz w:val="24"/>
                <w:highlight w:val="none"/>
              </w:rPr>
            </w:pPr>
          </w:p>
        </w:tc>
        <w:tc>
          <w:tcPr>
            <w:tcW w:w="2126" w:type="dxa"/>
            <w:vAlign w:val="center"/>
          </w:tcPr>
          <w:p>
            <w:pPr>
              <w:spacing w:line="360" w:lineRule="auto"/>
              <w:jc w:val="center"/>
              <w:rPr>
                <w:rFonts w:ascii="仿宋" w:hAnsi="仿宋" w:eastAsia="仿宋" w:cs="仿宋"/>
                <w:color w:val="auto"/>
                <w:sz w:val="24"/>
                <w:highlight w:val="none"/>
              </w:rPr>
            </w:pPr>
          </w:p>
        </w:tc>
        <w:tc>
          <w:tcPr>
            <w:tcW w:w="2127" w:type="dxa"/>
          </w:tcPr>
          <w:p>
            <w:pPr>
              <w:spacing w:line="360" w:lineRule="auto"/>
              <w:jc w:val="center"/>
              <w:rPr>
                <w:rFonts w:ascii="仿宋" w:hAnsi="仿宋" w:eastAsia="仿宋" w:cs="仿宋"/>
                <w:color w:val="auto"/>
                <w:sz w:val="24"/>
                <w:highlight w:val="none"/>
              </w:rPr>
            </w:pPr>
          </w:p>
        </w:tc>
        <w:tc>
          <w:tcPr>
            <w:tcW w:w="2126"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仿宋" w:hAnsi="仿宋" w:eastAsia="仿宋" w:cs="仿宋"/>
                <w:color w:val="auto"/>
                <w:sz w:val="24"/>
                <w:highlight w:val="none"/>
              </w:rPr>
            </w:pPr>
          </w:p>
        </w:tc>
        <w:tc>
          <w:tcPr>
            <w:tcW w:w="1822" w:type="dxa"/>
            <w:vAlign w:val="center"/>
          </w:tcPr>
          <w:p>
            <w:pPr>
              <w:snapToGrid w:val="0"/>
              <w:spacing w:line="360" w:lineRule="auto"/>
              <w:jc w:val="center"/>
              <w:rPr>
                <w:rFonts w:ascii="仿宋" w:hAnsi="仿宋" w:eastAsia="仿宋" w:cs="仿宋"/>
                <w:color w:val="auto"/>
                <w:sz w:val="24"/>
                <w:highlight w:val="none"/>
              </w:rPr>
            </w:pPr>
          </w:p>
        </w:tc>
        <w:tc>
          <w:tcPr>
            <w:tcW w:w="2412" w:type="dxa"/>
            <w:vAlign w:val="center"/>
          </w:tcPr>
          <w:p>
            <w:pPr>
              <w:snapToGrid w:val="0"/>
              <w:spacing w:line="360" w:lineRule="auto"/>
              <w:jc w:val="center"/>
              <w:rPr>
                <w:rFonts w:ascii="仿宋" w:hAnsi="仿宋" w:eastAsia="仿宋" w:cs="仿宋"/>
                <w:color w:val="auto"/>
                <w:sz w:val="24"/>
                <w:highlight w:val="none"/>
              </w:rPr>
            </w:pPr>
          </w:p>
        </w:tc>
        <w:tc>
          <w:tcPr>
            <w:tcW w:w="1983" w:type="dxa"/>
            <w:vAlign w:val="center"/>
          </w:tcPr>
          <w:p>
            <w:pPr>
              <w:snapToGrid w:val="0"/>
              <w:spacing w:line="360" w:lineRule="auto"/>
              <w:jc w:val="center"/>
              <w:rPr>
                <w:rFonts w:ascii="仿宋" w:hAnsi="仿宋" w:eastAsia="仿宋" w:cs="仿宋"/>
                <w:color w:val="auto"/>
                <w:sz w:val="24"/>
                <w:highlight w:val="none"/>
              </w:rPr>
            </w:pPr>
          </w:p>
        </w:tc>
        <w:tc>
          <w:tcPr>
            <w:tcW w:w="1721" w:type="dxa"/>
            <w:vAlign w:val="center"/>
          </w:tcPr>
          <w:p>
            <w:pPr>
              <w:snapToGrid w:val="0"/>
              <w:spacing w:line="360" w:lineRule="auto"/>
              <w:jc w:val="center"/>
              <w:rPr>
                <w:rFonts w:ascii="仿宋" w:hAnsi="仿宋" w:eastAsia="仿宋" w:cs="仿宋"/>
                <w:color w:val="auto"/>
                <w:sz w:val="24"/>
                <w:highlight w:val="none"/>
              </w:rPr>
            </w:pPr>
          </w:p>
        </w:tc>
        <w:tc>
          <w:tcPr>
            <w:tcW w:w="2126" w:type="dxa"/>
            <w:vAlign w:val="center"/>
          </w:tcPr>
          <w:p>
            <w:pPr>
              <w:spacing w:line="360" w:lineRule="auto"/>
              <w:jc w:val="center"/>
              <w:rPr>
                <w:rFonts w:ascii="仿宋" w:hAnsi="仿宋" w:eastAsia="仿宋" w:cs="仿宋"/>
                <w:color w:val="auto"/>
                <w:sz w:val="24"/>
                <w:highlight w:val="none"/>
              </w:rPr>
            </w:pPr>
          </w:p>
        </w:tc>
        <w:tc>
          <w:tcPr>
            <w:tcW w:w="2127" w:type="dxa"/>
          </w:tcPr>
          <w:p>
            <w:pPr>
              <w:spacing w:line="360" w:lineRule="auto"/>
              <w:jc w:val="center"/>
              <w:rPr>
                <w:rFonts w:ascii="仿宋" w:hAnsi="仿宋" w:eastAsia="仿宋" w:cs="仿宋"/>
                <w:color w:val="auto"/>
                <w:sz w:val="24"/>
                <w:highlight w:val="none"/>
              </w:rPr>
            </w:pPr>
          </w:p>
        </w:tc>
        <w:tc>
          <w:tcPr>
            <w:tcW w:w="2126"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仿宋" w:hAnsi="仿宋" w:eastAsia="仿宋" w:cs="仿宋"/>
                <w:color w:val="auto"/>
                <w:sz w:val="24"/>
                <w:highlight w:val="none"/>
              </w:rPr>
            </w:pPr>
          </w:p>
        </w:tc>
        <w:tc>
          <w:tcPr>
            <w:tcW w:w="1822" w:type="dxa"/>
            <w:vAlign w:val="center"/>
          </w:tcPr>
          <w:p>
            <w:pPr>
              <w:snapToGrid w:val="0"/>
              <w:spacing w:line="360" w:lineRule="auto"/>
              <w:jc w:val="center"/>
              <w:rPr>
                <w:rFonts w:ascii="仿宋" w:hAnsi="仿宋" w:eastAsia="仿宋" w:cs="仿宋"/>
                <w:color w:val="auto"/>
                <w:sz w:val="24"/>
                <w:highlight w:val="none"/>
              </w:rPr>
            </w:pPr>
          </w:p>
        </w:tc>
        <w:tc>
          <w:tcPr>
            <w:tcW w:w="2412" w:type="dxa"/>
            <w:vAlign w:val="center"/>
          </w:tcPr>
          <w:p>
            <w:pPr>
              <w:snapToGrid w:val="0"/>
              <w:spacing w:line="360" w:lineRule="auto"/>
              <w:jc w:val="center"/>
              <w:rPr>
                <w:rFonts w:ascii="仿宋" w:hAnsi="仿宋" w:eastAsia="仿宋" w:cs="仿宋"/>
                <w:color w:val="auto"/>
                <w:sz w:val="24"/>
                <w:highlight w:val="none"/>
              </w:rPr>
            </w:pPr>
          </w:p>
        </w:tc>
        <w:tc>
          <w:tcPr>
            <w:tcW w:w="1983" w:type="dxa"/>
            <w:vAlign w:val="center"/>
          </w:tcPr>
          <w:p>
            <w:pPr>
              <w:snapToGrid w:val="0"/>
              <w:spacing w:line="360" w:lineRule="auto"/>
              <w:jc w:val="center"/>
              <w:rPr>
                <w:rFonts w:ascii="仿宋" w:hAnsi="仿宋" w:eastAsia="仿宋" w:cs="仿宋"/>
                <w:color w:val="auto"/>
                <w:sz w:val="24"/>
                <w:highlight w:val="none"/>
              </w:rPr>
            </w:pPr>
          </w:p>
        </w:tc>
        <w:tc>
          <w:tcPr>
            <w:tcW w:w="1721" w:type="dxa"/>
            <w:vAlign w:val="center"/>
          </w:tcPr>
          <w:p>
            <w:pPr>
              <w:snapToGrid w:val="0"/>
              <w:spacing w:line="360" w:lineRule="auto"/>
              <w:jc w:val="center"/>
              <w:rPr>
                <w:rFonts w:ascii="仿宋" w:hAnsi="仿宋" w:eastAsia="仿宋" w:cs="仿宋"/>
                <w:color w:val="auto"/>
                <w:sz w:val="24"/>
                <w:highlight w:val="none"/>
              </w:rPr>
            </w:pPr>
          </w:p>
        </w:tc>
        <w:tc>
          <w:tcPr>
            <w:tcW w:w="2126" w:type="dxa"/>
            <w:vAlign w:val="center"/>
          </w:tcPr>
          <w:p>
            <w:pPr>
              <w:spacing w:line="360" w:lineRule="auto"/>
              <w:jc w:val="center"/>
              <w:rPr>
                <w:rFonts w:ascii="仿宋" w:hAnsi="仿宋" w:eastAsia="仿宋" w:cs="仿宋"/>
                <w:color w:val="auto"/>
                <w:sz w:val="24"/>
                <w:highlight w:val="none"/>
              </w:rPr>
            </w:pPr>
          </w:p>
        </w:tc>
        <w:tc>
          <w:tcPr>
            <w:tcW w:w="2127" w:type="dxa"/>
          </w:tcPr>
          <w:p>
            <w:pPr>
              <w:spacing w:line="360" w:lineRule="auto"/>
              <w:jc w:val="center"/>
              <w:rPr>
                <w:rFonts w:ascii="仿宋" w:hAnsi="仿宋" w:eastAsia="仿宋" w:cs="仿宋"/>
                <w:color w:val="auto"/>
                <w:sz w:val="24"/>
                <w:highlight w:val="none"/>
              </w:rPr>
            </w:pPr>
          </w:p>
        </w:tc>
        <w:tc>
          <w:tcPr>
            <w:tcW w:w="2126"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仿宋" w:hAnsi="仿宋" w:eastAsia="仿宋" w:cs="仿宋"/>
                <w:color w:val="auto"/>
                <w:sz w:val="24"/>
                <w:highlight w:val="none"/>
              </w:rPr>
            </w:pPr>
          </w:p>
        </w:tc>
        <w:tc>
          <w:tcPr>
            <w:tcW w:w="1822" w:type="dxa"/>
            <w:vAlign w:val="center"/>
          </w:tcPr>
          <w:p>
            <w:pPr>
              <w:snapToGrid w:val="0"/>
              <w:spacing w:line="360" w:lineRule="auto"/>
              <w:jc w:val="center"/>
              <w:rPr>
                <w:rFonts w:ascii="仿宋" w:hAnsi="仿宋" w:eastAsia="仿宋" w:cs="仿宋"/>
                <w:color w:val="auto"/>
                <w:sz w:val="24"/>
                <w:highlight w:val="none"/>
              </w:rPr>
            </w:pPr>
          </w:p>
        </w:tc>
        <w:tc>
          <w:tcPr>
            <w:tcW w:w="2412" w:type="dxa"/>
            <w:vAlign w:val="center"/>
          </w:tcPr>
          <w:p>
            <w:pPr>
              <w:snapToGrid w:val="0"/>
              <w:spacing w:line="360" w:lineRule="auto"/>
              <w:jc w:val="center"/>
              <w:rPr>
                <w:rFonts w:ascii="仿宋" w:hAnsi="仿宋" w:eastAsia="仿宋" w:cs="仿宋"/>
                <w:color w:val="auto"/>
                <w:sz w:val="24"/>
                <w:highlight w:val="none"/>
              </w:rPr>
            </w:pPr>
          </w:p>
        </w:tc>
        <w:tc>
          <w:tcPr>
            <w:tcW w:w="1983" w:type="dxa"/>
            <w:vAlign w:val="center"/>
          </w:tcPr>
          <w:p>
            <w:pPr>
              <w:snapToGrid w:val="0"/>
              <w:spacing w:line="360" w:lineRule="auto"/>
              <w:jc w:val="center"/>
              <w:rPr>
                <w:rFonts w:ascii="仿宋" w:hAnsi="仿宋" w:eastAsia="仿宋" w:cs="仿宋"/>
                <w:color w:val="auto"/>
                <w:sz w:val="24"/>
                <w:highlight w:val="none"/>
              </w:rPr>
            </w:pPr>
          </w:p>
        </w:tc>
        <w:tc>
          <w:tcPr>
            <w:tcW w:w="1721" w:type="dxa"/>
            <w:vAlign w:val="center"/>
          </w:tcPr>
          <w:p>
            <w:pPr>
              <w:snapToGrid w:val="0"/>
              <w:spacing w:line="360" w:lineRule="auto"/>
              <w:jc w:val="center"/>
              <w:rPr>
                <w:rFonts w:ascii="仿宋" w:hAnsi="仿宋" w:eastAsia="仿宋" w:cs="仿宋"/>
                <w:color w:val="auto"/>
                <w:sz w:val="24"/>
                <w:highlight w:val="none"/>
              </w:rPr>
            </w:pPr>
          </w:p>
        </w:tc>
        <w:tc>
          <w:tcPr>
            <w:tcW w:w="2126" w:type="dxa"/>
            <w:vAlign w:val="center"/>
          </w:tcPr>
          <w:p>
            <w:pPr>
              <w:spacing w:line="360" w:lineRule="auto"/>
              <w:jc w:val="center"/>
              <w:rPr>
                <w:rFonts w:ascii="仿宋" w:hAnsi="仿宋" w:eastAsia="仿宋" w:cs="仿宋"/>
                <w:color w:val="auto"/>
                <w:sz w:val="24"/>
                <w:highlight w:val="none"/>
              </w:rPr>
            </w:pPr>
          </w:p>
        </w:tc>
        <w:tc>
          <w:tcPr>
            <w:tcW w:w="2127" w:type="dxa"/>
          </w:tcPr>
          <w:p>
            <w:pPr>
              <w:spacing w:line="360" w:lineRule="auto"/>
              <w:jc w:val="center"/>
              <w:rPr>
                <w:rFonts w:ascii="仿宋" w:hAnsi="仿宋" w:eastAsia="仿宋" w:cs="仿宋"/>
                <w:color w:val="auto"/>
                <w:sz w:val="24"/>
                <w:highlight w:val="none"/>
              </w:rPr>
            </w:pPr>
          </w:p>
        </w:tc>
        <w:tc>
          <w:tcPr>
            <w:tcW w:w="2126"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034" w:type="dxa"/>
            <w:gridSpan w:val="4"/>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100" w:type="dxa"/>
            <w:gridSpan w:val="4"/>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034" w:type="dxa"/>
            <w:gridSpan w:val="4"/>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100" w:type="dxa"/>
            <w:gridSpan w:val="4"/>
          </w:tcPr>
          <w:p>
            <w:pPr>
              <w:spacing w:line="360" w:lineRule="auto"/>
              <w:jc w:val="center"/>
              <w:rPr>
                <w:rFonts w:ascii="仿宋" w:hAnsi="仿宋" w:eastAsia="仿宋" w:cs="仿宋"/>
                <w:color w:val="auto"/>
                <w:sz w:val="24"/>
                <w:highlight w:val="none"/>
              </w:rPr>
            </w:pPr>
          </w:p>
        </w:tc>
      </w:tr>
    </w:tbl>
    <w:p>
      <w:pPr>
        <w:snapToGrid w:val="0"/>
        <w:spacing w:line="360" w:lineRule="auto"/>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5、特别说明：▲供应商报价低于项目预算50%的，应当在报价文件中详细阐述不影响产品质量或者诚信履约的具体原因，未做阐述说明的，投标无效。</w:t>
      </w:r>
    </w:p>
    <w:p>
      <w:pPr>
        <w:spacing w:line="360" w:lineRule="auto"/>
        <w:ind w:firstLine="482" w:firstLineChars="200"/>
        <w:rPr>
          <w:rFonts w:ascii="仿宋" w:hAnsi="仿宋" w:eastAsia="仿宋" w:cs="仿宋"/>
          <w:b/>
          <w:color w:val="auto"/>
          <w:kern w:val="0"/>
          <w:sz w:val="24"/>
          <w:highlight w:val="none"/>
        </w:rPr>
      </w:pPr>
    </w:p>
    <w:p>
      <w:pPr>
        <w:pStyle w:val="695"/>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pPr>
        <w:pStyle w:val="695"/>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5"/>
        <w:keepNext w:val="0"/>
        <w:pageBreakBefore w:val="0"/>
        <w:tabs>
          <w:tab w:val="clear" w:pos="720"/>
        </w:tabs>
        <w:snapToGrid w:val="0"/>
        <w:spacing w:before="120" w:after="120"/>
        <w:ind w:firstLine="643"/>
        <w:outlineLvl w:val="9"/>
        <w:rPr>
          <w:rFonts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pPr>
        <w:widowControl/>
        <w:spacing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5"/>
        <w:keepNext w:val="0"/>
        <w:pageBreakBefore w:val="0"/>
        <w:tabs>
          <w:tab w:val="clear" w:pos="720"/>
        </w:tabs>
        <w:snapToGrid w:val="0"/>
        <w:spacing w:before="120" w:after="120"/>
        <w:ind w:firstLine="643"/>
        <w:outlineLvl w:val="9"/>
        <w:rPr>
          <w:rFonts w:ascii="仿宋" w:hAnsi="仿宋" w:eastAsia="仿宋" w:cs="仿宋"/>
          <w:b w:val="0"/>
          <w:color w:val="auto"/>
          <w:sz w:val="32"/>
          <w:szCs w:val="32"/>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highlight w:val="none"/>
        </w:rPr>
      </w:pPr>
      <w:r>
        <w:rPr>
          <w:rFonts w:hint="eastAsia" w:ascii="仿宋" w:hAnsi="仿宋" w:eastAsia="仿宋" w:cs="仿宋"/>
          <w:color w:val="auto"/>
          <w:highlight w:val="none"/>
        </w:rPr>
        <w:t>附件</w:t>
      </w:r>
    </w:p>
    <w:p>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ascii="仿宋" w:hAnsi="仿宋" w:eastAsia="仿宋" w:cs="仿宋"/>
          <w:b/>
          <w:color w:val="auto"/>
          <w:spacing w:val="6"/>
          <w:sz w:val="32"/>
          <w:szCs w:val="32"/>
          <w:highlight w:val="none"/>
        </w:rPr>
      </w:pPr>
      <w:bookmarkStart w:id="511" w:name="OLE_LINK14"/>
      <w:bookmarkStart w:id="512" w:name="OLE_LINK13"/>
      <w:r>
        <w:rPr>
          <w:rFonts w:hint="eastAsia" w:ascii="仿宋" w:hAnsi="仿宋" w:eastAsia="仿宋" w:cs="仿宋"/>
          <w:b/>
          <w:color w:val="auto"/>
          <w:spacing w:val="6"/>
          <w:sz w:val="32"/>
          <w:szCs w:val="32"/>
          <w:highlight w:val="none"/>
        </w:rPr>
        <w:t>残疾人福利性单位声明函</w:t>
      </w:r>
    </w:p>
    <w:bookmarkEnd w:id="511"/>
    <w:bookmarkEnd w:id="512"/>
    <w:p>
      <w:pPr>
        <w:spacing w:line="360" w:lineRule="auto"/>
        <w:rPr>
          <w:rFonts w:ascii="仿宋" w:hAnsi="仿宋" w:eastAsia="仿宋" w:cs="仿宋"/>
          <w:b/>
          <w:color w:val="auto"/>
          <w:spacing w:val="6"/>
          <w:sz w:val="30"/>
          <w:szCs w:val="30"/>
          <w:highlight w:val="none"/>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p>
    <w:p>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ascii="仿宋" w:hAnsi="仿宋" w:eastAsia="仿宋" w:cs="仿宋"/>
          <w:color w:val="auto"/>
          <w:sz w:val="24"/>
          <w:highlight w:val="none"/>
        </w:rPr>
      </w:pPr>
    </w:p>
    <w:p>
      <w:pPr>
        <w:spacing w:line="360" w:lineRule="auto"/>
        <w:ind w:firstLine="420" w:firstLineChars="200"/>
        <w:rPr>
          <w:rFonts w:ascii="仿宋" w:hAnsi="仿宋" w:eastAsia="仿宋" w:cs="仿宋"/>
          <w:color w:val="auto"/>
          <w:highlight w:val="none"/>
        </w:rPr>
      </w:pPr>
    </w:p>
    <w:p>
      <w:pPr>
        <w:spacing w:line="360" w:lineRule="auto"/>
        <w:ind w:firstLine="420" w:firstLineChars="200"/>
        <w:rPr>
          <w:rFonts w:ascii="仿宋" w:hAnsi="仿宋" w:eastAsia="仿宋" w:cs="仿宋"/>
          <w:color w:val="auto"/>
          <w:highlight w:val="none"/>
        </w:rPr>
      </w:pPr>
    </w:p>
    <w:p>
      <w:pPr>
        <w:spacing w:line="360" w:lineRule="auto"/>
        <w:ind w:firstLine="420" w:firstLineChars="200"/>
        <w:rPr>
          <w:rFonts w:ascii="仿宋" w:hAnsi="仿宋" w:eastAsia="仿宋" w:cs="仿宋"/>
          <w:color w:val="auto"/>
          <w:highlight w:val="none"/>
        </w:rPr>
      </w:pPr>
    </w:p>
    <w:p>
      <w:pPr>
        <w:spacing w:line="360" w:lineRule="auto"/>
        <w:ind w:firstLine="420" w:firstLineChars="200"/>
        <w:rPr>
          <w:rFonts w:ascii="仿宋" w:hAnsi="仿宋" w:eastAsia="仿宋" w:cs="仿宋"/>
          <w:color w:val="auto"/>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ascii="仿宋" w:hAnsi="仿宋" w:eastAsia="仿宋" w:cs="仿宋"/>
          <w:b/>
          <w:bCs/>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color w:val="auto"/>
          <w:sz w:val="30"/>
          <w:szCs w:val="30"/>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color w:val="auto"/>
          <w:sz w:val="24"/>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ascii="仿宋" w:hAnsi="仿宋" w:eastAsia="仿宋" w:cs="仿宋"/>
          <w:color w:val="auto"/>
          <w:sz w:val="24"/>
          <w:highlight w:val="none"/>
          <w:u w:val="single"/>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13" w:name="_Hlk101131882"/>
      <w:r>
        <w:rPr>
          <w:rFonts w:hint="eastAsia" w:ascii="仿宋" w:hAnsi="仿宋" w:eastAsia="仿宋" w:cs="仿宋"/>
          <w:color w:val="auto"/>
          <w:kern w:val="0"/>
          <w:sz w:val="24"/>
          <w:highlight w:val="none"/>
          <w:u w:val="single"/>
        </w:rPr>
        <w:t>联合体成员X,……</w:t>
      </w:r>
      <w:bookmarkEnd w:id="513"/>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14"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14"/>
      <w:r>
        <w:rPr>
          <w:rFonts w:hint="eastAsia" w:ascii="仿宋" w:hAnsi="仿宋" w:eastAsia="仿宋" w:cs="仿宋"/>
          <w:b/>
          <w:color w:val="auto"/>
          <w:kern w:val="0"/>
          <w:sz w:val="24"/>
          <w:highlight w:val="none"/>
          <w:lang w:val="zh-CN"/>
        </w:rPr>
        <w:t>）</w:t>
      </w:r>
    </w:p>
    <w:p>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15"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15"/>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right="960"/>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snapToGrid w:val="0"/>
        <w:spacing w:line="360" w:lineRule="auto"/>
        <w:ind w:firstLine="3666" w:firstLineChars="1100"/>
        <w:rPr>
          <w:rFonts w:ascii="仿宋" w:hAnsi="仿宋" w:eastAsia="仿宋" w:cs="仿宋"/>
          <w:b/>
          <w:color w:val="auto"/>
          <w:spacing w:val="6"/>
          <w:sz w:val="32"/>
          <w:szCs w:val="32"/>
          <w:highlight w:val="none"/>
        </w:rPr>
      </w:pPr>
    </w:p>
    <w:p>
      <w:pPr>
        <w:widowControl/>
        <w:adjustRightInd/>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2"/>
        <w:ind w:left="664" w:leftChars="316" w:firstLine="229" w:firstLineChars="95"/>
        <w:rPr>
          <w:rFonts w:ascii="仿宋" w:eastAsia="仿宋" w:cs="仿宋"/>
          <w:color w:val="auto"/>
          <w:kern w:val="0"/>
          <w:sz w:val="24"/>
          <w:szCs w:val="24"/>
          <w:highlight w:val="none"/>
        </w:rPr>
      </w:pPr>
      <w:r>
        <w:rPr>
          <w:rFonts w:hint="eastAsia" w:ascii="仿宋" w:eastAsia="仿宋" w:cs="仿宋"/>
          <w:color w:val="auto"/>
          <w:kern w:val="0"/>
          <w:sz w:val="24"/>
          <w:szCs w:val="24"/>
          <w:highlight w:val="none"/>
        </w:rPr>
        <w:t>……</w:t>
      </w:r>
    </w:p>
    <w:p>
      <w:pPr>
        <w:rPr>
          <w:rFonts w:ascii="仿宋" w:hAnsi="仿宋" w:eastAsia="仿宋" w:cs="仿宋"/>
          <w:color w:val="auto"/>
          <w:highlight w:val="none"/>
        </w:rPr>
      </w:pPr>
      <w:r>
        <w:rPr>
          <w:rFonts w:hint="eastAsia" w:ascii="仿宋" w:hAnsi="仿宋" w:eastAsia="仿宋" w:cs="仿宋"/>
          <w:color w:val="auto"/>
          <w:highlight w:val="none"/>
          <w:lang w:val="zh-CN"/>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pPr>
        <w:snapToGrid w:val="0"/>
        <w:spacing w:line="360" w:lineRule="auto"/>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spacing w:line="360" w:lineRule="auto"/>
        <w:jc w:val="left"/>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pPr>
        <w:spacing w:line="360" w:lineRule="auto"/>
        <w:jc w:val="center"/>
        <w:rPr>
          <w:rFonts w:ascii="仿宋" w:hAnsi="仿宋" w:eastAsia="仿宋" w:cs="仿宋"/>
          <w:color w:val="auto"/>
          <w:sz w:val="24"/>
          <w:highlight w:val="none"/>
          <w:u w:val="single"/>
        </w:rPr>
      </w:pPr>
    </w:p>
    <w:p>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pPr>
        <w:spacing w:line="360" w:lineRule="auto"/>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ascii="仿宋" w:hAnsi="仿宋" w:eastAsia="仿宋" w:cs="仿宋"/>
          <w:color w:val="auto"/>
          <w:sz w:val="24"/>
          <w:highlight w:val="none"/>
        </w:rPr>
      </w:pP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pPr>
        <w:spacing w:line="360" w:lineRule="auto"/>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pPr>
        <w:pStyle w:val="2"/>
        <w:rPr>
          <w:rFonts w:ascii="仿宋" w:eastAsia="仿宋" w:cs="仿宋"/>
          <w:color w:val="auto"/>
          <w:sz w:val="24"/>
          <w:highlight w:val="none"/>
        </w:rPr>
      </w:pPr>
      <w:r>
        <w:rPr>
          <w:rFonts w:hint="eastAsia" w:ascii="仿宋" w:eastAsia="仿宋" w:cs="仿宋"/>
          <w:color w:val="auto"/>
          <w:highlight w:val="none"/>
        </w:rPr>
        <w:t>附件</w:t>
      </w:r>
      <w:r>
        <w:rPr>
          <w:rFonts w:hint="eastAsia" w:ascii="仿宋" w:eastAsia="仿宋" w:cs="仿宋"/>
          <w:color w:val="auto"/>
          <w:highlight w:val="none"/>
          <w:lang w:val="en-US"/>
        </w:rPr>
        <w:t>8</w:t>
      </w:r>
      <w:r>
        <w:rPr>
          <w:rFonts w:hint="eastAsia" w:ascii="仿宋" w:eastAsia="仿宋" w:cs="仿宋"/>
          <w:color w:val="auto"/>
          <w:highlight w:val="none"/>
        </w:rPr>
        <w:t>样品（演示）授权委托书</w:t>
      </w:r>
    </w:p>
    <w:p>
      <w:pPr>
        <w:jc w:val="center"/>
        <w:rPr>
          <w:rFonts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pPr>
        <w:jc w:val="center"/>
        <w:rPr>
          <w:rFonts w:ascii="仿宋" w:hAnsi="仿宋" w:eastAsia="仿宋" w:cs="仿宋"/>
          <w:color w:val="auto"/>
          <w:sz w:val="40"/>
          <w:highlight w:val="none"/>
        </w:rPr>
      </w:pPr>
    </w:p>
    <w:p>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pPr>
        <w:snapToGrid w:val="0"/>
        <w:spacing w:line="360" w:lineRule="auto"/>
        <w:ind w:left="254" w:leftChars="121" w:firstLine="420" w:firstLineChars="200"/>
        <w:rPr>
          <w:rFonts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pPr>
        <w:snapToGrid w:val="0"/>
        <w:spacing w:line="360" w:lineRule="auto"/>
        <w:ind w:left="254" w:leftChars="121" w:firstLine="420" w:firstLineChars="200"/>
        <w:rPr>
          <w:rFonts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pPr>
        <w:snapToGrid w:val="0"/>
        <w:spacing w:line="360" w:lineRule="auto"/>
        <w:rPr>
          <w:rFonts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w:t>
      </w:r>
    </w:p>
    <w:p>
      <w:pPr>
        <w:snapToGrid w:val="0"/>
        <w:spacing w:line="360" w:lineRule="auto"/>
        <w:ind w:right="240"/>
        <w:jc w:val="right"/>
        <w:rPr>
          <w:rFonts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pPr>
        <w:snapToGrid w:val="0"/>
        <w:spacing w:line="360" w:lineRule="auto"/>
        <w:ind w:right="240"/>
        <w:jc w:val="right"/>
        <w:rPr>
          <w:rFonts w:ascii="仿宋" w:hAnsi="仿宋" w:eastAsia="仿宋" w:cs="仿宋"/>
          <w:color w:val="auto"/>
          <w:highlight w:val="none"/>
          <w:lang w:val="zh-CN"/>
        </w:rPr>
      </w:pPr>
    </w:p>
    <w:p>
      <w:pPr>
        <w:snapToGrid w:val="0"/>
        <w:spacing w:line="360" w:lineRule="auto"/>
        <w:ind w:right="1920"/>
        <w:rPr>
          <w:rFonts w:ascii="仿宋" w:hAnsi="仿宋" w:eastAsia="仿宋" w:cs="仿宋"/>
          <w:color w:val="auto"/>
          <w:highlight w:val="none"/>
          <w:lang w:val="zh-CN"/>
        </w:rPr>
      </w:pPr>
    </w:p>
    <w:p>
      <w:pPr>
        <w:snapToGrid w:val="0"/>
        <w:spacing w:line="360" w:lineRule="auto"/>
        <w:ind w:right="240"/>
        <w:jc w:val="right"/>
        <w:rPr>
          <w:rFonts w:ascii="仿宋" w:hAnsi="仿宋" w:eastAsia="仿宋" w:cs="仿宋"/>
          <w:color w:val="auto"/>
          <w:highlight w:val="none"/>
          <w:lang w:val="zh-CN"/>
        </w:rPr>
      </w:pPr>
    </w:p>
    <w:p>
      <w:pPr>
        <w:snapToGrid w:val="0"/>
        <w:spacing w:line="360" w:lineRule="auto"/>
        <w:ind w:right="240"/>
        <w:rPr>
          <w:rFonts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pPr>
        <w:snapToGrid w:val="0"/>
        <w:spacing w:line="360" w:lineRule="auto"/>
        <w:ind w:right="240"/>
        <w:rPr>
          <w:rFonts w:ascii="仿宋" w:hAnsi="仿宋" w:eastAsia="仿宋" w:cs="仿宋"/>
          <w:color w:val="auto"/>
          <w:highlight w:val="none"/>
          <w:lang w:val="zh-CN"/>
        </w:rPr>
      </w:pPr>
    </w:p>
    <w:p>
      <w:pPr>
        <w:snapToGrid w:val="0"/>
        <w:spacing w:line="360" w:lineRule="auto"/>
        <w:ind w:right="240"/>
        <w:rPr>
          <w:rFonts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pPr>
        <w:spacing w:line="360" w:lineRule="auto"/>
        <w:rPr>
          <w:rFonts w:ascii="仿宋" w:hAnsi="仿宋" w:eastAsia="仿宋" w:cs="仿宋"/>
          <w:b/>
          <w:color w:val="auto"/>
          <w:highlight w:val="none"/>
        </w:rPr>
      </w:pPr>
      <w:r>
        <w:rPr>
          <w:rFonts w:hint="eastAsia" w:ascii="仿宋" w:hAnsi="仿宋" w:eastAsia="仿宋" w:cs="仿宋"/>
          <w:b/>
          <w:color w:val="auto"/>
          <w:highlight w:val="none"/>
        </w:rPr>
        <w:t>同时有样品和演示的，可委托不同人员。</w:t>
      </w:r>
    </w:p>
    <w:p>
      <w:pPr>
        <w:pStyle w:val="2"/>
        <w:rPr>
          <w:rFonts w:ascii="仿宋" w:eastAsia="仿宋" w:cs="仿宋"/>
          <w:color w:val="auto"/>
          <w:highlight w:val="none"/>
        </w:rPr>
      </w:pPr>
    </w:p>
    <w:p>
      <w:pPr>
        <w:spacing w:line="360" w:lineRule="auto"/>
        <w:jc w:val="center"/>
        <w:rPr>
          <w:rFonts w:ascii="仿宋" w:hAnsi="仿宋" w:eastAsia="仿宋" w:cs="仿宋"/>
          <w:b/>
          <w:color w:val="auto"/>
          <w:sz w:val="32"/>
          <w:szCs w:val="32"/>
          <w:highlight w:val="none"/>
        </w:rPr>
      </w:pPr>
    </w:p>
    <w:p>
      <w:pPr>
        <w:pStyle w:val="2"/>
        <w:rPr>
          <w:rFonts w:ascii="仿宋" w:eastAsia="仿宋" w:cs="仿宋"/>
          <w:color w:val="auto"/>
          <w:highlight w:val="none"/>
        </w:rPr>
      </w:pPr>
    </w:p>
    <w:p>
      <w:pPr>
        <w:pStyle w:val="2"/>
        <w:rPr>
          <w:rFonts w:ascii="仿宋" w:eastAsia="仿宋" w:cs="仿宋"/>
          <w:color w:val="auto"/>
          <w:highlight w:val="none"/>
          <w:lang w:val="en-US"/>
        </w:rPr>
      </w:pPr>
    </w:p>
    <w:p>
      <w:pPr>
        <w:spacing w:line="360" w:lineRule="auto"/>
        <w:ind w:right="420"/>
        <w:rPr>
          <w:rFonts w:ascii="仿宋" w:hAnsi="仿宋" w:eastAsia="仿宋" w:cs="仿宋"/>
          <w:color w:val="auto"/>
          <w:highlight w:val="none"/>
        </w:rPr>
      </w:pPr>
    </w:p>
    <w:p>
      <w:pPr>
        <w:spacing w:line="360" w:lineRule="auto"/>
        <w:rPr>
          <w:rFonts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B0604020202020204"/>
    <w:charset w:val="86"/>
    <w:family w:val="modern"/>
    <w:pitch w:val="default"/>
    <w:sig w:usb0="00000000" w:usb1="00000000" w:usb2="0000000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Futura Bk">
    <w:altName w:val="Segoe Print"/>
    <w:panose1 w:val="020B0602020204020303"/>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itka Text"/>
    <w:panose1 w:val="020B0604020202020204"/>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20B0604020202020204"/>
    <w:charset w:val="00"/>
    <w:family w:val="roman"/>
    <w:pitch w:val="default"/>
    <w:sig w:usb0="00000000" w:usb1="00000000" w:usb2="00000000" w:usb3="00000000" w:csb0="00040001" w:csb1="00000000"/>
  </w:font>
  <w:font w:name="幼圆">
    <w:altName w:val="宋体"/>
    <w:panose1 w:val="020B0604020202020204"/>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0019F"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20B0604020202020204"/>
    <w:charset w:val="00"/>
    <w:family w:val="roman"/>
    <w:pitch w:val="default"/>
    <w:sig w:usb0="00000000" w:usb1="00000000" w:usb2="00000000" w:usb3="00000000" w:csb0="00000011" w:csb1="00000000"/>
  </w:font>
  <w:font w:name=".PingFang SC">
    <w:altName w:val="微软雅黑"/>
    <w:panose1 w:val="020B0604020202020204"/>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91899912"/>
    <w:bookmarkStart w:id="517" w:name="_Toc131845147"/>
    <w:bookmarkStart w:id="518" w:name="_Toc36110187"/>
    <w:bookmarkStart w:id="519" w:name="_Toc164085800"/>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B2E2C"/>
    <w:multiLevelType w:val="multilevel"/>
    <w:tmpl w:val="302B2E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1MWMxZmY0MTVkNzVlZGRmNTcxNGM1NmNkZjhjYz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071"/>
    <w:rsid w:val="000331B0"/>
    <w:rsid w:val="000336D4"/>
    <w:rsid w:val="00034FA7"/>
    <w:rsid w:val="0003533D"/>
    <w:rsid w:val="000357E4"/>
    <w:rsid w:val="00035ACA"/>
    <w:rsid w:val="00036A70"/>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DF2"/>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D4A"/>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808"/>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8"/>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7E"/>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82D"/>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014"/>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1686"/>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AD"/>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0E7"/>
    <w:rsid w:val="00C51149"/>
    <w:rsid w:val="00C5117E"/>
    <w:rsid w:val="00C512D1"/>
    <w:rsid w:val="00C51856"/>
    <w:rsid w:val="00C51B04"/>
    <w:rsid w:val="00C51DB5"/>
    <w:rsid w:val="00C53BEF"/>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AB5"/>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94"/>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BCA"/>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2CE2"/>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1FE1761"/>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4F861C2"/>
    <w:rsid w:val="05043453"/>
    <w:rsid w:val="05251E14"/>
    <w:rsid w:val="057B2CF0"/>
    <w:rsid w:val="05A16594"/>
    <w:rsid w:val="05A7762D"/>
    <w:rsid w:val="05B9115D"/>
    <w:rsid w:val="060E5941"/>
    <w:rsid w:val="06110FAF"/>
    <w:rsid w:val="06493CA7"/>
    <w:rsid w:val="065A6178"/>
    <w:rsid w:val="066F1CF3"/>
    <w:rsid w:val="066F3F58"/>
    <w:rsid w:val="06930BB8"/>
    <w:rsid w:val="07245D42"/>
    <w:rsid w:val="07264C62"/>
    <w:rsid w:val="0764344E"/>
    <w:rsid w:val="0779354C"/>
    <w:rsid w:val="07971133"/>
    <w:rsid w:val="08061376"/>
    <w:rsid w:val="08452D77"/>
    <w:rsid w:val="086401F8"/>
    <w:rsid w:val="08751CAA"/>
    <w:rsid w:val="087E4C40"/>
    <w:rsid w:val="089E539D"/>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05F2E"/>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225B22"/>
    <w:rsid w:val="10646583"/>
    <w:rsid w:val="107D4B15"/>
    <w:rsid w:val="108A3C80"/>
    <w:rsid w:val="10C26171"/>
    <w:rsid w:val="10F33360"/>
    <w:rsid w:val="10FC16EA"/>
    <w:rsid w:val="110F1D40"/>
    <w:rsid w:val="11266F33"/>
    <w:rsid w:val="114F7C08"/>
    <w:rsid w:val="11595441"/>
    <w:rsid w:val="118963A1"/>
    <w:rsid w:val="11C6522A"/>
    <w:rsid w:val="11DA1A3B"/>
    <w:rsid w:val="11E104CC"/>
    <w:rsid w:val="11E20309"/>
    <w:rsid w:val="11F8062F"/>
    <w:rsid w:val="11FD16EA"/>
    <w:rsid w:val="12255233"/>
    <w:rsid w:val="12530213"/>
    <w:rsid w:val="127723A9"/>
    <w:rsid w:val="127E28E2"/>
    <w:rsid w:val="12862074"/>
    <w:rsid w:val="12883966"/>
    <w:rsid w:val="129E45B4"/>
    <w:rsid w:val="12D81596"/>
    <w:rsid w:val="13072A44"/>
    <w:rsid w:val="135F4BE2"/>
    <w:rsid w:val="139B1A0A"/>
    <w:rsid w:val="139D25C7"/>
    <w:rsid w:val="13BF3CE4"/>
    <w:rsid w:val="141008D8"/>
    <w:rsid w:val="14125FE6"/>
    <w:rsid w:val="14687555"/>
    <w:rsid w:val="146D271E"/>
    <w:rsid w:val="14982588"/>
    <w:rsid w:val="149A5AD9"/>
    <w:rsid w:val="14A7619D"/>
    <w:rsid w:val="150536C3"/>
    <w:rsid w:val="150C1963"/>
    <w:rsid w:val="15106E83"/>
    <w:rsid w:val="151447A0"/>
    <w:rsid w:val="154A6454"/>
    <w:rsid w:val="15762120"/>
    <w:rsid w:val="157C3226"/>
    <w:rsid w:val="15C10692"/>
    <w:rsid w:val="1632430B"/>
    <w:rsid w:val="16A8729C"/>
    <w:rsid w:val="16B33777"/>
    <w:rsid w:val="16BC70A7"/>
    <w:rsid w:val="16C6339E"/>
    <w:rsid w:val="16EB6517"/>
    <w:rsid w:val="172F2D79"/>
    <w:rsid w:val="17557BEF"/>
    <w:rsid w:val="17906725"/>
    <w:rsid w:val="17D349C1"/>
    <w:rsid w:val="1830729E"/>
    <w:rsid w:val="184146B4"/>
    <w:rsid w:val="186B56B7"/>
    <w:rsid w:val="1870062C"/>
    <w:rsid w:val="18817102"/>
    <w:rsid w:val="18830A15"/>
    <w:rsid w:val="18852B28"/>
    <w:rsid w:val="188B5321"/>
    <w:rsid w:val="189E35C3"/>
    <w:rsid w:val="19932372"/>
    <w:rsid w:val="199E7D0E"/>
    <w:rsid w:val="19A20DD5"/>
    <w:rsid w:val="19AE03F1"/>
    <w:rsid w:val="1A071A03"/>
    <w:rsid w:val="1A1F16AE"/>
    <w:rsid w:val="1A3B5C77"/>
    <w:rsid w:val="1A6042A4"/>
    <w:rsid w:val="1A984BAD"/>
    <w:rsid w:val="1AB8220E"/>
    <w:rsid w:val="1AE4166C"/>
    <w:rsid w:val="1AF06CFB"/>
    <w:rsid w:val="1AF11B8D"/>
    <w:rsid w:val="1B11359C"/>
    <w:rsid w:val="1B2A271F"/>
    <w:rsid w:val="1B530544"/>
    <w:rsid w:val="1B713184"/>
    <w:rsid w:val="1BA209CF"/>
    <w:rsid w:val="1BB4777D"/>
    <w:rsid w:val="1BD75AB8"/>
    <w:rsid w:val="1C0459C2"/>
    <w:rsid w:val="1C1B3B4A"/>
    <w:rsid w:val="1C2144EA"/>
    <w:rsid w:val="1C88086E"/>
    <w:rsid w:val="1D266CE1"/>
    <w:rsid w:val="1D3963AF"/>
    <w:rsid w:val="1D444D01"/>
    <w:rsid w:val="1D6A673C"/>
    <w:rsid w:val="1D7E2045"/>
    <w:rsid w:val="1D9247AE"/>
    <w:rsid w:val="1DB567EC"/>
    <w:rsid w:val="1DF51A98"/>
    <w:rsid w:val="1DFF3EF7"/>
    <w:rsid w:val="1E3D060F"/>
    <w:rsid w:val="1E3F7D2E"/>
    <w:rsid w:val="1E4134E4"/>
    <w:rsid w:val="1E5062B3"/>
    <w:rsid w:val="1E523514"/>
    <w:rsid w:val="1E714A66"/>
    <w:rsid w:val="1E7875D5"/>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481ECF"/>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282AAD"/>
    <w:rsid w:val="28333E1D"/>
    <w:rsid w:val="28454BD6"/>
    <w:rsid w:val="28455253"/>
    <w:rsid w:val="28551971"/>
    <w:rsid w:val="285B1C53"/>
    <w:rsid w:val="289F7086"/>
    <w:rsid w:val="28C32028"/>
    <w:rsid w:val="28CC490F"/>
    <w:rsid w:val="28DE40AA"/>
    <w:rsid w:val="29345E77"/>
    <w:rsid w:val="294C65AD"/>
    <w:rsid w:val="29806583"/>
    <w:rsid w:val="298B3C4C"/>
    <w:rsid w:val="29A94291"/>
    <w:rsid w:val="29AE1931"/>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551B84"/>
    <w:rsid w:val="2DC11207"/>
    <w:rsid w:val="2DD15014"/>
    <w:rsid w:val="2DF72DE4"/>
    <w:rsid w:val="2E0220AF"/>
    <w:rsid w:val="2E4B082A"/>
    <w:rsid w:val="2E5D4E86"/>
    <w:rsid w:val="2E5D790B"/>
    <w:rsid w:val="2E9A3C18"/>
    <w:rsid w:val="2EBB0FEE"/>
    <w:rsid w:val="2EC63002"/>
    <w:rsid w:val="2F0A6B38"/>
    <w:rsid w:val="2F946CCB"/>
    <w:rsid w:val="2FD25781"/>
    <w:rsid w:val="2FDC745C"/>
    <w:rsid w:val="2FEE67BA"/>
    <w:rsid w:val="2FFD7934"/>
    <w:rsid w:val="30733ACD"/>
    <w:rsid w:val="308C3862"/>
    <w:rsid w:val="309379D8"/>
    <w:rsid w:val="30A270F7"/>
    <w:rsid w:val="30DF1478"/>
    <w:rsid w:val="30EC586F"/>
    <w:rsid w:val="314550B7"/>
    <w:rsid w:val="3150224D"/>
    <w:rsid w:val="319C6071"/>
    <w:rsid w:val="31AC537E"/>
    <w:rsid w:val="31CB3418"/>
    <w:rsid w:val="31E3679B"/>
    <w:rsid w:val="31E732FD"/>
    <w:rsid w:val="32517576"/>
    <w:rsid w:val="32BE5C2C"/>
    <w:rsid w:val="32FB6478"/>
    <w:rsid w:val="33263B3F"/>
    <w:rsid w:val="336963EB"/>
    <w:rsid w:val="33816EEB"/>
    <w:rsid w:val="33EB55CD"/>
    <w:rsid w:val="33EC4C02"/>
    <w:rsid w:val="33FB1B8D"/>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7E146B"/>
    <w:rsid w:val="36A74ADA"/>
    <w:rsid w:val="36AD60D5"/>
    <w:rsid w:val="36B224F9"/>
    <w:rsid w:val="36EC0CC9"/>
    <w:rsid w:val="373F410B"/>
    <w:rsid w:val="37675DB0"/>
    <w:rsid w:val="37EE7094"/>
    <w:rsid w:val="38296C89"/>
    <w:rsid w:val="383002EB"/>
    <w:rsid w:val="38586797"/>
    <w:rsid w:val="38BC0149"/>
    <w:rsid w:val="38D87D1C"/>
    <w:rsid w:val="39363667"/>
    <w:rsid w:val="39416E46"/>
    <w:rsid w:val="39636459"/>
    <w:rsid w:val="396B7F6C"/>
    <w:rsid w:val="39A959E1"/>
    <w:rsid w:val="39B417A9"/>
    <w:rsid w:val="39FC5695"/>
    <w:rsid w:val="3A006D8E"/>
    <w:rsid w:val="3A3651E5"/>
    <w:rsid w:val="3A5E3F3A"/>
    <w:rsid w:val="3A744481"/>
    <w:rsid w:val="3A8C7BEF"/>
    <w:rsid w:val="3A906246"/>
    <w:rsid w:val="3AF7E610"/>
    <w:rsid w:val="3B0A6B5A"/>
    <w:rsid w:val="3B2349B7"/>
    <w:rsid w:val="3B616CFF"/>
    <w:rsid w:val="3B6259F6"/>
    <w:rsid w:val="3B976654"/>
    <w:rsid w:val="3BC01EFC"/>
    <w:rsid w:val="3BCA786A"/>
    <w:rsid w:val="3BD31E2F"/>
    <w:rsid w:val="3BF15831"/>
    <w:rsid w:val="3C105946"/>
    <w:rsid w:val="3C471448"/>
    <w:rsid w:val="3C5F759A"/>
    <w:rsid w:val="3C6C525A"/>
    <w:rsid w:val="3CCE23CB"/>
    <w:rsid w:val="3CD17D17"/>
    <w:rsid w:val="3D107AC3"/>
    <w:rsid w:val="3D3C7F39"/>
    <w:rsid w:val="3D440F09"/>
    <w:rsid w:val="3D4504A0"/>
    <w:rsid w:val="3D6F64C2"/>
    <w:rsid w:val="3D8734BB"/>
    <w:rsid w:val="3D9A11D4"/>
    <w:rsid w:val="3DA16D89"/>
    <w:rsid w:val="3DA364BE"/>
    <w:rsid w:val="3DE041CB"/>
    <w:rsid w:val="3E0D48F6"/>
    <w:rsid w:val="3E1868B4"/>
    <w:rsid w:val="3E30329A"/>
    <w:rsid w:val="3E377251"/>
    <w:rsid w:val="3E42664B"/>
    <w:rsid w:val="3E5A7334"/>
    <w:rsid w:val="3E6B2059"/>
    <w:rsid w:val="3E6F72E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2474939"/>
    <w:rsid w:val="424C3C57"/>
    <w:rsid w:val="42613FF3"/>
    <w:rsid w:val="42660D96"/>
    <w:rsid w:val="427F5D9F"/>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9B61C3"/>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282066"/>
    <w:rsid w:val="495F5B3E"/>
    <w:rsid w:val="496F77D7"/>
    <w:rsid w:val="497654FD"/>
    <w:rsid w:val="49B64211"/>
    <w:rsid w:val="49E56AF9"/>
    <w:rsid w:val="49F6167F"/>
    <w:rsid w:val="4A064FA0"/>
    <w:rsid w:val="4A16615C"/>
    <w:rsid w:val="4A4424D7"/>
    <w:rsid w:val="4A545481"/>
    <w:rsid w:val="4AB82D0F"/>
    <w:rsid w:val="4AEB7664"/>
    <w:rsid w:val="4AFD7C19"/>
    <w:rsid w:val="4B0567D1"/>
    <w:rsid w:val="4B236AAE"/>
    <w:rsid w:val="4B363761"/>
    <w:rsid w:val="4B5D4D06"/>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027E1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603CB"/>
    <w:rsid w:val="51A86090"/>
    <w:rsid w:val="51B7396D"/>
    <w:rsid w:val="522E4CC3"/>
    <w:rsid w:val="523C1212"/>
    <w:rsid w:val="5244713B"/>
    <w:rsid w:val="52615633"/>
    <w:rsid w:val="526F4DE4"/>
    <w:rsid w:val="52950FA7"/>
    <w:rsid w:val="52977FD4"/>
    <w:rsid w:val="52A25790"/>
    <w:rsid w:val="52A96B6F"/>
    <w:rsid w:val="52B45975"/>
    <w:rsid w:val="52D94AA4"/>
    <w:rsid w:val="52EA3A62"/>
    <w:rsid w:val="52F50BB8"/>
    <w:rsid w:val="53097272"/>
    <w:rsid w:val="53544462"/>
    <w:rsid w:val="5397158E"/>
    <w:rsid w:val="53A278CF"/>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E2109B"/>
    <w:rsid w:val="57032A2C"/>
    <w:rsid w:val="570F5219"/>
    <w:rsid w:val="574D1E50"/>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B04EB1"/>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937054"/>
    <w:rsid w:val="5FCC5339"/>
    <w:rsid w:val="5FE34A5B"/>
    <w:rsid w:val="5FFE1E36"/>
    <w:rsid w:val="60232584"/>
    <w:rsid w:val="60270DB6"/>
    <w:rsid w:val="607330CE"/>
    <w:rsid w:val="60825176"/>
    <w:rsid w:val="609D0F44"/>
    <w:rsid w:val="609F2AC4"/>
    <w:rsid w:val="60A52761"/>
    <w:rsid w:val="60A61674"/>
    <w:rsid w:val="60FA2EE8"/>
    <w:rsid w:val="61054A27"/>
    <w:rsid w:val="610A52BC"/>
    <w:rsid w:val="611D2366"/>
    <w:rsid w:val="61421856"/>
    <w:rsid w:val="615227C4"/>
    <w:rsid w:val="616248D4"/>
    <w:rsid w:val="61654E3F"/>
    <w:rsid w:val="6182292A"/>
    <w:rsid w:val="619F7F92"/>
    <w:rsid w:val="61A63211"/>
    <w:rsid w:val="61F94C26"/>
    <w:rsid w:val="62000E56"/>
    <w:rsid w:val="624F3E49"/>
    <w:rsid w:val="62632286"/>
    <w:rsid w:val="62885958"/>
    <w:rsid w:val="62D8167E"/>
    <w:rsid w:val="62F40B65"/>
    <w:rsid w:val="62F45876"/>
    <w:rsid w:val="62FC2CFE"/>
    <w:rsid w:val="63024505"/>
    <w:rsid w:val="63456C49"/>
    <w:rsid w:val="634D51A7"/>
    <w:rsid w:val="635600A5"/>
    <w:rsid w:val="635B1DB5"/>
    <w:rsid w:val="63711FED"/>
    <w:rsid w:val="63880DDC"/>
    <w:rsid w:val="638D750D"/>
    <w:rsid w:val="63AC6CC0"/>
    <w:rsid w:val="64055776"/>
    <w:rsid w:val="64240056"/>
    <w:rsid w:val="643A3D28"/>
    <w:rsid w:val="643E143A"/>
    <w:rsid w:val="64491666"/>
    <w:rsid w:val="648742FD"/>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430B7A"/>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B06526"/>
    <w:rsid w:val="6AD55F8D"/>
    <w:rsid w:val="6ADE0BD1"/>
    <w:rsid w:val="6AE96859"/>
    <w:rsid w:val="6B147746"/>
    <w:rsid w:val="6B24787C"/>
    <w:rsid w:val="6B4B6AC7"/>
    <w:rsid w:val="6B573233"/>
    <w:rsid w:val="6B5B6274"/>
    <w:rsid w:val="6B935D53"/>
    <w:rsid w:val="6BCC4441"/>
    <w:rsid w:val="6BFB7BD7"/>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6774E5"/>
    <w:rsid w:val="6E8335BD"/>
    <w:rsid w:val="6E8E12EF"/>
    <w:rsid w:val="6E972936"/>
    <w:rsid w:val="6EA7531E"/>
    <w:rsid w:val="6ED446C5"/>
    <w:rsid w:val="6EF642D8"/>
    <w:rsid w:val="6F2A7D94"/>
    <w:rsid w:val="6F8331F1"/>
    <w:rsid w:val="6F971921"/>
    <w:rsid w:val="6FAE1A09"/>
    <w:rsid w:val="6FBB7E7C"/>
    <w:rsid w:val="6FD75BF8"/>
    <w:rsid w:val="707723D0"/>
    <w:rsid w:val="70F5661B"/>
    <w:rsid w:val="71360107"/>
    <w:rsid w:val="713B688E"/>
    <w:rsid w:val="716F7ADB"/>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4EB4D2A"/>
    <w:rsid w:val="75067759"/>
    <w:rsid w:val="752E6DCD"/>
    <w:rsid w:val="7551380D"/>
    <w:rsid w:val="75600BE5"/>
    <w:rsid w:val="7564475C"/>
    <w:rsid w:val="7583797F"/>
    <w:rsid w:val="75D20F1D"/>
    <w:rsid w:val="75DA2C18"/>
    <w:rsid w:val="75F54412"/>
    <w:rsid w:val="761D08E0"/>
    <w:rsid w:val="765D347C"/>
    <w:rsid w:val="76826699"/>
    <w:rsid w:val="76B15B00"/>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B74844"/>
    <w:rsid w:val="78E172CC"/>
    <w:rsid w:val="78EA1D1F"/>
    <w:rsid w:val="78FD502C"/>
    <w:rsid w:val="7904172F"/>
    <w:rsid w:val="790F7E27"/>
    <w:rsid w:val="792A231A"/>
    <w:rsid w:val="79316829"/>
    <w:rsid w:val="797E66A9"/>
    <w:rsid w:val="798518A4"/>
    <w:rsid w:val="79A97383"/>
    <w:rsid w:val="79E27E8B"/>
    <w:rsid w:val="79F850CE"/>
    <w:rsid w:val="79F8573D"/>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C04CEF"/>
    <w:rsid w:val="7CE27788"/>
    <w:rsid w:val="7D0C32F1"/>
    <w:rsid w:val="7D0F408D"/>
    <w:rsid w:val="7D491C6C"/>
    <w:rsid w:val="7D5429C0"/>
    <w:rsid w:val="7D6E6D43"/>
    <w:rsid w:val="7DB57A34"/>
    <w:rsid w:val="7DE60973"/>
    <w:rsid w:val="7DEF0916"/>
    <w:rsid w:val="7E1E5218"/>
    <w:rsid w:val="7E78557F"/>
    <w:rsid w:val="7E79150D"/>
    <w:rsid w:val="7E7D6322"/>
    <w:rsid w:val="7E9A4E1F"/>
    <w:rsid w:val="7EA7723A"/>
    <w:rsid w:val="7EF56FBB"/>
    <w:rsid w:val="7F0768EB"/>
    <w:rsid w:val="7F143BEC"/>
    <w:rsid w:val="7F715AF2"/>
    <w:rsid w:val="7F886E69"/>
    <w:rsid w:val="BB7FA927"/>
    <w:rsid w:val="C543CA59"/>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3"/>
    <w:autoRedefine/>
    <w:qFormat/>
    <w:uiPriority w:val="0"/>
    <w:pPr>
      <w:shd w:val="clear" w:color="auto" w:fill="000080"/>
    </w:pPr>
  </w:style>
  <w:style w:type="paragraph" w:styleId="19">
    <w:name w:val="annotation text"/>
    <w:basedOn w:val="1"/>
    <w:link w:val="346"/>
    <w:autoRedefine/>
    <w:qFormat/>
    <w:uiPriority w:val="99"/>
    <w:pPr>
      <w:jc w:val="left"/>
    </w:pPr>
  </w:style>
  <w:style w:type="paragraph" w:styleId="20">
    <w:name w:val="Salutation"/>
    <w:basedOn w:val="1"/>
    <w:next w:val="1"/>
    <w:link w:val="300"/>
    <w:autoRedefine/>
    <w:qFormat/>
    <w:uiPriority w:val="0"/>
    <w:rPr>
      <w:rFonts w:ascii="仿宋_GB2312" w:eastAsia="仿宋_GB2312"/>
      <w:sz w:val="28"/>
      <w:szCs w:val="20"/>
    </w:rPr>
  </w:style>
  <w:style w:type="paragraph" w:styleId="21">
    <w:name w:val="Body Text 3"/>
    <w:basedOn w:val="1"/>
    <w:link w:val="332"/>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1"/>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7"/>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2"/>
    <w:autoRedefine/>
    <w:qFormat/>
    <w:uiPriority w:val="0"/>
    <w:pPr>
      <w:ind w:left="100" w:leftChars="2500"/>
    </w:pPr>
    <w:rPr>
      <w:rFonts w:ascii="宋体"/>
      <w:sz w:val="24"/>
      <w:szCs w:val="21"/>
      <w:lang w:val="zh-CN"/>
    </w:rPr>
  </w:style>
  <w:style w:type="paragraph" w:styleId="36">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4"/>
    <w:autoRedefine/>
    <w:qFormat/>
    <w:uiPriority w:val="0"/>
    <w:rPr>
      <w:lang w:val="zh-CN"/>
    </w:rPr>
  </w:style>
  <w:style w:type="paragraph" w:styleId="38">
    <w:name w:val="Balloon Text"/>
    <w:basedOn w:val="1"/>
    <w:link w:val="189"/>
    <w:autoRedefine/>
    <w:qFormat/>
    <w:uiPriority w:val="0"/>
    <w:rPr>
      <w:sz w:val="18"/>
      <w:szCs w:val="18"/>
    </w:rPr>
  </w:style>
  <w:style w:type="paragraph" w:styleId="39">
    <w:name w:val="footer"/>
    <w:basedOn w:val="1"/>
    <w:link w:val="385"/>
    <w:autoRedefine/>
    <w:qFormat/>
    <w:uiPriority w:val="99"/>
    <w:pPr>
      <w:tabs>
        <w:tab w:val="center" w:pos="4153"/>
        <w:tab w:val="right" w:pos="8306"/>
      </w:tabs>
      <w:snapToGrid w:val="0"/>
      <w:jc w:val="left"/>
    </w:pPr>
    <w:rPr>
      <w:sz w:val="18"/>
      <w:szCs w:val="18"/>
    </w:rPr>
  </w:style>
  <w:style w:type="paragraph" w:styleId="40">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7"/>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4"/>
    <w:autoRedefine/>
    <w:qFormat/>
    <w:uiPriority w:val="0"/>
    <w:pPr>
      <w:spacing w:after="120" w:line="480" w:lineRule="auto"/>
    </w:pPr>
  </w:style>
  <w:style w:type="paragraph" w:styleId="56">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7"/>
    <w:autoRedefine/>
    <w:qFormat/>
    <w:uiPriority w:val="0"/>
    <w:rPr>
      <w:b/>
      <w:bCs/>
    </w:rPr>
  </w:style>
  <w:style w:type="paragraph" w:styleId="60">
    <w:name w:val="Body Text First Indent"/>
    <w:basedOn w:val="23"/>
    <w:next w:val="1"/>
    <w:link w:val="323"/>
    <w:autoRedefine/>
    <w:qFormat/>
    <w:uiPriority w:val="0"/>
    <w:pPr>
      <w:ind w:firstLine="420"/>
    </w:pPr>
    <w:rPr>
      <w:rFonts w:hAnsi="Calibri" w:cs="Times New Roman"/>
      <w:snapToGrid/>
      <w:szCs w:val="20"/>
    </w:rPr>
  </w:style>
  <w:style w:type="paragraph" w:styleId="61">
    <w:name w:val="Body Text First Indent 2"/>
    <w:basedOn w:val="24"/>
    <w:next w:val="60"/>
    <w:link w:val="122"/>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styleId="79">
    <w:name w:val="HTML Sample"/>
    <w:basedOn w:val="69"/>
    <w:autoRedefine/>
    <w:qFormat/>
    <w:uiPriority w:val="0"/>
    <w:rPr>
      <w:rFonts w:ascii="Courier New" w:hAnsi="Courier New"/>
    </w:rPr>
  </w:style>
  <w:style w:type="paragraph" w:customStyle="1" w:styleId="80">
    <w:name w:val="Normal Indent1"/>
    <w:basedOn w:val="1"/>
    <w:qFormat/>
    <w:uiPriority w:val="0"/>
    <w:pPr>
      <w:ind w:firstLine="420" w:firstLineChars="200"/>
    </w:pPr>
  </w:style>
  <w:style w:type="paragraph" w:customStyle="1" w:styleId="81">
    <w:name w:val="正文文本首行缩进 21"/>
    <w:basedOn w:val="24"/>
    <w:autoRedefine/>
    <w:qFormat/>
    <w:uiPriority w:val="99"/>
    <w:pPr>
      <w:spacing w:line="200" w:lineRule="atLeast"/>
      <w:ind w:firstLine="420"/>
    </w:pPr>
    <w:rPr>
      <w:rFonts w:hAnsi="Courier New"/>
      <w:spacing w:val="-4"/>
      <w:sz w:val="18"/>
    </w:rPr>
  </w:style>
  <w:style w:type="paragraph" w:customStyle="1" w:styleId="82">
    <w:name w:val="UserStyle_0"/>
    <w:autoRedefine/>
    <w:qFormat/>
    <w:uiPriority w:val="0"/>
    <w:pPr>
      <w:textAlignment w:val="baseline"/>
    </w:pPr>
    <w:rPr>
      <w:rFonts w:ascii="Arial" w:hAnsi="Arial" w:eastAsia="宋体" w:cs="Times New Roman"/>
      <w:color w:val="000000"/>
      <w:sz w:val="24"/>
      <w:szCs w:val="24"/>
      <w:lang w:val="en-US" w:eastAsia="zh-CN" w:bidi="ar-SA"/>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字符"/>
    <w:link w:val="59"/>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1"/>
    <w:autoRedefine/>
    <w:qFormat/>
    <w:uiPriority w:val="0"/>
    <w:rPr>
      <w:rFonts w:ascii="宋体" w:hAnsi="宋体"/>
      <w:kern w:val="2"/>
      <w:sz w:val="21"/>
      <w:szCs w:val="24"/>
    </w:rPr>
  </w:style>
  <w:style w:type="character" w:customStyle="1" w:styleId="123">
    <w:name w:val="font11"/>
    <w:basedOn w:val="69"/>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69"/>
    <w:autoRedefine/>
    <w:qFormat/>
    <w:uiPriority w:val="0"/>
    <w:rPr>
      <w:rFonts w:ascii="Arial" w:hAnsi="Arial" w:eastAsia="黑体" w:cs="Arial"/>
      <w:snapToGrid w:val="0"/>
      <w:kern w:val="0"/>
      <w:szCs w:val="21"/>
    </w:rPr>
  </w:style>
  <w:style w:type="character" w:customStyle="1" w:styleId="126">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字符"/>
    <w:link w:val="46"/>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字符"/>
    <w:link w:val="8"/>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2"/>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字符"/>
    <w:link w:val="35"/>
    <w:autoRedefine/>
    <w:qFormat/>
    <w:uiPriority w:val="0"/>
    <w:rPr>
      <w:rFonts w:ascii="宋体"/>
      <w:kern w:val="2"/>
      <w:sz w:val="24"/>
      <w:szCs w:val="21"/>
      <w:lang w:val="zh-CN"/>
    </w:rPr>
  </w:style>
  <w:style w:type="character" w:customStyle="1" w:styleId="183">
    <w:name w:val="标题 9 字符"/>
    <w:link w:val="11"/>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99"/>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字符1"/>
    <w:link w:val="38"/>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字符"/>
    <w:link w:val="18"/>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69"/>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字符"/>
    <w:link w:val="29"/>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6"/>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字符"/>
    <w:link w:val="16"/>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next w:val="237"/>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7">
    <w:name w:val="TOC 71"/>
    <w:next w:val="1"/>
    <w:autoRedefine/>
    <w:qFormat/>
    <w:uiPriority w:val="0"/>
    <w:pPr>
      <w:wordWrap w:val="0"/>
      <w:ind w:left="2550"/>
      <w:jc w:val="both"/>
    </w:pPr>
    <w:rPr>
      <w:rFonts w:ascii="Calibri" w:hAnsi="Calibri" w:eastAsia="宋体" w:cs="Times New Roman"/>
      <w:sz w:val="21"/>
      <w:szCs w:val="22"/>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字符1"/>
    <w:link w:val="24"/>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字符1"/>
    <w:link w:val="3"/>
    <w:autoRedefine/>
    <w:qFormat/>
    <w:uiPriority w:val="9"/>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字符"/>
    <w:link w:val="58"/>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字符"/>
    <w:link w:val="7"/>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字符"/>
    <w:link w:val="20"/>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字符"/>
    <w:link w:val="56"/>
    <w:autoRedefine/>
    <w:qFormat/>
    <w:uiPriority w:val="0"/>
    <w:rPr>
      <w:rFonts w:ascii="黑体" w:hAnsi="Courier New" w:eastAsia="黑体"/>
    </w:rPr>
  </w:style>
  <w:style w:type="character" w:customStyle="1" w:styleId="304">
    <w:name w:val="正文文本 2 字符1"/>
    <w:link w:val="55"/>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6"/>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字符"/>
    <w:link w:val="9"/>
    <w:autoRedefine/>
    <w:qFormat/>
    <w:uiPriority w:val="0"/>
    <w:rPr>
      <w:b/>
      <w:bCs/>
      <w:kern w:val="2"/>
      <w:sz w:val="24"/>
      <w:szCs w:val="24"/>
    </w:rPr>
  </w:style>
  <w:style w:type="character" w:customStyle="1" w:styleId="310">
    <w:name w:val="正文文本缩进 2 字符"/>
    <w:link w:val="36"/>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字符"/>
    <w:link w:val="49"/>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basedOn w:val="69"/>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文本首行缩进 字符"/>
    <w:link w:val="60"/>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字符1"/>
    <w:link w:val="6"/>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字符"/>
    <w:link w:val="21"/>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字符1"/>
    <w:link w:val="19"/>
    <w:autoRedefine/>
    <w:qFormat/>
    <w:uiPriority w:val="99"/>
    <w:rPr>
      <w:kern w:val="2"/>
      <w:sz w:val="21"/>
      <w:szCs w:val="24"/>
    </w:rPr>
  </w:style>
  <w:style w:type="character" w:customStyle="1" w:styleId="347">
    <w:name w:val="签名 字符"/>
    <w:link w:val="41"/>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0"/>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字符"/>
    <w:link w:val="52"/>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字符2"/>
    <w:link w:val="39"/>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字符2"/>
    <w:link w:val="40"/>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156"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69"/>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5"/>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69"/>
    <w:autoRedefine/>
    <w:qFormat/>
    <w:uiPriority w:val="0"/>
    <w:rPr>
      <w:rFonts w:ascii="Arial" w:hAnsi="Arial" w:eastAsia="黑体" w:cs="Arial"/>
      <w:snapToGrid w:val="0"/>
      <w:kern w:val="0"/>
      <w:szCs w:val="21"/>
    </w:rPr>
  </w:style>
  <w:style w:type="character" w:customStyle="1" w:styleId="434">
    <w:name w:val="hui"/>
    <w:basedOn w:val="69"/>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2"/>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4"/>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7"/>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6"/>
    <w:next w:val="236"/>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6"/>
    <w:next w:val="236"/>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156"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5"/>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3"/>
    <w:autoRedefine/>
    <w:qFormat/>
    <w:uiPriority w:val="0"/>
    <w:pPr>
      <w:tabs>
        <w:tab w:val="left" w:pos="840"/>
      </w:tabs>
      <w:adjustRightInd/>
      <w:ind w:left="840" w:hanging="420"/>
    </w:pPr>
  </w:style>
  <w:style w:type="paragraph" w:customStyle="1" w:styleId="628">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6"/>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autoRedefine/>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spacing w:line="360" w:lineRule="auto"/>
      <w:ind w:firstLine="480" w:firstLineChars="200"/>
    </w:pPr>
    <w:rPr>
      <w:sz w:val="24"/>
      <w:szCs w:val="20"/>
    </w:rPr>
  </w:style>
  <w:style w:type="paragraph" w:customStyle="1" w:styleId="810">
    <w:name w:val="P1"/>
    <w:basedOn w:val="1"/>
    <w:autoRedefine/>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pPr>
      <w:spacing w:line="360" w:lineRule="auto"/>
    </w:pPr>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autoRedefine/>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仿宋_GB2312"/>
      <w:sz w:val="24"/>
      <w:szCs w:val="20"/>
    </w:rPr>
  </w:style>
  <w:style w:type="paragraph" w:customStyle="1" w:styleId="842">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firstLineChars="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18"/>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firstLineChars="200"/>
    </w:pPr>
    <w:rPr>
      <w:rFonts w:ascii="Tahoma" w:hAnsi="Tahoma"/>
      <w:sz w:val="24"/>
      <w:szCs w:val="20"/>
    </w:rPr>
  </w:style>
  <w:style w:type="paragraph" w:customStyle="1" w:styleId="88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rPr>
      <w:sz w:val="24"/>
    </w:r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firstLineChars="20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autoRedefine/>
    <w:qFormat/>
    <w:uiPriority w:val="0"/>
    <w:pPr>
      <w:tabs>
        <w:tab w:val="left" w:pos="1080"/>
      </w:tabs>
      <w:ind w:left="1080" w:hanging="1080"/>
    </w:pPr>
  </w:style>
  <w:style w:type="paragraph" w:customStyle="1" w:styleId="899">
    <w:name w:val="数字标题1"/>
    <w:basedOn w:val="3"/>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autoRedefine/>
    <w:qFormat/>
    <w:uiPriority w:val="0"/>
    <w:pPr>
      <w:widowControl/>
    </w:pPr>
    <w:rPr>
      <w:kern w:val="0"/>
      <w:sz w:val="24"/>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autoRedefine/>
    <w:qFormat/>
    <w:uiPriority w:val="34"/>
    <w:pPr>
      <w:adjustRightInd/>
      <w:ind w:firstLine="420" w:firstLineChars="20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5"/>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spacing w:line="360" w:lineRule="auto"/>
      <w:ind w:firstLine="480"/>
    </w:pPr>
    <w:rPr>
      <w:sz w:val="24"/>
    </w:rPr>
  </w:style>
  <w:style w:type="table" w:customStyle="1" w:styleId="923">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autoRedefine/>
    <w:qFormat/>
    <w:uiPriority w:val="34"/>
    <w:pPr>
      <w:ind w:firstLine="420" w:firstLineChars="20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字符"/>
    <w:link w:val="37"/>
    <w:autoRedefine/>
    <w:qFormat/>
    <w:uiPriority w:val="0"/>
    <w:rPr>
      <w:kern w:val="2"/>
      <w:sz w:val="21"/>
      <w:szCs w:val="24"/>
      <w:lang w:val="zh-CN"/>
    </w:rPr>
  </w:style>
  <w:style w:type="character" w:customStyle="1" w:styleId="935">
    <w:name w:val="无间隔 字符"/>
    <w:link w:val="485"/>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spacing w:line="360" w:lineRule="auto"/>
      <w:ind w:firstLine="480" w:firstLineChars="200"/>
    </w:pPr>
    <w:rPr>
      <w:rFonts w:cs="宋体"/>
      <w:sz w:val="24"/>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0"/>
    <w:autoRedefine/>
    <w:qFormat/>
    <w:uiPriority w:val="34"/>
    <w:pPr>
      <w:adjustRightInd/>
      <w:ind w:firstLine="420" w:firstLineChars="20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不明显强调1"/>
    <w:autoRedefine/>
    <w:qFormat/>
    <w:uiPriority w:val="19"/>
    <w:rPr>
      <w:i/>
      <w:iCs/>
    </w:rPr>
  </w:style>
  <w:style w:type="table" w:customStyle="1" w:styleId="968">
    <w:name w:val="Table Normal"/>
    <w:autoRedefine/>
    <w:unhideWhenUsed/>
    <w:qFormat/>
    <w:uiPriority w:val="0"/>
    <w:tblPr>
      <w:tblCellMar>
        <w:top w:w="0" w:type="dxa"/>
        <w:left w:w="0" w:type="dxa"/>
        <w:bottom w:w="0" w:type="dxa"/>
        <w:right w:w="0" w:type="dxa"/>
      </w:tblCellMar>
    </w:tblPr>
  </w:style>
  <w:style w:type="paragraph" w:customStyle="1" w:styleId="969">
    <w:name w:val="修订5"/>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70">
    <w:name w:val="修订6"/>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71">
    <w:name w:val="Revision"/>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76</Pages>
  <Words>37967</Words>
  <Characters>40260</Characters>
  <Lines>375</Lines>
  <Paragraphs>105</Paragraphs>
  <TotalTime>22</TotalTime>
  <ScaleCrop>false</ScaleCrop>
  <LinksUpToDate>false</LinksUpToDate>
  <CharactersWithSpaces>45590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2024-01-12T01:09:00Z</dcterms:created>
  <dc:creator>玥</dc:creator>
  <cp:lastModifiedBy>admin</cp:lastModifiedBy>
  <cp:lastPrinted>2021-12-30T11:06:00Z</cp:lastPrinted>
  <dcterms:modified xsi:type="dcterms:W3CDTF">2024-06-26T06:45:50Z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9127FEE48F304D15BDE907CEFC0951DC_13</vt:lpwstr>
  </property>
</Properties>
</file>