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p>
    <w:p>
      <w:pPr>
        <w:adjustRightInd/>
        <w:spacing w:line="360" w:lineRule="auto"/>
        <w:jc w:val="center"/>
        <w:rPr>
          <w:rFonts w:ascii="仿宋" w:hAnsi="仿宋" w:eastAsia="仿宋" w:cs="仿宋"/>
          <w:b/>
          <w:color w:val="auto"/>
          <w:sz w:val="44"/>
          <w:szCs w:val="44"/>
          <w:highlight w:val="none"/>
        </w:rPr>
      </w:pPr>
    </w:p>
    <w:p>
      <w:pPr>
        <w:adjustRightInd/>
        <w:spacing w:line="360" w:lineRule="auto"/>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杭州市萧山区卫生健康局财务集中管控平台升级项目</w:t>
      </w:r>
    </w:p>
    <w:p>
      <w:pPr>
        <w:adjustRightInd/>
        <w:spacing w:line="360" w:lineRule="auto"/>
        <w:rPr>
          <w:rFonts w:ascii="仿宋" w:hAnsi="仿宋" w:eastAsia="仿宋" w:cs="仿宋"/>
          <w:color w:val="auto"/>
          <w:sz w:val="48"/>
          <w:szCs w:val="48"/>
          <w:highlight w:val="none"/>
        </w:rPr>
      </w:pPr>
    </w:p>
    <w:p>
      <w:pPr>
        <w:adjustRightInd/>
        <w:spacing w:line="360" w:lineRule="auto"/>
        <w:jc w:val="center"/>
        <w:rPr>
          <w:rFonts w:ascii="仿宋" w:hAnsi="仿宋" w:eastAsia="仿宋" w:cs="仿宋"/>
          <w:color w:val="auto"/>
          <w:sz w:val="48"/>
          <w:szCs w:val="48"/>
          <w:highlight w:val="none"/>
        </w:rPr>
      </w:pPr>
    </w:p>
    <w:p>
      <w:pPr>
        <w:adjustRightInd/>
        <w:spacing w:line="360" w:lineRule="auto"/>
        <w:jc w:val="center"/>
        <w:rPr>
          <w:rFonts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 xml:space="preserve">招标文件 </w:t>
      </w:r>
    </w:p>
    <w:p>
      <w:pPr>
        <w:adjustRightInd/>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adjustRightInd/>
        <w:spacing w:line="360" w:lineRule="auto"/>
        <w:jc w:val="center"/>
        <w:rPr>
          <w:rFonts w:hint="default" w:ascii="仿宋" w:hAnsi="仿宋" w:eastAsia="仿宋" w:cs="仿宋"/>
          <w:color w:val="auto"/>
          <w:sz w:val="32"/>
          <w:szCs w:val="21"/>
          <w:highlight w:val="none"/>
          <w:lang w:val="en-US" w:eastAsia="zh-CN"/>
        </w:rPr>
      </w:pPr>
      <w:r>
        <w:rPr>
          <w:rFonts w:hint="eastAsia" w:ascii="仿宋" w:hAnsi="仿宋" w:eastAsia="仿宋" w:cs="仿宋"/>
          <w:color w:val="auto"/>
          <w:sz w:val="32"/>
          <w:szCs w:val="32"/>
          <w:highlight w:val="none"/>
        </w:rPr>
        <w:t>项目编号：BWZBDL2024-</w:t>
      </w:r>
      <w:r>
        <w:rPr>
          <w:rFonts w:hint="eastAsia" w:ascii="仿宋" w:hAnsi="仿宋" w:eastAsia="仿宋" w:cs="仿宋"/>
          <w:color w:val="auto"/>
          <w:sz w:val="32"/>
          <w:szCs w:val="32"/>
          <w:highlight w:val="none"/>
          <w:lang w:val="en-US" w:eastAsia="zh-CN"/>
        </w:rPr>
        <w:t>147</w:t>
      </w:r>
    </w:p>
    <w:p>
      <w:pPr>
        <w:spacing w:line="360" w:lineRule="auto"/>
        <w:jc w:val="center"/>
        <w:rPr>
          <w:rFonts w:ascii="仿宋" w:hAnsi="仿宋" w:eastAsia="仿宋" w:cs="仿宋"/>
          <w:b/>
          <w:color w:val="auto"/>
          <w:sz w:val="44"/>
          <w:szCs w:val="44"/>
          <w:highlight w:val="none"/>
        </w:rPr>
      </w:pPr>
    </w:p>
    <w:p>
      <w:pPr>
        <w:spacing w:line="360" w:lineRule="auto"/>
        <w:jc w:val="center"/>
        <w:rPr>
          <w:rFonts w:ascii="仿宋" w:hAnsi="仿宋" w:eastAsia="仿宋" w:cs="仿宋"/>
          <w:b/>
          <w:color w:val="auto"/>
          <w:sz w:val="44"/>
          <w:szCs w:val="44"/>
          <w:highlight w:val="none"/>
        </w:rPr>
      </w:pPr>
    </w:p>
    <w:p>
      <w:pPr>
        <w:spacing w:line="360" w:lineRule="auto"/>
        <w:jc w:val="center"/>
        <w:rPr>
          <w:rFonts w:ascii="仿宋" w:hAnsi="仿宋" w:eastAsia="仿宋" w:cs="仿宋"/>
          <w:color w:val="auto"/>
          <w:sz w:val="24"/>
          <w:highlight w:val="none"/>
        </w:rPr>
      </w:pPr>
    </w:p>
    <w:p>
      <w:pPr>
        <w:spacing w:line="360" w:lineRule="auto"/>
        <w:jc w:val="center"/>
        <w:rPr>
          <w:rFonts w:ascii="仿宋" w:hAnsi="仿宋" w:eastAsia="仿宋" w:cs="仿宋"/>
          <w:color w:val="auto"/>
          <w:sz w:val="24"/>
          <w:highlight w:val="none"/>
        </w:rPr>
      </w:pPr>
    </w:p>
    <w:p>
      <w:pPr>
        <w:spacing w:line="360" w:lineRule="auto"/>
        <w:jc w:val="both"/>
        <w:rPr>
          <w:rFonts w:ascii="仿宋" w:hAnsi="仿宋" w:eastAsia="仿宋" w:cs="仿宋"/>
          <w:bCs/>
          <w:color w:val="auto"/>
          <w:sz w:val="32"/>
          <w:szCs w:val="32"/>
          <w:highlight w:val="none"/>
        </w:rPr>
      </w:pPr>
    </w:p>
    <w:p>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杭州市萧山区卫生健康局</w:t>
      </w:r>
    </w:p>
    <w:p>
      <w:pPr>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杭州博望建设工程招标投标代理有限公司</w:t>
      </w:r>
    </w:p>
    <w:p>
      <w:pPr>
        <w:snapToGrid w:val="0"/>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2024年0</w:t>
      </w:r>
      <w:r>
        <w:rPr>
          <w:rFonts w:hint="eastAsia" w:ascii="仿宋" w:hAnsi="仿宋" w:eastAsia="仿宋" w:cs="仿宋"/>
          <w:bCs/>
          <w:color w:val="auto"/>
          <w:sz w:val="32"/>
          <w:szCs w:val="32"/>
          <w:highlight w:val="none"/>
          <w:lang w:val="en-US" w:eastAsia="zh-CN"/>
        </w:rPr>
        <w:t>6</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27</w:t>
      </w:r>
      <w:r>
        <w:rPr>
          <w:rFonts w:hint="eastAsia" w:ascii="仿宋" w:hAnsi="仿宋" w:eastAsia="仿宋" w:cs="仿宋"/>
          <w:bCs/>
          <w:color w:val="auto"/>
          <w:sz w:val="32"/>
          <w:szCs w:val="32"/>
          <w:highlight w:val="none"/>
        </w:rPr>
        <w:t>日</w:t>
      </w:r>
    </w:p>
    <w:p>
      <w:pPr>
        <w:spacing w:line="360" w:lineRule="auto"/>
        <w:jc w:val="center"/>
        <w:rPr>
          <w:rFonts w:ascii="仿宋" w:hAnsi="仿宋" w:eastAsia="仿宋" w:cs="仿宋"/>
          <w:b/>
          <w:color w:val="auto"/>
          <w:sz w:val="48"/>
          <w:szCs w:val="48"/>
          <w:highlight w:val="none"/>
        </w:rPr>
      </w:pPr>
    </w:p>
    <w:p>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ascii="仿宋" w:hAnsi="仿宋" w:eastAsia="仿宋" w:cs="仿宋"/>
          <w:color w:val="auto"/>
          <w:sz w:val="32"/>
          <w:szCs w:val="32"/>
          <w:highlight w:val="none"/>
        </w:rPr>
      </w:pPr>
    </w:p>
    <w:p>
      <w:pPr>
        <w:spacing w:line="360" w:lineRule="auto"/>
        <w:rPr>
          <w:rFonts w:ascii="仿宋" w:hAnsi="仿宋" w:eastAsia="仿宋" w:cs="仿宋"/>
          <w:color w:val="auto"/>
          <w:sz w:val="32"/>
          <w:szCs w:val="32"/>
          <w:highlight w:val="none"/>
        </w:rPr>
      </w:pP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ascii="仿宋" w:hAnsi="仿宋" w:eastAsia="仿宋" w:cs="仿宋"/>
          <w:color w:val="auto"/>
          <w:sz w:val="24"/>
          <w:highlight w:val="none"/>
        </w:rPr>
      </w:pPr>
      <w:bookmarkStart w:id="0" w:name="_Hlt91233176"/>
      <w:bookmarkEnd w:id="0"/>
      <w:bookmarkStart w:id="1" w:name="_Toc91899869"/>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adjustRightInd/>
        <w:spacing w:line="360" w:lineRule="auto"/>
        <w:jc w:val="center"/>
        <w:outlineLvl w:val="0"/>
        <w:rPr>
          <w:rFonts w:ascii="仿宋" w:hAnsi="仿宋" w:eastAsia="仿宋" w:cs="仿宋"/>
          <w:b/>
          <w:color w:val="auto"/>
          <w:sz w:val="36"/>
          <w:szCs w:val="20"/>
          <w:highlight w:val="none"/>
        </w:rPr>
      </w:pPr>
      <w:bookmarkStart w:id="2" w:name="第一部分"/>
      <w:r>
        <w:rPr>
          <w:rFonts w:hint="eastAsia" w:ascii="仿宋" w:hAnsi="仿宋" w:eastAsia="仿宋" w:cs="仿宋"/>
          <w:b/>
          <w:color w:val="auto"/>
          <w:sz w:val="36"/>
          <w:szCs w:val="36"/>
          <w:highlight w:val="none"/>
        </w:rPr>
        <w:br w:type="page"/>
      </w:r>
      <w:bookmarkEnd w:id="1"/>
      <w:bookmarkEnd w:id="2"/>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rPr>
        <w:t>杭州市萧山区卫生健康局财务集中管控平台升级项目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Style w:val="76"/>
          <w:rFonts w:hint="eastAsia" w:ascii="仿宋" w:hAnsi="仿宋" w:eastAsia="仿宋" w:cs="仿宋"/>
          <w:snapToGrid/>
          <w:color w:val="auto"/>
          <w:kern w:val="2"/>
          <w:sz w:val="24"/>
          <w:szCs w:val="24"/>
          <w:highlight w:val="none"/>
        </w:rPr>
        <w:t>2024年</w:t>
      </w:r>
      <w:r>
        <w:rPr>
          <w:rStyle w:val="76"/>
          <w:rFonts w:hint="eastAsia" w:ascii="仿宋" w:hAnsi="仿宋" w:eastAsia="仿宋" w:cs="仿宋"/>
          <w:snapToGrid/>
          <w:color w:val="auto"/>
          <w:kern w:val="2"/>
          <w:sz w:val="24"/>
          <w:szCs w:val="24"/>
          <w:highlight w:val="none"/>
          <w:lang w:val="en-US" w:eastAsia="zh-CN"/>
        </w:rPr>
        <w:t>7</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18</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pPr>
        <w:spacing w:line="360" w:lineRule="auto"/>
        <w:ind w:firstLine="482" w:firstLineChars="200"/>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rPr>
        <w:t>BWZBDL2024-</w:t>
      </w:r>
      <w:r>
        <w:rPr>
          <w:rFonts w:hint="eastAsia" w:ascii="仿宋" w:hAnsi="仿宋" w:eastAsia="仿宋" w:cs="仿宋"/>
          <w:bCs/>
          <w:color w:val="auto"/>
          <w:sz w:val="24"/>
          <w:highlight w:val="none"/>
          <w:lang w:val="en-US" w:eastAsia="zh-CN"/>
        </w:rPr>
        <w:t>147</w:t>
      </w:r>
    </w:p>
    <w:p>
      <w:pPr>
        <w:spacing w:line="360" w:lineRule="auto"/>
        <w:ind w:firstLine="482" w:firstLineChars="200"/>
        <w:rPr>
          <w:rFonts w:hint="eastAsia" w:ascii="仿宋" w:hAnsi="仿宋" w:eastAsia="仿宋" w:cs="仿宋"/>
          <w:color w:val="auto"/>
          <w:sz w:val="24"/>
          <w:highlight w:val="none"/>
          <w:u w:val="singl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u w:val="single"/>
        </w:rPr>
        <w:t>杭州市萧山区卫生健康局财务集中管控平台升级项目</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00000.00</w:t>
      </w:r>
    </w:p>
    <w:p>
      <w:pPr>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00000.00</w:t>
      </w:r>
    </w:p>
    <w:p>
      <w:pPr>
        <w:spacing w:line="360" w:lineRule="auto"/>
        <w:ind w:firstLine="482" w:firstLineChars="200"/>
        <w:rPr>
          <w:rFonts w:ascii="仿宋" w:hAnsi="仿宋" w:eastAsia="仿宋" w:cs="仿宋"/>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u w:val="single"/>
        </w:rPr>
        <w:t>杭州市萧山区卫生健康局财务集中管控平台升级项目</w:t>
      </w:r>
      <w:r>
        <w:rPr>
          <w:rFonts w:hint="eastAsia" w:ascii="仿宋" w:hAnsi="仿宋" w:eastAsia="仿宋" w:cs="仿宋"/>
          <w:bCs/>
          <w:color w:val="auto"/>
          <w:sz w:val="24"/>
          <w:highlight w:val="none"/>
        </w:rPr>
        <w:t>，</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color w:val="auto"/>
          <w:sz w:val="24"/>
          <w:highlight w:val="none"/>
          <w:u w:val="single"/>
        </w:rPr>
        <w:t>财务集中管控平台升级项目</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pPr>
        <w:pStyle w:val="15"/>
        <w:spacing w:line="360" w:lineRule="auto"/>
        <w:ind w:firstLine="48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合同履约期限：</w:t>
      </w:r>
      <w:r>
        <w:rPr>
          <w:rFonts w:hint="eastAsia" w:ascii="仿宋" w:hAnsi="仿宋" w:eastAsia="仿宋" w:cs="仿宋"/>
          <w:color w:val="auto"/>
          <w:sz w:val="24"/>
          <w:szCs w:val="24"/>
          <w:highlight w:val="none"/>
        </w:rPr>
        <w:t>详见采购需求</w:t>
      </w:r>
      <w:r>
        <w:rPr>
          <w:rFonts w:hint="eastAsia" w:ascii="仿宋" w:hAnsi="仿宋" w:eastAsia="仿宋" w:cs="仿宋"/>
          <w:bCs/>
          <w:color w:val="auto"/>
          <w:sz w:val="24"/>
          <w:szCs w:val="24"/>
          <w:highlight w:val="none"/>
        </w:rPr>
        <w:t>。</w:t>
      </w:r>
    </w:p>
    <w:p>
      <w:pPr>
        <w:pStyle w:val="15"/>
        <w:spacing w:line="360" w:lineRule="auto"/>
        <w:ind w:firstLine="480"/>
        <w:rPr>
          <w:rFonts w:ascii="仿宋" w:hAnsi="仿宋" w:eastAsia="仿宋" w:cs="仿宋"/>
          <w:b/>
          <w:color w:val="auto"/>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b/>
          <w:color w:val="auto"/>
          <w:sz w:val="24"/>
          <w:highlight w:val="none"/>
        </w:rPr>
        <w:t>是</w:t>
      </w:r>
      <w:r>
        <w:rPr>
          <w:rFonts w:hint="eastAsia" w:ascii="仿宋" w:hAnsi="仿宋" w:eastAsia="仿宋" w:cs="仿宋"/>
          <w:b/>
          <w:color w:val="auto"/>
          <w:sz w:val="24"/>
          <w:highlight w:val="none"/>
        </w:rPr>
        <w:t>；</w:t>
      </w:r>
      <w:sdt>
        <w:sdtPr>
          <w:rPr>
            <w:rFonts w:hint="eastAsia" w:ascii="仿宋" w:hAnsi="仿宋" w:eastAsia="仿宋" w:cs="仿宋"/>
            <w:color w:val="auto"/>
            <w:kern w:val="0"/>
            <w:sz w:val="24"/>
            <w:highlight w:val="none"/>
          </w:rPr>
          <w:id w:val="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1928616923"/>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MS Gothic" w:hAnsi="MS Gothic" w:eastAsia="仿宋" w:cs="仿宋"/>
              <w:snapToGrid w:val="0"/>
              <w:color w:val="auto"/>
              <w:kern w:val="28"/>
              <w:sz w:val="24"/>
              <w:szCs w:val="20"/>
              <w:highlight w:val="none"/>
              <w:lang w:val="en-US" w:eastAsia="zh-CN" w:bidi="ar-SA"/>
            </w:rPr>
            <w:t>☐</w:t>
          </w:r>
        </w:sdtContent>
      </w:sdt>
      <w:r>
        <w:rPr>
          <w:rFonts w:hint="eastAsia" w:ascii="仿宋" w:hAnsi="仿宋" w:eastAsia="仿宋" w:cs="仿宋"/>
          <w:snapToGrid w:val="0"/>
          <w:color w:val="auto"/>
          <w:kern w:val="28"/>
          <w:sz w:val="24"/>
          <w:szCs w:val="20"/>
          <w:highlight w:val="none"/>
        </w:rPr>
        <w:t>无（注：不得限制大中型企业与小微企业组成联合体参与投标）；</w:t>
      </w:r>
    </w:p>
    <w:p>
      <w:pPr>
        <w:spacing w:line="360" w:lineRule="auto"/>
        <w:ind w:firstLine="480"/>
        <w:rPr>
          <w:rFonts w:hint="eastAsia" w:ascii="仿宋" w:hAnsi="仿宋" w:eastAsia="仿宋" w:cs="仿宋"/>
          <w:b w:val="0"/>
          <w:bCs/>
          <w:snapToGrid w:val="0"/>
          <w:color w:val="auto"/>
          <w:kern w:val="28"/>
          <w:sz w:val="24"/>
          <w:szCs w:val="20"/>
          <w:highlight w:val="none"/>
          <w:lang w:val="en-US" w:eastAsia="zh-CN" w:bidi="ar-SA"/>
        </w:rPr>
      </w:pPr>
      <w:sdt>
        <w:sdtPr>
          <w:rPr>
            <w:rFonts w:hint="eastAsia" w:ascii="仿宋" w:hAnsi="仿宋" w:eastAsia="仿宋" w:cs="仿宋"/>
            <w:b w:val="0"/>
            <w:bCs/>
            <w:snapToGrid w:val="0"/>
            <w:color w:val="auto"/>
            <w:kern w:val="28"/>
            <w:sz w:val="24"/>
            <w:szCs w:val="20"/>
            <w:highlight w:val="none"/>
            <w:lang w:val="en-US" w:eastAsia="zh-CN" w:bidi="ar-SA"/>
          </w:rPr>
          <w:id w:val="4"/>
          <w14:checkbox>
            <w14:checked w14:val="1"/>
            <w14:checkedState w14:val="00FE" w14:font="Wingdings"/>
            <w14:uncheckedState w14:val="2610" w14:font="MS Gothic"/>
          </w14:checkbox>
        </w:sdtPr>
        <w:sdtEndPr>
          <w:rPr>
            <w:rFonts w:hint="eastAsia" w:ascii="仿宋" w:hAnsi="仿宋" w:eastAsia="仿宋" w:cs="仿宋"/>
            <w:b w:val="0"/>
            <w:bCs/>
            <w:snapToGrid w:val="0"/>
            <w:color w:val="auto"/>
            <w:kern w:val="28"/>
            <w:sz w:val="24"/>
            <w:szCs w:val="20"/>
            <w:highlight w:val="none"/>
            <w:lang w:val="en-US" w:eastAsia="zh-CN" w:bidi="ar-SA"/>
          </w:rPr>
        </w:sdtEndPr>
        <w:sdtContent>
          <w:r>
            <w:rPr>
              <w:rFonts w:hint="eastAsia" w:ascii="Wingdings" w:hAnsi="Wingdings" w:eastAsia="仿宋" w:cs="仿宋"/>
              <w:b w:val="0"/>
              <w:bCs/>
              <w:snapToGrid w:val="0"/>
              <w:color w:val="auto"/>
              <w:kern w:val="28"/>
              <w:sz w:val="24"/>
              <w:szCs w:val="20"/>
              <w:highlight w:val="none"/>
              <w:lang w:val="en-US" w:eastAsia="zh-CN" w:bidi="ar-SA"/>
            </w:rPr>
            <w:t>þ</w:t>
          </w:r>
        </w:sdtContent>
      </w:sdt>
      <w:r>
        <w:rPr>
          <w:rFonts w:hint="eastAsia" w:ascii="仿宋" w:hAnsi="仿宋" w:eastAsia="仿宋" w:cs="仿宋"/>
          <w:b w:val="0"/>
          <w:bCs/>
          <w:snapToGrid w:val="0"/>
          <w:color w:val="auto"/>
          <w:kern w:val="28"/>
          <w:sz w:val="24"/>
          <w:szCs w:val="20"/>
          <w:highlight w:val="none"/>
          <w:lang w:val="en-US" w:eastAsia="zh-CN" w:bidi="ar-SA"/>
        </w:rPr>
        <w:t>专门面向中小企业</w:t>
      </w:r>
    </w:p>
    <w:p>
      <w:pPr>
        <w:spacing w:line="360" w:lineRule="auto"/>
        <w:ind w:firstLine="840"/>
        <w:rPr>
          <w:rFonts w:hint="eastAsia" w:ascii="仿宋" w:hAnsi="仿宋" w:eastAsia="仿宋" w:cs="仿宋"/>
          <w:b w:val="0"/>
          <w:bCs/>
          <w:snapToGrid w:val="0"/>
          <w:color w:val="auto"/>
          <w:kern w:val="28"/>
          <w:sz w:val="24"/>
          <w:szCs w:val="20"/>
          <w:highlight w:val="none"/>
          <w:lang w:val="en-US" w:eastAsia="zh-CN" w:bidi="ar-SA"/>
        </w:rPr>
      </w:pPr>
      <w:sdt>
        <w:sdtPr>
          <w:rPr>
            <w:rFonts w:hint="eastAsia" w:ascii="仿宋" w:hAnsi="仿宋" w:eastAsia="仿宋" w:cs="仿宋"/>
            <w:b w:val="0"/>
            <w:bCs/>
            <w:snapToGrid w:val="0"/>
            <w:color w:val="auto"/>
            <w:kern w:val="28"/>
            <w:sz w:val="24"/>
            <w:szCs w:val="20"/>
            <w:highlight w:val="none"/>
            <w:lang w:val="en-US" w:eastAsia="zh-CN" w:bidi="ar-SA"/>
          </w:rPr>
          <w:id w:val="5"/>
          <w14:checkbox>
            <w14:checked w14:val="1"/>
            <w14:checkedState w14:val="00FE" w14:font="Wingdings"/>
            <w14:uncheckedState w14:val="2610" w14:font="MS Gothic"/>
          </w14:checkbox>
        </w:sdtPr>
        <w:sdtEndPr>
          <w:rPr>
            <w:rFonts w:hint="eastAsia" w:ascii="仿宋" w:hAnsi="仿宋" w:eastAsia="仿宋" w:cs="仿宋"/>
            <w:b w:val="0"/>
            <w:bCs/>
            <w:snapToGrid w:val="0"/>
            <w:color w:val="auto"/>
            <w:kern w:val="28"/>
            <w:sz w:val="24"/>
            <w:szCs w:val="20"/>
            <w:highlight w:val="none"/>
            <w:lang w:val="en-US" w:eastAsia="zh-CN" w:bidi="ar-SA"/>
          </w:rPr>
        </w:sdtEndPr>
        <w:sdtContent>
          <w:r>
            <w:rPr>
              <w:rFonts w:hint="eastAsia" w:ascii="Wingdings" w:hAnsi="Wingdings" w:eastAsia="仿宋" w:cs="仿宋"/>
              <w:b w:val="0"/>
              <w:bCs/>
              <w:snapToGrid w:val="0"/>
              <w:color w:val="auto"/>
              <w:kern w:val="28"/>
              <w:sz w:val="24"/>
              <w:szCs w:val="20"/>
              <w:highlight w:val="none"/>
              <w:lang w:val="en-US" w:eastAsia="zh-CN" w:bidi="ar-SA"/>
            </w:rPr>
            <w:t>þ</w:t>
          </w:r>
        </w:sdtContent>
      </w:sdt>
      <w:r>
        <w:rPr>
          <w:rFonts w:hint="eastAsia" w:ascii="仿宋" w:hAnsi="仿宋" w:eastAsia="仿宋" w:cs="仿宋"/>
          <w:b w:val="0"/>
          <w:bCs/>
          <w:snapToGrid w:val="0"/>
          <w:color w:val="auto"/>
          <w:kern w:val="28"/>
          <w:sz w:val="24"/>
          <w:szCs w:val="20"/>
          <w:highlight w:val="none"/>
          <w:lang w:val="en-US" w:eastAsia="zh-CN" w:bidi="ar-SA"/>
        </w:rPr>
        <w:t>服务全部由符合政策要求的中小企业承接，提供中小企业声明函；</w:t>
      </w:r>
    </w:p>
    <w:p>
      <w:pPr>
        <w:spacing w:line="360" w:lineRule="auto"/>
        <w:ind w:firstLine="84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6"/>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服务全部由符合政策要求的小微企业承接，提供中小企业声明函；</w:t>
      </w:r>
    </w:p>
    <w:p>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7"/>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要求以联合体形式参加，提供联合协议和中小企业声明函，联合协议中中小企业合同金额应当达到</w:t>
      </w:r>
      <w:r>
        <w:rPr>
          <w:rFonts w:hint="eastAsia" w:ascii="仿宋" w:hAnsi="仿宋" w:eastAsia="仿宋" w:cs="仿宋"/>
          <w:snapToGrid w:val="0"/>
          <w:color w:val="auto"/>
          <w:kern w:val="28"/>
          <w:sz w:val="24"/>
          <w:szCs w:val="20"/>
          <w:highlight w:val="none"/>
          <w:u w:val="single"/>
        </w:rPr>
        <w:t xml:space="preserve">  </w:t>
      </w:r>
      <w:r>
        <w:rPr>
          <w:rFonts w:hint="eastAsia" w:ascii="仿宋" w:hAnsi="仿宋" w:eastAsia="仿宋" w:cs="仿宋"/>
          <w:snapToGrid w:val="0"/>
          <w:color w:val="auto"/>
          <w:kern w:val="28"/>
          <w:sz w:val="24"/>
          <w:szCs w:val="20"/>
          <w:highlight w:val="none"/>
        </w:rPr>
        <w:t>%，其中小微企业合同金额应当达到</w:t>
      </w:r>
      <w:r>
        <w:rPr>
          <w:rFonts w:hint="eastAsia" w:ascii="仿宋" w:hAnsi="仿宋" w:eastAsia="仿宋" w:cs="仿宋"/>
          <w:snapToGrid w:val="0"/>
          <w:color w:val="auto"/>
          <w:kern w:val="28"/>
          <w:sz w:val="24"/>
          <w:szCs w:val="20"/>
          <w:highlight w:val="none"/>
          <w:u w:val="single"/>
        </w:rPr>
        <w:t xml:space="preserve">  </w:t>
      </w:r>
      <w:r>
        <w:rPr>
          <w:rFonts w:hint="eastAsia" w:ascii="仿宋" w:hAnsi="仿宋" w:eastAsia="仿宋" w:cs="仿宋"/>
          <w:snapToGrid w:val="0"/>
          <w:color w:val="auto"/>
          <w:kern w:val="28"/>
          <w:sz w:val="24"/>
          <w:szCs w:val="20"/>
          <w:highlight w:val="none"/>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rPr>
          <w:rFonts w:ascii="仿宋" w:hAnsi="仿宋" w:eastAsia="仿宋" w:cs="仿宋"/>
          <w:snapToGrid w:val="0"/>
          <w:color w:val="auto"/>
          <w:kern w:val="28"/>
          <w:sz w:val="24"/>
          <w:szCs w:val="20"/>
          <w:highlight w:val="none"/>
        </w:rPr>
      </w:pPr>
      <w:sdt>
        <w:sdtPr>
          <w:rPr>
            <w:rFonts w:hint="eastAsia" w:ascii="仿宋" w:hAnsi="仿宋" w:eastAsia="仿宋" w:cs="仿宋"/>
            <w:snapToGrid w:val="0"/>
            <w:color w:val="auto"/>
            <w:kern w:val="28"/>
            <w:sz w:val="24"/>
            <w:szCs w:val="20"/>
            <w:highlight w:val="none"/>
          </w:rPr>
          <w:id w:val="34630645"/>
          <w14:checkbox>
            <w14:checked w14:val="0"/>
            <w14:checkedState w14:val="00FE" w14:font="Wingdings"/>
            <w14:uncheckedState w14:val="2610" w14:font="MS Gothic"/>
          </w14:checkbox>
        </w:sdtPr>
        <w:sdtEndPr>
          <w:rPr>
            <w:rFonts w:hint="eastAsia" w:ascii="仿宋" w:hAnsi="仿宋" w:eastAsia="仿宋" w:cs="仿宋"/>
            <w:snapToGrid w:val="0"/>
            <w:color w:val="auto"/>
            <w:kern w:val="28"/>
            <w:sz w:val="24"/>
            <w:szCs w:val="20"/>
            <w:highlight w:val="none"/>
          </w:rPr>
        </w:sdtEndPr>
        <w:sdtContent>
          <w:r>
            <w:rPr>
              <w:rFonts w:hint="eastAsia" w:ascii="仿宋" w:hAnsi="仿宋" w:eastAsia="仿宋" w:cs="仿宋"/>
              <w:snapToGrid w:val="0"/>
              <w:color w:val="auto"/>
              <w:kern w:val="28"/>
              <w:sz w:val="24"/>
              <w:szCs w:val="20"/>
              <w:highlight w:val="none"/>
            </w:rPr>
            <w:t>☐</w:t>
          </w:r>
        </w:sdtContent>
      </w:sdt>
      <w:r>
        <w:rPr>
          <w:rFonts w:hint="eastAsia" w:ascii="仿宋" w:hAnsi="仿宋" w:eastAsia="仿宋" w:cs="仿宋"/>
          <w:snapToGrid w:val="0"/>
          <w:color w:val="auto"/>
          <w:kern w:val="28"/>
          <w:sz w:val="24"/>
          <w:szCs w:val="20"/>
          <w:highlight w:val="none"/>
        </w:rPr>
        <w:t>要求合同分包，提供分包意向协议和中小企业声明函，分包意向协议中中小企业合同金额应当达到</w:t>
      </w:r>
      <w:r>
        <w:rPr>
          <w:rFonts w:hint="eastAsia" w:ascii="仿宋" w:hAnsi="仿宋" w:eastAsia="仿宋" w:cs="仿宋"/>
          <w:snapToGrid w:val="0"/>
          <w:color w:val="auto"/>
          <w:kern w:val="28"/>
          <w:sz w:val="24"/>
          <w:szCs w:val="20"/>
          <w:highlight w:val="none"/>
          <w:u w:val="single"/>
        </w:rPr>
        <w:t xml:space="preserve">  </w:t>
      </w:r>
      <w:r>
        <w:rPr>
          <w:rFonts w:hint="eastAsia" w:ascii="仿宋" w:hAnsi="仿宋" w:eastAsia="仿宋" w:cs="仿宋"/>
          <w:snapToGrid w:val="0"/>
          <w:color w:val="auto"/>
          <w:kern w:val="28"/>
          <w:sz w:val="24"/>
          <w:szCs w:val="20"/>
          <w:highlight w:val="none"/>
        </w:rPr>
        <w:t>% ，其中小微企业合同金额应当达到</w:t>
      </w:r>
      <w:r>
        <w:rPr>
          <w:rFonts w:hint="eastAsia" w:ascii="仿宋" w:hAnsi="仿宋" w:eastAsia="仿宋" w:cs="仿宋"/>
          <w:snapToGrid w:val="0"/>
          <w:color w:val="auto"/>
          <w:kern w:val="28"/>
          <w:sz w:val="24"/>
          <w:szCs w:val="20"/>
          <w:highlight w:val="none"/>
          <w:u w:val="single"/>
        </w:rPr>
        <w:t xml:space="preserve">  </w:t>
      </w:r>
      <w:r>
        <w:rPr>
          <w:rFonts w:hint="eastAsia" w:ascii="仿宋" w:hAnsi="仿宋" w:eastAsia="仿宋" w:cs="仿宋"/>
          <w:snapToGrid w:val="0"/>
          <w:color w:val="auto"/>
          <w:kern w:val="28"/>
          <w:sz w:val="24"/>
          <w:szCs w:val="20"/>
          <w:highlight w:val="none"/>
        </w:rPr>
        <w:t>%；如果供应商本身提供所有标的均由中小企业制造、承建或承接，并相应达到了前述比例要求，视同符合了资格条件，无需再向中小企业分包，无需提供分包意向协议；</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u w:val="none"/>
        </w:rPr>
        <w:t>无。</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政采云平台（https://www.zcygov.cn/）</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w:t>
      </w:r>
      <w:r>
        <w:rPr>
          <w:rFonts w:hint="eastAsia" w:ascii="仿宋" w:hAnsi="仿宋" w:eastAsia="仿宋" w:cs="仿宋"/>
          <w:color w:val="auto"/>
          <w:sz w:val="24"/>
          <w:highlight w:val="none"/>
        </w:rPr>
        <w:t>北京时间）</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政采云平台（https://www.zcygov.cn/）</w:t>
      </w:r>
    </w:p>
    <w:p>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名称：杭州市萧山区卫生健康局</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地址：杭州市萧山区风情大道3258号</w:t>
      </w:r>
    </w:p>
    <w:p>
      <w:pPr>
        <w:snapToGrid w:val="0"/>
        <w:spacing w:line="360" w:lineRule="auto"/>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项目联系人（询问）：陈盼望</w:t>
      </w:r>
    </w:p>
    <w:p>
      <w:pPr>
        <w:snapToGrid w:val="0"/>
        <w:spacing w:line="360" w:lineRule="auto"/>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项目联系方式（询问）：0571-82626296</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质疑联系人：鲁建锋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质疑联系方式：0571-82626196</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名称：杭州博望建设工程招标投标代理有限公司</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地址：杭州市萧山区金城路433号天汇园一幢A座5楼</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项目联系人（询问）：高华萍</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项目联系方式（询问）：0571-838812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8</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质疑联系人：范梦迪</w:t>
      </w:r>
    </w:p>
    <w:p>
      <w:pPr>
        <w:spacing w:line="360" w:lineRule="auto"/>
        <w:ind w:firstLine="420" w:firstLineChars="175"/>
        <w:rPr>
          <w:rFonts w:ascii="仿宋" w:hAnsi="仿宋" w:eastAsia="仿宋" w:cs="仿宋"/>
          <w:color w:val="auto"/>
          <w:sz w:val="24"/>
          <w:highlight w:val="none"/>
        </w:rPr>
      </w:pPr>
      <w:r>
        <w:rPr>
          <w:rFonts w:hint="eastAsia" w:ascii="仿宋" w:hAnsi="仿宋" w:eastAsia="仿宋" w:cs="仿宋"/>
          <w:color w:val="auto"/>
          <w:sz w:val="24"/>
          <w:highlight w:val="none"/>
        </w:rPr>
        <w:t>质疑联系方式：0571-838812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8</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名称：萧山区财政局、浙江省政府采购行政裁决服务中心（杭州）</w:t>
      </w:r>
    </w:p>
    <w:p>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地址：杭州市上城区四季青街道新业路市民之家G03办公室（快递仅限ems或顺丰）</w:t>
      </w:r>
    </w:p>
    <w:p>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传真：/</w:t>
      </w:r>
    </w:p>
    <w:p>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联系人：朱女士/王女士</w:t>
      </w:r>
    </w:p>
    <w:p>
      <w:pPr>
        <w:spacing w:line="360" w:lineRule="auto"/>
        <w:ind w:left="237" w:leftChars="113" w:firstLine="180" w:firstLineChars="75"/>
        <w:rPr>
          <w:rFonts w:ascii="仿宋" w:hAnsi="仿宋" w:eastAsia="仿宋" w:cs="仿宋"/>
          <w:color w:val="auto"/>
          <w:sz w:val="24"/>
          <w:highlight w:val="none"/>
        </w:rPr>
      </w:pPr>
      <w:r>
        <w:rPr>
          <w:rFonts w:hint="eastAsia" w:ascii="仿宋" w:hAnsi="仿宋" w:eastAsia="仿宋" w:cs="仿宋"/>
          <w:color w:val="auto"/>
          <w:sz w:val="24"/>
          <w:highlight w:val="none"/>
        </w:rPr>
        <w:t>监督投诉电话：0571-85252453</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政策咨询电话：0571-82756122（汤先生）</w:t>
      </w:r>
    </w:p>
    <w:p>
      <w:pPr>
        <w:spacing w:line="320" w:lineRule="exact"/>
        <w:jc w:val="left"/>
        <w:rPr>
          <w:rFonts w:ascii="仿宋" w:hAnsi="仿宋" w:eastAsia="仿宋" w:cs="仿宋"/>
          <w:color w:val="auto"/>
          <w:sz w:val="24"/>
          <w:highlight w:val="none"/>
        </w:rPr>
      </w:pPr>
    </w:p>
    <w:p>
      <w:pPr>
        <w:spacing w:line="32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20" w:lineRule="exact"/>
        <w:ind w:firstLine="480" w:firstLineChars="200"/>
        <w:jc w:val="left"/>
        <w:rPr>
          <w:rFonts w:ascii="仿宋" w:hAnsi="仿宋" w:eastAsia="仿宋" w:cs="仿宋"/>
          <w:b/>
          <w:color w:val="auto"/>
          <w:sz w:val="36"/>
          <w:szCs w:val="20"/>
          <w:highlight w:val="none"/>
        </w:rPr>
      </w:pPr>
      <w:r>
        <w:rPr>
          <w:rFonts w:hint="eastAsia" w:ascii="仿宋" w:hAnsi="仿宋" w:eastAsia="仿宋" w:cs="仿宋"/>
          <w:color w:val="auto"/>
          <w:sz w:val="24"/>
          <w:highlight w:val="none"/>
        </w:rPr>
        <w:t>CA问题联系电话（人工）：汇信CA 400-888-4636；天谷CA 400-087-8198。</w:t>
      </w:r>
      <w:r>
        <w:rPr>
          <w:rFonts w:hint="eastAsia" w:ascii="仿宋" w:hAnsi="仿宋" w:eastAsia="仿宋" w:cs="仿宋"/>
          <w:b/>
          <w:color w:val="auto"/>
          <w:sz w:val="36"/>
          <w:szCs w:val="20"/>
          <w:highlight w:val="none"/>
        </w:rPr>
        <w:br w:type="page"/>
      </w:r>
    </w:p>
    <w:p>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7"/>
      <w:r>
        <w:rPr>
          <w:rFonts w:hint="eastAsia" w:ascii="仿宋" w:hAnsi="仿宋" w:eastAsia="仿宋" w:cs="仿宋"/>
          <w:b/>
          <w:color w:val="auto"/>
          <w:sz w:val="36"/>
          <w:szCs w:val="20"/>
          <w:highlight w:val="none"/>
        </w:rPr>
        <w:t xml:space="preserve"> 投标人须知</w:t>
      </w:r>
      <w:bookmarkEnd w:id="8"/>
    </w:p>
    <w:p>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0"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（1）标的：</w:t>
            </w:r>
            <w:r>
              <w:rPr>
                <w:rFonts w:hint="eastAsia" w:ascii="仿宋" w:hAnsi="仿宋" w:eastAsia="仿宋" w:cs="仿宋"/>
                <w:color w:val="auto"/>
                <w:sz w:val="24"/>
                <w:highlight w:val="none"/>
                <w:u w:val="single"/>
              </w:rPr>
              <w:t>杭州市萧山区卫生健康局财务集中管控平台升级改造建设</w:t>
            </w:r>
            <w:r>
              <w:rPr>
                <w:rFonts w:hint="eastAsia" w:ascii="仿宋" w:hAnsi="仿宋" w:eastAsia="仿宋" w:cs="仿宋"/>
                <w:color w:val="auto"/>
                <w:sz w:val="24"/>
                <w:highlight w:val="none"/>
                <w:u w:val="single"/>
                <w:lang w:eastAsia="zh-CN"/>
              </w:rPr>
              <w:t>项目</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 xml:space="preserve">软件和信息技术服务业 </w:t>
            </w:r>
            <w:r>
              <w:rPr>
                <w:rFonts w:hint="eastAsia" w:ascii="仿宋" w:hAnsi="仿宋" w:eastAsia="仿宋" w:cs="仿宋"/>
                <w:color w:val="auto"/>
                <w:sz w:val="24"/>
                <w:highlight w:val="none"/>
              </w:rPr>
              <w:t>行业；</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0"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F0FE"/>
                </w:r>
              </w:sdtContent>
            </w:sdt>
            <w:r>
              <w:rPr>
                <w:rFonts w:hint="eastAsia" w:ascii="仿宋" w:hAnsi="仿宋" w:eastAsia="仿宋" w:cs="仿宋"/>
                <w:color w:val="auto"/>
                <w:kern w:val="0"/>
                <w:sz w:val="24"/>
                <w:highlight w:val="none"/>
              </w:rPr>
              <w:t>本项目不允许采购进口产品。</w:t>
            </w:r>
          </w:p>
          <w:p>
            <w:pPr>
              <w:spacing w:line="400" w:lineRule="exact"/>
              <w:rPr>
                <w:rFonts w:hint="eastAsia" w:ascii="仿宋" w:hAnsi="仿宋" w:eastAsia="仿宋" w:cs="仿宋"/>
                <w:color w:val="auto"/>
                <w:kern w:val="0"/>
                <w:sz w:val="24"/>
                <w:highlight w:val="none"/>
                <w:lang w:eastAsia="zh-CN"/>
              </w:rPr>
            </w:pPr>
            <w:sdt>
              <w:sdtPr>
                <w:rPr>
                  <w:rFonts w:hint="eastAsia" w:ascii="仿宋" w:hAnsi="仿宋" w:eastAsia="仿宋" w:cs="仿宋"/>
                  <w:color w:val="auto"/>
                  <w:kern w:val="0"/>
                  <w:sz w:val="24"/>
                  <w:highlight w:val="none"/>
                </w:rPr>
                <w:id w:val="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p>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highlight w:val="none"/>
                <w:u w:val="single"/>
              </w:rPr>
              <w:t>评分标准</w:t>
            </w:r>
            <w:r>
              <w:rPr>
                <w:rFonts w:hint="eastAsia" w:ascii="仿宋" w:hAnsi="仿宋" w:eastAsia="仿宋" w:cs="仿宋"/>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调试</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现场演示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400" w:lineRule="exact"/>
              <w:rPr>
                <w:rFonts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0" w:hRule="atLeast"/>
          <w:tblHeader/>
          <w:jc w:val="center"/>
        </w:trPr>
        <w:tc>
          <w:tcPr>
            <w:tcW w:w="629" w:type="dxa"/>
            <w:vMerge w:val="restart"/>
            <w:tcBorders>
              <w:top w:val="single" w:color="auto" w:sz="4" w:space="0"/>
              <w:left w:val="single" w:color="auto" w:sz="4" w:space="0"/>
              <w:right w:val="single" w:color="auto" w:sz="4" w:space="0"/>
            </w:tcBorders>
          </w:tcPr>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400" w:lineRule="exact"/>
              <w:rPr>
                <w:rFonts w:ascii="仿宋" w:hAnsi="仿宋" w:eastAsia="仿宋" w:cs="仿宋"/>
                <w:snapToGrid w:val="0"/>
                <w:color w:val="auto"/>
                <w:kern w:val="0"/>
                <w:sz w:val="24"/>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tblHeader/>
          <w:jc w:val="center"/>
        </w:trPr>
        <w:tc>
          <w:tcPr>
            <w:tcW w:w="629" w:type="dxa"/>
            <w:vMerge w:val="continue"/>
            <w:tcBorders>
              <w:left w:val="single" w:color="auto" w:sz="4" w:space="0"/>
              <w:bottom w:val="single" w:color="auto" w:sz="4" w:space="0"/>
              <w:right w:val="single" w:color="auto" w:sz="4" w:space="0"/>
            </w:tcBorders>
          </w:tcPr>
          <w:p>
            <w:pPr>
              <w:snapToGrid w:val="0"/>
              <w:spacing w:line="400" w:lineRule="exact"/>
              <w:jc w:val="center"/>
              <w:rPr>
                <w:rFonts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p>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kern w:val="0"/>
                <w:sz w:val="24"/>
                <w:highlight w:val="none"/>
                <w:lang w:val="zh-CN"/>
              </w:rPr>
              <w:t>投标文件</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400" w:lineRule="exact"/>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snapToGrid w:val="0"/>
              <w:spacing w:line="400" w:lineRule="exact"/>
              <w:ind w:firstLine="482" w:firstLineChars="200"/>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snapToGrid w:val="0"/>
              <w:spacing w:line="400" w:lineRule="exact"/>
              <w:ind w:firstLine="482" w:firstLineChars="200"/>
              <w:jc w:val="left"/>
              <w:rPr>
                <w:rFonts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highlight w:val="none"/>
              </w:rPr>
              <w:t>;</w:t>
            </w:r>
          </w:p>
          <w:p>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629" w:type="dxa"/>
            <w:tcBorders>
              <w:top w:val="single" w:color="auto" w:sz="4" w:space="0"/>
              <w:left w:val="single" w:color="000000" w:sz="8" w:space="0"/>
              <w:right w:val="single" w:color="000000" w:sz="2"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w:t>
            </w:r>
          </w:p>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融资</w:t>
            </w:r>
          </w:p>
        </w:tc>
        <w:tc>
          <w:tcPr>
            <w:tcW w:w="6095" w:type="dxa"/>
            <w:tcBorders>
              <w:top w:val="single" w:color="000000" w:sz="8" w:space="0"/>
              <w:left w:val="single" w:color="000000" w:sz="2" w:space="0"/>
              <w:right w:val="single" w:color="000000" w:sz="8" w:space="0"/>
            </w:tcBorders>
            <w:vAlign w:val="center"/>
          </w:tcPr>
          <w:p>
            <w:pPr>
              <w:spacing w:line="400" w:lineRule="exact"/>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pPr>
              <w:spacing w:line="400" w:lineRule="exact"/>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本项目支持《杭州市萧山区政府采购支持中小企业信用融资暂行办法》。</w:t>
            </w:r>
          </w:p>
          <w:p>
            <w:pPr>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snapToGrid w:val="0"/>
                <w:color w:val="auto"/>
                <w:kern w:val="28"/>
                <w:sz w:val="24"/>
                <w:highlight w:val="none"/>
              </w:rPr>
              <w:t>有融资需求的中标供应商可参照相关规定及银行方案凭政府采购合同向相关合作银行提出信用融资（贷款）申请。详见http://www.xiaoshan.gov.cn/art/2018/12/20/art_1229293109_1559514.html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本项目备份文件是否收取：不收取。</w:t>
            </w:r>
          </w:p>
          <w:p>
            <w:pPr>
              <w:pStyle w:val="33"/>
              <w:spacing w:line="400" w:lineRule="exact"/>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中标单位在中标后提供纸质投标文件一正二副。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w:t>
            </w:r>
          </w:p>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400" w:lineRule="exact"/>
              <w:rPr>
                <w:rFonts w:ascii="仿宋" w:hAnsi="仿宋" w:eastAsia="仿宋" w:cs="仿宋"/>
                <w:color w:val="auto"/>
                <w:kern w:val="28"/>
                <w:sz w:val="24"/>
                <w:szCs w:val="24"/>
                <w:highlight w:val="none"/>
                <w:lang w:val="zh-CN"/>
              </w:rPr>
            </w:pPr>
            <w:r>
              <w:rPr>
                <w:rFonts w:hint="eastAsia" w:ascii="仿宋" w:hAnsi="仿宋" w:eastAsia="仿宋" w:cs="仿宋"/>
                <w:color w:val="auto"/>
                <w:kern w:val="28"/>
                <w:sz w:val="24"/>
                <w:szCs w:val="24"/>
                <w:highlight w:val="none"/>
                <w:lang w:val="zh-CN"/>
              </w:rPr>
              <w:t>本项目采购代理费由</w:t>
            </w:r>
            <w:r>
              <w:rPr>
                <w:rFonts w:hint="eastAsia" w:ascii="仿宋" w:hAnsi="仿宋" w:eastAsia="仿宋" w:cs="仿宋"/>
                <w:color w:val="auto"/>
                <w:kern w:val="28"/>
                <w:sz w:val="24"/>
                <w:szCs w:val="24"/>
                <w:highlight w:val="none"/>
              </w:rPr>
              <w:t>中标</w:t>
            </w:r>
            <w:r>
              <w:rPr>
                <w:rFonts w:hint="eastAsia" w:ascii="仿宋" w:hAnsi="仿宋" w:eastAsia="仿宋" w:cs="仿宋"/>
                <w:color w:val="auto"/>
                <w:kern w:val="28"/>
                <w:sz w:val="24"/>
                <w:szCs w:val="24"/>
                <w:highlight w:val="none"/>
                <w:lang w:val="zh-CN"/>
              </w:rPr>
              <w:t>人支付。本次招标委托代理费按国家发展计划委员会的计价格[2002]1980号文件服务类收费标准下浮</w:t>
            </w:r>
            <w:r>
              <w:rPr>
                <w:rFonts w:hint="eastAsia" w:ascii="仿宋" w:hAnsi="仿宋" w:eastAsia="仿宋" w:cs="仿宋"/>
                <w:color w:val="auto"/>
                <w:kern w:val="28"/>
                <w:sz w:val="24"/>
                <w:szCs w:val="24"/>
                <w:highlight w:val="none"/>
              </w:rPr>
              <w:t>50</w:t>
            </w:r>
            <w:r>
              <w:rPr>
                <w:rFonts w:hint="eastAsia" w:ascii="仿宋" w:hAnsi="仿宋" w:eastAsia="仿宋" w:cs="仿宋"/>
                <w:color w:val="auto"/>
                <w:kern w:val="28"/>
                <w:sz w:val="24"/>
                <w:szCs w:val="24"/>
                <w:highlight w:val="none"/>
                <w:lang w:val="zh-CN"/>
              </w:rPr>
              <w:t>%结算收取（不足</w:t>
            </w:r>
            <w:r>
              <w:rPr>
                <w:rFonts w:hint="eastAsia" w:ascii="仿宋" w:hAnsi="仿宋" w:eastAsia="仿宋" w:cs="仿宋"/>
                <w:color w:val="auto"/>
                <w:kern w:val="28"/>
                <w:sz w:val="24"/>
                <w:szCs w:val="24"/>
                <w:highlight w:val="none"/>
              </w:rPr>
              <w:t>2000按2000元）</w:t>
            </w:r>
            <w:r>
              <w:rPr>
                <w:rFonts w:hint="eastAsia" w:ascii="仿宋" w:hAnsi="仿宋" w:eastAsia="仿宋" w:cs="仿宋"/>
                <w:color w:val="auto"/>
                <w:kern w:val="28"/>
                <w:sz w:val="24"/>
                <w:szCs w:val="24"/>
                <w:highlight w:val="none"/>
                <w:lang w:val="zh-CN"/>
              </w:rPr>
              <w:t>。</w:t>
            </w:r>
          </w:p>
          <w:p>
            <w:pPr>
              <w:pStyle w:val="33"/>
              <w:spacing w:line="400" w:lineRule="exact"/>
              <w:rPr>
                <w:rFonts w:ascii="仿宋" w:hAnsi="仿宋" w:eastAsia="仿宋" w:cs="仿宋"/>
                <w:color w:val="auto"/>
                <w:kern w:val="28"/>
                <w:sz w:val="24"/>
                <w:szCs w:val="24"/>
                <w:highlight w:val="none"/>
                <w:lang w:val="zh-CN"/>
              </w:rPr>
            </w:pPr>
            <w:r>
              <w:rPr>
                <w:rFonts w:hint="eastAsia" w:ascii="仿宋" w:hAnsi="仿宋" w:eastAsia="仿宋" w:cs="仿宋"/>
                <w:color w:val="auto"/>
                <w:kern w:val="28"/>
                <w:sz w:val="24"/>
                <w:szCs w:val="24"/>
                <w:highlight w:val="none"/>
                <w:lang w:val="zh-CN"/>
              </w:rPr>
              <w:t>服务费缴纳账号：</w:t>
            </w:r>
          </w:p>
          <w:p>
            <w:pPr>
              <w:pStyle w:val="33"/>
              <w:spacing w:line="400" w:lineRule="exact"/>
              <w:rPr>
                <w:rFonts w:ascii="仿宋" w:hAnsi="仿宋" w:eastAsia="仿宋" w:cs="仿宋"/>
                <w:color w:val="auto"/>
                <w:kern w:val="28"/>
                <w:sz w:val="24"/>
                <w:szCs w:val="24"/>
                <w:highlight w:val="none"/>
                <w:lang w:val="zh-CN"/>
              </w:rPr>
            </w:pPr>
            <w:r>
              <w:rPr>
                <w:rFonts w:hint="eastAsia" w:ascii="仿宋" w:hAnsi="仿宋" w:eastAsia="仿宋" w:cs="仿宋"/>
                <w:color w:val="auto"/>
                <w:kern w:val="28"/>
                <w:sz w:val="24"/>
                <w:szCs w:val="24"/>
                <w:highlight w:val="none"/>
                <w:lang w:val="zh-CN"/>
              </w:rPr>
              <w:t>开户银行：上海浦东发展银行萧山支行</w:t>
            </w:r>
          </w:p>
          <w:p>
            <w:pPr>
              <w:pStyle w:val="33"/>
              <w:spacing w:line="400" w:lineRule="exact"/>
              <w:rPr>
                <w:rFonts w:ascii="仿宋" w:hAnsi="仿宋" w:eastAsia="仿宋" w:cs="仿宋"/>
                <w:color w:val="auto"/>
                <w:kern w:val="28"/>
                <w:sz w:val="24"/>
                <w:szCs w:val="24"/>
                <w:highlight w:val="none"/>
                <w:lang w:val="zh-CN"/>
              </w:rPr>
            </w:pPr>
            <w:r>
              <w:rPr>
                <w:rFonts w:hint="eastAsia" w:ascii="仿宋" w:hAnsi="仿宋" w:eastAsia="仿宋" w:cs="仿宋"/>
                <w:color w:val="auto"/>
                <w:kern w:val="28"/>
                <w:sz w:val="24"/>
                <w:szCs w:val="24"/>
                <w:highlight w:val="none"/>
                <w:lang w:val="zh-CN"/>
              </w:rPr>
              <w:t>帐户名称：杭州博望建设工程招标投标代理有限公司</w:t>
            </w:r>
          </w:p>
          <w:p>
            <w:pPr>
              <w:pStyle w:val="33"/>
              <w:spacing w:line="400" w:lineRule="exact"/>
              <w:rPr>
                <w:rFonts w:ascii="仿宋" w:hAnsi="仿宋" w:eastAsia="仿宋" w:cs="仿宋"/>
                <w:color w:val="auto"/>
                <w:kern w:val="28"/>
                <w:sz w:val="24"/>
                <w:szCs w:val="24"/>
                <w:highlight w:val="none"/>
                <w:lang w:val="zh-CN"/>
              </w:rPr>
            </w:pPr>
            <w:r>
              <w:rPr>
                <w:rFonts w:hint="eastAsia" w:ascii="仿宋" w:hAnsi="仿宋" w:eastAsia="仿宋" w:cs="仿宋"/>
                <w:color w:val="auto"/>
                <w:kern w:val="28"/>
                <w:sz w:val="24"/>
                <w:szCs w:val="24"/>
                <w:highlight w:val="none"/>
                <w:lang w:val="zh-CN"/>
              </w:rPr>
              <w:t>银行帐号：95070154740001005</w:t>
            </w:r>
          </w:p>
          <w:p>
            <w:pPr>
              <w:pStyle w:val="33"/>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lang w:val="zh-CN"/>
              </w:rPr>
              <w:t>联系电话：0571-82373980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1"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质疑接收人及</w:t>
            </w:r>
          </w:p>
          <w:p>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仿宋" w:hAnsi="仿宋" w:eastAsia="仿宋" w:cs="仿宋"/>
                <w:color w:val="auto"/>
                <w:sz w:val="24"/>
                <w:highlight w:val="none"/>
                <w:u w:val="single"/>
              </w:rPr>
            </w:pPr>
            <w:r>
              <w:rPr>
                <w:rFonts w:hint="eastAsia" w:ascii="仿宋" w:hAnsi="仿宋" w:eastAsia="仿宋" w:cs="仿宋"/>
                <w:color w:val="auto"/>
                <w:sz w:val="24"/>
                <w:highlight w:val="none"/>
              </w:rPr>
              <w:t>采购人、采购机构质疑接收人、联系方式：详见公告</w:t>
            </w:r>
          </w:p>
          <w:p>
            <w:pPr>
              <w:snapToGrid w:val="0"/>
              <w:spacing w:line="400" w:lineRule="exact"/>
              <w:rPr>
                <w:rFonts w:ascii="仿宋" w:hAnsi="仿宋" w:eastAsia="仿宋" w:cs="仿宋"/>
                <w:b/>
                <w:color w:val="auto"/>
                <w:sz w:val="24"/>
                <w:highlight w:val="none"/>
              </w:rPr>
            </w:pPr>
            <w:r>
              <w:rPr>
                <w:rFonts w:hint="eastAsia" w:ascii="仿宋" w:hAnsi="仿宋" w:eastAsia="仿宋" w:cs="仿宋"/>
                <w:b/>
                <w:color w:val="auto"/>
                <w:sz w:val="24"/>
                <w:highlight w:val="none"/>
              </w:rPr>
              <w:t>线上提交质疑方式：政采云线上质疑路径：项目采购-询问质疑投诉-质疑列表。请使用ca签章在每一页质疑文件中加盖电子公章，上传完整附件。</w:t>
            </w:r>
          </w:p>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本项目涉及资格条件、采购需求、评分办法及采购过程中有关现场考察或开标前答疑会等事项由采购人进行答复。</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p>
          <w:p>
            <w:pPr>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联系电话: 0571-83587785/0571-82816012  联系地址: 萧山区通惠北路2-1号302室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right w:val="single" w:color="000000" w:sz="2" w:space="0"/>
            </w:tcBorders>
          </w:tcPr>
          <w:p>
            <w:pPr>
              <w:snapToGrid w:val="0"/>
              <w:spacing w:line="400" w:lineRule="exact"/>
              <w:jc w:val="center"/>
              <w:rPr>
                <w:rFonts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color w:val="auto"/>
                <w:sz w:val="24"/>
                <w:highlight w:val="none"/>
              </w:rPr>
            </w:pPr>
            <w:sdt>
              <w:sdtPr>
                <w:rPr>
                  <w:rFonts w:hint="eastAsia" w:ascii="仿宋" w:hAnsi="仿宋" w:eastAsia="仿宋" w:cs="仿宋"/>
                  <w:color w:val="auto"/>
                  <w:sz w:val="24"/>
                  <w:highlight w:val="none"/>
                </w:rPr>
                <w:id w:val="23"/>
                <w14:checkbox>
                  <w14:checked w14:val="0"/>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t>☐</w:t>
                </w:r>
              </w:sdtContent>
            </w:sdt>
            <w:r>
              <w:rPr>
                <w:rFonts w:hint="eastAsia" w:ascii="仿宋" w:hAnsi="仿宋" w:eastAsia="仿宋" w:cs="仿宋"/>
                <w:color w:val="auto"/>
                <w:sz w:val="24"/>
                <w:highlight w:val="none"/>
              </w:rPr>
              <w:t>联合体投标的，联合体各方均需按招标文件第四部分评标标准要求提供资信证明文件，否则视为不符合相关要求。</w:t>
            </w:r>
          </w:p>
          <w:p>
            <w:pPr>
              <w:spacing w:line="400" w:lineRule="exact"/>
              <w:rPr>
                <w:rFonts w:hint="eastAsia" w:ascii="仿宋" w:hAnsi="仿宋" w:eastAsia="仿宋" w:cs="仿宋"/>
                <w:color w:val="auto"/>
                <w:sz w:val="24"/>
                <w:highlight w:val="none"/>
                <w:lang w:eastAsia="zh-CN"/>
              </w:rPr>
            </w:pPr>
            <w:sdt>
              <w:sdtPr>
                <w:rPr>
                  <w:rFonts w:hint="eastAsia" w:ascii="仿宋" w:hAnsi="仿宋" w:eastAsia="仿宋" w:cs="仿宋"/>
                  <w:color w:val="auto"/>
                  <w:sz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sz w:val="24"/>
                  <w:highlight w:val="none"/>
                </w:rPr>
              </w:sdtEndPr>
              <w:sdtContent>
                <w:r>
                  <w:rPr>
                    <w:rFonts w:hint="eastAsia" w:ascii="仿宋" w:hAnsi="仿宋" w:eastAsia="仿宋" w:cs="仿宋"/>
                    <w:color w:val="auto"/>
                    <w:sz w:val="24"/>
                    <w:highlight w:val="none"/>
                  </w:rPr>
                  <w:sym w:font="Wingdings" w:char="F0FE"/>
                </w:r>
              </w:sdtContent>
            </w:sdt>
            <w:r>
              <w:rPr>
                <w:rFonts w:hint="eastAsia" w:ascii="仿宋" w:hAnsi="仿宋" w:eastAsia="仿宋" w:cs="仿宋"/>
                <w:color w:val="auto"/>
                <w:sz w:val="24"/>
                <w:highlight w:val="none"/>
              </w:rPr>
              <w:t>联合体投标的，联合体中有一方或者联合体成员根据分工按招标文件第四部分评标标准要求提供资信证明文件的，视为符合了相关要求。</w:t>
            </w:r>
          </w:p>
          <w:p>
            <w:pPr>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评审因素对应的要求视为采购需求的一部分。</w:t>
            </w:r>
          </w:p>
          <w:p>
            <w:p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严格执行预算限价，项目如涉及办公用房装修、通用办公设备家具的不得超限额标准。（萧财国资【2019】389号）</w:t>
            </w:r>
          </w:p>
          <w:p>
            <w:pPr>
              <w:spacing w:line="400" w:lineRule="exact"/>
              <w:rPr>
                <w:rFonts w:ascii="仿宋" w:hAnsi="仿宋" w:eastAsia="仿宋" w:cs="仿宋"/>
                <w:color w:val="auto"/>
                <w:sz w:val="24"/>
                <w:highlight w:val="none"/>
              </w:rPr>
            </w:pPr>
            <w:r>
              <w:rPr>
                <w:rFonts w:hint="eastAsia" w:ascii="仿宋" w:hAnsi="仿宋" w:eastAsia="仿宋" w:cs="仿宋"/>
                <w:b/>
                <w:bCs/>
                <w:color w:val="auto"/>
                <w:sz w:val="24"/>
                <w:highlight w:val="none"/>
              </w:rPr>
              <w:t>本项目通用总则条款与前附表等专用特别规定有冲突之处，以专用条款（特别规定）为准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1" w:hRule="atLeast"/>
          <w:tblHeader/>
          <w:jc w:val="center"/>
        </w:trPr>
        <w:tc>
          <w:tcPr>
            <w:tcW w:w="629" w:type="dxa"/>
            <w:vMerge w:val="continue"/>
            <w:tcBorders>
              <w:left w:val="single" w:color="000000" w:sz="8" w:space="0"/>
              <w:bottom w:val="single" w:color="auto" w:sz="4" w:space="0"/>
              <w:right w:val="single" w:color="000000" w:sz="2" w:space="0"/>
            </w:tcBorders>
          </w:tcPr>
          <w:p>
            <w:pPr>
              <w:snapToGrid w:val="0"/>
              <w:spacing w:line="400" w:lineRule="exact"/>
              <w:jc w:val="center"/>
              <w:rPr>
                <w:rFonts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400" w:lineRule="exact"/>
              <w:jc w:val="center"/>
              <w:rPr>
                <w:rFonts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本项目每个标项推荐中标候选人数量：1</w:t>
            </w:r>
          </w:p>
        </w:tc>
      </w:tr>
      <w:bookmarkEnd w:id="9"/>
    </w:tbl>
    <w:p>
      <w:pPr>
        <w:rPr>
          <w:rFonts w:ascii="仿宋" w:hAnsi="仿宋" w:eastAsia="仿宋" w:cs="仿宋"/>
          <w:b/>
          <w:color w:val="auto"/>
          <w:sz w:val="32"/>
          <w:szCs w:val="20"/>
          <w:highlight w:val="none"/>
        </w:rPr>
      </w:pPr>
      <w:bookmarkStart w:id="10" w:name="第三部分"/>
      <w:bookmarkStart w:id="11" w:name="_Toc164416483"/>
      <w:r>
        <w:rPr>
          <w:rFonts w:hint="eastAsia" w:ascii="仿宋" w:hAnsi="仿宋" w:eastAsia="仿宋" w:cs="仿宋"/>
          <w:b/>
          <w:color w:val="auto"/>
          <w:sz w:val="32"/>
          <w:szCs w:val="20"/>
          <w:highlight w:val="none"/>
        </w:rPr>
        <w:br w:type="page"/>
      </w:r>
    </w:p>
    <w:p>
      <w:pPr>
        <w:adjustRightInd/>
        <w:spacing w:line="360" w:lineRule="auto"/>
        <w:ind w:firstLine="3845" w:firstLineChars="1197"/>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jc w:val="left"/>
        <w:outlineLvl w:val="1"/>
        <w:rPr>
          <w:rFonts w:ascii="仿宋" w:hAnsi="仿宋" w:eastAsia="仿宋" w:cs="仿宋"/>
          <w:b/>
          <w:color w:val="auto"/>
          <w:sz w:val="24"/>
          <w:highlight w:val="none"/>
        </w:rPr>
      </w:pPr>
      <w:r>
        <w:rPr>
          <w:rFonts w:hint="eastAsia" w:ascii="仿宋" w:hAnsi="仿宋" w:eastAsia="仿宋" w:cs="仿宋"/>
          <w:b/>
          <w:color w:val="auto"/>
          <w:sz w:val="24"/>
          <w:highlight w:val="none"/>
        </w:rPr>
        <w:t>1.适用范围</w:t>
      </w:r>
    </w:p>
    <w:p>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2.定义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2.6“电子交易平台”系指本项目政府采购活动所依托的政府采购云平台（https://www.zcygov.cn/）。</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highlight w:val="none"/>
            </w:rPr>
            <w:t>þ</w:t>
          </w:r>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rPr>
        <w:t>评标办法明确具体的扣除比例，未明确的，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rPr>
        <w:t>评标办法明确具体的扣除比例，未明确的，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spacing w:line="360" w:lineRule="auto"/>
        <w:ind w:firstLine="240" w:firstLineChars="100"/>
        <w:rPr>
          <w:rFonts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4.询问、质疑、投诉</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pPr>
        <w:pStyle w:val="33"/>
        <w:spacing w:line="360" w:lineRule="auto"/>
        <w:ind w:left="479" w:leftChars="228"/>
        <w:rPr>
          <w:rFonts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pPr>
        <w:pStyle w:val="33"/>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pPr>
        <w:pStyle w:val="33"/>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891"/>
        <w:shd w:val="clear" w:color="auto" w:fill="FFFFFF"/>
        <w:snapToGrid w:val="0"/>
        <w:spacing w:after="240" w:afterAutospacing="0" w:line="360" w:lineRule="auto"/>
        <w:ind w:firstLine="480" w:firstLineChars="20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pPr>
        <w:pStyle w:val="891"/>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33"/>
        <w:snapToGrid w:val="0"/>
        <w:spacing w:before="0"/>
        <w:ind w:firstLine="360"/>
        <w:rPr>
          <w:rFonts w:ascii="仿宋" w:hAnsi="仿宋" w:eastAsia="仿宋" w:cs="仿宋"/>
          <w:color w:val="auto"/>
          <w:sz w:val="18"/>
          <w:szCs w:val="18"/>
          <w:highlight w:val="none"/>
        </w:rPr>
      </w:pPr>
    </w:p>
    <w:p>
      <w:pPr>
        <w:adjustRightInd/>
        <w:spacing w:line="360" w:lineRule="auto"/>
        <w:jc w:val="center"/>
        <w:outlineLvl w:val="0"/>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3"/>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6.招标文件的澄清、修改</w:t>
      </w:r>
    </w:p>
    <w:p>
      <w:pPr>
        <w:pStyle w:val="13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pPr>
        <w:pStyle w:val="13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7.招标文件的获取</w:t>
      </w:r>
    </w:p>
    <w:p>
      <w:pPr>
        <w:spacing w:line="360" w:lineRule="auto"/>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10.投标文件的语言</w:t>
      </w:r>
    </w:p>
    <w:p>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11.投标文件的组成</w:t>
      </w:r>
    </w:p>
    <w:p>
      <w:pPr>
        <w:snapToGrid w:val="0"/>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482" w:firstLineChars="200"/>
        <w:rPr>
          <w:rFonts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2" w:firstLineChars="200"/>
        <w:rPr>
          <w:rFonts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33"/>
        <w:snapToGrid w:val="0"/>
        <w:spacing w:before="0"/>
        <w:ind w:firstLine="0" w:firstLineChars="0"/>
        <w:outlineLvl w:val="0"/>
        <w:rPr>
          <w:rFonts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w:t>
      </w:r>
      <w:r>
        <w:rPr>
          <w:rFonts w:hint="eastAsia" w:ascii="仿宋" w:hAnsi="仿宋" w:eastAsia="仿宋" w:cs="仿宋"/>
          <w:b/>
          <w:color w:val="auto"/>
          <w:szCs w:val="24"/>
          <w:highlight w:val="none"/>
        </w:rPr>
        <w:t>投标文件的编制</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33"/>
        <w:snapToGrid w:val="0"/>
        <w:spacing w:before="0"/>
        <w:ind w:firstLine="480"/>
        <w:rPr>
          <w:rFonts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3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33"/>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14.投标文件的提交、补充、修改、撤回</w:t>
      </w:r>
    </w:p>
    <w:p>
      <w:pPr>
        <w:pStyle w:val="133"/>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3"/>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3"/>
        <w:spacing w:line="360" w:lineRule="auto"/>
        <w:ind w:firstLine="360" w:firstLineChars="15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但采购人、采购代理机构不强制或变相强制投标人提交备份投标文件。</w:t>
      </w:r>
    </w:p>
    <w:p>
      <w:pPr>
        <w:pStyle w:val="33"/>
        <w:spacing w:line="360" w:lineRule="auto"/>
        <w:ind w:firstLine="480" w:firstLineChars="20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33"/>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5"/>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pPr>
        <w:pStyle w:val="133"/>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33"/>
        <w:spacing w:before="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33"/>
        <w:spacing w:before="0"/>
        <w:ind w:firstLine="480"/>
        <w:jc w:val="left"/>
        <w:rPr>
          <w:rFonts w:hint="eastAsia" w:ascii="仿宋" w:hAnsi="仿宋" w:eastAsia="仿宋" w:cs="仿宋"/>
          <w:color w:val="auto"/>
          <w:highlight w:val="none"/>
          <w:lang w:eastAsia="zh-CN"/>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3"/>
        <w:spacing w:before="0"/>
        <w:ind w:firstLine="480"/>
        <w:jc w:val="left"/>
        <w:rPr>
          <w:rFonts w:ascii="仿宋" w:hAnsi="仿宋" w:eastAsia="仿宋" w:cs="仿宋"/>
          <w:color w:val="auto"/>
          <w:highlight w:val="none"/>
        </w:rPr>
      </w:pPr>
      <w:r>
        <w:rPr>
          <w:rFonts w:hint="eastAsia" w:ascii="仿宋" w:hAnsi="仿宋" w:eastAsia="仿宋" w:cs="仿宋"/>
          <w:color w:val="auto"/>
          <w:highlight w:val="none"/>
        </w:rPr>
        <w:t xml:space="preserve">    17.4在投标截止时间起至投标有效期届满，供应商投标文件不可撤销。</w:t>
      </w:r>
    </w:p>
    <w:p>
      <w:pPr>
        <w:pStyle w:val="133"/>
        <w:spacing w:before="0"/>
        <w:ind w:firstLine="643"/>
        <w:rPr>
          <w:rFonts w:ascii="仿宋" w:hAnsi="仿宋" w:eastAsia="仿宋" w:cs="仿宋"/>
          <w:b/>
          <w:color w:val="auto"/>
          <w:sz w:val="32"/>
          <w:highlight w:val="none"/>
        </w:rPr>
      </w:pPr>
    </w:p>
    <w:p>
      <w:pPr>
        <w:pStyle w:val="133"/>
        <w:spacing w:before="0"/>
        <w:ind w:firstLine="1928" w:firstLineChars="600"/>
        <w:rPr>
          <w:rFonts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9"/>
        <w:spacing w:before="0" w:line="360" w:lineRule="auto"/>
        <w:ind w:left="0" w:firstLine="0"/>
        <w:contextualSpacing/>
        <w:rPr>
          <w:rFonts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9"/>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pPr>
        <w:pStyle w:val="559"/>
        <w:spacing w:before="0" w:line="360" w:lineRule="auto"/>
        <w:ind w:left="0"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pPr>
        <w:pStyle w:val="25"/>
        <w:spacing w:line="360" w:lineRule="auto"/>
        <w:ind w:firstLine="360" w:firstLineChars="150"/>
        <w:rPr>
          <w:rFonts w:ascii="仿宋" w:hAnsi="仿宋" w:eastAsia="仿宋" w:cs="仿宋"/>
          <w:color w:val="auto"/>
          <w:szCs w:val="21"/>
          <w:highlight w:val="none"/>
        </w:rPr>
      </w:pPr>
      <w:r>
        <w:rPr>
          <w:rFonts w:hint="eastAsia" w:ascii="仿宋" w:hAnsi="仿宋" w:eastAsia="仿宋" w:cs="仿宋"/>
          <w:color w:val="auto"/>
          <w:szCs w:val="21"/>
          <w:highlight w:val="none"/>
        </w:rPr>
        <w:t>18.3投标文件未按时解密，投标人提供了备份投标文件的，以备份投标文件作为依据，否则视为投标文件撤回。投标文件已按时解密的，备份投标文件自动失效。</w:t>
      </w:r>
    </w:p>
    <w:p>
      <w:pPr>
        <w:pStyle w:val="25"/>
        <w:spacing w:line="360" w:lineRule="auto"/>
        <w:ind w:firstLine="0" w:firstLineChars="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19、资格审查</w:t>
      </w:r>
    </w:p>
    <w:p>
      <w:pPr>
        <w:pStyle w:val="133"/>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pPr>
        <w:pStyle w:val="133"/>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33"/>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pPr>
        <w:pStyle w:val="133"/>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pPr>
        <w:pStyle w:val="133"/>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33"/>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20.1信用信息查询渠道及截止时间：采购人将在资格审查时通过“信用中国”网站(www.creditchina.gov.cn)、中国政府采购网(www.ccgp.gov.cn)渠道查询投标人接受资格时的信用记录。</w:t>
      </w:r>
    </w:p>
    <w:p>
      <w:pPr>
        <w:pStyle w:val="133"/>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33"/>
        <w:spacing w:before="0"/>
        <w:ind w:firstLine="495"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33"/>
        <w:spacing w:before="0"/>
        <w:ind w:firstLine="0" w:firstLineChars="0"/>
        <w:rPr>
          <w:rFonts w:ascii="仿宋" w:hAnsi="仿宋" w:eastAsia="仿宋" w:cs="仿宋"/>
          <w:color w:val="auto"/>
          <w:kern w:val="0"/>
          <w:szCs w:val="24"/>
          <w:highlight w:val="none"/>
        </w:rPr>
      </w:pP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ascii="仿宋" w:hAnsi="仿宋" w:eastAsia="仿宋" w:cs="仿宋"/>
          <w:b/>
          <w:color w:val="auto"/>
          <w:sz w:val="24"/>
          <w:highlight w:val="none"/>
        </w:rPr>
      </w:pPr>
      <w:bookmarkStart w:id="12"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ascii="仿宋" w:hAnsi="仿宋" w:eastAsia="仿宋" w:cs="仿宋"/>
          <w:b/>
          <w:color w:val="auto"/>
          <w:sz w:val="24"/>
          <w:highlight w:val="none"/>
        </w:rPr>
      </w:pPr>
    </w:p>
    <w:p>
      <w:pPr>
        <w:snapToGrid w:val="0"/>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22.确定中标供应商</w:t>
      </w:r>
    </w:p>
    <w:p>
      <w:pPr>
        <w:pStyle w:val="133"/>
        <w:snapToGrid w:val="0"/>
        <w:spacing w:before="0"/>
        <w:ind w:firstLine="480"/>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pPr>
        <w:pStyle w:val="133"/>
        <w:snapToGrid w:val="0"/>
        <w:spacing w:before="0"/>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rPr>
        <w:t>23.中标通知与中标结果公告</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仿宋" w:hAnsi="仿宋" w:eastAsia="仿宋" w:cs="仿宋"/>
          <w:color w:val="auto"/>
          <w:sz w:val="24"/>
          <w:highlight w:val="none"/>
        </w:rPr>
        <w:t>资格审查情况、评审专家抽取规则、符合性审查情况、</w:t>
      </w:r>
      <w:bookmarkEnd w:id="13"/>
      <w:r>
        <w:rPr>
          <w:rFonts w:hint="eastAsia" w:ascii="仿宋" w:hAnsi="仿宋" w:eastAsia="仿宋" w:cs="仿宋"/>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24.</w:t>
      </w:r>
      <w:r>
        <w:rPr>
          <w:rFonts w:hint="eastAsia" w:ascii="仿宋" w:hAnsi="仿宋" w:eastAsia="仿宋" w:cs="仿宋"/>
          <w:color w:val="auto"/>
          <w:highlight w:val="none"/>
        </w:rPr>
        <w:t>合同主要条款详见第五部分拟签订的合同文本。</w:t>
      </w:r>
    </w:p>
    <w:p>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25.合同的签订</w:t>
      </w:r>
    </w:p>
    <w:p>
      <w:pPr>
        <w:widowControl/>
        <w:shd w:val="clear" w:color="auto" w:fill="FFFFFF"/>
        <w:spacing w:line="360" w:lineRule="auto"/>
        <w:ind w:firstLine="48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3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5"/>
        <w:spacing w:line="360" w:lineRule="auto"/>
        <w:ind w:left="479" w:hanging="479" w:hangingChars="199"/>
        <w:rPr>
          <w:rFonts w:ascii="仿宋" w:hAnsi="仿宋" w:eastAsia="仿宋" w:cs="仿宋"/>
          <w:b/>
          <w:color w:val="auto"/>
          <w:highlight w:val="none"/>
        </w:rPr>
      </w:pPr>
      <w:r>
        <w:rPr>
          <w:rFonts w:hint="eastAsia" w:ascii="仿宋" w:hAnsi="仿宋" w:eastAsia="仿宋" w:cs="仿宋"/>
          <w:b/>
          <w:color w:val="auto"/>
          <w:highlight w:val="none"/>
        </w:rPr>
        <w:t>26.履约保证金</w:t>
      </w:r>
    </w:p>
    <w:p>
      <w:pPr>
        <w:tabs>
          <w:tab w:val="left" w:pos="0"/>
        </w:tabs>
        <w:spacing w:line="360" w:lineRule="auto"/>
        <w:ind w:firstLine="482"/>
        <w:rPr>
          <w:rFonts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3"/>
        <w:ind w:left="0" w:firstLine="480" w:firstLineChars="200"/>
        <w:rPr>
          <w:rFonts w:ascii="仿宋" w:eastAsia="仿宋" w:cs="仿宋"/>
          <w:b w:val="0"/>
          <w:bCs w:val="0"/>
          <w:snapToGrid w:val="0"/>
          <w:color w:val="auto"/>
          <w:kern w:val="28"/>
          <w:sz w:val="24"/>
          <w:highlight w:val="none"/>
        </w:rPr>
      </w:pPr>
      <w:r>
        <w:rPr>
          <w:rFonts w:hint="eastAsia" w:ascii="仿宋" w:eastAsia="仿宋" w:cs="仿宋"/>
          <w:b w:val="0"/>
          <w:bCs w:val="0"/>
          <w:snapToGrid w:val="0"/>
          <w:color w:val="auto"/>
          <w:kern w:val="28"/>
          <w:sz w:val="24"/>
          <w:highlight w:val="none"/>
        </w:rPr>
        <w:t>供应商</w:t>
      </w:r>
      <w:r>
        <w:rPr>
          <w:rFonts w:hint="eastAsia" w:ascii="仿宋" w:eastAsia="仿宋" w:cs="仿宋"/>
          <w:b w:val="0"/>
          <w:bCs w:val="0"/>
          <w:snapToGrid w:val="0"/>
          <w:color w:val="auto"/>
          <w:kern w:val="28"/>
          <w:sz w:val="24"/>
          <w:highlight w:val="none"/>
          <w:lang w:val="en-US"/>
        </w:rPr>
        <w:t>可</w:t>
      </w:r>
      <w:r>
        <w:rPr>
          <w:rFonts w:hint="eastAsia" w:asci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3"/>
        <w:rPr>
          <w:rFonts w:ascii="仿宋" w:eastAsia="仿宋" w:cs="仿宋"/>
          <w:color w:val="auto"/>
          <w:highlight w:val="none"/>
        </w:rPr>
      </w:pPr>
      <w:r>
        <w:rPr>
          <w:rFonts w:hint="eastAsia" w:ascii="仿宋" w:eastAsia="仿宋" w:cs="仿宋"/>
          <w:color w:val="auto"/>
          <w:sz w:val="24"/>
          <w:highlight w:val="none"/>
          <w:lang w:val="en-US"/>
        </w:rPr>
        <w:t>27.预付款</w:t>
      </w:r>
    </w:p>
    <w:p>
      <w:pPr>
        <w:adjustRightInd/>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rPr>
          <w:rFonts w:ascii="仿宋" w:hAnsi="仿宋" w:eastAsia="仿宋" w:cs="仿宋"/>
          <w:color w:val="auto"/>
          <w:highlight w:val="none"/>
        </w:rPr>
      </w:pPr>
    </w:p>
    <w:p>
      <w:pPr>
        <w:snapToGrid w:val="0"/>
        <w:spacing w:line="360" w:lineRule="auto"/>
        <w:ind w:firstLine="3357" w:firstLineChars="1045"/>
        <w:rPr>
          <w:rFonts w:ascii="仿宋" w:hAnsi="仿宋" w:eastAsia="仿宋" w:cs="仿宋"/>
          <w:b/>
          <w:color w:val="auto"/>
          <w:sz w:val="32"/>
          <w:highlight w:val="none"/>
        </w:rPr>
      </w:pPr>
    </w:p>
    <w:p>
      <w:pPr>
        <w:snapToGrid w:val="0"/>
        <w:spacing w:line="360" w:lineRule="auto"/>
        <w:ind w:firstLine="3357" w:firstLineChars="1045"/>
        <w:rPr>
          <w:rFonts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33"/>
        <w:snapToGrid w:val="0"/>
        <w:spacing w:before="0"/>
        <w:ind w:firstLine="0" w:firstLineChars="0"/>
        <w:rPr>
          <w:rFonts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pPr>
        <w:pStyle w:val="13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pPr>
        <w:pStyle w:val="13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pPr>
        <w:pStyle w:val="13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pPr>
        <w:pStyle w:val="13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pPr>
        <w:pStyle w:val="133"/>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pPr>
        <w:pStyle w:val="133"/>
        <w:snapToGrid w:val="0"/>
        <w:spacing w:before="0"/>
        <w:ind w:firstLine="0" w:firstLineChars="0"/>
        <w:rPr>
          <w:rFonts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color w:val="auto"/>
          <w:sz w:val="24"/>
          <w:highlight w:val="none"/>
        </w:rPr>
      </w:pPr>
    </w:p>
    <w:p>
      <w:pPr>
        <w:snapToGrid w:val="0"/>
        <w:spacing w:line="360" w:lineRule="auto"/>
        <w:ind w:left="120" w:leftChars="57" w:firstLine="482" w:firstLineChars="150"/>
        <w:jc w:val="center"/>
        <w:rPr>
          <w:rFonts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5"/>
        <w:spacing w:line="360" w:lineRule="auto"/>
        <w:ind w:firstLine="0" w:firstLineChars="0"/>
        <w:rPr>
          <w:rFonts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07468"/>
      <w:bookmarkEnd w:id="14"/>
      <w:bookmarkStart w:id="15" w:name="_Hlt68057669"/>
      <w:bookmarkEnd w:id="15"/>
      <w:bookmarkStart w:id="16" w:name="_Hlt75236290"/>
      <w:bookmarkEnd w:id="16"/>
      <w:bookmarkStart w:id="17" w:name="_Hlt68073093"/>
      <w:bookmarkEnd w:id="17"/>
      <w:bookmarkStart w:id="18" w:name="_Hlt68072998"/>
      <w:bookmarkEnd w:id="18"/>
      <w:bookmarkStart w:id="19" w:name="_Hlt75236011"/>
      <w:bookmarkEnd w:id="19"/>
      <w:bookmarkStart w:id="20" w:name="_Hlt74729768"/>
      <w:bookmarkEnd w:id="20"/>
      <w:bookmarkStart w:id="21" w:name="_Hlt68072990"/>
      <w:bookmarkEnd w:id="21"/>
      <w:bookmarkStart w:id="22" w:name="_Hlt74714665"/>
      <w:bookmarkEnd w:id="22"/>
      <w:bookmarkStart w:id="23" w:name="_Hlt75236101"/>
      <w:bookmarkEnd w:id="23"/>
      <w:bookmarkStart w:id="24" w:name="_Hlt74730295"/>
      <w:bookmarkEnd w:id="24"/>
      <w:bookmarkStart w:id="25" w:name="_Hlt68403820"/>
      <w:bookmarkEnd w:id="25"/>
    </w:p>
    <w:bookmarkEnd w:id="10"/>
    <w:bookmarkEnd w:id="11"/>
    <w:p>
      <w:pPr>
        <w:spacing w:line="360" w:lineRule="auto"/>
        <w:jc w:val="center"/>
        <w:outlineLvl w:val="0"/>
        <w:rPr>
          <w:rFonts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   采购需求</w:t>
      </w:r>
    </w:p>
    <w:p>
      <w:pPr>
        <w:snapToGrid w:val="0"/>
        <w:jc w:val="center"/>
        <w:rPr>
          <w:rStyle w:val="967"/>
          <w:rFonts w:ascii="仿宋" w:hAnsi="仿宋" w:eastAsia="仿宋" w:cs="仿宋"/>
          <w:i w:val="0"/>
          <w:iCs w:val="0"/>
          <w:color w:val="auto"/>
          <w:highlight w:val="none"/>
        </w:rPr>
      </w:pPr>
      <w:r>
        <w:rPr>
          <w:rStyle w:val="967"/>
          <w:rFonts w:hint="eastAsia" w:ascii="仿宋" w:hAnsi="仿宋" w:eastAsia="仿宋" w:cs="仿宋"/>
          <w:i w:val="0"/>
          <w:iCs w:val="0"/>
          <w:color w:val="auto"/>
          <w:highlight w:val="none"/>
        </w:rPr>
        <w:t>属于实质性要求条款的，请用符号“▲”标明，否则属于非实质性要求。</w:t>
      </w:r>
    </w:p>
    <w:p>
      <w:pPr>
        <w:snapToGrid w:val="0"/>
        <w:jc w:val="center"/>
        <w:rPr>
          <w:rFonts w:ascii="仿宋" w:eastAsia="仿宋" w:cs="仿宋"/>
          <w:i w:val="0"/>
          <w:iCs w:val="0"/>
          <w:color w:val="auto"/>
          <w:highlight w:val="none"/>
        </w:rPr>
      </w:pPr>
      <w:r>
        <w:rPr>
          <w:rStyle w:val="967"/>
          <w:rFonts w:hint="eastAsia" w:ascii="仿宋" w:hAnsi="仿宋" w:eastAsia="仿宋" w:cs="仿宋"/>
          <w:i w:val="0"/>
          <w:iCs w:val="0"/>
          <w:color w:val="auto"/>
          <w:highlight w:val="none"/>
        </w:rPr>
        <w:t>“★”系产品采购项目中单一产品或核心产品。</w:t>
      </w:r>
    </w:p>
    <w:p>
      <w:pPr>
        <w:pStyle w:val="3"/>
        <w:ind w:left="630" w:hanging="630"/>
        <w:jc w:val="center"/>
        <w:rPr>
          <w:rFonts w:ascii="仿宋" w:eastAsia="仿宋" w:cs="仿宋"/>
          <w:color w:val="auto"/>
          <w:highlight w:val="none"/>
        </w:rPr>
      </w:pPr>
      <w:r>
        <w:rPr>
          <w:rFonts w:ascii="仿宋" w:eastAsia="仿宋" w:cs="仿宋"/>
          <w:color w:val="auto"/>
          <w:highlight w:val="none"/>
        </w:rPr>
        <w:t>一、</w:t>
      </w:r>
      <w:r>
        <w:rPr>
          <w:rFonts w:hint="eastAsia" w:ascii="仿宋" w:eastAsia="仿宋" w:cs="仿宋"/>
          <w:color w:val="auto"/>
          <w:highlight w:val="none"/>
        </w:rPr>
        <w:t>招标一览表</w:t>
      </w:r>
    </w:p>
    <w:p>
      <w:pPr>
        <w:rPr>
          <w:rFonts w:ascii="仿宋" w:hAnsi="仿宋" w:eastAsia="仿宋" w:cs="仿宋"/>
          <w:color w:val="auto"/>
          <w:sz w:val="24"/>
          <w:highlight w:val="none"/>
          <w:u w:val="none"/>
        </w:rPr>
      </w:pPr>
      <w:r>
        <w:rPr>
          <w:rFonts w:hint="eastAsia" w:ascii="仿宋" w:hAnsi="仿宋" w:eastAsia="仿宋" w:cs="仿宋"/>
          <w:color w:val="auto"/>
          <w:sz w:val="24"/>
          <w:highlight w:val="none"/>
        </w:rPr>
        <w:t>标项1：杭州市萧山区卫生健康局财务集中管控平台升级项目</w:t>
      </w:r>
    </w:p>
    <w:tbl>
      <w:tblPr>
        <w:tblStyle w:val="62"/>
        <w:tblpPr w:leftFromText="180" w:rightFromText="180" w:vertAnchor="text" w:horzAnchor="margin" w:tblpXSpec="center" w:tblpY="63"/>
        <w:tblOverlap w:val="never"/>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2920"/>
        <w:gridCol w:w="650"/>
        <w:gridCol w:w="576"/>
        <w:gridCol w:w="1416"/>
        <w:gridCol w:w="1882"/>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2" w:hRule="atLeast"/>
          <w:jc w:val="center"/>
        </w:trPr>
        <w:tc>
          <w:tcPr>
            <w:tcW w:w="567" w:type="dxa"/>
            <w:tcMar>
              <w:top w:w="15" w:type="dxa"/>
              <w:left w:w="15" w:type="dxa"/>
              <w:bottom w:w="0" w:type="dxa"/>
              <w:right w:w="15" w:type="dxa"/>
            </w:tcMar>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920" w:type="dxa"/>
            <w:tcMar>
              <w:top w:w="15" w:type="dxa"/>
              <w:left w:w="15" w:type="dxa"/>
              <w:bottom w:w="0" w:type="dxa"/>
              <w:right w:w="15" w:type="dxa"/>
            </w:tcMar>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650" w:type="dxa"/>
            <w:tcMar>
              <w:top w:w="15" w:type="dxa"/>
              <w:left w:w="15" w:type="dxa"/>
              <w:bottom w:w="0" w:type="dxa"/>
              <w:right w:w="15" w:type="dxa"/>
            </w:tcMar>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576" w:type="dxa"/>
            <w:tcMar>
              <w:top w:w="15" w:type="dxa"/>
              <w:left w:w="15" w:type="dxa"/>
              <w:bottom w:w="0" w:type="dxa"/>
              <w:right w:w="15" w:type="dxa"/>
            </w:tcMar>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416" w:type="dxa"/>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预算（元）</w:t>
            </w:r>
          </w:p>
        </w:tc>
        <w:tc>
          <w:tcPr>
            <w:tcW w:w="1882" w:type="dxa"/>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简要规格描述或基本情况介绍</w:t>
            </w:r>
          </w:p>
        </w:tc>
        <w:tc>
          <w:tcPr>
            <w:tcW w:w="1436" w:type="dxa"/>
            <w:vAlign w:val="center"/>
          </w:tcPr>
          <w:p>
            <w:pPr>
              <w:tabs>
                <w:tab w:val="left" w:pos="0"/>
              </w:tabs>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7" w:hRule="atLeast"/>
          <w:jc w:val="center"/>
        </w:trPr>
        <w:tc>
          <w:tcPr>
            <w:tcW w:w="567" w:type="dxa"/>
            <w:tcMar>
              <w:top w:w="15" w:type="dxa"/>
              <w:left w:w="15" w:type="dxa"/>
              <w:bottom w:w="0" w:type="dxa"/>
              <w:right w:w="15" w:type="dxa"/>
            </w:tcMar>
            <w:vAlign w:val="center"/>
          </w:tcPr>
          <w:p>
            <w:pPr>
              <w:tabs>
                <w:tab w:val="left" w:pos="0"/>
              </w:tabs>
              <w:jc w:val="center"/>
              <w:rPr>
                <w:rFonts w:ascii="仿宋" w:hAnsi="仿宋" w:eastAsia="仿宋" w:cs="仿宋"/>
                <w:color w:val="auto"/>
                <w:highlight w:val="none"/>
              </w:rPr>
            </w:pPr>
            <w:r>
              <w:rPr>
                <w:rFonts w:hint="eastAsia" w:ascii="仿宋" w:hAnsi="仿宋" w:eastAsia="仿宋" w:cs="仿宋"/>
                <w:color w:val="auto"/>
                <w:highlight w:val="none"/>
              </w:rPr>
              <w:t>1</w:t>
            </w:r>
          </w:p>
        </w:tc>
        <w:tc>
          <w:tcPr>
            <w:tcW w:w="2920" w:type="dxa"/>
            <w:tcMar>
              <w:top w:w="15" w:type="dxa"/>
              <w:left w:w="15" w:type="dxa"/>
              <w:bottom w:w="0" w:type="dxa"/>
              <w:right w:w="15" w:type="dxa"/>
            </w:tcMar>
            <w:vAlign w:val="center"/>
          </w:tcPr>
          <w:p>
            <w:pPr>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杭州市萧山区卫生健康局财务集中管控平台升级项目</w:t>
            </w:r>
          </w:p>
        </w:tc>
        <w:tc>
          <w:tcPr>
            <w:tcW w:w="650"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p>
        </w:tc>
        <w:tc>
          <w:tcPr>
            <w:tcW w:w="576" w:type="dxa"/>
            <w:tcMar>
              <w:top w:w="15" w:type="dxa"/>
              <w:left w:w="15" w:type="dxa"/>
              <w:bottom w:w="0" w:type="dxa"/>
              <w:right w:w="15" w:type="dxa"/>
            </w:tcMar>
            <w:vAlign w:val="center"/>
          </w:tcPr>
          <w:p>
            <w:pPr>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w:t>
            </w:r>
          </w:p>
        </w:tc>
        <w:tc>
          <w:tcPr>
            <w:tcW w:w="1416" w:type="dxa"/>
            <w:vAlign w:val="center"/>
          </w:tcPr>
          <w:p>
            <w:pPr>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00000</w:t>
            </w:r>
            <w:r>
              <w:rPr>
                <w:rFonts w:hint="eastAsia" w:ascii="仿宋" w:hAnsi="仿宋" w:eastAsia="仿宋" w:cs="仿宋"/>
                <w:color w:val="auto"/>
                <w:sz w:val="24"/>
                <w:highlight w:val="none"/>
              </w:rPr>
              <w:t>.00</w:t>
            </w:r>
          </w:p>
        </w:tc>
        <w:tc>
          <w:tcPr>
            <w:tcW w:w="1882" w:type="dxa"/>
            <w:vAlign w:val="center"/>
          </w:tcPr>
          <w:p>
            <w:pPr>
              <w:tabs>
                <w:tab w:val="left" w:pos="0"/>
              </w:tabs>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二、采购需求</w:t>
            </w:r>
          </w:p>
        </w:tc>
        <w:tc>
          <w:tcPr>
            <w:tcW w:w="1436" w:type="dxa"/>
            <w:vAlign w:val="center"/>
          </w:tcPr>
          <w:p>
            <w:pPr>
              <w:spacing w:line="400" w:lineRule="exact"/>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00000</w:t>
            </w:r>
            <w:r>
              <w:rPr>
                <w:rFonts w:hint="eastAsia" w:ascii="仿宋" w:hAnsi="仿宋" w:eastAsia="仿宋" w:cs="仿宋"/>
                <w:color w:val="auto"/>
                <w:sz w:val="24"/>
                <w:highlight w:val="none"/>
              </w:rPr>
              <w:t>.00</w:t>
            </w:r>
          </w:p>
        </w:tc>
      </w:tr>
    </w:tbl>
    <w:p>
      <w:pPr>
        <w:rPr>
          <w:rFonts w:ascii="仿宋" w:hAnsi="仿宋" w:eastAsia="仿宋" w:cs="仿宋"/>
          <w:b/>
          <w:color w:val="auto"/>
          <w:sz w:val="22"/>
          <w:szCs w:val="22"/>
          <w:highlight w:val="none"/>
        </w:rPr>
      </w:pPr>
    </w:p>
    <w:p>
      <w:pPr>
        <w:pStyle w:val="3"/>
        <w:ind w:left="630" w:hanging="630"/>
        <w:jc w:val="center"/>
        <w:rPr>
          <w:rFonts w:ascii="仿宋" w:eastAsia="仿宋" w:cs="仿宋"/>
          <w:color w:val="auto"/>
          <w:sz w:val="24"/>
          <w:szCs w:val="24"/>
          <w:highlight w:val="none"/>
        </w:rPr>
      </w:pPr>
      <w:r>
        <w:rPr>
          <w:rFonts w:ascii="仿宋" w:eastAsia="仿宋" w:cs="仿宋"/>
          <w:color w:val="auto"/>
          <w:highlight w:val="none"/>
        </w:rPr>
        <w:t>二、</w:t>
      </w:r>
      <w:r>
        <w:rPr>
          <w:rFonts w:hint="eastAsia" w:ascii="仿宋" w:eastAsia="仿宋" w:cs="仿宋"/>
          <w:color w:val="auto"/>
          <w:highlight w:val="none"/>
        </w:rPr>
        <w:t>采购需求</w:t>
      </w:r>
    </w:p>
    <w:p>
      <w:pPr>
        <w:spacing w:line="360" w:lineRule="auto"/>
        <w:ind w:firstLine="480" w:firstLineChars="200"/>
        <w:rPr>
          <w:rFonts w:ascii="仿宋" w:hAnsi="仿宋" w:eastAsia="仿宋" w:cs="仿宋"/>
          <w:color w:val="auto"/>
          <w:sz w:val="24"/>
          <w:highlight w:val="none"/>
        </w:rPr>
      </w:pPr>
    </w:p>
    <w:p>
      <w:pPr>
        <w:pStyle w:val="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、项目概况</w:t>
      </w:r>
    </w:p>
    <w:p>
      <w:pPr>
        <w:spacing w:after="156" w:afterLines="50"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2015年4月国家卫生和计划生育委员会出台了《关于规范基层医疗卫生机构实行财务集中核算的意见》，对医疗机构财务集中管理提出了具体要求。要求地区进行集中核算，同时要满足预算内控和监管需求，增加内控管理和数据集中利用的内容。</w:t>
      </w:r>
    </w:p>
    <w:p>
      <w:pPr>
        <w:spacing w:after="156" w:afterLines="5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2017年发布《政府会计制度——行政事业单位会计科目和报表》，自2019年1月1日起施行。政府会计制度有利于规范各级政府、各部门、各单位的会计核算，提高政府会计信息的可靠性、全面性、相关性、可比性、及时性和可理解性。新的政府会计制度的实施对医疗卫生机构财务核算产生了很大的影响，在会计核算方法和报表体系都有很大的改变。</w:t>
      </w:r>
      <w:r>
        <w:rPr>
          <w:rFonts w:hint="eastAsia" w:ascii="仿宋" w:hAnsi="仿宋" w:eastAsia="仿宋" w:cs="仿宋"/>
          <w:color w:val="auto"/>
          <w:sz w:val="24"/>
          <w:szCs w:val="24"/>
          <w:highlight w:val="none"/>
          <w:lang w:eastAsia="zh-CN"/>
        </w:rPr>
        <w:t>萧山区卫生健康局</w:t>
      </w:r>
      <w:r>
        <w:rPr>
          <w:rFonts w:hint="eastAsia" w:ascii="仿宋" w:hAnsi="仿宋" w:eastAsia="仿宋" w:cs="仿宋"/>
          <w:color w:val="auto"/>
          <w:sz w:val="24"/>
          <w:szCs w:val="24"/>
          <w:highlight w:val="none"/>
        </w:rPr>
        <w:t>下属医疗机构原有的财务核算软件不能适应新的政府会计准则要求，势必需要更新换代。</w:t>
      </w:r>
    </w:p>
    <w:p>
      <w:pPr>
        <w:spacing w:after="156" w:afterLines="5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2018年10月浙医改办出台了《浙江省医改办关于做好县域医疗卫生服务共同体建设方案制定工作的通知》（浙医改办〔2018〕5 号），该文件明确了医共体单位实行基本建设、物资采购、设备配置统一管理；要求医共体对成员单位财务实行统一管理、集中核算、统筹运营。</w:t>
      </w:r>
    </w:p>
    <w:p>
      <w:pPr>
        <w:spacing w:after="156" w:afterLines="5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1年用友政务总部出台GRP—U8 10.5停版说明</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停版后萧山</w:t>
      </w:r>
      <w:r>
        <w:rPr>
          <w:rFonts w:hint="eastAsia" w:ascii="仿宋" w:hAnsi="仿宋" w:eastAsia="仿宋" w:cs="仿宋"/>
          <w:color w:val="auto"/>
          <w:sz w:val="24"/>
          <w:szCs w:val="24"/>
          <w:highlight w:val="none"/>
        </w:rPr>
        <w:t>卫健系统下属医疗单位</w:t>
      </w:r>
      <w:r>
        <w:rPr>
          <w:rFonts w:hint="eastAsia" w:ascii="仿宋" w:hAnsi="仿宋" w:eastAsia="仿宋" w:cs="仿宋"/>
          <w:color w:val="auto"/>
          <w:sz w:val="24"/>
          <w:szCs w:val="24"/>
          <w:highlight w:val="none"/>
          <w:lang w:eastAsia="zh-CN"/>
        </w:rPr>
        <w:t>得不到产品的知识更新以及最新补丁支持</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然而网络环境问</w:t>
      </w:r>
      <w:r>
        <w:rPr>
          <w:rFonts w:hint="eastAsia" w:ascii="仿宋" w:hAnsi="仿宋" w:eastAsia="仿宋" w:cs="仿宋"/>
          <w:color w:val="auto"/>
          <w:sz w:val="24"/>
          <w:szCs w:val="24"/>
          <w:highlight w:val="none"/>
        </w:rPr>
        <w:t>题日益凸显，</w:t>
      </w:r>
      <w:r>
        <w:rPr>
          <w:rFonts w:hint="eastAsia" w:ascii="仿宋" w:hAnsi="仿宋" w:eastAsia="仿宋" w:cs="仿宋"/>
          <w:color w:val="auto"/>
          <w:sz w:val="24"/>
          <w:szCs w:val="24"/>
          <w:highlight w:val="none"/>
          <w:lang w:eastAsia="zh-CN"/>
        </w:rPr>
        <w:t>升级</w:t>
      </w:r>
      <w:r>
        <w:rPr>
          <w:rFonts w:hint="eastAsia" w:ascii="仿宋" w:hAnsi="仿宋" w:eastAsia="仿宋" w:cs="仿宋"/>
          <w:color w:val="auto"/>
          <w:sz w:val="24"/>
          <w:szCs w:val="24"/>
          <w:highlight w:val="none"/>
        </w:rPr>
        <w:t>财务系统势在必行。</w:t>
      </w:r>
      <w:r>
        <w:rPr>
          <w:rFonts w:hint="eastAsia" w:ascii="仿宋" w:hAnsi="仿宋" w:eastAsia="仿宋" w:cs="仿宋"/>
          <w:color w:val="auto"/>
          <w:sz w:val="24"/>
          <w:szCs w:val="24"/>
          <w:highlight w:val="none"/>
          <w:lang w:val="en-US" w:eastAsia="zh-CN"/>
        </w:rPr>
        <w:t>并且兄弟卫健局单位近两年也已经升级，例如临安区卫健局、余杭区卫健局、临平区卫健局、上城区卫健局和拱墅区卫健局财务集中管控平台都已经升级。</w:t>
      </w:r>
    </w:p>
    <w:p>
      <w:pPr>
        <w:pStyle w:val="3"/>
        <w:bidi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、项目内容及功能要求</w:t>
      </w:r>
    </w:p>
    <w:p>
      <w:pPr>
        <w:spacing w:after="156" w:afterLines="5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w:t>
      </w:r>
      <w:r>
        <w:rPr>
          <w:rFonts w:hint="eastAsia" w:ascii="仿宋" w:hAnsi="仿宋" w:eastAsia="仿宋" w:cs="仿宋"/>
          <w:color w:val="auto"/>
          <w:sz w:val="24"/>
          <w:szCs w:val="24"/>
          <w:highlight w:val="none"/>
          <w:lang w:eastAsia="zh-CN"/>
        </w:rPr>
        <w:t>萧山区卫生健康局的财务集中管控系统进行升级改造</w:t>
      </w:r>
      <w:r>
        <w:rPr>
          <w:rFonts w:hint="eastAsia" w:ascii="仿宋" w:hAnsi="仿宋" w:eastAsia="仿宋" w:cs="仿宋"/>
          <w:color w:val="auto"/>
          <w:sz w:val="24"/>
          <w:szCs w:val="24"/>
          <w:highlight w:val="none"/>
        </w:rPr>
        <w:t>，实现财务集中管理，并对</w:t>
      </w:r>
      <w:r>
        <w:rPr>
          <w:rFonts w:hint="eastAsia" w:ascii="仿宋" w:hAnsi="仿宋" w:eastAsia="仿宋" w:cs="仿宋"/>
          <w:color w:val="auto"/>
          <w:sz w:val="24"/>
          <w:szCs w:val="24"/>
          <w:highlight w:val="none"/>
          <w:lang w:eastAsia="zh-CN"/>
        </w:rPr>
        <w:t>萧山区卫生健康局</w:t>
      </w:r>
      <w:r>
        <w:rPr>
          <w:rFonts w:hint="eastAsia" w:ascii="仿宋" w:hAnsi="仿宋" w:eastAsia="仿宋" w:cs="仿宋"/>
          <w:color w:val="auto"/>
          <w:sz w:val="24"/>
          <w:szCs w:val="24"/>
          <w:highlight w:val="none"/>
        </w:rPr>
        <w:t>下属医疗机构进行资产负债、收入支出进行全面、全程管理，对医疗机构的经济活动进行动态监督。</w:t>
      </w:r>
    </w:p>
    <w:p>
      <w:pPr>
        <w:keepNext/>
        <w:keepLines/>
        <w:numPr>
          <w:ilvl w:val="1"/>
          <w:numId w:val="0"/>
        </w:numPr>
        <w:tabs>
          <w:tab w:val="left" w:pos="576"/>
        </w:tabs>
        <w:adjustRightInd w:val="0"/>
        <w:spacing w:after="156" w:afterLines="50" w:line="360" w:lineRule="auto"/>
        <w:ind w:left="576" w:hanging="576"/>
        <w:jc w:val="left"/>
        <w:textAlignment w:val="baseline"/>
        <w:outlineLvl w:val="1"/>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eastAsia="zh-CN"/>
        </w:rPr>
        <w:t>一、</w:t>
      </w:r>
      <w:r>
        <w:rPr>
          <w:rFonts w:hint="eastAsia" w:ascii="仿宋" w:hAnsi="仿宋" w:eastAsia="仿宋" w:cs="仿宋"/>
          <w:b/>
          <w:bCs/>
          <w:color w:val="auto"/>
          <w:kern w:val="0"/>
          <w:sz w:val="28"/>
          <w:szCs w:val="28"/>
          <w:highlight w:val="none"/>
          <w:lang w:val="en-US" w:eastAsia="zh-CN"/>
        </w:rPr>
        <w:t>财务系统升级</w:t>
      </w:r>
    </w:p>
    <w:p>
      <w:pPr>
        <w:spacing w:after="156" w:afterLines="5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由原有财务系统升级到</w:t>
      </w:r>
      <w:r>
        <w:rPr>
          <w:rFonts w:hint="eastAsia" w:ascii="仿宋" w:hAnsi="仿宋" w:eastAsia="仿宋" w:cs="仿宋"/>
          <w:color w:val="auto"/>
          <w:sz w:val="24"/>
          <w:szCs w:val="24"/>
          <w:highlight w:val="none"/>
          <w:lang w:val="en-US" w:eastAsia="zh-CN"/>
        </w:rPr>
        <w:t>GRP-U8Manager版本的财务处理48个站点，电子报表32个站点，出纳32个站点，工资32个站点，资产32个站点，</w:t>
      </w:r>
      <w:r>
        <w:rPr>
          <w:rFonts w:hint="eastAsia" w:ascii="仿宋" w:hAnsi="仿宋" w:eastAsia="仿宋" w:cs="仿宋"/>
          <w:color w:val="auto"/>
          <w:sz w:val="24"/>
          <w:szCs w:val="24"/>
          <w:highlight w:val="none"/>
          <w:lang w:eastAsia="zh-CN"/>
        </w:rPr>
        <w:t>基础数据管理和集中财务查询与分析不限站点。</w:t>
      </w:r>
    </w:p>
    <w:p>
      <w:pPr>
        <w:keepNext/>
        <w:keepLines/>
        <w:numPr>
          <w:ilvl w:val="2"/>
          <w:numId w:val="0"/>
        </w:numPr>
        <w:tabs>
          <w:tab w:val="left" w:pos="107"/>
          <w:tab w:val="left" w:pos="709"/>
        </w:tabs>
        <w:adjustRightInd w:val="0"/>
        <w:spacing w:line="360" w:lineRule="auto"/>
        <w:ind w:firstLine="241" w:firstLineChars="100"/>
        <w:textAlignment w:val="baseline"/>
        <w:outlineLvl w:val="2"/>
        <w:rPr>
          <w:rFonts w:hint="eastAsia" w:ascii="仿宋" w:hAnsi="仿宋" w:eastAsia="仿宋" w:cs="仿宋"/>
          <w:b/>
          <w:bCs/>
          <w:color w:val="auto"/>
          <w:kern w:val="0"/>
          <w:sz w:val="24"/>
          <w:szCs w:val="24"/>
          <w:highlight w:val="none"/>
          <w:lang w:eastAsia="zh-CN"/>
        </w:rPr>
      </w:pPr>
      <w:bookmarkStart w:id="27" w:name="_Toc1173"/>
      <w:r>
        <w:rPr>
          <w:rFonts w:hint="eastAsia" w:ascii="仿宋" w:hAnsi="仿宋" w:eastAsia="仿宋" w:cs="仿宋"/>
          <w:b/>
          <w:bCs/>
          <w:color w:val="auto"/>
          <w:kern w:val="0"/>
          <w:sz w:val="24"/>
          <w:szCs w:val="24"/>
          <w:highlight w:val="none"/>
          <w:lang w:eastAsia="zh-CN"/>
        </w:rPr>
        <w:t>（一）财务处理系统</w:t>
      </w:r>
      <w:bookmarkEnd w:id="27"/>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遵循新政府会计制度，实现财务会计和预算会计双重功能和“平行记账”，并预置业务凭证模板。简便快捷完成会计科目、预算科目以及各辅助核算项的基础资料管理，灵活、快速、准确完成会计凭证的录入、审核、记账结账处理，账簿查询和打印、出纳及银行对账管理，达到完整的财务核算的要求及基本的财务辅助控制目标，并实现各种备查簿、财务报告的查询，满足政务部门财务管理和预算管理的需要。同时实现与指标、工资、资产管理、报销、资金等模块的无缝连接。 </w:t>
      </w:r>
    </w:p>
    <w:p>
      <w:pPr>
        <w:widowControl/>
        <w:spacing w:line="54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凭证管理：凭证的录入、审核、记账、凭证汇总、凭证查询、凭证插入、凭证重新排序及自动凭证录入功能。</w:t>
      </w:r>
    </w:p>
    <w:p>
      <w:pPr>
        <w:pStyle w:val="23"/>
        <w:ind w:firstLine="480" w:firstLineChars="200"/>
        <w:rPr>
          <w:rFonts w:hint="eastAsia" w:ascii="仿宋" w:hAnsi="仿宋" w:eastAsia="仿宋" w:cs="仿宋"/>
          <w:color w:val="auto"/>
          <w:highlight w:val="none"/>
        </w:rPr>
      </w:pPr>
      <w:r>
        <w:rPr>
          <w:rFonts w:hint="eastAsia" w:ascii="仿宋" w:hAnsi="仿宋" w:eastAsia="仿宋" w:cs="仿宋"/>
          <w:bCs w:val="0"/>
          <w:color w:val="auto"/>
          <w:kern w:val="0"/>
          <w:sz w:val="24"/>
          <w:szCs w:val="24"/>
          <w:highlight w:val="none"/>
          <w:lang w:val="en-US" w:eastAsia="zh-CN" w:bidi="ar-SA"/>
        </w:rPr>
        <w:t>█</w:t>
      </w:r>
      <w:r>
        <w:rPr>
          <w:rFonts w:hint="eastAsia" w:ascii="仿宋" w:hAnsi="仿宋" w:eastAsia="仿宋" w:cs="仿宋"/>
          <w:snapToGrid/>
          <w:color w:val="auto"/>
          <w:kern w:val="2"/>
          <w:sz w:val="24"/>
          <w:szCs w:val="24"/>
          <w:highlight w:val="none"/>
          <w:lang w:val="en-US" w:eastAsia="zh-CN" w:bidi="ar-SA"/>
        </w:rPr>
        <w:t>预算凭证：屏幕左边是财务凭证，右边是预算凭证，做凭证方便。省卫健委为了向财政靠拢，把很多基层医疗的明细科目变为辅助核算项，财务凭证自动带出预算凭证的时候，也要求辅助核算也自动带出（</w:t>
      </w:r>
      <w:r>
        <w:rPr>
          <w:rFonts w:hint="eastAsia" w:ascii="仿宋" w:hAnsi="仿宋" w:eastAsia="仿宋" w:cs="仿宋"/>
          <w:bCs w:val="0"/>
          <w:color w:val="auto"/>
          <w:kern w:val="0"/>
          <w:sz w:val="24"/>
          <w:szCs w:val="24"/>
          <w:highlight w:val="none"/>
          <w:lang w:val="en-US" w:eastAsia="zh-CN" w:bidi="ar-SA"/>
        </w:rPr>
        <w:t>需提供相关截图</w:t>
      </w:r>
      <w:r>
        <w:rPr>
          <w:rFonts w:hint="eastAsia" w:ascii="仿宋" w:hAnsi="仿宋" w:eastAsia="仿宋" w:cs="仿宋"/>
          <w:snapToGrid/>
          <w:color w:val="auto"/>
          <w:kern w:val="2"/>
          <w:sz w:val="24"/>
          <w:szCs w:val="24"/>
          <w:highlight w:val="none"/>
          <w:lang w:val="en-US" w:eastAsia="zh-CN" w:bidi="ar-SA"/>
        </w:rPr>
        <w:t>）。</w:t>
      </w:r>
    </w:p>
    <w:p>
      <w:pPr>
        <w:widowControl/>
        <w:spacing w:line="54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bCs w:val="0"/>
          <w:color w:val="auto"/>
          <w:kern w:val="0"/>
          <w:sz w:val="24"/>
          <w:szCs w:val="24"/>
          <w:highlight w:val="none"/>
          <w:lang w:val="en-US" w:eastAsia="zh-CN" w:bidi="ar-SA"/>
        </w:rPr>
        <w:t>█</w:t>
      </w:r>
      <w:r>
        <w:rPr>
          <w:rFonts w:hint="eastAsia" w:ascii="仿宋" w:hAnsi="仿宋" w:eastAsia="仿宋" w:cs="仿宋"/>
          <w:color w:val="auto"/>
          <w:sz w:val="24"/>
          <w:szCs w:val="24"/>
          <w:highlight w:val="none"/>
        </w:rPr>
        <w:t>支持凭证箱查询功能，支持未审核、已审核、已记账、已作废、暂存凭证的条件过滤</w:t>
      </w:r>
      <w:r>
        <w:rPr>
          <w:rFonts w:hint="eastAsia" w:ascii="仿宋" w:hAnsi="仿宋" w:eastAsia="仿宋" w:cs="仿宋"/>
          <w:snapToGrid/>
          <w:color w:val="auto"/>
          <w:kern w:val="2"/>
          <w:sz w:val="24"/>
          <w:szCs w:val="24"/>
          <w:highlight w:val="none"/>
          <w:lang w:val="en-US" w:eastAsia="zh-CN" w:bidi="ar-SA"/>
        </w:rPr>
        <w:t>（</w:t>
      </w:r>
      <w:r>
        <w:rPr>
          <w:rFonts w:hint="eastAsia" w:ascii="仿宋" w:hAnsi="仿宋" w:eastAsia="仿宋" w:cs="仿宋"/>
          <w:bCs w:val="0"/>
          <w:color w:val="auto"/>
          <w:kern w:val="0"/>
          <w:sz w:val="24"/>
          <w:szCs w:val="24"/>
          <w:highlight w:val="none"/>
          <w:lang w:val="en-US" w:eastAsia="zh-CN" w:bidi="ar-SA"/>
        </w:rPr>
        <w:t>需提供相关截图</w:t>
      </w:r>
      <w:r>
        <w:rPr>
          <w:rFonts w:hint="eastAsia" w:ascii="仿宋" w:hAnsi="仿宋" w:eastAsia="仿宋" w:cs="仿宋"/>
          <w:snapToGrid/>
          <w:color w:val="auto"/>
          <w:kern w:val="2"/>
          <w:sz w:val="24"/>
          <w:szCs w:val="24"/>
          <w:highlight w:val="none"/>
          <w:lang w:val="en-US" w:eastAsia="zh-CN" w:bidi="ar-SA"/>
        </w:rPr>
        <w:t>）。</w:t>
      </w:r>
    </w:p>
    <w:p>
      <w:pPr>
        <w:widowControl/>
        <w:spacing w:line="54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支持总账、明细账连续打印时自动剔除未使用的会计科目，支持总账查询时鼠标右键联查明细账及记账凭证。</w:t>
      </w:r>
    </w:p>
    <w:p>
      <w:pPr>
        <w:pStyle w:val="23"/>
        <w:ind w:firstLine="480" w:firstLineChars="200"/>
        <w:rPr>
          <w:rFonts w:hint="eastAsia" w:ascii="仿宋" w:hAnsi="仿宋" w:eastAsia="仿宋" w:cs="仿宋"/>
          <w:color w:val="auto"/>
          <w:sz w:val="24"/>
          <w:szCs w:val="24"/>
          <w:highlight w:val="none"/>
        </w:rPr>
      </w:pPr>
      <w:r>
        <w:rPr>
          <w:rFonts w:hint="eastAsia" w:ascii="仿宋" w:hAnsi="仿宋" w:eastAsia="仿宋" w:cs="仿宋"/>
          <w:bCs w:val="0"/>
          <w:color w:val="auto"/>
          <w:kern w:val="0"/>
          <w:sz w:val="24"/>
          <w:szCs w:val="24"/>
          <w:highlight w:val="none"/>
          <w:lang w:val="en-US" w:eastAsia="zh-CN" w:bidi="ar-SA"/>
        </w:rPr>
        <w:t>█</w:t>
      </w:r>
      <w:r>
        <w:rPr>
          <w:rFonts w:hint="eastAsia" w:ascii="仿宋" w:hAnsi="仿宋" w:eastAsia="仿宋" w:cs="仿宋"/>
          <w:snapToGrid/>
          <w:color w:val="auto"/>
          <w:kern w:val="2"/>
          <w:sz w:val="24"/>
          <w:szCs w:val="24"/>
          <w:highlight w:val="none"/>
          <w:lang w:val="en-US" w:eastAsia="zh-CN" w:bidi="ar-SA"/>
        </w:rPr>
        <w:t>凭证支持20项交叉核算，自定义核算项不受限制；完全满足卫生单位的多口径核算要求（</w:t>
      </w:r>
      <w:r>
        <w:rPr>
          <w:rFonts w:hint="eastAsia" w:ascii="仿宋" w:hAnsi="仿宋" w:eastAsia="仿宋" w:cs="仿宋"/>
          <w:bCs w:val="0"/>
          <w:color w:val="auto"/>
          <w:kern w:val="0"/>
          <w:sz w:val="24"/>
          <w:szCs w:val="24"/>
          <w:highlight w:val="none"/>
          <w:lang w:val="en-US" w:eastAsia="zh-CN" w:bidi="ar-SA"/>
        </w:rPr>
        <w:t>需提供相关截图</w:t>
      </w:r>
      <w:r>
        <w:rPr>
          <w:rFonts w:hint="eastAsia" w:ascii="仿宋" w:hAnsi="仿宋" w:eastAsia="仿宋" w:cs="仿宋"/>
          <w:snapToGrid/>
          <w:color w:val="auto"/>
          <w:kern w:val="2"/>
          <w:sz w:val="24"/>
          <w:szCs w:val="24"/>
          <w:highlight w:val="none"/>
          <w:lang w:val="en-US" w:eastAsia="zh-CN" w:bidi="ar-SA"/>
        </w:rPr>
        <w:t>）。</w:t>
      </w:r>
    </w:p>
    <w:p>
      <w:pPr>
        <w:widowControl/>
        <w:spacing w:line="54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凭证查询时支持鼠标右键联查总账和明细账。</w:t>
      </w:r>
    </w:p>
    <w:p>
      <w:pPr>
        <w:widowControl/>
        <w:spacing w:line="54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凭证编制时，支持凭证暂存，支持excel表导入功能。</w:t>
      </w:r>
    </w:p>
    <w:p>
      <w:pPr>
        <w:widowControl/>
        <w:spacing w:line="54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支持调用凭证模板、支持标准凭证录入和汇总凭证录入两种录入模式。</w:t>
      </w:r>
    </w:p>
    <w:p>
      <w:pPr>
        <w:widowControl/>
        <w:spacing w:line="54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凭证编制时，支持任意分录行插入分录。</w:t>
      </w:r>
    </w:p>
    <w:p>
      <w:pPr>
        <w:widowControl/>
        <w:spacing w:line="54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簿及辅助账的查询和打印：总账、明细账、辅助账、多栏账、日记账等，账簿查询需单独设置按功能科目分类查询、经济科目分类查询、往来单位查询、部门查询、个人往来查询等菜单，便于操作并及时查询收入和支出情况。</w:t>
      </w:r>
    </w:p>
    <w:p>
      <w:pPr>
        <w:widowControl/>
        <w:spacing w:line="54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期初数据管理：期初数据录入、试算平衡、自动纠错等功能。</w:t>
      </w:r>
    </w:p>
    <w:p>
      <w:pPr>
        <w:widowControl/>
        <w:spacing w:line="540" w:lineRule="exact"/>
        <w:ind w:firstLine="470" w:firstLineChars="196"/>
        <w:jc w:val="left"/>
        <w:rPr>
          <w:rFonts w:hint="eastAsia" w:ascii="仿宋" w:hAnsi="仿宋" w:eastAsia="仿宋" w:cs="仿宋"/>
          <w:b/>
          <w:bCs/>
          <w:vanish/>
          <w:color w:val="auto"/>
          <w:kern w:val="0"/>
          <w:sz w:val="24"/>
          <w:szCs w:val="24"/>
          <w:highlight w:val="none"/>
        </w:rPr>
      </w:pPr>
      <w:r>
        <w:rPr>
          <w:rFonts w:hint="eastAsia" w:ascii="仿宋" w:hAnsi="仿宋" w:eastAsia="仿宋" w:cs="仿宋"/>
          <w:color w:val="auto"/>
          <w:sz w:val="24"/>
          <w:szCs w:val="24"/>
          <w:highlight w:val="none"/>
        </w:rPr>
        <w:t>期末处理：期末结转期间的收支、月结、年结、往年数据的查询，能自动结转收支凭证等。</w:t>
      </w:r>
      <w:bookmarkStart w:id="28" w:name="_Toc531636852"/>
      <w:bookmarkEnd w:id="28"/>
      <w:bookmarkStart w:id="29" w:name="_Toc531629117"/>
      <w:bookmarkEnd w:id="29"/>
      <w:bookmarkStart w:id="30" w:name="_Toc531628779"/>
      <w:bookmarkEnd w:id="30"/>
      <w:bookmarkStart w:id="31" w:name="_Toc531628870"/>
      <w:bookmarkEnd w:id="31"/>
      <w:bookmarkStart w:id="32" w:name="_Toc18836"/>
      <w:bookmarkEnd w:id="32"/>
      <w:bookmarkStart w:id="33" w:name="_Toc17824"/>
      <w:bookmarkEnd w:id="33"/>
      <w:bookmarkStart w:id="34" w:name="_Toc430876225"/>
      <w:bookmarkEnd w:id="34"/>
      <w:bookmarkStart w:id="35" w:name="_Toc531628668"/>
      <w:bookmarkEnd w:id="35"/>
      <w:bookmarkStart w:id="36" w:name="_Toc8745"/>
      <w:bookmarkEnd w:id="36"/>
      <w:bookmarkStart w:id="37" w:name="_Toc395480240"/>
      <w:bookmarkEnd w:id="37"/>
      <w:bookmarkStart w:id="38" w:name="_Toc430876127"/>
      <w:bookmarkEnd w:id="38"/>
    </w:p>
    <w:p>
      <w:pPr>
        <w:keepNext/>
        <w:keepLines/>
        <w:numPr>
          <w:ilvl w:val="2"/>
          <w:numId w:val="0"/>
        </w:numPr>
        <w:tabs>
          <w:tab w:val="left" w:pos="107"/>
          <w:tab w:val="left" w:pos="709"/>
        </w:tabs>
        <w:adjustRightInd w:val="0"/>
        <w:spacing w:line="360" w:lineRule="auto"/>
        <w:ind w:firstLine="482" w:firstLineChars="200"/>
        <w:textAlignment w:val="baseline"/>
        <w:outlineLvl w:val="2"/>
        <w:rPr>
          <w:rFonts w:hint="eastAsia" w:ascii="仿宋" w:hAnsi="仿宋" w:eastAsia="仿宋" w:cs="仿宋"/>
          <w:b/>
          <w:bCs/>
          <w:vanish/>
          <w:color w:val="auto"/>
          <w:kern w:val="0"/>
          <w:sz w:val="24"/>
          <w:szCs w:val="24"/>
          <w:highlight w:val="none"/>
        </w:rPr>
      </w:pPr>
      <w:bookmarkStart w:id="39" w:name="_Toc4653"/>
      <w:bookmarkStart w:id="40" w:name="_Toc350168644"/>
      <w:r>
        <w:rPr>
          <w:rFonts w:hint="eastAsia" w:ascii="仿宋" w:hAnsi="仿宋" w:eastAsia="仿宋" w:cs="仿宋"/>
          <w:b/>
          <w:bCs/>
          <w:color w:val="auto"/>
          <w:kern w:val="0"/>
          <w:sz w:val="24"/>
          <w:szCs w:val="24"/>
          <w:highlight w:val="none"/>
          <w:lang w:eastAsia="zh-CN"/>
        </w:rPr>
        <w:t>（二）电子报表处理系统</w:t>
      </w:r>
      <w:bookmarkEnd w:id="39"/>
      <w:bookmarkEnd w:id="40"/>
      <w:bookmarkStart w:id="41" w:name="_Toc430876129"/>
      <w:bookmarkEnd w:id="41"/>
      <w:bookmarkStart w:id="42" w:name="_Toc3740"/>
      <w:bookmarkEnd w:id="42"/>
      <w:bookmarkStart w:id="43" w:name="_Toc23627"/>
      <w:bookmarkEnd w:id="43"/>
      <w:bookmarkStart w:id="44" w:name="_Toc430876227"/>
      <w:bookmarkEnd w:id="44"/>
      <w:bookmarkStart w:id="45" w:name="_Toc395480242"/>
      <w:bookmarkEnd w:id="45"/>
      <w:bookmarkStart w:id="46" w:name="_Toc531628781"/>
      <w:bookmarkEnd w:id="46"/>
      <w:bookmarkStart w:id="47" w:name="_Toc531636854"/>
      <w:bookmarkEnd w:id="47"/>
      <w:bookmarkStart w:id="48" w:name="_Toc531629119"/>
      <w:bookmarkEnd w:id="48"/>
      <w:bookmarkStart w:id="49" w:name="_Toc531628670"/>
      <w:bookmarkEnd w:id="49"/>
      <w:bookmarkStart w:id="50" w:name="_Toc21179"/>
      <w:bookmarkEnd w:id="50"/>
      <w:bookmarkStart w:id="51" w:name="_Toc531628872"/>
      <w:bookmarkEnd w:id="51"/>
    </w:p>
    <w:p>
      <w:pPr>
        <w:widowControl/>
        <w:spacing w:line="54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根据统一要求定制报表、报表汇总，同时支持单位个性化报表定义和输出：</w:t>
      </w:r>
    </w:p>
    <w:p>
      <w:pPr>
        <w:widowControl/>
        <w:spacing w:line="54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采用数据库存储管理报表。所有表样存储在数据库中，支持多人并发操作。</w:t>
      </w:r>
    </w:p>
    <w:p>
      <w:pPr>
        <w:widowControl/>
        <w:spacing w:line="54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采用层次清晰的“树形结构报表管理”。</w:t>
      </w:r>
    </w:p>
    <w:p>
      <w:pPr>
        <w:widowControl/>
        <w:spacing w:line="54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bCs w:val="0"/>
          <w:color w:val="auto"/>
          <w:kern w:val="0"/>
          <w:sz w:val="24"/>
          <w:szCs w:val="24"/>
          <w:highlight w:val="none"/>
          <w:lang w:val="en-US" w:eastAsia="zh-CN" w:bidi="ar-SA"/>
        </w:rPr>
        <w:t>█</w:t>
      </w:r>
      <w:r>
        <w:rPr>
          <w:rFonts w:hint="eastAsia" w:ascii="仿宋" w:hAnsi="仿宋" w:eastAsia="仿宋" w:cs="仿宋"/>
          <w:color w:val="auto"/>
          <w:sz w:val="24"/>
          <w:szCs w:val="24"/>
          <w:highlight w:val="none"/>
        </w:rPr>
        <w:t>采用“多表页工作簿”形式，充分体现不同单位和日期的多个财务报表之间的相关性</w:t>
      </w:r>
      <w:r>
        <w:rPr>
          <w:rFonts w:hint="eastAsia" w:ascii="仿宋" w:hAnsi="仿宋" w:eastAsia="仿宋" w:cs="仿宋"/>
          <w:snapToGrid/>
          <w:color w:val="auto"/>
          <w:kern w:val="2"/>
          <w:sz w:val="24"/>
          <w:szCs w:val="24"/>
          <w:highlight w:val="none"/>
          <w:lang w:val="en-US" w:eastAsia="zh-CN" w:bidi="ar-SA"/>
        </w:rPr>
        <w:t>（</w:t>
      </w:r>
      <w:r>
        <w:rPr>
          <w:rFonts w:hint="eastAsia" w:ascii="仿宋" w:hAnsi="仿宋" w:eastAsia="仿宋" w:cs="仿宋"/>
          <w:bCs w:val="0"/>
          <w:color w:val="auto"/>
          <w:kern w:val="0"/>
          <w:sz w:val="24"/>
          <w:szCs w:val="24"/>
          <w:highlight w:val="none"/>
          <w:lang w:val="en-US" w:eastAsia="zh-CN" w:bidi="ar-SA"/>
        </w:rPr>
        <w:t>需提供相关截图</w:t>
      </w:r>
      <w:r>
        <w:rPr>
          <w:rFonts w:hint="eastAsia" w:ascii="仿宋" w:hAnsi="仿宋" w:eastAsia="仿宋" w:cs="仿宋"/>
          <w:snapToGrid/>
          <w:color w:val="auto"/>
          <w:kern w:val="2"/>
          <w:sz w:val="24"/>
          <w:szCs w:val="24"/>
          <w:highlight w:val="none"/>
          <w:lang w:val="en-US" w:eastAsia="zh-CN" w:bidi="ar-SA"/>
        </w:rPr>
        <w:t>）。</w:t>
      </w:r>
    </w:p>
    <w:p>
      <w:pPr>
        <w:widowControl/>
        <w:spacing w:line="54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报表管理可视化：实现页签式报表管理，并提供灵活的报表定义工具使报表系统易学易用，同时提高了编制报表的速度。</w:t>
      </w:r>
    </w:p>
    <w:p>
      <w:pPr>
        <w:widowControl/>
        <w:spacing w:line="54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报表下发处理灵活：表样支持多次下发，管理方式灵活简捷。</w:t>
      </w:r>
    </w:p>
    <w:p>
      <w:pPr>
        <w:widowControl/>
        <w:spacing w:line="54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丰富的报表汇总功能：提供多种汇总功能，可通过上级单位的汇总计算功能，也可设置取数公式自定义汇总，同时支持从下向上的多层逐级汇总，使得汇总更方便、简捷，适应性大大加强，有效满足监管管理的要求。</w:t>
      </w:r>
    </w:p>
    <w:p>
      <w:pPr>
        <w:widowControl/>
        <w:spacing w:line="54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支持决算报表的编制及自定义浮动表的编制管理。</w:t>
      </w:r>
    </w:p>
    <w:p>
      <w:pPr>
        <w:widowControl/>
        <w:spacing w:line="54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bCs w:val="0"/>
          <w:color w:val="auto"/>
          <w:kern w:val="0"/>
          <w:sz w:val="24"/>
          <w:szCs w:val="24"/>
          <w:highlight w:val="none"/>
          <w:lang w:val="en-US" w:eastAsia="zh-CN" w:bidi="ar-SA"/>
        </w:rPr>
        <w:t>█</w:t>
      </w:r>
      <w:r>
        <w:rPr>
          <w:rFonts w:hint="eastAsia" w:ascii="仿宋" w:hAnsi="仿宋" w:eastAsia="仿宋" w:cs="仿宋"/>
          <w:color w:val="auto"/>
          <w:sz w:val="24"/>
          <w:szCs w:val="24"/>
          <w:highlight w:val="none"/>
        </w:rPr>
        <w:t>支持“双报告”要求，可自动生成财务会计核算的财务报告，也可自动生成预算会计核算的决算报告，同时智能实现主附表数据追溯联查，一键生成体现财务报表与预算会计报表勾稽关系的“本期盈余与预算结余差异调节表”</w:t>
      </w:r>
      <w:r>
        <w:rPr>
          <w:rFonts w:hint="eastAsia" w:ascii="仿宋" w:hAnsi="仿宋" w:eastAsia="仿宋" w:cs="仿宋"/>
          <w:snapToGrid/>
          <w:color w:val="auto"/>
          <w:kern w:val="2"/>
          <w:sz w:val="24"/>
          <w:szCs w:val="24"/>
          <w:highlight w:val="none"/>
          <w:lang w:val="en-US" w:eastAsia="zh-CN" w:bidi="ar-SA"/>
        </w:rPr>
        <w:t>（</w:t>
      </w:r>
      <w:r>
        <w:rPr>
          <w:rFonts w:hint="eastAsia" w:ascii="仿宋" w:hAnsi="仿宋" w:eastAsia="仿宋" w:cs="仿宋"/>
          <w:bCs w:val="0"/>
          <w:color w:val="auto"/>
          <w:kern w:val="0"/>
          <w:sz w:val="24"/>
          <w:szCs w:val="24"/>
          <w:highlight w:val="none"/>
          <w:lang w:val="en-US" w:eastAsia="zh-CN" w:bidi="ar-SA"/>
        </w:rPr>
        <w:t>需提供相关截图</w:t>
      </w:r>
      <w:r>
        <w:rPr>
          <w:rFonts w:hint="eastAsia" w:ascii="仿宋" w:hAnsi="仿宋" w:eastAsia="仿宋" w:cs="仿宋"/>
          <w:snapToGrid/>
          <w:color w:val="auto"/>
          <w:kern w:val="2"/>
          <w:sz w:val="24"/>
          <w:szCs w:val="24"/>
          <w:highlight w:val="none"/>
          <w:lang w:val="en-US" w:eastAsia="zh-CN" w:bidi="ar-SA"/>
        </w:rPr>
        <w:t>）。</w:t>
      </w:r>
    </w:p>
    <w:p>
      <w:pPr>
        <w:keepNext/>
        <w:keepLines/>
        <w:numPr>
          <w:ilvl w:val="2"/>
          <w:numId w:val="0"/>
        </w:numPr>
        <w:tabs>
          <w:tab w:val="left" w:pos="107"/>
          <w:tab w:val="left" w:pos="709"/>
        </w:tabs>
        <w:adjustRightInd w:val="0"/>
        <w:spacing w:line="360" w:lineRule="auto"/>
        <w:ind w:firstLine="482" w:firstLineChars="200"/>
        <w:textAlignment w:val="baseline"/>
        <w:outlineLvl w:val="2"/>
        <w:rPr>
          <w:rFonts w:hint="eastAsia" w:ascii="仿宋" w:hAnsi="仿宋" w:eastAsia="仿宋" w:cs="仿宋"/>
          <w:b/>
          <w:bCs/>
          <w:color w:val="auto"/>
          <w:kern w:val="0"/>
          <w:sz w:val="24"/>
          <w:szCs w:val="24"/>
          <w:highlight w:val="none"/>
          <w:lang w:eastAsia="zh-CN"/>
        </w:rPr>
      </w:pPr>
      <w:bookmarkStart w:id="52" w:name="_Toc305935590"/>
      <w:bookmarkStart w:id="53" w:name="_Toc305855823"/>
      <w:bookmarkStart w:id="54" w:name="_Toc28490"/>
      <w:r>
        <w:rPr>
          <w:rFonts w:hint="eastAsia" w:ascii="仿宋" w:hAnsi="仿宋" w:eastAsia="仿宋" w:cs="仿宋"/>
          <w:b/>
          <w:bCs/>
          <w:color w:val="auto"/>
          <w:kern w:val="0"/>
          <w:sz w:val="24"/>
          <w:szCs w:val="24"/>
          <w:highlight w:val="none"/>
          <w:lang w:eastAsia="zh-CN"/>
        </w:rPr>
        <w:t>（三）出纳管理系统</w:t>
      </w:r>
      <w:bookmarkEnd w:id="52"/>
      <w:bookmarkEnd w:id="53"/>
      <w:bookmarkEnd w:id="54"/>
    </w:p>
    <w:p>
      <w:pPr>
        <w:widowControl/>
        <w:spacing w:line="54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出纳管理系统为单位出纳提供管理工具，管理单位资金、票据的收支业务，通过业务流程、权限、盘点作业、帐表等保证单位资金收支业务的准确执行，确保资金的安全。</w:t>
      </w:r>
    </w:p>
    <w:p>
      <w:pPr>
        <w:widowControl/>
        <w:spacing w:line="54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户只需按照实际的业务填写相关的收款、领用、付款单据，单据在过账时，系统会按照不同的业务类型自动生成相关的会计凭证传递到总账系统中，让出纳人员在不做任何操作的情况下完成凭证制作。采用数据库存储管理报表。所有表样存储在数据库中，支持多人并发操作。</w:t>
      </w:r>
    </w:p>
    <w:p>
      <w:pPr>
        <w:widowControl/>
        <w:spacing w:line="54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收付、领用单据可以完成出纳的日常工作。如：提现、存现、收款、付款、领用、核销、现金盘点补缺的工作；一张单据上可以进行多种现金、银行的交易。采用“多表页工作簿”形式，充分体现不同单位和日期的多个财务报表之间的相关性。</w:t>
      </w:r>
    </w:p>
    <w:p>
      <w:pPr>
        <w:widowControl/>
        <w:spacing w:line="54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提供部门、项目、往来单位等不同口径的现金收支统计表、银行收支统计表、现金收付款一览表、银行收付款一览表、明细账等多种报表，多角度、全方位地反映资金的来源与使用情况。</w:t>
      </w:r>
    </w:p>
    <w:p>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仿宋" w:hAnsi="仿宋" w:eastAsia="仿宋" w:cs="仿宋"/>
          <w:b/>
          <w:bCs/>
          <w:color w:val="auto"/>
          <w:sz w:val="24"/>
          <w:szCs w:val="24"/>
          <w:highlight w:val="none"/>
          <w:lang w:eastAsia="zh-CN"/>
        </w:rPr>
      </w:pPr>
      <w:bookmarkStart w:id="55" w:name="_Toc22072"/>
      <w:bookmarkStart w:id="56" w:name="_Toc76536129"/>
      <w:r>
        <w:rPr>
          <w:rFonts w:hint="eastAsia" w:ascii="仿宋" w:hAnsi="仿宋" w:eastAsia="仿宋" w:cs="仿宋"/>
          <w:b/>
          <w:bCs/>
          <w:color w:val="auto"/>
          <w:sz w:val="24"/>
          <w:szCs w:val="24"/>
          <w:highlight w:val="none"/>
          <w:lang w:eastAsia="zh-CN"/>
        </w:rPr>
        <w:t>（四）资产管理系统 </w:t>
      </w:r>
      <w:bookmarkEnd w:id="55"/>
    </w:p>
    <w:p>
      <w:pPr>
        <w:adjustRightInd w:val="0"/>
        <w:snapToGrid w:val="0"/>
        <w:spacing w:line="360" w:lineRule="auto"/>
        <w:ind w:firstLine="480" w:firstLineChars="200"/>
        <w:rPr>
          <w:rFonts w:hint="eastAsia" w:ascii="仿宋" w:hAnsi="仿宋" w:eastAsia="仿宋" w:cs="仿宋"/>
          <w:color w:val="auto"/>
          <w:sz w:val="24"/>
          <w:szCs w:val="24"/>
          <w:highlight w:val="none"/>
        </w:rPr>
      </w:pPr>
      <w:bookmarkStart w:id="57" w:name="_Toc305855827"/>
      <w:r>
        <w:rPr>
          <w:rFonts w:hint="eastAsia" w:ascii="仿宋" w:hAnsi="仿宋" w:eastAsia="仿宋" w:cs="仿宋"/>
          <w:color w:val="auto"/>
          <w:sz w:val="24"/>
          <w:szCs w:val="24"/>
          <w:highlight w:val="none"/>
        </w:rPr>
        <w:t>实现固定资产基本信息管理和包括购置、调拨、处置在内的固定资产资产全过程管理，通过报表的智能分析和科学统计，为领导的决策支持提供真实有效的数字依据。新《公立医院会计制度》出台对医院固定资产提出了新的管理要求，主要特点如下：</w:t>
      </w:r>
    </w:p>
    <w:p>
      <w:pPr>
        <w:numPr>
          <w:ilvl w:val="0"/>
          <w:numId w:val="0"/>
        </w:numPr>
        <w:tabs>
          <w:tab w:val="left" w:pos="851"/>
        </w:tabs>
        <w:spacing w:line="360" w:lineRule="auto"/>
        <w:ind w:left="425" w:leftChars="0" w:right="-57" w:rightChars="-2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多机构管理</w:t>
      </w:r>
    </w:p>
    <w:p>
      <w:pPr>
        <w:tabs>
          <w:tab w:val="left" w:pos="3969"/>
        </w:tabs>
        <w:spacing w:line="360" w:lineRule="auto"/>
        <w:ind w:right="-57" w:rightChars="-27"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医院固定资产分为医用设备和非医用资产两类，分别归属于不同的管理科室，但是资产管理办法一致。</w:t>
      </w:r>
    </w:p>
    <w:p>
      <w:pPr>
        <w:numPr>
          <w:ilvl w:val="0"/>
          <w:numId w:val="0"/>
        </w:numPr>
        <w:tabs>
          <w:tab w:val="left" w:pos="851"/>
        </w:tabs>
        <w:spacing w:line="360" w:lineRule="auto"/>
        <w:ind w:left="425" w:leftChars="0" w:right="-57" w:rightChars="-2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多科室分摊</w:t>
      </w:r>
    </w:p>
    <w:p>
      <w:pPr>
        <w:tabs>
          <w:tab w:val="left" w:pos="3969"/>
        </w:tabs>
        <w:spacing w:line="360" w:lineRule="auto"/>
        <w:ind w:right="-57" w:rightChars="-27"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医院的部分固定资产不是一个科室所有，而是几个科室共同使用，其成本费用应该由使用科室共同承担。</w:t>
      </w:r>
    </w:p>
    <w:p>
      <w:pPr>
        <w:numPr>
          <w:ilvl w:val="0"/>
          <w:numId w:val="0"/>
        </w:numPr>
        <w:tabs>
          <w:tab w:val="left" w:pos="851"/>
        </w:tabs>
        <w:spacing w:line="360" w:lineRule="auto"/>
        <w:ind w:left="425" w:leftChars="0" w:right="-1191" w:rightChars="-56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计提折旧</w:t>
      </w:r>
    </w:p>
    <w:p>
      <w:pPr>
        <w:tabs>
          <w:tab w:val="left" w:pos="3969"/>
        </w:tabs>
        <w:spacing w:line="360" w:lineRule="auto"/>
        <w:ind w:right="-1191" w:rightChars="-567"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医院的固定资产除了图书之外，都要按月进行计提折旧计算。</w:t>
      </w:r>
    </w:p>
    <w:bookmarkEnd w:id="56"/>
    <w:bookmarkEnd w:id="57"/>
    <w:p>
      <w:pPr>
        <w:widowControl/>
        <w:spacing w:line="540" w:lineRule="exact"/>
        <w:ind w:firstLine="472" w:firstLineChars="196"/>
        <w:jc w:val="left"/>
        <w:rPr>
          <w:rFonts w:hint="eastAsia" w:ascii="仿宋" w:hAnsi="仿宋" w:eastAsia="仿宋" w:cs="仿宋"/>
          <w:b/>
          <w:bCs/>
          <w:color w:val="auto"/>
          <w:kern w:val="0"/>
          <w:sz w:val="24"/>
          <w:szCs w:val="24"/>
          <w:highlight w:val="none"/>
          <w:lang w:eastAsia="zh-CN"/>
        </w:rPr>
      </w:pPr>
      <w:bookmarkStart w:id="58" w:name="_Toc14027"/>
      <w:r>
        <w:rPr>
          <w:rFonts w:hint="eastAsia" w:ascii="仿宋" w:hAnsi="仿宋" w:eastAsia="仿宋" w:cs="仿宋"/>
          <w:b/>
          <w:bCs/>
          <w:color w:val="auto"/>
          <w:kern w:val="0"/>
          <w:sz w:val="24"/>
          <w:szCs w:val="24"/>
          <w:highlight w:val="none"/>
          <w:lang w:eastAsia="zh-CN"/>
        </w:rPr>
        <w:t>（五）财务集中与分析系统</w:t>
      </w:r>
      <w:bookmarkEnd w:id="58"/>
    </w:p>
    <w:p>
      <w:pPr>
        <w:widowControl/>
        <w:spacing w:line="540" w:lineRule="exact"/>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针对账务处理、电子报表等核算处理系统中的现有财务核算信息最大限度地收集起来进行监督、分析和决策支持。支持实现对各单位财务数据进行自动汇总、综合查询、数据追踪、动态分析和监管等，对账务数据进行综合评价，按照不同的角度通过核算信息来评估资金的收支运用情况，可根据领导的要求和业务管理需要自定义各种查询统计报表，灵活设定查询条件，使单位领导和各级管理人员实时掌握各自分管的财务业务信息，从而提供对财务管理的政策、决策等的数据支持，达到实时监控下级单位财务信息的目的。</w:t>
      </w:r>
    </w:p>
    <w:p>
      <w:pPr>
        <w:widowControl/>
        <w:spacing w:line="540" w:lineRule="exact"/>
        <w:ind w:firstLine="470" w:firstLineChars="196"/>
        <w:jc w:val="left"/>
        <w:rPr>
          <w:rFonts w:hint="eastAsia" w:ascii="仿宋" w:hAnsi="仿宋" w:eastAsia="仿宋" w:cs="仿宋"/>
          <w:color w:val="auto"/>
          <w:sz w:val="24"/>
          <w:szCs w:val="24"/>
          <w:highlight w:val="none"/>
          <w:lang w:eastAsia="zh-CN"/>
        </w:rPr>
      </w:pPr>
      <w:r>
        <w:rPr>
          <w:rFonts w:hint="eastAsia" w:ascii="仿宋" w:hAnsi="仿宋" w:eastAsia="仿宋" w:cs="仿宋"/>
          <w:bCs w:val="0"/>
          <w:color w:val="auto"/>
          <w:kern w:val="0"/>
          <w:sz w:val="24"/>
          <w:szCs w:val="24"/>
          <w:highlight w:val="none"/>
          <w:lang w:val="en-US" w:eastAsia="zh-CN" w:bidi="ar-SA"/>
        </w:rPr>
        <w:t>█</w:t>
      </w:r>
      <w:r>
        <w:rPr>
          <w:rFonts w:hint="eastAsia" w:ascii="仿宋" w:hAnsi="仿宋" w:eastAsia="仿宋" w:cs="仿宋"/>
          <w:color w:val="auto"/>
          <w:sz w:val="24"/>
          <w:szCs w:val="24"/>
          <w:highlight w:val="none"/>
          <w:lang w:eastAsia="zh-CN"/>
        </w:rPr>
        <w:t>支持</w:t>
      </w:r>
      <w:r>
        <w:rPr>
          <w:rFonts w:hint="eastAsia" w:ascii="仿宋" w:hAnsi="仿宋" w:eastAsia="仿宋" w:cs="仿宋"/>
          <w:color w:val="auto"/>
          <w:sz w:val="24"/>
          <w:szCs w:val="24"/>
          <w:highlight w:val="none"/>
        </w:rPr>
        <w:t>一键查询所有</w:t>
      </w:r>
      <w:r>
        <w:rPr>
          <w:rFonts w:hint="eastAsia" w:ascii="仿宋" w:hAnsi="仿宋" w:eastAsia="仿宋" w:cs="仿宋"/>
          <w:color w:val="auto"/>
          <w:sz w:val="24"/>
          <w:szCs w:val="24"/>
          <w:highlight w:val="none"/>
          <w:lang w:eastAsia="zh-CN"/>
        </w:rPr>
        <w:t>医院</w:t>
      </w:r>
      <w:r>
        <w:rPr>
          <w:rFonts w:hint="eastAsia" w:ascii="仿宋" w:hAnsi="仿宋" w:eastAsia="仿宋" w:cs="仿宋"/>
          <w:color w:val="auto"/>
          <w:sz w:val="24"/>
          <w:szCs w:val="24"/>
          <w:highlight w:val="none"/>
        </w:rPr>
        <w:t>的年结情况</w:t>
      </w:r>
      <w:r>
        <w:rPr>
          <w:rFonts w:hint="eastAsia" w:ascii="仿宋" w:hAnsi="仿宋" w:eastAsia="仿宋" w:cs="仿宋"/>
          <w:snapToGrid/>
          <w:color w:val="auto"/>
          <w:kern w:val="2"/>
          <w:sz w:val="24"/>
          <w:szCs w:val="24"/>
          <w:highlight w:val="none"/>
          <w:lang w:val="en-US" w:eastAsia="zh-CN" w:bidi="ar-SA"/>
        </w:rPr>
        <w:t>（</w:t>
      </w:r>
      <w:r>
        <w:rPr>
          <w:rFonts w:hint="eastAsia" w:ascii="仿宋" w:hAnsi="仿宋" w:eastAsia="仿宋" w:cs="仿宋"/>
          <w:bCs w:val="0"/>
          <w:color w:val="auto"/>
          <w:kern w:val="0"/>
          <w:sz w:val="24"/>
          <w:szCs w:val="24"/>
          <w:highlight w:val="none"/>
          <w:lang w:val="en-US" w:eastAsia="zh-CN" w:bidi="ar-SA"/>
        </w:rPr>
        <w:t>需提供相关截图</w:t>
      </w:r>
      <w:r>
        <w:rPr>
          <w:rFonts w:hint="eastAsia" w:ascii="仿宋" w:hAnsi="仿宋" w:eastAsia="仿宋" w:cs="仿宋"/>
          <w:snapToGrid/>
          <w:color w:val="auto"/>
          <w:kern w:val="2"/>
          <w:sz w:val="24"/>
          <w:szCs w:val="24"/>
          <w:highlight w:val="none"/>
          <w:lang w:val="en-US" w:eastAsia="zh-CN" w:bidi="ar-SA"/>
        </w:rPr>
        <w:t>）。</w:t>
      </w:r>
    </w:p>
    <w:p>
      <w:pPr>
        <w:widowControl/>
        <w:spacing w:after="0" w:afterLines="-2147483648" w:line="540" w:lineRule="exact"/>
        <w:ind w:right="0" w:firstLine="470" w:firstLineChars="196"/>
        <w:jc w:val="left"/>
        <w:rPr>
          <w:rFonts w:hint="eastAsia" w:ascii="仿宋" w:hAnsi="仿宋" w:eastAsia="仿宋" w:cs="仿宋"/>
          <w:color w:val="auto"/>
          <w:sz w:val="24"/>
          <w:szCs w:val="24"/>
          <w:highlight w:val="none"/>
        </w:rPr>
      </w:pPr>
      <w:r>
        <w:rPr>
          <w:rFonts w:hint="eastAsia" w:ascii="仿宋" w:hAnsi="仿宋" w:eastAsia="仿宋" w:cs="仿宋"/>
          <w:bCs w:val="0"/>
          <w:color w:val="auto"/>
          <w:kern w:val="0"/>
          <w:sz w:val="24"/>
          <w:szCs w:val="24"/>
          <w:highlight w:val="none"/>
          <w:lang w:val="en-US" w:eastAsia="zh-CN" w:bidi="ar-SA"/>
        </w:rPr>
        <w:t>█</w:t>
      </w:r>
      <w:r>
        <w:rPr>
          <w:rFonts w:hint="eastAsia" w:ascii="仿宋" w:hAnsi="仿宋" w:eastAsia="仿宋" w:cs="仿宋"/>
          <w:color w:val="auto"/>
          <w:sz w:val="24"/>
          <w:szCs w:val="24"/>
          <w:highlight w:val="none"/>
        </w:rPr>
        <w:t>对于需要进行报表汇总的单位可以通过定义应收/应报信息、汇总关系，把所有下级的上报信息全部收集汇总，并进行查询。所有报表数据的查询可通过报表查询实现</w:t>
      </w:r>
      <w:r>
        <w:rPr>
          <w:rFonts w:hint="eastAsia" w:ascii="仿宋" w:hAnsi="仿宋" w:eastAsia="仿宋" w:cs="仿宋"/>
          <w:snapToGrid/>
          <w:color w:val="auto"/>
          <w:kern w:val="2"/>
          <w:sz w:val="24"/>
          <w:szCs w:val="24"/>
          <w:highlight w:val="none"/>
          <w:lang w:val="en-US" w:eastAsia="zh-CN" w:bidi="ar-SA"/>
        </w:rPr>
        <w:t>（</w:t>
      </w:r>
      <w:r>
        <w:rPr>
          <w:rFonts w:hint="eastAsia" w:ascii="仿宋" w:hAnsi="仿宋" w:eastAsia="仿宋" w:cs="仿宋"/>
          <w:bCs w:val="0"/>
          <w:color w:val="auto"/>
          <w:kern w:val="0"/>
          <w:sz w:val="24"/>
          <w:szCs w:val="24"/>
          <w:highlight w:val="none"/>
          <w:lang w:val="en-US" w:eastAsia="zh-CN" w:bidi="ar-SA"/>
        </w:rPr>
        <w:t>需提供相关截图</w:t>
      </w:r>
      <w:r>
        <w:rPr>
          <w:rFonts w:hint="eastAsia" w:ascii="仿宋" w:hAnsi="仿宋" w:eastAsia="仿宋" w:cs="仿宋"/>
          <w:snapToGrid/>
          <w:color w:val="auto"/>
          <w:kern w:val="2"/>
          <w:sz w:val="24"/>
          <w:szCs w:val="24"/>
          <w:highlight w:val="none"/>
          <w:lang w:val="en-US" w:eastAsia="zh-CN" w:bidi="ar-SA"/>
        </w:rPr>
        <w:t>）。</w:t>
      </w:r>
    </w:p>
    <w:p>
      <w:pPr>
        <w:widowControl/>
        <w:spacing w:line="540" w:lineRule="exact"/>
        <w:ind w:firstLine="472" w:firstLineChars="196"/>
        <w:jc w:val="left"/>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（六）智能过账平台</w:t>
      </w:r>
    </w:p>
    <w:p>
      <w:pPr>
        <w:widowControl/>
        <w:spacing w:line="540" w:lineRule="exact"/>
        <w:ind w:firstLine="470" w:firstLineChars="196"/>
        <w:jc w:val="left"/>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此模块为新增模块。智能过账平台提供智能化的过账管理功能，帮助医院实现高效的财务数据处理。平台能够自动识别并处理账务数据，自动完成过账操作，大大减少了人工干预，提高了财务处理的效率。</w:t>
      </w:r>
    </w:p>
    <w:p>
      <w:pPr>
        <w:widowControl/>
        <w:spacing w:line="540" w:lineRule="exact"/>
        <w:ind w:firstLine="470" w:firstLineChars="196"/>
        <w:jc w:val="left"/>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智能过账平台支持用户自定义功能，用户可以根据自己的需求，自由设置过账规则、报表模板等，以满足个性化的需求。此外，平台还支持与其他业务系统进行集成，实现数据共享和业务协同。用户可以根据自己的需求，灵活选择不同的模块和功能，实现内部的财务、业务一体化。同时，平台还支持定制化开发，满足医院个性化的需求。</w:t>
      </w:r>
    </w:p>
    <w:p>
      <w:pPr>
        <w:widowControl/>
        <w:spacing w:line="540" w:lineRule="exact"/>
        <w:ind w:firstLine="472" w:firstLineChars="196"/>
        <w:jc w:val="left"/>
        <w:rPr>
          <w:rFonts w:hint="eastAsia" w:ascii="仿宋" w:hAnsi="仿宋" w:eastAsia="仿宋" w:cs="仿宋"/>
          <w:b/>
          <w:bCs/>
          <w:color w:val="auto"/>
          <w:kern w:val="0"/>
          <w:sz w:val="24"/>
          <w:szCs w:val="24"/>
          <w:highlight w:val="none"/>
          <w:lang w:eastAsia="zh-CN"/>
        </w:rPr>
      </w:pPr>
    </w:p>
    <w:p>
      <w:pPr>
        <w:keepNext/>
        <w:keepLines/>
        <w:numPr>
          <w:ilvl w:val="1"/>
          <w:numId w:val="0"/>
        </w:numPr>
        <w:tabs>
          <w:tab w:val="left" w:pos="576"/>
        </w:tabs>
        <w:adjustRightInd w:val="0"/>
        <w:spacing w:after="156" w:afterLines="50" w:line="360" w:lineRule="auto"/>
        <w:ind w:left="576" w:hanging="576"/>
        <w:jc w:val="left"/>
        <w:textAlignment w:val="baseline"/>
        <w:outlineLvl w:val="1"/>
        <w:rPr>
          <w:rFonts w:hint="eastAsia" w:ascii="仿宋" w:hAnsi="仿宋" w:eastAsia="仿宋" w:cs="仿宋"/>
          <w:b/>
          <w:bCs/>
          <w:color w:val="auto"/>
          <w:kern w:val="0"/>
          <w:sz w:val="28"/>
          <w:szCs w:val="28"/>
          <w:highlight w:val="none"/>
          <w:lang w:eastAsia="zh-CN"/>
        </w:rPr>
      </w:pPr>
      <w:bookmarkStart w:id="59" w:name="_Toc25707"/>
      <w:r>
        <w:rPr>
          <w:rFonts w:hint="eastAsia" w:ascii="仿宋" w:hAnsi="仿宋" w:eastAsia="仿宋" w:cs="仿宋"/>
          <w:b/>
          <w:bCs/>
          <w:color w:val="auto"/>
          <w:kern w:val="0"/>
          <w:sz w:val="28"/>
          <w:szCs w:val="28"/>
          <w:highlight w:val="none"/>
          <w:lang w:eastAsia="zh-CN"/>
        </w:rPr>
        <w:t>二、</w:t>
      </w:r>
      <w:r>
        <w:rPr>
          <w:rFonts w:hint="eastAsia" w:ascii="仿宋" w:hAnsi="仿宋" w:eastAsia="仿宋" w:cs="仿宋"/>
          <w:b/>
          <w:bCs/>
          <w:color w:val="auto"/>
          <w:kern w:val="0"/>
          <w:sz w:val="28"/>
          <w:szCs w:val="28"/>
          <w:highlight w:val="none"/>
          <w:lang w:val="en-US" w:eastAsia="zh-CN"/>
        </w:rPr>
        <w:t>数据迁移和升级改造</w:t>
      </w:r>
      <w:bookmarkEnd w:id="59"/>
    </w:p>
    <w:p>
      <w:pPr>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5家医院、22家卫生院2024年（含）所有历史数据迁移到新版本，单独放在一个服务器中备查，方便下属医疗机构在老的服务器上查历</w:t>
      </w:r>
      <w:r>
        <w:rPr>
          <w:rFonts w:hint="eastAsia" w:ascii="仿宋" w:hAnsi="仿宋" w:eastAsia="仿宋" w:cs="仿宋"/>
          <w:color w:val="auto"/>
          <w:sz w:val="24"/>
          <w:szCs w:val="24"/>
          <w:highlight w:val="none"/>
          <w:lang w:val="en-US" w:eastAsia="zh-CN"/>
        </w:rPr>
        <w:t>史数据。2025年新建账套数据，2025年的数据就是从零开始，重新初始化指导和培训。</w:t>
      </w:r>
    </w:p>
    <w:p>
      <w:pPr>
        <w:keepNext/>
        <w:keepLines/>
        <w:numPr>
          <w:ilvl w:val="1"/>
          <w:numId w:val="0"/>
        </w:numPr>
        <w:tabs>
          <w:tab w:val="left" w:pos="576"/>
        </w:tabs>
        <w:adjustRightInd w:val="0"/>
        <w:spacing w:after="156" w:afterLines="50" w:line="360" w:lineRule="auto"/>
        <w:ind w:left="576" w:hanging="576"/>
        <w:jc w:val="left"/>
        <w:textAlignment w:val="baseline"/>
        <w:outlineLvl w:val="1"/>
        <w:rPr>
          <w:rFonts w:hint="eastAsia" w:ascii="仿宋" w:hAnsi="仿宋" w:eastAsia="仿宋" w:cs="仿宋"/>
          <w:b/>
          <w:bCs/>
          <w:color w:val="auto"/>
          <w:kern w:val="0"/>
          <w:sz w:val="28"/>
          <w:szCs w:val="28"/>
          <w:highlight w:val="none"/>
          <w:lang w:val="en-US" w:eastAsia="zh-CN"/>
        </w:rPr>
      </w:pPr>
      <w:bookmarkStart w:id="60" w:name="_Toc32560"/>
      <w:r>
        <w:rPr>
          <w:rFonts w:hint="eastAsia" w:ascii="仿宋" w:hAnsi="仿宋" w:eastAsia="仿宋" w:cs="仿宋"/>
          <w:b/>
          <w:bCs/>
          <w:color w:val="auto"/>
          <w:kern w:val="0"/>
          <w:sz w:val="28"/>
          <w:szCs w:val="28"/>
          <w:highlight w:val="none"/>
          <w:lang w:eastAsia="zh-CN"/>
        </w:rPr>
        <w:t>三、</w:t>
      </w:r>
      <w:r>
        <w:rPr>
          <w:rFonts w:hint="eastAsia" w:ascii="仿宋" w:hAnsi="仿宋" w:eastAsia="仿宋" w:cs="仿宋"/>
          <w:b/>
          <w:bCs/>
          <w:color w:val="auto"/>
          <w:kern w:val="0"/>
          <w:sz w:val="28"/>
          <w:szCs w:val="28"/>
          <w:highlight w:val="none"/>
          <w:lang w:val="en-US" w:eastAsia="zh-CN"/>
        </w:rPr>
        <w:t>汇总报表优化</w:t>
      </w:r>
      <w:bookmarkEnd w:id="60"/>
    </w:p>
    <w:p>
      <w:pPr>
        <w:spacing w:after="156" w:afterLines="5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汇总报表方面，调整科目和辅助核算，设置统一的报表模板，对医共体和局层面的报表重新设置调整，一键生成相应的报表。</w:t>
      </w:r>
    </w:p>
    <w:p>
      <w:pPr>
        <w:keepNext/>
        <w:keepLines/>
        <w:numPr>
          <w:ilvl w:val="1"/>
          <w:numId w:val="0"/>
        </w:numPr>
        <w:tabs>
          <w:tab w:val="left" w:pos="576"/>
        </w:tabs>
        <w:adjustRightInd w:val="0"/>
        <w:spacing w:after="156" w:afterLines="50" w:line="360" w:lineRule="auto"/>
        <w:ind w:left="576" w:hanging="576"/>
        <w:jc w:val="left"/>
        <w:textAlignment w:val="baseline"/>
        <w:outlineLvl w:val="1"/>
        <w:rPr>
          <w:rFonts w:hint="eastAsia" w:ascii="仿宋" w:hAnsi="仿宋" w:eastAsia="仿宋" w:cs="仿宋"/>
          <w:b/>
          <w:bCs/>
          <w:color w:val="auto"/>
          <w:kern w:val="0"/>
          <w:sz w:val="28"/>
          <w:szCs w:val="28"/>
          <w:highlight w:val="none"/>
          <w:lang w:val="en-US" w:eastAsia="zh-CN"/>
        </w:rPr>
      </w:pPr>
      <w:bookmarkStart w:id="61" w:name="_Toc20192"/>
      <w:r>
        <w:rPr>
          <w:rFonts w:hint="eastAsia" w:ascii="仿宋" w:hAnsi="仿宋" w:eastAsia="仿宋" w:cs="仿宋"/>
          <w:b/>
          <w:bCs/>
          <w:color w:val="auto"/>
          <w:kern w:val="0"/>
          <w:sz w:val="28"/>
          <w:szCs w:val="28"/>
          <w:highlight w:val="none"/>
          <w:lang w:eastAsia="zh-CN"/>
        </w:rPr>
        <w:t>四、</w:t>
      </w:r>
      <w:r>
        <w:rPr>
          <w:rFonts w:hint="eastAsia" w:ascii="仿宋" w:hAnsi="仿宋" w:eastAsia="仿宋" w:cs="仿宋"/>
          <w:b/>
          <w:bCs/>
          <w:color w:val="auto"/>
          <w:kern w:val="0"/>
          <w:sz w:val="28"/>
          <w:szCs w:val="28"/>
          <w:highlight w:val="none"/>
          <w:lang w:val="en-US" w:eastAsia="zh-CN"/>
        </w:rPr>
        <w:t>固定资产和工资生成凭证</w:t>
      </w:r>
      <w:bookmarkEnd w:id="61"/>
    </w:p>
    <w:p>
      <w:pPr>
        <w:spacing w:after="156" w:afterLines="5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固定资产累计折旧、无形资产摊销、工资等可根据支出经费来源比例、科室等基础信息，自动生成符合要求的凭证。</w:t>
      </w:r>
    </w:p>
    <w:p>
      <w:pPr>
        <w:keepNext/>
        <w:keepLines/>
        <w:numPr>
          <w:ilvl w:val="1"/>
          <w:numId w:val="0"/>
        </w:numPr>
        <w:tabs>
          <w:tab w:val="left" w:pos="576"/>
        </w:tabs>
        <w:adjustRightInd w:val="0"/>
        <w:spacing w:after="156" w:afterLines="50" w:line="360" w:lineRule="auto"/>
        <w:ind w:left="576" w:hanging="576"/>
        <w:jc w:val="left"/>
        <w:textAlignment w:val="baseline"/>
        <w:outlineLvl w:val="1"/>
        <w:rPr>
          <w:rFonts w:hint="eastAsia" w:ascii="仿宋" w:hAnsi="仿宋" w:eastAsia="仿宋" w:cs="仿宋"/>
          <w:b/>
          <w:bCs/>
          <w:color w:val="auto"/>
          <w:kern w:val="0"/>
          <w:sz w:val="28"/>
          <w:szCs w:val="28"/>
          <w:highlight w:val="none"/>
          <w:lang w:val="en-US" w:eastAsia="zh-CN"/>
        </w:rPr>
      </w:pPr>
      <w:bookmarkStart w:id="62" w:name="_Toc7944"/>
      <w:r>
        <w:rPr>
          <w:rFonts w:hint="eastAsia" w:ascii="仿宋" w:hAnsi="仿宋" w:eastAsia="仿宋" w:cs="仿宋"/>
          <w:b/>
          <w:bCs/>
          <w:color w:val="auto"/>
          <w:kern w:val="0"/>
          <w:sz w:val="28"/>
          <w:szCs w:val="28"/>
          <w:highlight w:val="none"/>
          <w:lang w:eastAsia="zh-CN"/>
        </w:rPr>
        <w:t>五、</w:t>
      </w:r>
      <w:r>
        <w:rPr>
          <w:rFonts w:hint="eastAsia" w:ascii="仿宋" w:hAnsi="仿宋" w:eastAsia="仿宋" w:cs="仿宋"/>
          <w:b/>
          <w:bCs/>
          <w:color w:val="auto"/>
          <w:kern w:val="0"/>
          <w:sz w:val="28"/>
          <w:szCs w:val="28"/>
          <w:highlight w:val="none"/>
          <w:lang w:val="en-US" w:eastAsia="zh-CN"/>
        </w:rPr>
        <w:t>两家区级医院NC财务系统数据导入局级财务系统</w:t>
      </w:r>
      <w:bookmarkEnd w:id="62"/>
    </w:p>
    <w:p>
      <w:pPr>
        <w:spacing w:after="156" w:afterLines="5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两家NC财务软件服务公司提供基础档案、科目、凭证的中间表或视图，通过开发从中间表或视图读取相关数据写入到局级财务系统中相应医院的子账套。</w:t>
      </w:r>
    </w:p>
    <w:p>
      <w:pPr>
        <w:spacing w:after="156" w:afterLines="50" w:line="360" w:lineRule="auto"/>
        <w:ind w:firstLine="0" w:firstLineChars="0"/>
        <w:rPr>
          <w:rFonts w:hint="eastAsia" w:ascii="仿宋" w:hAnsi="仿宋" w:eastAsia="仿宋" w:cs="仿宋"/>
          <w:color w:val="auto"/>
          <w:sz w:val="24"/>
          <w:szCs w:val="24"/>
          <w:highlight w:val="none"/>
          <w:lang w:val="en-US" w:eastAsia="zh-CN"/>
        </w:rPr>
      </w:pPr>
    </w:p>
    <w:p>
      <w:pPr>
        <w:pStyle w:val="3"/>
        <w:bidi w:val="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3、项目实施与验收</w:t>
      </w:r>
    </w:p>
    <w:p>
      <w:pPr>
        <w:spacing w:line="360" w:lineRule="auto"/>
        <w:ind w:firstLine="482" w:firstLineChars="200"/>
        <w:jc w:val="left"/>
        <w:outlineLvl w:val="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（一）项目工期</w:t>
      </w:r>
    </w:p>
    <w:p>
      <w:pPr>
        <w:spacing w:after="156" w:afterLines="5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本项目建设总周期为3个月，具体进度要求如下：</w:t>
      </w:r>
    </w:p>
    <w:p>
      <w:pPr>
        <w:spacing w:line="360" w:lineRule="auto"/>
        <w:ind w:firstLine="480" w:firstLineChars="200"/>
        <w:jc w:val="left"/>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（1）中标人应按照招标方的要求，统一规划、分步实施。</w:t>
      </w:r>
    </w:p>
    <w:p>
      <w:pPr>
        <w:spacing w:line="360" w:lineRule="auto"/>
        <w:ind w:firstLine="480" w:firstLineChars="200"/>
        <w:jc w:val="left"/>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（2）合同签署后，开展调研工作并制定详细的建设实施方案，方案需经</w:t>
      </w:r>
      <w:r>
        <w:rPr>
          <w:rFonts w:hint="eastAsia" w:ascii="仿宋" w:hAnsi="仿宋" w:eastAsia="仿宋" w:cs="仿宋"/>
          <w:bCs/>
          <w:color w:val="auto"/>
          <w:sz w:val="24"/>
          <w:szCs w:val="24"/>
          <w:highlight w:val="none"/>
          <w:lang w:val="en-US" w:eastAsia="zh-CN"/>
        </w:rPr>
        <w:t>采购人</w:t>
      </w:r>
      <w:r>
        <w:rPr>
          <w:rFonts w:hint="eastAsia" w:ascii="仿宋" w:hAnsi="仿宋" w:eastAsia="仿宋" w:cs="仿宋"/>
          <w:bCs/>
          <w:color w:val="auto"/>
          <w:sz w:val="24"/>
          <w:szCs w:val="24"/>
          <w:highlight w:val="none"/>
        </w:rPr>
        <w:t>确认。开发环境和场地由中标人自己提供。</w:t>
      </w:r>
    </w:p>
    <w:p>
      <w:pPr>
        <w:spacing w:line="360" w:lineRule="auto"/>
        <w:ind w:firstLine="480" w:firstLineChars="200"/>
        <w:jc w:val="left"/>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（3）在合同签署后，项目启动后一个月内完成需求调研工作。</w:t>
      </w:r>
    </w:p>
    <w:p>
      <w:pPr>
        <w:spacing w:line="360" w:lineRule="auto"/>
        <w:ind w:firstLine="482" w:firstLineChars="200"/>
        <w:jc w:val="left"/>
        <w:outlineLvl w:val="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（二）项目团队及人员资质要求</w:t>
      </w:r>
    </w:p>
    <w:p>
      <w:pPr>
        <w:spacing w:after="156" w:afterLines="5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项目需要一支为项目建设提供完整的智慧财务管理解决方案，具有智慧财务项目经验丰富、配合默契且稳定的专业化团队。</w:t>
      </w:r>
    </w:p>
    <w:p>
      <w:pPr>
        <w:spacing w:line="360" w:lineRule="auto"/>
        <w:ind w:firstLine="480" w:firstLineChars="200"/>
        <w:jc w:val="left"/>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（1）项目实施方应组建一支经验丰富、配合默契且稳定的专业化团队，以保证项目按时、保质完成。</w:t>
      </w:r>
    </w:p>
    <w:p>
      <w:pPr>
        <w:spacing w:line="360" w:lineRule="auto"/>
        <w:ind w:firstLine="480" w:firstLineChars="200"/>
        <w:jc w:val="left"/>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（2）项目负责人和核心人员具有财务专业基础，全程负责本项目的实施，在合同有效期范围内，未经项目</w:t>
      </w:r>
      <w:r>
        <w:rPr>
          <w:rFonts w:hint="eastAsia" w:ascii="仿宋" w:hAnsi="仿宋" w:eastAsia="仿宋" w:cs="仿宋"/>
          <w:bCs/>
          <w:color w:val="auto"/>
          <w:sz w:val="24"/>
          <w:szCs w:val="24"/>
          <w:highlight w:val="none"/>
          <w:lang w:val="en-US" w:eastAsia="zh-CN"/>
        </w:rPr>
        <w:t>采购单位</w:t>
      </w:r>
      <w:r>
        <w:rPr>
          <w:rFonts w:hint="eastAsia" w:ascii="仿宋" w:hAnsi="仿宋" w:eastAsia="仿宋" w:cs="仿宋"/>
          <w:bCs/>
          <w:color w:val="auto"/>
          <w:sz w:val="24"/>
          <w:szCs w:val="24"/>
          <w:highlight w:val="none"/>
        </w:rPr>
        <w:t>许可不得更换。项目建设过程中，应更换项目</w:t>
      </w:r>
      <w:r>
        <w:rPr>
          <w:rFonts w:hint="eastAsia" w:ascii="仿宋" w:hAnsi="仿宋" w:eastAsia="仿宋" w:cs="仿宋"/>
          <w:bCs/>
          <w:color w:val="auto"/>
          <w:sz w:val="24"/>
          <w:szCs w:val="24"/>
          <w:highlight w:val="none"/>
          <w:lang w:val="en-US" w:eastAsia="zh-CN"/>
        </w:rPr>
        <w:t>采购单位</w:t>
      </w:r>
      <w:r>
        <w:rPr>
          <w:rFonts w:hint="eastAsia" w:ascii="仿宋" w:hAnsi="仿宋" w:eastAsia="仿宋" w:cs="仿宋"/>
          <w:bCs/>
          <w:color w:val="auto"/>
          <w:sz w:val="24"/>
          <w:szCs w:val="24"/>
          <w:highlight w:val="none"/>
        </w:rPr>
        <w:t>认为不合适的人员。</w:t>
      </w:r>
    </w:p>
    <w:p>
      <w:pPr>
        <w:spacing w:line="360" w:lineRule="auto"/>
        <w:ind w:firstLine="480" w:firstLineChars="200"/>
        <w:jc w:val="left"/>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）项目参与技术人员须具有相关项目软件开发及实施经验，熟悉卫生计生统计基础知识，必须具有责任感和服务意识。</w:t>
      </w:r>
    </w:p>
    <w:p>
      <w:pPr>
        <w:spacing w:line="360" w:lineRule="auto"/>
        <w:ind w:firstLine="480" w:firstLineChars="200"/>
        <w:jc w:val="left"/>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）需要根据项目情况在不同阶段配置足够的人员组织实施项目，确保按项目进度完成建设工作。</w:t>
      </w:r>
    </w:p>
    <w:p>
      <w:pPr>
        <w:pStyle w:val="3"/>
        <w:ind w:left="434" w:leftChars="202" w:hanging="10" w:hangingChars="4"/>
        <w:rPr>
          <w:rFonts w:hint="eastAsia" w:ascii="仿宋" w:eastAsia="仿宋_GB2312" w:cs="仿宋"/>
          <w:color w:val="auto"/>
          <w:sz w:val="24"/>
          <w:szCs w:val="24"/>
          <w:highlight w:val="none"/>
          <w:lang w:val="en-US" w:eastAsia="zh-CN"/>
        </w:rPr>
      </w:pPr>
      <w:r>
        <w:rPr>
          <w:rFonts w:hint="eastAsia" w:ascii="仿宋" w:eastAsia="仿宋" w:cs="仿宋"/>
          <w:color w:val="auto"/>
          <w:sz w:val="24"/>
          <w:szCs w:val="24"/>
          <w:highlight w:val="none"/>
          <w:lang w:eastAsia="zh-CN"/>
        </w:rPr>
        <w:t>（三）质保期：</w:t>
      </w:r>
      <w:r>
        <w:rPr>
          <w:rFonts w:hint="eastAsia" w:ascii="宋体" w:hAnsi="宋体" w:cs="Arial"/>
          <w:bCs/>
          <w:color w:val="auto"/>
          <w:sz w:val="24"/>
          <w:highlight w:val="none"/>
        </w:rPr>
        <w:t>在项目验收后，提供</w:t>
      </w:r>
      <w:r>
        <w:rPr>
          <w:rFonts w:ascii="宋体" w:hAnsi="宋体" w:cs="Arial"/>
          <w:bCs/>
          <w:color w:val="auto"/>
          <w:sz w:val="24"/>
          <w:highlight w:val="none"/>
        </w:rPr>
        <w:t>1</w:t>
      </w:r>
      <w:r>
        <w:rPr>
          <w:rFonts w:hint="eastAsia" w:ascii="宋体" w:hAnsi="宋体" w:cs="Arial"/>
          <w:bCs/>
          <w:color w:val="auto"/>
          <w:sz w:val="24"/>
          <w:highlight w:val="none"/>
        </w:rPr>
        <w:t>年免费运维服务</w:t>
      </w:r>
      <w:r>
        <w:rPr>
          <w:rFonts w:hint="eastAsia" w:ascii="仿宋" w:eastAsia="仿宋" w:cs="仿宋"/>
          <w:color w:val="auto"/>
          <w:sz w:val="24"/>
          <w:szCs w:val="24"/>
          <w:highlight w:val="none"/>
          <w:lang w:val="en-US" w:eastAsia="zh-CN"/>
        </w:rPr>
        <w:t>。</w:t>
      </w:r>
    </w:p>
    <w:p>
      <w:pPr>
        <w:pStyle w:val="3"/>
        <w:ind w:left="434" w:leftChars="202" w:hanging="10" w:hangingChars="4"/>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eastAsia="zh-CN"/>
        </w:rPr>
        <w:t>（四）付款方式：</w:t>
      </w:r>
      <w:r>
        <w:rPr>
          <w:rFonts w:hint="eastAsia" w:ascii="仿宋" w:eastAsia="仿宋" w:cs="仿宋"/>
          <w:color w:val="auto"/>
          <w:sz w:val="24"/>
          <w:szCs w:val="24"/>
          <w:highlight w:val="none"/>
          <w:lang w:val="en-US" w:eastAsia="zh-CN"/>
        </w:rPr>
        <w:t>签订合同后30个工作日内支付合同总额的30%作为预付</w:t>
      </w:r>
    </w:p>
    <w:p>
      <w:pPr>
        <w:pStyle w:val="3"/>
        <w:rPr>
          <w:rFonts w:hint="eastAsia" w:asci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款，通过初验后，30个工作日内支付合同总额的30%，通过终验后，30个工作</w:t>
      </w:r>
    </w:p>
    <w:p>
      <w:pPr>
        <w:pStyle w:val="3"/>
        <w:ind w:left="0" w:leftChars="0" w:firstLine="0" w:firstLineChars="0"/>
        <w:rPr>
          <w:rFonts w:hint="default" w:ascii="仿宋" w:hAnsi="仿宋" w:eastAsia="仿宋" w:cs="仿宋"/>
          <w:color w:val="auto"/>
          <w:sz w:val="24"/>
          <w:szCs w:val="24"/>
          <w:highlight w:val="none"/>
          <w:lang w:val="en-US" w:eastAsia="zh-CN"/>
        </w:rPr>
      </w:pPr>
      <w:r>
        <w:rPr>
          <w:rFonts w:hint="eastAsia" w:ascii="仿宋" w:eastAsia="仿宋" w:cs="仿宋"/>
          <w:color w:val="auto"/>
          <w:sz w:val="24"/>
          <w:szCs w:val="24"/>
          <w:highlight w:val="none"/>
          <w:lang w:val="en-US" w:eastAsia="zh-CN"/>
        </w:rPr>
        <w:t>日内支付合同总额的40%。</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注：1、招标文件中打▲内容为实质性要求，不允许有负偏离，否则将以涉及无效响应条款作无效响应。</w:t>
      </w:r>
    </w:p>
    <w:p>
      <w:pPr>
        <w:numPr>
          <w:ilvl w:val="0"/>
          <w:numId w:val="2"/>
        </w:num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中标供应商所提供的货物、服务须与响应承诺一致，不得以次充好、偷工减料，若在项目验收中发现有上述情况，将向有关部门举报，根据相关规定进行处理。</w:t>
      </w:r>
    </w:p>
    <w:p>
      <w:pPr>
        <w:pStyle w:val="23"/>
        <w:numPr>
          <w:ilvl w:val="0"/>
          <w:numId w:val="0"/>
        </w:numPr>
        <w:rPr>
          <w:color w:val="auto"/>
          <w:highlight w:val="none"/>
        </w:rPr>
      </w:pPr>
    </w:p>
    <w:p>
      <w:pPr>
        <w:pStyle w:val="23"/>
        <w:numPr>
          <w:ilvl w:val="0"/>
          <w:numId w:val="0"/>
        </w:numPr>
        <w:rPr>
          <w:color w:val="auto"/>
          <w:highlight w:val="none"/>
        </w:rPr>
      </w:pPr>
    </w:p>
    <w:p>
      <w:pPr>
        <w:pStyle w:val="23"/>
        <w:numPr>
          <w:ilvl w:val="0"/>
          <w:numId w:val="0"/>
        </w:numPr>
        <w:rPr>
          <w:color w:val="auto"/>
          <w:highlight w:val="none"/>
        </w:rPr>
      </w:pPr>
    </w:p>
    <w:p>
      <w:pPr>
        <w:pStyle w:val="23"/>
        <w:numPr>
          <w:ilvl w:val="0"/>
          <w:numId w:val="0"/>
        </w:numPr>
        <w:rPr>
          <w:color w:val="auto"/>
          <w:highlight w:val="none"/>
        </w:rPr>
      </w:pPr>
    </w:p>
    <w:p>
      <w:pPr>
        <w:pStyle w:val="23"/>
        <w:numPr>
          <w:ilvl w:val="0"/>
          <w:numId w:val="0"/>
        </w:numPr>
        <w:rPr>
          <w:color w:val="auto"/>
          <w:highlight w:val="none"/>
        </w:rPr>
      </w:pPr>
    </w:p>
    <w:p>
      <w:pPr>
        <w:pStyle w:val="23"/>
        <w:numPr>
          <w:ilvl w:val="0"/>
          <w:numId w:val="0"/>
        </w:numPr>
        <w:rPr>
          <w:color w:val="auto"/>
          <w:highlight w:val="none"/>
        </w:rPr>
      </w:pPr>
    </w:p>
    <w:p>
      <w:pPr>
        <w:pStyle w:val="24"/>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63" w:name="_Toc184312127"/>
      <w:bookmarkEnd w:id="63"/>
      <w:bookmarkStart w:id="64" w:name="_Toc184310334"/>
      <w:bookmarkEnd w:id="64"/>
      <w:bookmarkStart w:id="65" w:name="_Toc184308078"/>
      <w:bookmarkEnd w:id="65"/>
      <w:bookmarkStart w:id="66" w:name="_Toc184310338"/>
      <w:bookmarkEnd w:id="66"/>
      <w:bookmarkStart w:id="67" w:name="_Toc184314436"/>
      <w:bookmarkEnd w:id="67"/>
      <w:bookmarkStart w:id="68" w:name="_Toc184308063"/>
      <w:bookmarkEnd w:id="68"/>
      <w:bookmarkStart w:id="69" w:name="_Toc184313246"/>
      <w:bookmarkEnd w:id="69"/>
      <w:bookmarkStart w:id="70" w:name="_Toc184310286"/>
      <w:bookmarkEnd w:id="70"/>
      <w:bookmarkStart w:id="71" w:name="_Toc184312118"/>
      <w:bookmarkEnd w:id="71"/>
      <w:bookmarkStart w:id="72" w:name="_Toc184310299"/>
      <w:bookmarkEnd w:id="72"/>
      <w:bookmarkStart w:id="73" w:name="_Toc184308080"/>
      <w:bookmarkEnd w:id="73"/>
      <w:bookmarkStart w:id="74" w:name="_Toc184312073"/>
      <w:bookmarkEnd w:id="74"/>
      <w:bookmarkStart w:id="75" w:name="_Toc184313295"/>
      <w:bookmarkEnd w:id="75"/>
      <w:bookmarkStart w:id="76" w:name="_Toc184314440"/>
      <w:bookmarkEnd w:id="76"/>
      <w:bookmarkStart w:id="77" w:name="_Toc184313302"/>
      <w:bookmarkEnd w:id="77"/>
      <w:bookmarkStart w:id="78" w:name="_Toc184312119"/>
      <w:bookmarkEnd w:id="78"/>
      <w:bookmarkStart w:id="79" w:name="_Toc184314455"/>
      <w:bookmarkEnd w:id="79"/>
      <w:bookmarkStart w:id="80" w:name="_Toc184312071"/>
      <w:bookmarkEnd w:id="80"/>
      <w:bookmarkStart w:id="81" w:name="_Toc184310292"/>
      <w:bookmarkEnd w:id="81"/>
      <w:bookmarkStart w:id="82" w:name="_Toc184310277"/>
      <w:bookmarkEnd w:id="82"/>
      <w:bookmarkStart w:id="83" w:name="_Toc184310293"/>
      <w:bookmarkEnd w:id="83"/>
      <w:bookmarkStart w:id="84" w:name="_Toc184314437"/>
      <w:bookmarkEnd w:id="84"/>
      <w:bookmarkStart w:id="85" w:name="_Toc184310341"/>
      <w:bookmarkEnd w:id="85"/>
      <w:bookmarkStart w:id="86" w:name="_Toc184308100"/>
      <w:bookmarkEnd w:id="86"/>
      <w:bookmarkStart w:id="87" w:name="_Toc184314432"/>
      <w:bookmarkEnd w:id="87"/>
      <w:bookmarkStart w:id="88" w:name="_Toc184308101"/>
      <w:bookmarkEnd w:id="88"/>
      <w:bookmarkStart w:id="89" w:name="_Toc184310281"/>
      <w:bookmarkEnd w:id="89"/>
      <w:bookmarkStart w:id="90" w:name="_Toc184314413"/>
      <w:bookmarkEnd w:id="90"/>
      <w:bookmarkStart w:id="91" w:name="_Toc184310309"/>
      <w:bookmarkEnd w:id="91"/>
      <w:bookmarkStart w:id="92" w:name="_Toc184313280"/>
      <w:bookmarkEnd w:id="92"/>
      <w:bookmarkStart w:id="93" w:name="_Toc184314417"/>
      <w:bookmarkEnd w:id="93"/>
      <w:bookmarkStart w:id="94" w:name="_Toc184310327"/>
      <w:bookmarkEnd w:id="94"/>
      <w:bookmarkStart w:id="95" w:name="_Toc184312102"/>
      <w:bookmarkEnd w:id="95"/>
      <w:bookmarkStart w:id="96" w:name="_Toc184308107"/>
      <w:bookmarkEnd w:id="96"/>
      <w:bookmarkStart w:id="97" w:name="_Toc184314476"/>
      <w:bookmarkEnd w:id="97"/>
      <w:bookmarkStart w:id="98" w:name="_Toc184312097"/>
      <w:bookmarkEnd w:id="98"/>
      <w:bookmarkStart w:id="99" w:name="_Toc184312120"/>
      <w:bookmarkEnd w:id="99"/>
      <w:bookmarkStart w:id="100" w:name="_Toc184313270"/>
      <w:bookmarkEnd w:id="100"/>
      <w:bookmarkStart w:id="101" w:name="_Toc184308053"/>
      <w:bookmarkEnd w:id="101"/>
      <w:bookmarkStart w:id="102" w:name="_Toc184310280"/>
      <w:bookmarkEnd w:id="102"/>
      <w:bookmarkStart w:id="103" w:name="_Toc184313274"/>
      <w:bookmarkEnd w:id="103"/>
      <w:bookmarkStart w:id="104" w:name="_Toc184308094"/>
      <w:bookmarkEnd w:id="104"/>
      <w:bookmarkStart w:id="105" w:name="_Toc184308050"/>
      <w:bookmarkEnd w:id="105"/>
      <w:bookmarkStart w:id="106" w:name="_Toc184308046"/>
      <w:bookmarkEnd w:id="106"/>
      <w:bookmarkStart w:id="107" w:name="_Toc184314474"/>
      <w:bookmarkEnd w:id="107"/>
      <w:bookmarkStart w:id="108" w:name="_Toc184312106"/>
      <w:bookmarkEnd w:id="108"/>
      <w:bookmarkStart w:id="109" w:name="_Toc184312101"/>
      <w:bookmarkEnd w:id="109"/>
      <w:bookmarkStart w:id="110" w:name="_Toc184312099"/>
      <w:bookmarkEnd w:id="110"/>
      <w:bookmarkStart w:id="111" w:name="_Toc184312126"/>
      <w:bookmarkEnd w:id="111"/>
      <w:bookmarkStart w:id="112" w:name="_Toc184314479"/>
      <w:bookmarkEnd w:id="112"/>
      <w:bookmarkStart w:id="113" w:name="_Toc184310321"/>
      <w:bookmarkEnd w:id="113"/>
      <w:bookmarkStart w:id="114" w:name="_Toc184314439"/>
      <w:bookmarkEnd w:id="114"/>
      <w:bookmarkStart w:id="115" w:name="_Toc184313303"/>
      <w:bookmarkEnd w:id="115"/>
      <w:bookmarkStart w:id="116" w:name="_Toc184308064"/>
      <w:bookmarkEnd w:id="116"/>
      <w:bookmarkStart w:id="117" w:name="_Toc184312108"/>
      <w:bookmarkEnd w:id="117"/>
      <w:bookmarkStart w:id="118" w:name="_Toc184312067"/>
      <w:bookmarkEnd w:id="118"/>
      <w:bookmarkStart w:id="119" w:name="_Toc184308102"/>
      <w:bookmarkEnd w:id="119"/>
      <w:bookmarkStart w:id="120" w:name="_Toc184308041"/>
      <w:bookmarkEnd w:id="120"/>
      <w:bookmarkStart w:id="121" w:name="_Toc184310326"/>
      <w:bookmarkEnd w:id="121"/>
      <w:bookmarkStart w:id="122" w:name="_Toc184308040"/>
      <w:bookmarkEnd w:id="122"/>
      <w:bookmarkStart w:id="123" w:name="_Toc184308075"/>
      <w:bookmarkEnd w:id="123"/>
      <w:bookmarkStart w:id="124" w:name="_Toc184314459"/>
      <w:bookmarkEnd w:id="124"/>
      <w:bookmarkStart w:id="125" w:name="_Toc184312132"/>
      <w:bookmarkEnd w:id="125"/>
      <w:bookmarkStart w:id="126" w:name="_Toc184308047"/>
      <w:bookmarkEnd w:id="126"/>
      <w:bookmarkStart w:id="127" w:name="_Toc184313296"/>
      <w:bookmarkEnd w:id="127"/>
      <w:bookmarkStart w:id="128" w:name="_Toc184312136"/>
      <w:bookmarkEnd w:id="128"/>
      <w:bookmarkStart w:id="129" w:name="_Toc184312116"/>
      <w:bookmarkEnd w:id="129"/>
      <w:bookmarkStart w:id="130" w:name="_Toc184313298"/>
      <w:bookmarkEnd w:id="130"/>
      <w:bookmarkStart w:id="131" w:name="_Toc184314478"/>
      <w:bookmarkEnd w:id="131"/>
      <w:bookmarkStart w:id="132" w:name="_Toc184313284"/>
      <w:bookmarkEnd w:id="132"/>
      <w:bookmarkStart w:id="133" w:name="_Toc184310290"/>
      <w:bookmarkEnd w:id="133"/>
      <w:bookmarkStart w:id="134" w:name="_Toc184308043"/>
      <w:bookmarkEnd w:id="134"/>
      <w:bookmarkStart w:id="135" w:name="_Toc184312077"/>
      <w:bookmarkEnd w:id="135"/>
      <w:bookmarkStart w:id="136" w:name="_Toc184312068"/>
      <w:bookmarkEnd w:id="136"/>
      <w:bookmarkStart w:id="137" w:name="_Toc184313257"/>
      <w:bookmarkEnd w:id="137"/>
      <w:bookmarkStart w:id="138" w:name="_Toc184313243"/>
      <w:bookmarkEnd w:id="138"/>
      <w:bookmarkStart w:id="139" w:name="_Toc184314434"/>
      <w:bookmarkEnd w:id="139"/>
      <w:bookmarkStart w:id="140" w:name="_Toc184310328"/>
      <w:bookmarkEnd w:id="140"/>
      <w:bookmarkStart w:id="141" w:name="_Toc184308072"/>
      <w:bookmarkEnd w:id="141"/>
      <w:bookmarkStart w:id="142" w:name="_Toc184312128"/>
      <w:bookmarkEnd w:id="142"/>
      <w:bookmarkStart w:id="143" w:name="_Toc184314447"/>
      <w:bookmarkEnd w:id="143"/>
      <w:bookmarkStart w:id="144" w:name="_Toc184308058"/>
      <w:bookmarkEnd w:id="144"/>
      <w:bookmarkStart w:id="145" w:name="_Toc184308087"/>
      <w:bookmarkEnd w:id="145"/>
      <w:bookmarkStart w:id="146" w:name="_Toc184308084"/>
      <w:bookmarkEnd w:id="146"/>
      <w:bookmarkStart w:id="147" w:name="_Toc184310324"/>
      <w:bookmarkEnd w:id="147"/>
      <w:bookmarkStart w:id="148" w:name="_Toc184308099"/>
      <w:bookmarkEnd w:id="148"/>
      <w:bookmarkStart w:id="149" w:name="_Toc184308073"/>
      <w:bookmarkEnd w:id="149"/>
      <w:bookmarkStart w:id="150" w:name="_Toc184310313"/>
      <w:bookmarkEnd w:id="150"/>
      <w:bookmarkStart w:id="151" w:name="_Toc184313251"/>
      <w:bookmarkEnd w:id="151"/>
      <w:bookmarkStart w:id="152" w:name="_Toc184314412"/>
      <w:bookmarkEnd w:id="152"/>
      <w:bookmarkStart w:id="153" w:name="_Toc184314460"/>
      <w:bookmarkEnd w:id="153"/>
      <w:bookmarkStart w:id="154" w:name="_Toc184310283"/>
      <w:bookmarkEnd w:id="154"/>
      <w:bookmarkStart w:id="155" w:name="_Toc184310301"/>
      <w:bookmarkEnd w:id="155"/>
      <w:bookmarkStart w:id="156" w:name="_Toc184313273"/>
      <w:bookmarkEnd w:id="156"/>
      <w:bookmarkStart w:id="157" w:name="_Toc184314466"/>
      <w:bookmarkEnd w:id="157"/>
      <w:bookmarkStart w:id="158" w:name="_Toc184313266"/>
      <w:bookmarkEnd w:id="158"/>
      <w:bookmarkStart w:id="159" w:name="_Toc184312089"/>
      <w:bookmarkEnd w:id="159"/>
      <w:bookmarkStart w:id="160" w:name="_Toc184308049"/>
      <w:bookmarkEnd w:id="160"/>
      <w:bookmarkStart w:id="161" w:name="_Toc184313307"/>
      <w:bookmarkEnd w:id="161"/>
      <w:bookmarkStart w:id="162" w:name="_Toc184310300"/>
      <w:bookmarkEnd w:id="162"/>
      <w:bookmarkStart w:id="163" w:name="_Toc184310322"/>
      <w:bookmarkEnd w:id="163"/>
      <w:bookmarkStart w:id="164" w:name="_Toc184308105"/>
      <w:bookmarkEnd w:id="164"/>
      <w:bookmarkStart w:id="165" w:name="_Toc184310305"/>
      <w:bookmarkEnd w:id="165"/>
      <w:bookmarkStart w:id="166" w:name="_Toc184313300"/>
      <w:bookmarkEnd w:id="166"/>
      <w:bookmarkStart w:id="167" w:name="_Toc184313287"/>
      <w:bookmarkEnd w:id="167"/>
      <w:bookmarkStart w:id="168" w:name="_Toc184308062"/>
      <w:bookmarkEnd w:id="168"/>
      <w:bookmarkStart w:id="169" w:name="_Toc184312083"/>
      <w:bookmarkEnd w:id="169"/>
      <w:bookmarkStart w:id="170" w:name="_Toc184314450"/>
      <w:bookmarkEnd w:id="170"/>
      <w:bookmarkStart w:id="171" w:name="_Toc184310314"/>
      <w:bookmarkEnd w:id="171"/>
      <w:bookmarkStart w:id="172" w:name="_Toc184310332"/>
      <w:bookmarkEnd w:id="172"/>
      <w:bookmarkStart w:id="173" w:name="_Toc184312096"/>
      <w:bookmarkEnd w:id="173"/>
      <w:bookmarkStart w:id="174" w:name="_Toc184314425"/>
      <w:bookmarkEnd w:id="174"/>
      <w:bookmarkStart w:id="175" w:name="_Toc184308057"/>
      <w:bookmarkEnd w:id="175"/>
      <w:bookmarkStart w:id="176" w:name="_Toc184310302"/>
      <w:bookmarkEnd w:id="176"/>
      <w:bookmarkStart w:id="177" w:name="_Toc184312085"/>
      <w:bookmarkEnd w:id="177"/>
      <w:bookmarkStart w:id="178" w:name="_Toc184310294"/>
      <w:bookmarkEnd w:id="178"/>
      <w:bookmarkStart w:id="179" w:name="_Toc184310335"/>
      <w:bookmarkEnd w:id="179"/>
      <w:bookmarkStart w:id="180" w:name="_Toc184312087"/>
      <w:bookmarkEnd w:id="180"/>
      <w:bookmarkStart w:id="181" w:name="_Toc184312110"/>
      <w:bookmarkEnd w:id="181"/>
      <w:bookmarkStart w:id="182" w:name="_Toc184314454"/>
      <w:bookmarkEnd w:id="182"/>
      <w:bookmarkStart w:id="183" w:name="_Toc184313309"/>
      <w:bookmarkEnd w:id="183"/>
      <w:bookmarkStart w:id="184" w:name="_Toc184314449"/>
      <w:bookmarkEnd w:id="184"/>
      <w:bookmarkStart w:id="185" w:name="_Toc184314453"/>
      <w:bookmarkEnd w:id="185"/>
      <w:bookmarkStart w:id="186" w:name="_Toc184310291"/>
      <w:bookmarkEnd w:id="186"/>
      <w:bookmarkStart w:id="187" w:name="_Toc184310333"/>
      <w:bookmarkEnd w:id="187"/>
      <w:bookmarkStart w:id="188" w:name="_Toc184310272"/>
      <w:bookmarkEnd w:id="188"/>
      <w:bookmarkStart w:id="189" w:name="_Toc184313262"/>
      <w:bookmarkEnd w:id="189"/>
      <w:bookmarkStart w:id="190" w:name="_Toc184313258"/>
      <w:bookmarkEnd w:id="190"/>
      <w:bookmarkStart w:id="191" w:name="_Toc184313265"/>
      <w:bookmarkEnd w:id="191"/>
      <w:bookmarkStart w:id="192" w:name="_Toc184312091"/>
      <w:bookmarkEnd w:id="192"/>
      <w:bookmarkStart w:id="193" w:name="_Toc184312114"/>
      <w:bookmarkEnd w:id="193"/>
      <w:bookmarkStart w:id="194" w:name="_Toc184312107"/>
      <w:bookmarkEnd w:id="194"/>
      <w:bookmarkStart w:id="195" w:name="_Toc184313308"/>
      <w:bookmarkEnd w:id="195"/>
      <w:bookmarkStart w:id="196" w:name="_Toc184308098"/>
      <w:bookmarkEnd w:id="196"/>
      <w:bookmarkStart w:id="197" w:name="_Toc184310336"/>
      <w:bookmarkEnd w:id="197"/>
      <w:bookmarkStart w:id="198" w:name="_Toc184308089"/>
      <w:bookmarkEnd w:id="198"/>
      <w:bookmarkStart w:id="199" w:name="_Toc184308037"/>
      <w:bookmarkEnd w:id="199"/>
      <w:bookmarkStart w:id="200" w:name="_Toc184313286"/>
      <w:bookmarkEnd w:id="200"/>
      <w:bookmarkStart w:id="201" w:name="_Toc184314433"/>
      <w:bookmarkEnd w:id="201"/>
      <w:bookmarkStart w:id="202" w:name="_Toc184313277"/>
      <w:bookmarkEnd w:id="202"/>
      <w:bookmarkStart w:id="203" w:name="_Toc184308051"/>
      <w:bookmarkEnd w:id="203"/>
      <w:bookmarkStart w:id="204" w:name="_Toc184312111"/>
      <w:bookmarkEnd w:id="204"/>
      <w:bookmarkStart w:id="205" w:name="_Toc184308071"/>
      <w:bookmarkEnd w:id="205"/>
      <w:bookmarkStart w:id="206" w:name="_Toc184314475"/>
      <w:bookmarkEnd w:id="206"/>
      <w:bookmarkStart w:id="207" w:name="_Toc184310318"/>
      <w:bookmarkEnd w:id="207"/>
      <w:bookmarkStart w:id="208" w:name="_Toc184308048"/>
      <w:bookmarkEnd w:id="208"/>
      <w:bookmarkStart w:id="209" w:name="_Toc184314441"/>
      <w:bookmarkEnd w:id="209"/>
      <w:bookmarkStart w:id="210" w:name="_Toc184312076"/>
      <w:bookmarkEnd w:id="210"/>
      <w:bookmarkStart w:id="211" w:name="_Toc184310275"/>
      <w:bookmarkEnd w:id="211"/>
      <w:bookmarkStart w:id="212" w:name="_Toc184312130"/>
      <w:bookmarkEnd w:id="212"/>
      <w:bookmarkStart w:id="213" w:name="_Toc184312088"/>
      <w:bookmarkEnd w:id="213"/>
      <w:bookmarkStart w:id="214" w:name="_Toc184312086"/>
      <w:bookmarkEnd w:id="214"/>
      <w:bookmarkStart w:id="215" w:name="_Toc184314473"/>
      <w:bookmarkEnd w:id="215"/>
      <w:bookmarkStart w:id="216" w:name="_Toc184308079"/>
      <w:bookmarkEnd w:id="216"/>
      <w:bookmarkStart w:id="217" w:name="_Toc184313264"/>
      <w:bookmarkEnd w:id="217"/>
      <w:bookmarkStart w:id="218" w:name="_Toc184312074"/>
      <w:bookmarkEnd w:id="218"/>
      <w:bookmarkStart w:id="219" w:name="_Toc184310279"/>
      <w:bookmarkEnd w:id="219"/>
      <w:bookmarkStart w:id="220" w:name="_Toc184314458"/>
      <w:bookmarkEnd w:id="220"/>
      <w:bookmarkStart w:id="221" w:name="_Toc184308103"/>
      <w:bookmarkEnd w:id="221"/>
      <w:bookmarkStart w:id="222" w:name="_Toc184313301"/>
      <w:bookmarkEnd w:id="222"/>
      <w:bookmarkStart w:id="223" w:name="_Toc184314468"/>
      <w:bookmarkEnd w:id="223"/>
      <w:bookmarkStart w:id="224" w:name="_Toc184312072"/>
      <w:bookmarkEnd w:id="224"/>
      <w:bookmarkStart w:id="225" w:name="_Toc184312112"/>
      <w:bookmarkEnd w:id="225"/>
      <w:bookmarkStart w:id="226" w:name="_Toc184312139"/>
      <w:bookmarkEnd w:id="226"/>
      <w:bookmarkStart w:id="227" w:name="_Toc184312084"/>
      <w:bookmarkEnd w:id="227"/>
      <w:bookmarkStart w:id="228" w:name="_Toc184310287"/>
      <w:bookmarkEnd w:id="228"/>
      <w:bookmarkStart w:id="229" w:name="_Toc184314457"/>
      <w:bookmarkEnd w:id="229"/>
      <w:bookmarkStart w:id="230" w:name="_Toc184314426"/>
      <w:bookmarkEnd w:id="230"/>
      <w:bookmarkStart w:id="231" w:name="_Toc184308055"/>
      <w:bookmarkEnd w:id="231"/>
      <w:bookmarkStart w:id="232" w:name="_Toc184312122"/>
      <w:bookmarkEnd w:id="232"/>
      <w:bookmarkStart w:id="233" w:name="_Toc184314481"/>
      <w:bookmarkEnd w:id="233"/>
      <w:bookmarkStart w:id="234" w:name="_Toc184314469"/>
      <w:bookmarkEnd w:id="234"/>
      <w:bookmarkStart w:id="235" w:name="_Toc184312075"/>
      <w:bookmarkEnd w:id="235"/>
      <w:bookmarkStart w:id="236" w:name="_Toc184314410"/>
      <w:bookmarkEnd w:id="236"/>
      <w:bookmarkStart w:id="237" w:name="_Toc184310319"/>
      <w:bookmarkEnd w:id="237"/>
      <w:bookmarkStart w:id="238" w:name="_Toc184314446"/>
      <w:bookmarkEnd w:id="238"/>
      <w:bookmarkStart w:id="239" w:name="_Toc184313239"/>
      <w:bookmarkEnd w:id="239"/>
      <w:bookmarkStart w:id="240" w:name="_Toc184310297"/>
      <w:bookmarkEnd w:id="240"/>
      <w:bookmarkStart w:id="241" w:name="_Toc184314414"/>
      <w:bookmarkEnd w:id="241"/>
      <w:bookmarkStart w:id="242" w:name="_Toc184312131"/>
      <w:bookmarkEnd w:id="242"/>
      <w:bookmarkStart w:id="243" w:name="_Toc184314477"/>
      <w:bookmarkEnd w:id="243"/>
      <w:bookmarkStart w:id="244" w:name="_Toc184312104"/>
      <w:bookmarkEnd w:id="244"/>
      <w:bookmarkStart w:id="245" w:name="_Toc184310285"/>
      <w:bookmarkEnd w:id="245"/>
      <w:bookmarkStart w:id="246" w:name="_Toc184313267"/>
      <w:bookmarkEnd w:id="246"/>
      <w:bookmarkStart w:id="247" w:name="_Toc184308059"/>
      <w:bookmarkEnd w:id="247"/>
      <w:bookmarkStart w:id="248" w:name="_Toc184313263"/>
      <w:bookmarkEnd w:id="248"/>
      <w:bookmarkStart w:id="249" w:name="_Toc184310304"/>
      <w:bookmarkEnd w:id="249"/>
      <w:bookmarkStart w:id="250" w:name="_Toc184314471"/>
      <w:bookmarkEnd w:id="250"/>
      <w:bookmarkStart w:id="251" w:name="_Toc184313248"/>
      <w:bookmarkEnd w:id="251"/>
      <w:bookmarkStart w:id="252" w:name="_Toc184312138"/>
      <w:bookmarkEnd w:id="252"/>
      <w:bookmarkStart w:id="253" w:name="_Toc184308067"/>
      <w:bookmarkEnd w:id="253"/>
      <w:bookmarkStart w:id="254" w:name="_Toc184313289"/>
      <w:bookmarkEnd w:id="254"/>
      <w:bookmarkStart w:id="255" w:name="_Toc184314411"/>
      <w:bookmarkEnd w:id="255"/>
      <w:bookmarkStart w:id="256" w:name="_Toc184308036"/>
      <w:bookmarkEnd w:id="256"/>
      <w:bookmarkStart w:id="257" w:name="_Toc184313304"/>
      <w:bookmarkEnd w:id="257"/>
      <w:bookmarkStart w:id="258" w:name="_Toc184310316"/>
      <w:bookmarkEnd w:id="258"/>
      <w:bookmarkStart w:id="259" w:name="_Toc184314451"/>
      <w:bookmarkEnd w:id="259"/>
      <w:bookmarkStart w:id="260" w:name="_Toc184308066"/>
      <w:bookmarkEnd w:id="260"/>
      <w:bookmarkStart w:id="261" w:name="_Toc184313279"/>
      <w:bookmarkEnd w:id="261"/>
      <w:bookmarkStart w:id="262" w:name="_Toc184310296"/>
      <w:bookmarkEnd w:id="262"/>
      <w:bookmarkStart w:id="263" w:name="_Toc184312125"/>
      <w:bookmarkEnd w:id="263"/>
      <w:bookmarkStart w:id="264" w:name="_Toc184310344"/>
      <w:bookmarkEnd w:id="264"/>
      <w:bookmarkStart w:id="265" w:name="_Toc184308039"/>
      <w:bookmarkEnd w:id="265"/>
      <w:bookmarkStart w:id="266" w:name="_Toc184313278"/>
      <w:bookmarkEnd w:id="266"/>
      <w:bookmarkStart w:id="267" w:name="_Toc184313283"/>
      <w:bookmarkEnd w:id="267"/>
      <w:bookmarkStart w:id="268" w:name="_Toc184312105"/>
      <w:bookmarkEnd w:id="268"/>
      <w:bookmarkStart w:id="269" w:name="_Toc184312092"/>
      <w:bookmarkEnd w:id="269"/>
      <w:bookmarkStart w:id="270" w:name="_Toc184314428"/>
      <w:bookmarkEnd w:id="270"/>
      <w:bookmarkStart w:id="271" w:name="_Toc184310308"/>
      <w:bookmarkEnd w:id="271"/>
      <w:bookmarkStart w:id="272" w:name="_Toc184314429"/>
      <w:bookmarkEnd w:id="272"/>
      <w:bookmarkStart w:id="273" w:name="_Toc184308060"/>
      <w:bookmarkEnd w:id="273"/>
      <w:bookmarkStart w:id="274" w:name="_Toc184313276"/>
      <w:bookmarkEnd w:id="274"/>
      <w:bookmarkStart w:id="275" w:name="_Toc184314465"/>
      <w:bookmarkEnd w:id="275"/>
      <w:bookmarkStart w:id="276" w:name="_Toc184313241"/>
      <w:bookmarkEnd w:id="276"/>
      <w:bookmarkStart w:id="277" w:name="_Toc184308081"/>
      <w:bookmarkEnd w:id="277"/>
      <w:bookmarkStart w:id="278" w:name="_Toc184313245"/>
      <w:bookmarkEnd w:id="278"/>
      <w:bookmarkStart w:id="279" w:name="_Toc184312081"/>
      <w:bookmarkEnd w:id="279"/>
      <w:bookmarkStart w:id="280" w:name="_Toc184313247"/>
      <w:bookmarkEnd w:id="280"/>
      <w:bookmarkStart w:id="281" w:name="_Toc184310329"/>
      <w:bookmarkEnd w:id="281"/>
      <w:bookmarkStart w:id="282" w:name="_Toc184314435"/>
      <w:bookmarkEnd w:id="282"/>
      <w:bookmarkStart w:id="283" w:name="_Toc184310325"/>
      <w:bookmarkEnd w:id="283"/>
      <w:bookmarkStart w:id="284" w:name="_Toc184313291"/>
      <w:bookmarkEnd w:id="284"/>
      <w:bookmarkStart w:id="285" w:name="_Toc184312093"/>
      <w:bookmarkEnd w:id="285"/>
      <w:bookmarkStart w:id="286" w:name="_Toc184310311"/>
      <w:bookmarkEnd w:id="286"/>
      <w:bookmarkStart w:id="287" w:name="_Toc184312100"/>
      <w:bookmarkEnd w:id="287"/>
      <w:bookmarkStart w:id="288" w:name="_Toc184308070"/>
      <w:bookmarkEnd w:id="288"/>
      <w:bookmarkStart w:id="289" w:name="_Toc184314438"/>
      <w:bookmarkEnd w:id="289"/>
      <w:bookmarkStart w:id="290" w:name="_Toc184314415"/>
      <w:bookmarkEnd w:id="290"/>
      <w:bookmarkStart w:id="291" w:name="_Toc184308077"/>
      <w:bookmarkEnd w:id="291"/>
      <w:bookmarkStart w:id="292" w:name="_Toc184310289"/>
      <w:bookmarkEnd w:id="292"/>
      <w:bookmarkStart w:id="293" w:name="_Toc184312070"/>
      <w:bookmarkEnd w:id="293"/>
      <w:bookmarkStart w:id="294" w:name="_Toc184313255"/>
      <w:bookmarkEnd w:id="294"/>
      <w:bookmarkStart w:id="295" w:name="_Toc184310276"/>
      <w:bookmarkEnd w:id="295"/>
      <w:bookmarkStart w:id="296" w:name="_Toc184312078"/>
      <w:bookmarkEnd w:id="296"/>
      <w:bookmarkStart w:id="297" w:name="_Toc184308096"/>
      <w:bookmarkEnd w:id="297"/>
      <w:bookmarkStart w:id="298" w:name="_Toc184314430"/>
      <w:bookmarkEnd w:id="298"/>
      <w:bookmarkStart w:id="299" w:name="_Toc184310284"/>
      <w:bookmarkEnd w:id="299"/>
      <w:bookmarkStart w:id="300" w:name="_Toc184314470"/>
      <w:bookmarkEnd w:id="300"/>
      <w:bookmarkStart w:id="301" w:name="_Toc184308061"/>
      <w:bookmarkEnd w:id="301"/>
      <w:bookmarkStart w:id="302" w:name="_Toc184308086"/>
      <w:bookmarkEnd w:id="302"/>
      <w:bookmarkStart w:id="303" w:name="_Toc184313271"/>
      <w:bookmarkEnd w:id="303"/>
      <w:bookmarkStart w:id="304" w:name="_Toc184313268"/>
      <w:bookmarkEnd w:id="304"/>
      <w:bookmarkStart w:id="305" w:name="_Toc184314456"/>
      <w:bookmarkEnd w:id="305"/>
      <w:bookmarkStart w:id="306" w:name="_Toc184313299"/>
      <w:bookmarkEnd w:id="306"/>
      <w:bookmarkStart w:id="307" w:name="_Toc184308045"/>
      <w:bookmarkEnd w:id="307"/>
      <w:bookmarkStart w:id="308" w:name="_Toc184314422"/>
      <w:bookmarkEnd w:id="308"/>
      <w:bookmarkStart w:id="309" w:name="_Toc184312069"/>
      <w:bookmarkEnd w:id="309"/>
      <w:bookmarkStart w:id="310" w:name="_Toc184310331"/>
      <w:bookmarkEnd w:id="310"/>
      <w:bookmarkStart w:id="311" w:name="_Toc184310317"/>
      <w:bookmarkEnd w:id="311"/>
      <w:bookmarkStart w:id="312" w:name="_Toc184314482"/>
      <w:bookmarkEnd w:id="312"/>
      <w:bookmarkStart w:id="313" w:name="_Toc184314416"/>
      <w:bookmarkEnd w:id="313"/>
      <w:bookmarkStart w:id="314" w:name="_Toc184314448"/>
      <w:bookmarkEnd w:id="314"/>
      <w:bookmarkStart w:id="315" w:name="_Toc184313272"/>
      <w:bookmarkEnd w:id="315"/>
      <w:bookmarkStart w:id="316" w:name="_Toc184312135"/>
      <w:bookmarkEnd w:id="316"/>
      <w:bookmarkStart w:id="317" w:name="_Toc184310320"/>
      <w:bookmarkEnd w:id="317"/>
      <w:bookmarkStart w:id="318" w:name="_Toc184312124"/>
      <w:bookmarkEnd w:id="318"/>
      <w:bookmarkStart w:id="319" w:name="_Toc184313292"/>
      <w:bookmarkEnd w:id="319"/>
      <w:bookmarkStart w:id="320" w:name="_Toc184310298"/>
      <w:bookmarkEnd w:id="320"/>
      <w:bookmarkStart w:id="321" w:name="_Toc184310307"/>
      <w:bookmarkEnd w:id="321"/>
      <w:bookmarkStart w:id="322" w:name="_Toc184312082"/>
      <w:bookmarkEnd w:id="322"/>
      <w:bookmarkStart w:id="323" w:name="_Toc184308065"/>
      <w:bookmarkEnd w:id="323"/>
      <w:bookmarkStart w:id="324" w:name="_Toc184314463"/>
      <w:bookmarkEnd w:id="324"/>
      <w:bookmarkStart w:id="325" w:name="_Toc184313244"/>
      <w:bookmarkEnd w:id="325"/>
      <w:bookmarkStart w:id="326" w:name="_Toc184308091"/>
      <w:bookmarkEnd w:id="326"/>
      <w:bookmarkStart w:id="327" w:name="_Toc184310323"/>
      <w:bookmarkEnd w:id="327"/>
      <w:bookmarkStart w:id="328" w:name="_Toc184312115"/>
      <w:bookmarkEnd w:id="328"/>
      <w:bookmarkStart w:id="329" w:name="_Toc184314472"/>
      <w:bookmarkEnd w:id="329"/>
      <w:bookmarkStart w:id="330" w:name="_Toc184313282"/>
      <w:bookmarkEnd w:id="330"/>
      <w:bookmarkStart w:id="331" w:name="_Toc184314461"/>
      <w:bookmarkEnd w:id="331"/>
      <w:bookmarkStart w:id="332" w:name="_Toc184308068"/>
      <w:bookmarkEnd w:id="332"/>
      <w:bookmarkStart w:id="333" w:name="_Toc184312133"/>
      <w:bookmarkEnd w:id="333"/>
      <w:bookmarkStart w:id="334" w:name="_Toc184313275"/>
      <w:bookmarkEnd w:id="334"/>
      <w:bookmarkStart w:id="335" w:name="_Toc184313294"/>
      <w:bookmarkEnd w:id="335"/>
      <w:bookmarkStart w:id="336" w:name="_Toc184308044"/>
      <w:bookmarkEnd w:id="336"/>
      <w:bookmarkStart w:id="337" w:name="_Toc184308082"/>
      <w:bookmarkEnd w:id="337"/>
      <w:bookmarkStart w:id="338" w:name="_Toc184310330"/>
      <w:bookmarkEnd w:id="338"/>
      <w:bookmarkStart w:id="339" w:name="_Toc184314452"/>
      <w:bookmarkEnd w:id="339"/>
      <w:bookmarkStart w:id="340" w:name="_Toc184310306"/>
      <w:bookmarkEnd w:id="340"/>
      <w:bookmarkStart w:id="341" w:name="_Toc184313238"/>
      <w:bookmarkEnd w:id="341"/>
      <w:bookmarkStart w:id="342" w:name="_Toc184310273"/>
      <w:bookmarkEnd w:id="342"/>
      <w:bookmarkStart w:id="343" w:name="_Toc184308056"/>
      <w:bookmarkEnd w:id="343"/>
      <w:bookmarkStart w:id="344" w:name="_Toc184312080"/>
      <w:bookmarkEnd w:id="344"/>
      <w:bookmarkStart w:id="345" w:name="_Toc184310339"/>
      <w:bookmarkEnd w:id="345"/>
      <w:bookmarkStart w:id="346" w:name="_Toc184314464"/>
      <w:bookmarkEnd w:id="346"/>
      <w:bookmarkStart w:id="347" w:name="_Toc184310288"/>
      <w:bookmarkEnd w:id="347"/>
      <w:bookmarkStart w:id="348" w:name="_Toc184308052"/>
      <w:bookmarkEnd w:id="348"/>
      <w:bookmarkStart w:id="349" w:name="_Toc184313252"/>
      <w:bookmarkEnd w:id="349"/>
      <w:bookmarkStart w:id="350" w:name="_Toc184313254"/>
      <w:bookmarkEnd w:id="350"/>
      <w:bookmarkStart w:id="351" w:name="_Toc184314467"/>
      <w:bookmarkEnd w:id="351"/>
      <w:bookmarkStart w:id="352" w:name="_Toc184312109"/>
      <w:bookmarkEnd w:id="352"/>
      <w:bookmarkStart w:id="353" w:name="_Toc184310282"/>
      <w:bookmarkEnd w:id="353"/>
      <w:bookmarkStart w:id="354" w:name="_Toc184313260"/>
      <w:bookmarkEnd w:id="354"/>
      <w:bookmarkStart w:id="355" w:name="_Toc184313249"/>
      <w:bookmarkEnd w:id="355"/>
      <w:bookmarkStart w:id="356" w:name="_Toc184313281"/>
      <w:bookmarkEnd w:id="356"/>
      <w:bookmarkStart w:id="357" w:name="_Toc184310295"/>
      <w:bookmarkEnd w:id="357"/>
      <w:bookmarkStart w:id="358" w:name="_Toc184312095"/>
      <w:bookmarkEnd w:id="358"/>
      <w:bookmarkStart w:id="359" w:name="_Toc184308054"/>
      <w:bookmarkEnd w:id="359"/>
      <w:bookmarkStart w:id="360" w:name="_Toc184314420"/>
      <w:bookmarkEnd w:id="360"/>
      <w:bookmarkStart w:id="361" w:name="_Toc184308074"/>
      <w:bookmarkEnd w:id="361"/>
      <w:bookmarkStart w:id="362" w:name="_Toc184310274"/>
      <w:bookmarkEnd w:id="362"/>
      <w:bookmarkStart w:id="363" w:name="_Toc184312117"/>
      <w:bookmarkEnd w:id="363"/>
      <w:bookmarkStart w:id="364" w:name="_Toc184308085"/>
      <w:bookmarkEnd w:id="364"/>
      <w:bookmarkStart w:id="365" w:name="_Toc184312094"/>
      <w:bookmarkEnd w:id="365"/>
      <w:bookmarkStart w:id="366" w:name="_Toc184314462"/>
      <w:bookmarkEnd w:id="366"/>
      <w:bookmarkStart w:id="367" w:name="_Toc184310303"/>
      <w:bookmarkEnd w:id="367"/>
      <w:bookmarkStart w:id="368" w:name="_Toc184308104"/>
      <w:bookmarkEnd w:id="368"/>
      <w:bookmarkStart w:id="369" w:name="_Toc184310342"/>
      <w:bookmarkEnd w:id="369"/>
      <w:bookmarkStart w:id="370" w:name="_Toc184314418"/>
      <w:bookmarkEnd w:id="370"/>
      <w:bookmarkStart w:id="371" w:name="_Toc184312113"/>
      <w:bookmarkEnd w:id="371"/>
      <w:bookmarkStart w:id="372" w:name="_Toc184308097"/>
      <w:bookmarkEnd w:id="372"/>
      <w:bookmarkStart w:id="373" w:name="_Toc184313240"/>
      <w:bookmarkEnd w:id="373"/>
      <w:bookmarkStart w:id="374" w:name="_Toc184314419"/>
      <w:bookmarkEnd w:id="374"/>
      <w:bookmarkStart w:id="375" w:name="_Toc184310310"/>
      <w:bookmarkEnd w:id="375"/>
      <w:bookmarkStart w:id="376" w:name="_Toc184312123"/>
      <w:bookmarkEnd w:id="376"/>
      <w:bookmarkStart w:id="377" w:name="_Toc184308106"/>
      <w:bookmarkEnd w:id="377"/>
      <w:bookmarkStart w:id="378" w:name="_Toc184314431"/>
      <w:bookmarkEnd w:id="378"/>
      <w:bookmarkStart w:id="379" w:name="_Toc184310312"/>
      <w:bookmarkEnd w:id="379"/>
      <w:bookmarkStart w:id="380" w:name="_Toc184314444"/>
      <w:bookmarkEnd w:id="380"/>
      <w:bookmarkStart w:id="381" w:name="_Toc184312137"/>
      <w:bookmarkEnd w:id="381"/>
      <w:bookmarkStart w:id="382" w:name="_Toc184310340"/>
      <w:bookmarkEnd w:id="382"/>
      <w:bookmarkStart w:id="383" w:name="_Toc184313253"/>
      <w:bookmarkEnd w:id="383"/>
      <w:bookmarkStart w:id="384" w:name="_Toc184313261"/>
      <w:bookmarkEnd w:id="384"/>
      <w:bookmarkStart w:id="385" w:name="_Toc184308083"/>
      <w:bookmarkEnd w:id="385"/>
      <w:bookmarkStart w:id="386" w:name="_Toc184308090"/>
      <w:bookmarkEnd w:id="386"/>
      <w:bookmarkStart w:id="387" w:name="_Toc184314480"/>
      <w:bookmarkEnd w:id="387"/>
      <w:bookmarkStart w:id="388" w:name="_Toc184310343"/>
      <w:bookmarkEnd w:id="388"/>
      <w:bookmarkStart w:id="389" w:name="_Toc184310278"/>
      <w:bookmarkEnd w:id="389"/>
      <w:bookmarkStart w:id="390" w:name="_Toc184312134"/>
      <w:bookmarkEnd w:id="390"/>
      <w:bookmarkStart w:id="391" w:name="_Toc184313285"/>
      <w:bookmarkEnd w:id="391"/>
      <w:bookmarkStart w:id="392" w:name="_Toc184310315"/>
      <w:bookmarkEnd w:id="392"/>
      <w:bookmarkStart w:id="393" w:name="_Toc184313293"/>
      <w:bookmarkEnd w:id="393"/>
      <w:bookmarkStart w:id="394" w:name="_Toc184313269"/>
      <w:bookmarkEnd w:id="394"/>
      <w:bookmarkStart w:id="395" w:name="_Toc184312129"/>
      <w:bookmarkEnd w:id="395"/>
      <w:bookmarkStart w:id="396" w:name="_Toc184313288"/>
      <w:bookmarkEnd w:id="396"/>
      <w:bookmarkStart w:id="397" w:name="_Toc184308108"/>
      <w:bookmarkEnd w:id="397"/>
      <w:bookmarkStart w:id="398" w:name="_Toc184314423"/>
      <w:bookmarkEnd w:id="398"/>
      <w:bookmarkStart w:id="399" w:name="_Toc184312103"/>
      <w:bookmarkEnd w:id="399"/>
      <w:bookmarkStart w:id="400" w:name="_Toc184308092"/>
      <w:bookmarkEnd w:id="400"/>
      <w:bookmarkStart w:id="401" w:name="_Toc184312079"/>
      <w:bookmarkEnd w:id="401"/>
      <w:bookmarkStart w:id="402" w:name="_Toc184313297"/>
      <w:bookmarkEnd w:id="402"/>
      <w:bookmarkStart w:id="403" w:name="_Toc184313242"/>
      <w:bookmarkEnd w:id="403"/>
      <w:bookmarkStart w:id="404" w:name="_Toc184310337"/>
      <w:bookmarkEnd w:id="404"/>
      <w:bookmarkStart w:id="405" w:name="_Toc184308042"/>
      <w:bookmarkEnd w:id="405"/>
      <w:bookmarkStart w:id="406" w:name="_Toc184312090"/>
      <w:bookmarkEnd w:id="406"/>
      <w:bookmarkStart w:id="407" w:name="_Toc184313259"/>
      <w:bookmarkEnd w:id="407"/>
      <w:bookmarkStart w:id="408" w:name="_Toc184308076"/>
      <w:bookmarkEnd w:id="408"/>
      <w:bookmarkStart w:id="409" w:name="_Toc184312121"/>
      <w:bookmarkEnd w:id="409"/>
      <w:bookmarkStart w:id="410" w:name="_Toc184314443"/>
      <w:bookmarkEnd w:id="410"/>
      <w:bookmarkStart w:id="411" w:name="_Toc184314424"/>
      <w:bookmarkEnd w:id="411"/>
      <w:bookmarkStart w:id="412" w:name="_Toc184308095"/>
      <w:bookmarkEnd w:id="412"/>
      <w:bookmarkStart w:id="413" w:name="_Toc184312098"/>
      <w:bookmarkEnd w:id="413"/>
      <w:bookmarkStart w:id="414" w:name="_Toc184308088"/>
      <w:bookmarkEnd w:id="414"/>
      <w:bookmarkStart w:id="415" w:name="_Toc184313310"/>
      <w:bookmarkEnd w:id="415"/>
      <w:bookmarkStart w:id="416" w:name="_Toc184313305"/>
      <w:bookmarkEnd w:id="416"/>
      <w:bookmarkStart w:id="417" w:name="_Toc184313256"/>
      <w:bookmarkEnd w:id="417"/>
      <w:bookmarkStart w:id="418" w:name="_Toc184313290"/>
      <w:bookmarkEnd w:id="418"/>
      <w:bookmarkStart w:id="419" w:name="_Toc184314427"/>
      <w:bookmarkEnd w:id="419"/>
      <w:bookmarkStart w:id="420" w:name="_Toc184308069"/>
      <w:bookmarkEnd w:id="420"/>
      <w:bookmarkStart w:id="421" w:name="_Toc184313306"/>
      <w:bookmarkEnd w:id="421"/>
      <w:bookmarkStart w:id="422" w:name="_Toc184308093"/>
      <w:bookmarkEnd w:id="422"/>
      <w:bookmarkStart w:id="423" w:name="_Toc184314445"/>
      <w:bookmarkEnd w:id="423"/>
      <w:bookmarkStart w:id="424" w:name="_Toc184308038"/>
      <w:bookmarkEnd w:id="424"/>
      <w:bookmarkStart w:id="425" w:name="_Toc184314442"/>
      <w:bookmarkEnd w:id="425"/>
      <w:bookmarkStart w:id="426" w:name="_Toc184314421"/>
      <w:bookmarkEnd w:id="426"/>
      <w:bookmarkStart w:id="427" w:name="_Toc184313250"/>
      <w:bookmarkEnd w:id="427"/>
      <w:r>
        <w:rPr>
          <w:rFonts w:hint="eastAsia" w:ascii="仿宋" w:hAnsi="仿宋" w:eastAsia="仿宋" w:cs="仿宋"/>
          <w:b/>
          <w:color w:val="auto"/>
          <w:sz w:val="36"/>
          <w:szCs w:val="36"/>
          <w:highlight w:val="none"/>
        </w:rPr>
        <w:t>评标办法</w:t>
      </w:r>
    </w:p>
    <w:p>
      <w:pPr>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2"/>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212"/>
        <w:gridCol w:w="6085"/>
        <w:gridCol w:w="1092"/>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6" w:type="dxa"/>
            <w:noWrap w:val="0"/>
            <w:vAlign w:val="center"/>
          </w:tcPr>
          <w:p>
            <w:pPr>
              <w:pStyle w:val="25"/>
              <w:snapToGrid w:val="0"/>
              <w:spacing w:line="340" w:lineRule="exact"/>
              <w:ind w:firstLine="0" w:firstLineChars="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序号</w:t>
            </w:r>
          </w:p>
        </w:tc>
        <w:tc>
          <w:tcPr>
            <w:tcW w:w="1212" w:type="dxa"/>
            <w:noWrap w:val="0"/>
            <w:vAlign w:val="center"/>
          </w:tcPr>
          <w:p>
            <w:pPr>
              <w:pStyle w:val="25"/>
              <w:snapToGrid w:val="0"/>
              <w:spacing w:line="340" w:lineRule="exact"/>
              <w:ind w:left="0" w:leftChars="0" w:firstLine="0" w:firstLineChars="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评分</w:t>
            </w:r>
          </w:p>
          <w:p>
            <w:pPr>
              <w:pStyle w:val="25"/>
              <w:snapToGrid w:val="0"/>
              <w:spacing w:line="340" w:lineRule="exact"/>
              <w:ind w:left="0" w:leftChars="0" w:firstLine="0" w:firstLineChars="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内容</w:t>
            </w:r>
          </w:p>
        </w:tc>
        <w:tc>
          <w:tcPr>
            <w:tcW w:w="6085" w:type="dxa"/>
            <w:noWrap w:val="0"/>
            <w:vAlign w:val="center"/>
          </w:tcPr>
          <w:p>
            <w:pPr>
              <w:pStyle w:val="25"/>
              <w:snapToGrid w:val="0"/>
              <w:spacing w:line="340" w:lineRule="exact"/>
              <w:ind w:firstLine="422"/>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评分标准</w:t>
            </w:r>
          </w:p>
        </w:tc>
        <w:tc>
          <w:tcPr>
            <w:tcW w:w="1092" w:type="dxa"/>
            <w:noWrap w:val="0"/>
            <w:vAlign w:val="center"/>
          </w:tcPr>
          <w:p>
            <w:pPr>
              <w:pStyle w:val="25"/>
              <w:snapToGrid w:val="0"/>
              <w:spacing w:line="340" w:lineRule="exact"/>
              <w:ind w:firstLine="0" w:firstLineChars="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分值</w:t>
            </w:r>
          </w:p>
          <w:p>
            <w:pPr>
              <w:pStyle w:val="25"/>
              <w:snapToGrid w:val="0"/>
              <w:spacing w:line="340" w:lineRule="exact"/>
              <w:ind w:firstLine="0" w:firstLineChars="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区间</w:t>
            </w:r>
          </w:p>
        </w:tc>
        <w:tc>
          <w:tcPr>
            <w:tcW w:w="1092" w:type="dxa"/>
            <w:noWrap w:val="0"/>
            <w:vAlign w:val="center"/>
          </w:tcPr>
          <w:p>
            <w:pPr>
              <w:pStyle w:val="25"/>
              <w:snapToGrid w:val="0"/>
              <w:spacing w:line="340" w:lineRule="exact"/>
              <w:ind w:firstLine="0" w:firstLineChars="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主/客</w:t>
            </w:r>
          </w:p>
          <w:p>
            <w:pPr>
              <w:pStyle w:val="25"/>
              <w:snapToGrid w:val="0"/>
              <w:spacing w:line="340" w:lineRule="exact"/>
              <w:ind w:firstLine="0" w:firstLineChars="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Merge w:val="restart"/>
            <w:noWrap w:val="0"/>
            <w:vAlign w:val="center"/>
          </w:tcPr>
          <w:p>
            <w:pPr>
              <w:pStyle w:val="25"/>
              <w:snapToGrid w:val="0"/>
              <w:spacing w:line="340" w:lineRule="exact"/>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1212" w:type="dxa"/>
            <w:vMerge w:val="restart"/>
            <w:noWrap w:val="0"/>
            <w:vAlign w:val="center"/>
          </w:tcPr>
          <w:p>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投标方案的科学性和完整性</w:t>
            </w:r>
          </w:p>
        </w:tc>
        <w:tc>
          <w:tcPr>
            <w:tcW w:w="6085" w:type="dxa"/>
            <w:noWrap w:val="0"/>
            <w:vAlign w:val="center"/>
          </w:tcPr>
          <w:p>
            <w:pPr>
              <w:rPr>
                <w:rFonts w:hint="eastAsia" w:ascii="仿宋" w:hAnsi="仿宋" w:eastAsia="仿宋" w:cs="仿宋"/>
                <w:bCs w:val="0"/>
                <w:color w:val="auto"/>
                <w:sz w:val="24"/>
                <w:szCs w:val="24"/>
                <w:highlight w:val="none"/>
              </w:rPr>
            </w:pPr>
            <w:r>
              <w:rPr>
                <w:rFonts w:hint="eastAsia" w:ascii="仿宋" w:hAnsi="仿宋" w:eastAsia="仿宋" w:cs="仿宋"/>
                <w:bCs w:val="0"/>
                <w:color w:val="auto"/>
                <w:kern w:val="0"/>
                <w:sz w:val="24"/>
                <w:szCs w:val="24"/>
                <w:highlight w:val="none"/>
                <w:lang w:val="en-US" w:eastAsia="zh-CN" w:bidi="ar-SA"/>
              </w:rPr>
              <w:t>投标人对项目需求的理解，投标方案与需求的吻合程度，以及对功能设计和实施计划的建议，方案是否科学合理、安全严密、具有一定的前瞻性，是否充分考虑用户实际使用需求，是否符合本项目对当前和未来发展的要求。</w:t>
            </w:r>
            <w:r>
              <w:rPr>
                <w:rFonts w:hint="eastAsia" w:ascii="仿宋" w:hAnsi="仿宋" w:eastAsia="仿宋" w:cs="仿宋"/>
                <w:i w:val="0"/>
                <w:iCs w:val="0"/>
                <w:caps w:val="0"/>
                <w:color w:val="auto"/>
                <w:spacing w:val="0"/>
                <w:kern w:val="0"/>
                <w:sz w:val="24"/>
                <w:szCs w:val="24"/>
                <w:highlight w:val="none"/>
                <w:shd w:val="clear"/>
              </w:rPr>
              <w:t>完全符合标准或要求</w:t>
            </w:r>
            <w:r>
              <w:rPr>
                <w:rFonts w:hint="eastAsia" w:ascii="仿宋" w:hAnsi="仿宋" w:eastAsia="仿宋" w:cs="仿宋"/>
                <w:b w:val="0"/>
                <w:bCs w:val="0"/>
                <w:color w:val="auto"/>
                <w:kern w:val="0"/>
                <w:sz w:val="24"/>
                <w:szCs w:val="24"/>
                <w:highlight w:val="none"/>
              </w:rPr>
              <w:t>的得5分，</w:t>
            </w:r>
            <w:r>
              <w:rPr>
                <w:rFonts w:hint="eastAsia" w:ascii="仿宋" w:hAnsi="仿宋" w:eastAsia="仿宋" w:cs="仿宋"/>
                <w:i w:val="0"/>
                <w:iCs w:val="0"/>
                <w:caps w:val="0"/>
                <w:color w:val="auto"/>
                <w:spacing w:val="0"/>
                <w:kern w:val="0"/>
                <w:sz w:val="24"/>
                <w:szCs w:val="24"/>
                <w:highlight w:val="none"/>
                <w:shd w:val="clear"/>
              </w:rPr>
              <w:t>基本符合标准或要求</w:t>
            </w:r>
            <w:r>
              <w:rPr>
                <w:rFonts w:hint="eastAsia" w:ascii="仿宋" w:hAnsi="仿宋" w:eastAsia="仿宋" w:cs="仿宋"/>
                <w:b w:val="0"/>
                <w:bCs w:val="0"/>
                <w:color w:val="auto"/>
                <w:kern w:val="0"/>
                <w:sz w:val="24"/>
                <w:szCs w:val="24"/>
                <w:highlight w:val="none"/>
              </w:rPr>
              <w:t>的得</w:t>
            </w:r>
            <w:r>
              <w:rPr>
                <w:rFonts w:hint="eastAsia" w:ascii="仿宋" w:hAnsi="仿宋" w:eastAsia="仿宋" w:cs="仿宋"/>
                <w:b w:val="0"/>
                <w:bCs w:val="0"/>
                <w:color w:val="auto"/>
                <w:kern w:val="0"/>
                <w:sz w:val="24"/>
                <w:szCs w:val="24"/>
                <w:highlight w:val="none"/>
                <w:lang w:val="en-US" w:eastAsia="zh-CN"/>
              </w:rPr>
              <w:t>4</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eastAsia="zh-CN"/>
              </w:rPr>
              <w:t>，稍显不足的得</w:t>
            </w:r>
            <w:r>
              <w:rPr>
                <w:rFonts w:hint="eastAsia" w:ascii="仿宋" w:hAnsi="仿宋" w:eastAsia="仿宋" w:cs="仿宋"/>
                <w:b w:val="0"/>
                <w:bCs w:val="0"/>
                <w:color w:val="auto"/>
                <w:kern w:val="0"/>
                <w:sz w:val="24"/>
                <w:szCs w:val="24"/>
                <w:highlight w:val="none"/>
                <w:lang w:val="en-US" w:eastAsia="zh-CN"/>
              </w:rPr>
              <w:t>3分，</w:t>
            </w:r>
            <w:r>
              <w:rPr>
                <w:rFonts w:hint="eastAsia" w:ascii="仿宋" w:hAnsi="仿宋" w:eastAsia="仿宋" w:cs="仿宋"/>
                <w:i w:val="0"/>
                <w:iCs w:val="0"/>
                <w:caps w:val="0"/>
                <w:color w:val="auto"/>
                <w:spacing w:val="0"/>
                <w:kern w:val="0"/>
                <w:sz w:val="24"/>
                <w:szCs w:val="24"/>
                <w:highlight w:val="none"/>
                <w:shd w:val="clear"/>
                <w:lang w:eastAsia="zh-CN"/>
              </w:rPr>
              <w:t>一般化</w:t>
            </w:r>
            <w:r>
              <w:rPr>
                <w:rFonts w:hint="eastAsia" w:ascii="仿宋" w:hAnsi="仿宋" w:eastAsia="仿宋" w:cs="仿宋"/>
                <w:b w:val="0"/>
                <w:bCs w:val="0"/>
                <w:color w:val="auto"/>
                <w:kern w:val="0"/>
                <w:sz w:val="24"/>
                <w:szCs w:val="24"/>
                <w:highlight w:val="none"/>
              </w:rPr>
              <w:t>的</w:t>
            </w:r>
            <w:r>
              <w:rPr>
                <w:rFonts w:hint="eastAsia" w:ascii="仿宋" w:hAnsi="仿宋" w:eastAsia="仿宋" w:cs="仿宋"/>
                <w:b w:val="0"/>
                <w:bCs w:val="0"/>
                <w:color w:val="auto"/>
                <w:kern w:val="0"/>
                <w:sz w:val="24"/>
                <w:szCs w:val="24"/>
                <w:highlight w:val="none"/>
                <w:lang w:eastAsia="zh-CN"/>
              </w:rPr>
              <w:t>得</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eastAsia="zh-CN"/>
              </w:rPr>
              <w:t>严重不足的得</w:t>
            </w:r>
            <w:r>
              <w:rPr>
                <w:rFonts w:hint="eastAsia" w:ascii="仿宋" w:hAnsi="仿宋" w:eastAsia="仿宋" w:cs="仿宋"/>
                <w:b w:val="0"/>
                <w:bCs w:val="0"/>
                <w:color w:val="auto"/>
                <w:kern w:val="0"/>
                <w:sz w:val="24"/>
                <w:szCs w:val="24"/>
                <w:highlight w:val="none"/>
                <w:lang w:val="en-US" w:eastAsia="zh-CN"/>
              </w:rPr>
              <w:t>1分，</w:t>
            </w:r>
            <w:r>
              <w:rPr>
                <w:rFonts w:hint="eastAsia" w:ascii="仿宋" w:hAnsi="仿宋" w:eastAsia="仿宋" w:cs="仿宋"/>
                <w:b w:val="0"/>
                <w:bCs w:val="0"/>
                <w:color w:val="auto"/>
                <w:kern w:val="0"/>
                <w:sz w:val="24"/>
                <w:szCs w:val="24"/>
                <w:highlight w:val="none"/>
                <w:lang w:eastAsia="zh-CN"/>
              </w:rPr>
              <w:t>未提供的不得</w:t>
            </w:r>
            <w:r>
              <w:rPr>
                <w:rFonts w:hint="eastAsia" w:ascii="仿宋" w:hAnsi="仿宋" w:eastAsia="仿宋" w:cs="仿宋"/>
                <w:b w:val="0"/>
                <w:bCs w:val="0"/>
                <w:color w:val="auto"/>
                <w:kern w:val="0"/>
                <w:sz w:val="24"/>
                <w:szCs w:val="24"/>
                <w:highlight w:val="none"/>
                <w:lang w:val="en-US" w:eastAsia="zh-CN"/>
              </w:rPr>
              <w:t>分</w:t>
            </w:r>
            <w:r>
              <w:rPr>
                <w:rFonts w:hint="eastAsia" w:ascii="仿宋" w:hAnsi="仿宋" w:eastAsia="仿宋" w:cs="仿宋"/>
                <w:bCs w:val="0"/>
                <w:color w:val="auto"/>
                <w:kern w:val="0"/>
                <w:sz w:val="24"/>
                <w:szCs w:val="24"/>
                <w:highlight w:val="none"/>
                <w:lang w:val="en-US" w:eastAsia="zh-CN" w:bidi="ar-SA"/>
              </w:rPr>
              <w:t>。</w:t>
            </w:r>
          </w:p>
        </w:tc>
        <w:tc>
          <w:tcPr>
            <w:tcW w:w="1092" w:type="dxa"/>
            <w:noWrap w:val="0"/>
            <w:vAlign w:val="center"/>
          </w:tcPr>
          <w:p>
            <w:pPr>
              <w:pStyle w:val="58"/>
              <w:spacing w:before="0" w:beforeAutospacing="0" w:after="0" w:afterAutospacing="0" w:line="340" w:lineRule="exact"/>
              <w:jc w:val="center"/>
              <w:rPr>
                <w:rFonts w:hint="eastAsia" w:ascii="仿宋" w:hAnsi="仿宋" w:eastAsia="仿宋" w:cs="仿宋"/>
                <w:color w:val="auto"/>
                <w:sz w:val="24"/>
                <w:szCs w:val="24"/>
                <w:highlight w:val="none"/>
                <w:shd w:val="clear" w:color="auto" w:fill="FBFDFE"/>
                <w:lang w:val="en-US" w:eastAsia="zh-CN"/>
              </w:rPr>
            </w:pPr>
            <w:r>
              <w:rPr>
                <w:rFonts w:hint="eastAsia" w:ascii="仿宋" w:hAnsi="仿宋" w:eastAsia="仿宋" w:cs="仿宋"/>
                <w:color w:val="auto"/>
                <w:sz w:val="24"/>
                <w:szCs w:val="24"/>
                <w:highlight w:val="none"/>
                <w:shd w:val="clear" w:color="auto" w:fill="FBFDFE"/>
                <w:lang w:val="en-US" w:eastAsia="zh-CN"/>
              </w:rPr>
              <w:t>0-5分</w:t>
            </w:r>
          </w:p>
        </w:tc>
        <w:tc>
          <w:tcPr>
            <w:tcW w:w="1092" w:type="dxa"/>
            <w:noWrap w:val="0"/>
            <w:vAlign w:val="center"/>
          </w:tcPr>
          <w:p>
            <w:pPr>
              <w:pStyle w:val="58"/>
              <w:spacing w:before="0" w:beforeAutospacing="0" w:after="0" w:afterAutospacing="0" w:line="340" w:lineRule="exact"/>
              <w:jc w:val="center"/>
              <w:rPr>
                <w:rFonts w:hint="eastAsia" w:ascii="仿宋" w:hAnsi="仿宋" w:eastAsia="仿宋" w:cs="仿宋"/>
                <w:color w:val="auto"/>
                <w:sz w:val="24"/>
                <w:szCs w:val="24"/>
                <w:highlight w:val="none"/>
                <w:shd w:val="clear" w:color="auto" w:fill="FBFDFE"/>
                <w:lang w:val="en-US" w:eastAsia="zh-CN"/>
              </w:rPr>
            </w:pPr>
            <w:r>
              <w:rPr>
                <w:rFonts w:hint="eastAsia" w:ascii="仿宋" w:hAnsi="仿宋" w:eastAsia="仿宋" w:cs="仿宋"/>
                <w:color w:val="auto"/>
                <w:sz w:val="24"/>
                <w:szCs w:val="24"/>
                <w:highlight w:val="none"/>
                <w:shd w:val="clear" w:color="auto" w:fill="FBFDF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Merge w:val="continue"/>
            <w:noWrap w:val="0"/>
            <w:vAlign w:val="center"/>
          </w:tcPr>
          <w:p>
            <w:pPr>
              <w:pStyle w:val="25"/>
              <w:snapToGrid w:val="0"/>
              <w:spacing w:line="340" w:lineRule="exact"/>
              <w:ind w:firstLine="0" w:firstLineChars="0"/>
              <w:jc w:val="center"/>
              <w:rPr>
                <w:rFonts w:hint="eastAsia" w:ascii="仿宋" w:hAnsi="仿宋" w:eastAsia="仿宋" w:cs="仿宋"/>
                <w:bCs/>
                <w:color w:val="auto"/>
                <w:sz w:val="24"/>
                <w:szCs w:val="24"/>
                <w:highlight w:val="none"/>
                <w:lang w:val="en-US" w:eastAsia="zh-CN"/>
              </w:rPr>
            </w:pPr>
          </w:p>
        </w:tc>
        <w:tc>
          <w:tcPr>
            <w:tcW w:w="1212" w:type="dxa"/>
            <w:vMerge w:val="continue"/>
            <w:noWrap w:val="0"/>
            <w:vAlign w:val="center"/>
          </w:tcPr>
          <w:p>
            <w:pPr>
              <w:spacing w:line="340" w:lineRule="exact"/>
              <w:jc w:val="center"/>
              <w:rPr>
                <w:rFonts w:hint="eastAsia" w:ascii="仿宋" w:hAnsi="仿宋" w:eastAsia="仿宋" w:cs="仿宋"/>
                <w:color w:val="auto"/>
                <w:sz w:val="24"/>
                <w:szCs w:val="24"/>
                <w:highlight w:val="none"/>
              </w:rPr>
            </w:pPr>
          </w:p>
        </w:tc>
        <w:tc>
          <w:tcPr>
            <w:tcW w:w="6085" w:type="dxa"/>
            <w:noWrap w:val="0"/>
            <w:vAlign w:val="center"/>
          </w:tcPr>
          <w:p>
            <w:pPr>
              <w:spacing w:line="360" w:lineRule="exact"/>
              <w:jc w:val="left"/>
              <w:rPr>
                <w:rFonts w:hint="eastAsia" w:ascii="仿宋" w:hAnsi="仿宋" w:eastAsia="仿宋" w:cs="仿宋"/>
                <w:bCs w:val="0"/>
                <w:color w:val="auto"/>
                <w:kern w:val="0"/>
                <w:sz w:val="24"/>
                <w:szCs w:val="24"/>
                <w:highlight w:val="none"/>
                <w:lang w:val="en-US" w:eastAsia="zh-CN" w:bidi="ar-SA"/>
              </w:rPr>
            </w:pPr>
            <w:r>
              <w:rPr>
                <w:rFonts w:hint="eastAsia" w:ascii="仿宋" w:hAnsi="仿宋" w:eastAsia="仿宋" w:cs="仿宋"/>
                <w:bCs w:val="0"/>
                <w:color w:val="auto"/>
                <w:kern w:val="0"/>
                <w:sz w:val="24"/>
                <w:szCs w:val="24"/>
                <w:highlight w:val="none"/>
                <w:lang w:val="en-US" w:eastAsia="zh-CN" w:bidi="ar-SA"/>
              </w:rPr>
              <w:t>投标人对采购人现有系统软硬件资源、业务和数据状况及其他资源、环境的熟悉程度。包括是否在原项目成果基础上完善和拓展；是否有较好方案实现现有功能的正常运行，并实现有效升级的方案和措施；是否在开发、试运行过程中，不影响原有系统的正常运行，保证系统平滑过渡确保原先系统的平稳运行。</w:t>
            </w:r>
            <w:r>
              <w:rPr>
                <w:rFonts w:hint="eastAsia" w:ascii="仿宋" w:hAnsi="仿宋" w:eastAsia="仿宋" w:cs="仿宋"/>
                <w:i w:val="0"/>
                <w:iCs w:val="0"/>
                <w:caps w:val="0"/>
                <w:color w:val="auto"/>
                <w:spacing w:val="0"/>
                <w:kern w:val="0"/>
                <w:sz w:val="24"/>
                <w:szCs w:val="24"/>
                <w:highlight w:val="none"/>
                <w:shd w:val="clear"/>
              </w:rPr>
              <w:t>完全符合标准或要求</w:t>
            </w:r>
            <w:r>
              <w:rPr>
                <w:rFonts w:hint="eastAsia" w:ascii="仿宋" w:hAnsi="仿宋" w:eastAsia="仿宋" w:cs="仿宋"/>
                <w:b w:val="0"/>
                <w:bCs w:val="0"/>
                <w:color w:val="auto"/>
                <w:kern w:val="0"/>
                <w:sz w:val="24"/>
                <w:szCs w:val="24"/>
                <w:highlight w:val="none"/>
              </w:rPr>
              <w:t>的得5分，</w:t>
            </w:r>
            <w:r>
              <w:rPr>
                <w:rFonts w:hint="eastAsia" w:ascii="仿宋" w:hAnsi="仿宋" w:eastAsia="仿宋" w:cs="仿宋"/>
                <w:i w:val="0"/>
                <w:iCs w:val="0"/>
                <w:caps w:val="0"/>
                <w:color w:val="auto"/>
                <w:spacing w:val="0"/>
                <w:kern w:val="0"/>
                <w:sz w:val="24"/>
                <w:szCs w:val="24"/>
                <w:highlight w:val="none"/>
                <w:shd w:val="clear"/>
              </w:rPr>
              <w:t>基本符合标准或要求</w:t>
            </w:r>
            <w:r>
              <w:rPr>
                <w:rFonts w:hint="eastAsia" w:ascii="仿宋" w:hAnsi="仿宋" w:eastAsia="仿宋" w:cs="仿宋"/>
                <w:b w:val="0"/>
                <w:bCs w:val="0"/>
                <w:color w:val="auto"/>
                <w:kern w:val="0"/>
                <w:sz w:val="24"/>
                <w:szCs w:val="24"/>
                <w:highlight w:val="none"/>
              </w:rPr>
              <w:t>的得</w:t>
            </w:r>
            <w:r>
              <w:rPr>
                <w:rFonts w:hint="eastAsia" w:ascii="仿宋" w:hAnsi="仿宋" w:eastAsia="仿宋" w:cs="仿宋"/>
                <w:b w:val="0"/>
                <w:bCs w:val="0"/>
                <w:color w:val="auto"/>
                <w:kern w:val="0"/>
                <w:sz w:val="24"/>
                <w:szCs w:val="24"/>
                <w:highlight w:val="none"/>
                <w:lang w:val="en-US" w:eastAsia="zh-CN"/>
              </w:rPr>
              <w:t>4</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eastAsia="zh-CN"/>
              </w:rPr>
              <w:t>，稍显不足的得</w:t>
            </w:r>
            <w:r>
              <w:rPr>
                <w:rFonts w:hint="eastAsia" w:ascii="仿宋" w:hAnsi="仿宋" w:eastAsia="仿宋" w:cs="仿宋"/>
                <w:b w:val="0"/>
                <w:bCs w:val="0"/>
                <w:color w:val="auto"/>
                <w:kern w:val="0"/>
                <w:sz w:val="24"/>
                <w:szCs w:val="24"/>
                <w:highlight w:val="none"/>
                <w:lang w:val="en-US" w:eastAsia="zh-CN"/>
              </w:rPr>
              <w:t>3分，</w:t>
            </w:r>
            <w:r>
              <w:rPr>
                <w:rFonts w:hint="eastAsia" w:ascii="仿宋" w:hAnsi="仿宋" w:eastAsia="仿宋" w:cs="仿宋"/>
                <w:i w:val="0"/>
                <w:iCs w:val="0"/>
                <w:caps w:val="0"/>
                <w:color w:val="auto"/>
                <w:spacing w:val="0"/>
                <w:kern w:val="0"/>
                <w:sz w:val="24"/>
                <w:szCs w:val="24"/>
                <w:highlight w:val="none"/>
                <w:shd w:val="clear"/>
                <w:lang w:eastAsia="zh-CN"/>
              </w:rPr>
              <w:t>一般化</w:t>
            </w:r>
            <w:r>
              <w:rPr>
                <w:rFonts w:hint="eastAsia" w:ascii="仿宋" w:hAnsi="仿宋" w:eastAsia="仿宋" w:cs="仿宋"/>
                <w:b w:val="0"/>
                <w:bCs w:val="0"/>
                <w:color w:val="auto"/>
                <w:kern w:val="0"/>
                <w:sz w:val="24"/>
                <w:szCs w:val="24"/>
                <w:highlight w:val="none"/>
              </w:rPr>
              <w:t>的</w:t>
            </w:r>
            <w:r>
              <w:rPr>
                <w:rFonts w:hint="eastAsia" w:ascii="仿宋" w:hAnsi="仿宋" w:eastAsia="仿宋" w:cs="仿宋"/>
                <w:b w:val="0"/>
                <w:bCs w:val="0"/>
                <w:color w:val="auto"/>
                <w:kern w:val="0"/>
                <w:sz w:val="24"/>
                <w:szCs w:val="24"/>
                <w:highlight w:val="none"/>
                <w:lang w:eastAsia="zh-CN"/>
              </w:rPr>
              <w:t>得</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eastAsia="zh-CN"/>
              </w:rPr>
              <w:t>严重不足的得</w:t>
            </w:r>
            <w:r>
              <w:rPr>
                <w:rFonts w:hint="eastAsia" w:ascii="仿宋" w:hAnsi="仿宋" w:eastAsia="仿宋" w:cs="仿宋"/>
                <w:b w:val="0"/>
                <w:bCs w:val="0"/>
                <w:color w:val="auto"/>
                <w:kern w:val="0"/>
                <w:sz w:val="24"/>
                <w:szCs w:val="24"/>
                <w:highlight w:val="none"/>
                <w:lang w:val="en-US" w:eastAsia="zh-CN"/>
              </w:rPr>
              <w:t>1分，</w:t>
            </w:r>
            <w:r>
              <w:rPr>
                <w:rFonts w:hint="eastAsia" w:ascii="仿宋" w:hAnsi="仿宋" w:eastAsia="仿宋" w:cs="仿宋"/>
                <w:b w:val="0"/>
                <w:bCs w:val="0"/>
                <w:color w:val="auto"/>
                <w:kern w:val="0"/>
                <w:sz w:val="24"/>
                <w:szCs w:val="24"/>
                <w:highlight w:val="none"/>
                <w:lang w:eastAsia="zh-CN"/>
              </w:rPr>
              <w:t>未提供的不得</w:t>
            </w:r>
            <w:r>
              <w:rPr>
                <w:rFonts w:hint="eastAsia" w:ascii="仿宋" w:hAnsi="仿宋" w:eastAsia="仿宋" w:cs="仿宋"/>
                <w:b w:val="0"/>
                <w:bCs w:val="0"/>
                <w:color w:val="auto"/>
                <w:kern w:val="0"/>
                <w:sz w:val="24"/>
                <w:szCs w:val="24"/>
                <w:highlight w:val="none"/>
                <w:lang w:val="en-US" w:eastAsia="zh-CN"/>
              </w:rPr>
              <w:t>分</w:t>
            </w:r>
            <w:r>
              <w:rPr>
                <w:rFonts w:hint="eastAsia" w:ascii="仿宋" w:hAnsi="仿宋" w:eastAsia="仿宋" w:cs="仿宋"/>
                <w:bCs w:val="0"/>
                <w:color w:val="auto"/>
                <w:kern w:val="0"/>
                <w:sz w:val="24"/>
                <w:szCs w:val="24"/>
                <w:highlight w:val="none"/>
                <w:lang w:val="en-US" w:eastAsia="zh-CN" w:bidi="ar-SA"/>
              </w:rPr>
              <w:t>。</w:t>
            </w:r>
          </w:p>
        </w:tc>
        <w:tc>
          <w:tcPr>
            <w:tcW w:w="1092" w:type="dxa"/>
            <w:noWrap w:val="0"/>
            <w:vAlign w:val="center"/>
          </w:tcPr>
          <w:p>
            <w:pPr>
              <w:pStyle w:val="58"/>
              <w:spacing w:before="0" w:beforeAutospacing="0" w:after="0" w:afterAutospacing="0" w:line="340" w:lineRule="exact"/>
              <w:jc w:val="center"/>
              <w:rPr>
                <w:rFonts w:hint="eastAsia" w:ascii="仿宋" w:hAnsi="仿宋" w:eastAsia="仿宋" w:cs="仿宋"/>
                <w:color w:val="auto"/>
                <w:sz w:val="24"/>
                <w:szCs w:val="24"/>
                <w:highlight w:val="none"/>
                <w:shd w:val="clear" w:color="auto" w:fill="FBFDFE"/>
                <w:lang w:val="en-US" w:eastAsia="zh-CN"/>
              </w:rPr>
            </w:pPr>
            <w:r>
              <w:rPr>
                <w:rFonts w:hint="eastAsia" w:ascii="仿宋" w:hAnsi="仿宋" w:eastAsia="仿宋" w:cs="仿宋"/>
                <w:color w:val="auto"/>
                <w:sz w:val="24"/>
                <w:szCs w:val="24"/>
                <w:highlight w:val="none"/>
                <w:shd w:val="clear" w:color="auto" w:fill="FBFDFE"/>
                <w:lang w:val="en-US" w:eastAsia="zh-CN"/>
              </w:rPr>
              <w:t>0-5分</w:t>
            </w:r>
          </w:p>
        </w:tc>
        <w:tc>
          <w:tcPr>
            <w:tcW w:w="1092" w:type="dxa"/>
            <w:noWrap w:val="0"/>
            <w:vAlign w:val="center"/>
          </w:tcPr>
          <w:p>
            <w:pPr>
              <w:pStyle w:val="58"/>
              <w:spacing w:before="0" w:beforeAutospacing="0" w:after="0" w:afterAutospacing="0" w:line="340" w:lineRule="exact"/>
              <w:jc w:val="center"/>
              <w:rPr>
                <w:rFonts w:hint="eastAsia" w:ascii="仿宋" w:hAnsi="仿宋" w:eastAsia="仿宋" w:cs="仿宋"/>
                <w:color w:val="auto"/>
                <w:sz w:val="24"/>
                <w:szCs w:val="24"/>
                <w:highlight w:val="none"/>
                <w:shd w:val="clear" w:color="auto" w:fill="FBFDFE"/>
                <w:lang w:val="en-US" w:eastAsia="zh-CN"/>
              </w:rPr>
            </w:pPr>
            <w:r>
              <w:rPr>
                <w:rFonts w:hint="eastAsia" w:ascii="仿宋" w:hAnsi="仿宋" w:eastAsia="仿宋" w:cs="仿宋"/>
                <w:color w:val="auto"/>
                <w:sz w:val="24"/>
                <w:szCs w:val="24"/>
                <w:highlight w:val="none"/>
                <w:shd w:val="clear" w:color="auto" w:fill="FBFDF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Merge w:val="continue"/>
            <w:noWrap w:val="0"/>
            <w:vAlign w:val="center"/>
          </w:tcPr>
          <w:p>
            <w:pPr>
              <w:pStyle w:val="25"/>
              <w:snapToGrid w:val="0"/>
              <w:spacing w:line="340" w:lineRule="exact"/>
              <w:ind w:firstLine="0" w:firstLineChars="0"/>
              <w:jc w:val="center"/>
              <w:rPr>
                <w:rFonts w:hint="eastAsia" w:ascii="仿宋" w:hAnsi="仿宋" w:eastAsia="仿宋" w:cs="仿宋"/>
                <w:bCs/>
                <w:color w:val="auto"/>
                <w:sz w:val="24"/>
                <w:szCs w:val="24"/>
                <w:highlight w:val="none"/>
                <w:lang w:val="en-US" w:eastAsia="zh-CN"/>
              </w:rPr>
            </w:pPr>
          </w:p>
        </w:tc>
        <w:tc>
          <w:tcPr>
            <w:tcW w:w="1212" w:type="dxa"/>
            <w:vMerge w:val="continue"/>
            <w:noWrap w:val="0"/>
            <w:vAlign w:val="center"/>
          </w:tcPr>
          <w:p>
            <w:pPr>
              <w:spacing w:line="340" w:lineRule="exact"/>
              <w:jc w:val="center"/>
              <w:rPr>
                <w:rFonts w:hint="eastAsia" w:ascii="仿宋" w:hAnsi="仿宋" w:eastAsia="仿宋" w:cs="仿宋"/>
                <w:color w:val="auto"/>
                <w:sz w:val="24"/>
                <w:szCs w:val="24"/>
                <w:highlight w:val="none"/>
              </w:rPr>
            </w:pPr>
          </w:p>
        </w:tc>
        <w:tc>
          <w:tcPr>
            <w:tcW w:w="6085" w:type="dxa"/>
            <w:noWrap w:val="0"/>
            <w:vAlign w:val="center"/>
          </w:tcPr>
          <w:p>
            <w:pPr>
              <w:pStyle w:val="58"/>
              <w:adjustRightInd/>
              <w:spacing w:before="0" w:beforeAutospacing="0" w:after="0" w:afterAutospacing="0" w:line="360" w:lineRule="exact"/>
              <w:rPr>
                <w:rFonts w:hint="eastAsia" w:ascii="仿宋" w:hAnsi="仿宋" w:eastAsia="仿宋" w:cs="仿宋"/>
                <w:bCs w:val="0"/>
                <w:color w:val="auto"/>
                <w:kern w:val="0"/>
                <w:sz w:val="24"/>
                <w:szCs w:val="24"/>
                <w:highlight w:val="none"/>
                <w:lang w:val="en-US" w:eastAsia="zh-CN" w:bidi="ar-SA"/>
              </w:rPr>
            </w:pPr>
            <w:r>
              <w:rPr>
                <w:rFonts w:hint="eastAsia" w:ascii="仿宋" w:hAnsi="仿宋" w:eastAsia="仿宋" w:cs="仿宋"/>
                <w:bCs w:val="0"/>
                <w:color w:val="auto"/>
                <w:kern w:val="0"/>
                <w:sz w:val="24"/>
                <w:szCs w:val="24"/>
                <w:highlight w:val="none"/>
                <w:lang w:val="en-US" w:eastAsia="zh-CN" w:bidi="ar-SA"/>
              </w:rPr>
              <w:t>投标人对于现有系统结构框架的优化设计建议和完善情况，方案对系统实施可能遇到的问题及其应对措施的考虑情况等。</w:t>
            </w:r>
            <w:r>
              <w:rPr>
                <w:rFonts w:hint="eastAsia" w:ascii="仿宋" w:hAnsi="仿宋" w:eastAsia="仿宋" w:cs="仿宋"/>
                <w:b w:val="0"/>
                <w:bCs w:val="0"/>
                <w:color w:val="auto"/>
                <w:kern w:val="0"/>
                <w:sz w:val="24"/>
                <w:szCs w:val="24"/>
                <w:highlight w:val="none"/>
              </w:rPr>
              <w:t>针对性强、科学合理的得</w:t>
            </w:r>
            <w:r>
              <w:rPr>
                <w:rFonts w:hint="eastAsia" w:ascii="仿宋" w:hAnsi="仿宋" w:eastAsia="仿宋" w:cs="仿宋"/>
                <w:b w:val="0"/>
                <w:bCs w:val="0"/>
                <w:color w:val="auto"/>
                <w:kern w:val="0"/>
                <w:sz w:val="24"/>
                <w:szCs w:val="24"/>
                <w:highlight w:val="none"/>
                <w:lang w:val="en-US" w:eastAsia="zh-CN"/>
              </w:rPr>
              <w:t>3</w:t>
            </w:r>
            <w:r>
              <w:rPr>
                <w:rFonts w:hint="eastAsia" w:ascii="仿宋" w:hAnsi="仿宋" w:eastAsia="仿宋" w:cs="仿宋"/>
                <w:b w:val="0"/>
                <w:bCs w:val="0"/>
                <w:color w:val="auto"/>
                <w:kern w:val="0"/>
                <w:sz w:val="24"/>
                <w:szCs w:val="24"/>
                <w:highlight w:val="none"/>
              </w:rPr>
              <w:t>分，基本合理的</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分，尚有不足的得</w:t>
            </w:r>
            <w:r>
              <w:rPr>
                <w:rFonts w:hint="eastAsia" w:ascii="仿宋" w:hAnsi="仿宋" w:eastAsia="仿宋" w:cs="仿宋"/>
                <w:b w:val="0"/>
                <w:bCs w:val="0"/>
                <w:color w:val="auto"/>
                <w:kern w:val="0"/>
                <w:sz w:val="24"/>
                <w:szCs w:val="24"/>
                <w:highlight w:val="none"/>
                <w:lang w:val="en-US" w:eastAsia="zh-CN"/>
              </w:rPr>
              <w:t>1</w:t>
            </w:r>
            <w:r>
              <w:rPr>
                <w:rFonts w:hint="eastAsia" w:ascii="仿宋" w:hAnsi="仿宋" w:eastAsia="仿宋" w:cs="仿宋"/>
                <w:b w:val="0"/>
                <w:bCs w:val="0"/>
                <w:color w:val="auto"/>
                <w:kern w:val="0"/>
                <w:sz w:val="24"/>
                <w:szCs w:val="24"/>
                <w:highlight w:val="none"/>
              </w:rPr>
              <w:t>分，完全不符或未提供的不</w:t>
            </w:r>
            <w:r>
              <w:rPr>
                <w:rFonts w:hint="eastAsia" w:ascii="仿宋" w:hAnsi="仿宋" w:eastAsia="仿宋" w:cs="仿宋"/>
                <w:bCs w:val="0"/>
                <w:color w:val="auto"/>
                <w:kern w:val="0"/>
                <w:sz w:val="24"/>
                <w:szCs w:val="24"/>
                <w:highlight w:val="none"/>
                <w:lang w:val="en-US" w:eastAsia="zh-CN" w:bidi="ar-SA"/>
              </w:rPr>
              <w:t>得分。</w:t>
            </w:r>
          </w:p>
        </w:tc>
        <w:tc>
          <w:tcPr>
            <w:tcW w:w="1092" w:type="dxa"/>
            <w:noWrap w:val="0"/>
            <w:vAlign w:val="center"/>
          </w:tcPr>
          <w:p>
            <w:pPr>
              <w:pStyle w:val="58"/>
              <w:spacing w:before="0" w:beforeAutospacing="0" w:after="0" w:afterAutospacing="0" w:line="340" w:lineRule="exact"/>
              <w:jc w:val="center"/>
              <w:rPr>
                <w:rFonts w:hint="eastAsia" w:ascii="仿宋" w:hAnsi="仿宋" w:eastAsia="仿宋" w:cs="仿宋"/>
                <w:color w:val="auto"/>
                <w:sz w:val="24"/>
                <w:szCs w:val="24"/>
                <w:highlight w:val="none"/>
                <w:shd w:val="clear" w:color="auto" w:fill="FBFDFE"/>
                <w:lang w:val="en-US" w:eastAsia="zh-CN"/>
              </w:rPr>
            </w:pPr>
            <w:r>
              <w:rPr>
                <w:rFonts w:hint="eastAsia" w:ascii="仿宋" w:hAnsi="仿宋" w:eastAsia="仿宋" w:cs="仿宋"/>
                <w:color w:val="auto"/>
                <w:sz w:val="24"/>
                <w:szCs w:val="24"/>
                <w:highlight w:val="none"/>
                <w:shd w:val="clear" w:color="auto" w:fill="FBFDFE"/>
                <w:lang w:val="en-US" w:eastAsia="zh-CN"/>
              </w:rPr>
              <w:t>0-3分</w:t>
            </w:r>
          </w:p>
        </w:tc>
        <w:tc>
          <w:tcPr>
            <w:tcW w:w="1092" w:type="dxa"/>
            <w:noWrap w:val="0"/>
            <w:vAlign w:val="center"/>
          </w:tcPr>
          <w:p>
            <w:pPr>
              <w:pStyle w:val="58"/>
              <w:spacing w:before="0" w:beforeAutospacing="0" w:after="0" w:afterAutospacing="0" w:line="340" w:lineRule="exact"/>
              <w:jc w:val="center"/>
              <w:rPr>
                <w:rFonts w:hint="eastAsia" w:ascii="仿宋" w:hAnsi="仿宋" w:eastAsia="仿宋" w:cs="仿宋"/>
                <w:color w:val="auto"/>
                <w:sz w:val="24"/>
                <w:szCs w:val="24"/>
                <w:highlight w:val="none"/>
                <w:shd w:val="clear" w:color="auto" w:fill="FBFDFE"/>
                <w:lang w:val="en-US" w:eastAsia="zh-CN"/>
              </w:rPr>
            </w:pPr>
            <w:r>
              <w:rPr>
                <w:rFonts w:hint="eastAsia" w:ascii="仿宋" w:hAnsi="仿宋" w:eastAsia="仿宋" w:cs="仿宋"/>
                <w:color w:val="auto"/>
                <w:sz w:val="24"/>
                <w:szCs w:val="24"/>
                <w:highlight w:val="none"/>
                <w:shd w:val="clear" w:color="auto" w:fill="FBFDF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86" w:type="dxa"/>
            <w:vMerge w:val="restart"/>
            <w:noWrap w:val="0"/>
            <w:vAlign w:val="center"/>
          </w:tcPr>
          <w:p>
            <w:pPr>
              <w:pStyle w:val="25"/>
              <w:snapToGrid w:val="0"/>
              <w:spacing w:line="340" w:lineRule="exact"/>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1212" w:type="dxa"/>
            <w:noWrap w:val="0"/>
            <w:vAlign w:val="center"/>
          </w:tcPr>
          <w:p>
            <w:pPr>
              <w:spacing w:line="340" w:lineRule="exact"/>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系统特性</w:t>
            </w:r>
          </w:p>
        </w:tc>
        <w:tc>
          <w:tcPr>
            <w:tcW w:w="6085" w:type="dxa"/>
            <w:noWrap w:val="0"/>
            <w:vAlign w:val="center"/>
          </w:tcPr>
          <w:p>
            <w:pPr>
              <w:pStyle w:val="58"/>
              <w:adjustRightInd/>
              <w:spacing w:before="0" w:beforeAutospacing="0" w:after="0" w:afterAutospacing="0" w:line="360" w:lineRule="exact"/>
              <w:ind w:firstLine="0" w:firstLineChars="0"/>
              <w:rPr>
                <w:rFonts w:hint="eastAsia" w:ascii="仿宋" w:hAnsi="仿宋" w:eastAsia="仿宋" w:cs="仿宋"/>
                <w:bCs w:val="0"/>
                <w:color w:val="auto"/>
                <w:kern w:val="0"/>
                <w:sz w:val="24"/>
                <w:szCs w:val="24"/>
                <w:highlight w:val="none"/>
                <w:lang w:val="en-US" w:eastAsia="zh-CN" w:bidi="ar-SA"/>
              </w:rPr>
            </w:pPr>
            <w:r>
              <w:rPr>
                <w:rFonts w:hint="eastAsia" w:ascii="仿宋" w:hAnsi="仿宋" w:eastAsia="仿宋" w:cs="仿宋"/>
                <w:bCs w:val="0"/>
                <w:color w:val="auto"/>
                <w:kern w:val="0"/>
                <w:sz w:val="24"/>
                <w:szCs w:val="24"/>
                <w:highlight w:val="none"/>
                <w:lang w:val="en-US" w:eastAsia="zh-CN" w:bidi="ar-SA"/>
              </w:rPr>
              <w:t>对功能要求的响应情况，完全满足功能要求的得26分，带“█”重要条款负偏离一项扣2分，需提供相关截图，不提供截图不得分；其他一般条目负偏离一项扣1分，直至扣完为止。</w:t>
            </w:r>
          </w:p>
        </w:tc>
        <w:tc>
          <w:tcPr>
            <w:tcW w:w="1092" w:type="dxa"/>
            <w:noWrap w:val="0"/>
            <w:vAlign w:val="center"/>
          </w:tcPr>
          <w:p>
            <w:pPr>
              <w:pStyle w:val="58"/>
              <w:spacing w:before="0" w:beforeAutospacing="0" w:after="0" w:afterAutospacing="0" w:line="340" w:lineRule="exact"/>
              <w:jc w:val="center"/>
              <w:rPr>
                <w:rFonts w:hint="eastAsia" w:ascii="仿宋" w:hAnsi="仿宋" w:eastAsia="仿宋" w:cs="仿宋"/>
                <w:color w:val="auto"/>
                <w:sz w:val="24"/>
                <w:szCs w:val="24"/>
                <w:highlight w:val="none"/>
                <w:shd w:val="clear" w:color="auto" w:fill="FBFDFE"/>
                <w:lang w:val="en-US" w:eastAsia="zh-CN"/>
              </w:rPr>
            </w:pPr>
            <w:r>
              <w:rPr>
                <w:rFonts w:hint="eastAsia" w:ascii="仿宋" w:hAnsi="仿宋" w:eastAsia="仿宋" w:cs="仿宋"/>
                <w:color w:val="auto"/>
                <w:sz w:val="24"/>
                <w:szCs w:val="24"/>
                <w:highlight w:val="none"/>
                <w:shd w:val="clear" w:color="auto" w:fill="FBFDFE"/>
                <w:lang w:val="en-US" w:eastAsia="zh-CN"/>
              </w:rPr>
              <w:t>0-26分</w:t>
            </w:r>
          </w:p>
        </w:tc>
        <w:tc>
          <w:tcPr>
            <w:tcW w:w="1092" w:type="dxa"/>
            <w:noWrap w:val="0"/>
            <w:vAlign w:val="center"/>
          </w:tcPr>
          <w:p>
            <w:pPr>
              <w:pStyle w:val="58"/>
              <w:spacing w:before="0" w:beforeAutospacing="0" w:after="0" w:afterAutospacing="0" w:line="340" w:lineRule="exact"/>
              <w:jc w:val="center"/>
              <w:rPr>
                <w:rFonts w:hint="eastAsia" w:ascii="仿宋" w:hAnsi="仿宋" w:eastAsia="仿宋" w:cs="仿宋"/>
                <w:color w:val="auto"/>
                <w:sz w:val="24"/>
                <w:szCs w:val="24"/>
                <w:highlight w:val="none"/>
                <w:shd w:val="clear" w:color="auto" w:fill="FBFDFE"/>
                <w:lang w:val="en-US" w:eastAsia="zh-CN"/>
              </w:rPr>
            </w:pPr>
            <w:r>
              <w:rPr>
                <w:rFonts w:hint="eastAsia" w:ascii="仿宋" w:hAnsi="仿宋" w:eastAsia="仿宋" w:cs="仿宋"/>
                <w:color w:val="auto"/>
                <w:sz w:val="24"/>
                <w:szCs w:val="24"/>
                <w:highlight w:val="none"/>
                <w:shd w:val="clear" w:color="auto" w:fill="FBFDF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686" w:type="dxa"/>
            <w:vMerge w:val="continue"/>
            <w:noWrap w:val="0"/>
            <w:vAlign w:val="center"/>
          </w:tcPr>
          <w:p>
            <w:pPr>
              <w:pStyle w:val="58"/>
              <w:adjustRightInd/>
              <w:spacing w:before="0" w:beforeAutospacing="0" w:after="0" w:afterAutospacing="0" w:line="360" w:lineRule="exact"/>
              <w:ind w:firstLine="0" w:firstLineChars="0"/>
              <w:rPr>
                <w:rFonts w:hint="eastAsia" w:ascii="仿宋" w:hAnsi="仿宋" w:eastAsia="仿宋" w:cs="仿宋"/>
                <w:color w:val="auto"/>
                <w:sz w:val="24"/>
                <w:szCs w:val="24"/>
                <w:highlight w:val="none"/>
              </w:rPr>
            </w:pPr>
          </w:p>
        </w:tc>
        <w:tc>
          <w:tcPr>
            <w:tcW w:w="1212" w:type="dxa"/>
            <w:vMerge w:val="restart"/>
            <w:noWrap w:val="0"/>
            <w:vAlign w:val="center"/>
          </w:tcPr>
          <w:p>
            <w:pPr>
              <w:pStyle w:val="58"/>
              <w:adjustRightInd/>
              <w:spacing w:before="0" w:beforeAutospacing="0" w:after="0" w:afterAutospacing="0" w:line="3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业务功能建设方案</w:t>
            </w:r>
          </w:p>
        </w:tc>
        <w:tc>
          <w:tcPr>
            <w:tcW w:w="6085" w:type="dxa"/>
            <w:noWrap w:val="0"/>
            <w:vAlign w:val="center"/>
          </w:tcPr>
          <w:p>
            <w:pPr>
              <w:spacing w:line="360" w:lineRule="exact"/>
              <w:jc w:val="left"/>
              <w:rPr>
                <w:rFonts w:hint="eastAsia" w:ascii="仿宋" w:hAnsi="仿宋" w:eastAsia="仿宋" w:cs="仿宋"/>
                <w:bCs w:val="0"/>
                <w:color w:val="auto"/>
                <w:kern w:val="0"/>
                <w:sz w:val="24"/>
                <w:szCs w:val="24"/>
                <w:highlight w:val="none"/>
                <w:lang w:val="en-US" w:eastAsia="zh-CN" w:bidi="ar-SA"/>
              </w:rPr>
            </w:pPr>
            <w:r>
              <w:rPr>
                <w:rFonts w:hint="eastAsia" w:ascii="仿宋" w:hAnsi="仿宋" w:eastAsia="仿宋" w:cs="仿宋"/>
                <w:bCs w:val="0"/>
                <w:color w:val="auto"/>
                <w:kern w:val="0"/>
                <w:sz w:val="24"/>
                <w:szCs w:val="24"/>
                <w:highlight w:val="none"/>
                <w:lang w:val="en-US" w:eastAsia="zh-CN" w:bidi="ar-SA"/>
              </w:rPr>
              <w:t>数据迁移方案，投标人原系统数据可无缝迁移到新系统，并且无需通过单点登录至旧系统即可查询原有系统数据。</w:t>
            </w:r>
            <w:r>
              <w:rPr>
                <w:rFonts w:hint="eastAsia" w:ascii="仿宋" w:hAnsi="仿宋" w:eastAsia="仿宋" w:cs="仿宋"/>
                <w:i w:val="0"/>
                <w:iCs w:val="0"/>
                <w:caps w:val="0"/>
                <w:color w:val="auto"/>
                <w:spacing w:val="0"/>
                <w:kern w:val="0"/>
                <w:sz w:val="24"/>
                <w:szCs w:val="24"/>
                <w:highlight w:val="none"/>
                <w:shd w:val="clear"/>
              </w:rPr>
              <w:t>完全符合标准或要求</w:t>
            </w:r>
            <w:r>
              <w:rPr>
                <w:rFonts w:hint="eastAsia" w:ascii="仿宋" w:hAnsi="仿宋" w:eastAsia="仿宋" w:cs="仿宋"/>
                <w:b w:val="0"/>
                <w:bCs w:val="0"/>
                <w:color w:val="auto"/>
                <w:kern w:val="0"/>
                <w:sz w:val="24"/>
                <w:szCs w:val="24"/>
                <w:highlight w:val="none"/>
              </w:rPr>
              <w:t>的得5分，</w:t>
            </w:r>
            <w:r>
              <w:rPr>
                <w:rFonts w:hint="eastAsia" w:ascii="仿宋" w:hAnsi="仿宋" w:eastAsia="仿宋" w:cs="仿宋"/>
                <w:i w:val="0"/>
                <w:iCs w:val="0"/>
                <w:caps w:val="0"/>
                <w:color w:val="auto"/>
                <w:spacing w:val="0"/>
                <w:kern w:val="0"/>
                <w:sz w:val="24"/>
                <w:szCs w:val="24"/>
                <w:highlight w:val="none"/>
                <w:shd w:val="clear"/>
              </w:rPr>
              <w:t>基本符合标准或要求</w:t>
            </w:r>
            <w:r>
              <w:rPr>
                <w:rFonts w:hint="eastAsia" w:ascii="仿宋" w:hAnsi="仿宋" w:eastAsia="仿宋" w:cs="仿宋"/>
                <w:b w:val="0"/>
                <w:bCs w:val="0"/>
                <w:color w:val="auto"/>
                <w:kern w:val="0"/>
                <w:sz w:val="24"/>
                <w:szCs w:val="24"/>
                <w:highlight w:val="none"/>
              </w:rPr>
              <w:t>的得</w:t>
            </w:r>
            <w:r>
              <w:rPr>
                <w:rFonts w:hint="eastAsia" w:ascii="仿宋" w:hAnsi="仿宋" w:eastAsia="仿宋" w:cs="仿宋"/>
                <w:b w:val="0"/>
                <w:bCs w:val="0"/>
                <w:color w:val="auto"/>
                <w:kern w:val="0"/>
                <w:sz w:val="24"/>
                <w:szCs w:val="24"/>
                <w:highlight w:val="none"/>
                <w:lang w:val="en-US" w:eastAsia="zh-CN"/>
              </w:rPr>
              <w:t>4</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eastAsia="zh-CN"/>
              </w:rPr>
              <w:t>，稍显不足的得</w:t>
            </w:r>
            <w:r>
              <w:rPr>
                <w:rFonts w:hint="eastAsia" w:ascii="仿宋" w:hAnsi="仿宋" w:eastAsia="仿宋" w:cs="仿宋"/>
                <w:b w:val="0"/>
                <w:bCs w:val="0"/>
                <w:color w:val="auto"/>
                <w:kern w:val="0"/>
                <w:sz w:val="24"/>
                <w:szCs w:val="24"/>
                <w:highlight w:val="none"/>
                <w:lang w:val="en-US" w:eastAsia="zh-CN"/>
              </w:rPr>
              <w:t>3分，</w:t>
            </w:r>
            <w:r>
              <w:rPr>
                <w:rFonts w:hint="eastAsia" w:ascii="仿宋" w:hAnsi="仿宋" w:eastAsia="仿宋" w:cs="仿宋"/>
                <w:i w:val="0"/>
                <w:iCs w:val="0"/>
                <w:caps w:val="0"/>
                <w:color w:val="auto"/>
                <w:spacing w:val="0"/>
                <w:kern w:val="0"/>
                <w:sz w:val="24"/>
                <w:szCs w:val="24"/>
                <w:highlight w:val="none"/>
                <w:shd w:val="clear"/>
                <w:lang w:eastAsia="zh-CN"/>
              </w:rPr>
              <w:t>一般化</w:t>
            </w:r>
            <w:r>
              <w:rPr>
                <w:rFonts w:hint="eastAsia" w:ascii="仿宋" w:hAnsi="仿宋" w:eastAsia="仿宋" w:cs="仿宋"/>
                <w:b w:val="0"/>
                <w:bCs w:val="0"/>
                <w:color w:val="auto"/>
                <w:kern w:val="0"/>
                <w:sz w:val="24"/>
                <w:szCs w:val="24"/>
                <w:highlight w:val="none"/>
              </w:rPr>
              <w:t>的</w:t>
            </w:r>
            <w:r>
              <w:rPr>
                <w:rFonts w:hint="eastAsia" w:ascii="仿宋" w:hAnsi="仿宋" w:eastAsia="仿宋" w:cs="仿宋"/>
                <w:b w:val="0"/>
                <w:bCs w:val="0"/>
                <w:color w:val="auto"/>
                <w:kern w:val="0"/>
                <w:sz w:val="24"/>
                <w:szCs w:val="24"/>
                <w:highlight w:val="none"/>
                <w:lang w:eastAsia="zh-CN"/>
              </w:rPr>
              <w:t>得</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eastAsia="zh-CN"/>
              </w:rPr>
              <w:t>严重不足的得</w:t>
            </w:r>
            <w:r>
              <w:rPr>
                <w:rFonts w:hint="eastAsia" w:ascii="仿宋" w:hAnsi="仿宋" w:eastAsia="仿宋" w:cs="仿宋"/>
                <w:b w:val="0"/>
                <w:bCs w:val="0"/>
                <w:color w:val="auto"/>
                <w:kern w:val="0"/>
                <w:sz w:val="24"/>
                <w:szCs w:val="24"/>
                <w:highlight w:val="none"/>
                <w:lang w:val="en-US" w:eastAsia="zh-CN"/>
              </w:rPr>
              <w:t>1分，</w:t>
            </w:r>
            <w:r>
              <w:rPr>
                <w:rFonts w:hint="eastAsia" w:ascii="仿宋" w:hAnsi="仿宋" w:eastAsia="仿宋" w:cs="仿宋"/>
                <w:b w:val="0"/>
                <w:bCs w:val="0"/>
                <w:color w:val="auto"/>
                <w:kern w:val="0"/>
                <w:sz w:val="24"/>
                <w:szCs w:val="24"/>
                <w:highlight w:val="none"/>
                <w:lang w:eastAsia="zh-CN"/>
              </w:rPr>
              <w:t>未提供的不得</w:t>
            </w:r>
            <w:r>
              <w:rPr>
                <w:rFonts w:hint="eastAsia" w:ascii="仿宋" w:hAnsi="仿宋" w:eastAsia="仿宋" w:cs="仿宋"/>
                <w:b w:val="0"/>
                <w:bCs w:val="0"/>
                <w:color w:val="auto"/>
                <w:kern w:val="0"/>
                <w:sz w:val="24"/>
                <w:szCs w:val="24"/>
                <w:highlight w:val="none"/>
                <w:lang w:val="en-US" w:eastAsia="zh-CN"/>
              </w:rPr>
              <w:t>分</w:t>
            </w:r>
            <w:r>
              <w:rPr>
                <w:rFonts w:hint="eastAsia" w:ascii="仿宋" w:hAnsi="仿宋" w:eastAsia="仿宋" w:cs="仿宋"/>
                <w:bCs w:val="0"/>
                <w:color w:val="auto"/>
                <w:kern w:val="0"/>
                <w:sz w:val="24"/>
                <w:szCs w:val="24"/>
                <w:highlight w:val="none"/>
                <w:lang w:val="en-US" w:eastAsia="zh-CN" w:bidi="ar-SA"/>
              </w:rPr>
              <w:t>。</w:t>
            </w:r>
          </w:p>
        </w:tc>
        <w:tc>
          <w:tcPr>
            <w:tcW w:w="1092" w:type="dxa"/>
            <w:noWrap w:val="0"/>
            <w:vAlign w:val="center"/>
          </w:tcPr>
          <w:p>
            <w:pPr>
              <w:pStyle w:val="58"/>
              <w:adjustRightInd/>
              <w:spacing w:before="0" w:beforeAutospacing="0" w:after="0" w:afterAutospacing="0" w:line="360" w:lineRule="exact"/>
              <w:ind w:firstLine="0" w:firstLineChars="0"/>
              <w:jc w:val="center"/>
              <w:rPr>
                <w:rFonts w:hint="eastAsia" w:ascii="仿宋" w:hAnsi="仿宋" w:eastAsia="仿宋" w:cs="仿宋"/>
                <w:bCs w:val="0"/>
                <w:color w:val="auto"/>
                <w:kern w:val="0"/>
                <w:sz w:val="24"/>
                <w:szCs w:val="24"/>
                <w:highlight w:val="none"/>
                <w:lang w:val="en-US" w:eastAsia="zh-CN" w:bidi="ar-SA"/>
              </w:rPr>
            </w:pPr>
            <w:r>
              <w:rPr>
                <w:rFonts w:hint="eastAsia" w:ascii="仿宋" w:hAnsi="仿宋" w:eastAsia="仿宋" w:cs="仿宋"/>
                <w:bCs w:val="0"/>
                <w:color w:val="auto"/>
                <w:kern w:val="0"/>
                <w:sz w:val="24"/>
                <w:szCs w:val="24"/>
                <w:highlight w:val="none"/>
                <w:lang w:val="en-US" w:eastAsia="zh-CN" w:bidi="ar-SA"/>
              </w:rPr>
              <w:t>0-5分</w:t>
            </w:r>
          </w:p>
        </w:tc>
        <w:tc>
          <w:tcPr>
            <w:tcW w:w="1092" w:type="dxa"/>
            <w:noWrap w:val="0"/>
            <w:vAlign w:val="center"/>
          </w:tcPr>
          <w:p>
            <w:pPr>
              <w:pStyle w:val="58"/>
              <w:adjustRightInd/>
              <w:spacing w:before="0" w:beforeAutospacing="0" w:after="0" w:afterAutospacing="0" w:line="360" w:lineRule="exact"/>
              <w:ind w:firstLine="0" w:firstLineChars="0"/>
              <w:jc w:val="center"/>
              <w:rPr>
                <w:rFonts w:hint="eastAsia" w:ascii="仿宋" w:hAnsi="仿宋" w:eastAsia="仿宋" w:cs="仿宋"/>
                <w:bCs w:val="0"/>
                <w:color w:val="auto"/>
                <w:kern w:val="0"/>
                <w:sz w:val="24"/>
                <w:szCs w:val="24"/>
                <w:highlight w:val="none"/>
                <w:lang w:val="en-US" w:eastAsia="zh-CN" w:bidi="ar-SA"/>
              </w:rPr>
            </w:pPr>
            <w:r>
              <w:rPr>
                <w:rFonts w:hint="eastAsia" w:ascii="仿宋" w:hAnsi="仿宋" w:eastAsia="仿宋" w:cs="仿宋"/>
                <w:color w:val="auto"/>
                <w:sz w:val="24"/>
                <w:szCs w:val="24"/>
                <w:highlight w:val="none"/>
                <w:shd w:val="clear" w:color="auto" w:fill="FBFDF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86" w:type="dxa"/>
            <w:vMerge w:val="continue"/>
            <w:noWrap w:val="0"/>
            <w:vAlign w:val="center"/>
          </w:tcPr>
          <w:p>
            <w:pPr>
              <w:pStyle w:val="58"/>
              <w:adjustRightInd/>
              <w:spacing w:before="0" w:beforeAutospacing="0" w:after="0" w:afterAutospacing="0" w:line="360" w:lineRule="exact"/>
              <w:ind w:firstLine="0" w:firstLineChars="0"/>
              <w:rPr>
                <w:rFonts w:hint="eastAsia" w:ascii="仿宋" w:hAnsi="仿宋" w:eastAsia="仿宋" w:cs="仿宋"/>
                <w:bCs w:val="0"/>
                <w:color w:val="auto"/>
                <w:kern w:val="0"/>
                <w:sz w:val="24"/>
                <w:szCs w:val="24"/>
                <w:highlight w:val="none"/>
                <w:lang w:val="en-US" w:eastAsia="zh-CN" w:bidi="ar-SA"/>
              </w:rPr>
            </w:pPr>
          </w:p>
        </w:tc>
        <w:tc>
          <w:tcPr>
            <w:tcW w:w="1212" w:type="dxa"/>
            <w:vMerge w:val="continue"/>
            <w:noWrap w:val="0"/>
            <w:vAlign w:val="center"/>
          </w:tcPr>
          <w:p>
            <w:pPr>
              <w:pStyle w:val="58"/>
              <w:adjustRightInd/>
              <w:spacing w:before="0" w:beforeAutospacing="0" w:after="0" w:afterAutospacing="0" w:line="360" w:lineRule="exact"/>
              <w:ind w:firstLine="0" w:firstLineChars="0"/>
              <w:rPr>
                <w:rFonts w:hint="eastAsia" w:ascii="仿宋" w:hAnsi="仿宋" w:eastAsia="仿宋" w:cs="仿宋"/>
                <w:bCs w:val="0"/>
                <w:color w:val="auto"/>
                <w:kern w:val="0"/>
                <w:sz w:val="24"/>
                <w:szCs w:val="24"/>
                <w:highlight w:val="none"/>
                <w:lang w:val="en-US" w:eastAsia="zh-CN" w:bidi="ar-SA"/>
              </w:rPr>
            </w:pPr>
          </w:p>
        </w:tc>
        <w:tc>
          <w:tcPr>
            <w:tcW w:w="6085" w:type="dxa"/>
            <w:noWrap w:val="0"/>
            <w:vAlign w:val="center"/>
          </w:tcPr>
          <w:p>
            <w:pPr>
              <w:spacing w:line="360" w:lineRule="exact"/>
              <w:jc w:val="left"/>
              <w:rPr>
                <w:rFonts w:hint="eastAsia" w:ascii="仿宋" w:hAnsi="仿宋" w:eastAsia="仿宋" w:cs="仿宋"/>
                <w:bCs w:val="0"/>
                <w:color w:val="auto"/>
                <w:kern w:val="0"/>
                <w:sz w:val="24"/>
                <w:szCs w:val="24"/>
                <w:highlight w:val="none"/>
                <w:lang w:val="en-US" w:eastAsia="zh-CN" w:bidi="ar-SA"/>
              </w:rPr>
            </w:pPr>
            <w:r>
              <w:rPr>
                <w:rFonts w:hint="eastAsia" w:ascii="仿宋" w:hAnsi="仿宋" w:eastAsia="仿宋" w:cs="仿宋"/>
                <w:bCs w:val="0"/>
                <w:color w:val="auto"/>
                <w:kern w:val="0"/>
                <w:sz w:val="24"/>
                <w:szCs w:val="24"/>
                <w:highlight w:val="none"/>
                <w:lang w:val="en-US" w:eastAsia="zh-CN" w:bidi="ar-SA"/>
              </w:rPr>
              <w:t>汇总报表优化方案，投标人对汇总报表的调整思路，如何保障局级单位汇总报表的一致性，方案是否科学合理、安全严密、具有一定的前瞻性，是否充分考虑用户实际使用需求。</w:t>
            </w:r>
            <w:r>
              <w:rPr>
                <w:rFonts w:hint="eastAsia" w:ascii="仿宋" w:hAnsi="仿宋" w:eastAsia="仿宋" w:cs="仿宋"/>
                <w:i w:val="0"/>
                <w:iCs w:val="0"/>
                <w:caps w:val="0"/>
                <w:color w:val="auto"/>
                <w:spacing w:val="0"/>
                <w:kern w:val="0"/>
                <w:sz w:val="24"/>
                <w:szCs w:val="24"/>
                <w:highlight w:val="none"/>
                <w:shd w:val="clear"/>
              </w:rPr>
              <w:t>完全符合标准或要求</w:t>
            </w:r>
            <w:r>
              <w:rPr>
                <w:rFonts w:hint="eastAsia" w:ascii="仿宋" w:hAnsi="仿宋" w:eastAsia="仿宋" w:cs="仿宋"/>
                <w:b w:val="0"/>
                <w:bCs w:val="0"/>
                <w:color w:val="auto"/>
                <w:kern w:val="0"/>
                <w:sz w:val="24"/>
                <w:szCs w:val="24"/>
                <w:highlight w:val="none"/>
              </w:rPr>
              <w:t>的得5分，</w:t>
            </w:r>
            <w:r>
              <w:rPr>
                <w:rFonts w:hint="eastAsia" w:ascii="仿宋" w:hAnsi="仿宋" w:eastAsia="仿宋" w:cs="仿宋"/>
                <w:i w:val="0"/>
                <w:iCs w:val="0"/>
                <w:caps w:val="0"/>
                <w:color w:val="auto"/>
                <w:spacing w:val="0"/>
                <w:kern w:val="0"/>
                <w:sz w:val="24"/>
                <w:szCs w:val="24"/>
                <w:highlight w:val="none"/>
                <w:shd w:val="clear"/>
              </w:rPr>
              <w:t>基本符合标准或要求</w:t>
            </w:r>
            <w:r>
              <w:rPr>
                <w:rFonts w:hint="eastAsia" w:ascii="仿宋" w:hAnsi="仿宋" w:eastAsia="仿宋" w:cs="仿宋"/>
                <w:b w:val="0"/>
                <w:bCs w:val="0"/>
                <w:color w:val="auto"/>
                <w:kern w:val="0"/>
                <w:sz w:val="24"/>
                <w:szCs w:val="24"/>
                <w:highlight w:val="none"/>
              </w:rPr>
              <w:t>的得</w:t>
            </w:r>
            <w:r>
              <w:rPr>
                <w:rFonts w:hint="eastAsia" w:ascii="仿宋" w:hAnsi="仿宋" w:eastAsia="仿宋" w:cs="仿宋"/>
                <w:b w:val="0"/>
                <w:bCs w:val="0"/>
                <w:color w:val="auto"/>
                <w:kern w:val="0"/>
                <w:sz w:val="24"/>
                <w:szCs w:val="24"/>
                <w:highlight w:val="none"/>
                <w:lang w:val="en-US" w:eastAsia="zh-CN"/>
              </w:rPr>
              <w:t>4</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eastAsia="zh-CN"/>
              </w:rPr>
              <w:t>，稍显不足的得</w:t>
            </w:r>
            <w:r>
              <w:rPr>
                <w:rFonts w:hint="eastAsia" w:ascii="仿宋" w:hAnsi="仿宋" w:eastAsia="仿宋" w:cs="仿宋"/>
                <w:b w:val="0"/>
                <w:bCs w:val="0"/>
                <w:color w:val="auto"/>
                <w:kern w:val="0"/>
                <w:sz w:val="24"/>
                <w:szCs w:val="24"/>
                <w:highlight w:val="none"/>
                <w:lang w:val="en-US" w:eastAsia="zh-CN"/>
              </w:rPr>
              <w:t>3分，</w:t>
            </w:r>
            <w:r>
              <w:rPr>
                <w:rFonts w:hint="eastAsia" w:ascii="仿宋" w:hAnsi="仿宋" w:eastAsia="仿宋" w:cs="仿宋"/>
                <w:i w:val="0"/>
                <w:iCs w:val="0"/>
                <w:caps w:val="0"/>
                <w:color w:val="auto"/>
                <w:spacing w:val="0"/>
                <w:kern w:val="0"/>
                <w:sz w:val="24"/>
                <w:szCs w:val="24"/>
                <w:highlight w:val="none"/>
                <w:shd w:val="clear"/>
                <w:lang w:eastAsia="zh-CN"/>
              </w:rPr>
              <w:t>一般化</w:t>
            </w:r>
            <w:r>
              <w:rPr>
                <w:rFonts w:hint="eastAsia" w:ascii="仿宋" w:hAnsi="仿宋" w:eastAsia="仿宋" w:cs="仿宋"/>
                <w:b w:val="0"/>
                <w:bCs w:val="0"/>
                <w:color w:val="auto"/>
                <w:kern w:val="0"/>
                <w:sz w:val="24"/>
                <w:szCs w:val="24"/>
                <w:highlight w:val="none"/>
              </w:rPr>
              <w:t>的</w:t>
            </w:r>
            <w:r>
              <w:rPr>
                <w:rFonts w:hint="eastAsia" w:ascii="仿宋" w:hAnsi="仿宋" w:eastAsia="仿宋" w:cs="仿宋"/>
                <w:b w:val="0"/>
                <w:bCs w:val="0"/>
                <w:color w:val="auto"/>
                <w:kern w:val="0"/>
                <w:sz w:val="24"/>
                <w:szCs w:val="24"/>
                <w:highlight w:val="none"/>
                <w:lang w:eastAsia="zh-CN"/>
              </w:rPr>
              <w:t>得</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eastAsia="zh-CN"/>
              </w:rPr>
              <w:t>严重不足的得</w:t>
            </w:r>
            <w:r>
              <w:rPr>
                <w:rFonts w:hint="eastAsia" w:ascii="仿宋" w:hAnsi="仿宋" w:eastAsia="仿宋" w:cs="仿宋"/>
                <w:b w:val="0"/>
                <w:bCs w:val="0"/>
                <w:color w:val="auto"/>
                <w:kern w:val="0"/>
                <w:sz w:val="24"/>
                <w:szCs w:val="24"/>
                <w:highlight w:val="none"/>
                <w:lang w:val="en-US" w:eastAsia="zh-CN"/>
              </w:rPr>
              <w:t>1分，</w:t>
            </w:r>
            <w:r>
              <w:rPr>
                <w:rFonts w:hint="eastAsia" w:ascii="仿宋" w:hAnsi="仿宋" w:eastAsia="仿宋" w:cs="仿宋"/>
                <w:b w:val="0"/>
                <w:bCs w:val="0"/>
                <w:color w:val="auto"/>
                <w:kern w:val="0"/>
                <w:sz w:val="24"/>
                <w:szCs w:val="24"/>
                <w:highlight w:val="none"/>
                <w:lang w:eastAsia="zh-CN"/>
              </w:rPr>
              <w:t>未提供的不得</w:t>
            </w:r>
            <w:r>
              <w:rPr>
                <w:rFonts w:hint="eastAsia" w:ascii="仿宋" w:hAnsi="仿宋" w:eastAsia="仿宋" w:cs="仿宋"/>
                <w:b w:val="0"/>
                <w:bCs w:val="0"/>
                <w:color w:val="auto"/>
                <w:kern w:val="0"/>
                <w:sz w:val="24"/>
                <w:szCs w:val="24"/>
                <w:highlight w:val="none"/>
                <w:lang w:val="en-US" w:eastAsia="zh-CN"/>
              </w:rPr>
              <w:t>分</w:t>
            </w:r>
            <w:r>
              <w:rPr>
                <w:rFonts w:hint="eastAsia" w:ascii="仿宋" w:hAnsi="仿宋" w:eastAsia="仿宋" w:cs="仿宋"/>
                <w:bCs w:val="0"/>
                <w:color w:val="auto"/>
                <w:kern w:val="0"/>
                <w:sz w:val="24"/>
                <w:szCs w:val="24"/>
                <w:highlight w:val="none"/>
                <w:lang w:val="en-US" w:eastAsia="zh-CN" w:bidi="ar-SA"/>
              </w:rPr>
              <w:t>。</w:t>
            </w:r>
          </w:p>
        </w:tc>
        <w:tc>
          <w:tcPr>
            <w:tcW w:w="1092" w:type="dxa"/>
            <w:noWrap w:val="0"/>
            <w:vAlign w:val="center"/>
          </w:tcPr>
          <w:p>
            <w:pPr>
              <w:pStyle w:val="58"/>
              <w:adjustRightInd/>
              <w:spacing w:before="0" w:beforeAutospacing="0" w:after="0" w:afterAutospacing="0" w:line="360" w:lineRule="exact"/>
              <w:ind w:firstLine="0" w:firstLineChars="0"/>
              <w:jc w:val="center"/>
              <w:rPr>
                <w:rFonts w:hint="eastAsia" w:ascii="仿宋" w:hAnsi="仿宋" w:eastAsia="仿宋" w:cs="仿宋"/>
                <w:bCs w:val="0"/>
                <w:color w:val="auto"/>
                <w:kern w:val="0"/>
                <w:sz w:val="24"/>
                <w:szCs w:val="24"/>
                <w:highlight w:val="none"/>
                <w:lang w:val="en-US" w:eastAsia="zh-CN" w:bidi="ar-SA"/>
              </w:rPr>
            </w:pPr>
            <w:r>
              <w:rPr>
                <w:rFonts w:hint="eastAsia" w:ascii="仿宋" w:hAnsi="仿宋" w:eastAsia="仿宋" w:cs="仿宋"/>
                <w:bCs w:val="0"/>
                <w:color w:val="auto"/>
                <w:kern w:val="0"/>
                <w:sz w:val="24"/>
                <w:szCs w:val="24"/>
                <w:highlight w:val="none"/>
                <w:lang w:val="en-US" w:eastAsia="zh-CN" w:bidi="ar-SA"/>
              </w:rPr>
              <w:t>0-5分</w:t>
            </w:r>
          </w:p>
        </w:tc>
        <w:tc>
          <w:tcPr>
            <w:tcW w:w="1092" w:type="dxa"/>
            <w:noWrap w:val="0"/>
            <w:vAlign w:val="center"/>
          </w:tcPr>
          <w:p>
            <w:pPr>
              <w:pStyle w:val="58"/>
              <w:adjustRightInd/>
              <w:spacing w:before="0" w:beforeAutospacing="0" w:after="0" w:afterAutospacing="0" w:line="360" w:lineRule="exact"/>
              <w:ind w:firstLine="0" w:firstLineChars="0"/>
              <w:jc w:val="center"/>
              <w:rPr>
                <w:rFonts w:hint="eastAsia" w:ascii="仿宋" w:hAnsi="仿宋" w:eastAsia="仿宋" w:cs="仿宋"/>
                <w:bCs w:val="0"/>
                <w:color w:val="auto"/>
                <w:kern w:val="0"/>
                <w:sz w:val="24"/>
                <w:szCs w:val="24"/>
                <w:highlight w:val="none"/>
                <w:lang w:val="en-US" w:eastAsia="zh-CN" w:bidi="ar-SA"/>
              </w:rPr>
            </w:pPr>
            <w:r>
              <w:rPr>
                <w:rFonts w:hint="eastAsia" w:ascii="仿宋" w:hAnsi="仿宋" w:eastAsia="仿宋" w:cs="仿宋"/>
                <w:color w:val="auto"/>
                <w:sz w:val="24"/>
                <w:szCs w:val="24"/>
                <w:highlight w:val="none"/>
                <w:shd w:val="clear" w:color="auto" w:fill="FBFDF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686" w:type="dxa"/>
            <w:noWrap w:val="0"/>
            <w:vAlign w:val="center"/>
          </w:tcPr>
          <w:p>
            <w:pPr>
              <w:pStyle w:val="25"/>
              <w:snapToGrid w:val="0"/>
              <w:spacing w:line="340" w:lineRule="exact"/>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p>
        </w:tc>
        <w:tc>
          <w:tcPr>
            <w:tcW w:w="1212" w:type="dxa"/>
            <w:noWrap w:val="0"/>
            <w:vAlign w:val="center"/>
          </w:tcPr>
          <w:p>
            <w:pPr>
              <w:snapToGrid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系统测试方案</w:t>
            </w:r>
          </w:p>
          <w:p>
            <w:pPr>
              <w:spacing w:line="340" w:lineRule="exact"/>
              <w:jc w:val="center"/>
              <w:rPr>
                <w:rFonts w:hint="eastAsia" w:ascii="仿宋" w:hAnsi="仿宋" w:eastAsia="仿宋" w:cs="仿宋"/>
                <w:color w:val="auto"/>
                <w:sz w:val="24"/>
                <w:szCs w:val="24"/>
                <w:highlight w:val="none"/>
                <w:lang w:eastAsia="zh-CN"/>
              </w:rPr>
            </w:pPr>
          </w:p>
        </w:tc>
        <w:tc>
          <w:tcPr>
            <w:tcW w:w="6085" w:type="dxa"/>
            <w:noWrap w:val="0"/>
            <w:vAlign w:val="center"/>
          </w:tcPr>
          <w:p>
            <w:pPr>
              <w:snapToGrid w:val="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系统测试方案</w:t>
            </w:r>
          </w:p>
          <w:p>
            <w:pPr>
              <w:pStyle w:val="58"/>
              <w:adjustRightInd/>
              <w:spacing w:before="0" w:beforeAutospacing="0" w:after="0" w:afterAutospacing="0" w:line="360" w:lineRule="exact"/>
              <w:rPr>
                <w:rFonts w:hint="eastAsia" w:ascii="仿宋" w:hAnsi="仿宋" w:eastAsia="仿宋" w:cs="仿宋"/>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根据投标人提供的系统测试方案，</w:t>
            </w:r>
            <w:r>
              <w:rPr>
                <w:rFonts w:hint="eastAsia" w:ascii="仿宋" w:hAnsi="仿宋" w:eastAsia="仿宋" w:cs="仿宋"/>
                <w:i w:val="0"/>
                <w:iCs w:val="0"/>
                <w:caps w:val="0"/>
                <w:color w:val="auto"/>
                <w:spacing w:val="0"/>
                <w:kern w:val="0"/>
                <w:sz w:val="24"/>
                <w:szCs w:val="24"/>
                <w:highlight w:val="none"/>
                <w:shd w:val="clear"/>
              </w:rPr>
              <w:t>完全符合标准或要求</w:t>
            </w:r>
            <w:r>
              <w:rPr>
                <w:rFonts w:hint="eastAsia" w:ascii="仿宋" w:hAnsi="仿宋" w:eastAsia="仿宋" w:cs="仿宋"/>
                <w:b w:val="0"/>
                <w:bCs w:val="0"/>
                <w:color w:val="auto"/>
                <w:kern w:val="0"/>
                <w:sz w:val="24"/>
                <w:szCs w:val="24"/>
                <w:highlight w:val="none"/>
              </w:rPr>
              <w:t>的得5分，</w:t>
            </w:r>
            <w:r>
              <w:rPr>
                <w:rFonts w:hint="eastAsia" w:ascii="仿宋" w:hAnsi="仿宋" w:eastAsia="仿宋" w:cs="仿宋"/>
                <w:i w:val="0"/>
                <w:iCs w:val="0"/>
                <w:caps w:val="0"/>
                <w:color w:val="auto"/>
                <w:spacing w:val="0"/>
                <w:kern w:val="0"/>
                <w:sz w:val="24"/>
                <w:szCs w:val="24"/>
                <w:highlight w:val="none"/>
                <w:shd w:val="clear"/>
              </w:rPr>
              <w:t>基本符合标准或要求</w:t>
            </w:r>
            <w:r>
              <w:rPr>
                <w:rFonts w:hint="eastAsia" w:ascii="仿宋" w:hAnsi="仿宋" w:eastAsia="仿宋" w:cs="仿宋"/>
                <w:b w:val="0"/>
                <w:bCs w:val="0"/>
                <w:color w:val="auto"/>
                <w:kern w:val="0"/>
                <w:sz w:val="24"/>
                <w:szCs w:val="24"/>
                <w:highlight w:val="none"/>
              </w:rPr>
              <w:t>的得</w:t>
            </w:r>
            <w:r>
              <w:rPr>
                <w:rFonts w:hint="eastAsia" w:ascii="仿宋" w:hAnsi="仿宋" w:eastAsia="仿宋" w:cs="仿宋"/>
                <w:b w:val="0"/>
                <w:bCs w:val="0"/>
                <w:color w:val="auto"/>
                <w:kern w:val="0"/>
                <w:sz w:val="24"/>
                <w:szCs w:val="24"/>
                <w:highlight w:val="none"/>
                <w:lang w:val="en-US" w:eastAsia="zh-CN"/>
              </w:rPr>
              <w:t>4</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eastAsia="zh-CN"/>
              </w:rPr>
              <w:t>，稍显不足的得</w:t>
            </w:r>
            <w:r>
              <w:rPr>
                <w:rFonts w:hint="eastAsia" w:ascii="仿宋" w:hAnsi="仿宋" w:eastAsia="仿宋" w:cs="仿宋"/>
                <w:b w:val="0"/>
                <w:bCs w:val="0"/>
                <w:color w:val="auto"/>
                <w:kern w:val="0"/>
                <w:sz w:val="24"/>
                <w:szCs w:val="24"/>
                <w:highlight w:val="none"/>
                <w:lang w:val="en-US" w:eastAsia="zh-CN"/>
              </w:rPr>
              <w:t>3分，</w:t>
            </w:r>
            <w:r>
              <w:rPr>
                <w:rFonts w:hint="eastAsia" w:ascii="仿宋" w:hAnsi="仿宋" w:eastAsia="仿宋" w:cs="仿宋"/>
                <w:i w:val="0"/>
                <w:iCs w:val="0"/>
                <w:caps w:val="0"/>
                <w:color w:val="auto"/>
                <w:spacing w:val="0"/>
                <w:kern w:val="0"/>
                <w:sz w:val="24"/>
                <w:szCs w:val="24"/>
                <w:highlight w:val="none"/>
                <w:shd w:val="clear"/>
                <w:lang w:eastAsia="zh-CN"/>
              </w:rPr>
              <w:t>一般化</w:t>
            </w:r>
            <w:r>
              <w:rPr>
                <w:rFonts w:hint="eastAsia" w:ascii="仿宋" w:hAnsi="仿宋" w:eastAsia="仿宋" w:cs="仿宋"/>
                <w:b w:val="0"/>
                <w:bCs w:val="0"/>
                <w:color w:val="auto"/>
                <w:kern w:val="0"/>
                <w:sz w:val="24"/>
                <w:szCs w:val="24"/>
                <w:highlight w:val="none"/>
              </w:rPr>
              <w:t>的</w:t>
            </w:r>
            <w:r>
              <w:rPr>
                <w:rFonts w:hint="eastAsia" w:ascii="仿宋" w:hAnsi="仿宋" w:eastAsia="仿宋" w:cs="仿宋"/>
                <w:b w:val="0"/>
                <w:bCs w:val="0"/>
                <w:color w:val="auto"/>
                <w:kern w:val="0"/>
                <w:sz w:val="24"/>
                <w:szCs w:val="24"/>
                <w:highlight w:val="none"/>
                <w:lang w:eastAsia="zh-CN"/>
              </w:rPr>
              <w:t>得</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eastAsia="zh-CN"/>
              </w:rPr>
              <w:t>严重不足的得</w:t>
            </w:r>
            <w:r>
              <w:rPr>
                <w:rFonts w:hint="eastAsia" w:ascii="仿宋" w:hAnsi="仿宋" w:eastAsia="仿宋" w:cs="仿宋"/>
                <w:b w:val="0"/>
                <w:bCs w:val="0"/>
                <w:color w:val="auto"/>
                <w:kern w:val="0"/>
                <w:sz w:val="24"/>
                <w:szCs w:val="24"/>
                <w:highlight w:val="none"/>
                <w:lang w:val="en-US" w:eastAsia="zh-CN"/>
              </w:rPr>
              <w:t>1分，</w:t>
            </w:r>
            <w:r>
              <w:rPr>
                <w:rFonts w:hint="eastAsia" w:ascii="仿宋" w:hAnsi="仿宋" w:eastAsia="仿宋" w:cs="仿宋"/>
                <w:b w:val="0"/>
                <w:bCs w:val="0"/>
                <w:color w:val="auto"/>
                <w:kern w:val="0"/>
                <w:sz w:val="24"/>
                <w:szCs w:val="24"/>
                <w:highlight w:val="none"/>
                <w:lang w:eastAsia="zh-CN"/>
              </w:rPr>
              <w:t>未提供的不得</w:t>
            </w:r>
            <w:r>
              <w:rPr>
                <w:rFonts w:hint="eastAsia" w:ascii="仿宋" w:hAnsi="仿宋" w:eastAsia="仿宋" w:cs="仿宋"/>
                <w:b w:val="0"/>
                <w:bCs w:val="0"/>
                <w:color w:val="auto"/>
                <w:kern w:val="0"/>
                <w:sz w:val="24"/>
                <w:szCs w:val="24"/>
                <w:highlight w:val="none"/>
                <w:lang w:val="en-US" w:eastAsia="zh-CN"/>
              </w:rPr>
              <w:t>分</w:t>
            </w:r>
            <w:r>
              <w:rPr>
                <w:rFonts w:hint="eastAsia" w:ascii="仿宋" w:hAnsi="仿宋" w:eastAsia="仿宋" w:cs="仿宋"/>
                <w:bCs w:val="0"/>
                <w:color w:val="auto"/>
                <w:kern w:val="0"/>
                <w:sz w:val="24"/>
                <w:szCs w:val="24"/>
                <w:highlight w:val="none"/>
                <w:lang w:val="en-US" w:eastAsia="zh-CN" w:bidi="ar-SA"/>
              </w:rPr>
              <w:t>。</w:t>
            </w:r>
          </w:p>
        </w:tc>
        <w:tc>
          <w:tcPr>
            <w:tcW w:w="1092" w:type="dxa"/>
            <w:noWrap w:val="0"/>
            <w:vAlign w:val="center"/>
          </w:tcPr>
          <w:p>
            <w:pPr>
              <w:pStyle w:val="58"/>
              <w:spacing w:before="0" w:beforeAutospacing="0" w:after="0" w:afterAutospacing="0" w:line="340" w:lineRule="exact"/>
              <w:jc w:val="center"/>
              <w:rPr>
                <w:rFonts w:hint="eastAsia" w:ascii="仿宋" w:hAnsi="仿宋" w:eastAsia="仿宋" w:cs="仿宋"/>
                <w:color w:val="auto"/>
                <w:sz w:val="24"/>
                <w:szCs w:val="24"/>
                <w:highlight w:val="none"/>
                <w:shd w:val="clear" w:color="auto" w:fill="FBFDFE"/>
                <w:lang w:val="en-US" w:eastAsia="zh-CN"/>
              </w:rPr>
            </w:pPr>
            <w:r>
              <w:rPr>
                <w:rFonts w:hint="eastAsia" w:ascii="仿宋" w:hAnsi="仿宋" w:eastAsia="仿宋" w:cs="仿宋"/>
                <w:bCs w:val="0"/>
                <w:color w:val="auto"/>
                <w:kern w:val="0"/>
                <w:sz w:val="24"/>
                <w:szCs w:val="24"/>
                <w:highlight w:val="none"/>
                <w:lang w:val="en-US" w:eastAsia="zh-CN" w:bidi="ar-SA"/>
              </w:rPr>
              <w:t>0-5分</w:t>
            </w:r>
          </w:p>
        </w:tc>
        <w:tc>
          <w:tcPr>
            <w:tcW w:w="1092" w:type="dxa"/>
            <w:noWrap w:val="0"/>
            <w:vAlign w:val="center"/>
          </w:tcPr>
          <w:p>
            <w:pPr>
              <w:pStyle w:val="58"/>
              <w:spacing w:before="0" w:beforeAutospacing="0" w:after="0" w:afterAutospacing="0" w:line="340" w:lineRule="exact"/>
              <w:jc w:val="center"/>
              <w:rPr>
                <w:rFonts w:hint="eastAsia" w:ascii="仿宋" w:hAnsi="仿宋" w:eastAsia="仿宋" w:cs="仿宋"/>
                <w:bCs w:val="0"/>
                <w:color w:val="auto"/>
                <w:kern w:val="0"/>
                <w:sz w:val="24"/>
                <w:szCs w:val="24"/>
                <w:highlight w:val="none"/>
                <w:lang w:val="en-US" w:eastAsia="zh-CN" w:bidi="ar-SA"/>
              </w:rPr>
            </w:pPr>
            <w:r>
              <w:rPr>
                <w:rFonts w:hint="eastAsia" w:ascii="仿宋" w:hAnsi="仿宋" w:eastAsia="仿宋" w:cs="仿宋"/>
                <w:color w:val="auto"/>
                <w:sz w:val="24"/>
                <w:szCs w:val="24"/>
                <w:highlight w:val="none"/>
                <w:shd w:val="clear" w:color="auto" w:fill="FBFDF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686" w:type="dxa"/>
            <w:noWrap w:val="0"/>
            <w:vAlign w:val="center"/>
          </w:tcPr>
          <w:p>
            <w:pPr>
              <w:pStyle w:val="25"/>
              <w:snapToGrid w:val="0"/>
              <w:spacing w:line="340" w:lineRule="exact"/>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w:t>
            </w:r>
          </w:p>
        </w:tc>
        <w:tc>
          <w:tcPr>
            <w:tcW w:w="1212" w:type="dxa"/>
            <w:noWrap w:val="0"/>
            <w:vAlign w:val="center"/>
          </w:tcPr>
          <w:p>
            <w:pPr>
              <w:spacing w:line="3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zh-CN"/>
              </w:rPr>
              <w:t>数据保密方案</w:t>
            </w:r>
          </w:p>
        </w:tc>
        <w:tc>
          <w:tcPr>
            <w:tcW w:w="6085" w:type="dxa"/>
            <w:noWrap w:val="0"/>
            <w:vAlign w:val="center"/>
          </w:tcPr>
          <w:p>
            <w:pPr>
              <w:snapToGrid w:val="0"/>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zh-CN" w:eastAsia="zh-CN"/>
              </w:rPr>
              <w:t>数据保密方案</w:t>
            </w:r>
          </w:p>
          <w:p>
            <w:pPr>
              <w:pStyle w:val="58"/>
              <w:adjustRightInd/>
              <w:spacing w:before="0" w:beforeAutospacing="0" w:after="0" w:afterAutospacing="0" w:line="360" w:lineRule="exact"/>
              <w:rPr>
                <w:rFonts w:hint="eastAsia" w:ascii="仿宋" w:hAnsi="仿宋" w:eastAsia="仿宋" w:cs="仿宋"/>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根据投标人提供的</w:t>
            </w:r>
            <w:r>
              <w:rPr>
                <w:rFonts w:hint="eastAsia" w:ascii="仿宋" w:hAnsi="仿宋" w:eastAsia="仿宋" w:cs="仿宋"/>
                <w:b w:val="0"/>
                <w:bCs w:val="0"/>
                <w:color w:val="auto"/>
                <w:sz w:val="24"/>
                <w:szCs w:val="24"/>
                <w:highlight w:val="none"/>
                <w:lang w:val="zh-CN" w:eastAsia="zh-CN"/>
              </w:rPr>
              <w:t>数据保密</w:t>
            </w:r>
            <w:r>
              <w:rPr>
                <w:rFonts w:hint="eastAsia" w:ascii="仿宋" w:hAnsi="仿宋" w:eastAsia="仿宋" w:cs="仿宋"/>
                <w:b w:val="0"/>
                <w:bCs w:val="0"/>
                <w:color w:val="auto"/>
                <w:sz w:val="24"/>
                <w:szCs w:val="24"/>
                <w:highlight w:val="none"/>
                <w:lang w:val="en-US" w:eastAsia="zh-CN"/>
              </w:rPr>
              <w:t>方案，</w:t>
            </w:r>
            <w:r>
              <w:rPr>
                <w:rFonts w:hint="eastAsia" w:ascii="仿宋" w:hAnsi="仿宋" w:eastAsia="仿宋" w:cs="仿宋"/>
                <w:i w:val="0"/>
                <w:iCs w:val="0"/>
                <w:caps w:val="0"/>
                <w:color w:val="auto"/>
                <w:spacing w:val="0"/>
                <w:kern w:val="0"/>
                <w:sz w:val="24"/>
                <w:szCs w:val="24"/>
                <w:highlight w:val="none"/>
                <w:shd w:val="clear"/>
              </w:rPr>
              <w:t>完全符合标准或要求</w:t>
            </w:r>
            <w:r>
              <w:rPr>
                <w:rFonts w:hint="eastAsia" w:ascii="仿宋" w:hAnsi="仿宋" w:eastAsia="仿宋" w:cs="仿宋"/>
                <w:b w:val="0"/>
                <w:bCs w:val="0"/>
                <w:color w:val="auto"/>
                <w:kern w:val="0"/>
                <w:sz w:val="24"/>
                <w:szCs w:val="24"/>
                <w:highlight w:val="none"/>
              </w:rPr>
              <w:t>的得5分，</w:t>
            </w:r>
            <w:r>
              <w:rPr>
                <w:rFonts w:hint="eastAsia" w:ascii="仿宋" w:hAnsi="仿宋" w:eastAsia="仿宋" w:cs="仿宋"/>
                <w:i w:val="0"/>
                <w:iCs w:val="0"/>
                <w:caps w:val="0"/>
                <w:color w:val="auto"/>
                <w:spacing w:val="0"/>
                <w:kern w:val="0"/>
                <w:sz w:val="24"/>
                <w:szCs w:val="24"/>
                <w:highlight w:val="none"/>
                <w:shd w:val="clear"/>
              </w:rPr>
              <w:t>基本符合标准或要求</w:t>
            </w:r>
            <w:r>
              <w:rPr>
                <w:rFonts w:hint="eastAsia" w:ascii="仿宋" w:hAnsi="仿宋" w:eastAsia="仿宋" w:cs="仿宋"/>
                <w:b w:val="0"/>
                <w:bCs w:val="0"/>
                <w:color w:val="auto"/>
                <w:kern w:val="0"/>
                <w:sz w:val="24"/>
                <w:szCs w:val="24"/>
                <w:highlight w:val="none"/>
              </w:rPr>
              <w:t>的得</w:t>
            </w:r>
            <w:r>
              <w:rPr>
                <w:rFonts w:hint="eastAsia" w:ascii="仿宋" w:hAnsi="仿宋" w:eastAsia="仿宋" w:cs="仿宋"/>
                <w:b w:val="0"/>
                <w:bCs w:val="0"/>
                <w:color w:val="auto"/>
                <w:kern w:val="0"/>
                <w:sz w:val="24"/>
                <w:szCs w:val="24"/>
                <w:highlight w:val="none"/>
                <w:lang w:val="en-US" w:eastAsia="zh-CN"/>
              </w:rPr>
              <w:t>4</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eastAsia="zh-CN"/>
              </w:rPr>
              <w:t>，稍显不足的得</w:t>
            </w:r>
            <w:r>
              <w:rPr>
                <w:rFonts w:hint="eastAsia" w:ascii="仿宋" w:hAnsi="仿宋" w:eastAsia="仿宋" w:cs="仿宋"/>
                <w:b w:val="0"/>
                <w:bCs w:val="0"/>
                <w:color w:val="auto"/>
                <w:kern w:val="0"/>
                <w:sz w:val="24"/>
                <w:szCs w:val="24"/>
                <w:highlight w:val="none"/>
                <w:lang w:val="en-US" w:eastAsia="zh-CN"/>
              </w:rPr>
              <w:t>3分，</w:t>
            </w:r>
            <w:r>
              <w:rPr>
                <w:rFonts w:hint="eastAsia" w:ascii="仿宋" w:hAnsi="仿宋" w:eastAsia="仿宋" w:cs="仿宋"/>
                <w:i w:val="0"/>
                <w:iCs w:val="0"/>
                <w:caps w:val="0"/>
                <w:color w:val="auto"/>
                <w:spacing w:val="0"/>
                <w:kern w:val="0"/>
                <w:sz w:val="24"/>
                <w:szCs w:val="24"/>
                <w:highlight w:val="none"/>
                <w:shd w:val="clear"/>
                <w:lang w:eastAsia="zh-CN"/>
              </w:rPr>
              <w:t>一般化</w:t>
            </w:r>
            <w:r>
              <w:rPr>
                <w:rFonts w:hint="eastAsia" w:ascii="仿宋" w:hAnsi="仿宋" w:eastAsia="仿宋" w:cs="仿宋"/>
                <w:b w:val="0"/>
                <w:bCs w:val="0"/>
                <w:color w:val="auto"/>
                <w:kern w:val="0"/>
                <w:sz w:val="24"/>
                <w:szCs w:val="24"/>
                <w:highlight w:val="none"/>
              </w:rPr>
              <w:t>的</w:t>
            </w:r>
            <w:r>
              <w:rPr>
                <w:rFonts w:hint="eastAsia" w:ascii="仿宋" w:hAnsi="仿宋" w:eastAsia="仿宋" w:cs="仿宋"/>
                <w:b w:val="0"/>
                <w:bCs w:val="0"/>
                <w:color w:val="auto"/>
                <w:kern w:val="0"/>
                <w:sz w:val="24"/>
                <w:szCs w:val="24"/>
                <w:highlight w:val="none"/>
                <w:lang w:eastAsia="zh-CN"/>
              </w:rPr>
              <w:t>得</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eastAsia="zh-CN"/>
              </w:rPr>
              <w:t>严重不足的得</w:t>
            </w:r>
            <w:r>
              <w:rPr>
                <w:rFonts w:hint="eastAsia" w:ascii="仿宋" w:hAnsi="仿宋" w:eastAsia="仿宋" w:cs="仿宋"/>
                <w:b w:val="0"/>
                <w:bCs w:val="0"/>
                <w:color w:val="auto"/>
                <w:kern w:val="0"/>
                <w:sz w:val="24"/>
                <w:szCs w:val="24"/>
                <w:highlight w:val="none"/>
                <w:lang w:val="en-US" w:eastAsia="zh-CN"/>
              </w:rPr>
              <w:t>1分，</w:t>
            </w:r>
            <w:r>
              <w:rPr>
                <w:rFonts w:hint="eastAsia" w:ascii="仿宋" w:hAnsi="仿宋" w:eastAsia="仿宋" w:cs="仿宋"/>
                <w:b w:val="0"/>
                <w:bCs w:val="0"/>
                <w:color w:val="auto"/>
                <w:kern w:val="0"/>
                <w:sz w:val="24"/>
                <w:szCs w:val="24"/>
                <w:highlight w:val="none"/>
                <w:lang w:eastAsia="zh-CN"/>
              </w:rPr>
              <w:t>未提供的不得</w:t>
            </w:r>
            <w:r>
              <w:rPr>
                <w:rFonts w:hint="eastAsia" w:ascii="仿宋" w:hAnsi="仿宋" w:eastAsia="仿宋" w:cs="仿宋"/>
                <w:b w:val="0"/>
                <w:bCs w:val="0"/>
                <w:color w:val="auto"/>
                <w:kern w:val="0"/>
                <w:sz w:val="24"/>
                <w:szCs w:val="24"/>
                <w:highlight w:val="none"/>
                <w:lang w:val="en-US" w:eastAsia="zh-CN"/>
              </w:rPr>
              <w:t>分</w:t>
            </w:r>
            <w:r>
              <w:rPr>
                <w:rFonts w:hint="eastAsia" w:ascii="仿宋" w:hAnsi="仿宋" w:eastAsia="仿宋" w:cs="仿宋"/>
                <w:bCs w:val="0"/>
                <w:color w:val="auto"/>
                <w:kern w:val="0"/>
                <w:sz w:val="24"/>
                <w:szCs w:val="24"/>
                <w:highlight w:val="none"/>
                <w:lang w:val="en-US" w:eastAsia="zh-CN" w:bidi="ar-SA"/>
              </w:rPr>
              <w:t>。</w:t>
            </w:r>
          </w:p>
        </w:tc>
        <w:tc>
          <w:tcPr>
            <w:tcW w:w="1092" w:type="dxa"/>
            <w:noWrap w:val="0"/>
            <w:vAlign w:val="center"/>
          </w:tcPr>
          <w:p>
            <w:pPr>
              <w:pStyle w:val="58"/>
              <w:spacing w:before="0" w:beforeAutospacing="0" w:after="0" w:afterAutospacing="0" w:line="340" w:lineRule="exact"/>
              <w:jc w:val="center"/>
              <w:rPr>
                <w:rFonts w:hint="eastAsia" w:ascii="仿宋" w:hAnsi="仿宋" w:eastAsia="仿宋" w:cs="仿宋"/>
                <w:color w:val="auto"/>
                <w:sz w:val="24"/>
                <w:szCs w:val="24"/>
                <w:highlight w:val="none"/>
                <w:shd w:val="clear" w:color="auto" w:fill="FBFDFE"/>
                <w:lang w:val="en-US" w:eastAsia="zh-CN"/>
              </w:rPr>
            </w:pPr>
            <w:r>
              <w:rPr>
                <w:rFonts w:hint="eastAsia" w:ascii="仿宋" w:hAnsi="仿宋" w:eastAsia="仿宋" w:cs="仿宋"/>
                <w:bCs w:val="0"/>
                <w:color w:val="auto"/>
                <w:kern w:val="0"/>
                <w:sz w:val="24"/>
                <w:szCs w:val="24"/>
                <w:highlight w:val="none"/>
                <w:lang w:val="en-US" w:eastAsia="zh-CN" w:bidi="ar-SA"/>
              </w:rPr>
              <w:t>0-5分</w:t>
            </w:r>
          </w:p>
        </w:tc>
        <w:tc>
          <w:tcPr>
            <w:tcW w:w="1092" w:type="dxa"/>
            <w:noWrap w:val="0"/>
            <w:vAlign w:val="center"/>
          </w:tcPr>
          <w:p>
            <w:pPr>
              <w:pStyle w:val="58"/>
              <w:spacing w:before="0" w:beforeAutospacing="0" w:after="0" w:afterAutospacing="0" w:line="340" w:lineRule="exact"/>
              <w:jc w:val="center"/>
              <w:rPr>
                <w:rFonts w:hint="eastAsia" w:ascii="仿宋" w:hAnsi="仿宋" w:eastAsia="仿宋" w:cs="仿宋"/>
                <w:bCs w:val="0"/>
                <w:color w:val="auto"/>
                <w:kern w:val="0"/>
                <w:sz w:val="24"/>
                <w:szCs w:val="24"/>
                <w:highlight w:val="none"/>
                <w:lang w:val="en-US" w:eastAsia="zh-CN" w:bidi="ar-SA"/>
              </w:rPr>
            </w:pPr>
            <w:r>
              <w:rPr>
                <w:rFonts w:hint="eastAsia" w:ascii="仿宋" w:hAnsi="仿宋" w:eastAsia="仿宋" w:cs="仿宋"/>
                <w:color w:val="auto"/>
                <w:sz w:val="24"/>
                <w:szCs w:val="24"/>
                <w:highlight w:val="none"/>
                <w:shd w:val="clear" w:color="auto" w:fill="FBFDF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686" w:type="dxa"/>
            <w:vMerge w:val="restart"/>
            <w:noWrap w:val="0"/>
            <w:vAlign w:val="center"/>
          </w:tcPr>
          <w:p>
            <w:pPr>
              <w:pStyle w:val="25"/>
              <w:snapToGrid w:val="0"/>
              <w:spacing w:line="340" w:lineRule="exact"/>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5</w:t>
            </w:r>
          </w:p>
        </w:tc>
        <w:tc>
          <w:tcPr>
            <w:tcW w:w="1212" w:type="dxa"/>
            <w:vMerge w:val="restart"/>
            <w:noWrap w:val="0"/>
            <w:vAlign w:val="center"/>
          </w:tcPr>
          <w:p>
            <w:pPr>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售后服务</w:t>
            </w:r>
          </w:p>
        </w:tc>
        <w:tc>
          <w:tcPr>
            <w:tcW w:w="6085" w:type="dxa"/>
            <w:noWrap w:val="0"/>
            <w:vAlign w:val="center"/>
          </w:tcPr>
          <w:p>
            <w:pPr>
              <w:spacing w:line="360" w:lineRule="exact"/>
              <w:jc w:val="left"/>
              <w:rPr>
                <w:rFonts w:hint="eastAsia" w:ascii="仿宋" w:hAnsi="仿宋" w:eastAsia="仿宋" w:cs="仿宋"/>
                <w:bCs w:val="0"/>
                <w:color w:val="auto"/>
                <w:sz w:val="24"/>
                <w:szCs w:val="24"/>
                <w:highlight w:val="none"/>
                <w:lang w:val="en-US" w:eastAsia="zh-CN"/>
              </w:rPr>
            </w:pPr>
            <w:r>
              <w:rPr>
                <w:rFonts w:hint="eastAsia" w:ascii="仿宋" w:hAnsi="仿宋" w:eastAsia="仿宋" w:cs="仿宋"/>
                <w:i w:val="0"/>
                <w:iCs w:val="0"/>
                <w:caps w:val="0"/>
                <w:color w:val="auto"/>
                <w:spacing w:val="0"/>
                <w:kern w:val="0"/>
                <w:sz w:val="24"/>
                <w:szCs w:val="24"/>
                <w:highlight w:val="none"/>
                <w:shd w:val="clear"/>
                <w:lang w:val="en-US" w:eastAsia="zh-CN" w:bidi="ar-SA"/>
              </w:rPr>
              <w:t>日常技术维护力量及措施：供应商提供的日常技术维护力量及措施进行综合评分，措施完善且有效的得2分，有欠缺的得1分，未提供的不得分。</w:t>
            </w:r>
          </w:p>
        </w:tc>
        <w:tc>
          <w:tcPr>
            <w:tcW w:w="1092" w:type="dxa"/>
            <w:noWrap w:val="0"/>
            <w:vAlign w:val="center"/>
          </w:tcPr>
          <w:p>
            <w:pPr>
              <w:pStyle w:val="58"/>
              <w:spacing w:before="0" w:beforeAutospacing="0" w:after="0" w:afterAutospacing="0" w:line="340" w:lineRule="exact"/>
              <w:jc w:val="center"/>
              <w:rPr>
                <w:rFonts w:hint="eastAsia" w:ascii="仿宋" w:hAnsi="仿宋" w:eastAsia="仿宋" w:cs="仿宋"/>
                <w:color w:val="auto"/>
                <w:sz w:val="24"/>
                <w:szCs w:val="24"/>
                <w:highlight w:val="none"/>
                <w:shd w:val="clear" w:color="auto" w:fill="FBFDFE"/>
                <w:lang w:val="en-US" w:eastAsia="zh-CN"/>
              </w:rPr>
            </w:pPr>
            <w:r>
              <w:rPr>
                <w:rFonts w:hint="eastAsia" w:ascii="仿宋" w:hAnsi="仿宋" w:eastAsia="仿宋" w:cs="仿宋"/>
                <w:color w:val="auto"/>
                <w:sz w:val="24"/>
                <w:szCs w:val="24"/>
                <w:highlight w:val="none"/>
                <w:shd w:val="clear" w:color="auto" w:fill="FBFDFE"/>
                <w:lang w:val="en-US" w:eastAsia="zh-CN"/>
              </w:rPr>
              <w:t>0-</w:t>
            </w:r>
            <w:bookmarkStart w:id="554" w:name="_GoBack"/>
            <w:bookmarkEnd w:id="554"/>
            <w:r>
              <w:rPr>
                <w:rFonts w:hint="eastAsia" w:ascii="仿宋" w:hAnsi="仿宋" w:eastAsia="仿宋" w:cs="仿宋"/>
                <w:color w:val="auto"/>
                <w:sz w:val="24"/>
                <w:szCs w:val="24"/>
                <w:highlight w:val="none"/>
                <w:shd w:val="clear" w:color="auto" w:fill="FBFDFE"/>
                <w:lang w:val="en-US" w:eastAsia="zh-CN"/>
              </w:rPr>
              <w:t>2分</w:t>
            </w:r>
          </w:p>
        </w:tc>
        <w:tc>
          <w:tcPr>
            <w:tcW w:w="1092" w:type="dxa"/>
            <w:noWrap w:val="0"/>
            <w:vAlign w:val="center"/>
          </w:tcPr>
          <w:p>
            <w:pPr>
              <w:pStyle w:val="58"/>
              <w:spacing w:before="0" w:beforeAutospacing="0" w:after="0" w:afterAutospacing="0" w:line="340" w:lineRule="exact"/>
              <w:jc w:val="center"/>
              <w:rPr>
                <w:rFonts w:hint="eastAsia" w:ascii="仿宋" w:hAnsi="仿宋" w:eastAsia="仿宋" w:cs="仿宋"/>
                <w:color w:val="auto"/>
                <w:sz w:val="24"/>
                <w:szCs w:val="24"/>
                <w:highlight w:val="none"/>
                <w:shd w:val="clear" w:color="auto" w:fill="FBFDFE"/>
                <w:lang w:val="en-US" w:eastAsia="zh-CN"/>
              </w:rPr>
            </w:pPr>
            <w:r>
              <w:rPr>
                <w:rFonts w:hint="eastAsia" w:ascii="仿宋" w:hAnsi="仿宋" w:eastAsia="仿宋" w:cs="仿宋"/>
                <w:color w:val="auto"/>
                <w:sz w:val="24"/>
                <w:szCs w:val="24"/>
                <w:highlight w:val="none"/>
                <w:shd w:val="clear" w:color="auto" w:fill="FBFDF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686" w:type="dxa"/>
            <w:vMerge w:val="continue"/>
            <w:noWrap w:val="0"/>
            <w:vAlign w:val="center"/>
          </w:tcPr>
          <w:p>
            <w:pPr>
              <w:pStyle w:val="58"/>
              <w:adjustRightInd/>
              <w:spacing w:before="0" w:beforeAutospacing="0" w:after="0" w:afterAutospacing="0" w:line="360" w:lineRule="exact"/>
              <w:rPr>
                <w:rFonts w:hint="eastAsia" w:ascii="仿宋" w:hAnsi="仿宋" w:eastAsia="仿宋" w:cs="仿宋"/>
                <w:color w:val="auto"/>
                <w:sz w:val="24"/>
                <w:szCs w:val="24"/>
                <w:highlight w:val="none"/>
              </w:rPr>
            </w:pPr>
          </w:p>
        </w:tc>
        <w:tc>
          <w:tcPr>
            <w:tcW w:w="1212" w:type="dxa"/>
            <w:vMerge w:val="continue"/>
            <w:noWrap w:val="0"/>
            <w:vAlign w:val="center"/>
          </w:tcPr>
          <w:p>
            <w:pPr>
              <w:pStyle w:val="58"/>
              <w:adjustRightInd/>
              <w:spacing w:before="0" w:beforeAutospacing="0" w:after="0" w:afterAutospacing="0" w:line="360" w:lineRule="exact"/>
              <w:rPr>
                <w:rFonts w:hint="eastAsia" w:ascii="仿宋" w:hAnsi="仿宋" w:eastAsia="仿宋" w:cs="仿宋"/>
                <w:color w:val="auto"/>
                <w:sz w:val="24"/>
                <w:szCs w:val="24"/>
                <w:highlight w:val="none"/>
              </w:rPr>
            </w:pPr>
          </w:p>
        </w:tc>
        <w:tc>
          <w:tcPr>
            <w:tcW w:w="6085" w:type="dxa"/>
            <w:noWrap w:val="0"/>
            <w:vAlign w:val="center"/>
          </w:tcPr>
          <w:p>
            <w:pPr>
              <w:pStyle w:val="58"/>
              <w:adjustRightInd/>
              <w:spacing w:before="0" w:beforeAutospacing="0" w:after="0" w:afterAutospacing="0" w:line="360" w:lineRule="exact"/>
              <w:rPr>
                <w:rFonts w:hint="eastAsia" w:ascii="仿宋" w:hAnsi="仿宋" w:eastAsia="仿宋" w:cs="仿宋"/>
                <w:bCs w:val="0"/>
                <w:color w:val="auto"/>
                <w:kern w:val="0"/>
                <w:sz w:val="24"/>
                <w:szCs w:val="24"/>
                <w:highlight w:val="none"/>
                <w:lang w:val="en-US" w:eastAsia="zh-CN" w:bidi="ar-SA"/>
              </w:rPr>
            </w:pPr>
            <w:r>
              <w:rPr>
                <w:rFonts w:hint="eastAsia" w:ascii="仿宋" w:hAnsi="仿宋" w:eastAsia="仿宋" w:cs="仿宋"/>
                <w:bCs w:val="0"/>
                <w:color w:val="auto"/>
                <w:kern w:val="0"/>
                <w:sz w:val="24"/>
                <w:szCs w:val="24"/>
                <w:highlight w:val="none"/>
                <w:lang w:val="en-US" w:eastAsia="zh-CN" w:bidi="ar-SA"/>
              </w:rPr>
              <w:t>投标人提供的售后服务方案、售后服务承诺的可行性、完整性，维护期内外的后续技术支持和维护能力情况等。</w:t>
            </w:r>
            <w:r>
              <w:rPr>
                <w:rFonts w:hint="eastAsia" w:ascii="仿宋" w:hAnsi="仿宋" w:eastAsia="仿宋" w:cs="仿宋"/>
                <w:i w:val="0"/>
                <w:iCs w:val="0"/>
                <w:caps w:val="0"/>
                <w:color w:val="auto"/>
                <w:spacing w:val="0"/>
                <w:kern w:val="0"/>
                <w:sz w:val="24"/>
                <w:szCs w:val="24"/>
                <w:highlight w:val="none"/>
                <w:shd w:val="clear"/>
              </w:rPr>
              <w:t>完全符合标准或要求</w:t>
            </w:r>
            <w:r>
              <w:rPr>
                <w:rFonts w:hint="eastAsia" w:ascii="仿宋" w:hAnsi="仿宋" w:eastAsia="仿宋" w:cs="仿宋"/>
                <w:b w:val="0"/>
                <w:bCs w:val="0"/>
                <w:color w:val="auto"/>
                <w:kern w:val="0"/>
                <w:sz w:val="24"/>
                <w:szCs w:val="24"/>
                <w:highlight w:val="none"/>
              </w:rPr>
              <w:t>的得5分，</w:t>
            </w:r>
            <w:r>
              <w:rPr>
                <w:rFonts w:hint="eastAsia" w:ascii="仿宋" w:hAnsi="仿宋" w:eastAsia="仿宋" w:cs="仿宋"/>
                <w:i w:val="0"/>
                <w:iCs w:val="0"/>
                <w:caps w:val="0"/>
                <w:color w:val="auto"/>
                <w:spacing w:val="0"/>
                <w:kern w:val="0"/>
                <w:sz w:val="24"/>
                <w:szCs w:val="24"/>
                <w:highlight w:val="none"/>
                <w:shd w:val="clear"/>
              </w:rPr>
              <w:t>基本符合标准或要求</w:t>
            </w:r>
            <w:r>
              <w:rPr>
                <w:rFonts w:hint="eastAsia" w:ascii="仿宋" w:hAnsi="仿宋" w:eastAsia="仿宋" w:cs="仿宋"/>
                <w:b w:val="0"/>
                <w:bCs w:val="0"/>
                <w:color w:val="auto"/>
                <w:kern w:val="0"/>
                <w:sz w:val="24"/>
                <w:szCs w:val="24"/>
                <w:highlight w:val="none"/>
              </w:rPr>
              <w:t>的得</w:t>
            </w:r>
            <w:r>
              <w:rPr>
                <w:rFonts w:hint="eastAsia" w:ascii="仿宋" w:hAnsi="仿宋" w:eastAsia="仿宋" w:cs="仿宋"/>
                <w:b w:val="0"/>
                <w:bCs w:val="0"/>
                <w:color w:val="auto"/>
                <w:kern w:val="0"/>
                <w:sz w:val="24"/>
                <w:szCs w:val="24"/>
                <w:highlight w:val="none"/>
                <w:lang w:val="en-US" w:eastAsia="zh-CN"/>
              </w:rPr>
              <w:t>4</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eastAsia="zh-CN"/>
              </w:rPr>
              <w:t>，稍显不足的得</w:t>
            </w:r>
            <w:r>
              <w:rPr>
                <w:rFonts w:hint="eastAsia" w:ascii="仿宋" w:hAnsi="仿宋" w:eastAsia="仿宋" w:cs="仿宋"/>
                <w:b w:val="0"/>
                <w:bCs w:val="0"/>
                <w:color w:val="auto"/>
                <w:kern w:val="0"/>
                <w:sz w:val="24"/>
                <w:szCs w:val="24"/>
                <w:highlight w:val="none"/>
                <w:lang w:val="en-US" w:eastAsia="zh-CN"/>
              </w:rPr>
              <w:t>3分，</w:t>
            </w:r>
            <w:r>
              <w:rPr>
                <w:rFonts w:hint="eastAsia" w:ascii="仿宋" w:hAnsi="仿宋" w:eastAsia="仿宋" w:cs="仿宋"/>
                <w:i w:val="0"/>
                <w:iCs w:val="0"/>
                <w:caps w:val="0"/>
                <w:color w:val="auto"/>
                <w:spacing w:val="0"/>
                <w:kern w:val="0"/>
                <w:sz w:val="24"/>
                <w:szCs w:val="24"/>
                <w:highlight w:val="none"/>
                <w:shd w:val="clear"/>
                <w:lang w:eastAsia="zh-CN"/>
              </w:rPr>
              <w:t>一般化</w:t>
            </w:r>
            <w:r>
              <w:rPr>
                <w:rFonts w:hint="eastAsia" w:ascii="仿宋" w:hAnsi="仿宋" w:eastAsia="仿宋" w:cs="仿宋"/>
                <w:b w:val="0"/>
                <w:bCs w:val="0"/>
                <w:color w:val="auto"/>
                <w:kern w:val="0"/>
                <w:sz w:val="24"/>
                <w:szCs w:val="24"/>
                <w:highlight w:val="none"/>
              </w:rPr>
              <w:t>的</w:t>
            </w:r>
            <w:r>
              <w:rPr>
                <w:rFonts w:hint="eastAsia" w:ascii="仿宋" w:hAnsi="仿宋" w:eastAsia="仿宋" w:cs="仿宋"/>
                <w:b w:val="0"/>
                <w:bCs w:val="0"/>
                <w:color w:val="auto"/>
                <w:kern w:val="0"/>
                <w:sz w:val="24"/>
                <w:szCs w:val="24"/>
                <w:highlight w:val="none"/>
                <w:lang w:eastAsia="zh-CN"/>
              </w:rPr>
              <w:t>得</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eastAsia="zh-CN"/>
              </w:rPr>
              <w:t>严重不足的得</w:t>
            </w:r>
            <w:r>
              <w:rPr>
                <w:rFonts w:hint="eastAsia" w:ascii="仿宋" w:hAnsi="仿宋" w:eastAsia="仿宋" w:cs="仿宋"/>
                <w:b w:val="0"/>
                <w:bCs w:val="0"/>
                <w:color w:val="auto"/>
                <w:kern w:val="0"/>
                <w:sz w:val="24"/>
                <w:szCs w:val="24"/>
                <w:highlight w:val="none"/>
                <w:lang w:val="en-US" w:eastAsia="zh-CN"/>
              </w:rPr>
              <w:t>1分，</w:t>
            </w:r>
            <w:r>
              <w:rPr>
                <w:rFonts w:hint="eastAsia" w:ascii="仿宋" w:hAnsi="仿宋" w:eastAsia="仿宋" w:cs="仿宋"/>
                <w:b w:val="0"/>
                <w:bCs w:val="0"/>
                <w:color w:val="auto"/>
                <w:kern w:val="0"/>
                <w:sz w:val="24"/>
                <w:szCs w:val="24"/>
                <w:highlight w:val="none"/>
                <w:lang w:eastAsia="zh-CN"/>
              </w:rPr>
              <w:t>未提供的不得</w:t>
            </w:r>
            <w:r>
              <w:rPr>
                <w:rFonts w:hint="eastAsia" w:ascii="仿宋" w:hAnsi="仿宋" w:eastAsia="仿宋" w:cs="仿宋"/>
                <w:b w:val="0"/>
                <w:bCs w:val="0"/>
                <w:color w:val="auto"/>
                <w:kern w:val="0"/>
                <w:sz w:val="24"/>
                <w:szCs w:val="24"/>
                <w:highlight w:val="none"/>
                <w:lang w:val="en-US" w:eastAsia="zh-CN"/>
              </w:rPr>
              <w:t>分</w:t>
            </w:r>
            <w:r>
              <w:rPr>
                <w:rFonts w:hint="eastAsia" w:ascii="仿宋" w:hAnsi="仿宋" w:eastAsia="仿宋" w:cs="仿宋"/>
                <w:bCs w:val="0"/>
                <w:color w:val="auto"/>
                <w:kern w:val="0"/>
                <w:sz w:val="24"/>
                <w:szCs w:val="24"/>
                <w:highlight w:val="none"/>
                <w:lang w:val="en-US" w:eastAsia="zh-CN" w:bidi="ar-SA"/>
              </w:rPr>
              <w:t>。</w:t>
            </w:r>
          </w:p>
        </w:tc>
        <w:tc>
          <w:tcPr>
            <w:tcW w:w="1092" w:type="dxa"/>
            <w:noWrap w:val="0"/>
            <w:vAlign w:val="center"/>
          </w:tcPr>
          <w:p>
            <w:pPr>
              <w:pStyle w:val="58"/>
              <w:adjustRightInd/>
              <w:spacing w:before="0" w:beforeAutospacing="0" w:after="0" w:afterAutospacing="0" w:line="360" w:lineRule="exact"/>
              <w:jc w:val="center"/>
              <w:rPr>
                <w:rFonts w:hint="eastAsia" w:ascii="仿宋" w:hAnsi="仿宋" w:eastAsia="仿宋" w:cs="仿宋"/>
                <w:bCs w:val="0"/>
                <w:color w:val="auto"/>
                <w:kern w:val="0"/>
                <w:sz w:val="24"/>
                <w:szCs w:val="24"/>
                <w:highlight w:val="none"/>
                <w:lang w:val="en-US" w:eastAsia="zh-CN" w:bidi="ar-SA"/>
              </w:rPr>
            </w:pPr>
            <w:r>
              <w:rPr>
                <w:rFonts w:hint="eastAsia" w:ascii="仿宋" w:hAnsi="仿宋" w:eastAsia="仿宋" w:cs="仿宋"/>
                <w:bCs w:val="0"/>
                <w:color w:val="auto"/>
                <w:kern w:val="0"/>
                <w:sz w:val="24"/>
                <w:szCs w:val="24"/>
                <w:highlight w:val="none"/>
                <w:lang w:val="en-US" w:eastAsia="zh-CN" w:bidi="ar-SA"/>
              </w:rPr>
              <w:t>0-5分</w:t>
            </w:r>
          </w:p>
        </w:tc>
        <w:tc>
          <w:tcPr>
            <w:tcW w:w="1092" w:type="dxa"/>
            <w:noWrap w:val="0"/>
            <w:vAlign w:val="center"/>
          </w:tcPr>
          <w:p>
            <w:pPr>
              <w:pStyle w:val="58"/>
              <w:adjustRightInd/>
              <w:spacing w:before="0" w:beforeAutospacing="0" w:after="0" w:afterAutospacing="0" w:line="360" w:lineRule="exact"/>
              <w:jc w:val="center"/>
              <w:rPr>
                <w:rFonts w:hint="eastAsia" w:ascii="仿宋" w:hAnsi="仿宋" w:eastAsia="仿宋" w:cs="仿宋"/>
                <w:bCs w:val="0"/>
                <w:color w:val="auto"/>
                <w:kern w:val="0"/>
                <w:sz w:val="24"/>
                <w:szCs w:val="24"/>
                <w:highlight w:val="none"/>
                <w:lang w:val="en-US" w:eastAsia="zh-CN" w:bidi="ar-SA"/>
              </w:rPr>
            </w:pPr>
            <w:r>
              <w:rPr>
                <w:rFonts w:hint="eastAsia" w:ascii="仿宋" w:hAnsi="仿宋" w:eastAsia="仿宋" w:cs="仿宋"/>
                <w:color w:val="auto"/>
                <w:sz w:val="24"/>
                <w:szCs w:val="24"/>
                <w:highlight w:val="none"/>
                <w:shd w:val="clear" w:color="auto" w:fill="FBFDF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86" w:type="dxa"/>
            <w:vMerge w:val="restart"/>
            <w:noWrap w:val="0"/>
            <w:vAlign w:val="center"/>
          </w:tcPr>
          <w:p>
            <w:pPr>
              <w:pStyle w:val="25"/>
              <w:snapToGrid w:val="0"/>
              <w:spacing w:line="340" w:lineRule="exact"/>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6</w:t>
            </w:r>
          </w:p>
        </w:tc>
        <w:tc>
          <w:tcPr>
            <w:tcW w:w="1212" w:type="dxa"/>
            <w:vMerge w:val="restart"/>
            <w:noWrap w:val="0"/>
            <w:vAlign w:val="center"/>
          </w:tcPr>
          <w:p>
            <w:pPr>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项目实施</w:t>
            </w:r>
            <w:r>
              <w:rPr>
                <w:rFonts w:hint="eastAsia" w:ascii="仿宋" w:hAnsi="仿宋" w:eastAsia="仿宋" w:cs="仿宋"/>
                <w:color w:val="auto"/>
                <w:sz w:val="24"/>
                <w:szCs w:val="24"/>
                <w:highlight w:val="none"/>
                <w:lang w:eastAsia="zh-CN"/>
              </w:rPr>
              <w:t>和人员配备</w:t>
            </w:r>
          </w:p>
        </w:tc>
        <w:tc>
          <w:tcPr>
            <w:tcW w:w="6085" w:type="dxa"/>
            <w:noWrap w:val="0"/>
            <w:vAlign w:val="center"/>
          </w:tcPr>
          <w:p>
            <w:pPr>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kern w:val="0"/>
                <w:sz w:val="24"/>
                <w:szCs w:val="24"/>
                <w:highlight w:val="none"/>
                <w:lang w:val="en-US" w:eastAsia="zh-CN" w:bidi="ar-SA"/>
              </w:rPr>
              <w:t>根据实施方案的实施计划、管理组织方案等进行评分，方案</w:t>
            </w:r>
            <w:r>
              <w:rPr>
                <w:rFonts w:hint="eastAsia" w:ascii="仿宋" w:hAnsi="仿宋" w:eastAsia="仿宋" w:cs="仿宋"/>
                <w:i w:val="0"/>
                <w:iCs w:val="0"/>
                <w:caps w:val="0"/>
                <w:color w:val="auto"/>
                <w:spacing w:val="0"/>
                <w:kern w:val="0"/>
                <w:sz w:val="24"/>
                <w:szCs w:val="24"/>
                <w:highlight w:val="none"/>
                <w:shd w:val="clear"/>
              </w:rPr>
              <w:t>完全符合标准或要求</w:t>
            </w:r>
            <w:r>
              <w:rPr>
                <w:rFonts w:hint="eastAsia" w:ascii="仿宋" w:hAnsi="仿宋" w:eastAsia="仿宋" w:cs="仿宋"/>
                <w:b w:val="0"/>
                <w:bCs w:val="0"/>
                <w:color w:val="auto"/>
                <w:kern w:val="0"/>
                <w:sz w:val="24"/>
                <w:szCs w:val="24"/>
                <w:highlight w:val="none"/>
              </w:rPr>
              <w:t>的得5分，</w:t>
            </w:r>
            <w:r>
              <w:rPr>
                <w:rFonts w:hint="eastAsia" w:ascii="仿宋" w:hAnsi="仿宋" w:eastAsia="仿宋" w:cs="仿宋"/>
                <w:i w:val="0"/>
                <w:iCs w:val="0"/>
                <w:caps w:val="0"/>
                <w:color w:val="auto"/>
                <w:spacing w:val="0"/>
                <w:kern w:val="0"/>
                <w:sz w:val="24"/>
                <w:szCs w:val="24"/>
                <w:highlight w:val="none"/>
                <w:shd w:val="clear"/>
              </w:rPr>
              <w:t>基本符合标准或要求</w:t>
            </w:r>
            <w:r>
              <w:rPr>
                <w:rFonts w:hint="eastAsia" w:ascii="仿宋" w:hAnsi="仿宋" w:eastAsia="仿宋" w:cs="仿宋"/>
                <w:b w:val="0"/>
                <w:bCs w:val="0"/>
                <w:color w:val="auto"/>
                <w:kern w:val="0"/>
                <w:sz w:val="24"/>
                <w:szCs w:val="24"/>
                <w:highlight w:val="none"/>
              </w:rPr>
              <w:t>的得</w:t>
            </w:r>
            <w:r>
              <w:rPr>
                <w:rFonts w:hint="eastAsia" w:ascii="仿宋" w:hAnsi="仿宋" w:eastAsia="仿宋" w:cs="仿宋"/>
                <w:b w:val="0"/>
                <w:bCs w:val="0"/>
                <w:color w:val="auto"/>
                <w:kern w:val="0"/>
                <w:sz w:val="24"/>
                <w:szCs w:val="24"/>
                <w:highlight w:val="none"/>
                <w:lang w:val="en-US" w:eastAsia="zh-CN"/>
              </w:rPr>
              <w:t>4</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eastAsia="zh-CN"/>
              </w:rPr>
              <w:t>，稍显不足的得</w:t>
            </w:r>
            <w:r>
              <w:rPr>
                <w:rFonts w:hint="eastAsia" w:ascii="仿宋" w:hAnsi="仿宋" w:eastAsia="仿宋" w:cs="仿宋"/>
                <w:b w:val="0"/>
                <w:bCs w:val="0"/>
                <w:color w:val="auto"/>
                <w:kern w:val="0"/>
                <w:sz w:val="24"/>
                <w:szCs w:val="24"/>
                <w:highlight w:val="none"/>
                <w:lang w:val="en-US" w:eastAsia="zh-CN"/>
              </w:rPr>
              <w:t>3分，</w:t>
            </w:r>
            <w:r>
              <w:rPr>
                <w:rFonts w:hint="eastAsia" w:ascii="仿宋" w:hAnsi="仿宋" w:eastAsia="仿宋" w:cs="仿宋"/>
                <w:i w:val="0"/>
                <w:iCs w:val="0"/>
                <w:caps w:val="0"/>
                <w:color w:val="auto"/>
                <w:spacing w:val="0"/>
                <w:kern w:val="0"/>
                <w:sz w:val="24"/>
                <w:szCs w:val="24"/>
                <w:highlight w:val="none"/>
                <w:shd w:val="clear"/>
                <w:lang w:eastAsia="zh-CN"/>
              </w:rPr>
              <w:t>一般化</w:t>
            </w:r>
            <w:r>
              <w:rPr>
                <w:rFonts w:hint="eastAsia" w:ascii="仿宋" w:hAnsi="仿宋" w:eastAsia="仿宋" w:cs="仿宋"/>
                <w:b w:val="0"/>
                <w:bCs w:val="0"/>
                <w:color w:val="auto"/>
                <w:kern w:val="0"/>
                <w:sz w:val="24"/>
                <w:szCs w:val="24"/>
                <w:highlight w:val="none"/>
              </w:rPr>
              <w:t>的</w:t>
            </w:r>
            <w:r>
              <w:rPr>
                <w:rFonts w:hint="eastAsia" w:ascii="仿宋" w:hAnsi="仿宋" w:eastAsia="仿宋" w:cs="仿宋"/>
                <w:b w:val="0"/>
                <w:bCs w:val="0"/>
                <w:color w:val="auto"/>
                <w:kern w:val="0"/>
                <w:sz w:val="24"/>
                <w:szCs w:val="24"/>
                <w:highlight w:val="none"/>
                <w:lang w:eastAsia="zh-CN"/>
              </w:rPr>
              <w:t>得</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eastAsia="zh-CN"/>
              </w:rPr>
              <w:t>严重不足的得</w:t>
            </w:r>
            <w:r>
              <w:rPr>
                <w:rFonts w:hint="eastAsia" w:ascii="仿宋" w:hAnsi="仿宋" w:eastAsia="仿宋" w:cs="仿宋"/>
                <w:b w:val="0"/>
                <w:bCs w:val="0"/>
                <w:color w:val="auto"/>
                <w:kern w:val="0"/>
                <w:sz w:val="24"/>
                <w:szCs w:val="24"/>
                <w:highlight w:val="none"/>
                <w:lang w:val="en-US" w:eastAsia="zh-CN"/>
              </w:rPr>
              <w:t>1分，</w:t>
            </w:r>
            <w:r>
              <w:rPr>
                <w:rFonts w:hint="eastAsia" w:ascii="仿宋" w:hAnsi="仿宋" w:eastAsia="仿宋" w:cs="仿宋"/>
                <w:b w:val="0"/>
                <w:bCs w:val="0"/>
                <w:color w:val="auto"/>
                <w:kern w:val="0"/>
                <w:sz w:val="24"/>
                <w:szCs w:val="24"/>
                <w:highlight w:val="none"/>
                <w:lang w:eastAsia="zh-CN"/>
              </w:rPr>
              <w:t>未提供的不得</w:t>
            </w:r>
            <w:r>
              <w:rPr>
                <w:rFonts w:hint="eastAsia" w:ascii="仿宋" w:hAnsi="仿宋" w:eastAsia="仿宋" w:cs="仿宋"/>
                <w:b w:val="0"/>
                <w:bCs w:val="0"/>
                <w:color w:val="auto"/>
                <w:kern w:val="0"/>
                <w:sz w:val="24"/>
                <w:szCs w:val="24"/>
                <w:highlight w:val="none"/>
                <w:lang w:val="en-US" w:eastAsia="zh-CN"/>
              </w:rPr>
              <w:t>分</w:t>
            </w:r>
            <w:r>
              <w:rPr>
                <w:rFonts w:hint="eastAsia" w:ascii="仿宋" w:hAnsi="仿宋" w:eastAsia="仿宋" w:cs="仿宋"/>
                <w:bCs w:val="0"/>
                <w:color w:val="auto"/>
                <w:kern w:val="0"/>
                <w:sz w:val="24"/>
                <w:szCs w:val="24"/>
                <w:highlight w:val="none"/>
                <w:lang w:val="en-US" w:eastAsia="zh-CN" w:bidi="ar-SA"/>
              </w:rPr>
              <w:t>。</w:t>
            </w:r>
          </w:p>
        </w:tc>
        <w:tc>
          <w:tcPr>
            <w:tcW w:w="1092" w:type="dxa"/>
            <w:noWrap w:val="0"/>
            <w:vAlign w:val="center"/>
          </w:tcPr>
          <w:p>
            <w:pPr>
              <w:pStyle w:val="58"/>
              <w:spacing w:before="0" w:beforeAutospacing="0" w:after="0" w:afterAutospacing="0" w:line="340" w:lineRule="exact"/>
              <w:jc w:val="center"/>
              <w:rPr>
                <w:rFonts w:hint="eastAsia" w:ascii="仿宋" w:hAnsi="仿宋" w:eastAsia="仿宋" w:cs="仿宋"/>
                <w:color w:val="auto"/>
                <w:sz w:val="24"/>
                <w:szCs w:val="24"/>
                <w:highlight w:val="none"/>
                <w:shd w:val="clear" w:color="auto" w:fill="FBFDFE"/>
                <w:lang w:val="en-US" w:eastAsia="zh-CN"/>
              </w:rPr>
            </w:pPr>
            <w:r>
              <w:rPr>
                <w:rFonts w:hint="eastAsia" w:ascii="仿宋" w:hAnsi="仿宋" w:eastAsia="仿宋" w:cs="仿宋"/>
                <w:bCs w:val="0"/>
                <w:color w:val="auto"/>
                <w:kern w:val="0"/>
                <w:sz w:val="24"/>
                <w:szCs w:val="24"/>
                <w:highlight w:val="none"/>
                <w:lang w:val="en-US" w:eastAsia="zh-CN" w:bidi="ar-SA"/>
              </w:rPr>
              <w:t>0-5分</w:t>
            </w:r>
          </w:p>
        </w:tc>
        <w:tc>
          <w:tcPr>
            <w:tcW w:w="1092" w:type="dxa"/>
            <w:noWrap w:val="0"/>
            <w:vAlign w:val="center"/>
          </w:tcPr>
          <w:p>
            <w:pPr>
              <w:pStyle w:val="58"/>
              <w:spacing w:before="0" w:beforeAutospacing="0" w:after="0" w:afterAutospacing="0" w:line="340" w:lineRule="exact"/>
              <w:jc w:val="center"/>
              <w:rPr>
                <w:rFonts w:hint="eastAsia" w:ascii="仿宋" w:hAnsi="仿宋" w:eastAsia="仿宋" w:cs="仿宋"/>
                <w:color w:val="auto"/>
                <w:sz w:val="24"/>
                <w:szCs w:val="24"/>
                <w:highlight w:val="none"/>
                <w:shd w:val="clear" w:color="auto" w:fill="FBFDFE"/>
                <w:lang w:val="en-US" w:eastAsia="zh-CN"/>
              </w:rPr>
            </w:pPr>
            <w:r>
              <w:rPr>
                <w:rFonts w:hint="eastAsia" w:ascii="仿宋" w:hAnsi="仿宋" w:eastAsia="仿宋" w:cs="仿宋"/>
                <w:color w:val="auto"/>
                <w:sz w:val="24"/>
                <w:szCs w:val="24"/>
                <w:highlight w:val="none"/>
                <w:shd w:val="clear" w:color="auto" w:fill="FBFDF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86" w:type="dxa"/>
            <w:vMerge w:val="continue"/>
            <w:noWrap w:val="0"/>
            <w:vAlign w:val="center"/>
          </w:tcPr>
          <w:p>
            <w:pPr>
              <w:pStyle w:val="58"/>
              <w:adjustRightInd/>
              <w:spacing w:before="0" w:beforeAutospacing="0" w:after="0" w:afterAutospacing="0" w:line="360" w:lineRule="exact"/>
              <w:ind w:firstLine="0" w:firstLineChars="0"/>
              <w:rPr>
                <w:rFonts w:hint="eastAsia" w:ascii="仿宋" w:hAnsi="仿宋" w:eastAsia="仿宋" w:cs="仿宋"/>
                <w:color w:val="auto"/>
                <w:sz w:val="24"/>
                <w:szCs w:val="24"/>
                <w:highlight w:val="none"/>
              </w:rPr>
            </w:pPr>
          </w:p>
        </w:tc>
        <w:tc>
          <w:tcPr>
            <w:tcW w:w="1212" w:type="dxa"/>
            <w:vMerge w:val="continue"/>
            <w:noWrap w:val="0"/>
            <w:vAlign w:val="center"/>
          </w:tcPr>
          <w:p>
            <w:pPr>
              <w:pStyle w:val="58"/>
              <w:adjustRightInd/>
              <w:spacing w:before="0" w:beforeAutospacing="0" w:after="0" w:afterAutospacing="0" w:line="360" w:lineRule="exact"/>
              <w:ind w:firstLine="0" w:firstLineChars="0"/>
              <w:rPr>
                <w:rFonts w:hint="eastAsia" w:ascii="仿宋" w:hAnsi="仿宋" w:eastAsia="仿宋" w:cs="仿宋"/>
                <w:color w:val="auto"/>
                <w:sz w:val="24"/>
                <w:szCs w:val="24"/>
                <w:highlight w:val="none"/>
              </w:rPr>
            </w:pPr>
          </w:p>
        </w:tc>
        <w:tc>
          <w:tcPr>
            <w:tcW w:w="6085" w:type="dxa"/>
            <w:noWrap w:val="0"/>
            <w:vAlign w:val="center"/>
          </w:tcPr>
          <w:p>
            <w:pPr>
              <w:pStyle w:val="58"/>
              <w:numPr>
                <w:ilvl w:val="0"/>
                <w:numId w:val="0"/>
              </w:numPr>
              <w:adjustRightInd/>
              <w:spacing w:before="0" w:beforeAutospacing="0" w:after="0" w:afterAutospacing="0" w:line="360" w:lineRule="exact"/>
              <w:ind w:firstLine="0" w:firstLineChars="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kern w:val="0"/>
                <w:sz w:val="24"/>
                <w:szCs w:val="24"/>
                <w:highlight w:val="none"/>
                <w:lang w:val="en-US" w:eastAsia="zh-CN" w:bidi="ar-SA"/>
              </w:rPr>
              <w:t>项目负责人具备有效的高级项目经理证书、信息系统项目管理师证书，每提供一个得2分，最多得4分，未提供不得分。（需提供证书复印件加盖公章）</w:t>
            </w:r>
          </w:p>
        </w:tc>
        <w:tc>
          <w:tcPr>
            <w:tcW w:w="1092" w:type="dxa"/>
            <w:noWrap w:val="0"/>
            <w:vAlign w:val="center"/>
          </w:tcPr>
          <w:p>
            <w:pPr>
              <w:pStyle w:val="58"/>
              <w:adjustRightInd/>
              <w:spacing w:before="0" w:beforeAutospacing="0" w:after="0" w:afterAutospacing="0" w:line="360" w:lineRule="exact"/>
              <w:jc w:val="center"/>
              <w:rPr>
                <w:rFonts w:hint="eastAsia" w:ascii="仿宋" w:hAnsi="仿宋" w:eastAsia="仿宋" w:cs="仿宋"/>
                <w:bCs w:val="0"/>
                <w:color w:val="auto"/>
                <w:sz w:val="24"/>
                <w:szCs w:val="24"/>
                <w:highlight w:val="none"/>
                <w:lang w:val="en-US" w:eastAsia="zh-CN"/>
              </w:rPr>
            </w:pPr>
            <w:r>
              <w:rPr>
                <w:rFonts w:hint="eastAsia" w:ascii="仿宋" w:hAnsi="仿宋" w:eastAsia="仿宋" w:cs="仿宋"/>
                <w:color w:val="auto"/>
                <w:sz w:val="24"/>
                <w:szCs w:val="24"/>
                <w:highlight w:val="none"/>
                <w:shd w:val="clear" w:color="auto" w:fill="FBFDFE"/>
                <w:lang w:val="en-US" w:eastAsia="zh-CN"/>
              </w:rPr>
              <w:t>0-4分</w:t>
            </w:r>
          </w:p>
        </w:tc>
        <w:tc>
          <w:tcPr>
            <w:tcW w:w="1092" w:type="dxa"/>
            <w:noWrap w:val="0"/>
            <w:vAlign w:val="center"/>
          </w:tcPr>
          <w:p>
            <w:pPr>
              <w:pStyle w:val="58"/>
              <w:adjustRightInd/>
              <w:spacing w:before="0" w:beforeAutospacing="0" w:after="0" w:afterAutospacing="0" w:line="360" w:lineRule="exact"/>
              <w:jc w:val="center"/>
              <w:rPr>
                <w:rFonts w:hint="eastAsia" w:ascii="仿宋" w:hAnsi="仿宋" w:eastAsia="仿宋" w:cs="仿宋"/>
                <w:color w:val="auto"/>
                <w:sz w:val="24"/>
                <w:szCs w:val="24"/>
                <w:highlight w:val="none"/>
                <w:shd w:val="clear" w:color="auto" w:fill="FBFDFE"/>
                <w:lang w:val="en-US" w:eastAsia="zh-CN"/>
              </w:rPr>
            </w:pPr>
            <w:r>
              <w:rPr>
                <w:rFonts w:hint="eastAsia" w:ascii="仿宋" w:hAnsi="仿宋" w:eastAsia="仿宋" w:cs="仿宋"/>
                <w:color w:val="auto"/>
                <w:sz w:val="24"/>
                <w:szCs w:val="24"/>
                <w:highlight w:val="none"/>
                <w:shd w:val="clear" w:color="auto" w:fill="FBFDF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noWrap w:val="0"/>
            <w:vAlign w:val="center"/>
          </w:tcPr>
          <w:p>
            <w:pPr>
              <w:pStyle w:val="25"/>
              <w:snapToGrid w:val="0"/>
              <w:spacing w:line="340" w:lineRule="exact"/>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7</w:t>
            </w:r>
          </w:p>
        </w:tc>
        <w:tc>
          <w:tcPr>
            <w:tcW w:w="1212" w:type="dxa"/>
            <w:noWrap w:val="0"/>
            <w:vAlign w:val="center"/>
          </w:tcPr>
          <w:p>
            <w:pPr>
              <w:spacing w:line="340" w:lineRule="exact"/>
              <w:jc w:val="cente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项目培训方案</w:t>
            </w:r>
          </w:p>
        </w:tc>
        <w:tc>
          <w:tcPr>
            <w:tcW w:w="6085" w:type="dxa"/>
            <w:noWrap w:val="0"/>
            <w:vAlign w:val="center"/>
          </w:tcPr>
          <w:p>
            <w:pPr>
              <w:rPr>
                <w:rFonts w:hint="eastAsia" w:ascii="仿宋" w:hAnsi="仿宋" w:eastAsia="仿宋" w:cs="仿宋"/>
                <w:bCs w:val="0"/>
                <w:color w:val="auto"/>
                <w:kern w:val="0"/>
                <w:sz w:val="24"/>
                <w:szCs w:val="24"/>
                <w:highlight w:val="none"/>
                <w:lang w:val="en-US" w:eastAsia="zh-CN" w:bidi="ar-SA"/>
              </w:rPr>
            </w:pPr>
            <w:r>
              <w:rPr>
                <w:rFonts w:hint="eastAsia" w:ascii="仿宋" w:hAnsi="仿宋" w:eastAsia="仿宋" w:cs="仿宋"/>
                <w:bCs w:val="0"/>
                <w:color w:val="auto"/>
                <w:kern w:val="0"/>
                <w:sz w:val="24"/>
                <w:szCs w:val="24"/>
                <w:highlight w:val="none"/>
                <w:lang w:val="en-US" w:eastAsia="zh-CN" w:bidi="ar-SA"/>
              </w:rPr>
              <w:t>培训计划包括培训内容、时间、地点、人次；软件的安装、维护、调试、配置及使用技能；业务人员培训，重点对相应应用的操作、使用。</w:t>
            </w:r>
          </w:p>
          <w:p>
            <w:pPr>
              <w:pStyle w:val="58"/>
              <w:numPr>
                <w:ilvl w:val="0"/>
                <w:numId w:val="0"/>
              </w:numPr>
              <w:adjustRightInd/>
              <w:spacing w:before="0" w:beforeAutospacing="0" w:after="0" w:afterAutospacing="0" w:line="360" w:lineRule="exact"/>
              <w:rPr>
                <w:rFonts w:hint="eastAsia" w:ascii="仿宋" w:hAnsi="仿宋" w:eastAsia="仿宋" w:cs="仿宋"/>
                <w:bCs w:val="0"/>
                <w:color w:val="auto"/>
                <w:sz w:val="24"/>
                <w:szCs w:val="24"/>
                <w:highlight w:val="none"/>
              </w:rPr>
            </w:pPr>
            <w:r>
              <w:rPr>
                <w:rFonts w:hint="eastAsia" w:ascii="仿宋" w:hAnsi="仿宋" w:eastAsia="仿宋" w:cs="仿宋"/>
                <w:bCs w:val="0"/>
                <w:color w:val="auto"/>
                <w:kern w:val="0"/>
                <w:sz w:val="24"/>
                <w:szCs w:val="24"/>
                <w:highlight w:val="none"/>
                <w:lang w:val="en-US" w:eastAsia="zh-CN" w:bidi="ar-SA"/>
              </w:rPr>
              <w:t>培训方案</w:t>
            </w:r>
            <w:r>
              <w:rPr>
                <w:rFonts w:hint="eastAsia" w:ascii="仿宋" w:hAnsi="仿宋" w:eastAsia="仿宋" w:cs="仿宋"/>
                <w:i w:val="0"/>
                <w:iCs w:val="0"/>
                <w:caps w:val="0"/>
                <w:color w:val="auto"/>
                <w:spacing w:val="0"/>
                <w:kern w:val="0"/>
                <w:sz w:val="24"/>
                <w:szCs w:val="24"/>
                <w:highlight w:val="none"/>
                <w:shd w:val="clear"/>
              </w:rPr>
              <w:t>完全符合标准或要求</w:t>
            </w:r>
            <w:r>
              <w:rPr>
                <w:rFonts w:hint="eastAsia" w:ascii="仿宋" w:hAnsi="仿宋" w:eastAsia="仿宋" w:cs="仿宋"/>
                <w:b w:val="0"/>
                <w:bCs w:val="0"/>
                <w:color w:val="auto"/>
                <w:kern w:val="0"/>
                <w:sz w:val="24"/>
                <w:szCs w:val="24"/>
                <w:highlight w:val="none"/>
              </w:rPr>
              <w:t>的得5分，</w:t>
            </w:r>
            <w:r>
              <w:rPr>
                <w:rFonts w:hint="eastAsia" w:ascii="仿宋" w:hAnsi="仿宋" w:eastAsia="仿宋" w:cs="仿宋"/>
                <w:i w:val="0"/>
                <w:iCs w:val="0"/>
                <w:caps w:val="0"/>
                <w:color w:val="auto"/>
                <w:spacing w:val="0"/>
                <w:kern w:val="0"/>
                <w:sz w:val="24"/>
                <w:szCs w:val="24"/>
                <w:highlight w:val="none"/>
                <w:shd w:val="clear"/>
              </w:rPr>
              <w:t>基本符合标准或要求</w:t>
            </w:r>
            <w:r>
              <w:rPr>
                <w:rFonts w:hint="eastAsia" w:ascii="仿宋" w:hAnsi="仿宋" w:eastAsia="仿宋" w:cs="仿宋"/>
                <w:b w:val="0"/>
                <w:bCs w:val="0"/>
                <w:color w:val="auto"/>
                <w:kern w:val="0"/>
                <w:sz w:val="24"/>
                <w:szCs w:val="24"/>
                <w:highlight w:val="none"/>
              </w:rPr>
              <w:t>的得</w:t>
            </w:r>
            <w:r>
              <w:rPr>
                <w:rFonts w:hint="eastAsia" w:ascii="仿宋" w:hAnsi="仿宋" w:eastAsia="仿宋" w:cs="仿宋"/>
                <w:b w:val="0"/>
                <w:bCs w:val="0"/>
                <w:color w:val="auto"/>
                <w:kern w:val="0"/>
                <w:sz w:val="24"/>
                <w:szCs w:val="24"/>
                <w:highlight w:val="none"/>
                <w:lang w:val="en-US" w:eastAsia="zh-CN"/>
              </w:rPr>
              <w:t>4</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eastAsia="zh-CN"/>
              </w:rPr>
              <w:t>，稍显不足的得</w:t>
            </w:r>
            <w:r>
              <w:rPr>
                <w:rFonts w:hint="eastAsia" w:ascii="仿宋" w:hAnsi="仿宋" w:eastAsia="仿宋" w:cs="仿宋"/>
                <w:b w:val="0"/>
                <w:bCs w:val="0"/>
                <w:color w:val="auto"/>
                <w:kern w:val="0"/>
                <w:sz w:val="24"/>
                <w:szCs w:val="24"/>
                <w:highlight w:val="none"/>
                <w:lang w:val="en-US" w:eastAsia="zh-CN"/>
              </w:rPr>
              <w:t>3分，</w:t>
            </w:r>
            <w:r>
              <w:rPr>
                <w:rFonts w:hint="eastAsia" w:ascii="仿宋" w:hAnsi="仿宋" w:eastAsia="仿宋" w:cs="仿宋"/>
                <w:i w:val="0"/>
                <w:iCs w:val="0"/>
                <w:caps w:val="0"/>
                <w:color w:val="auto"/>
                <w:spacing w:val="0"/>
                <w:kern w:val="0"/>
                <w:sz w:val="24"/>
                <w:szCs w:val="24"/>
                <w:highlight w:val="none"/>
                <w:shd w:val="clear"/>
                <w:lang w:eastAsia="zh-CN"/>
              </w:rPr>
              <w:t>一般化</w:t>
            </w:r>
            <w:r>
              <w:rPr>
                <w:rFonts w:hint="eastAsia" w:ascii="仿宋" w:hAnsi="仿宋" w:eastAsia="仿宋" w:cs="仿宋"/>
                <w:b w:val="0"/>
                <w:bCs w:val="0"/>
                <w:color w:val="auto"/>
                <w:kern w:val="0"/>
                <w:sz w:val="24"/>
                <w:szCs w:val="24"/>
                <w:highlight w:val="none"/>
              </w:rPr>
              <w:t>的</w:t>
            </w:r>
            <w:r>
              <w:rPr>
                <w:rFonts w:hint="eastAsia" w:ascii="仿宋" w:hAnsi="仿宋" w:eastAsia="仿宋" w:cs="仿宋"/>
                <w:b w:val="0"/>
                <w:bCs w:val="0"/>
                <w:color w:val="auto"/>
                <w:kern w:val="0"/>
                <w:sz w:val="24"/>
                <w:szCs w:val="24"/>
                <w:highlight w:val="none"/>
                <w:lang w:eastAsia="zh-CN"/>
              </w:rPr>
              <w:t>得</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eastAsia="zh-CN"/>
              </w:rPr>
              <w:t>严重不足的得</w:t>
            </w:r>
            <w:r>
              <w:rPr>
                <w:rFonts w:hint="eastAsia" w:ascii="仿宋" w:hAnsi="仿宋" w:eastAsia="仿宋" w:cs="仿宋"/>
                <w:b w:val="0"/>
                <w:bCs w:val="0"/>
                <w:color w:val="auto"/>
                <w:kern w:val="0"/>
                <w:sz w:val="24"/>
                <w:szCs w:val="24"/>
                <w:highlight w:val="none"/>
                <w:lang w:val="en-US" w:eastAsia="zh-CN"/>
              </w:rPr>
              <w:t>1分，</w:t>
            </w:r>
            <w:r>
              <w:rPr>
                <w:rFonts w:hint="eastAsia" w:ascii="仿宋" w:hAnsi="仿宋" w:eastAsia="仿宋" w:cs="仿宋"/>
                <w:b w:val="0"/>
                <w:bCs w:val="0"/>
                <w:color w:val="auto"/>
                <w:kern w:val="0"/>
                <w:sz w:val="24"/>
                <w:szCs w:val="24"/>
                <w:highlight w:val="none"/>
                <w:lang w:eastAsia="zh-CN"/>
              </w:rPr>
              <w:t>未提供的不得</w:t>
            </w:r>
            <w:r>
              <w:rPr>
                <w:rFonts w:hint="eastAsia" w:ascii="仿宋" w:hAnsi="仿宋" w:eastAsia="仿宋" w:cs="仿宋"/>
                <w:b w:val="0"/>
                <w:bCs w:val="0"/>
                <w:color w:val="auto"/>
                <w:kern w:val="0"/>
                <w:sz w:val="24"/>
                <w:szCs w:val="24"/>
                <w:highlight w:val="none"/>
                <w:lang w:val="en-US" w:eastAsia="zh-CN"/>
              </w:rPr>
              <w:t>分</w:t>
            </w:r>
            <w:r>
              <w:rPr>
                <w:rFonts w:hint="eastAsia" w:ascii="仿宋" w:hAnsi="仿宋" w:eastAsia="仿宋" w:cs="仿宋"/>
                <w:bCs w:val="0"/>
                <w:color w:val="auto"/>
                <w:kern w:val="0"/>
                <w:sz w:val="24"/>
                <w:szCs w:val="24"/>
                <w:highlight w:val="none"/>
                <w:lang w:val="en-US" w:eastAsia="zh-CN" w:bidi="ar-SA"/>
              </w:rPr>
              <w:t>。</w:t>
            </w:r>
          </w:p>
        </w:tc>
        <w:tc>
          <w:tcPr>
            <w:tcW w:w="1092" w:type="dxa"/>
            <w:noWrap w:val="0"/>
            <w:vAlign w:val="center"/>
          </w:tcPr>
          <w:p>
            <w:pPr>
              <w:pStyle w:val="58"/>
              <w:spacing w:before="0" w:beforeAutospacing="0" w:after="0" w:afterAutospacing="0" w:line="340" w:lineRule="exact"/>
              <w:jc w:val="center"/>
              <w:rPr>
                <w:rFonts w:hint="eastAsia" w:ascii="仿宋" w:hAnsi="仿宋" w:eastAsia="仿宋" w:cs="仿宋"/>
                <w:color w:val="auto"/>
                <w:sz w:val="24"/>
                <w:szCs w:val="24"/>
                <w:highlight w:val="none"/>
                <w:shd w:val="clear" w:color="auto" w:fill="FBFDFE"/>
                <w:lang w:val="en-US" w:eastAsia="zh-CN"/>
              </w:rPr>
            </w:pPr>
            <w:r>
              <w:rPr>
                <w:rFonts w:hint="eastAsia" w:ascii="仿宋" w:hAnsi="仿宋" w:eastAsia="仿宋" w:cs="仿宋"/>
                <w:bCs w:val="0"/>
                <w:color w:val="auto"/>
                <w:kern w:val="0"/>
                <w:sz w:val="24"/>
                <w:szCs w:val="24"/>
                <w:highlight w:val="none"/>
                <w:lang w:val="en-US" w:eastAsia="zh-CN" w:bidi="ar-SA"/>
              </w:rPr>
              <w:t>0-5分</w:t>
            </w:r>
          </w:p>
        </w:tc>
        <w:tc>
          <w:tcPr>
            <w:tcW w:w="1092" w:type="dxa"/>
            <w:noWrap w:val="0"/>
            <w:vAlign w:val="center"/>
          </w:tcPr>
          <w:p>
            <w:pPr>
              <w:pStyle w:val="58"/>
              <w:spacing w:before="0" w:beforeAutospacing="0" w:after="0" w:afterAutospacing="0" w:line="340" w:lineRule="exact"/>
              <w:jc w:val="center"/>
              <w:rPr>
                <w:rFonts w:hint="eastAsia" w:ascii="仿宋" w:hAnsi="仿宋" w:eastAsia="仿宋" w:cs="仿宋"/>
                <w:color w:val="auto"/>
                <w:sz w:val="24"/>
                <w:szCs w:val="24"/>
                <w:highlight w:val="none"/>
                <w:shd w:val="clear" w:color="auto" w:fill="FBFDFE"/>
                <w:lang w:val="en-US" w:eastAsia="zh-CN"/>
              </w:rPr>
            </w:pPr>
            <w:r>
              <w:rPr>
                <w:rFonts w:hint="eastAsia" w:ascii="仿宋" w:hAnsi="仿宋" w:eastAsia="仿宋" w:cs="仿宋"/>
                <w:color w:val="auto"/>
                <w:sz w:val="24"/>
                <w:szCs w:val="24"/>
                <w:highlight w:val="none"/>
                <w:shd w:val="clear" w:color="auto" w:fill="FBFDF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6" w:type="dxa"/>
            <w:vMerge w:val="restart"/>
            <w:noWrap w:val="0"/>
            <w:vAlign w:val="center"/>
          </w:tcPr>
          <w:p>
            <w:pPr>
              <w:pStyle w:val="25"/>
              <w:snapToGrid w:val="0"/>
              <w:spacing w:line="340" w:lineRule="exact"/>
              <w:ind w:firstLine="0" w:firstLineChars="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8</w:t>
            </w:r>
          </w:p>
        </w:tc>
        <w:tc>
          <w:tcPr>
            <w:tcW w:w="121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质量保证措施和建设工期情况</w:t>
            </w:r>
          </w:p>
        </w:tc>
        <w:tc>
          <w:tcPr>
            <w:tcW w:w="6085" w:type="dxa"/>
            <w:noWrap w:val="0"/>
            <w:vAlign w:val="center"/>
          </w:tcPr>
          <w:p>
            <w:pPr>
              <w:pStyle w:val="58"/>
              <w:numPr>
                <w:ilvl w:val="0"/>
                <w:numId w:val="0"/>
              </w:numPr>
              <w:adjustRightInd/>
              <w:spacing w:before="0" w:beforeAutospacing="0" w:after="0" w:afterAutospacing="0" w:line="36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Cs w:val="0"/>
                <w:color w:val="auto"/>
                <w:kern w:val="0"/>
                <w:sz w:val="24"/>
                <w:szCs w:val="24"/>
                <w:highlight w:val="none"/>
                <w:lang w:val="en-US" w:eastAsia="zh-CN" w:bidi="ar-SA"/>
              </w:rPr>
              <w:t>投标人按采购人要求有明确的质量保证目标，质量保证措施和体系合理先进并具有详细的实施内容等进行评分，</w:t>
            </w:r>
            <w:r>
              <w:rPr>
                <w:rFonts w:hint="eastAsia" w:ascii="仿宋" w:hAnsi="仿宋" w:eastAsia="仿宋" w:cs="仿宋"/>
                <w:i w:val="0"/>
                <w:iCs w:val="0"/>
                <w:caps w:val="0"/>
                <w:color w:val="auto"/>
                <w:spacing w:val="0"/>
                <w:kern w:val="0"/>
                <w:sz w:val="24"/>
                <w:szCs w:val="24"/>
                <w:highlight w:val="none"/>
                <w:shd w:val="clear"/>
              </w:rPr>
              <w:t>完全符合标准或要求</w:t>
            </w:r>
            <w:r>
              <w:rPr>
                <w:rFonts w:hint="eastAsia" w:ascii="仿宋" w:hAnsi="仿宋" w:eastAsia="仿宋" w:cs="仿宋"/>
                <w:b w:val="0"/>
                <w:bCs w:val="0"/>
                <w:color w:val="auto"/>
                <w:kern w:val="0"/>
                <w:sz w:val="24"/>
                <w:szCs w:val="24"/>
                <w:highlight w:val="none"/>
              </w:rPr>
              <w:t>的得5分，</w:t>
            </w:r>
            <w:r>
              <w:rPr>
                <w:rFonts w:hint="eastAsia" w:ascii="仿宋" w:hAnsi="仿宋" w:eastAsia="仿宋" w:cs="仿宋"/>
                <w:i w:val="0"/>
                <w:iCs w:val="0"/>
                <w:caps w:val="0"/>
                <w:color w:val="auto"/>
                <w:spacing w:val="0"/>
                <w:kern w:val="0"/>
                <w:sz w:val="24"/>
                <w:szCs w:val="24"/>
                <w:highlight w:val="none"/>
                <w:shd w:val="clear"/>
              </w:rPr>
              <w:t>基本符合标准或要求</w:t>
            </w:r>
            <w:r>
              <w:rPr>
                <w:rFonts w:hint="eastAsia" w:ascii="仿宋" w:hAnsi="仿宋" w:eastAsia="仿宋" w:cs="仿宋"/>
                <w:b w:val="0"/>
                <w:bCs w:val="0"/>
                <w:color w:val="auto"/>
                <w:kern w:val="0"/>
                <w:sz w:val="24"/>
                <w:szCs w:val="24"/>
                <w:highlight w:val="none"/>
              </w:rPr>
              <w:t>的得</w:t>
            </w:r>
            <w:r>
              <w:rPr>
                <w:rFonts w:hint="eastAsia" w:ascii="仿宋" w:hAnsi="仿宋" w:eastAsia="仿宋" w:cs="仿宋"/>
                <w:b w:val="0"/>
                <w:bCs w:val="0"/>
                <w:color w:val="auto"/>
                <w:kern w:val="0"/>
                <w:sz w:val="24"/>
                <w:szCs w:val="24"/>
                <w:highlight w:val="none"/>
                <w:lang w:val="en-US" w:eastAsia="zh-CN"/>
              </w:rPr>
              <w:t>4</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eastAsia="zh-CN"/>
              </w:rPr>
              <w:t>，稍显不足的得</w:t>
            </w:r>
            <w:r>
              <w:rPr>
                <w:rFonts w:hint="eastAsia" w:ascii="仿宋" w:hAnsi="仿宋" w:eastAsia="仿宋" w:cs="仿宋"/>
                <w:b w:val="0"/>
                <w:bCs w:val="0"/>
                <w:color w:val="auto"/>
                <w:kern w:val="0"/>
                <w:sz w:val="24"/>
                <w:szCs w:val="24"/>
                <w:highlight w:val="none"/>
                <w:lang w:val="en-US" w:eastAsia="zh-CN"/>
              </w:rPr>
              <w:t>3分，</w:t>
            </w:r>
            <w:r>
              <w:rPr>
                <w:rFonts w:hint="eastAsia" w:ascii="仿宋" w:hAnsi="仿宋" w:eastAsia="仿宋" w:cs="仿宋"/>
                <w:i w:val="0"/>
                <w:iCs w:val="0"/>
                <w:caps w:val="0"/>
                <w:color w:val="auto"/>
                <w:spacing w:val="0"/>
                <w:kern w:val="0"/>
                <w:sz w:val="24"/>
                <w:szCs w:val="24"/>
                <w:highlight w:val="none"/>
                <w:shd w:val="clear"/>
                <w:lang w:eastAsia="zh-CN"/>
              </w:rPr>
              <w:t>一般化</w:t>
            </w:r>
            <w:r>
              <w:rPr>
                <w:rFonts w:hint="eastAsia" w:ascii="仿宋" w:hAnsi="仿宋" w:eastAsia="仿宋" w:cs="仿宋"/>
                <w:b w:val="0"/>
                <w:bCs w:val="0"/>
                <w:color w:val="auto"/>
                <w:kern w:val="0"/>
                <w:sz w:val="24"/>
                <w:szCs w:val="24"/>
                <w:highlight w:val="none"/>
              </w:rPr>
              <w:t>的</w:t>
            </w:r>
            <w:r>
              <w:rPr>
                <w:rFonts w:hint="eastAsia" w:ascii="仿宋" w:hAnsi="仿宋" w:eastAsia="仿宋" w:cs="仿宋"/>
                <w:b w:val="0"/>
                <w:bCs w:val="0"/>
                <w:color w:val="auto"/>
                <w:kern w:val="0"/>
                <w:sz w:val="24"/>
                <w:szCs w:val="24"/>
                <w:highlight w:val="none"/>
                <w:lang w:eastAsia="zh-CN"/>
              </w:rPr>
              <w:t>得</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eastAsia="zh-CN"/>
              </w:rPr>
              <w:t>严重不足的得</w:t>
            </w:r>
            <w:r>
              <w:rPr>
                <w:rFonts w:hint="eastAsia" w:ascii="仿宋" w:hAnsi="仿宋" w:eastAsia="仿宋" w:cs="仿宋"/>
                <w:b w:val="0"/>
                <w:bCs w:val="0"/>
                <w:color w:val="auto"/>
                <w:kern w:val="0"/>
                <w:sz w:val="24"/>
                <w:szCs w:val="24"/>
                <w:highlight w:val="none"/>
                <w:lang w:val="en-US" w:eastAsia="zh-CN"/>
              </w:rPr>
              <w:t>1分，</w:t>
            </w:r>
            <w:r>
              <w:rPr>
                <w:rFonts w:hint="eastAsia" w:ascii="仿宋" w:hAnsi="仿宋" w:eastAsia="仿宋" w:cs="仿宋"/>
                <w:b w:val="0"/>
                <w:bCs w:val="0"/>
                <w:color w:val="auto"/>
                <w:kern w:val="0"/>
                <w:sz w:val="24"/>
                <w:szCs w:val="24"/>
                <w:highlight w:val="none"/>
                <w:lang w:eastAsia="zh-CN"/>
              </w:rPr>
              <w:t>未提供的不得</w:t>
            </w:r>
            <w:r>
              <w:rPr>
                <w:rFonts w:hint="eastAsia" w:ascii="仿宋" w:hAnsi="仿宋" w:eastAsia="仿宋" w:cs="仿宋"/>
                <w:b w:val="0"/>
                <w:bCs w:val="0"/>
                <w:color w:val="auto"/>
                <w:kern w:val="0"/>
                <w:sz w:val="24"/>
                <w:szCs w:val="24"/>
                <w:highlight w:val="none"/>
                <w:lang w:val="en-US" w:eastAsia="zh-CN"/>
              </w:rPr>
              <w:t>分</w:t>
            </w:r>
            <w:r>
              <w:rPr>
                <w:rFonts w:hint="eastAsia" w:ascii="仿宋" w:hAnsi="仿宋" w:eastAsia="仿宋" w:cs="仿宋"/>
                <w:bCs w:val="0"/>
                <w:color w:val="auto"/>
                <w:kern w:val="0"/>
                <w:sz w:val="24"/>
                <w:szCs w:val="24"/>
                <w:highlight w:val="none"/>
                <w:lang w:val="en-US" w:eastAsia="zh-CN" w:bidi="ar-SA"/>
              </w:rPr>
              <w:t>。</w:t>
            </w:r>
          </w:p>
        </w:tc>
        <w:tc>
          <w:tcPr>
            <w:tcW w:w="1092" w:type="dxa"/>
            <w:noWrap w:val="0"/>
            <w:vAlign w:val="center"/>
          </w:tcPr>
          <w:p>
            <w:pPr>
              <w:pStyle w:val="58"/>
              <w:spacing w:before="0" w:beforeAutospacing="0" w:after="0" w:afterAutospacing="0" w:line="340" w:lineRule="exact"/>
              <w:jc w:val="center"/>
              <w:rPr>
                <w:rFonts w:hint="eastAsia" w:ascii="仿宋" w:hAnsi="仿宋" w:eastAsia="仿宋" w:cs="仿宋"/>
                <w:color w:val="auto"/>
                <w:sz w:val="24"/>
                <w:szCs w:val="24"/>
                <w:highlight w:val="none"/>
                <w:shd w:val="clear" w:color="auto" w:fill="FBFDFE"/>
                <w:lang w:val="en-US" w:eastAsia="zh-CN"/>
              </w:rPr>
            </w:pPr>
            <w:r>
              <w:rPr>
                <w:rFonts w:hint="eastAsia" w:ascii="仿宋" w:hAnsi="仿宋" w:eastAsia="仿宋" w:cs="仿宋"/>
                <w:bCs w:val="0"/>
                <w:color w:val="auto"/>
                <w:kern w:val="0"/>
                <w:sz w:val="24"/>
                <w:szCs w:val="24"/>
                <w:highlight w:val="none"/>
                <w:lang w:val="en-US" w:eastAsia="zh-CN" w:bidi="ar-SA"/>
              </w:rPr>
              <w:t>0-5分</w:t>
            </w:r>
          </w:p>
        </w:tc>
        <w:tc>
          <w:tcPr>
            <w:tcW w:w="1092" w:type="dxa"/>
            <w:noWrap w:val="0"/>
            <w:vAlign w:val="center"/>
          </w:tcPr>
          <w:p>
            <w:pPr>
              <w:pStyle w:val="58"/>
              <w:spacing w:before="0" w:beforeAutospacing="0" w:after="0" w:afterAutospacing="0" w:line="340" w:lineRule="exact"/>
              <w:jc w:val="center"/>
              <w:rPr>
                <w:rFonts w:hint="eastAsia" w:ascii="仿宋" w:hAnsi="仿宋" w:eastAsia="仿宋" w:cs="仿宋"/>
                <w:color w:val="auto"/>
                <w:sz w:val="24"/>
                <w:szCs w:val="24"/>
                <w:highlight w:val="none"/>
                <w:shd w:val="clear" w:color="auto" w:fill="FBFDFE"/>
                <w:lang w:val="en-US" w:eastAsia="zh-CN"/>
              </w:rPr>
            </w:pPr>
            <w:r>
              <w:rPr>
                <w:rFonts w:hint="eastAsia" w:ascii="仿宋" w:hAnsi="仿宋" w:eastAsia="仿宋" w:cs="仿宋"/>
                <w:color w:val="auto"/>
                <w:sz w:val="24"/>
                <w:szCs w:val="24"/>
                <w:highlight w:val="none"/>
                <w:shd w:val="clear" w:color="auto" w:fill="FBFDF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6" w:type="dxa"/>
            <w:vMerge w:val="continue"/>
            <w:noWrap w:val="0"/>
            <w:vAlign w:val="center"/>
          </w:tcPr>
          <w:p>
            <w:pPr>
              <w:pStyle w:val="58"/>
              <w:adjustRightInd/>
              <w:spacing w:before="0" w:beforeAutospacing="0" w:after="0" w:afterAutospacing="0" w:line="360" w:lineRule="exact"/>
              <w:ind w:firstLine="480" w:firstLineChars="200"/>
              <w:rPr>
                <w:rFonts w:hint="eastAsia" w:ascii="仿宋" w:hAnsi="仿宋" w:eastAsia="仿宋" w:cs="仿宋"/>
                <w:color w:val="auto"/>
                <w:sz w:val="24"/>
                <w:szCs w:val="24"/>
                <w:highlight w:val="none"/>
              </w:rPr>
            </w:pPr>
          </w:p>
        </w:tc>
        <w:tc>
          <w:tcPr>
            <w:tcW w:w="1212" w:type="dxa"/>
            <w:vMerge w:val="continue"/>
            <w:noWrap w:val="0"/>
            <w:vAlign w:val="center"/>
          </w:tcPr>
          <w:p>
            <w:pPr>
              <w:pStyle w:val="58"/>
              <w:adjustRightInd/>
              <w:spacing w:before="0" w:beforeAutospacing="0" w:after="0" w:afterAutospacing="0" w:line="360" w:lineRule="exact"/>
              <w:ind w:firstLine="480" w:firstLineChars="200"/>
              <w:rPr>
                <w:rFonts w:hint="eastAsia" w:ascii="仿宋" w:hAnsi="仿宋" w:eastAsia="仿宋" w:cs="仿宋"/>
                <w:color w:val="auto"/>
                <w:sz w:val="24"/>
                <w:szCs w:val="24"/>
                <w:highlight w:val="none"/>
              </w:rPr>
            </w:pPr>
          </w:p>
        </w:tc>
        <w:tc>
          <w:tcPr>
            <w:tcW w:w="6085" w:type="dxa"/>
            <w:noWrap w:val="0"/>
            <w:vAlign w:val="center"/>
          </w:tcPr>
          <w:p>
            <w:pPr>
              <w:rPr>
                <w:rFonts w:hint="eastAsia" w:ascii="仿宋" w:hAnsi="仿宋" w:eastAsia="仿宋" w:cs="仿宋"/>
                <w:b/>
                <w:bCs/>
                <w:color w:val="auto"/>
                <w:sz w:val="24"/>
                <w:szCs w:val="24"/>
                <w:highlight w:val="none"/>
                <w:lang w:val="en-US" w:eastAsia="zh-CN"/>
              </w:rPr>
            </w:pPr>
            <w:r>
              <w:rPr>
                <w:rFonts w:hint="eastAsia" w:ascii="仿宋" w:hAnsi="仿宋" w:eastAsia="仿宋" w:cs="仿宋"/>
                <w:bCs w:val="0"/>
                <w:color w:val="auto"/>
                <w:kern w:val="0"/>
                <w:sz w:val="24"/>
                <w:szCs w:val="24"/>
                <w:highlight w:val="none"/>
                <w:lang w:val="en-US" w:eastAsia="zh-CN" w:bidi="ar-SA"/>
              </w:rPr>
              <w:t>投标人是否符合招标文件和采购单位要求完成软件开发、安装调试、系统上线运行、验收，确保按时交付、正常运行的措施情况等方案进行评分，</w:t>
            </w:r>
            <w:r>
              <w:rPr>
                <w:rFonts w:hint="eastAsia" w:ascii="仿宋" w:hAnsi="仿宋" w:eastAsia="仿宋" w:cs="仿宋"/>
                <w:i w:val="0"/>
                <w:iCs w:val="0"/>
                <w:caps w:val="0"/>
                <w:color w:val="auto"/>
                <w:spacing w:val="0"/>
                <w:kern w:val="0"/>
                <w:sz w:val="24"/>
                <w:szCs w:val="24"/>
                <w:highlight w:val="none"/>
                <w:shd w:val="clear"/>
              </w:rPr>
              <w:t>完全符合标准或要求</w:t>
            </w:r>
            <w:r>
              <w:rPr>
                <w:rFonts w:hint="eastAsia" w:ascii="仿宋" w:hAnsi="仿宋" w:eastAsia="仿宋" w:cs="仿宋"/>
                <w:b w:val="0"/>
                <w:bCs w:val="0"/>
                <w:color w:val="auto"/>
                <w:kern w:val="0"/>
                <w:sz w:val="24"/>
                <w:szCs w:val="24"/>
                <w:highlight w:val="none"/>
              </w:rPr>
              <w:t>的得5分，</w:t>
            </w:r>
            <w:r>
              <w:rPr>
                <w:rFonts w:hint="eastAsia" w:ascii="仿宋" w:hAnsi="仿宋" w:eastAsia="仿宋" w:cs="仿宋"/>
                <w:i w:val="0"/>
                <w:iCs w:val="0"/>
                <w:caps w:val="0"/>
                <w:color w:val="auto"/>
                <w:spacing w:val="0"/>
                <w:kern w:val="0"/>
                <w:sz w:val="24"/>
                <w:szCs w:val="24"/>
                <w:highlight w:val="none"/>
                <w:shd w:val="clear"/>
              </w:rPr>
              <w:t>基本符合标准或要求</w:t>
            </w:r>
            <w:r>
              <w:rPr>
                <w:rFonts w:hint="eastAsia" w:ascii="仿宋" w:hAnsi="仿宋" w:eastAsia="仿宋" w:cs="仿宋"/>
                <w:b w:val="0"/>
                <w:bCs w:val="0"/>
                <w:color w:val="auto"/>
                <w:kern w:val="0"/>
                <w:sz w:val="24"/>
                <w:szCs w:val="24"/>
                <w:highlight w:val="none"/>
              </w:rPr>
              <w:t>的得</w:t>
            </w:r>
            <w:r>
              <w:rPr>
                <w:rFonts w:hint="eastAsia" w:ascii="仿宋" w:hAnsi="仿宋" w:eastAsia="仿宋" w:cs="仿宋"/>
                <w:b w:val="0"/>
                <w:bCs w:val="0"/>
                <w:color w:val="auto"/>
                <w:kern w:val="0"/>
                <w:sz w:val="24"/>
                <w:szCs w:val="24"/>
                <w:highlight w:val="none"/>
                <w:lang w:val="en-US" w:eastAsia="zh-CN"/>
              </w:rPr>
              <w:t>4</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eastAsia="zh-CN"/>
              </w:rPr>
              <w:t>，稍显不足的得</w:t>
            </w:r>
            <w:r>
              <w:rPr>
                <w:rFonts w:hint="eastAsia" w:ascii="仿宋" w:hAnsi="仿宋" w:eastAsia="仿宋" w:cs="仿宋"/>
                <w:b w:val="0"/>
                <w:bCs w:val="0"/>
                <w:color w:val="auto"/>
                <w:kern w:val="0"/>
                <w:sz w:val="24"/>
                <w:szCs w:val="24"/>
                <w:highlight w:val="none"/>
                <w:lang w:val="en-US" w:eastAsia="zh-CN"/>
              </w:rPr>
              <w:t>3分，</w:t>
            </w:r>
            <w:r>
              <w:rPr>
                <w:rFonts w:hint="eastAsia" w:ascii="仿宋" w:hAnsi="仿宋" w:eastAsia="仿宋" w:cs="仿宋"/>
                <w:i w:val="0"/>
                <w:iCs w:val="0"/>
                <w:caps w:val="0"/>
                <w:color w:val="auto"/>
                <w:spacing w:val="0"/>
                <w:kern w:val="0"/>
                <w:sz w:val="24"/>
                <w:szCs w:val="24"/>
                <w:highlight w:val="none"/>
                <w:shd w:val="clear"/>
                <w:lang w:eastAsia="zh-CN"/>
              </w:rPr>
              <w:t>一般化</w:t>
            </w:r>
            <w:r>
              <w:rPr>
                <w:rFonts w:hint="eastAsia" w:ascii="仿宋" w:hAnsi="仿宋" w:eastAsia="仿宋" w:cs="仿宋"/>
                <w:b w:val="0"/>
                <w:bCs w:val="0"/>
                <w:color w:val="auto"/>
                <w:kern w:val="0"/>
                <w:sz w:val="24"/>
                <w:szCs w:val="24"/>
                <w:highlight w:val="none"/>
              </w:rPr>
              <w:t>的</w:t>
            </w:r>
            <w:r>
              <w:rPr>
                <w:rFonts w:hint="eastAsia" w:ascii="仿宋" w:hAnsi="仿宋" w:eastAsia="仿宋" w:cs="仿宋"/>
                <w:b w:val="0"/>
                <w:bCs w:val="0"/>
                <w:color w:val="auto"/>
                <w:kern w:val="0"/>
                <w:sz w:val="24"/>
                <w:szCs w:val="24"/>
                <w:highlight w:val="none"/>
                <w:lang w:eastAsia="zh-CN"/>
              </w:rPr>
              <w:t>得</w:t>
            </w:r>
            <w:r>
              <w:rPr>
                <w:rFonts w:hint="eastAsia" w:ascii="仿宋" w:hAnsi="仿宋" w:eastAsia="仿宋" w:cs="仿宋"/>
                <w:b w:val="0"/>
                <w:bCs w:val="0"/>
                <w:color w:val="auto"/>
                <w:kern w:val="0"/>
                <w:sz w:val="24"/>
                <w:szCs w:val="24"/>
                <w:highlight w:val="none"/>
                <w:lang w:val="en-US" w:eastAsia="zh-CN"/>
              </w:rPr>
              <w:t>2</w:t>
            </w:r>
            <w:r>
              <w:rPr>
                <w:rFonts w:hint="eastAsia" w:ascii="仿宋" w:hAnsi="仿宋" w:eastAsia="仿宋" w:cs="仿宋"/>
                <w:b w:val="0"/>
                <w:bCs w:val="0"/>
                <w:color w:val="auto"/>
                <w:kern w:val="0"/>
                <w:sz w:val="24"/>
                <w:szCs w:val="24"/>
                <w:highlight w:val="none"/>
              </w:rPr>
              <w:t>分，</w:t>
            </w:r>
            <w:r>
              <w:rPr>
                <w:rFonts w:hint="eastAsia" w:ascii="仿宋" w:hAnsi="仿宋" w:eastAsia="仿宋" w:cs="仿宋"/>
                <w:b w:val="0"/>
                <w:bCs w:val="0"/>
                <w:color w:val="auto"/>
                <w:kern w:val="0"/>
                <w:sz w:val="24"/>
                <w:szCs w:val="24"/>
                <w:highlight w:val="none"/>
                <w:lang w:eastAsia="zh-CN"/>
              </w:rPr>
              <w:t>严重不足的得</w:t>
            </w:r>
            <w:r>
              <w:rPr>
                <w:rFonts w:hint="eastAsia" w:ascii="仿宋" w:hAnsi="仿宋" w:eastAsia="仿宋" w:cs="仿宋"/>
                <w:b w:val="0"/>
                <w:bCs w:val="0"/>
                <w:color w:val="auto"/>
                <w:kern w:val="0"/>
                <w:sz w:val="24"/>
                <w:szCs w:val="24"/>
                <w:highlight w:val="none"/>
                <w:lang w:val="en-US" w:eastAsia="zh-CN"/>
              </w:rPr>
              <w:t>1分，</w:t>
            </w:r>
            <w:r>
              <w:rPr>
                <w:rFonts w:hint="eastAsia" w:ascii="仿宋" w:hAnsi="仿宋" w:eastAsia="仿宋" w:cs="仿宋"/>
                <w:b w:val="0"/>
                <w:bCs w:val="0"/>
                <w:color w:val="auto"/>
                <w:kern w:val="0"/>
                <w:sz w:val="24"/>
                <w:szCs w:val="24"/>
                <w:highlight w:val="none"/>
                <w:lang w:eastAsia="zh-CN"/>
              </w:rPr>
              <w:t>未提供的不得</w:t>
            </w:r>
            <w:r>
              <w:rPr>
                <w:rFonts w:hint="eastAsia" w:ascii="仿宋" w:hAnsi="仿宋" w:eastAsia="仿宋" w:cs="仿宋"/>
                <w:b w:val="0"/>
                <w:bCs w:val="0"/>
                <w:color w:val="auto"/>
                <w:kern w:val="0"/>
                <w:sz w:val="24"/>
                <w:szCs w:val="24"/>
                <w:highlight w:val="none"/>
                <w:lang w:val="en-US" w:eastAsia="zh-CN"/>
              </w:rPr>
              <w:t>分</w:t>
            </w:r>
            <w:r>
              <w:rPr>
                <w:rFonts w:hint="eastAsia" w:ascii="仿宋" w:hAnsi="仿宋" w:eastAsia="仿宋" w:cs="仿宋"/>
                <w:bCs w:val="0"/>
                <w:color w:val="auto"/>
                <w:kern w:val="0"/>
                <w:sz w:val="24"/>
                <w:szCs w:val="24"/>
                <w:highlight w:val="none"/>
                <w:lang w:val="en-US" w:eastAsia="zh-CN" w:bidi="ar-SA"/>
              </w:rPr>
              <w:t>。</w:t>
            </w:r>
          </w:p>
        </w:tc>
        <w:tc>
          <w:tcPr>
            <w:tcW w:w="1092" w:type="dxa"/>
            <w:noWrap w:val="0"/>
            <w:vAlign w:val="center"/>
          </w:tcPr>
          <w:p>
            <w:pPr>
              <w:pStyle w:val="58"/>
              <w:adjustRightInd/>
              <w:spacing w:before="0" w:beforeAutospacing="0" w:after="0" w:afterAutospacing="0" w:line="360" w:lineRule="exact"/>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Cs w:val="0"/>
                <w:color w:val="auto"/>
                <w:kern w:val="0"/>
                <w:sz w:val="24"/>
                <w:szCs w:val="24"/>
                <w:highlight w:val="none"/>
                <w:lang w:val="en-US" w:eastAsia="zh-CN" w:bidi="ar-SA"/>
              </w:rPr>
              <w:t>0-5分</w:t>
            </w:r>
          </w:p>
        </w:tc>
        <w:tc>
          <w:tcPr>
            <w:tcW w:w="1092" w:type="dxa"/>
            <w:noWrap w:val="0"/>
            <w:vAlign w:val="center"/>
          </w:tcPr>
          <w:p>
            <w:pPr>
              <w:pStyle w:val="58"/>
              <w:adjustRightInd/>
              <w:spacing w:before="0" w:beforeAutospacing="0" w:after="0" w:afterAutospacing="0" w:line="360" w:lineRule="exact"/>
              <w:jc w:val="center"/>
              <w:rPr>
                <w:rFonts w:hint="eastAsia" w:ascii="仿宋" w:hAnsi="仿宋" w:eastAsia="仿宋" w:cs="仿宋"/>
                <w:color w:val="auto"/>
                <w:sz w:val="24"/>
                <w:szCs w:val="24"/>
                <w:highlight w:val="none"/>
                <w:shd w:val="clear" w:color="auto" w:fill="FBFDFE"/>
                <w:lang w:val="en-US" w:eastAsia="zh-CN"/>
              </w:rPr>
            </w:pPr>
            <w:r>
              <w:rPr>
                <w:rFonts w:hint="eastAsia" w:ascii="仿宋" w:hAnsi="仿宋" w:eastAsia="仿宋" w:cs="仿宋"/>
                <w:color w:val="auto"/>
                <w:sz w:val="24"/>
                <w:szCs w:val="24"/>
                <w:highlight w:val="none"/>
                <w:shd w:val="clear" w:color="auto" w:fill="FBFDF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6" w:type="dxa"/>
            <w:noWrap w:val="0"/>
            <w:vAlign w:val="center"/>
          </w:tcPr>
          <w:p>
            <w:pPr>
              <w:pStyle w:val="58"/>
              <w:adjustRightInd/>
              <w:spacing w:before="0" w:beforeAutospacing="0" w:after="0" w:afterAutospacing="0" w:line="360" w:lineRule="exact"/>
              <w:jc w:val="center"/>
              <w:rPr>
                <w:rFonts w:hint="default" w:ascii="仿宋" w:hAnsi="仿宋" w:eastAsia="仿宋" w:cs="仿宋"/>
                <w:bCs w:val="0"/>
                <w:color w:val="auto"/>
                <w:kern w:val="0"/>
                <w:sz w:val="24"/>
                <w:szCs w:val="24"/>
                <w:highlight w:val="none"/>
                <w:lang w:val="en-US" w:eastAsia="zh-CN" w:bidi="ar-SA"/>
              </w:rPr>
            </w:pPr>
            <w:r>
              <w:rPr>
                <w:rFonts w:hint="eastAsia" w:ascii="仿宋" w:hAnsi="仿宋" w:eastAsia="仿宋" w:cs="仿宋"/>
                <w:bCs w:val="0"/>
                <w:color w:val="auto"/>
                <w:kern w:val="0"/>
                <w:sz w:val="24"/>
                <w:szCs w:val="24"/>
                <w:highlight w:val="none"/>
                <w:lang w:val="en-US" w:eastAsia="zh-CN" w:bidi="ar-SA"/>
              </w:rPr>
              <w:t>9</w:t>
            </w:r>
          </w:p>
        </w:tc>
        <w:tc>
          <w:tcPr>
            <w:tcW w:w="1212" w:type="dxa"/>
            <w:noWrap w:val="0"/>
            <w:vAlign w:val="center"/>
          </w:tcPr>
          <w:p>
            <w:pPr>
              <w:jc w:val="center"/>
              <w:rPr>
                <w:rFonts w:hint="eastAsia" w:ascii="仿宋" w:hAnsi="仿宋" w:eastAsia="仿宋" w:cs="仿宋"/>
                <w:bCs w:val="0"/>
                <w:color w:val="auto"/>
                <w:kern w:val="0"/>
                <w:sz w:val="24"/>
                <w:szCs w:val="24"/>
                <w:highlight w:val="none"/>
                <w:lang w:val="en-US" w:eastAsia="zh-CN" w:bidi="ar-SA"/>
              </w:rPr>
            </w:pPr>
            <w:r>
              <w:rPr>
                <w:rFonts w:hint="eastAsia" w:ascii="仿宋" w:hAnsi="仿宋" w:eastAsia="仿宋" w:cs="仿宋"/>
                <w:color w:val="auto"/>
                <w:sz w:val="24"/>
                <w:highlight w:val="none"/>
              </w:rPr>
              <w:t>价格权值=0.10</w:t>
            </w:r>
          </w:p>
        </w:tc>
        <w:tc>
          <w:tcPr>
            <w:tcW w:w="6085" w:type="dxa"/>
            <w:noWrap w:val="0"/>
            <w:vAlign w:val="top"/>
          </w:tcPr>
          <w:p>
            <w:pPr>
              <w:widowControl/>
              <w:adjustRightInd/>
              <w:jc w:val="left"/>
              <w:rPr>
                <w:rFonts w:hint="eastAsia" w:ascii="仿宋" w:hAnsi="仿宋" w:eastAsia="仿宋" w:cs="仿宋"/>
                <w:bCs w:val="0"/>
                <w:color w:val="auto"/>
                <w:kern w:val="0"/>
                <w:sz w:val="24"/>
                <w:szCs w:val="24"/>
                <w:highlight w:val="none"/>
                <w:lang w:val="en-US" w:eastAsia="zh-CN" w:bidi="ar-SA"/>
              </w:rPr>
            </w:pPr>
            <w:r>
              <w:rPr>
                <w:rFonts w:hint="eastAsia" w:ascii="仿宋" w:hAnsi="仿宋" w:eastAsia="仿宋" w:cs="仿宋"/>
                <w:bCs w:val="0"/>
                <w:color w:val="auto"/>
                <w:kern w:val="0"/>
                <w:sz w:val="24"/>
                <w:szCs w:val="24"/>
                <w:highlight w:val="none"/>
                <w:lang w:val="en-US" w:eastAsia="zh-CN" w:bidi="ar-SA"/>
              </w:rPr>
              <w:t>最低有效投标价格为评标基准价，其最低报价为满分；投标报价得分=(评标基准价／投标报价)×价格权值×100 （计算得分保留小数点后2位）</w:t>
            </w:r>
          </w:p>
          <w:p>
            <w:pPr>
              <w:widowControl/>
              <w:adjustRightInd/>
              <w:jc w:val="left"/>
              <w:rPr>
                <w:rFonts w:hint="eastAsia" w:ascii="仿宋" w:hAnsi="仿宋" w:eastAsia="仿宋" w:cs="仿宋"/>
                <w:bCs w:val="0"/>
                <w:color w:val="auto"/>
                <w:kern w:val="0"/>
                <w:sz w:val="24"/>
                <w:szCs w:val="24"/>
                <w:highlight w:val="none"/>
                <w:lang w:val="en-US" w:eastAsia="zh-CN" w:bidi="ar-SA"/>
              </w:rPr>
            </w:pPr>
            <w:r>
              <w:rPr>
                <w:rFonts w:hint="eastAsia" w:ascii="仿宋" w:hAnsi="仿宋" w:eastAsia="仿宋" w:cs="仿宋"/>
                <w:bCs w:val="0"/>
                <w:color w:val="auto"/>
                <w:kern w:val="0"/>
                <w:sz w:val="24"/>
                <w:szCs w:val="24"/>
                <w:highlight w:val="none"/>
                <w:lang w:val="en-US" w:eastAsia="zh-CN" w:bidi="ar-SA"/>
              </w:rPr>
              <w:t>评标过程中，不得去掉报价中的最高报价和最低报价。</w:t>
            </w:r>
          </w:p>
        </w:tc>
        <w:tc>
          <w:tcPr>
            <w:tcW w:w="1092" w:type="dxa"/>
            <w:noWrap w:val="0"/>
            <w:vAlign w:val="center"/>
          </w:tcPr>
          <w:p>
            <w:pPr>
              <w:jc w:val="center"/>
              <w:rPr>
                <w:rFonts w:hint="default" w:ascii="仿宋" w:hAnsi="仿宋" w:eastAsia="仿宋" w:cs="仿宋"/>
                <w:bCs w:val="0"/>
                <w:color w:val="auto"/>
                <w:kern w:val="0"/>
                <w:sz w:val="24"/>
                <w:szCs w:val="24"/>
                <w:highlight w:val="none"/>
                <w:lang w:val="en-US" w:eastAsia="zh-CN" w:bidi="ar-SA"/>
              </w:rPr>
            </w:pPr>
            <w:r>
              <w:rPr>
                <w:rFonts w:hint="eastAsia" w:ascii="仿宋" w:hAnsi="仿宋" w:eastAsia="仿宋" w:cs="仿宋"/>
                <w:bCs w:val="0"/>
                <w:color w:val="auto"/>
                <w:kern w:val="0"/>
                <w:sz w:val="24"/>
                <w:szCs w:val="24"/>
                <w:highlight w:val="none"/>
                <w:lang w:val="en-US" w:eastAsia="zh-CN" w:bidi="ar-SA"/>
              </w:rPr>
              <w:t>0-10</w:t>
            </w:r>
          </w:p>
        </w:tc>
        <w:tc>
          <w:tcPr>
            <w:tcW w:w="1092" w:type="dxa"/>
            <w:noWrap w:val="0"/>
            <w:vAlign w:val="center"/>
          </w:tcPr>
          <w:p>
            <w:pPr>
              <w:jc w:val="center"/>
              <w:rPr>
                <w:rFonts w:hint="eastAsia" w:ascii="仿宋" w:hAnsi="仿宋" w:eastAsia="仿宋" w:cs="仿宋"/>
                <w:bCs w:val="0"/>
                <w:color w:val="auto"/>
                <w:kern w:val="0"/>
                <w:sz w:val="24"/>
                <w:szCs w:val="24"/>
                <w:highlight w:val="none"/>
                <w:lang w:val="en-US" w:eastAsia="zh-CN" w:bidi="ar-SA"/>
              </w:rPr>
            </w:pPr>
            <w:r>
              <w:rPr>
                <w:rFonts w:hint="eastAsia" w:ascii="仿宋" w:hAnsi="仿宋" w:eastAsia="仿宋" w:cs="仿宋"/>
                <w:bCs w:val="0"/>
                <w:color w:val="auto"/>
                <w:kern w:val="0"/>
                <w:sz w:val="24"/>
                <w:szCs w:val="24"/>
                <w:highlight w:val="none"/>
                <w:lang w:val="en-US" w:eastAsia="zh-CN" w:bidi="ar-SA"/>
              </w:rPr>
              <w:t>/</w:t>
            </w:r>
          </w:p>
        </w:tc>
      </w:tr>
    </w:tbl>
    <w:p>
      <w:pPr>
        <w:spacing w:line="500" w:lineRule="exact"/>
        <w:rPr>
          <w:rFonts w:ascii="仿宋" w:hAnsi="仿宋" w:eastAsia="仿宋" w:cs="仿宋"/>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 xml:space="preserve">1、投标人编制投标文件（商务技术文件部分）时，建议按此目录（序号和内容）提供评标标准相应的商务技术资料。 </w:t>
      </w:r>
    </w:p>
    <w:p>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2、评分条款中涉及的业绩、荣誉、人员、社保等分公司均有效。涉及社保、劳动关系证明关系的，如人员为法人代表，则无需提供相关证明，提供营业执照及身份证即可。</w:t>
      </w:r>
    </w:p>
    <w:p>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3、投标文件中如附有外文资料，必须逐一对应翻译成中文并加盖投标人公章后附在相关外文资料后面，否则外文资料不予认可。</w:t>
      </w:r>
    </w:p>
    <w:p>
      <w:pPr>
        <w:spacing w:line="360" w:lineRule="auto"/>
        <w:rPr>
          <w:rFonts w:ascii="仿宋" w:hAnsi="仿宋" w:eastAsia="仿宋" w:cs="仿宋"/>
          <w:color w:val="auto"/>
          <w:highlight w:val="none"/>
        </w:rPr>
      </w:pPr>
    </w:p>
    <w:p>
      <w:pPr>
        <w:snapToGrid w:val="0"/>
        <w:spacing w:line="360" w:lineRule="auto"/>
        <w:rPr>
          <w:rFonts w:ascii="仿宋" w:hAnsi="仿宋" w:eastAsia="仿宋" w:cs="仿宋"/>
          <w:b/>
          <w:color w:val="auto"/>
          <w:sz w:val="24"/>
          <w:highlight w:val="none"/>
        </w:rPr>
      </w:pPr>
    </w:p>
    <w:p>
      <w:pPr>
        <w:rPr>
          <w:rFonts w:ascii="仿宋" w:hAnsi="仿宋" w:eastAsia="仿宋" w:cs="仿宋"/>
          <w:b/>
          <w:color w:val="auto"/>
          <w:sz w:val="32"/>
          <w:highlight w:val="none"/>
        </w:rPr>
      </w:pPr>
      <w:r>
        <w:rPr>
          <w:rFonts w:hint="eastAsia" w:ascii="仿宋" w:hAnsi="仿宋" w:eastAsia="仿宋" w:cs="仿宋"/>
          <w:b/>
          <w:color w:val="auto"/>
          <w:sz w:val="32"/>
          <w:highlight w:val="none"/>
        </w:rPr>
        <w:br w:type="page"/>
      </w:r>
    </w:p>
    <w:p>
      <w:pPr>
        <w:snapToGrid w:val="0"/>
        <w:spacing w:line="360" w:lineRule="auto"/>
        <w:rPr>
          <w:rFonts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33"/>
        <w:spacing w:before="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33"/>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33"/>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33"/>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33"/>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33"/>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33"/>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33"/>
        <w:spacing w:before="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pPr>
        <w:pStyle w:val="3"/>
        <w:ind w:left="862" w:leftChars="205"/>
        <w:rPr>
          <w:rFonts w:ascii="仿宋" w:eastAsia="仿宋" w:cs="仿宋"/>
          <w:color w:val="auto"/>
          <w:highlight w:val="none"/>
        </w:rPr>
      </w:pPr>
      <w:r>
        <w:rPr>
          <w:rFonts w:hint="eastAsia" w:ascii="仿宋" w:eastAsia="仿宋" w:cs="仿宋"/>
          <w:b w:val="0"/>
          <w:bCs w:val="0"/>
          <w:color w:val="auto"/>
          <w:kern w:val="0"/>
          <w:sz w:val="24"/>
          <w:szCs w:val="24"/>
          <w:highlight w:val="none"/>
          <w:lang w:val="en-US"/>
        </w:rPr>
        <w:t>4.2.14 投标文件不满足招标文件的实质性要求的；</w:t>
      </w:r>
    </w:p>
    <w:p>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4.2.15法律、法规、规章（适用本市的）及省级以上规范性文件（适用本市的）规定的其他无效情形。</w:t>
      </w:r>
    </w:p>
    <w:p>
      <w:pPr>
        <w:pStyle w:val="25"/>
        <w:snapToGrid w:val="0"/>
        <w:spacing w:line="360" w:lineRule="auto"/>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pPr>
        <w:pStyle w:val="25"/>
        <w:snapToGrid w:val="0"/>
        <w:spacing w:line="360" w:lineRule="auto"/>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482"/>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5"/>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ascii="仿宋" w:hAnsi="仿宋" w:eastAsia="仿宋" w:cs="仿宋"/>
          <w:color w:val="auto"/>
          <w:highlight w:val="none"/>
        </w:rPr>
      </w:pPr>
    </w:p>
    <w:bookmarkEnd w:id="26"/>
    <w:p>
      <w:pPr>
        <w:widowControl/>
        <w:adjustRightInd/>
        <w:jc w:val="left"/>
        <w:rPr>
          <w:rFonts w:ascii="仿宋" w:hAnsi="仿宋" w:eastAsia="仿宋" w:cs="仿宋"/>
          <w:b/>
          <w:color w:val="auto"/>
          <w:sz w:val="36"/>
          <w:szCs w:val="36"/>
          <w:highlight w:val="none"/>
        </w:rPr>
      </w:pPr>
      <w:bookmarkStart w:id="428" w:name="第五部分"/>
      <w:bookmarkStart w:id="429" w:name="_Toc86217003"/>
    </w:p>
    <w:p>
      <w:pP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ind w:left="720" w:leftChars="343" w:firstLine="1084" w:firstLineChars="300"/>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widowControl/>
        <w:jc w:val="left"/>
        <w:textAlignment w:val="baseline"/>
        <w:rPr>
          <w:rFonts w:ascii="宋体" w:hAnsi="Courier New"/>
          <w:color w:val="auto"/>
          <w:kern w:val="0"/>
          <w:szCs w:val="20"/>
          <w:highlight w:val="none"/>
        </w:rPr>
      </w:pPr>
    </w:p>
    <w:p>
      <w:pPr>
        <w:widowControl/>
        <w:jc w:val="left"/>
        <w:textAlignment w:val="baseline"/>
        <w:rPr>
          <w:rFonts w:ascii="宋体" w:hAnsi="Courier New"/>
          <w:color w:val="auto"/>
          <w:kern w:val="0"/>
          <w:szCs w:val="20"/>
          <w:highlight w:val="none"/>
        </w:rPr>
      </w:pPr>
    </w:p>
    <w:p>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pPr>
        <w:pStyle w:val="704"/>
        <w:ind w:firstLine="2843" w:firstLineChars="1180"/>
        <w:rPr>
          <w:rFonts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spacing w:before="120" w:line="22" w:lineRule="atLeast"/>
        <w:rPr>
          <w:rFonts w:ascii="仿宋" w:hAnsi="仿宋" w:eastAsia="仿宋" w:cs="仿宋"/>
          <w:color w:val="auto"/>
          <w:sz w:val="24"/>
          <w:highlight w:val="none"/>
        </w:rPr>
      </w:pPr>
    </w:p>
    <w:p>
      <w:pPr>
        <w:pStyle w:val="3"/>
        <w:rPr>
          <w:rFonts w:ascii="仿宋" w:eastAsia="仿宋" w:cs="仿宋"/>
          <w:color w:val="auto"/>
          <w:highlight w:val="none"/>
        </w:rPr>
      </w:pPr>
    </w:p>
    <w:p>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601"/>
        <w:spacing w:before="120" w:line="22" w:lineRule="atLeast"/>
        <w:rPr>
          <w:rFonts w:ascii="仿宋" w:hAnsi="仿宋" w:eastAsia="仿宋" w:cs="仿宋"/>
          <w:color w:val="auto"/>
          <w:szCs w:val="24"/>
          <w:highlight w:val="none"/>
        </w:rPr>
      </w:pPr>
    </w:p>
    <w:p>
      <w:pPr>
        <w:pStyle w:val="601"/>
        <w:spacing w:before="120" w:line="22" w:lineRule="atLeast"/>
        <w:rPr>
          <w:rFonts w:ascii="仿宋" w:hAnsi="仿宋" w:eastAsia="仿宋" w:cs="仿宋"/>
          <w:color w:val="auto"/>
          <w:szCs w:val="24"/>
          <w:highlight w:val="none"/>
        </w:rPr>
      </w:pPr>
    </w:p>
    <w:p>
      <w:pPr>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ascii="仿宋" w:hAnsi="仿宋" w:eastAsia="仿宋" w:cs="仿宋"/>
          <w:color w:val="auto"/>
          <w:kern w:val="0"/>
          <w:sz w:val="24"/>
          <w:highlight w:val="none"/>
        </w:rPr>
        <w:sectPr>
          <w:pgSz w:w="11907" w:h="16840"/>
          <w:pgMar w:top="1474" w:right="1814" w:bottom="1474" w:left="1814" w:header="851" w:footer="851" w:gutter="0"/>
          <w:cols w:space="720" w:num="1"/>
        </w:sectPr>
      </w:pPr>
    </w:p>
    <w:p>
      <w:pPr>
        <w:rPr>
          <w:rFonts w:ascii="仿宋" w:hAnsi="仿宋" w:eastAsia="仿宋" w:cs="仿宋"/>
          <w:b/>
          <w:color w:val="auto"/>
          <w:sz w:val="24"/>
          <w:highlight w:val="none"/>
        </w:rPr>
      </w:pP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ascii="仿宋" w:hAnsi="仿宋" w:eastAsia="仿宋" w:cs="仿宋"/>
          <w:color w:val="auto"/>
          <w:sz w:val="24"/>
          <w:highlight w:val="none"/>
        </w:rPr>
      </w:pPr>
      <w:bookmarkStart w:id="430" w:name="_Toc15367"/>
      <w:bookmarkStart w:id="431" w:name="_Toc28855"/>
      <w:bookmarkStart w:id="432" w:name="_Toc19273"/>
      <w:bookmarkStart w:id="433" w:name="_Toc20421"/>
      <w:bookmarkStart w:id="434" w:name="_Toc22967"/>
      <w:r>
        <w:rPr>
          <w:rFonts w:hint="eastAsia" w:ascii="仿宋" w:hAnsi="仿宋" w:eastAsia="仿宋" w:cs="仿宋"/>
          <w:b/>
          <w:color w:val="auto"/>
          <w:sz w:val="24"/>
          <w:highlight w:val="none"/>
        </w:rPr>
        <w:t>1.1 合同组成部分</w:t>
      </w:r>
      <w:bookmarkEnd w:id="430"/>
      <w:bookmarkEnd w:id="431"/>
      <w:bookmarkEnd w:id="432"/>
      <w:bookmarkEnd w:id="433"/>
      <w:bookmarkEnd w:id="434"/>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ascii="仿宋" w:hAnsi="仿宋" w:eastAsia="仿宋" w:cs="仿宋"/>
          <w:b/>
          <w:color w:val="auto"/>
          <w:sz w:val="24"/>
          <w:highlight w:val="none"/>
        </w:rPr>
      </w:pPr>
      <w:bookmarkStart w:id="435" w:name="_Toc22185"/>
      <w:bookmarkStart w:id="436" w:name="_Toc6311"/>
      <w:bookmarkStart w:id="437" w:name="_Toc2918"/>
      <w:bookmarkStart w:id="438" w:name="_Toc18585"/>
      <w:bookmarkStart w:id="439" w:name="_Toc6773"/>
      <w:r>
        <w:rPr>
          <w:rFonts w:hint="eastAsia" w:ascii="仿宋" w:hAnsi="仿宋" w:eastAsia="仿宋" w:cs="仿宋"/>
          <w:b/>
          <w:color w:val="auto"/>
          <w:sz w:val="24"/>
          <w:highlight w:val="none"/>
        </w:rPr>
        <w:t>1.2 标的</w:t>
      </w:r>
      <w:bookmarkEnd w:id="435"/>
      <w:bookmarkEnd w:id="436"/>
      <w:bookmarkEnd w:id="437"/>
      <w:bookmarkEnd w:id="438"/>
      <w:bookmarkEnd w:id="439"/>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pPr>
        <w:spacing w:line="56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（是/否）涉及货物。若涉及货物的，则：</w:t>
      </w:r>
    </w:p>
    <w:p>
      <w:pPr>
        <w:spacing w:line="560" w:lineRule="exact"/>
        <w:ind w:firstLine="480" w:firstLineChars="200"/>
        <w:rPr>
          <w:rFonts w:ascii="仿宋" w:hAnsi="仿宋" w:eastAsia="仿宋" w:cs="仿宋"/>
          <w:color w:val="auto"/>
          <w:sz w:val="24"/>
          <w:highlight w:val="none"/>
          <w:u w:val="single"/>
        </w:rPr>
      </w:pPr>
      <w:bookmarkStart w:id="440" w:name="_Toc4929"/>
      <w:bookmarkStart w:id="441" w:name="_Toc13918"/>
      <w:bookmarkStart w:id="442" w:name="_Toc21124"/>
      <w:bookmarkStart w:id="443" w:name="_Toc1386"/>
      <w:bookmarkStart w:id="444" w:name="_Toc5635"/>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40"/>
      <w:bookmarkEnd w:id="441"/>
      <w:bookmarkEnd w:id="442"/>
      <w:bookmarkEnd w:id="443"/>
      <w:bookmarkEnd w:id="444"/>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pPr>
              <w:pStyle w:val="322"/>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pPr>
              <w:pStyle w:val="322"/>
              <w:spacing w:line="56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ascii="仿宋" w:hAnsi="仿宋" w:eastAsia="仿宋" w:cs="仿宋"/>
                <w:color w:val="auto"/>
                <w:sz w:val="24"/>
                <w:szCs w:val="24"/>
                <w:highlight w:val="none"/>
              </w:rPr>
            </w:pPr>
          </w:p>
        </w:tc>
        <w:tc>
          <w:tcPr>
            <w:tcW w:w="3402" w:type="dxa"/>
            <w:vAlign w:val="center"/>
          </w:tcPr>
          <w:p>
            <w:pPr>
              <w:pStyle w:val="322"/>
              <w:spacing w:line="560" w:lineRule="exact"/>
              <w:ind w:firstLine="200"/>
              <w:jc w:val="center"/>
              <w:rPr>
                <w:rFonts w:ascii="仿宋" w:hAnsi="仿宋" w:eastAsia="仿宋" w:cs="仿宋"/>
                <w:color w:val="auto"/>
                <w:sz w:val="24"/>
                <w:szCs w:val="24"/>
                <w:highlight w:val="none"/>
              </w:rPr>
            </w:pPr>
          </w:p>
        </w:tc>
        <w:tc>
          <w:tcPr>
            <w:tcW w:w="2552" w:type="dxa"/>
            <w:vAlign w:val="center"/>
          </w:tcPr>
          <w:p>
            <w:pPr>
              <w:pStyle w:val="322"/>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ascii="仿宋" w:hAnsi="仿宋" w:eastAsia="仿宋" w:cs="仿宋"/>
                <w:color w:val="auto"/>
                <w:sz w:val="24"/>
                <w:szCs w:val="24"/>
                <w:highlight w:val="none"/>
              </w:rPr>
            </w:pPr>
          </w:p>
        </w:tc>
        <w:tc>
          <w:tcPr>
            <w:tcW w:w="3402" w:type="dxa"/>
            <w:vAlign w:val="center"/>
          </w:tcPr>
          <w:p>
            <w:pPr>
              <w:pStyle w:val="322"/>
              <w:spacing w:line="560" w:lineRule="exact"/>
              <w:ind w:firstLine="200"/>
              <w:jc w:val="center"/>
              <w:rPr>
                <w:rFonts w:ascii="仿宋" w:hAnsi="仿宋" w:eastAsia="仿宋" w:cs="仿宋"/>
                <w:color w:val="auto"/>
                <w:sz w:val="24"/>
                <w:szCs w:val="24"/>
                <w:highlight w:val="none"/>
              </w:rPr>
            </w:pPr>
          </w:p>
        </w:tc>
        <w:tc>
          <w:tcPr>
            <w:tcW w:w="2552" w:type="dxa"/>
            <w:vAlign w:val="center"/>
          </w:tcPr>
          <w:p>
            <w:pPr>
              <w:pStyle w:val="322"/>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ascii="仿宋" w:hAnsi="仿宋" w:eastAsia="仿宋" w:cs="仿宋"/>
                <w:color w:val="auto"/>
                <w:sz w:val="24"/>
                <w:szCs w:val="24"/>
                <w:highlight w:val="none"/>
              </w:rPr>
            </w:pPr>
          </w:p>
        </w:tc>
        <w:tc>
          <w:tcPr>
            <w:tcW w:w="3402" w:type="dxa"/>
            <w:vAlign w:val="center"/>
          </w:tcPr>
          <w:p>
            <w:pPr>
              <w:pStyle w:val="322"/>
              <w:spacing w:line="560" w:lineRule="exact"/>
              <w:ind w:firstLine="200"/>
              <w:jc w:val="center"/>
              <w:rPr>
                <w:rFonts w:ascii="仿宋" w:hAnsi="仿宋" w:eastAsia="仿宋" w:cs="仿宋"/>
                <w:color w:val="auto"/>
                <w:sz w:val="24"/>
                <w:szCs w:val="24"/>
                <w:highlight w:val="none"/>
              </w:rPr>
            </w:pPr>
          </w:p>
        </w:tc>
        <w:tc>
          <w:tcPr>
            <w:tcW w:w="2552" w:type="dxa"/>
            <w:vAlign w:val="center"/>
          </w:tcPr>
          <w:p>
            <w:pPr>
              <w:pStyle w:val="322"/>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2"/>
              <w:spacing w:line="560" w:lineRule="exact"/>
              <w:ind w:firstLine="200"/>
              <w:jc w:val="center"/>
              <w:rPr>
                <w:rFonts w:ascii="仿宋" w:hAnsi="仿宋" w:eastAsia="仿宋" w:cs="仿宋"/>
                <w:color w:val="auto"/>
                <w:sz w:val="24"/>
                <w:szCs w:val="24"/>
                <w:highlight w:val="none"/>
              </w:rPr>
            </w:pPr>
          </w:p>
        </w:tc>
        <w:tc>
          <w:tcPr>
            <w:tcW w:w="3402" w:type="dxa"/>
            <w:vAlign w:val="center"/>
          </w:tcPr>
          <w:p>
            <w:pPr>
              <w:pStyle w:val="322"/>
              <w:spacing w:line="560" w:lineRule="exact"/>
              <w:ind w:firstLine="200"/>
              <w:jc w:val="center"/>
              <w:rPr>
                <w:rFonts w:ascii="仿宋" w:hAnsi="仿宋" w:eastAsia="仿宋" w:cs="仿宋"/>
                <w:color w:val="auto"/>
                <w:sz w:val="24"/>
                <w:szCs w:val="24"/>
                <w:highlight w:val="none"/>
              </w:rPr>
            </w:pPr>
          </w:p>
        </w:tc>
        <w:tc>
          <w:tcPr>
            <w:tcW w:w="2552" w:type="dxa"/>
            <w:vAlign w:val="center"/>
          </w:tcPr>
          <w:p>
            <w:pPr>
              <w:pStyle w:val="322"/>
              <w:spacing w:line="560" w:lineRule="exact"/>
              <w:ind w:firstLine="200"/>
              <w:jc w:val="center"/>
              <w:rPr>
                <w:rFonts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2"/>
              <w:spacing w:line="560" w:lineRule="exact"/>
              <w:ind w:firstLine="20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pPr>
              <w:pStyle w:val="322"/>
              <w:spacing w:line="560" w:lineRule="exact"/>
              <w:ind w:firstLine="200"/>
              <w:jc w:val="center"/>
              <w:rPr>
                <w:rFonts w:ascii="仿宋" w:hAnsi="仿宋" w:eastAsia="仿宋" w:cs="仿宋"/>
                <w:color w:val="auto"/>
                <w:sz w:val="24"/>
                <w:szCs w:val="24"/>
                <w:highlight w:val="none"/>
              </w:rPr>
            </w:pPr>
          </w:p>
        </w:tc>
      </w:tr>
    </w:tbl>
    <w:p>
      <w:pPr>
        <w:spacing w:line="560" w:lineRule="exact"/>
        <w:ind w:firstLine="480" w:firstLineChars="200"/>
        <w:rPr>
          <w:rFonts w:ascii="仿宋" w:hAnsi="仿宋" w:eastAsia="仿宋" w:cs="仿宋"/>
          <w:color w:val="auto"/>
          <w:sz w:val="24"/>
          <w:highlight w:val="none"/>
        </w:rPr>
      </w:pPr>
      <w:bookmarkStart w:id="445" w:name="_Toc14993"/>
      <w:bookmarkStart w:id="446" w:name="_Toc30158"/>
      <w:bookmarkStart w:id="447" w:name="_Toc3654"/>
      <w:bookmarkStart w:id="448" w:name="_Toc26916"/>
      <w:bookmarkStart w:id="449" w:name="_Toc30506"/>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pStyle w:val="3"/>
        <w:rPr>
          <w:rFonts w:ascii="仿宋" w:eastAsia="仿宋" w:cs="仿宋"/>
          <w:color w:val="auto"/>
          <w:highlight w:val="none"/>
          <w:lang w:val="en-US"/>
        </w:rPr>
      </w:pPr>
      <w:r>
        <w:rPr>
          <w:rFonts w:hint="eastAsia" w:ascii="仿宋" w:eastAsia="仿宋" w:cs="仿宋"/>
          <w:color w:val="auto"/>
          <w:sz w:val="24"/>
          <w:highlight w:val="none"/>
          <w:lang w:val="en-US"/>
        </w:rPr>
        <w:t xml:space="preserve">    </w:t>
      </w:r>
      <w:r>
        <w:rPr>
          <w:rFonts w:hint="eastAsia" w:ascii="仿宋" w:eastAsia="仿宋" w:cs="仿宋"/>
          <w:b w:val="0"/>
          <w:bCs w:val="0"/>
          <w:color w:val="auto"/>
          <w:sz w:val="24"/>
          <w:highlight w:val="none"/>
          <w:lang w:val="en-US"/>
        </w:rPr>
        <w:t>1.3.3其他计价方式：</w:t>
      </w:r>
      <w:r>
        <w:rPr>
          <w:rFonts w:hint="eastAsia" w:ascii="仿宋" w:eastAsia="仿宋" w:cs="仿宋"/>
          <w:b w:val="0"/>
          <w:bCs w:val="0"/>
          <w:color w:val="auto"/>
          <w:sz w:val="24"/>
          <w:highlight w:val="none"/>
          <w:u w:val="single"/>
          <w:lang w:val="en-US"/>
        </w:rPr>
        <w:t xml:space="preserve">                   </w:t>
      </w:r>
      <w:r>
        <w:rPr>
          <w:rFonts w:hint="eastAsia" w:ascii="仿宋" w:eastAsia="仿宋" w:cs="仿宋"/>
          <w:b w:val="0"/>
          <w:bCs w:val="0"/>
          <w:color w:val="auto"/>
          <w:sz w:val="24"/>
          <w:highlight w:val="none"/>
        </w:rPr>
        <w:t>。</w:t>
      </w:r>
    </w:p>
    <w:bookmarkEnd w:id="445"/>
    <w:bookmarkEnd w:id="446"/>
    <w:bookmarkEnd w:id="447"/>
    <w:bookmarkEnd w:id="448"/>
    <w:bookmarkEnd w:id="449"/>
    <w:p>
      <w:pPr>
        <w:pStyle w:val="962"/>
        <w:spacing w:before="0" w:beforeAutospacing="0" w:after="0" w:afterAutospacing="0" w:line="360" w:lineRule="auto"/>
        <w:ind w:firstLine="480"/>
        <w:rPr>
          <w:rFonts w:ascii="仿宋" w:hAnsi="仿宋" w:eastAsia="仿宋" w:cs="仿宋"/>
          <w:b/>
          <w:color w:val="auto"/>
          <w:highlight w:val="none"/>
        </w:rPr>
      </w:pPr>
      <w:bookmarkStart w:id="450" w:name="_Toc22618"/>
      <w:bookmarkStart w:id="451" w:name="_Toc10340"/>
      <w:bookmarkStart w:id="452" w:name="_Toc1814"/>
      <w:bookmarkStart w:id="453" w:name="_Toc4760"/>
      <w:bookmarkStart w:id="454" w:name="_Toc31421"/>
      <w:bookmarkStart w:id="455" w:name="_Toc11108"/>
      <w:bookmarkStart w:id="456" w:name="_Toc3625"/>
      <w:bookmarkStart w:id="457" w:name="_Toc8772"/>
      <w:r>
        <w:rPr>
          <w:rFonts w:hint="eastAsia" w:ascii="仿宋" w:hAnsi="仿宋" w:eastAsia="仿宋" w:cs="仿宋"/>
          <w:b/>
          <w:color w:val="auto"/>
          <w:highlight w:val="none"/>
        </w:rPr>
        <w:t>1.4履约保证金</w:t>
      </w:r>
    </w:p>
    <w:p>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3"/>
        <w:tabs>
          <w:tab w:val="left" w:pos="0"/>
        </w:tabs>
        <w:spacing w:line="560" w:lineRule="exact"/>
        <w:ind w:left="0" w:firstLine="480" w:firstLineChars="200"/>
        <w:rPr>
          <w:rFonts w:ascii="仿宋" w:eastAsia="仿宋" w:cs="仿宋"/>
          <w:color w:val="auto"/>
          <w:highlight w:val="none"/>
          <w:lang w:val="en-US"/>
        </w:rPr>
      </w:pPr>
      <w:r>
        <w:rPr>
          <w:rFonts w:hint="eastAsia" w:asci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1.5</w:t>
      </w:r>
      <w:bookmarkEnd w:id="450"/>
      <w:bookmarkEnd w:id="451"/>
      <w:bookmarkEnd w:id="452"/>
      <w:r>
        <w:rPr>
          <w:rFonts w:hint="eastAsia" w:ascii="仿宋" w:hAnsi="仿宋" w:eastAsia="仿宋" w:cs="仿宋"/>
          <w:b/>
          <w:color w:val="auto"/>
          <w:sz w:val="24"/>
          <w:highlight w:val="none"/>
        </w:rPr>
        <w:t>预付款</w:t>
      </w:r>
    </w:p>
    <w:p>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pPr>
        <w:spacing w:line="56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62"/>
        <w:spacing w:before="0" w:beforeAutospacing="0" w:after="0" w:afterAutospacing="0" w:line="360" w:lineRule="auto"/>
        <w:ind w:firstLine="480"/>
        <w:rPr>
          <w:rFonts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pPr>
        <w:pStyle w:val="962"/>
        <w:spacing w:before="0" w:beforeAutospacing="0" w:after="0" w:afterAutospacing="0" w:line="360" w:lineRule="auto"/>
        <w:ind w:firstLine="480"/>
        <w:rPr>
          <w:rFonts w:ascii="仿宋" w:hAnsi="仿宋" w:eastAsia="仿宋" w:cs="仿宋"/>
          <w:b/>
          <w:bCs/>
          <w:color w:val="auto"/>
          <w:highlight w:val="none"/>
        </w:rPr>
      </w:pPr>
      <w:r>
        <w:rPr>
          <w:rFonts w:hint="eastAsia" w:ascii="仿宋" w:hAnsi="仿宋" w:eastAsia="仿宋" w:cs="仿宋"/>
          <w:b/>
          <w:bCs/>
          <w:color w:val="auto"/>
          <w:highlight w:val="none"/>
        </w:rPr>
        <w:t>1.6资金支付</w:t>
      </w:r>
    </w:p>
    <w:p>
      <w:pPr>
        <w:pStyle w:val="962"/>
        <w:spacing w:before="0" w:beforeAutospacing="0" w:after="0" w:afterAutospacing="0" w:line="360" w:lineRule="auto"/>
        <w:ind w:firstLine="480"/>
        <w:rPr>
          <w:rFonts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15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53"/>
      <w:bookmarkEnd w:id="454"/>
      <w:bookmarkEnd w:id="455"/>
      <w:bookmarkEnd w:id="456"/>
      <w:bookmarkEnd w:id="457"/>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outlineLvl w:val="0"/>
        <w:rPr>
          <w:rFonts w:ascii="仿宋" w:hAnsi="仿宋" w:eastAsia="仿宋" w:cs="仿宋"/>
          <w:bCs/>
          <w:color w:val="auto"/>
          <w:sz w:val="24"/>
          <w:highlight w:val="none"/>
        </w:rPr>
      </w:pPr>
      <w:bookmarkStart w:id="458" w:name="_Toc2375"/>
      <w:bookmarkStart w:id="459" w:name="_Toc5698"/>
      <w:bookmarkStart w:id="460" w:name="_Toc24662"/>
      <w:bookmarkStart w:id="461" w:name="_Toc3079"/>
      <w:bookmarkStart w:id="462" w:name="_Toc8586"/>
      <w:r>
        <w:rPr>
          <w:rFonts w:hint="eastAsia" w:ascii="仿宋" w:hAnsi="仿宋" w:eastAsia="仿宋" w:cs="仿宋"/>
          <w:bCs/>
          <w:color w:val="auto"/>
          <w:sz w:val="24"/>
          <w:highlight w:val="none"/>
        </w:rPr>
        <w:t>1.7.4若服务涉及货物的，则货物的：</w:t>
      </w:r>
    </w:p>
    <w:p>
      <w:pPr>
        <w:spacing w:line="560" w:lineRule="exact"/>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58"/>
      <w:bookmarkEnd w:id="459"/>
      <w:bookmarkEnd w:id="460"/>
      <w:bookmarkEnd w:id="461"/>
      <w:bookmarkEnd w:id="462"/>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pPr>
        <w:pStyle w:val="3"/>
        <w:ind w:left="0" w:firstLine="480" w:firstLineChars="200"/>
        <w:rPr>
          <w:rFonts w:ascii="仿宋" w:eastAsia="仿宋" w:cs="仿宋"/>
          <w:b w:val="0"/>
          <w:bCs w:val="0"/>
          <w:color w:val="auto"/>
          <w:sz w:val="24"/>
          <w:szCs w:val="24"/>
          <w:highlight w:val="none"/>
          <w:lang w:val="en-US"/>
        </w:rPr>
      </w:pPr>
      <w:r>
        <w:rPr>
          <w:rFonts w:hint="eastAsia" w:asci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eastAsia="仿宋" w:cs="仿宋"/>
          <w:b w:val="0"/>
          <w:bCs w:val="0"/>
          <w:color w:val="auto"/>
          <w:sz w:val="24"/>
          <w:szCs w:val="24"/>
          <w:highlight w:val="none"/>
          <w:u w:val="single"/>
          <w:lang w:val="en-US"/>
        </w:rPr>
        <w:t xml:space="preserve">  0.0</w:t>
      </w:r>
      <w:r>
        <w:rPr>
          <w:rFonts w:hint="eastAsia" w:ascii="仿宋" w:eastAsia="仿宋" w:cs="仿宋"/>
          <w:b w:val="0"/>
          <w:bCs w:val="0"/>
          <w:color w:val="auto"/>
          <w:sz w:val="24"/>
          <w:szCs w:val="24"/>
          <w:highlight w:val="none"/>
          <w:lang w:val="en-US"/>
        </w:rPr>
        <w:t xml:space="preserve">5（可根据情况修改） </w:t>
      </w:r>
      <w:r>
        <w:rPr>
          <w:rFonts w:hint="eastAsia"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%计算，最高限额为本合同总价的</w:t>
      </w:r>
      <w:r>
        <w:rPr>
          <w:rFonts w:hint="eastAsia" w:ascii="仿宋" w:eastAsia="仿宋" w:cs="仿宋"/>
          <w:b w:val="0"/>
          <w:bCs w:val="0"/>
          <w:color w:val="auto"/>
          <w:sz w:val="24"/>
          <w:szCs w:val="24"/>
          <w:highlight w:val="none"/>
          <w:u w:val="single"/>
          <w:lang w:val="en-US"/>
        </w:rPr>
        <w:t xml:space="preserve">  20  </w:t>
      </w:r>
      <w:r>
        <w:rPr>
          <w:rFonts w:hint="eastAsia" w:asci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仿宋"/>
          <w:color w:val="auto"/>
          <w:sz w:val="24"/>
          <w:highlight w:val="none"/>
        </w:rPr>
      </w:pPr>
      <w:bookmarkStart w:id="463" w:name="_Toc32454"/>
      <w:bookmarkStart w:id="464" w:name="_Toc30329"/>
      <w:bookmarkStart w:id="465" w:name="_Toc26807"/>
      <w:bookmarkStart w:id="466" w:name="_Toc9497"/>
      <w:bookmarkStart w:id="467" w:name="_Toc18683"/>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63"/>
    <w:bookmarkEnd w:id="464"/>
    <w:bookmarkEnd w:id="465"/>
    <w:bookmarkEnd w:id="466"/>
    <w:bookmarkEnd w:id="467"/>
    <w:p>
      <w:pPr>
        <w:spacing w:line="560" w:lineRule="exact"/>
        <w:ind w:firstLine="482" w:firstLineChars="200"/>
        <w:outlineLvl w:val="0"/>
        <w:rPr>
          <w:rFonts w:ascii="仿宋" w:hAnsi="仿宋" w:eastAsia="仿宋" w:cs="仿宋"/>
          <w:b/>
          <w:color w:val="auto"/>
          <w:sz w:val="24"/>
          <w:highlight w:val="none"/>
        </w:rPr>
      </w:pPr>
      <w:bookmarkStart w:id="468" w:name="_Toc16021"/>
      <w:bookmarkStart w:id="469" w:name="_Toc28375"/>
      <w:bookmarkStart w:id="470" w:name="_Toc15583"/>
      <w:r>
        <w:rPr>
          <w:rFonts w:hint="eastAsia" w:ascii="仿宋" w:hAnsi="仿宋" w:eastAsia="仿宋" w:cs="仿宋"/>
          <w:b/>
          <w:color w:val="auto"/>
          <w:sz w:val="24"/>
          <w:highlight w:val="none"/>
        </w:rPr>
        <w:t>1.9合同争议的解决</w:t>
      </w:r>
      <w:bookmarkEnd w:id="468"/>
      <w:bookmarkEnd w:id="469"/>
      <w:bookmarkEnd w:id="470"/>
    </w:p>
    <w:p>
      <w:pPr>
        <w:spacing w:line="560" w:lineRule="exact"/>
        <w:ind w:left="-61" w:leftChars="-29" w:right="-420" w:rightChars="-200"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600" w:firstLineChars="250"/>
        <w:rPr>
          <w:rFonts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ascii="仿宋" w:hAnsi="仿宋" w:eastAsia="仿宋" w:cs="仿宋"/>
          <w:b/>
          <w:color w:val="auto"/>
          <w:sz w:val="24"/>
          <w:highlight w:val="none"/>
        </w:rPr>
      </w:pPr>
      <w:bookmarkStart w:id="471" w:name="_Toc15322"/>
      <w:bookmarkStart w:id="472" w:name="_Toc7245"/>
      <w:bookmarkStart w:id="473" w:name="_Toc11173"/>
      <w:r>
        <w:rPr>
          <w:rFonts w:hint="eastAsia" w:ascii="仿宋" w:hAnsi="仿宋" w:eastAsia="仿宋" w:cs="仿宋"/>
          <w:b/>
          <w:color w:val="auto"/>
          <w:sz w:val="24"/>
          <w:highlight w:val="none"/>
        </w:rPr>
        <w:t>2.0 合同生效</w:t>
      </w:r>
      <w:bookmarkEnd w:id="471"/>
      <w:bookmarkEnd w:id="472"/>
      <w:bookmarkEnd w:id="473"/>
    </w:p>
    <w:p>
      <w:pPr>
        <w:spacing w:line="560" w:lineRule="exact"/>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pPr>
        <w:autoSpaceDE w:val="0"/>
        <w:autoSpaceDN w:val="0"/>
        <w:spacing w:line="560" w:lineRule="exact"/>
        <w:rPr>
          <w:rFonts w:ascii="仿宋" w:hAnsi="仿宋" w:eastAsia="仿宋" w:cs="仿宋"/>
          <w:color w:val="auto"/>
          <w:sz w:val="24"/>
          <w:highlight w:val="none"/>
          <w:lang w:val="zh-CN"/>
        </w:rPr>
      </w:pP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ascii="仿宋" w:hAnsi="仿宋" w:eastAsia="仿宋" w:cs="仿宋"/>
          <w:color w:val="auto"/>
          <w:sz w:val="24"/>
          <w:highlight w:val="none"/>
          <w:lang w:val="zh-CN"/>
        </w:rPr>
      </w:pP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spacing w:line="560" w:lineRule="exact"/>
        <w:jc w:val="left"/>
        <w:rPr>
          <w:rFonts w:ascii="仿宋" w:hAnsi="仿宋" w:eastAsia="仿宋" w:cs="仿宋"/>
          <w:b/>
          <w:color w:val="auto"/>
          <w:sz w:val="24"/>
          <w:highlight w:val="none"/>
        </w:rPr>
      </w:pPr>
    </w:p>
    <w:p>
      <w:pPr>
        <w:widowControl/>
        <w:adjustRightInd/>
        <w:jc w:val="left"/>
        <w:rPr>
          <w:rFonts w:ascii="仿宋" w:hAnsi="仿宋" w:eastAsia="仿宋" w:cs="仿宋"/>
          <w:b/>
          <w:color w:val="auto"/>
          <w:sz w:val="24"/>
          <w:highlight w:val="none"/>
        </w:rPr>
      </w:pPr>
      <w:r>
        <w:rPr>
          <w:rFonts w:hint="eastAsia" w:ascii="仿宋" w:hAnsi="仿宋" w:eastAsia="仿宋" w:cs="仿宋"/>
          <w:b/>
          <w:color w:val="auto"/>
          <w:highlight w:val="none"/>
        </w:rPr>
        <w:br w:type="page"/>
      </w:r>
    </w:p>
    <w:p>
      <w:pPr>
        <w:pStyle w:val="704"/>
        <w:spacing w:line="560" w:lineRule="exact"/>
        <w:ind w:firstLine="482"/>
        <w:jc w:val="center"/>
        <w:rPr>
          <w:rFonts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pPr>
        <w:spacing w:line="560" w:lineRule="exact"/>
        <w:ind w:firstLine="482" w:firstLineChars="200"/>
        <w:outlineLvl w:val="0"/>
        <w:rPr>
          <w:rFonts w:ascii="仿宋" w:hAnsi="仿宋" w:eastAsia="仿宋" w:cs="仿宋"/>
          <w:b/>
          <w:color w:val="auto"/>
          <w:sz w:val="24"/>
          <w:highlight w:val="none"/>
        </w:rPr>
      </w:pPr>
      <w:bookmarkStart w:id="474" w:name="_Toc5228"/>
      <w:bookmarkStart w:id="475" w:name="_Toc25079"/>
      <w:bookmarkStart w:id="476" w:name="_Toc14021"/>
      <w:bookmarkStart w:id="477" w:name="_Toc19680"/>
      <w:bookmarkStart w:id="478" w:name="_Toc31297"/>
      <w:r>
        <w:rPr>
          <w:rFonts w:hint="eastAsia" w:ascii="仿宋" w:hAnsi="仿宋" w:eastAsia="仿宋" w:cs="仿宋"/>
          <w:b/>
          <w:color w:val="auto"/>
          <w:sz w:val="24"/>
          <w:highlight w:val="none"/>
        </w:rPr>
        <w:t>2.1 定义</w:t>
      </w:r>
      <w:bookmarkEnd w:id="474"/>
      <w:bookmarkEnd w:id="475"/>
      <w:bookmarkEnd w:id="476"/>
      <w:bookmarkEnd w:id="477"/>
      <w:bookmarkEnd w:id="478"/>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pPr>
        <w:spacing w:line="560" w:lineRule="exact"/>
        <w:ind w:firstLine="482" w:firstLineChars="200"/>
        <w:outlineLvl w:val="0"/>
        <w:rPr>
          <w:rFonts w:ascii="仿宋" w:hAnsi="仿宋" w:eastAsia="仿宋" w:cs="仿宋"/>
          <w:b/>
          <w:color w:val="auto"/>
          <w:sz w:val="24"/>
          <w:highlight w:val="none"/>
        </w:rPr>
      </w:pPr>
      <w:bookmarkStart w:id="479" w:name="_Toc16752"/>
      <w:bookmarkStart w:id="480" w:name="_Toc3769"/>
      <w:bookmarkStart w:id="481" w:name="_Toc31402"/>
      <w:bookmarkStart w:id="482" w:name="_Toc23289"/>
      <w:bookmarkStart w:id="483" w:name="_Toc19539"/>
      <w:r>
        <w:rPr>
          <w:rFonts w:hint="eastAsia" w:ascii="仿宋" w:hAnsi="仿宋" w:eastAsia="仿宋" w:cs="仿宋"/>
          <w:b/>
          <w:color w:val="auto"/>
          <w:sz w:val="24"/>
          <w:highlight w:val="none"/>
        </w:rPr>
        <w:t>2.2 技术规范</w:t>
      </w:r>
      <w:bookmarkEnd w:id="479"/>
      <w:bookmarkEnd w:id="480"/>
      <w:bookmarkEnd w:id="481"/>
      <w:bookmarkEnd w:id="482"/>
      <w:bookmarkEnd w:id="483"/>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仿宋" w:hAnsi="仿宋" w:eastAsia="仿宋" w:cs="仿宋"/>
          <w:b/>
          <w:color w:val="auto"/>
          <w:sz w:val="24"/>
          <w:highlight w:val="none"/>
        </w:rPr>
      </w:pPr>
      <w:bookmarkStart w:id="484" w:name="_Toc27945"/>
      <w:bookmarkStart w:id="485" w:name="_Toc12412"/>
      <w:bookmarkStart w:id="486" w:name="_Toc13673"/>
      <w:bookmarkStart w:id="487" w:name="_Toc9161"/>
      <w:bookmarkStart w:id="488" w:name="_Toc4133"/>
      <w:r>
        <w:rPr>
          <w:rFonts w:hint="eastAsia" w:ascii="仿宋" w:hAnsi="仿宋" w:eastAsia="仿宋" w:cs="仿宋"/>
          <w:b/>
          <w:color w:val="auto"/>
          <w:sz w:val="24"/>
          <w:highlight w:val="none"/>
        </w:rPr>
        <w:t>2.3 知识产权</w:t>
      </w:r>
      <w:bookmarkEnd w:id="484"/>
      <w:bookmarkEnd w:id="485"/>
      <w:bookmarkEnd w:id="486"/>
      <w:bookmarkEnd w:id="487"/>
      <w:bookmarkEnd w:id="488"/>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cs="仿宋"/>
          <w:b/>
          <w:color w:val="auto"/>
          <w:sz w:val="24"/>
          <w:highlight w:val="none"/>
        </w:rPr>
      </w:pPr>
      <w:bookmarkStart w:id="489" w:name="_Toc32670"/>
      <w:bookmarkStart w:id="490" w:name="_Toc15447"/>
      <w:bookmarkStart w:id="491" w:name="_Toc31233"/>
      <w:bookmarkStart w:id="492" w:name="_Toc26555"/>
      <w:bookmarkStart w:id="493" w:name="_Toc22011"/>
      <w:r>
        <w:rPr>
          <w:rFonts w:hint="eastAsia" w:ascii="仿宋" w:hAnsi="仿宋" w:eastAsia="仿宋" w:cs="仿宋"/>
          <w:b/>
          <w:color w:val="auto"/>
          <w:sz w:val="24"/>
          <w:highlight w:val="none"/>
        </w:rPr>
        <w:t>2.5 结算方式和付款条件</w:t>
      </w:r>
      <w:bookmarkEnd w:id="489"/>
      <w:bookmarkEnd w:id="490"/>
      <w:bookmarkEnd w:id="491"/>
      <w:bookmarkEnd w:id="492"/>
      <w:bookmarkEnd w:id="493"/>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bookmarkStart w:id="494" w:name="_Toc16163"/>
      <w:bookmarkStart w:id="495" w:name="_Toc13154"/>
      <w:bookmarkStart w:id="496" w:name="_Toc13467"/>
      <w:bookmarkStart w:id="497" w:name="_Toc18990"/>
      <w:bookmarkStart w:id="498" w:name="_Toc30507"/>
      <w:r>
        <w:rPr>
          <w:rFonts w:hint="eastAsia" w:ascii="仿宋" w:hAnsi="仿宋" w:eastAsia="仿宋" w:cs="仿宋"/>
          <w:b/>
          <w:color w:val="auto"/>
          <w:sz w:val="24"/>
          <w:highlight w:val="none"/>
        </w:rPr>
        <w:t>2.6 技术资料和保密义务</w:t>
      </w:r>
      <w:bookmarkEnd w:id="494"/>
      <w:bookmarkEnd w:id="495"/>
      <w:bookmarkEnd w:id="496"/>
      <w:bookmarkEnd w:id="497"/>
      <w:bookmarkEnd w:id="498"/>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cs="仿宋"/>
          <w:b/>
          <w:color w:val="auto"/>
          <w:sz w:val="24"/>
          <w:highlight w:val="none"/>
        </w:rPr>
      </w:pPr>
      <w:bookmarkStart w:id="499" w:name="_Toc19069"/>
      <w:r>
        <w:rPr>
          <w:rFonts w:hint="eastAsia" w:ascii="仿宋" w:hAnsi="仿宋" w:eastAsia="仿宋" w:cs="仿宋"/>
          <w:b/>
          <w:color w:val="auto"/>
          <w:sz w:val="24"/>
          <w:highlight w:val="none"/>
        </w:rPr>
        <w:t>2.7 质量保证</w:t>
      </w:r>
      <w:bookmarkEnd w:id="499"/>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cs="仿宋"/>
          <w:b/>
          <w:color w:val="auto"/>
          <w:sz w:val="24"/>
          <w:highlight w:val="none"/>
        </w:rPr>
      </w:pPr>
      <w:bookmarkStart w:id="500" w:name="_Toc22267"/>
      <w:r>
        <w:rPr>
          <w:rFonts w:hint="eastAsia" w:ascii="仿宋" w:hAnsi="仿宋" w:eastAsia="仿宋" w:cs="仿宋"/>
          <w:b/>
          <w:color w:val="auto"/>
          <w:sz w:val="24"/>
          <w:highlight w:val="none"/>
        </w:rPr>
        <w:t>2.8 延迟履行</w:t>
      </w:r>
      <w:bookmarkEnd w:id="500"/>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仿宋" w:hAnsi="仿宋" w:eastAsia="仿宋" w:cs="仿宋"/>
          <w:b/>
          <w:color w:val="auto"/>
          <w:sz w:val="24"/>
          <w:highlight w:val="none"/>
        </w:rPr>
      </w:pPr>
      <w:bookmarkStart w:id="501" w:name="_Toc10611"/>
      <w:r>
        <w:rPr>
          <w:rFonts w:hint="eastAsia" w:ascii="仿宋" w:hAnsi="仿宋" w:eastAsia="仿宋" w:cs="仿宋"/>
          <w:b/>
          <w:color w:val="auto"/>
          <w:sz w:val="24"/>
          <w:highlight w:val="none"/>
        </w:rPr>
        <w:t>2.9 合同变更</w:t>
      </w:r>
      <w:bookmarkEnd w:id="501"/>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highlight w:val="none"/>
        </w:rPr>
      </w:pPr>
      <w:bookmarkStart w:id="502" w:name="_Toc10663"/>
      <w:bookmarkStart w:id="503" w:name="_Toc26689"/>
      <w:bookmarkStart w:id="504" w:name="_Toc23368"/>
      <w:bookmarkStart w:id="505" w:name="_Toc42"/>
      <w:bookmarkStart w:id="506" w:name="_Toc21830"/>
      <w:r>
        <w:rPr>
          <w:rFonts w:hint="eastAsia" w:ascii="仿宋" w:hAnsi="仿宋" w:eastAsia="仿宋" w:cs="仿宋"/>
          <w:b/>
          <w:color w:val="auto"/>
          <w:sz w:val="24"/>
          <w:highlight w:val="none"/>
        </w:rPr>
        <w:t>2.10 合同转让和分包</w:t>
      </w:r>
      <w:bookmarkEnd w:id="502"/>
      <w:bookmarkEnd w:id="503"/>
      <w:bookmarkEnd w:id="504"/>
      <w:bookmarkEnd w:id="505"/>
      <w:bookmarkEnd w:id="506"/>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仿宋" w:hAnsi="仿宋" w:eastAsia="仿宋" w:cs="仿宋"/>
          <w:b/>
          <w:color w:val="auto"/>
          <w:sz w:val="24"/>
          <w:highlight w:val="none"/>
        </w:rPr>
      </w:pPr>
      <w:bookmarkStart w:id="507" w:name="_Toc26633"/>
      <w:bookmarkStart w:id="508" w:name="_Toc4720"/>
      <w:bookmarkStart w:id="509" w:name="_Toc14371"/>
      <w:bookmarkStart w:id="510" w:name="_Toc25571"/>
      <w:bookmarkStart w:id="511" w:name="_Toc32494"/>
      <w:r>
        <w:rPr>
          <w:rFonts w:hint="eastAsia" w:ascii="仿宋" w:hAnsi="仿宋" w:eastAsia="仿宋" w:cs="仿宋"/>
          <w:b/>
          <w:color w:val="auto"/>
          <w:sz w:val="24"/>
          <w:highlight w:val="none"/>
        </w:rPr>
        <w:t>2.11 不可抗力</w:t>
      </w:r>
      <w:bookmarkEnd w:id="507"/>
      <w:bookmarkEnd w:id="508"/>
      <w:bookmarkEnd w:id="509"/>
      <w:bookmarkEnd w:id="510"/>
      <w:bookmarkEnd w:id="511"/>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ascii="仿宋" w:hAnsi="仿宋" w:eastAsia="仿宋" w:cs="仿宋"/>
          <w:b/>
          <w:color w:val="auto"/>
          <w:sz w:val="24"/>
          <w:highlight w:val="none"/>
        </w:rPr>
      </w:pPr>
      <w:bookmarkStart w:id="512" w:name="_Toc14115"/>
      <w:bookmarkStart w:id="513" w:name="_Toc25783"/>
      <w:bookmarkStart w:id="514" w:name="_Toc23854"/>
      <w:bookmarkStart w:id="515" w:name="_Toc24465"/>
      <w:bookmarkStart w:id="516" w:name="_Toc3638"/>
      <w:r>
        <w:rPr>
          <w:rFonts w:hint="eastAsia" w:ascii="仿宋" w:hAnsi="仿宋" w:eastAsia="仿宋" w:cs="仿宋"/>
          <w:b/>
          <w:color w:val="auto"/>
          <w:sz w:val="24"/>
          <w:highlight w:val="none"/>
        </w:rPr>
        <w:t>2.12 税费</w:t>
      </w:r>
      <w:bookmarkEnd w:id="512"/>
      <w:bookmarkEnd w:id="513"/>
      <w:bookmarkEnd w:id="514"/>
      <w:bookmarkEnd w:id="515"/>
      <w:bookmarkEnd w:id="516"/>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pPr>
        <w:spacing w:line="560" w:lineRule="exact"/>
        <w:ind w:firstLine="482" w:firstLineChars="200"/>
        <w:outlineLvl w:val="0"/>
        <w:rPr>
          <w:rFonts w:ascii="仿宋" w:hAnsi="仿宋" w:eastAsia="仿宋" w:cs="仿宋"/>
          <w:b/>
          <w:color w:val="auto"/>
          <w:sz w:val="24"/>
          <w:highlight w:val="none"/>
        </w:rPr>
      </w:pPr>
      <w:bookmarkStart w:id="517" w:name="_Toc25525"/>
      <w:bookmarkStart w:id="518" w:name="_Toc30105"/>
      <w:bookmarkStart w:id="519" w:name="_Toc26883"/>
      <w:bookmarkStart w:id="520" w:name="_Toc14814"/>
      <w:bookmarkStart w:id="521" w:name="_Toc7315"/>
      <w:r>
        <w:rPr>
          <w:rFonts w:hint="eastAsia" w:ascii="仿宋" w:hAnsi="仿宋" w:eastAsia="仿宋" w:cs="仿宋"/>
          <w:b/>
          <w:color w:val="auto"/>
          <w:sz w:val="24"/>
          <w:highlight w:val="none"/>
        </w:rPr>
        <w:t>2.13 乙方破产</w:t>
      </w:r>
      <w:bookmarkEnd w:id="517"/>
      <w:bookmarkEnd w:id="518"/>
      <w:bookmarkEnd w:id="519"/>
      <w:bookmarkEnd w:id="520"/>
      <w:bookmarkEnd w:id="521"/>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仿宋" w:hAnsi="仿宋" w:eastAsia="仿宋" w:cs="仿宋"/>
          <w:b/>
          <w:color w:val="auto"/>
          <w:sz w:val="24"/>
          <w:highlight w:val="none"/>
        </w:rPr>
      </w:pPr>
      <w:bookmarkStart w:id="522" w:name="_Toc1123"/>
      <w:bookmarkStart w:id="523" w:name="_Toc2016"/>
      <w:bookmarkStart w:id="524" w:name="_Toc23323"/>
      <w:r>
        <w:rPr>
          <w:rFonts w:hint="eastAsia" w:ascii="仿宋" w:hAnsi="仿宋" w:eastAsia="仿宋" w:cs="仿宋"/>
          <w:b/>
          <w:color w:val="auto"/>
          <w:sz w:val="24"/>
          <w:highlight w:val="none"/>
        </w:rPr>
        <w:t>2.14 合同中止、终止</w:t>
      </w:r>
      <w:bookmarkEnd w:id="522"/>
      <w:bookmarkEnd w:id="523"/>
      <w:bookmarkEnd w:id="524"/>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cs="仿宋"/>
          <w:b/>
          <w:color w:val="auto"/>
          <w:sz w:val="24"/>
          <w:highlight w:val="none"/>
        </w:rPr>
      </w:pPr>
      <w:bookmarkStart w:id="525" w:name="_Toc17363"/>
      <w:bookmarkStart w:id="526" w:name="_Toc1969"/>
      <w:bookmarkStart w:id="527" w:name="_Toc14525"/>
      <w:r>
        <w:rPr>
          <w:rFonts w:hint="eastAsia" w:ascii="仿宋" w:hAnsi="仿宋" w:eastAsia="仿宋" w:cs="仿宋"/>
          <w:b/>
          <w:color w:val="auto"/>
          <w:sz w:val="24"/>
          <w:highlight w:val="none"/>
        </w:rPr>
        <w:t>2.15 检验和验收</w:t>
      </w:r>
      <w:bookmarkEnd w:id="525"/>
      <w:bookmarkEnd w:id="526"/>
      <w:bookmarkEnd w:id="527"/>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pPr>
        <w:spacing w:line="560" w:lineRule="exact"/>
        <w:ind w:firstLine="482" w:firstLineChars="200"/>
        <w:outlineLvl w:val="0"/>
        <w:rPr>
          <w:rFonts w:ascii="仿宋" w:hAnsi="仿宋" w:eastAsia="仿宋" w:cs="仿宋"/>
          <w:b/>
          <w:color w:val="auto"/>
          <w:sz w:val="24"/>
          <w:highlight w:val="none"/>
        </w:rPr>
      </w:pPr>
      <w:bookmarkStart w:id="528" w:name="_Toc25198"/>
      <w:bookmarkStart w:id="529" w:name="_Toc12666"/>
      <w:bookmarkStart w:id="530" w:name="_Toc2308"/>
      <w:bookmarkStart w:id="531" w:name="_Toc9808"/>
      <w:bookmarkStart w:id="532" w:name="_Toc31892"/>
      <w:r>
        <w:rPr>
          <w:rFonts w:hint="eastAsia" w:ascii="仿宋" w:hAnsi="仿宋" w:eastAsia="仿宋" w:cs="仿宋"/>
          <w:b/>
          <w:color w:val="auto"/>
          <w:sz w:val="24"/>
          <w:highlight w:val="none"/>
        </w:rPr>
        <w:t>2.16 通知和送达</w:t>
      </w:r>
      <w:bookmarkEnd w:id="528"/>
      <w:bookmarkEnd w:id="529"/>
      <w:bookmarkEnd w:id="530"/>
      <w:bookmarkEnd w:id="531"/>
      <w:bookmarkEnd w:id="532"/>
    </w:p>
    <w:p>
      <w:pPr>
        <w:spacing w:line="560" w:lineRule="exact"/>
        <w:ind w:firstLine="480" w:firstLineChars="200"/>
        <w:rPr>
          <w:rFonts w:ascii="仿宋" w:hAnsi="仿宋" w:eastAsia="仿宋" w:cs="仿宋"/>
          <w:color w:val="auto"/>
          <w:sz w:val="24"/>
          <w:highlight w:val="none"/>
        </w:rPr>
      </w:pPr>
      <w:bookmarkStart w:id="533" w:name="_Toc27674"/>
      <w:bookmarkStart w:id="534" w:name="_Toc1840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pPr>
        <w:spacing w:line="560" w:lineRule="exact"/>
        <w:ind w:firstLine="482" w:firstLineChars="200"/>
        <w:outlineLvl w:val="0"/>
        <w:rPr>
          <w:rFonts w:ascii="仿宋" w:hAnsi="仿宋" w:eastAsia="仿宋" w:cs="仿宋"/>
          <w:b/>
          <w:color w:val="auto"/>
          <w:sz w:val="24"/>
          <w:highlight w:val="none"/>
        </w:rPr>
      </w:pPr>
      <w:bookmarkStart w:id="535" w:name="_Toc12254"/>
      <w:bookmarkStart w:id="536" w:name="_Toc5063"/>
      <w:bookmarkStart w:id="537" w:name="_Toc28906"/>
      <w:bookmarkStart w:id="538" w:name="_Toc20808"/>
      <w:bookmarkStart w:id="539" w:name="_Toc27644"/>
      <w:r>
        <w:rPr>
          <w:rFonts w:hint="eastAsia" w:ascii="仿宋" w:hAnsi="仿宋" w:eastAsia="仿宋" w:cs="仿宋"/>
          <w:b/>
          <w:color w:val="auto"/>
          <w:sz w:val="24"/>
          <w:highlight w:val="none"/>
        </w:rPr>
        <w:t>2.17 合同使用的文字和适用的法律</w:t>
      </w:r>
      <w:bookmarkEnd w:id="535"/>
      <w:bookmarkEnd w:id="536"/>
      <w:bookmarkEnd w:id="537"/>
      <w:bookmarkEnd w:id="538"/>
      <w:bookmarkEnd w:id="539"/>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pPr>
        <w:spacing w:line="560" w:lineRule="exact"/>
        <w:ind w:firstLine="482" w:firstLineChars="200"/>
        <w:outlineLvl w:val="0"/>
        <w:rPr>
          <w:rFonts w:ascii="仿宋" w:hAnsi="仿宋" w:eastAsia="仿宋" w:cs="仿宋"/>
          <w:b/>
          <w:color w:val="auto"/>
          <w:sz w:val="24"/>
          <w:highlight w:val="none"/>
        </w:rPr>
      </w:pPr>
      <w:bookmarkStart w:id="540" w:name="_Toc30599"/>
      <w:bookmarkStart w:id="541" w:name="_Toc4355"/>
      <w:bookmarkStart w:id="542" w:name="_Toc18540"/>
      <w:r>
        <w:rPr>
          <w:rFonts w:hint="eastAsia" w:ascii="仿宋" w:hAnsi="仿宋" w:eastAsia="仿宋" w:cs="仿宋"/>
          <w:b/>
          <w:color w:val="auto"/>
          <w:sz w:val="24"/>
          <w:highlight w:val="none"/>
        </w:rPr>
        <w:t>2.18 计量单位</w:t>
      </w:r>
      <w:bookmarkEnd w:id="540"/>
      <w:bookmarkEnd w:id="541"/>
      <w:bookmarkEnd w:id="542"/>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spacing w:line="360" w:lineRule="auto"/>
        <w:jc w:val="center"/>
        <w:outlineLvl w:val="0"/>
        <w:rPr>
          <w:rFonts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43" w:name="_Toc331685784"/>
      <w:r>
        <w:rPr>
          <w:rFonts w:hint="eastAsia" w:ascii="仿宋" w:hAnsi="仿宋" w:eastAsia="仿宋" w:cs="仿宋"/>
          <w:b/>
          <w:color w:val="auto"/>
          <w:sz w:val="24"/>
          <w:highlight w:val="none"/>
        </w:rPr>
        <w:t xml:space="preserve"> </w:t>
      </w:r>
      <w:bookmarkEnd w:id="543"/>
      <w:r>
        <w:rPr>
          <w:rFonts w:hint="eastAsia" w:ascii="仿宋" w:hAnsi="仿宋" w:eastAsia="仿宋" w:cs="仿宋"/>
          <w:b/>
          <w:color w:val="auto"/>
          <w:sz w:val="24"/>
          <w:highlight w:val="none"/>
        </w:rPr>
        <w:t>第三部分  合同专用条款</w:t>
      </w:r>
    </w:p>
    <w:p>
      <w:pPr>
        <w:spacing w:line="560" w:lineRule="exact"/>
        <w:ind w:left="-420" w:leftChars="-200" w:right="-420" w:rightChars="-200"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96"/>
        <w:gridCol w:w="74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pPr>
              <w:spacing w:line="360" w:lineRule="auto"/>
              <w:ind w:left="-420" w:leftChars="-200" w:right="-420" w:rightChars="-200" w:firstLine="480" w:firstLineChars="20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pPr>
              <w:spacing w:line="360" w:lineRule="auto"/>
              <w:ind w:left="-420" w:leftChars="-200" w:right="-420" w:rightChars="-200" w:firstLine="480" w:firstLineChars="20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4464" w:type="pct"/>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pPr>
              <w:spacing w:line="360" w:lineRule="auto"/>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pPr>
              <w:spacing w:line="360" w:lineRule="auto"/>
              <w:rPr>
                <w:rFonts w:ascii="仿宋" w:hAnsi="仿宋" w:eastAsia="仿宋" w:cs="仿宋"/>
                <w:color w:val="auto"/>
                <w:sz w:val="24"/>
                <w:highlight w:val="none"/>
              </w:rPr>
            </w:pPr>
          </w:p>
        </w:tc>
      </w:tr>
    </w:tbl>
    <w:p>
      <w:pPr>
        <w:spacing w:line="480" w:lineRule="auto"/>
        <w:jc w:val="center"/>
        <w:rPr>
          <w:rFonts w:ascii="仿宋" w:hAnsi="仿宋" w:eastAsia="仿宋" w:cs="仿宋"/>
          <w:b/>
          <w:color w:val="auto"/>
          <w:sz w:val="24"/>
          <w:highlight w:val="none"/>
        </w:rPr>
      </w:pPr>
    </w:p>
    <w:p>
      <w:pP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widowControl/>
        <w:adjustRightInd/>
        <w:jc w:val="center"/>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28"/>
      <w:r>
        <w:rPr>
          <w:rFonts w:hint="eastAsia" w:ascii="仿宋" w:hAnsi="仿宋" w:eastAsia="仿宋" w:cs="仿宋"/>
          <w:b/>
          <w:color w:val="auto"/>
          <w:sz w:val="36"/>
          <w:szCs w:val="20"/>
          <w:highlight w:val="none"/>
        </w:rPr>
        <w:t xml:space="preserve"> </w:t>
      </w:r>
      <w:bookmarkEnd w:id="429"/>
      <w:r>
        <w:rPr>
          <w:rFonts w:hint="eastAsia" w:ascii="仿宋" w:hAnsi="仿宋" w:eastAsia="仿宋" w:cs="仿宋"/>
          <w:b/>
          <w:color w:val="auto"/>
          <w:sz w:val="36"/>
          <w:szCs w:val="20"/>
          <w:highlight w:val="none"/>
        </w:rPr>
        <w:t>应提交的有关格式范例</w:t>
      </w:r>
    </w:p>
    <w:p>
      <w:pPr>
        <w:spacing w:line="360" w:lineRule="auto"/>
        <w:jc w:val="center"/>
        <w:outlineLvl w:val="0"/>
        <w:rPr>
          <w:rFonts w:ascii="仿宋" w:hAnsi="仿宋" w:eastAsia="仿宋" w:cs="仿宋"/>
          <w:b/>
          <w:color w:val="auto"/>
          <w:kern w:val="0"/>
          <w:sz w:val="36"/>
          <w:szCs w:val="36"/>
          <w:highlight w:val="none"/>
        </w:rPr>
      </w:pP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28"/>
          <w:szCs w:val="28"/>
          <w:highlight w:val="none"/>
        </w:rPr>
        <w:t xml:space="preserve">  一、 符合参加政府采购活动应当具备的一般条件的承诺函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firstLine="559" w:firstLineChars="233"/>
        <w:jc w:val="left"/>
        <w:rPr>
          <w:rFonts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ascii="仿宋" w:hAnsi="仿宋" w:eastAsia="仿宋" w:cs="仿宋"/>
          <w:color w:val="auto"/>
          <w:highlight w:val="none"/>
        </w:rPr>
      </w:pPr>
    </w:p>
    <w:p>
      <w:pPr>
        <w:widowControl/>
        <w:spacing w:line="360" w:lineRule="auto"/>
        <w:jc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二、联合协议（如果有）</w:t>
      </w:r>
    </w:p>
    <w:p>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三、落实政府采购政策需满足的资格要求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ascii="仿宋" w:hAnsi="仿宋" w:eastAsia="仿宋" w:cs="仿宋"/>
          <w:color w:val="auto"/>
          <w:sz w:val="24"/>
          <w:highlight w:val="none"/>
        </w:rPr>
      </w:pPr>
    </w:p>
    <w:p>
      <w:pPr>
        <w:widowControl/>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ascii="仿宋" w:hAnsi="仿宋" w:eastAsia="仿宋" w:cs="仿宋"/>
          <w:b/>
          <w:color w:val="auto"/>
          <w:kern w:val="0"/>
          <w:sz w:val="32"/>
          <w:szCs w:val="32"/>
          <w:highlight w:val="none"/>
        </w:rPr>
      </w:pPr>
    </w:p>
    <w:p>
      <w:pPr>
        <w:widowControl/>
        <w:spacing w:line="360" w:lineRule="auto"/>
        <w:ind w:left="150"/>
        <w:jc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四、本项目的特定资格要求</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ascii="仿宋" w:hAnsi="仿宋" w:eastAsia="仿宋" w:cs="仿宋"/>
          <w:color w:val="auto"/>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pStyle w:val="23"/>
        <w:rPr>
          <w:rFonts w:ascii="仿宋" w:hAnsi="仿宋" w:eastAsia="仿宋" w:cs="仿宋"/>
          <w:b/>
          <w:color w:val="auto"/>
          <w:kern w:val="0"/>
          <w:sz w:val="32"/>
          <w:szCs w:val="32"/>
          <w:highlight w:val="none"/>
        </w:rPr>
      </w:pPr>
    </w:p>
    <w:p>
      <w:pPr>
        <w:pStyle w:val="24"/>
        <w:ind w:firstLine="0"/>
        <w:rPr>
          <w:color w:val="auto"/>
          <w:highlight w:val="none"/>
        </w:rPr>
      </w:pPr>
    </w:p>
    <w:p>
      <w:pPr>
        <w:widowControl/>
        <w:adjustRightInd/>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ascii="仿宋" w:hAnsi="仿宋" w:eastAsia="仿宋" w:cs="仿宋"/>
          <w:b/>
          <w:color w:val="auto"/>
          <w:kern w:val="0"/>
          <w:sz w:val="24"/>
          <w:highlight w:val="none"/>
        </w:rPr>
      </w:pPr>
    </w:p>
    <w:p>
      <w:pPr>
        <w:spacing w:line="360"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rPr>
          <w:rFonts w:ascii="仿宋" w:hAnsi="仿宋" w:eastAsia="仿宋" w:cs="仿宋"/>
          <w:b/>
          <w:color w:val="auto"/>
          <w:kern w:val="0"/>
          <w:sz w:val="32"/>
          <w:szCs w:val="32"/>
          <w:highlight w:val="none"/>
          <w:lang w:val="zh-CN"/>
        </w:rPr>
      </w:pPr>
    </w:p>
    <w:p>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0"/>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44" w:name="_Hlk101257010"/>
      <w:r>
        <w:rPr>
          <w:rFonts w:hint="eastAsia" w:ascii="仿宋" w:hAnsi="仿宋" w:eastAsia="仿宋" w:cs="仿宋"/>
          <w:color w:val="auto"/>
          <w:sz w:val="24"/>
          <w:highlight w:val="none"/>
        </w:rPr>
        <w:t>（如果有)</w:t>
      </w:r>
      <w:bookmarkEnd w:id="544"/>
      <w:r>
        <w:rPr>
          <w:rFonts w:hint="eastAsia" w:ascii="仿宋" w:hAnsi="仿宋" w:eastAsia="仿宋" w:cs="仿宋"/>
          <w:snapToGrid w:val="0"/>
          <w:color w:val="auto"/>
          <w:kern w:val="28"/>
          <w:sz w:val="24"/>
          <w:szCs w:val="20"/>
          <w:highlight w:val="none"/>
        </w:rPr>
        <w:t>；</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pPr>
        <w:snapToGrid w:val="0"/>
        <w:spacing w:line="360" w:lineRule="auto"/>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ascii="仿宋" w:hAnsi="仿宋" w:eastAsia="仿宋" w:cs="仿宋"/>
          <w:color w:val="auto"/>
          <w:kern w:val="0"/>
          <w:sz w:val="24"/>
          <w:highlight w:val="none"/>
          <w:u w:val="singl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ascii="仿宋" w:hAnsi="仿宋" w:eastAsia="仿宋" w:cs="仿宋"/>
          <w:b/>
          <w:color w:val="auto"/>
          <w:kern w:val="0"/>
          <w:sz w:val="32"/>
          <w:szCs w:val="32"/>
          <w:highlight w:val="none"/>
        </w:rPr>
      </w:pPr>
    </w:p>
    <w:p>
      <w:pPr>
        <w:snapToGrid w:val="0"/>
        <w:spacing w:line="360" w:lineRule="auto"/>
        <w:rPr>
          <w:rFonts w:ascii="仿宋" w:hAnsi="仿宋" w:eastAsia="仿宋" w:cs="仿宋"/>
          <w:color w:val="auto"/>
          <w:sz w:val="24"/>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pStyle w:val="3"/>
        <w:rPr>
          <w:rFonts w:ascii="仿宋" w:eastAsia="仿宋" w:cs="仿宋"/>
          <w:color w:val="auto"/>
          <w:highlight w:val="none"/>
          <w:lang w:val="en-US"/>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rPr>
          <w:rFonts w:ascii="仿宋" w:hAnsi="仿宋" w:eastAsia="仿宋" w:cs="仿宋"/>
          <w:color w:val="auto"/>
          <w:sz w:val="24"/>
          <w:highlight w:val="none"/>
        </w:rPr>
      </w:pPr>
    </w:p>
    <w:p>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ascii="仿宋" w:hAnsi="仿宋" w:eastAsia="仿宋" w:cs="仿宋"/>
          <w:color w:val="auto"/>
          <w:sz w:val="24"/>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rPr>
          <w:rFonts w:ascii="仿宋" w:hAnsi="仿宋" w:eastAsia="仿宋" w:cs="仿宋"/>
          <w:color w:val="auto"/>
          <w:highlight w:val="none"/>
        </w:rPr>
      </w:pPr>
    </w:p>
    <w:p>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ascii="仿宋" w:hAnsi="仿宋" w:eastAsia="仿宋" w:cs="仿宋"/>
          <w:b/>
          <w:color w:val="auto"/>
          <w:kern w:val="0"/>
          <w:sz w:val="32"/>
          <w:szCs w:val="32"/>
          <w:highlight w:val="none"/>
          <w:lang w:val="zh-CN"/>
        </w:rPr>
      </w:pPr>
    </w:p>
    <w:p>
      <w:pPr>
        <w:autoSpaceDE w:val="0"/>
        <w:autoSpaceDN w:val="0"/>
        <w:spacing w:line="360" w:lineRule="auto"/>
        <w:jc w:val="center"/>
        <w:rPr>
          <w:rFonts w:ascii="仿宋" w:hAnsi="仿宋" w:eastAsia="仿宋" w:cs="仿宋"/>
          <w:b/>
          <w:color w:val="auto"/>
          <w:kern w:val="0"/>
          <w:sz w:val="32"/>
          <w:szCs w:val="32"/>
          <w:highlight w:val="none"/>
          <w:lang w:val="zh-CN"/>
        </w:rPr>
      </w:pPr>
    </w:p>
    <w:p>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51"/>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51"/>
              <w:adjustRightInd w:val="0"/>
              <w:spacing w:line="360" w:lineRule="auto"/>
              <w:rPr>
                <w:rFonts w:ascii="仿宋" w:hAnsi="仿宋" w:eastAsia="仿宋" w:cs="仿宋"/>
                <w:bCs/>
                <w:color w:val="auto"/>
                <w:sz w:val="24"/>
                <w:highlight w:val="none"/>
              </w:rPr>
            </w:pPr>
          </w:p>
        </w:tc>
      </w:tr>
    </w:tbl>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snapToGrid w:val="0"/>
        <w:spacing w:line="360" w:lineRule="auto"/>
        <w:ind w:right="480"/>
        <w:rPr>
          <w:rFonts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docGrid w:linePitch="312" w:charSpace="0"/>
        </w:sectPr>
      </w:pPr>
    </w:p>
    <w:p>
      <w:pPr>
        <w:snapToGrid w:val="0"/>
        <w:spacing w:line="360" w:lineRule="auto"/>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rPr>
          <w:rFonts w:ascii="仿宋" w:hAnsi="仿宋" w:eastAsia="仿宋" w:cs="仿宋"/>
          <w:color w:val="auto"/>
          <w:kern w:val="0"/>
          <w:sz w:val="24"/>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ascii="仿宋" w:hAnsi="仿宋" w:eastAsia="仿宋" w:cs="仿宋"/>
          <w:b/>
          <w:color w:val="auto"/>
          <w:kern w:val="0"/>
          <w:sz w:val="32"/>
          <w:szCs w:val="32"/>
          <w:highlight w:val="none"/>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765"/>
        <w:gridCol w:w="27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765"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777"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765"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777"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center"/>
          </w:tcPr>
          <w:p>
            <w:pPr>
              <w:jc w:val="center"/>
              <w:rPr>
                <w:rFonts w:ascii="仿宋" w:hAnsi="仿宋" w:eastAsia="仿宋" w:cs="仿宋"/>
                <w:color w:val="auto"/>
                <w:sz w:val="24"/>
                <w:highlight w:val="none"/>
              </w:rPr>
            </w:pPr>
          </w:p>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jc w:val="center"/>
              <w:rPr>
                <w:rFonts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765"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777"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center"/>
          </w:tcPr>
          <w:p>
            <w:pPr>
              <w:jc w:val="cente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765" w:type="dxa"/>
            <w:vAlign w:val="center"/>
          </w:tcPr>
          <w:p>
            <w:pPr>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777" w:type="dxa"/>
            <w:vAlign w:val="center"/>
          </w:tcPr>
          <w:p>
            <w:pPr>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vAlign w:val="center"/>
          </w:tcPr>
          <w:p>
            <w:pPr>
              <w:jc w:val="center"/>
              <w:rPr>
                <w:rFonts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330"/>
        <w:gridCol w:w="1413"/>
        <w:gridCol w:w="2000"/>
        <w:gridCol w:w="1336"/>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330" w:type="dxa"/>
            <w:tcBorders>
              <w:top w:val="single" w:color="auto" w:sz="4" w:space="0"/>
              <w:left w:val="single" w:color="auto" w:sz="4" w:space="0"/>
              <w:bottom w:val="single" w:color="auto" w:sz="4" w:space="0"/>
              <w:right w:val="single" w:color="auto" w:sz="4" w:space="0"/>
            </w:tcBorders>
          </w:tcPr>
          <w:p>
            <w:pPr>
              <w:tabs>
                <w:tab w:val="left" w:pos="542"/>
              </w:tabs>
              <w:spacing w:line="360" w:lineRule="auto"/>
              <w:jc w:val="left"/>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4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13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highlight w:val="none"/>
              </w:rPr>
            </w:pP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4"/>
                <w:highlight w:val="none"/>
              </w:rPr>
            </w:pPr>
          </w:p>
        </w:tc>
      </w:tr>
    </w:tbl>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ascii="仿宋" w:hAnsi="仿宋" w:eastAsia="仿宋" w:cs="仿宋"/>
                <w:b/>
                <w:color w:val="auto"/>
                <w:kern w:val="0"/>
                <w:sz w:val="32"/>
                <w:szCs w:val="32"/>
                <w:highlight w:val="none"/>
              </w:rPr>
            </w:pPr>
          </w:p>
        </w:tc>
        <w:tc>
          <w:tcPr>
            <w:tcW w:w="3546" w:type="dxa"/>
          </w:tcPr>
          <w:p>
            <w:pPr>
              <w:jc w:val="center"/>
              <w:rPr>
                <w:rFonts w:ascii="仿宋" w:hAnsi="仿宋" w:eastAsia="仿宋" w:cs="仿宋"/>
                <w:b/>
                <w:color w:val="auto"/>
                <w:kern w:val="0"/>
                <w:sz w:val="32"/>
                <w:szCs w:val="32"/>
                <w:highlight w:val="none"/>
              </w:rPr>
            </w:pPr>
          </w:p>
        </w:tc>
        <w:tc>
          <w:tcPr>
            <w:tcW w:w="1276" w:type="dxa"/>
          </w:tcPr>
          <w:p>
            <w:pPr>
              <w:jc w:val="center"/>
              <w:rPr>
                <w:rFonts w:ascii="仿宋" w:hAnsi="仿宋" w:eastAsia="仿宋" w:cs="仿宋"/>
                <w:b/>
                <w:color w:val="auto"/>
                <w:kern w:val="0"/>
                <w:sz w:val="32"/>
                <w:szCs w:val="32"/>
                <w:highlight w:val="none"/>
              </w:rPr>
            </w:pPr>
          </w:p>
        </w:tc>
      </w:tr>
    </w:tbl>
    <w:p>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ascii="仿宋" w:hAnsi="仿宋" w:eastAsia="仿宋" w:cs="仿宋"/>
          <w:b/>
          <w:color w:val="auto"/>
          <w:kern w:val="0"/>
          <w:sz w:val="32"/>
          <w:szCs w:val="32"/>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ind w:firstLine="1911" w:firstLineChars="595"/>
        <w:rPr>
          <w:rFonts w:ascii="仿宋" w:hAnsi="仿宋" w:eastAsia="仿宋" w:cs="仿宋"/>
          <w:b/>
          <w:bCs/>
          <w:color w:val="auto"/>
          <w:sz w:val="32"/>
          <w:szCs w:val="32"/>
          <w:highlight w:val="none"/>
        </w:rPr>
      </w:pPr>
    </w:p>
    <w:p>
      <w:pPr>
        <w:ind w:firstLine="1911" w:firstLineChars="595"/>
        <w:rPr>
          <w:rFonts w:ascii="仿宋" w:hAnsi="仿宋" w:eastAsia="仿宋" w:cs="仿宋"/>
          <w:b/>
          <w:bCs/>
          <w:color w:val="auto"/>
          <w:sz w:val="32"/>
          <w:szCs w:val="32"/>
          <w:highlight w:val="none"/>
        </w:rPr>
      </w:pPr>
    </w:p>
    <w:p>
      <w:pPr>
        <w:ind w:firstLine="1911" w:firstLineChars="595"/>
        <w:rPr>
          <w:rFonts w:ascii="仿宋" w:hAnsi="仿宋" w:eastAsia="仿宋" w:cs="仿宋"/>
          <w:b/>
          <w:bCs/>
          <w:color w:val="auto"/>
          <w:sz w:val="32"/>
          <w:szCs w:val="32"/>
          <w:highlight w:val="none"/>
        </w:rPr>
      </w:pPr>
    </w:p>
    <w:p>
      <w:pPr>
        <w:widowControl/>
        <w:adjustRightInd/>
        <w:jc w:val="left"/>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ascii="仿宋" w:hAnsi="仿宋" w:eastAsia="仿宋" w:cs="仿宋"/>
          <w:b/>
          <w:bCs/>
          <w:color w:val="auto"/>
          <w:sz w:val="24"/>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docGrid w:linePitch="312" w:charSpace="0"/>
        </w:sectPr>
      </w:pP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ascii="仿宋" w:hAnsi="仿宋" w:eastAsia="仿宋" w:cs="仿宋"/>
          <w:b/>
          <w:color w:val="auto"/>
          <w:kern w:val="0"/>
          <w:sz w:val="32"/>
          <w:szCs w:val="32"/>
          <w:highlight w:val="none"/>
        </w:rPr>
        <w:sectPr>
          <w:headerReference r:id="rId17" w:type="first"/>
          <w:footerReference r:id="rId19" w:type="first"/>
          <w:headerReference r:id="rId16" w:type="default"/>
          <w:footerReference r:id="rId18" w:type="default"/>
          <w:pgSz w:w="11905" w:h="16838"/>
          <w:pgMar w:top="1474" w:right="1814" w:bottom="1474" w:left="1814" w:header="851" w:footer="850" w:gutter="0"/>
          <w:cols w:space="0" w:num="1"/>
          <w:docGrid w:linePitch="312" w:charSpace="0"/>
        </w:sectPr>
      </w:pPr>
    </w:p>
    <w:p>
      <w:pPr>
        <w:pStyle w:val="695"/>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napToGrid w:val="0"/>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22"/>
        <w:gridCol w:w="2412"/>
        <w:gridCol w:w="1983"/>
        <w:gridCol w:w="1721"/>
        <w:gridCol w:w="2126"/>
        <w:gridCol w:w="147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817"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22"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412" w:type="dxa"/>
            <w:vAlign w:val="center"/>
          </w:tcPr>
          <w:p>
            <w:pPr>
              <w:spacing w:line="360" w:lineRule="auto"/>
              <w:jc w:val="center"/>
              <w:rPr>
                <w:rFonts w:hint="default"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服务范围</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要求</w:t>
            </w:r>
          </w:p>
        </w:tc>
        <w:tc>
          <w:tcPr>
            <w:tcW w:w="1983"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1721" w:type="dxa"/>
            <w:vAlign w:val="center"/>
          </w:tcPr>
          <w:p>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数量</w:t>
            </w:r>
          </w:p>
        </w:tc>
        <w:tc>
          <w:tcPr>
            <w:tcW w:w="2126" w:type="dxa"/>
            <w:vAlign w:val="center"/>
          </w:tcPr>
          <w:p>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单价</w:t>
            </w:r>
          </w:p>
        </w:tc>
        <w:tc>
          <w:tcPr>
            <w:tcW w:w="1470" w:type="dxa"/>
            <w:vAlign w:val="center"/>
          </w:tcPr>
          <w:p>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总价</w:t>
            </w:r>
          </w:p>
        </w:tc>
        <w:tc>
          <w:tcPr>
            <w:tcW w:w="1980" w:type="dxa"/>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17" w:type="dxa"/>
            <w:vAlign w:val="center"/>
          </w:tcPr>
          <w:p>
            <w:pPr>
              <w:spacing w:line="360" w:lineRule="auto"/>
              <w:jc w:val="center"/>
              <w:rPr>
                <w:rFonts w:ascii="仿宋" w:hAnsi="仿宋" w:eastAsia="仿宋" w:cs="仿宋"/>
                <w:color w:val="auto"/>
                <w:sz w:val="24"/>
                <w:highlight w:val="none"/>
              </w:rPr>
            </w:pPr>
          </w:p>
        </w:tc>
        <w:tc>
          <w:tcPr>
            <w:tcW w:w="1822" w:type="dxa"/>
            <w:vAlign w:val="center"/>
          </w:tcPr>
          <w:p>
            <w:pPr>
              <w:snapToGrid w:val="0"/>
              <w:spacing w:line="360" w:lineRule="auto"/>
              <w:jc w:val="center"/>
              <w:rPr>
                <w:rFonts w:ascii="仿宋" w:hAnsi="仿宋" w:eastAsia="仿宋" w:cs="仿宋"/>
                <w:color w:val="auto"/>
                <w:sz w:val="24"/>
                <w:highlight w:val="none"/>
              </w:rPr>
            </w:pPr>
          </w:p>
        </w:tc>
        <w:tc>
          <w:tcPr>
            <w:tcW w:w="2412" w:type="dxa"/>
            <w:vAlign w:val="center"/>
          </w:tcPr>
          <w:p>
            <w:pPr>
              <w:snapToGrid w:val="0"/>
              <w:spacing w:line="360" w:lineRule="auto"/>
              <w:jc w:val="center"/>
              <w:rPr>
                <w:rFonts w:ascii="仿宋" w:hAnsi="仿宋" w:eastAsia="仿宋" w:cs="仿宋"/>
                <w:color w:val="auto"/>
                <w:sz w:val="24"/>
                <w:highlight w:val="none"/>
              </w:rPr>
            </w:pPr>
          </w:p>
        </w:tc>
        <w:tc>
          <w:tcPr>
            <w:tcW w:w="1983" w:type="dxa"/>
            <w:vAlign w:val="center"/>
          </w:tcPr>
          <w:p>
            <w:pPr>
              <w:snapToGrid w:val="0"/>
              <w:spacing w:line="360" w:lineRule="auto"/>
              <w:jc w:val="center"/>
              <w:rPr>
                <w:rFonts w:hint="default" w:ascii="仿宋" w:hAnsi="仿宋" w:eastAsia="仿宋" w:cs="仿宋"/>
                <w:color w:val="auto"/>
                <w:sz w:val="24"/>
                <w:highlight w:val="none"/>
                <w:lang w:val="en-US" w:eastAsia="zh-CN"/>
              </w:rPr>
            </w:pPr>
          </w:p>
        </w:tc>
        <w:tc>
          <w:tcPr>
            <w:tcW w:w="1721" w:type="dxa"/>
            <w:vAlign w:val="center"/>
          </w:tcPr>
          <w:p>
            <w:pPr>
              <w:snapToGrid w:val="0"/>
              <w:spacing w:line="360" w:lineRule="auto"/>
              <w:jc w:val="center"/>
              <w:rPr>
                <w:rFonts w:hint="eastAsia" w:ascii="仿宋" w:hAnsi="仿宋" w:eastAsia="仿宋" w:cs="仿宋"/>
                <w:color w:val="auto"/>
                <w:sz w:val="24"/>
                <w:highlight w:val="none"/>
                <w:lang w:val="en-US" w:eastAsia="zh-CN"/>
              </w:rPr>
            </w:pPr>
          </w:p>
        </w:tc>
        <w:tc>
          <w:tcPr>
            <w:tcW w:w="2126" w:type="dxa"/>
            <w:vAlign w:val="center"/>
          </w:tcPr>
          <w:p>
            <w:pPr>
              <w:spacing w:line="360" w:lineRule="auto"/>
              <w:jc w:val="center"/>
              <w:rPr>
                <w:rFonts w:ascii="仿宋" w:hAnsi="仿宋" w:eastAsia="仿宋" w:cs="仿宋"/>
                <w:color w:val="auto"/>
                <w:sz w:val="24"/>
                <w:highlight w:val="none"/>
              </w:rPr>
            </w:pPr>
          </w:p>
        </w:tc>
        <w:tc>
          <w:tcPr>
            <w:tcW w:w="1470" w:type="dxa"/>
          </w:tcPr>
          <w:p>
            <w:pPr>
              <w:spacing w:line="360" w:lineRule="auto"/>
              <w:jc w:val="center"/>
              <w:rPr>
                <w:rFonts w:ascii="仿宋" w:hAnsi="仿宋" w:eastAsia="仿宋" w:cs="仿宋"/>
                <w:color w:val="auto"/>
                <w:sz w:val="24"/>
                <w:highlight w:val="none"/>
              </w:rPr>
            </w:pPr>
          </w:p>
        </w:tc>
        <w:tc>
          <w:tcPr>
            <w:tcW w:w="1980"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仿宋" w:hAnsi="仿宋" w:eastAsia="仿宋" w:cs="仿宋"/>
                <w:color w:val="auto"/>
                <w:sz w:val="24"/>
                <w:highlight w:val="none"/>
              </w:rPr>
            </w:pPr>
          </w:p>
        </w:tc>
        <w:tc>
          <w:tcPr>
            <w:tcW w:w="1822" w:type="dxa"/>
            <w:vAlign w:val="center"/>
          </w:tcPr>
          <w:p>
            <w:pPr>
              <w:snapToGrid w:val="0"/>
              <w:spacing w:line="360" w:lineRule="auto"/>
              <w:jc w:val="center"/>
              <w:rPr>
                <w:rFonts w:ascii="仿宋" w:hAnsi="仿宋" w:eastAsia="仿宋" w:cs="仿宋"/>
                <w:color w:val="auto"/>
                <w:sz w:val="24"/>
                <w:highlight w:val="none"/>
              </w:rPr>
            </w:pPr>
          </w:p>
        </w:tc>
        <w:tc>
          <w:tcPr>
            <w:tcW w:w="2412" w:type="dxa"/>
            <w:vAlign w:val="center"/>
          </w:tcPr>
          <w:p>
            <w:pPr>
              <w:snapToGrid w:val="0"/>
              <w:spacing w:line="360" w:lineRule="auto"/>
              <w:jc w:val="center"/>
              <w:rPr>
                <w:rFonts w:ascii="仿宋" w:hAnsi="仿宋" w:eastAsia="仿宋" w:cs="仿宋"/>
                <w:color w:val="auto"/>
                <w:sz w:val="24"/>
                <w:highlight w:val="none"/>
              </w:rPr>
            </w:pPr>
          </w:p>
        </w:tc>
        <w:tc>
          <w:tcPr>
            <w:tcW w:w="1983" w:type="dxa"/>
            <w:vAlign w:val="center"/>
          </w:tcPr>
          <w:p>
            <w:pPr>
              <w:snapToGrid w:val="0"/>
              <w:spacing w:line="360" w:lineRule="auto"/>
              <w:jc w:val="center"/>
              <w:rPr>
                <w:rFonts w:ascii="仿宋" w:hAnsi="仿宋" w:eastAsia="仿宋" w:cs="仿宋"/>
                <w:color w:val="auto"/>
                <w:sz w:val="24"/>
                <w:highlight w:val="none"/>
              </w:rPr>
            </w:pPr>
          </w:p>
        </w:tc>
        <w:tc>
          <w:tcPr>
            <w:tcW w:w="1721" w:type="dxa"/>
            <w:vAlign w:val="center"/>
          </w:tcPr>
          <w:p>
            <w:pPr>
              <w:snapToGrid w:val="0"/>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c>
          <w:tcPr>
            <w:tcW w:w="1470" w:type="dxa"/>
          </w:tcPr>
          <w:p>
            <w:pPr>
              <w:spacing w:line="360" w:lineRule="auto"/>
              <w:jc w:val="center"/>
              <w:rPr>
                <w:rFonts w:ascii="仿宋" w:hAnsi="仿宋" w:eastAsia="仿宋" w:cs="仿宋"/>
                <w:color w:val="auto"/>
                <w:sz w:val="24"/>
                <w:highlight w:val="none"/>
              </w:rPr>
            </w:pPr>
          </w:p>
        </w:tc>
        <w:tc>
          <w:tcPr>
            <w:tcW w:w="1980"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仿宋" w:hAnsi="仿宋" w:eastAsia="仿宋" w:cs="仿宋"/>
                <w:color w:val="auto"/>
                <w:sz w:val="24"/>
                <w:highlight w:val="none"/>
              </w:rPr>
            </w:pPr>
          </w:p>
        </w:tc>
        <w:tc>
          <w:tcPr>
            <w:tcW w:w="1822" w:type="dxa"/>
            <w:vAlign w:val="center"/>
          </w:tcPr>
          <w:p>
            <w:pPr>
              <w:snapToGrid w:val="0"/>
              <w:spacing w:line="360" w:lineRule="auto"/>
              <w:jc w:val="center"/>
              <w:rPr>
                <w:rFonts w:ascii="仿宋" w:hAnsi="仿宋" w:eastAsia="仿宋" w:cs="仿宋"/>
                <w:color w:val="auto"/>
                <w:sz w:val="24"/>
                <w:highlight w:val="none"/>
              </w:rPr>
            </w:pPr>
          </w:p>
        </w:tc>
        <w:tc>
          <w:tcPr>
            <w:tcW w:w="2412" w:type="dxa"/>
            <w:vAlign w:val="center"/>
          </w:tcPr>
          <w:p>
            <w:pPr>
              <w:snapToGrid w:val="0"/>
              <w:spacing w:line="360" w:lineRule="auto"/>
              <w:jc w:val="center"/>
              <w:rPr>
                <w:rFonts w:ascii="仿宋" w:hAnsi="仿宋" w:eastAsia="仿宋" w:cs="仿宋"/>
                <w:color w:val="auto"/>
                <w:sz w:val="24"/>
                <w:highlight w:val="none"/>
              </w:rPr>
            </w:pPr>
          </w:p>
        </w:tc>
        <w:tc>
          <w:tcPr>
            <w:tcW w:w="1983" w:type="dxa"/>
            <w:vAlign w:val="center"/>
          </w:tcPr>
          <w:p>
            <w:pPr>
              <w:snapToGrid w:val="0"/>
              <w:spacing w:line="360" w:lineRule="auto"/>
              <w:jc w:val="center"/>
              <w:rPr>
                <w:rFonts w:ascii="仿宋" w:hAnsi="仿宋" w:eastAsia="仿宋" w:cs="仿宋"/>
                <w:color w:val="auto"/>
                <w:sz w:val="24"/>
                <w:highlight w:val="none"/>
              </w:rPr>
            </w:pPr>
          </w:p>
        </w:tc>
        <w:tc>
          <w:tcPr>
            <w:tcW w:w="1721" w:type="dxa"/>
            <w:vAlign w:val="center"/>
          </w:tcPr>
          <w:p>
            <w:pPr>
              <w:snapToGrid w:val="0"/>
              <w:spacing w:line="360" w:lineRule="auto"/>
              <w:jc w:val="center"/>
              <w:rPr>
                <w:rFonts w:ascii="仿宋" w:hAnsi="仿宋" w:eastAsia="仿宋" w:cs="仿宋"/>
                <w:color w:val="auto"/>
                <w:sz w:val="24"/>
                <w:highlight w:val="none"/>
              </w:rPr>
            </w:pPr>
          </w:p>
        </w:tc>
        <w:tc>
          <w:tcPr>
            <w:tcW w:w="2126" w:type="dxa"/>
            <w:vAlign w:val="center"/>
          </w:tcPr>
          <w:p>
            <w:pPr>
              <w:spacing w:line="360" w:lineRule="auto"/>
              <w:jc w:val="center"/>
              <w:rPr>
                <w:rFonts w:ascii="仿宋" w:hAnsi="仿宋" w:eastAsia="仿宋" w:cs="仿宋"/>
                <w:color w:val="auto"/>
                <w:sz w:val="24"/>
                <w:highlight w:val="none"/>
              </w:rPr>
            </w:pPr>
          </w:p>
        </w:tc>
        <w:tc>
          <w:tcPr>
            <w:tcW w:w="1470" w:type="dxa"/>
          </w:tcPr>
          <w:p>
            <w:pPr>
              <w:spacing w:line="360" w:lineRule="auto"/>
              <w:jc w:val="center"/>
              <w:rPr>
                <w:rFonts w:ascii="仿宋" w:hAnsi="仿宋" w:eastAsia="仿宋" w:cs="仿宋"/>
                <w:color w:val="auto"/>
                <w:sz w:val="24"/>
                <w:highlight w:val="none"/>
              </w:rPr>
            </w:pPr>
          </w:p>
        </w:tc>
        <w:tc>
          <w:tcPr>
            <w:tcW w:w="1980" w:type="dxa"/>
            <w:vAlign w:val="center"/>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034" w:type="dxa"/>
            <w:gridSpan w:val="4"/>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297" w:type="dxa"/>
            <w:gridSpan w:val="4"/>
          </w:tcPr>
          <w:p>
            <w:pPr>
              <w:spacing w:line="360" w:lineRule="auto"/>
              <w:jc w:val="center"/>
              <w:rPr>
                <w:rFonts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034" w:type="dxa"/>
            <w:gridSpan w:val="4"/>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297" w:type="dxa"/>
            <w:gridSpan w:val="4"/>
          </w:tcPr>
          <w:p>
            <w:pPr>
              <w:spacing w:line="360" w:lineRule="auto"/>
              <w:jc w:val="center"/>
              <w:rPr>
                <w:rFonts w:ascii="仿宋" w:hAnsi="仿宋" w:eastAsia="仿宋" w:cs="仿宋"/>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p>
    <w:p>
      <w:pPr>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
          <w:b/>
          <w:color w:val="auto"/>
          <w:sz w:val="24"/>
          <w:highlight w:val="none"/>
        </w:rPr>
        <w:sectPr>
          <w:pgSz w:w="16838" w:h="11905" w:orient="landscape"/>
          <w:pgMar w:top="1814" w:right="1474" w:bottom="1814" w:left="1474" w:header="851" w:footer="850" w:gutter="0"/>
          <w:cols w:space="0" w:num="1"/>
          <w:docGrid w:linePitch="312" w:charSpace="0"/>
        </w:sect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5、特别说明：▲供应商报价低于项目预算50%的，应当在报价文件中详细阐述不影响产品质量或者诚信履约的具体原因，未做阐述说明的，投标无效。</w:t>
      </w:r>
    </w:p>
    <w:p>
      <w:pPr>
        <w:pStyle w:val="695"/>
        <w:keepNext w:val="0"/>
        <w:pageBreakBefore w:val="0"/>
        <w:tabs>
          <w:tab w:val="clear" w:pos="720"/>
        </w:tabs>
        <w:snapToGrid w:val="0"/>
        <w:spacing w:before="120" w:after="120"/>
        <w:ind w:firstLine="643"/>
        <w:outlineLvl w:val="9"/>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pPr>
        <w:widowControl/>
        <w:spacing w:line="360" w:lineRule="auto"/>
        <w:ind w:firstLine="120" w:firstLineChars="50"/>
        <w:jc w:val="left"/>
        <w:rPr>
          <w:rFonts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5"/>
        <w:keepNext w:val="0"/>
        <w:pageBreakBefore w:val="0"/>
        <w:tabs>
          <w:tab w:val="clear" w:pos="720"/>
        </w:tabs>
        <w:snapToGrid w:val="0"/>
        <w:spacing w:before="120" w:after="120"/>
        <w:ind w:firstLine="643"/>
        <w:outlineLvl w:val="9"/>
        <w:rPr>
          <w:rFonts w:ascii="仿宋" w:hAnsi="仿宋" w:eastAsia="仿宋" w:cs="仿宋"/>
          <w:b w:val="0"/>
          <w:color w:val="auto"/>
          <w:sz w:val="32"/>
          <w:szCs w:val="32"/>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spacing w:line="360" w:lineRule="auto"/>
        <w:ind w:right="420" w:firstLine="3614" w:firstLineChars="1000"/>
        <w:rPr>
          <w:rFonts w:ascii="仿宋" w:hAnsi="仿宋" w:eastAsia="仿宋" w:cs="仿宋"/>
          <w:b/>
          <w:color w:val="auto"/>
          <w:kern w:val="0"/>
          <w:sz w:val="36"/>
          <w:szCs w:val="36"/>
          <w:highlight w:val="none"/>
        </w:rPr>
      </w:pPr>
    </w:p>
    <w:p>
      <w:pPr>
        <w:pStyle w:val="2"/>
        <w:keepNext w:val="0"/>
        <w:keepLines w:val="0"/>
        <w:pageBreakBefore/>
        <w:widowControl/>
        <w:spacing w:before="100" w:beforeAutospacing="1" w:after="100" w:afterAutospacing="1" w:line="360" w:lineRule="auto"/>
        <w:ind w:left="1290" w:firstLine="3092" w:firstLineChars="700"/>
        <w:rPr>
          <w:rFonts w:ascii="仿宋" w:hAnsi="仿宋" w:eastAsia="仿宋" w:cs="仿宋"/>
          <w:color w:val="auto"/>
          <w:highlight w:val="none"/>
        </w:rPr>
      </w:pPr>
      <w:r>
        <w:rPr>
          <w:rFonts w:hint="eastAsia" w:ascii="仿宋" w:hAnsi="仿宋" w:eastAsia="仿宋" w:cs="仿宋"/>
          <w:color w:val="auto"/>
          <w:highlight w:val="none"/>
        </w:rPr>
        <w:t>附件</w:t>
      </w:r>
    </w:p>
    <w:p>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ascii="仿宋" w:hAnsi="仿宋" w:eastAsia="仿宋" w:cs="仿宋"/>
          <w:b/>
          <w:color w:val="auto"/>
          <w:spacing w:val="6"/>
          <w:sz w:val="32"/>
          <w:szCs w:val="32"/>
          <w:highlight w:val="none"/>
        </w:rPr>
      </w:pPr>
      <w:bookmarkStart w:id="545" w:name="OLE_LINK14"/>
      <w:bookmarkStart w:id="546" w:name="OLE_LINK13"/>
      <w:r>
        <w:rPr>
          <w:rFonts w:hint="eastAsia" w:ascii="仿宋" w:hAnsi="仿宋" w:eastAsia="仿宋" w:cs="仿宋"/>
          <w:b/>
          <w:color w:val="auto"/>
          <w:spacing w:val="6"/>
          <w:sz w:val="32"/>
          <w:szCs w:val="32"/>
          <w:highlight w:val="none"/>
        </w:rPr>
        <w:t>残疾人福利性单位声明函</w:t>
      </w:r>
    </w:p>
    <w:bookmarkEnd w:id="545"/>
    <w:bookmarkEnd w:id="546"/>
    <w:p>
      <w:pPr>
        <w:spacing w:line="360" w:lineRule="auto"/>
        <w:rPr>
          <w:rFonts w:ascii="仿宋" w:hAnsi="仿宋" w:eastAsia="仿宋" w:cs="仿宋"/>
          <w:b/>
          <w:color w:val="auto"/>
          <w:spacing w:val="6"/>
          <w:sz w:val="30"/>
          <w:szCs w:val="30"/>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ascii="仿宋" w:hAnsi="仿宋" w:eastAsia="仿宋" w:cs="仿宋"/>
          <w:color w:val="auto"/>
          <w:sz w:val="24"/>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auto"/>
          <w:sz w:val="30"/>
          <w:szCs w:val="30"/>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color w:val="auto"/>
          <w:sz w:val="24"/>
          <w:highlight w:val="none"/>
        </w:rPr>
      </w:pPr>
    </w:p>
    <w:p>
      <w:pPr>
        <w:autoSpaceDE w:val="0"/>
        <w:autoSpaceDN w:val="0"/>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ascii="仿宋" w:hAnsi="仿宋" w:eastAsia="仿宋" w:cs="仿宋"/>
          <w:color w:val="auto"/>
          <w:sz w:val="24"/>
          <w:highlight w:val="none"/>
          <w:u w:val="singl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rPr>
          <w:rFonts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47" w:name="_Hlk101131882"/>
      <w:r>
        <w:rPr>
          <w:rFonts w:hint="eastAsia" w:ascii="仿宋" w:hAnsi="仿宋" w:eastAsia="仿宋" w:cs="仿宋"/>
          <w:color w:val="auto"/>
          <w:kern w:val="0"/>
          <w:sz w:val="24"/>
          <w:highlight w:val="none"/>
          <w:u w:val="single"/>
        </w:rPr>
        <w:t>联合体成员X,……</w:t>
      </w:r>
      <w:bookmarkEnd w:id="547"/>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48"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48"/>
      <w:r>
        <w:rPr>
          <w:rFonts w:hint="eastAsia" w:ascii="仿宋" w:hAnsi="仿宋" w:eastAsia="仿宋" w:cs="仿宋"/>
          <w:b/>
          <w:color w:val="auto"/>
          <w:kern w:val="0"/>
          <w:sz w:val="24"/>
          <w:highlight w:val="none"/>
          <w:lang w:val="zh-CN"/>
        </w:rPr>
        <w:t>）</w:t>
      </w:r>
    </w:p>
    <w:p>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49"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49"/>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widowControl/>
        <w:adjustRightInd/>
        <w:jc w:val="left"/>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3"/>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pPr>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spacing w:line="360" w:lineRule="auto"/>
        <w:jc w:val="left"/>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pPr>
        <w:spacing w:line="360" w:lineRule="auto"/>
        <w:jc w:val="center"/>
        <w:rPr>
          <w:rFonts w:ascii="仿宋" w:hAnsi="仿宋" w:eastAsia="仿宋" w:cs="仿宋"/>
          <w:color w:val="auto"/>
          <w:sz w:val="24"/>
          <w:highlight w:val="none"/>
          <w:u w:val="single"/>
        </w:rPr>
      </w:pP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ascii="仿宋" w:hAnsi="仿宋" w:eastAsia="仿宋" w:cs="仿宋"/>
          <w:color w:val="auto"/>
          <w:sz w:val="24"/>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spacing w:line="360" w:lineRule="auto"/>
        <w:ind w:right="42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3"/>
        <w:rPr>
          <w:rFonts w:ascii="仿宋" w:eastAsia="仿宋" w:cs="仿宋"/>
          <w:color w:val="auto"/>
          <w:sz w:val="24"/>
          <w:highlight w:val="none"/>
        </w:rPr>
      </w:pPr>
      <w:r>
        <w:rPr>
          <w:rFonts w:hint="eastAsia" w:ascii="仿宋" w:eastAsia="仿宋" w:cs="仿宋"/>
          <w:color w:val="auto"/>
          <w:highlight w:val="none"/>
        </w:rPr>
        <w:t>附件</w:t>
      </w:r>
      <w:r>
        <w:rPr>
          <w:rFonts w:hint="eastAsia" w:ascii="仿宋" w:eastAsia="仿宋" w:cs="仿宋"/>
          <w:color w:val="auto"/>
          <w:highlight w:val="none"/>
          <w:lang w:val="en-US"/>
        </w:rPr>
        <w:t>8</w:t>
      </w:r>
      <w:r>
        <w:rPr>
          <w:rFonts w:hint="eastAsia" w:ascii="仿宋" w:eastAsia="仿宋" w:cs="仿宋"/>
          <w:color w:val="auto"/>
          <w:highlight w:val="none"/>
        </w:rPr>
        <w:t>样品（演示）授权委托书</w:t>
      </w:r>
    </w:p>
    <w:p>
      <w:pPr>
        <w:jc w:val="center"/>
        <w:rPr>
          <w:rFonts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pPr>
        <w:jc w:val="center"/>
        <w:rPr>
          <w:rFonts w:ascii="仿宋" w:hAnsi="仿宋" w:eastAsia="仿宋" w:cs="仿宋"/>
          <w:color w:val="auto"/>
          <w:sz w:val="40"/>
          <w:highlight w:val="none"/>
        </w:rPr>
      </w:pPr>
    </w:p>
    <w:p>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pPr>
        <w:snapToGrid w:val="0"/>
        <w:spacing w:line="360" w:lineRule="auto"/>
        <w:ind w:left="254" w:leftChars="121" w:firstLine="420" w:firstLineChars="200"/>
        <w:rPr>
          <w:rFonts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pPr>
        <w:snapToGrid w:val="0"/>
        <w:spacing w:line="360" w:lineRule="auto"/>
        <w:ind w:left="254" w:leftChars="121" w:firstLine="420" w:firstLineChars="200"/>
        <w:rPr>
          <w:rFonts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pPr>
        <w:snapToGrid w:val="0"/>
        <w:spacing w:line="360" w:lineRule="auto"/>
        <w:rPr>
          <w:rFonts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pPr>
        <w:snapToGrid w:val="0"/>
        <w:spacing w:line="360" w:lineRule="auto"/>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pPr>
        <w:snapToGrid w:val="0"/>
        <w:spacing w:line="360" w:lineRule="auto"/>
        <w:ind w:right="240"/>
        <w:jc w:val="right"/>
        <w:rPr>
          <w:rFonts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pPr>
        <w:snapToGrid w:val="0"/>
        <w:spacing w:line="360" w:lineRule="auto"/>
        <w:ind w:right="240"/>
        <w:jc w:val="right"/>
        <w:rPr>
          <w:rFonts w:ascii="仿宋" w:hAnsi="仿宋" w:eastAsia="仿宋" w:cs="仿宋"/>
          <w:color w:val="auto"/>
          <w:highlight w:val="none"/>
          <w:lang w:val="zh-CN"/>
        </w:rPr>
      </w:pPr>
    </w:p>
    <w:p>
      <w:pPr>
        <w:snapToGrid w:val="0"/>
        <w:spacing w:line="360" w:lineRule="auto"/>
        <w:ind w:right="1920"/>
        <w:rPr>
          <w:rFonts w:ascii="仿宋" w:hAnsi="仿宋" w:eastAsia="仿宋" w:cs="仿宋"/>
          <w:color w:val="auto"/>
          <w:highlight w:val="none"/>
          <w:lang w:val="zh-CN"/>
        </w:rPr>
      </w:pPr>
    </w:p>
    <w:p>
      <w:pPr>
        <w:snapToGrid w:val="0"/>
        <w:spacing w:line="360" w:lineRule="auto"/>
        <w:ind w:right="240"/>
        <w:jc w:val="right"/>
        <w:rPr>
          <w:rFonts w:ascii="仿宋" w:hAnsi="仿宋" w:eastAsia="仿宋" w:cs="仿宋"/>
          <w:color w:val="auto"/>
          <w:highlight w:val="none"/>
          <w:lang w:val="zh-CN"/>
        </w:rPr>
      </w:pPr>
    </w:p>
    <w:p>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pPr>
        <w:snapToGrid w:val="0"/>
        <w:spacing w:line="360" w:lineRule="auto"/>
        <w:ind w:right="240"/>
        <w:rPr>
          <w:rFonts w:ascii="仿宋" w:hAnsi="仿宋" w:eastAsia="仿宋" w:cs="仿宋"/>
          <w:color w:val="auto"/>
          <w:highlight w:val="none"/>
          <w:lang w:val="zh-CN"/>
        </w:rPr>
      </w:pPr>
    </w:p>
    <w:p>
      <w:pPr>
        <w:snapToGrid w:val="0"/>
        <w:spacing w:line="360" w:lineRule="auto"/>
        <w:ind w:right="240"/>
        <w:rPr>
          <w:rFonts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pPr>
        <w:spacing w:line="360" w:lineRule="auto"/>
        <w:rPr>
          <w:rFonts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pPr>
        <w:pStyle w:val="3"/>
        <w:rPr>
          <w:rFonts w:ascii="仿宋" w:eastAsia="仿宋" w:cs="仿宋"/>
          <w:color w:val="auto"/>
          <w:highlight w:val="none"/>
        </w:rPr>
      </w:pPr>
    </w:p>
    <w:p>
      <w:pPr>
        <w:spacing w:line="360" w:lineRule="auto"/>
        <w:jc w:val="center"/>
        <w:rPr>
          <w:rFonts w:ascii="仿宋" w:hAnsi="仿宋" w:eastAsia="仿宋" w:cs="仿宋"/>
          <w:b/>
          <w:color w:val="auto"/>
          <w:sz w:val="32"/>
          <w:szCs w:val="32"/>
          <w:highlight w:val="none"/>
        </w:rPr>
      </w:pPr>
    </w:p>
    <w:p>
      <w:pPr>
        <w:pStyle w:val="3"/>
        <w:rPr>
          <w:rFonts w:ascii="仿宋" w:eastAsia="仿宋" w:cs="仿宋"/>
          <w:color w:val="auto"/>
          <w:highlight w:val="none"/>
        </w:rPr>
      </w:pPr>
    </w:p>
    <w:p>
      <w:pPr>
        <w:pStyle w:val="3"/>
        <w:rPr>
          <w:rFonts w:ascii="仿宋" w:eastAsia="仿宋" w:cs="仿宋"/>
          <w:color w:val="auto"/>
          <w:highlight w:val="none"/>
          <w:lang w:val="en-US"/>
        </w:rPr>
      </w:pPr>
    </w:p>
    <w:p>
      <w:pPr>
        <w:spacing w:line="360" w:lineRule="auto"/>
        <w:ind w:right="420"/>
        <w:rPr>
          <w:rFonts w:ascii="仿宋" w:hAnsi="仿宋" w:eastAsia="仿宋" w:cs="仿宋"/>
          <w:color w:val="auto"/>
          <w:highlight w:val="none"/>
        </w:rPr>
      </w:pPr>
    </w:p>
    <w:p>
      <w:pPr>
        <w:spacing w:line="360" w:lineRule="auto"/>
        <w:rPr>
          <w:rFonts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5" w:h="16838"/>
      <w:pgMar w:top="1474" w:right="1814" w:bottom="1474" w:left="1814"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50" w:name="_Toc164085800"/>
    <w:bookmarkStart w:id="551" w:name="_Toc91899912"/>
    <w:bookmarkStart w:id="552" w:name="_Toc131845147"/>
    <w:bookmarkStart w:id="553" w:name="_Toc36110187"/>
    <w:r>
      <w:rPr>
        <w:rFonts w:hint="eastAsia" w:ascii="仿宋_GB2312" w:eastAsia="仿宋_GB2312"/>
        <w:kern w:val="0"/>
        <w:szCs w:val="21"/>
      </w:rPr>
      <w:t xml:space="preserve"> 页</w:t>
    </w:r>
    <w:bookmarkEnd w:id="550"/>
    <w:bookmarkEnd w:id="551"/>
    <w:bookmarkEnd w:id="552"/>
    <w:bookmarkEnd w:id="55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68AAAB"/>
    <w:multiLevelType w:val="singleLevel"/>
    <w:tmpl w:val="CC68AAAB"/>
    <w:lvl w:ilvl="0" w:tentative="0">
      <w:start w:val="2"/>
      <w:numFmt w:val="decimal"/>
      <w:suff w:val="nothing"/>
      <w:lvlText w:val="%1、"/>
      <w:lvlJc w:val="left"/>
    </w:lvl>
  </w:abstractNum>
  <w:abstractNum w:abstractNumId="1">
    <w:nsid w:val="1D155B99"/>
    <w:multiLevelType w:val="multilevel"/>
    <w:tmpl w:val="1D155B99"/>
    <w:lvl w:ilvl="0" w:tentative="0">
      <w:start w:val="1"/>
      <w:numFmt w:val="chineseCountingThousand"/>
      <w:pStyle w:val="970"/>
      <w:suff w:val="nothing"/>
      <w:lvlText w:val="%1、"/>
      <w:lvlJc w:val="left"/>
      <w:pPr>
        <w:ind w:left="0" w:firstLine="0"/>
      </w:pPr>
      <w:rPr>
        <w:rFonts w:hint="eastAsia"/>
      </w:rPr>
    </w:lvl>
    <w:lvl w:ilvl="1" w:tentative="0">
      <w:start w:val="1"/>
      <w:numFmt w:val="chineseCountingThousand"/>
      <w:pStyle w:val="971"/>
      <w:suff w:val="nothing"/>
      <w:lvlText w:val="（%2）"/>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2" w:tentative="0">
      <w:start w:val="1"/>
      <w:numFmt w:val="decimal"/>
      <w:pStyle w:val="972"/>
      <w:suff w:val="nothing"/>
      <w:lvlText w:val="%3."/>
      <w:lvlJc w:val="left"/>
      <w:pPr>
        <w:ind w:left="0" w:firstLine="0"/>
      </w:pPr>
      <w:rPr>
        <w:rFonts w:hint="eastAsia"/>
      </w:rPr>
    </w:lvl>
    <w:lvl w:ilvl="3" w:tentative="0">
      <w:start w:val="1"/>
      <w:numFmt w:val="decimal"/>
      <w:pStyle w:val="973"/>
      <w:suff w:val="nothing"/>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OGU3ZDU0OWE3MmIzNzlhNzdiMzBhNTdiYmI4YjIifQ=="/>
    <w:docVar w:name="KSO_WPS_MARK_KEY" w:val="5257709c-c18d-4580-b24f-3f0e849a4e73"/>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5593"/>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4AEB"/>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5A"/>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2EE2"/>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1AFA"/>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587"/>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0C4532"/>
    <w:rsid w:val="025F0711"/>
    <w:rsid w:val="026B2E25"/>
    <w:rsid w:val="02824D4D"/>
    <w:rsid w:val="02A824AD"/>
    <w:rsid w:val="02DC4B10"/>
    <w:rsid w:val="02DD76CE"/>
    <w:rsid w:val="02F36323"/>
    <w:rsid w:val="02F5619C"/>
    <w:rsid w:val="0326446A"/>
    <w:rsid w:val="032D5555"/>
    <w:rsid w:val="03527BB3"/>
    <w:rsid w:val="036634D2"/>
    <w:rsid w:val="03DD35E4"/>
    <w:rsid w:val="04076900"/>
    <w:rsid w:val="041A5A3B"/>
    <w:rsid w:val="042311BA"/>
    <w:rsid w:val="042A28FC"/>
    <w:rsid w:val="042B157A"/>
    <w:rsid w:val="04586295"/>
    <w:rsid w:val="04597DD6"/>
    <w:rsid w:val="04787C5D"/>
    <w:rsid w:val="048F763B"/>
    <w:rsid w:val="049F330E"/>
    <w:rsid w:val="04AA775C"/>
    <w:rsid w:val="04AF1889"/>
    <w:rsid w:val="04F25C61"/>
    <w:rsid w:val="04F66F48"/>
    <w:rsid w:val="05043453"/>
    <w:rsid w:val="05251E14"/>
    <w:rsid w:val="054A7CBC"/>
    <w:rsid w:val="05A16594"/>
    <w:rsid w:val="05A7762D"/>
    <w:rsid w:val="05D610DF"/>
    <w:rsid w:val="060E5941"/>
    <w:rsid w:val="06110FAF"/>
    <w:rsid w:val="063D2F0C"/>
    <w:rsid w:val="06493CA7"/>
    <w:rsid w:val="065A6178"/>
    <w:rsid w:val="066F1CF3"/>
    <w:rsid w:val="068708E0"/>
    <w:rsid w:val="06930BB8"/>
    <w:rsid w:val="06F965AD"/>
    <w:rsid w:val="07245D42"/>
    <w:rsid w:val="07264C62"/>
    <w:rsid w:val="0764344E"/>
    <w:rsid w:val="0779354C"/>
    <w:rsid w:val="07D77390"/>
    <w:rsid w:val="08061376"/>
    <w:rsid w:val="082859F4"/>
    <w:rsid w:val="083966C8"/>
    <w:rsid w:val="08452D77"/>
    <w:rsid w:val="086401F8"/>
    <w:rsid w:val="08690DEE"/>
    <w:rsid w:val="08751CAA"/>
    <w:rsid w:val="087E4C40"/>
    <w:rsid w:val="089808CE"/>
    <w:rsid w:val="08A871D0"/>
    <w:rsid w:val="08CE4BCA"/>
    <w:rsid w:val="08D66AD6"/>
    <w:rsid w:val="08DA33A3"/>
    <w:rsid w:val="08E55536"/>
    <w:rsid w:val="08E80F13"/>
    <w:rsid w:val="09335624"/>
    <w:rsid w:val="0944690F"/>
    <w:rsid w:val="09524F20"/>
    <w:rsid w:val="09535675"/>
    <w:rsid w:val="095F057D"/>
    <w:rsid w:val="09642282"/>
    <w:rsid w:val="09733572"/>
    <w:rsid w:val="09772C16"/>
    <w:rsid w:val="098353B5"/>
    <w:rsid w:val="09A92330"/>
    <w:rsid w:val="09B06B87"/>
    <w:rsid w:val="09C13146"/>
    <w:rsid w:val="09E04166"/>
    <w:rsid w:val="0A1C0718"/>
    <w:rsid w:val="0A3E7710"/>
    <w:rsid w:val="0A45627C"/>
    <w:rsid w:val="0A5B7E63"/>
    <w:rsid w:val="0A8B721F"/>
    <w:rsid w:val="0AA374A5"/>
    <w:rsid w:val="0AAB7649"/>
    <w:rsid w:val="0ABC5606"/>
    <w:rsid w:val="0B172054"/>
    <w:rsid w:val="0B30404E"/>
    <w:rsid w:val="0B4C6C14"/>
    <w:rsid w:val="0B547599"/>
    <w:rsid w:val="0B631A88"/>
    <w:rsid w:val="0B683D45"/>
    <w:rsid w:val="0B7F3F11"/>
    <w:rsid w:val="0B84338B"/>
    <w:rsid w:val="0B884417"/>
    <w:rsid w:val="0BC12EA6"/>
    <w:rsid w:val="0BF6188C"/>
    <w:rsid w:val="0BF73C91"/>
    <w:rsid w:val="0C170175"/>
    <w:rsid w:val="0C344DB1"/>
    <w:rsid w:val="0C571A41"/>
    <w:rsid w:val="0C5C1171"/>
    <w:rsid w:val="0C5E1CBC"/>
    <w:rsid w:val="0C615B50"/>
    <w:rsid w:val="0C741652"/>
    <w:rsid w:val="0C8445DA"/>
    <w:rsid w:val="0C87121B"/>
    <w:rsid w:val="0CC007F7"/>
    <w:rsid w:val="0CC617AC"/>
    <w:rsid w:val="0CE618DF"/>
    <w:rsid w:val="0CF84031"/>
    <w:rsid w:val="0CFE707A"/>
    <w:rsid w:val="0D063BDA"/>
    <w:rsid w:val="0D08375F"/>
    <w:rsid w:val="0D184CFB"/>
    <w:rsid w:val="0D4A7419"/>
    <w:rsid w:val="0D6C40D7"/>
    <w:rsid w:val="0D827401"/>
    <w:rsid w:val="0D84094E"/>
    <w:rsid w:val="0D8A00E9"/>
    <w:rsid w:val="0D8D589E"/>
    <w:rsid w:val="0DA01C73"/>
    <w:rsid w:val="0DD63300"/>
    <w:rsid w:val="0DDE0993"/>
    <w:rsid w:val="0DF50604"/>
    <w:rsid w:val="0DF702FE"/>
    <w:rsid w:val="0E060E51"/>
    <w:rsid w:val="0E5604B2"/>
    <w:rsid w:val="0E601E8E"/>
    <w:rsid w:val="0E6D5D79"/>
    <w:rsid w:val="0E9D0089"/>
    <w:rsid w:val="0EB803EE"/>
    <w:rsid w:val="0ECF2B6F"/>
    <w:rsid w:val="0EF94D4B"/>
    <w:rsid w:val="0F4958DC"/>
    <w:rsid w:val="0F515DF7"/>
    <w:rsid w:val="0F530AEF"/>
    <w:rsid w:val="0F596BA8"/>
    <w:rsid w:val="0F6248D2"/>
    <w:rsid w:val="0F693536"/>
    <w:rsid w:val="0F7B0511"/>
    <w:rsid w:val="0F7B76D9"/>
    <w:rsid w:val="0F816ACD"/>
    <w:rsid w:val="0F9832DB"/>
    <w:rsid w:val="0FAA198D"/>
    <w:rsid w:val="0FBF3FD2"/>
    <w:rsid w:val="0FBF7FF3"/>
    <w:rsid w:val="0FD52407"/>
    <w:rsid w:val="10646583"/>
    <w:rsid w:val="107D4B15"/>
    <w:rsid w:val="108A3C80"/>
    <w:rsid w:val="10C26171"/>
    <w:rsid w:val="10F33360"/>
    <w:rsid w:val="10FC16EA"/>
    <w:rsid w:val="110F1D40"/>
    <w:rsid w:val="11266F33"/>
    <w:rsid w:val="114F7C08"/>
    <w:rsid w:val="11595441"/>
    <w:rsid w:val="118963A1"/>
    <w:rsid w:val="11C6522A"/>
    <w:rsid w:val="11CC15E8"/>
    <w:rsid w:val="11E104CC"/>
    <w:rsid w:val="11E20309"/>
    <w:rsid w:val="11FD16EA"/>
    <w:rsid w:val="12255233"/>
    <w:rsid w:val="12530213"/>
    <w:rsid w:val="127723A9"/>
    <w:rsid w:val="12862074"/>
    <w:rsid w:val="12883966"/>
    <w:rsid w:val="129E45B4"/>
    <w:rsid w:val="12D81596"/>
    <w:rsid w:val="13072A44"/>
    <w:rsid w:val="135F4BE2"/>
    <w:rsid w:val="139B1A0A"/>
    <w:rsid w:val="139D25C7"/>
    <w:rsid w:val="13AA292F"/>
    <w:rsid w:val="13BF3CE4"/>
    <w:rsid w:val="13C7650B"/>
    <w:rsid w:val="141008D8"/>
    <w:rsid w:val="14101C60"/>
    <w:rsid w:val="14125FE6"/>
    <w:rsid w:val="14333BA0"/>
    <w:rsid w:val="14397409"/>
    <w:rsid w:val="14537D9F"/>
    <w:rsid w:val="146D271E"/>
    <w:rsid w:val="14830684"/>
    <w:rsid w:val="14982588"/>
    <w:rsid w:val="149A5AD9"/>
    <w:rsid w:val="14A7619D"/>
    <w:rsid w:val="14CF72EE"/>
    <w:rsid w:val="14E05AD6"/>
    <w:rsid w:val="150536C3"/>
    <w:rsid w:val="150C1963"/>
    <w:rsid w:val="151447A0"/>
    <w:rsid w:val="154A6454"/>
    <w:rsid w:val="15581B10"/>
    <w:rsid w:val="155E2E9F"/>
    <w:rsid w:val="15762120"/>
    <w:rsid w:val="15C10692"/>
    <w:rsid w:val="15D26096"/>
    <w:rsid w:val="15E413E9"/>
    <w:rsid w:val="15F8056F"/>
    <w:rsid w:val="1632430B"/>
    <w:rsid w:val="1658169C"/>
    <w:rsid w:val="16A76131"/>
    <w:rsid w:val="16A8729C"/>
    <w:rsid w:val="16B33777"/>
    <w:rsid w:val="16BC70A7"/>
    <w:rsid w:val="16C6339E"/>
    <w:rsid w:val="171714B4"/>
    <w:rsid w:val="172F2D79"/>
    <w:rsid w:val="17557BEF"/>
    <w:rsid w:val="17591B70"/>
    <w:rsid w:val="175A6F0B"/>
    <w:rsid w:val="17906725"/>
    <w:rsid w:val="179F64A3"/>
    <w:rsid w:val="17A06CA0"/>
    <w:rsid w:val="17D349C1"/>
    <w:rsid w:val="18273E31"/>
    <w:rsid w:val="1830729E"/>
    <w:rsid w:val="1870062C"/>
    <w:rsid w:val="18817102"/>
    <w:rsid w:val="18830A15"/>
    <w:rsid w:val="18852B28"/>
    <w:rsid w:val="188B5321"/>
    <w:rsid w:val="189E35C3"/>
    <w:rsid w:val="18F5633C"/>
    <w:rsid w:val="19734244"/>
    <w:rsid w:val="19932372"/>
    <w:rsid w:val="19A20DD5"/>
    <w:rsid w:val="19AE03F1"/>
    <w:rsid w:val="19FB2A30"/>
    <w:rsid w:val="1A071A03"/>
    <w:rsid w:val="1A105FAD"/>
    <w:rsid w:val="1A1F16AE"/>
    <w:rsid w:val="1A3B5C77"/>
    <w:rsid w:val="1A5C0BAB"/>
    <w:rsid w:val="1A984BAD"/>
    <w:rsid w:val="1AB22ED1"/>
    <w:rsid w:val="1AB8220E"/>
    <w:rsid w:val="1ADF78A4"/>
    <w:rsid w:val="1AE4166C"/>
    <w:rsid w:val="1AF06CFB"/>
    <w:rsid w:val="1AF11B8D"/>
    <w:rsid w:val="1B11359C"/>
    <w:rsid w:val="1B2A271F"/>
    <w:rsid w:val="1B373F76"/>
    <w:rsid w:val="1B530544"/>
    <w:rsid w:val="1B713184"/>
    <w:rsid w:val="1BA209CF"/>
    <w:rsid w:val="1BA91683"/>
    <w:rsid w:val="1BB4777D"/>
    <w:rsid w:val="1BD75AB8"/>
    <w:rsid w:val="1C0459C2"/>
    <w:rsid w:val="1C1B3B4A"/>
    <w:rsid w:val="1C2144EA"/>
    <w:rsid w:val="1C572D49"/>
    <w:rsid w:val="1C8132D9"/>
    <w:rsid w:val="1C88086E"/>
    <w:rsid w:val="1D266CE1"/>
    <w:rsid w:val="1D3963AF"/>
    <w:rsid w:val="1D6A673C"/>
    <w:rsid w:val="1D7E2045"/>
    <w:rsid w:val="1D85546D"/>
    <w:rsid w:val="1D9247AE"/>
    <w:rsid w:val="1D9E68BF"/>
    <w:rsid w:val="1DA674CF"/>
    <w:rsid w:val="1DB567EC"/>
    <w:rsid w:val="1DC70DB3"/>
    <w:rsid w:val="1DD957B9"/>
    <w:rsid w:val="1DF51A98"/>
    <w:rsid w:val="1DFF3EF7"/>
    <w:rsid w:val="1E3D060F"/>
    <w:rsid w:val="1E3F7D2E"/>
    <w:rsid w:val="1E4134E4"/>
    <w:rsid w:val="1E430E84"/>
    <w:rsid w:val="1E5062B3"/>
    <w:rsid w:val="1E523514"/>
    <w:rsid w:val="1E714A66"/>
    <w:rsid w:val="1E802593"/>
    <w:rsid w:val="1E8B6156"/>
    <w:rsid w:val="1EA703CC"/>
    <w:rsid w:val="1EB7330C"/>
    <w:rsid w:val="1ECC70CB"/>
    <w:rsid w:val="1F0A0FF3"/>
    <w:rsid w:val="1F5771FF"/>
    <w:rsid w:val="1FD52DD5"/>
    <w:rsid w:val="1FD61FB0"/>
    <w:rsid w:val="1FE868A9"/>
    <w:rsid w:val="20034907"/>
    <w:rsid w:val="20173E4B"/>
    <w:rsid w:val="204E48BC"/>
    <w:rsid w:val="2063580D"/>
    <w:rsid w:val="208921B3"/>
    <w:rsid w:val="20973DEB"/>
    <w:rsid w:val="20A07A41"/>
    <w:rsid w:val="20B26522"/>
    <w:rsid w:val="20B44310"/>
    <w:rsid w:val="211116EB"/>
    <w:rsid w:val="212B09E9"/>
    <w:rsid w:val="214365FF"/>
    <w:rsid w:val="216133FC"/>
    <w:rsid w:val="2185666F"/>
    <w:rsid w:val="21995BED"/>
    <w:rsid w:val="21D56769"/>
    <w:rsid w:val="21E52EF3"/>
    <w:rsid w:val="21FB5D7B"/>
    <w:rsid w:val="21FC438C"/>
    <w:rsid w:val="22015E94"/>
    <w:rsid w:val="220B1C3D"/>
    <w:rsid w:val="221D1D20"/>
    <w:rsid w:val="22334A87"/>
    <w:rsid w:val="2250669D"/>
    <w:rsid w:val="229572A4"/>
    <w:rsid w:val="22BE6801"/>
    <w:rsid w:val="22C473DD"/>
    <w:rsid w:val="22D30A28"/>
    <w:rsid w:val="233500BF"/>
    <w:rsid w:val="23377FF7"/>
    <w:rsid w:val="23481ECF"/>
    <w:rsid w:val="236B425F"/>
    <w:rsid w:val="23836192"/>
    <w:rsid w:val="23901F29"/>
    <w:rsid w:val="239C0061"/>
    <w:rsid w:val="23B908A4"/>
    <w:rsid w:val="23E95BEF"/>
    <w:rsid w:val="23FD0064"/>
    <w:rsid w:val="240833C5"/>
    <w:rsid w:val="24465B9C"/>
    <w:rsid w:val="245375B0"/>
    <w:rsid w:val="24642C0A"/>
    <w:rsid w:val="24B22173"/>
    <w:rsid w:val="24B95AD9"/>
    <w:rsid w:val="24BE24DA"/>
    <w:rsid w:val="24CF5825"/>
    <w:rsid w:val="24D663E6"/>
    <w:rsid w:val="24D77F2B"/>
    <w:rsid w:val="24DC58F8"/>
    <w:rsid w:val="24F44C86"/>
    <w:rsid w:val="25346245"/>
    <w:rsid w:val="258B00E2"/>
    <w:rsid w:val="25A917A6"/>
    <w:rsid w:val="25BE27CC"/>
    <w:rsid w:val="25F74A5C"/>
    <w:rsid w:val="2628662C"/>
    <w:rsid w:val="262D45DE"/>
    <w:rsid w:val="26320CB5"/>
    <w:rsid w:val="26871DC8"/>
    <w:rsid w:val="26A53EF9"/>
    <w:rsid w:val="26A94201"/>
    <w:rsid w:val="26AC274F"/>
    <w:rsid w:val="27044A29"/>
    <w:rsid w:val="271D34C8"/>
    <w:rsid w:val="276142BF"/>
    <w:rsid w:val="27783712"/>
    <w:rsid w:val="27907362"/>
    <w:rsid w:val="27F356C9"/>
    <w:rsid w:val="27FB28B3"/>
    <w:rsid w:val="281E41C7"/>
    <w:rsid w:val="28333E1D"/>
    <w:rsid w:val="283664FC"/>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48542E"/>
    <w:rsid w:val="2A5C7555"/>
    <w:rsid w:val="2A6D6092"/>
    <w:rsid w:val="2A7D76B4"/>
    <w:rsid w:val="2AFF06CE"/>
    <w:rsid w:val="2B2B2C92"/>
    <w:rsid w:val="2B437463"/>
    <w:rsid w:val="2B5C1EA9"/>
    <w:rsid w:val="2B5D2C79"/>
    <w:rsid w:val="2B7807EE"/>
    <w:rsid w:val="2B9612C1"/>
    <w:rsid w:val="2BA50BF7"/>
    <w:rsid w:val="2BBF00EC"/>
    <w:rsid w:val="2BC37CFD"/>
    <w:rsid w:val="2BD5237F"/>
    <w:rsid w:val="2BE536CE"/>
    <w:rsid w:val="2BE758D9"/>
    <w:rsid w:val="2C09049E"/>
    <w:rsid w:val="2C0A653C"/>
    <w:rsid w:val="2C191F85"/>
    <w:rsid w:val="2CCB6C14"/>
    <w:rsid w:val="2CD71115"/>
    <w:rsid w:val="2CE82D6F"/>
    <w:rsid w:val="2D2D342B"/>
    <w:rsid w:val="2D343236"/>
    <w:rsid w:val="2D5D77B5"/>
    <w:rsid w:val="2D5E3D75"/>
    <w:rsid w:val="2D744BB6"/>
    <w:rsid w:val="2DC11207"/>
    <w:rsid w:val="2DD15014"/>
    <w:rsid w:val="2DE77219"/>
    <w:rsid w:val="2DF72DE4"/>
    <w:rsid w:val="2E0220AF"/>
    <w:rsid w:val="2E4B082A"/>
    <w:rsid w:val="2E5073D1"/>
    <w:rsid w:val="2E5D4E86"/>
    <w:rsid w:val="2E5D790B"/>
    <w:rsid w:val="2E8A2CE0"/>
    <w:rsid w:val="2E9A3C18"/>
    <w:rsid w:val="2EB931C8"/>
    <w:rsid w:val="2EBB0FEE"/>
    <w:rsid w:val="2EC63002"/>
    <w:rsid w:val="2ED31DB0"/>
    <w:rsid w:val="2F0A6B38"/>
    <w:rsid w:val="2F3C5BA7"/>
    <w:rsid w:val="2F57478F"/>
    <w:rsid w:val="2F5F62B2"/>
    <w:rsid w:val="2F9277E9"/>
    <w:rsid w:val="2F946CCB"/>
    <w:rsid w:val="2FD25781"/>
    <w:rsid w:val="2FDC745C"/>
    <w:rsid w:val="2FFD7934"/>
    <w:rsid w:val="30733ACD"/>
    <w:rsid w:val="308C3862"/>
    <w:rsid w:val="309379D8"/>
    <w:rsid w:val="30A270F7"/>
    <w:rsid w:val="30DF1478"/>
    <w:rsid w:val="30E55C3A"/>
    <w:rsid w:val="30EC586F"/>
    <w:rsid w:val="314550B7"/>
    <w:rsid w:val="31540F86"/>
    <w:rsid w:val="319C6071"/>
    <w:rsid w:val="31AC537E"/>
    <w:rsid w:val="31BD4C5C"/>
    <w:rsid w:val="31E3679B"/>
    <w:rsid w:val="31E732FD"/>
    <w:rsid w:val="32517576"/>
    <w:rsid w:val="325B6344"/>
    <w:rsid w:val="32690A61"/>
    <w:rsid w:val="32BE5C2C"/>
    <w:rsid w:val="32FB6478"/>
    <w:rsid w:val="33263B3F"/>
    <w:rsid w:val="332B3F69"/>
    <w:rsid w:val="336963EB"/>
    <w:rsid w:val="33816EEB"/>
    <w:rsid w:val="339B7340"/>
    <w:rsid w:val="33EB55CD"/>
    <w:rsid w:val="33EC4C02"/>
    <w:rsid w:val="340D2360"/>
    <w:rsid w:val="3410665D"/>
    <w:rsid w:val="34211214"/>
    <w:rsid w:val="342E63AB"/>
    <w:rsid w:val="34950E68"/>
    <w:rsid w:val="34986E94"/>
    <w:rsid w:val="34AF62C9"/>
    <w:rsid w:val="34CB4388"/>
    <w:rsid w:val="34E22381"/>
    <w:rsid w:val="34FA6E12"/>
    <w:rsid w:val="35325A82"/>
    <w:rsid w:val="354D7158"/>
    <w:rsid w:val="358D5588"/>
    <w:rsid w:val="35A078AF"/>
    <w:rsid w:val="35B50461"/>
    <w:rsid w:val="35B93AAE"/>
    <w:rsid w:val="363A3B40"/>
    <w:rsid w:val="365302AE"/>
    <w:rsid w:val="36607A0A"/>
    <w:rsid w:val="366E227C"/>
    <w:rsid w:val="366F2E0D"/>
    <w:rsid w:val="367B6A5C"/>
    <w:rsid w:val="369C1006"/>
    <w:rsid w:val="36A74ADA"/>
    <w:rsid w:val="36AD60D5"/>
    <w:rsid w:val="36B224F9"/>
    <w:rsid w:val="36EC0CC9"/>
    <w:rsid w:val="370211A7"/>
    <w:rsid w:val="370E06AE"/>
    <w:rsid w:val="37212991"/>
    <w:rsid w:val="37321D6A"/>
    <w:rsid w:val="373F410B"/>
    <w:rsid w:val="37EE7094"/>
    <w:rsid w:val="38296C89"/>
    <w:rsid w:val="383002EB"/>
    <w:rsid w:val="38345DEB"/>
    <w:rsid w:val="38586797"/>
    <w:rsid w:val="3862042D"/>
    <w:rsid w:val="387E301A"/>
    <w:rsid w:val="38BC0149"/>
    <w:rsid w:val="38D87D1C"/>
    <w:rsid w:val="39416E46"/>
    <w:rsid w:val="39636459"/>
    <w:rsid w:val="396B7F6C"/>
    <w:rsid w:val="39A959E1"/>
    <w:rsid w:val="39B417A9"/>
    <w:rsid w:val="39FC5695"/>
    <w:rsid w:val="3A006D8E"/>
    <w:rsid w:val="3A3651E5"/>
    <w:rsid w:val="3A744481"/>
    <w:rsid w:val="3A8C7BEF"/>
    <w:rsid w:val="3A906246"/>
    <w:rsid w:val="3AF7E610"/>
    <w:rsid w:val="3B232182"/>
    <w:rsid w:val="3B2349B7"/>
    <w:rsid w:val="3B616CFF"/>
    <w:rsid w:val="3B6259F6"/>
    <w:rsid w:val="3B976654"/>
    <w:rsid w:val="3BC01EFC"/>
    <w:rsid w:val="3BCA786A"/>
    <w:rsid w:val="3BD31E2F"/>
    <w:rsid w:val="3BED702C"/>
    <w:rsid w:val="3BF15831"/>
    <w:rsid w:val="3C105946"/>
    <w:rsid w:val="3C3F0A85"/>
    <w:rsid w:val="3C463BC1"/>
    <w:rsid w:val="3C471448"/>
    <w:rsid w:val="3C5F6A31"/>
    <w:rsid w:val="3C5F759A"/>
    <w:rsid w:val="3C6C21B7"/>
    <w:rsid w:val="3C6C525A"/>
    <w:rsid w:val="3CCE23CB"/>
    <w:rsid w:val="3CD17D17"/>
    <w:rsid w:val="3D107AC3"/>
    <w:rsid w:val="3D3C7F39"/>
    <w:rsid w:val="3D440F09"/>
    <w:rsid w:val="3D4504A0"/>
    <w:rsid w:val="3D8734BB"/>
    <w:rsid w:val="3D9A11D4"/>
    <w:rsid w:val="3DA16D89"/>
    <w:rsid w:val="3DA364BE"/>
    <w:rsid w:val="3DE041CB"/>
    <w:rsid w:val="3E0071E2"/>
    <w:rsid w:val="3E0D48F6"/>
    <w:rsid w:val="3E1868B4"/>
    <w:rsid w:val="3E30329A"/>
    <w:rsid w:val="3E377251"/>
    <w:rsid w:val="3E42664B"/>
    <w:rsid w:val="3E5A7334"/>
    <w:rsid w:val="3E7B5D6B"/>
    <w:rsid w:val="3E843E66"/>
    <w:rsid w:val="3E8F51FE"/>
    <w:rsid w:val="3E926F87"/>
    <w:rsid w:val="3E9A59DE"/>
    <w:rsid w:val="3EAF4836"/>
    <w:rsid w:val="3EC33DFA"/>
    <w:rsid w:val="3EDB2CE7"/>
    <w:rsid w:val="3EF9DF22"/>
    <w:rsid w:val="3F060E16"/>
    <w:rsid w:val="3F1D1096"/>
    <w:rsid w:val="3F1F0523"/>
    <w:rsid w:val="3F2B0563"/>
    <w:rsid w:val="3F2F0234"/>
    <w:rsid w:val="3F4343E8"/>
    <w:rsid w:val="3F6363FE"/>
    <w:rsid w:val="3F756B8F"/>
    <w:rsid w:val="3F77BA1B"/>
    <w:rsid w:val="3F95482B"/>
    <w:rsid w:val="3FC65745"/>
    <w:rsid w:val="4019356B"/>
    <w:rsid w:val="403719AB"/>
    <w:rsid w:val="40592157"/>
    <w:rsid w:val="406E1CAE"/>
    <w:rsid w:val="40A0133A"/>
    <w:rsid w:val="40C31A53"/>
    <w:rsid w:val="40FF545D"/>
    <w:rsid w:val="410067C8"/>
    <w:rsid w:val="410A77AA"/>
    <w:rsid w:val="41477D6F"/>
    <w:rsid w:val="41727207"/>
    <w:rsid w:val="418F0D2A"/>
    <w:rsid w:val="4192572D"/>
    <w:rsid w:val="41AC203A"/>
    <w:rsid w:val="41CF6407"/>
    <w:rsid w:val="41D01505"/>
    <w:rsid w:val="42474939"/>
    <w:rsid w:val="424C3C57"/>
    <w:rsid w:val="42613FF3"/>
    <w:rsid w:val="42660D96"/>
    <w:rsid w:val="428667D2"/>
    <w:rsid w:val="42870675"/>
    <w:rsid w:val="42A25408"/>
    <w:rsid w:val="42CD1CE0"/>
    <w:rsid w:val="42E1381E"/>
    <w:rsid w:val="42ED6459"/>
    <w:rsid w:val="42FE58DD"/>
    <w:rsid w:val="43174B3D"/>
    <w:rsid w:val="434B790E"/>
    <w:rsid w:val="4360274F"/>
    <w:rsid w:val="43977AB6"/>
    <w:rsid w:val="43A05A63"/>
    <w:rsid w:val="43A3342B"/>
    <w:rsid w:val="43B33757"/>
    <w:rsid w:val="43C77C27"/>
    <w:rsid w:val="43D47D05"/>
    <w:rsid w:val="43DE09EE"/>
    <w:rsid w:val="43DE403C"/>
    <w:rsid w:val="44002FAD"/>
    <w:rsid w:val="449101DD"/>
    <w:rsid w:val="44935E12"/>
    <w:rsid w:val="44B76A10"/>
    <w:rsid w:val="44DE1391"/>
    <w:rsid w:val="45173BC9"/>
    <w:rsid w:val="451B225C"/>
    <w:rsid w:val="452410C9"/>
    <w:rsid w:val="45317DFB"/>
    <w:rsid w:val="45357B6A"/>
    <w:rsid w:val="456D3CE4"/>
    <w:rsid w:val="4579042C"/>
    <w:rsid w:val="457F0571"/>
    <w:rsid w:val="45851176"/>
    <w:rsid w:val="45C5401A"/>
    <w:rsid w:val="45C63B94"/>
    <w:rsid w:val="460776E6"/>
    <w:rsid w:val="460E7DA5"/>
    <w:rsid w:val="46146ADE"/>
    <w:rsid w:val="46422483"/>
    <w:rsid w:val="4659254A"/>
    <w:rsid w:val="465B0637"/>
    <w:rsid w:val="465E3F0D"/>
    <w:rsid w:val="466A16E6"/>
    <w:rsid w:val="46893F2B"/>
    <w:rsid w:val="469B4984"/>
    <w:rsid w:val="46B03C4D"/>
    <w:rsid w:val="46C329DE"/>
    <w:rsid w:val="46C4686E"/>
    <w:rsid w:val="46ED7B48"/>
    <w:rsid w:val="473B2093"/>
    <w:rsid w:val="47762BB7"/>
    <w:rsid w:val="477B778F"/>
    <w:rsid w:val="478203EC"/>
    <w:rsid w:val="47B025FA"/>
    <w:rsid w:val="47CA56A6"/>
    <w:rsid w:val="4809698F"/>
    <w:rsid w:val="4811697D"/>
    <w:rsid w:val="482A25E9"/>
    <w:rsid w:val="4850203D"/>
    <w:rsid w:val="485C2CF3"/>
    <w:rsid w:val="487A3E25"/>
    <w:rsid w:val="488B5503"/>
    <w:rsid w:val="48937E21"/>
    <w:rsid w:val="489A0361"/>
    <w:rsid w:val="489F4D85"/>
    <w:rsid w:val="48B94FF3"/>
    <w:rsid w:val="48E37AAB"/>
    <w:rsid w:val="48FD4B4C"/>
    <w:rsid w:val="490A68E0"/>
    <w:rsid w:val="490B5A3B"/>
    <w:rsid w:val="490E1F0B"/>
    <w:rsid w:val="491055FE"/>
    <w:rsid w:val="495F5B3E"/>
    <w:rsid w:val="496F77D7"/>
    <w:rsid w:val="497654FD"/>
    <w:rsid w:val="49A5461D"/>
    <w:rsid w:val="49B64211"/>
    <w:rsid w:val="49E56AF9"/>
    <w:rsid w:val="49F6167F"/>
    <w:rsid w:val="4A064FA0"/>
    <w:rsid w:val="4A16615C"/>
    <w:rsid w:val="4A404886"/>
    <w:rsid w:val="4A421E6C"/>
    <w:rsid w:val="4A4424D7"/>
    <w:rsid w:val="4A5D4EF8"/>
    <w:rsid w:val="4A712751"/>
    <w:rsid w:val="4AB82D0F"/>
    <w:rsid w:val="4AEB7664"/>
    <w:rsid w:val="4AFD7C19"/>
    <w:rsid w:val="4B0567D1"/>
    <w:rsid w:val="4B236AAE"/>
    <w:rsid w:val="4B363761"/>
    <w:rsid w:val="4B5D4D06"/>
    <w:rsid w:val="4B707271"/>
    <w:rsid w:val="4B9739F7"/>
    <w:rsid w:val="4BBC79FC"/>
    <w:rsid w:val="4BD8136C"/>
    <w:rsid w:val="4BEE2503"/>
    <w:rsid w:val="4C245A30"/>
    <w:rsid w:val="4CB6685F"/>
    <w:rsid w:val="4CC367FE"/>
    <w:rsid w:val="4D077F3C"/>
    <w:rsid w:val="4D123355"/>
    <w:rsid w:val="4D1954E3"/>
    <w:rsid w:val="4D2A3B31"/>
    <w:rsid w:val="4D2E05F7"/>
    <w:rsid w:val="4D312C52"/>
    <w:rsid w:val="4D5119CE"/>
    <w:rsid w:val="4D714816"/>
    <w:rsid w:val="4D905305"/>
    <w:rsid w:val="4D964A72"/>
    <w:rsid w:val="4D9C1254"/>
    <w:rsid w:val="4E0C3682"/>
    <w:rsid w:val="4E793892"/>
    <w:rsid w:val="4E800872"/>
    <w:rsid w:val="4EC569ED"/>
    <w:rsid w:val="4ED50EA1"/>
    <w:rsid w:val="4EE7682A"/>
    <w:rsid w:val="4EEC050C"/>
    <w:rsid w:val="4F104EC3"/>
    <w:rsid w:val="4F1D61FF"/>
    <w:rsid w:val="4F47354A"/>
    <w:rsid w:val="4F7A3E56"/>
    <w:rsid w:val="4F8D0797"/>
    <w:rsid w:val="4F911C54"/>
    <w:rsid w:val="4FE625E0"/>
    <w:rsid w:val="5021480F"/>
    <w:rsid w:val="50962ECB"/>
    <w:rsid w:val="50A42E38"/>
    <w:rsid w:val="50A4577F"/>
    <w:rsid w:val="50B73D1F"/>
    <w:rsid w:val="50BD5BC9"/>
    <w:rsid w:val="50C11EEE"/>
    <w:rsid w:val="50E97CFC"/>
    <w:rsid w:val="50FA4028"/>
    <w:rsid w:val="510D65B7"/>
    <w:rsid w:val="511157AB"/>
    <w:rsid w:val="5142540C"/>
    <w:rsid w:val="51510BE7"/>
    <w:rsid w:val="518832C8"/>
    <w:rsid w:val="519D3C50"/>
    <w:rsid w:val="51A0432A"/>
    <w:rsid w:val="51A86090"/>
    <w:rsid w:val="51B7396D"/>
    <w:rsid w:val="522E4CC3"/>
    <w:rsid w:val="523135B4"/>
    <w:rsid w:val="5244713B"/>
    <w:rsid w:val="52615633"/>
    <w:rsid w:val="526F4DE4"/>
    <w:rsid w:val="52977FD4"/>
    <w:rsid w:val="52A25790"/>
    <w:rsid w:val="52A96B6F"/>
    <w:rsid w:val="52B45975"/>
    <w:rsid w:val="52D94AA4"/>
    <w:rsid w:val="52E066C6"/>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070E9"/>
    <w:rsid w:val="558931E1"/>
    <w:rsid w:val="55923347"/>
    <w:rsid w:val="55925180"/>
    <w:rsid w:val="55983B1B"/>
    <w:rsid w:val="55A8376B"/>
    <w:rsid w:val="55DC29B6"/>
    <w:rsid w:val="55DD4241"/>
    <w:rsid w:val="560426CB"/>
    <w:rsid w:val="560B3A5A"/>
    <w:rsid w:val="56547F70"/>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04F5B"/>
    <w:rsid w:val="57D675AB"/>
    <w:rsid w:val="57D95FDD"/>
    <w:rsid w:val="5853793A"/>
    <w:rsid w:val="58917D2F"/>
    <w:rsid w:val="5894085C"/>
    <w:rsid w:val="58AE4F0C"/>
    <w:rsid w:val="58B85899"/>
    <w:rsid w:val="58BB5811"/>
    <w:rsid w:val="58D02D39"/>
    <w:rsid w:val="58E363A9"/>
    <w:rsid w:val="58E907AD"/>
    <w:rsid w:val="592C0FE8"/>
    <w:rsid w:val="595E1678"/>
    <w:rsid w:val="596D5BD4"/>
    <w:rsid w:val="597E3DD8"/>
    <w:rsid w:val="59D92186"/>
    <w:rsid w:val="59DF76D7"/>
    <w:rsid w:val="59EF5395"/>
    <w:rsid w:val="59F80043"/>
    <w:rsid w:val="5A09252F"/>
    <w:rsid w:val="5A0B2778"/>
    <w:rsid w:val="5A2A7C7B"/>
    <w:rsid w:val="5A3E2560"/>
    <w:rsid w:val="5A5D3B6E"/>
    <w:rsid w:val="5A637A76"/>
    <w:rsid w:val="5A6D33BA"/>
    <w:rsid w:val="5A792B1F"/>
    <w:rsid w:val="5A874767"/>
    <w:rsid w:val="5AA85BE2"/>
    <w:rsid w:val="5AAD6F28"/>
    <w:rsid w:val="5ABA0AF2"/>
    <w:rsid w:val="5AD63A24"/>
    <w:rsid w:val="5B2E1A1D"/>
    <w:rsid w:val="5B843A1C"/>
    <w:rsid w:val="5B873E3F"/>
    <w:rsid w:val="5B955973"/>
    <w:rsid w:val="5BCD17B1"/>
    <w:rsid w:val="5C02690E"/>
    <w:rsid w:val="5C196DA7"/>
    <w:rsid w:val="5C2A048C"/>
    <w:rsid w:val="5C80234E"/>
    <w:rsid w:val="5C8A680C"/>
    <w:rsid w:val="5CD56B70"/>
    <w:rsid w:val="5D0C4701"/>
    <w:rsid w:val="5D0F0395"/>
    <w:rsid w:val="5D202817"/>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B76A00"/>
    <w:rsid w:val="5FCC5339"/>
    <w:rsid w:val="5FD255E8"/>
    <w:rsid w:val="5FE34A5B"/>
    <w:rsid w:val="5FFE1E36"/>
    <w:rsid w:val="60232584"/>
    <w:rsid w:val="607330CE"/>
    <w:rsid w:val="60825176"/>
    <w:rsid w:val="609F2AC4"/>
    <w:rsid w:val="60F17CF0"/>
    <w:rsid w:val="60FA2EE8"/>
    <w:rsid w:val="61054A27"/>
    <w:rsid w:val="610A52BC"/>
    <w:rsid w:val="610B7004"/>
    <w:rsid w:val="611D2366"/>
    <w:rsid w:val="61421856"/>
    <w:rsid w:val="615227C4"/>
    <w:rsid w:val="61654E3F"/>
    <w:rsid w:val="6182292A"/>
    <w:rsid w:val="619F7F92"/>
    <w:rsid w:val="61A63211"/>
    <w:rsid w:val="61E33ADD"/>
    <w:rsid w:val="61F94C26"/>
    <w:rsid w:val="62000E56"/>
    <w:rsid w:val="62287742"/>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4F733FB"/>
    <w:rsid w:val="653C3090"/>
    <w:rsid w:val="653D1756"/>
    <w:rsid w:val="65622F6B"/>
    <w:rsid w:val="65854376"/>
    <w:rsid w:val="658767BE"/>
    <w:rsid w:val="65892531"/>
    <w:rsid w:val="66195831"/>
    <w:rsid w:val="662E75B1"/>
    <w:rsid w:val="66342C2E"/>
    <w:rsid w:val="663E784C"/>
    <w:rsid w:val="668B6A45"/>
    <w:rsid w:val="66AB4351"/>
    <w:rsid w:val="66CB62AD"/>
    <w:rsid w:val="66DE2AC5"/>
    <w:rsid w:val="67011F07"/>
    <w:rsid w:val="672F3F24"/>
    <w:rsid w:val="673E055F"/>
    <w:rsid w:val="674A015A"/>
    <w:rsid w:val="6751773B"/>
    <w:rsid w:val="67551CE3"/>
    <w:rsid w:val="677B6565"/>
    <w:rsid w:val="67A22552"/>
    <w:rsid w:val="67B22DCC"/>
    <w:rsid w:val="67BE71AA"/>
    <w:rsid w:val="67CC6DC1"/>
    <w:rsid w:val="67D90273"/>
    <w:rsid w:val="67DE5875"/>
    <w:rsid w:val="67E55852"/>
    <w:rsid w:val="67EB1AB4"/>
    <w:rsid w:val="67F352BE"/>
    <w:rsid w:val="67FA1285"/>
    <w:rsid w:val="68551F4F"/>
    <w:rsid w:val="687C10C9"/>
    <w:rsid w:val="68840C16"/>
    <w:rsid w:val="68872541"/>
    <w:rsid w:val="68876EFB"/>
    <w:rsid w:val="68884654"/>
    <w:rsid w:val="689F444F"/>
    <w:rsid w:val="68B96DBB"/>
    <w:rsid w:val="68CA2805"/>
    <w:rsid w:val="68E937A3"/>
    <w:rsid w:val="691664E5"/>
    <w:rsid w:val="691B3C2E"/>
    <w:rsid w:val="691C78D4"/>
    <w:rsid w:val="693E15D3"/>
    <w:rsid w:val="69627681"/>
    <w:rsid w:val="6977531D"/>
    <w:rsid w:val="697E757D"/>
    <w:rsid w:val="69CC2BFF"/>
    <w:rsid w:val="69F0323B"/>
    <w:rsid w:val="69FD55B8"/>
    <w:rsid w:val="6A0B1C62"/>
    <w:rsid w:val="6A2406C8"/>
    <w:rsid w:val="6A2A3115"/>
    <w:rsid w:val="6A3A44B6"/>
    <w:rsid w:val="6ADE0BD1"/>
    <w:rsid w:val="6ADE7537"/>
    <w:rsid w:val="6AE96859"/>
    <w:rsid w:val="6AF55973"/>
    <w:rsid w:val="6B147746"/>
    <w:rsid w:val="6B24787C"/>
    <w:rsid w:val="6B573233"/>
    <w:rsid w:val="6B5B6274"/>
    <w:rsid w:val="6B935D53"/>
    <w:rsid w:val="6BFB7BD7"/>
    <w:rsid w:val="6C196F71"/>
    <w:rsid w:val="6C226FCB"/>
    <w:rsid w:val="6C31226F"/>
    <w:rsid w:val="6C552F0B"/>
    <w:rsid w:val="6C692464"/>
    <w:rsid w:val="6C8C67B7"/>
    <w:rsid w:val="6C9D744C"/>
    <w:rsid w:val="6CF33C64"/>
    <w:rsid w:val="6D167928"/>
    <w:rsid w:val="6D26299B"/>
    <w:rsid w:val="6D4772EC"/>
    <w:rsid w:val="6D5238C5"/>
    <w:rsid w:val="6D9078AF"/>
    <w:rsid w:val="6DA10941"/>
    <w:rsid w:val="6DAA3FEF"/>
    <w:rsid w:val="6DC0172B"/>
    <w:rsid w:val="6DCB690C"/>
    <w:rsid w:val="6DD41A5B"/>
    <w:rsid w:val="6DF43C2E"/>
    <w:rsid w:val="6DF51CA3"/>
    <w:rsid w:val="6E8335BD"/>
    <w:rsid w:val="6E8E12EF"/>
    <w:rsid w:val="6E972936"/>
    <w:rsid w:val="6ED446C5"/>
    <w:rsid w:val="6F2A7D94"/>
    <w:rsid w:val="6F8331F1"/>
    <w:rsid w:val="6FAE1A09"/>
    <w:rsid w:val="6FD75BF8"/>
    <w:rsid w:val="6FDC710D"/>
    <w:rsid w:val="702F350C"/>
    <w:rsid w:val="70457711"/>
    <w:rsid w:val="707723D0"/>
    <w:rsid w:val="70F5661B"/>
    <w:rsid w:val="71360107"/>
    <w:rsid w:val="713B688E"/>
    <w:rsid w:val="71D43752"/>
    <w:rsid w:val="71F1796A"/>
    <w:rsid w:val="72154626"/>
    <w:rsid w:val="72262B5D"/>
    <w:rsid w:val="72283FF7"/>
    <w:rsid w:val="722E7212"/>
    <w:rsid w:val="723A0474"/>
    <w:rsid w:val="72485A07"/>
    <w:rsid w:val="724F0D1A"/>
    <w:rsid w:val="725923E4"/>
    <w:rsid w:val="72864BF7"/>
    <w:rsid w:val="729023FC"/>
    <w:rsid w:val="735B6A46"/>
    <w:rsid w:val="73C0646E"/>
    <w:rsid w:val="742222F5"/>
    <w:rsid w:val="74476126"/>
    <w:rsid w:val="74681C20"/>
    <w:rsid w:val="74706664"/>
    <w:rsid w:val="747F3682"/>
    <w:rsid w:val="749C4185"/>
    <w:rsid w:val="75067759"/>
    <w:rsid w:val="752E6DCD"/>
    <w:rsid w:val="753C69BB"/>
    <w:rsid w:val="7551380D"/>
    <w:rsid w:val="75600BE5"/>
    <w:rsid w:val="7564475C"/>
    <w:rsid w:val="7583797F"/>
    <w:rsid w:val="75D20F1D"/>
    <w:rsid w:val="75DA2C18"/>
    <w:rsid w:val="75F54412"/>
    <w:rsid w:val="75F87B7C"/>
    <w:rsid w:val="761D08E0"/>
    <w:rsid w:val="7636457C"/>
    <w:rsid w:val="765D347C"/>
    <w:rsid w:val="76826699"/>
    <w:rsid w:val="76C87133"/>
    <w:rsid w:val="76CD08D5"/>
    <w:rsid w:val="76DB4B92"/>
    <w:rsid w:val="77052AA4"/>
    <w:rsid w:val="770FEEE6"/>
    <w:rsid w:val="77136511"/>
    <w:rsid w:val="77340A39"/>
    <w:rsid w:val="77351FD0"/>
    <w:rsid w:val="773E16DD"/>
    <w:rsid w:val="77472422"/>
    <w:rsid w:val="777F31F2"/>
    <w:rsid w:val="77D1700D"/>
    <w:rsid w:val="77EC04CC"/>
    <w:rsid w:val="787259C9"/>
    <w:rsid w:val="78775729"/>
    <w:rsid w:val="789E20B4"/>
    <w:rsid w:val="78A42DB0"/>
    <w:rsid w:val="78A656AB"/>
    <w:rsid w:val="78A765AF"/>
    <w:rsid w:val="78B2245C"/>
    <w:rsid w:val="78E172CC"/>
    <w:rsid w:val="78EA1D1F"/>
    <w:rsid w:val="78FD502C"/>
    <w:rsid w:val="7904172F"/>
    <w:rsid w:val="790F7E27"/>
    <w:rsid w:val="792A231A"/>
    <w:rsid w:val="79312F28"/>
    <w:rsid w:val="79316829"/>
    <w:rsid w:val="797E66A9"/>
    <w:rsid w:val="798518A4"/>
    <w:rsid w:val="79A97383"/>
    <w:rsid w:val="79E27E8B"/>
    <w:rsid w:val="79F850CE"/>
    <w:rsid w:val="79F8573D"/>
    <w:rsid w:val="79FD443C"/>
    <w:rsid w:val="7A1D1975"/>
    <w:rsid w:val="7A3E5150"/>
    <w:rsid w:val="7A434CC1"/>
    <w:rsid w:val="7A4670D6"/>
    <w:rsid w:val="7A534B63"/>
    <w:rsid w:val="7A615382"/>
    <w:rsid w:val="7A67303B"/>
    <w:rsid w:val="7AAB1D04"/>
    <w:rsid w:val="7AAE6AEF"/>
    <w:rsid w:val="7ABA4368"/>
    <w:rsid w:val="7AD05746"/>
    <w:rsid w:val="7AD85D51"/>
    <w:rsid w:val="7B0D53DE"/>
    <w:rsid w:val="7B257FFD"/>
    <w:rsid w:val="7B273D20"/>
    <w:rsid w:val="7B29035B"/>
    <w:rsid w:val="7B343476"/>
    <w:rsid w:val="7B5A2978"/>
    <w:rsid w:val="7B5A7E4C"/>
    <w:rsid w:val="7B5B0730"/>
    <w:rsid w:val="7B667AF9"/>
    <w:rsid w:val="7B6770D5"/>
    <w:rsid w:val="7B7468F8"/>
    <w:rsid w:val="7BEE0103"/>
    <w:rsid w:val="7BF2699E"/>
    <w:rsid w:val="7C0A0FE4"/>
    <w:rsid w:val="7C254906"/>
    <w:rsid w:val="7C37756C"/>
    <w:rsid w:val="7C590818"/>
    <w:rsid w:val="7C715DD6"/>
    <w:rsid w:val="7C7C10F6"/>
    <w:rsid w:val="7C853BEA"/>
    <w:rsid w:val="7C881368"/>
    <w:rsid w:val="7CE27788"/>
    <w:rsid w:val="7D0825C3"/>
    <w:rsid w:val="7D0C32F1"/>
    <w:rsid w:val="7D0F408D"/>
    <w:rsid w:val="7D0F532E"/>
    <w:rsid w:val="7D491C6C"/>
    <w:rsid w:val="7D4A280A"/>
    <w:rsid w:val="7D5429C0"/>
    <w:rsid w:val="7D6E6D43"/>
    <w:rsid w:val="7D761851"/>
    <w:rsid w:val="7D7D34D3"/>
    <w:rsid w:val="7DB57A34"/>
    <w:rsid w:val="7DB83E32"/>
    <w:rsid w:val="7DE60973"/>
    <w:rsid w:val="7DEF0916"/>
    <w:rsid w:val="7E1E5218"/>
    <w:rsid w:val="7E527BC8"/>
    <w:rsid w:val="7E7A2A0E"/>
    <w:rsid w:val="7E9A4E1F"/>
    <w:rsid w:val="7E9C7095"/>
    <w:rsid w:val="7EA7723A"/>
    <w:rsid w:val="7EC06B5F"/>
    <w:rsid w:val="7EC16AFC"/>
    <w:rsid w:val="7EF56FBB"/>
    <w:rsid w:val="7F0768EB"/>
    <w:rsid w:val="7F143BEC"/>
    <w:rsid w:val="7F4514DB"/>
    <w:rsid w:val="7F6C5326"/>
    <w:rsid w:val="7F715AF2"/>
    <w:rsid w:val="7F886E69"/>
    <w:rsid w:val="7FBF4D88"/>
    <w:rsid w:val="BB7FA927"/>
    <w:rsid w:val="C543CA59"/>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4"/>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0"/>
    <w:autoRedefine/>
    <w:qFormat/>
    <w:uiPriority w:val="0"/>
    <w:rPr>
      <w:rFonts w:ascii="仿宋_GB2312" w:eastAsia="仿宋_GB2312"/>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3"/>
    <w:autoRedefine/>
    <w:qFormat/>
    <w:uiPriority w:val="0"/>
    <w:pPr>
      <w:ind w:firstLine="420"/>
    </w:pPr>
    <w:rPr>
      <w:rFonts w:hAnsi="Calibri" w:cs="Times New Roman"/>
      <w:snapToGrid/>
      <w:szCs w:val="20"/>
    </w:rPr>
  </w:style>
  <w:style w:type="paragraph" w:styleId="25">
    <w:name w:val="Body Text Indent"/>
    <w:basedOn w:val="1"/>
    <w:next w:val="15"/>
    <w:link w:val="267"/>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3"/>
    <w:autoRedefine/>
    <w:qFormat/>
    <w:uiPriority w:val="0"/>
    <w:pPr>
      <w:ind w:left="100" w:leftChars="2500"/>
    </w:pPr>
    <w:rPr>
      <w:rFonts w:ascii="宋体"/>
      <w:sz w:val="24"/>
      <w:szCs w:val="21"/>
      <w:lang w:val="zh-CN"/>
    </w:rPr>
  </w:style>
  <w:style w:type="paragraph" w:styleId="37">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4"/>
    <w:autoRedefine/>
    <w:qFormat/>
    <w:uiPriority w:val="0"/>
    <w:rPr>
      <w:lang w:val="zh-CN"/>
    </w:rPr>
  </w:style>
  <w:style w:type="paragraph" w:styleId="39">
    <w:name w:val="Balloon Text"/>
    <w:basedOn w:val="1"/>
    <w:link w:val="190"/>
    <w:autoRedefine/>
    <w:qFormat/>
    <w:uiPriority w:val="0"/>
    <w:rPr>
      <w:sz w:val="18"/>
      <w:szCs w:val="18"/>
    </w:rPr>
  </w:style>
  <w:style w:type="paragraph" w:styleId="40">
    <w:name w:val="footer"/>
    <w:basedOn w:val="1"/>
    <w:link w:val="385"/>
    <w:autoRedefine/>
    <w:qFormat/>
    <w:uiPriority w:val="99"/>
    <w:pPr>
      <w:tabs>
        <w:tab w:val="center" w:pos="4153"/>
        <w:tab w:val="right" w:pos="8306"/>
      </w:tabs>
      <w:snapToGrid w:val="0"/>
      <w:jc w:val="left"/>
    </w:pPr>
    <w:rPr>
      <w:sz w:val="18"/>
      <w:szCs w:val="18"/>
    </w:rPr>
  </w:style>
  <w:style w:type="paragraph" w:styleId="41">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7"/>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4"/>
    <w:autoRedefine/>
    <w:qFormat/>
    <w:uiPriority w:val="0"/>
    <w:pPr>
      <w:spacing w:after="120" w:line="480" w:lineRule="auto"/>
    </w:pPr>
  </w:style>
  <w:style w:type="paragraph" w:styleId="57">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8"/>
    <w:autoRedefine/>
    <w:qFormat/>
    <w:uiPriority w:val="0"/>
    <w:rPr>
      <w:b/>
      <w:bCs/>
    </w:rPr>
  </w:style>
  <w:style w:type="paragraph" w:styleId="61">
    <w:name w:val="Body Text First Indent 2"/>
    <w:basedOn w:val="25"/>
    <w:link w:val="123"/>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styleId="79">
    <w:name w:val="HTML Sample"/>
    <w:basedOn w:val="69"/>
    <w:autoRedefine/>
    <w:qFormat/>
    <w:uiPriority w:val="0"/>
    <w:rPr>
      <w:rFonts w:ascii="Courier New" w:hAnsi="Courier New"/>
    </w:rPr>
  </w:style>
  <w:style w:type="paragraph" w:customStyle="1" w:styleId="80">
    <w:name w:val="Default"/>
    <w:next w:val="81"/>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PlainText"/>
    <w:basedOn w:val="1"/>
    <w:autoRedefine/>
    <w:qFormat/>
    <w:uiPriority w:val="0"/>
    <w:pPr>
      <w:widowControl/>
      <w:jc w:val="left"/>
      <w:textAlignment w:val="baseline"/>
    </w:pPr>
    <w:rPr>
      <w:rFonts w:ascii="宋体" w:hAnsi="Courier New"/>
      <w:kern w:val="0"/>
      <w:szCs w:val="20"/>
    </w:rPr>
  </w:style>
  <w:style w:type="paragraph" w:customStyle="1" w:styleId="83">
    <w:name w:val="正文文本首行缩进 21"/>
    <w:basedOn w:val="25"/>
    <w:autoRedefine/>
    <w:qFormat/>
    <w:uiPriority w:val="99"/>
    <w:pPr>
      <w:spacing w:line="200" w:lineRule="atLeast"/>
      <w:ind w:firstLine="420"/>
    </w:pPr>
    <w:rPr>
      <w:rFonts w:hAnsi="Courier New"/>
      <w:spacing w:val="-4"/>
      <w:sz w:val="18"/>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字符"/>
    <w:link w:val="60"/>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1"/>
    <w:autoRedefine/>
    <w:qFormat/>
    <w:uiPriority w:val="0"/>
    <w:rPr>
      <w:rFonts w:ascii="宋体" w:hAnsi="宋体"/>
      <w:kern w:val="2"/>
      <w:sz w:val="21"/>
      <w:szCs w:val="24"/>
    </w:rPr>
  </w:style>
  <w:style w:type="character" w:customStyle="1" w:styleId="124">
    <w:name w:val="font11"/>
    <w:basedOn w:val="69"/>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69"/>
    <w:autoRedefine/>
    <w:qFormat/>
    <w:uiPriority w:val="0"/>
    <w:rPr>
      <w:rFonts w:ascii="Arial" w:hAnsi="Arial" w:eastAsia="黑体" w:cs="Arial"/>
      <w:snapToGrid w:val="0"/>
      <w:kern w:val="0"/>
      <w:szCs w:val="21"/>
    </w:rPr>
  </w:style>
  <w:style w:type="character" w:customStyle="1" w:styleId="127">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字符"/>
    <w:link w:val="47"/>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字符"/>
    <w:link w:val="7"/>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3"/>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字符"/>
    <w:link w:val="36"/>
    <w:autoRedefine/>
    <w:qFormat/>
    <w:uiPriority w:val="0"/>
    <w:rPr>
      <w:rFonts w:ascii="宋体"/>
      <w:kern w:val="2"/>
      <w:sz w:val="24"/>
      <w:szCs w:val="21"/>
      <w:lang w:val="zh-CN"/>
    </w:rPr>
  </w:style>
  <w:style w:type="character" w:customStyle="1" w:styleId="184">
    <w:name w:val="标题 9 字符"/>
    <w:link w:val="10"/>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字符1"/>
    <w:link w:val="39"/>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字符"/>
    <w:link w:val="18"/>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basedOn w:val="69"/>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69"/>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字符"/>
    <w:link w:val="30"/>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5"/>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字符"/>
    <w:link w:val="16"/>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80"/>
    <w:autoRedefine/>
    <w:qFormat/>
    <w:uiPriority w:val="0"/>
    <w:rPr>
      <w:rFonts w:ascii="仿宋_GB2312" w:eastAsia="仿宋_GB2312" w:cs="仿宋_GB2312"/>
      <w:color w:val="000000"/>
      <w:sz w:val="24"/>
      <w:szCs w:val="24"/>
      <w:lang w:val="en-US" w:eastAsia="zh-CN" w:bidi="ar-SA"/>
    </w:rPr>
  </w:style>
  <w:style w:type="paragraph" w:customStyle="1" w:styleId="237">
    <w:name w:val="TOC 71"/>
    <w:next w:val="1"/>
    <w:autoRedefine/>
    <w:qFormat/>
    <w:uiPriority w:val="0"/>
    <w:pPr>
      <w:wordWrap w:val="0"/>
      <w:ind w:left="2550"/>
      <w:jc w:val="both"/>
    </w:pPr>
    <w:rPr>
      <w:rFonts w:ascii="Calibri" w:hAnsi="Calibri" w:eastAsia="宋体" w:cs="Times New Roman"/>
      <w:sz w:val="21"/>
      <w:szCs w:val="22"/>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25"/>
    <w:autoRedefine/>
    <w:qFormat/>
    <w:uiPriority w:val="0"/>
    <w:rPr>
      <w:rFonts w:ascii="宋体" w:hAnsi="宋体"/>
      <w:kern w:val="2"/>
      <w:sz w:val="24"/>
      <w:szCs w:val="24"/>
    </w:rPr>
  </w:style>
  <w:style w:type="character" w:customStyle="1" w:styleId="268">
    <w:name w:val="font01"/>
    <w:basedOn w:val="69"/>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字符1"/>
    <w:link w:val="2"/>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字符"/>
    <w:link w:val="59"/>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字符"/>
    <w:link w:val="6"/>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字符"/>
    <w:link w:val="20"/>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字符"/>
    <w:link w:val="57"/>
    <w:autoRedefine/>
    <w:qFormat/>
    <w:uiPriority w:val="0"/>
    <w:rPr>
      <w:rFonts w:ascii="黑体" w:hAnsi="Courier New" w:eastAsia="黑体"/>
    </w:rPr>
  </w:style>
  <w:style w:type="character" w:customStyle="1" w:styleId="304">
    <w:name w:val="正文文本 2 字符1"/>
    <w:link w:val="56"/>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5"/>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字符"/>
    <w:link w:val="8"/>
    <w:autoRedefine/>
    <w:qFormat/>
    <w:uiPriority w:val="0"/>
    <w:rPr>
      <w:b/>
      <w:bCs/>
      <w:kern w:val="2"/>
      <w:sz w:val="24"/>
      <w:szCs w:val="24"/>
    </w:rPr>
  </w:style>
  <w:style w:type="character" w:customStyle="1" w:styleId="310">
    <w:name w:val="正文文本缩进 2 字符"/>
    <w:link w:val="37"/>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字符"/>
    <w:link w:val="50"/>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basedOn w:val="69"/>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文本首行缩进 字符"/>
    <w:link w:val="24"/>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字符1"/>
    <w:link w:val="5"/>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字符"/>
    <w:link w:val="21"/>
    <w:autoRedefine/>
    <w:qFormat/>
    <w:uiPriority w:val="0"/>
    <w:rPr>
      <w:kern w:val="2"/>
      <w:sz w:val="21"/>
    </w:rPr>
  </w:style>
  <w:style w:type="character" w:customStyle="1" w:styleId="333">
    <w:name w:val="font31"/>
    <w:basedOn w:val="69"/>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字符1"/>
    <w:link w:val="19"/>
    <w:autoRedefine/>
    <w:qFormat/>
    <w:uiPriority w:val="99"/>
    <w:rPr>
      <w:kern w:val="2"/>
      <w:sz w:val="21"/>
      <w:szCs w:val="24"/>
    </w:rPr>
  </w:style>
  <w:style w:type="character" w:customStyle="1" w:styleId="347">
    <w:name w:val="签名 字符"/>
    <w:link w:val="42"/>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9"/>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basedOn w:val="69"/>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字符"/>
    <w:link w:val="53"/>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字符2"/>
    <w:link w:val="40"/>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字符2"/>
    <w:link w:val="41"/>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69"/>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5"/>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69"/>
    <w:autoRedefine/>
    <w:qFormat/>
    <w:uiPriority w:val="0"/>
    <w:rPr>
      <w:rFonts w:ascii="Arial" w:hAnsi="Arial" w:eastAsia="黑体" w:cs="Arial"/>
      <w:snapToGrid w:val="0"/>
      <w:kern w:val="0"/>
      <w:szCs w:val="21"/>
    </w:rPr>
  </w:style>
  <w:style w:type="character" w:customStyle="1" w:styleId="434">
    <w:name w:val="hui"/>
    <w:basedOn w:val="69"/>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6"/>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5"/>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0"/>
    <w:next w:val="80"/>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0"/>
    <w:next w:val="80"/>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2"/>
    <w:autoRedefine/>
    <w:qFormat/>
    <w:uiPriority w:val="0"/>
    <w:pPr>
      <w:tabs>
        <w:tab w:val="left" w:pos="840"/>
      </w:tabs>
      <w:adjustRightInd/>
      <w:ind w:left="840" w:hanging="420"/>
    </w:pPr>
  </w:style>
  <w:style w:type="paragraph" w:customStyle="1" w:styleId="628">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5"/>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2"/>
    <w:next w:val="1"/>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8"/>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6"/>
    <w:next w:val="1"/>
    <w:autoRedefine/>
    <w:qFormat/>
    <w:uiPriority w:val="0"/>
    <w:pPr>
      <w:tabs>
        <w:tab w:val="left" w:pos="1080"/>
      </w:tabs>
      <w:ind w:left="1080" w:hanging="1080"/>
    </w:pPr>
  </w:style>
  <w:style w:type="paragraph" w:customStyle="1" w:styleId="899">
    <w:name w:val="数字标题1"/>
    <w:basedOn w:val="2"/>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5"/>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38"/>
    <w:autoRedefine/>
    <w:qFormat/>
    <w:uiPriority w:val="0"/>
    <w:rPr>
      <w:kern w:val="2"/>
      <w:sz w:val="21"/>
      <w:szCs w:val="24"/>
      <w:lang w:val="zh-CN"/>
    </w:rPr>
  </w:style>
  <w:style w:type="character" w:customStyle="1" w:styleId="935">
    <w:name w:val="无间隔 字符"/>
    <w:link w:val="485"/>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0"/>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不明显强调1"/>
    <w:autoRedefine/>
    <w:qFormat/>
    <w:uiPriority w:val="19"/>
    <w:rPr>
      <w:i/>
      <w:iCs/>
    </w:rPr>
  </w:style>
  <w:style w:type="paragraph" w:customStyle="1" w:styleId="968">
    <w:name w:val="列出段落"/>
    <w:basedOn w:val="1"/>
    <w:autoRedefine/>
    <w:qFormat/>
    <w:uiPriority w:val="99"/>
    <w:pPr>
      <w:spacing w:line="360" w:lineRule="auto"/>
      <w:ind w:firstLine="200" w:firstLineChars="200"/>
    </w:pPr>
    <w:rPr>
      <w:rFonts w:eastAsia="楷体_GB2312" w:cs="Lucida Sans"/>
      <w:sz w:val="24"/>
    </w:rPr>
  </w:style>
  <w:style w:type="paragraph" w:customStyle="1" w:styleId="969">
    <w:name w:val="Heading5"/>
    <w:basedOn w:val="1"/>
    <w:next w:val="1"/>
    <w:autoRedefine/>
    <w:qFormat/>
    <w:uiPriority w:val="0"/>
    <w:pPr>
      <w:keepNext/>
      <w:keepLines/>
      <w:adjustRightInd/>
      <w:spacing w:after="120" w:line="360" w:lineRule="auto"/>
      <w:textAlignment w:val="baseline"/>
    </w:pPr>
    <w:rPr>
      <w:rFonts w:eastAsia="微软雅黑"/>
      <w:b/>
      <w:bCs/>
      <w:sz w:val="24"/>
    </w:rPr>
  </w:style>
  <w:style w:type="paragraph" w:customStyle="1" w:styleId="970">
    <w:name w:val="式样-标题1"/>
    <w:basedOn w:val="2"/>
    <w:next w:val="971"/>
    <w:autoRedefine/>
    <w:qFormat/>
    <w:uiPriority w:val="0"/>
    <w:pPr>
      <w:numPr>
        <w:ilvl w:val="0"/>
        <w:numId w:val="1"/>
      </w:numPr>
      <w:spacing w:before="50" w:beforeLines="50" w:after="50" w:afterLines="50" w:line="360" w:lineRule="auto"/>
    </w:pPr>
    <w:rPr>
      <w:rFonts w:ascii="黑体" w:hAnsi="黑体" w:eastAsia="黑体"/>
      <w:b w:val="0"/>
      <w:sz w:val="32"/>
      <w:szCs w:val="32"/>
    </w:rPr>
  </w:style>
  <w:style w:type="paragraph" w:customStyle="1" w:styleId="971">
    <w:name w:val="式样-标题2"/>
    <w:basedOn w:val="3"/>
    <w:next w:val="972"/>
    <w:autoRedefine/>
    <w:qFormat/>
    <w:uiPriority w:val="0"/>
    <w:pPr>
      <w:numPr>
        <w:ilvl w:val="1"/>
        <w:numId w:val="1"/>
      </w:numPr>
    </w:pPr>
    <w:rPr>
      <w:rFonts w:ascii="楷体_GB2312"/>
      <w:sz w:val="28"/>
    </w:rPr>
  </w:style>
  <w:style w:type="paragraph" w:customStyle="1" w:styleId="972">
    <w:name w:val="式样--标题3"/>
    <w:basedOn w:val="4"/>
    <w:next w:val="973"/>
    <w:autoRedefine/>
    <w:qFormat/>
    <w:uiPriority w:val="0"/>
    <w:pPr>
      <w:numPr>
        <w:ilvl w:val="2"/>
        <w:numId w:val="1"/>
      </w:numPr>
      <w:spacing w:before="0" w:after="0" w:line="540" w:lineRule="exact"/>
      <w:ind w:firstLine="643" w:firstLineChars="200"/>
    </w:pPr>
    <w:rPr>
      <w:rFonts w:ascii="仿宋_GB2312" w:eastAsia="仿宋_GB2312"/>
      <w:sz w:val="28"/>
    </w:rPr>
  </w:style>
  <w:style w:type="paragraph" w:customStyle="1" w:styleId="973">
    <w:name w:val="式样--标题4"/>
    <w:basedOn w:val="5"/>
    <w:next w:val="974"/>
    <w:autoRedefine/>
    <w:qFormat/>
    <w:uiPriority w:val="0"/>
    <w:pPr>
      <w:numPr>
        <w:ilvl w:val="3"/>
        <w:numId w:val="1"/>
      </w:numPr>
      <w:spacing w:before="0" w:after="0" w:line="540" w:lineRule="exact"/>
      <w:ind w:firstLine="640" w:firstLineChars="200"/>
    </w:pPr>
    <w:rPr>
      <w:rFonts w:ascii="仿宋_GB2312" w:eastAsia="仿宋_GB2312"/>
      <w:b w:val="0"/>
      <w:szCs w:val="32"/>
    </w:rPr>
  </w:style>
  <w:style w:type="paragraph" w:customStyle="1" w:styleId="974">
    <w:name w:val="式样--正文"/>
    <w:basedOn w:val="1"/>
    <w:autoRedefine/>
    <w:qFormat/>
    <w:uiPriority w:val="0"/>
    <w:pPr>
      <w:spacing w:line="360" w:lineRule="auto"/>
      <w:ind w:firstLine="200" w:firstLineChars="200"/>
    </w:pPr>
    <w:rPr>
      <w:rFonts w:ascii="仿宋_GB2312" w:hAnsi="Calibri"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37911</Words>
  <Characters>40085</Characters>
  <Lines>350</Lines>
  <Paragraphs>98</Paragraphs>
  <TotalTime>16</TotalTime>
  <ScaleCrop>false</ScaleCrop>
  <LinksUpToDate>false</LinksUpToDate>
  <CharactersWithSpaces>45389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2021-08-02T08:22:00Z</dcterms:created>
  <dc:creator>玥</dc:creator>
  <cp:lastModifiedBy>WPS_1691460266</cp:lastModifiedBy>
  <cp:lastPrinted>2021-12-30T11:06:00Z</cp:lastPrinted>
  <dcterms:modified xsi:type="dcterms:W3CDTF">2024-06-27T05:23:53Z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B0323A332E8F48CAA023AF898E10D77F_13</vt:lpwstr>
  </property>
</Properties>
</file>