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eastAsia="宋体" w:cs="宋体"/>
          <w:color w:val="auto"/>
          <w:sz w:val="44"/>
          <w:szCs w:val="44"/>
          <w:lang w:eastAsia="zh-CN"/>
        </w:rPr>
      </w:pPr>
      <w:r>
        <w:rPr>
          <w:rFonts w:hint="eastAsia" w:ascii="宋体" w:hAnsi="宋体" w:cs="宋体"/>
          <w:color w:val="auto"/>
          <w:sz w:val="44"/>
          <w:szCs w:val="44"/>
          <w:lang w:eastAsia="zh-CN"/>
        </w:rPr>
        <w:t>2024年市本级食品生产环节小作坊专项抽检</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ZJZN-24889-SJ38</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杭州市市场监督管理局</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浙江中诺招标代理有限公司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十八</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6"/>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2024年市本级食品生产环节小作坊专项抽检</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7</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ZJZN-24889-SJ38</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2024年市本级食品生产环节小作坊专项抽检</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val="0"/>
          <w:bCs/>
          <w:color w:val="auto"/>
          <w:sz w:val="24"/>
          <w:lang w:val="en-US" w:eastAsia="zh-CN"/>
        </w:rPr>
        <w:t>940</w:t>
      </w:r>
      <w:r>
        <w:rPr>
          <w:rFonts w:hint="eastAsia" w:ascii="宋体" w:hAnsi="宋体" w:cs="宋体"/>
          <w:b w:val="0"/>
          <w:bCs/>
          <w:color w:val="auto"/>
          <w:sz w:val="24"/>
        </w:rPr>
        <w:t>000</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val="0"/>
          <w:bCs/>
          <w:color w:val="auto"/>
          <w:sz w:val="24"/>
          <w:highlight w:val="none"/>
          <w:lang w:val="en-US" w:eastAsia="zh-CN"/>
        </w:rPr>
        <w:t>标项一：470000；标项二：470000</w:t>
      </w:r>
    </w:p>
    <w:p>
      <w:pPr>
        <w:pStyle w:val="6"/>
        <w:spacing w:line="360" w:lineRule="auto"/>
        <w:ind w:firstLine="480"/>
        <w:rPr>
          <w:rFonts w:hint="eastAsia" w:hAnsi="宋体" w:eastAsia="宋体" w:cs="宋体"/>
          <w:bCs/>
          <w:snapToGrid/>
          <w:color w:val="auto"/>
          <w:kern w:val="2"/>
          <w:sz w:val="24"/>
          <w:szCs w:val="24"/>
          <w:lang w:eastAsia="zh-CN"/>
        </w:rPr>
      </w:pPr>
      <w:r>
        <w:rPr>
          <w:rFonts w:hint="eastAsia" w:hAnsi="宋体" w:cs="宋体"/>
          <w:b/>
          <w:color w:val="auto"/>
          <w:sz w:val="24"/>
        </w:rPr>
        <w:t>采购需求：</w:t>
      </w:r>
      <w:r>
        <w:rPr>
          <w:rFonts w:hint="eastAsia" w:hAnsi="宋体" w:cs="宋体"/>
          <w:bCs/>
          <w:snapToGrid/>
          <w:color w:val="auto"/>
          <w:kern w:val="2"/>
          <w:sz w:val="24"/>
          <w:szCs w:val="24"/>
          <w:lang w:eastAsia="zh-CN"/>
        </w:rPr>
        <w:t>2024年市本级食品生产环节小作坊专项抽检</w:t>
      </w:r>
      <w:r>
        <w:rPr>
          <w:rFonts w:hint="eastAsia" w:hAnsi="宋体" w:cs="宋体"/>
          <w:bCs/>
          <w:snapToGrid/>
          <w:color w:val="auto"/>
          <w:kern w:val="2"/>
          <w:sz w:val="24"/>
          <w:szCs w:val="24"/>
        </w:rPr>
        <w:t>主要内容：</w:t>
      </w:r>
      <w:r>
        <w:rPr>
          <w:rFonts w:hint="eastAsia" w:hAnsi="宋体" w:cs="宋体"/>
          <w:bCs/>
          <w:snapToGrid/>
          <w:color w:val="auto"/>
          <w:kern w:val="2"/>
          <w:sz w:val="24"/>
          <w:szCs w:val="24"/>
          <w:highlight w:val="none"/>
          <w:lang w:val="en-US" w:eastAsia="zh-CN"/>
        </w:rPr>
        <w:t>本</w:t>
      </w:r>
      <w:r>
        <w:rPr>
          <w:rFonts w:hint="eastAsia" w:ascii="宋体" w:hAnsi="宋体" w:eastAsia="宋体" w:cs="宋体"/>
          <w:bCs/>
          <w:snapToGrid/>
          <w:color w:val="auto"/>
          <w:kern w:val="2"/>
          <w:sz w:val="24"/>
          <w:szCs w:val="24"/>
          <w:highlight w:val="none"/>
        </w:rPr>
        <w:t>项目</w:t>
      </w:r>
      <w:r>
        <w:rPr>
          <w:rFonts w:hint="eastAsia" w:hAnsi="宋体" w:cs="宋体"/>
          <w:bCs/>
          <w:snapToGrid/>
          <w:color w:val="auto"/>
          <w:kern w:val="2"/>
          <w:sz w:val="24"/>
          <w:szCs w:val="24"/>
          <w:highlight w:val="none"/>
          <w:lang w:val="en-US" w:eastAsia="zh-CN"/>
        </w:rPr>
        <w:t>根据拟采购标的</w:t>
      </w:r>
      <w:r>
        <w:rPr>
          <w:rFonts w:hint="eastAsia" w:ascii="宋体" w:hAnsi="宋体" w:eastAsia="宋体" w:cs="宋体"/>
          <w:bCs/>
          <w:snapToGrid/>
          <w:color w:val="auto"/>
          <w:kern w:val="2"/>
          <w:sz w:val="24"/>
          <w:szCs w:val="24"/>
          <w:highlight w:val="none"/>
        </w:rPr>
        <w:t>分</w:t>
      </w:r>
      <w:r>
        <w:rPr>
          <w:rFonts w:hint="eastAsia" w:hAnsi="宋体" w:cs="宋体"/>
          <w:bCs/>
          <w:snapToGrid/>
          <w:color w:val="auto"/>
          <w:kern w:val="2"/>
          <w:sz w:val="24"/>
          <w:szCs w:val="24"/>
          <w:highlight w:val="none"/>
          <w:lang w:val="en-US" w:eastAsia="zh-CN"/>
        </w:rPr>
        <w:t>2</w:t>
      </w:r>
      <w:r>
        <w:rPr>
          <w:rFonts w:hint="eastAsia" w:ascii="宋体" w:hAnsi="宋体" w:eastAsia="宋体" w:cs="宋体"/>
          <w:bCs/>
          <w:snapToGrid/>
          <w:color w:val="auto"/>
          <w:kern w:val="2"/>
          <w:sz w:val="24"/>
          <w:szCs w:val="24"/>
          <w:highlight w:val="none"/>
        </w:rPr>
        <w:t>个标项，有效投标人可对一个或多个标项进行选择性投标</w:t>
      </w:r>
      <w:r>
        <w:rPr>
          <w:rFonts w:hint="eastAsia" w:ascii="宋体" w:hAnsi="宋体" w:eastAsia="宋体" w:cs="宋体"/>
          <w:bCs/>
          <w:snapToGrid/>
          <w:color w:val="auto"/>
          <w:kern w:val="2"/>
          <w:sz w:val="24"/>
          <w:szCs w:val="24"/>
          <w:highlight w:val="none"/>
          <w:lang w:eastAsia="zh-CN"/>
        </w:rPr>
        <w:t>：</w:t>
      </w:r>
    </w:p>
    <w:tbl>
      <w:tblPr>
        <w:tblStyle w:val="62"/>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4181"/>
        <w:gridCol w:w="998"/>
        <w:gridCol w:w="1548"/>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noWrap w:val="0"/>
            <w:vAlign w:val="center"/>
          </w:tcPr>
          <w:p>
            <w:pPr>
              <w:widowControl/>
              <w:snapToGrid w:val="0"/>
              <w:ind w:left="60" w:right="6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rPr>
              <w:t>拟采购标的</w:t>
            </w:r>
          </w:p>
        </w:tc>
        <w:tc>
          <w:tcPr>
            <w:tcW w:w="2104" w:type="pct"/>
            <w:noWrap w:val="0"/>
            <w:vAlign w:val="center"/>
          </w:tcPr>
          <w:p>
            <w:pPr>
              <w:widowControl/>
              <w:snapToGrid w:val="0"/>
              <w:ind w:left="60" w:right="6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内容</w:t>
            </w:r>
          </w:p>
        </w:tc>
        <w:tc>
          <w:tcPr>
            <w:tcW w:w="502" w:type="pct"/>
            <w:noWrap w:val="0"/>
            <w:vAlign w:val="center"/>
          </w:tcPr>
          <w:p>
            <w:pPr>
              <w:widowControl/>
              <w:snapToGrid w:val="0"/>
              <w:ind w:left="60" w:right="60"/>
              <w:jc w:val="center"/>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最高限价</w:t>
            </w:r>
          </w:p>
        </w:tc>
        <w:tc>
          <w:tcPr>
            <w:tcW w:w="779" w:type="pct"/>
            <w:noWrap w:val="0"/>
            <w:vAlign w:val="center"/>
          </w:tcPr>
          <w:p>
            <w:pPr>
              <w:widowControl/>
              <w:snapToGrid w:val="0"/>
              <w:ind w:left="60" w:right="6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承检范围</w:t>
            </w:r>
          </w:p>
        </w:tc>
        <w:tc>
          <w:tcPr>
            <w:tcW w:w="983" w:type="pct"/>
            <w:noWrap w:val="0"/>
            <w:vAlign w:val="center"/>
          </w:tcPr>
          <w:p>
            <w:pPr>
              <w:widowControl/>
              <w:snapToGrid w:val="0"/>
              <w:ind w:left="60" w:right="60"/>
              <w:jc w:val="center"/>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noWrap w:val="0"/>
            <w:vAlign w:val="center"/>
          </w:tcPr>
          <w:p>
            <w:pPr>
              <w:widowControl/>
              <w:snapToGrid w:val="0"/>
              <w:ind w:left="60" w:right="6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104" w:type="pct"/>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名特优、民生实事阳光作坊专项抽检</w:t>
            </w:r>
          </w:p>
        </w:tc>
        <w:tc>
          <w:tcPr>
            <w:tcW w:w="502" w:type="pct"/>
            <w:noWrap w:val="0"/>
            <w:vAlign w:val="center"/>
          </w:tcPr>
          <w:p>
            <w:pPr>
              <w:widowControl/>
              <w:snapToGrid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r>
              <w:rPr>
                <w:rFonts w:hint="default" w:ascii="宋体" w:hAnsi="宋体" w:eastAsia="宋体" w:cs="宋体"/>
                <w:color w:val="auto"/>
                <w:kern w:val="0"/>
                <w:sz w:val="21"/>
                <w:szCs w:val="21"/>
                <w:highlight w:val="none"/>
                <w:lang w:val="en-US" w:eastAsia="zh-CN"/>
              </w:rPr>
              <w:t>70000</w:t>
            </w:r>
          </w:p>
        </w:tc>
        <w:tc>
          <w:tcPr>
            <w:tcW w:w="779" w:type="pct"/>
            <w:noWrap w:val="0"/>
            <w:vAlign w:val="center"/>
          </w:tcPr>
          <w:p>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详见招标文件</w:t>
            </w:r>
          </w:p>
        </w:tc>
        <w:tc>
          <w:tcPr>
            <w:tcW w:w="983" w:type="pct"/>
            <w:noWrap w:val="0"/>
            <w:vAlign w:val="center"/>
          </w:tcPr>
          <w:p>
            <w:pPr>
              <w:widowControl/>
              <w:snapToGrid w:val="0"/>
              <w:jc w:val="left"/>
              <w:textAlignment w:val="center"/>
              <w:rPr>
                <w:rFonts w:hint="default"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pct"/>
            <w:noWrap w:val="0"/>
            <w:vAlign w:val="center"/>
          </w:tcPr>
          <w:p>
            <w:pPr>
              <w:widowControl/>
              <w:snapToGrid w:val="0"/>
              <w:ind w:left="60" w:right="6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104"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普通小作坊食品重点品种专项抽检</w:t>
            </w:r>
          </w:p>
        </w:tc>
        <w:tc>
          <w:tcPr>
            <w:tcW w:w="502" w:type="pct"/>
            <w:noWrap w:val="0"/>
            <w:vAlign w:val="center"/>
          </w:tcPr>
          <w:p>
            <w:pPr>
              <w:widowControl/>
              <w:snapToGrid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47</w:t>
            </w:r>
            <w:r>
              <w:rPr>
                <w:rFonts w:hint="default" w:ascii="宋体" w:hAnsi="宋体" w:eastAsia="宋体" w:cs="宋体"/>
                <w:color w:val="auto"/>
                <w:kern w:val="0"/>
                <w:sz w:val="21"/>
                <w:szCs w:val="21"/>
                <w:highlight w:val="none"/>
                <w:lang w:val="en-US" w:eastAsia="zh-CN"/>
              </w:rPr>
              <w:t>0000</w:t>
            </w:r>
          </w:p>
        </w:tc>
        <w:tc>
          <w:tcPr>
            <w:tcW w:w="779" w:type="pct"/>
            <w:noWrap w:val="0"/>
            <w:vAlign w:val="center"/>
          </w:tcPr>
          <w:p>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详见招标文件</w:t>
            </w:r>
          </w:p>
        </w:tc>
        <w:tc>
          <w:tcPr>
            <w:tcW w:w="983" w:type="pct"/>
            <w:noWrap w:val="0"/>
            <w:vAlign w:val="center"/>
          </w:tcPr>
          <w:p>
            <w:pPr>
              <w:widowControl/>
              <w:snapToGrid w:val="0"/>
              <w:jc w:val="left"/>
              <w:textAlignment w:val="center"/>
              <w:rPr>
                <w:rFonts w:hint="eastAsia" w:ascii="宋体" w:hAnsi="宋体" w:eastAsia="宋体" w:cs="宋体"/>
                <w:color w:val="auto"/>
                <w:kern w:val="0"/>
                <w:sz w:val="21"/>
                <w:szCs w:val="21"/>
                <w:highlight w:val="none"/>
                <w:lang w:val="en-US" w:eastAsia="zh-CN" w:bidi="ar-SA"/>
              </w:rPr>
            </w:pPr>
          </w:p>
        </w:tc>
      </w:tr>
    </w:tbl>
    <w:p>
      <w:pPr>
        <w:pStyle w:val="6"/>
        <w:spacing w:line="360" w:lineRule="auto"/>
        <w:ind w:firstLine="480"/>
        <w:rPr>
          <w:rFonts w:hAnsi="宋体" w:cs="宋体"/>
          <w:bCs/>
          <w:snapToGrid/>
          <w:color w:val="auto"/>
          <w:kern w:val="2"/>
          <w:sz w:val="24"/>
          <w:szCs w:val="24"/>
        </w:rPr>
      </w:pP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0"/>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val="0"/>
          <w:bCs/>
          <w:color w:val="auto"/>
          <w:highlight w:val="none"/>
          <w:lang w:val="en-US" w:eastAsia="zh-CN"/>
        </w:rPr>
        <w:t>详见采购文件</w:t>
      </w:r>
    </w:p>
    <w:p>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服务全部由符合政策要求的小微企业承接，提供中小企业声明函；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eastAsia="宋体"/>
          <w:color w:val="auto"/>
          <w:sz w:val="24"/>
          <w:szCs w:val="24"/>
          <w:u w:val="single"/>
        </w:rPr>
        <w:t>符合《浙江省检验机构管理条例》第八条规定：检验机构从事检验服务活动，应当经国家认证认可监督管理部门或者省</w:t>
      </w:r>
      <w:r>
        <w:rPr>
          <w:rFonts w:hint="eastAsia" w:ascii="宋体" w:hAnsi="宋体" w:eastAsia="宋体"/>
          <w:color w:val="auto"/>
          <w:sz w:val="24"/>
          <w:szCs w:val="24"/>
          <w:u w:val="single"/>
          <w:lang w:val="en-US" w:eastAsia="zh-CN"/>
        </w:rPr>
        <w:t>市场监督管理</w:t>
      </w:r>
      <w:r>
        <w:rPr>
          <w:rFonts w:hint="eastAsia" w:ascii="宋体" w:hAnsi="宋体" w:eastAsia="宋体"/>
          <w:color w:val="auto"/>
          <w:sz w:val="24"/>
          <w:szCs w:val="24"/>
          <w:u w:val="single"/>
        </w:rPr>
        <w:t>部门计量认证合格；未经计量认证合格，不得从事检验服务活动</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w:t>
      </w:r>
      <w:r>
        <w:rPr>
          <w:rFonts w:hint="eastAsia" w:ascii="宋体" w:hAnsi="宋体" w:cs="宋体"/>
          <w:color w:val="auto"/>
          <w:sz w:val="24"/>
          <w:u w:val="single"/>
          <w:lang w:val="en-US" w:eastAsia="zh-CN"/>
        </w:rPr>
        <w:t>24</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bookmarkStart w:id="406" w:name="_GoBack"/>
      <w:bookmarkEnd w:id="406"/>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杭州市市场监督管理局</w:t>
      </w:r>
      <w:r>
        <w:rPr>
          <w:rFonts w:hint="eastAsia" w:ascii="宋体" w:hAnsi="宋体" w:cs="宋体"/>
          <w:color w:val="auto"/>
          <w:sz w:val="24"/>
        </w:rPr>
        <w:t xml:space="preserve"> </w:t>
      </w:r>
    </w:p>
    <w:p>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szCs w:val="24"/>
          <w:highlight w:val="none"/>
        </w:rPr>
        <w:t>杭州市凤起东路109号</w:t>
      </w:r>
    </w:p>
    <w:p>
      <w:pPr>
        <w:kinsoku/>
        <w:wordWrap/>
        <w:overflowPunct/>
        <w:topLinePunct w:val="0"/>
        <w:bidi w:val="0"/>
        <w:snapToGrid w:val="0"/>
        <w:spacing w:beforeAutospacing="0" w:afterAutospacing="0"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szCs w:val="24"/>
        </w:rPr>
        <w:t>魏力</w:t>
      </w:r>
      <w:r>
        <w:rPr>
          <w:rFonts w:hint="eastAsia" w:ascii="宋体" w:hAnsi="宋体" w:eastAsia="宋体" w:cs="宋体"/>
          <w:color w:val="auto"/>
          <w:sz w:val="24"/>
          <w:highlight w:val="none"/>
        </w:rPr>
        <w:t xml:space="preserve">  </w:t>
      </w:r>
    </w:p>
    <w:p>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szCs w:val="24"/>
        </w:rPr>
        <w:t>0571-86438435</w:t>
      </w:r>
      <w:r>
        <w:rPr>
          <w:rFonts w:hint="eastAsia" w:ascii="宋体" w:hAnsi="宋体" w:eastAsia="宋体" w:cs="宋体"/>
          <w:color w:val="auto"/>
          <w:sz w:val="24"/>
          <w:highlight w:val="none"/>
        </w:rPr>
        <w:t xml:space="preserve"> </w:t>
      </w:r>
    </w:p>
    <w:p>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仿宋_GB2312"/>
          <w:color w:val="auto"/>
          <w:sz w:val="24"/>
          <w:szCs w:val="24"/>
        </w:rPr>
        <w:t>李建雄</w:t>
      </w:r>
    </w:p>
    <w:p>
      <w:pPr>
        <w:kinsoku/>
        <w:wordWrap/>
        <w:overflowPunct/>
        <w:topLinePunct w:val="0"/>
        <w:bidi w:val="0"/>
        <w:snapToGrid w:val="0"/>
        <w:spacing w:beforeAutospacing="0" w:afterAutospacing="0"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szCs w:val="24"/>
        </w:rPr>
        <w:t>0571-</w:t>
      </w:r>
      <w:r>
        <w:rPr>
          <w:rFonts w:hint="eastAsia" w:ascii="宋体" w:hAnsi="宋体" w:eastAsia="宋体" w:cs="仿宋_GB2312"/>
          <w:color w:val="auto"/>
          <w:sz w:val="24"/>
          <w:szCs w:val="24"/>
        </w:rPr>
        <w:t>86948426</w:t>
      </w:r>
      <w:r>
        <w:rPr>
          <w:rFonts w:hint="eastAsia" w:ascii="宋体" w:hAnsi="宋体" w:eastAsia="宋体" w:cs="宋体"/>
          <w:snapToGrid w:val="0"/>
          <w:color w:val="auto"/>
          <w:kern w:val="0"/>
          <w:sz w:val="24"/>
          <w:szCs w:val="24"/>
          <w:highlight w:val="none"/>
          <w:lang w:val="en-US" w:eastAsia="zh-CN"/>
        </w:rPr>
        <w:t>（请通过以下路径在线提起质疑：政采云-项目采购-询问质疑投诉-质疑列表）</w:t>
      </w:r>
      <w:r>
        <w:rPr>
          <w:rFonts w:hint="eastAsia" w:ascii="宋体" w:hAnsi="宋体" w:eastAsia="宋体" w:cs="宋体"/>
          <w:color w:val="auto"/>
          <w:sz w:val="24"/>
          <w:highlight w:val="none"/>
        </w:rPr>
        <w:t xml:space="preserve">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浙江中诺招标代理有限公司</w:t>
      </w:r>
    </w:p>
    <w:p>
      <w:pPr>
        <w:snapToGrid w:val="0"/>
        <w:spacing w:line="360" w:lineRule="auto"/>
        <w:ind w:firstLine="480"/>
        <w:rPr>
          <w:rFonts w:ascii="宋体" w:hAnsi="宋体" w:cs="宋体"/>
          <w:color w:val="auto"/>
          <w:sz w:val="24"/>
        </w:rPr>
      </w:pPr>
      <w:r>
        <w:rPr>
          <w:rFonts w:hint="eastAsia" w:ascii="宋体" w:hAnsi="宋体" w:cs="宋体"/>
          <w:color w:val="auto"/>
          <w:sz w:val="24"/>
        </w:rPr>
        <w:t>地    址：杭州市西湖区教工路269号保翌大厦14楼</w:t>
      </w:r>
    </w:p>
    <w:p>
      <w:pPr>
        <w:snapToGrid w:val="0"/>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传    真： </w:t>
      </w:r>
      <w:r>
        <w:rPr>
          <w:rFonts w:hint="eastAsia" w:ascii="宋体" w:hAnsi="宋体" w:cs="宋体"/>
          <w:color w:val="auto"/>
          <w:sz w:val="24"/>
          <w:lang w:val="en-US" w:eastAsia="zh-CN"/>
        </w:rPr>
        <w:t>/</w:t>
      </w:r>
    </w:p>
    <w:p>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snapToGrid w:val="0"/>
          <w:color w:val="auto"/>
          <w:kern w:val="0"/>
          <w:sz w:val="24"/>
          <w:szCs w:val="24"/>
          <w:highlight w:val="none"/>
        </w:rPr>
        <w:t>刘宋斌</w:t>
      </w:r>
    </w:p>
    <w:p>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snapToGrid w:val="0"/>
          <w:color w:val="auto"/>
          <w:kern w:val="0"/>
          <w:sz w:val="24"/>
          <w:szCs w:val="24"/>
          <w:highlight w:val="none"/>
        </w:rPr>
        <w:t>0571-88821402</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color w:val="auto"/>
          <w:sz w:val="24"/>
          <w:highlight w:val="none"/>
        </w:rPr>
        <w:t xml:space="preserve"> </w:t>
      </w:r>
    </w:p>
    <w:p>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snapToGrid w:val="0"/>
          <w:color w:val="auto"/>
          <w:kern w:val="0"/>
          <w:sz w:val="24"/>
          <w:szCs w:val="24"/>
          <w:highlight w:val="none"/>
        </w:rPr>
        <w:t>李倩</w:t>
      </w:r>
    </w:p>
    <w:p>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snapToGrid w:val="0"/>
          <w:color w:val="auto"/>
          <w:kern w:val="0"/>
          <w:sz w:val="24"/>
          <w:szCs w:val="24"/>
          <w:highlight w:val="none"/>
        </w:rPr>
        <w:t>0571-88821402-80</w:t>
      </w:r>
      <w:r>
        <w:rPr>
          <w:rFonts w:hint="eastAsia" w:ascii="宋体" w:hAnsi="宋体" w:eastAsia="宋体" w:cs="宋体"/>
          <w:snapToGrid w:val="0"/>
          <w:color w:val="auto"/>
          <w:kern w:val="0"/>
          <w:sz w:val="24"/>
          <w:szCs w:val="24"/>
          <w:highlight w:val="none"/>
          <w:lang w:val="en-US" w:eastAsia="zh-CN"/>
        </w:rPr>
        <w:t>18（请通过以下路径在线提起质疑：政采云-项目采购-询问质疑投诉-质疑列表）</w:t>
      </w:r>
    </w:p>
    <w:p>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址：杭州市上城区四季青街道新业路市民之家G03办公室（快递仅限ems或顺丰）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cs="宋体"/>
          <w:color w:val="auto"/>
          <w:sz w:val="24"/>
        </w:rPr>
      </w:pPr>
      <w:r>
        <w:rPr>
          <w:rFonts w:hint="eastAsia" w:ascii="宋体" w:hAnsi="宋体" w:cs="宋体"/>
          <w:color w:val="auto"/>
          <w:sz w:val="24"/>
        </w:rPr>
        <w:t>监督投诉电话：电话：0571-85252453（仅限投诉事项）</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pPr>
        <w:spacing w:line="360" w:lineRule="auto"/>
        <w:ind w:firstLine="480"/>
        <w:rPr>
          <w:rFonts w:ascii="宋体" w:hAnsi="宋体" w:cs="宋体"/>
          <w:color w:val="auto"/>
          <w:sz w:val="24"/>
        </w:rPr>
      </w:pP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9"/>
        <w:gridCol w:w="2107"/>
        <w:gridCol w:w="69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367" w:type="pct"/>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w:t>
            </w:r>
          </w:p>
        </w:tc>
        <w:tc>
          <w:tcPr>
            <w:tcW w:w="1075" w:type="pct"/>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项目属性</w:t>
            </w:r>
          </w:p>
        </w:tc>
        <w:tc>
          <w:tcPr>
            <w:tcW w:w="3557" w:type="pct"/>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2</w:t>
            </w:r>
          </w:p>
        </w:tc>
        <w:tc>
          <w:tcPr>
            <w:tcW w:w="1075" w:type="pct"/>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名特优、民生实事阳光作坊专项抽检</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（十六）其他未列明行业</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napToGrid w:val="0"/>
              <w:spacing w:beforeAutospacing="0" w:afterAutospacing="0" w:line="240" w:lineRule="auto"/>
              <w:textAlignment w:val="auto"/>
              <w:rPr>
                <w:rFonts w:hint="default" w:ascii="宋体" w:hAnsi="宋体" w:eastAsia="宋体" w:cs="宋体"/>
                <w:color w:val="auto"/>
                <w:lang w:val="en-US"/>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普通小作坊食品重点品种专项抽检</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（十六）其他未列明行业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3</w:t>
            </w:r>
          </w:p>
        </w:tc>
        <w:tc>
          <w:tcPr>
            <w:tcW w:w="1075" w:type="pct"/>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4</w:t>
            </w:r>
          </w:p>
        </w:tc>
        <w:tc>
          <w:tcPr>
            <w:tcW w:w="1075" w:type="pct"/>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textAlignment w:val="auto"/>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5</w:t>
            </w:r>
          </w:p>
        </w:tc>
        <w:tc>
          <w:tcPr>
            <w:tcW w:w="1075" w:type="pct"/>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6</w:t>
            </w:r>
          </w:p>
        </w:tc>
        <w:tc>
          <w:tcPr>
            <w:tcW w:w="1075" w:type="pct"/>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pageBreakBefore w:val="0"/>
              <w:widowControl w:val="0"/>
              <w:kinsoku/>
              <w:wordWrap/>
              <w:overflowPunct/>
              <w:topLinePunct w:val="0"/>
              <w:autoSpaceDE/>
              <w:autoSpaceDN/>
              <w:bidi w:val="0"/>
              <w:snapToGrid w:val="0"/>
              <w:spacing w:line="240" w:lineRule="auto"/>
              <w:textAlignment w:val="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7"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7</w:t>
            </w:r>
          </w:p>
        </w:tc>
        <w:tc>
          <w:tcPr>
            <w:tcW w:w="1075" w:type="pct"/>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Cs/>
                <w:color w:val="auto"/>
                <w:sz w:val="24"/>
              </w:rPr>
            </w:pPr>
            <w:r>
              <w:rPr>
                <w:rFonts w:hint="eastAsia" w:ascii="宋体" w:hAnsi="宋体" w:cs="宋体"/>
                <w:b/>
                <w:color w:val="auto"/>
                <w:sz w:val="24"/>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pageBreakBefore w:val="0"/>
              <w:widowControl w:val="0"/>
              <w:kinsoku/>
              <w:wordWrap/>
              <w:overflowPunct/>
              <w:topLinePunct w:val="0"/>
              <w:autoSpaceDE/>
              <w:autoSpaceDN/>
              <w:bidi w:val="0"/>
              <w:snapToGrid w:val="0"/>
              <w:spacing w:line="240" w:lineRule="auto"/>
              <w:textAlignment w:val="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7" w:type="pct"/>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8</w:t>
            </w:r>
          </w:p>
        </w:tc>
        <w:tc>
          <w:tcPr>
            <w:tcW w:w="1075" w:type="pct"/>
            <w:vMerge w:val="restart"/>
            <w:tcBorders>
              <w:top w:val="single" w:color="000000" w:sz="8" w:space="0"/>
              <w:left w:val="single" w:color="auto" w:sz="4"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rPr>
            </w:pPr>
            <w:r>
              <w:rPr>
                <w:rFonts w:hint="eastAsia" w:ascii="宋体" w:hAnsi="宋体" w:cs="宋体"/>
                <w:color w:val="auto"/>
                <w:sz w:val="24"/>
              </w:rPr>
              <w:t>（1）资格证明文件：见招标文件第二部分11.1。</w:t>
            </w:r>
          </w:p>
          <w:p>
            <w:pPr>
              <w:pageBreakBefore w:val="0"/>
              <w:widowControl w:val="0"/>
              <w:kinsoku/>
              <w:wordWrap/>
              <w:overflowPunct/>
              <w:topLinePunct w:val="0"/>
              <w:autoSpaceDE/>
              <w:autoSpaceDN/>
              <w:bidi w:val="0"/>
              <w:snapToGrid w:val="0"/>
              <w:spacing w:line="240" w:lineRule="auto"/>
              <w:textAlignment w:val="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7" w:type="pct"/>
            <w:vMerge w:val="continue"/>
            <w:tcBorders>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tc>
        <w:tc>
          <w:tcPr>
            <w:tcW w:w="1075" w:type="pct"/>
            <w:vMerge w:val="continue"/>
            <w:tcBorders>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p>
        </w:tc>
        <w:tc>
          <w:tcPr>
            <w:tcW w:w="3557" w:type="pct"/>
            <w:tcBorders>
              <w:top w:val="single" w:color="auto" w:sz="4"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7" w:type="pct"/>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9</w:t>
            </w:r>
          </w:p>
        </w:tc>
        <w:tc>
          <w:tcPr>
            <w:tcW w:w="1075" w:type="pct"/>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7" w:type="pct"/>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10</w:t>
            </w:r>
          </w:p>
        </w:tc>
        <w:tc>
          <w:tcPr>
            <w:tcW w:w="1075" w:type="pct"/>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left"/>
              <w:textAlignment w:val="auto"/>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pageBreakBefore w:val="0"/>
              <w:widowControl w:val="0"/>
              <w:kinsoku/>
              <w:wordWrap/>
              <w:overflowPunct/>
              <w:topLinePunct w:val="0"/>
              <w:autoSpaceDE/>
              <w:autoSpaceDN/>
              <w:bidi w:val="0"/>
              <w:snapToGrid w:val="0"/>
              <w:spacing w:line="240" w:lineRule="auto"/>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pageBreakBefore w:val="0"/>
              <w:widowControl w:val="0"/>
              <w:kinsoku/>
              <w:wordWrap/>
              <w:overflowPunct/>
              <w:topLinePunct w:val="0"/>
              <w:autoSpaceDE/>
              <w:autoSpaceDN/>
              <w:bidi w:val="0"/>
              <w:snapToGrid w:val="0"/>
              <w:spacing w:line="240" w:lineRule="auto"/>
              <w:ind w:firstLine="241" w:firstLineChars="10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pageBreakBefore w:val="0"/>
              <w:widowControl w:val="0"/>
              <w:kinsoku/>
              <w:wordWrap/>
              <w:overflowPunct/>
              <w:topLinePunct w:val="0"/>
              <w:autoSpaceDE/>
              <w:autoSpaceDN/>
              <w:bidi w:val="0"/>
              <w:snapToGrid w:val="0"/>
              <w:spacing w:line="240" w:lineRule="auto"/>
              <w:ind w:firstLine="241" w:firstLineChars="100"/>
              <w:jc w:val="left"/>
              <w:textAlignment w:val="auto"/>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pageBreakBefore w:val="0"/>
              <w:widowControl w:val="0"/>
              <w:kinsoku/>
              <w:wordWrap/>
              <w:overflowPunct/>
              <w:topLinePunct w:val="0"/>
              <w:autoSpaceDE/>
              <w:autoSpaceDN/>
              <w:bidi w:val="0"/>
              <w:snapToGrid w:val="0"/>
              <w:spacing w:line="240" w:lineRule="auto"/>
              <w:ind w:firstLine="241" w:firstLineChars="100"/>
              <w:textAlignment w:val="auto"/>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pageBreakBefore w:val="0"/>
              <w:widowControl w:val="0"/>
              <w:kinsoku/>
              <w:wordWrap/>
              <w:overflowPunct/>
              <w:topLinePunct w:val="0"/>
              <w:autoSpaceDE/>
              <w:autoSpaceDN/>
              <w:bidi w:val="0"/>
              <w:snapToGrid w:val="0"/>
              <w:spacing w:line="240" w:lineRule="auto"/>
              <w:ind w:firstLine="241" w:firstLineChars="100"/>
              <w:textAlignment w:val="auto"/>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7" w:type="pct"/>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11</w:t>
            </w:r>
          </w:p>
        </w:tc>
        <w:tc>
          <w:tcPr>
            <w:tcW w:w="1075" w:type="pct"/>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中小企业信用融资</w:t>
            </w:r>
          </w:p>
        </w:tc>
        <w:tc>
          <w:tcPr>
            <w:tcW w:w="3557" w:type="pct"/>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firstLine="480" w:firstLineChars="200"/>
              <w:textAlignment w:val="auto"/>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7" w:type="pct"/>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12</w:t>
            </w:r>
          </w:p>
        </w:tc>
        <w:tc>
          <w:tcPr>
            <w:tcW w:w="1075" w:type="pct"/>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备份投标文件送达地点和签收人员</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32"/>
              <w:pageBreakBefore w:val="0"/>
              <w:widowControl w:val="0"/>
              <w:kinsoku/>
              <w:wordWrap/>
              <w:overflowPunct/>
              <w:topLinePunct w:val="0"/>
              <w:autoSpaceDE/>
              <w:autoSpaceDN/>
              <w:bidi w:val="0"/>
              <w:snapToGrid w:val="0"/>
              <w:spacing w:line="240" w:lineRule="auto"/>
              <w:textAlignment w:val="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浙江中诺招标代理有限公司（杭州市西湖区教工路269号保翌大厦14楼）</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ascii="宋体" w:hAnsi="宋体" w:eastAsia="宋体" w:cs="宋体"/>
                <w:color w:val="auto"/>
                <w:kern w:val="28"/>
                <w:sz w:val="24"/>
                <w:szCs w:val="24"/>
                <w:highlight w:val="none"/>
                <w:u w:val="single"/>
              </w:rPr>
              <w:t>刘宋斌</w:t>
            </w:r>
            <w:r>
              <w:rPr>
                <w:rFonts w:hint="eastAsia" w:ascii="宋体" w:hAnsi="宋体" w:eastAsia="宋体" w:cs="宋体"/>
                <w:color w:val="auto"/>
                <w:kern w:val="28"/>
                <w:sz w:val="24"/>
                <w:szCs w:val="24"/>
                <w:highlight w:val="none"/>
                <w:u w:val="single"/>
                <w:lang w:val="en-US" w:eastAsia="zh-CN"/>
              </w:rPr>
              <w:t xml:space="preserve"> </w:t>
            </w:r>
            <w:r>
              <w:rPr>
                <w:rFonts w:hint="eastAsia" w:ascii="宋体" w:hAnsi="宋体" w:eastAsia="宋体" w:cs="宋体"/>
                <w:color w:val="auto"/>
                <w:kern w:val="28"/>
                <w:sz w:val="24"/>
                <w:szCs w:val="24"/>
                <w:highlight w:val="none"/>
                <w:u w:val="single"/>
              </w:rPr>
              <w:t>0571-88821402</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7" w:type="pct"/>
            <w:vMerge w:val="restart"/>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13</w:t>
            </w:r>
          </w:p>
        </w:tc>
        <w:tc>
          <w:tcPr>
            <w:tcW w:w="1075" w:type="pct"/>
            <w:vMerge w:val="restart"/>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textAlignment w:val="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7" w:type="pct"/>
            <w:vMerge w:val="continue"/>
            <w:tcBorders>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rPr>
            </w:pPr>
          </w:p>
        </w:tc>
        <w:tc>
          <w:tcPr>
            <w:tcW w:w="1075" w:type="pct"/>
            <w:vMerge w:val="continue"/>
            <w:tcBorders>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rPr>
            </w:pPr>
          </w:p>
        </w:tc>
        <w:tc>
          <w:tcPr>
            <w:tcW w:w="3557" w:type="pct"/>
            <w:tcBorders>
              <w:top w:val="single" w:color="000000" w:sz="8" w:space="0"/>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pageBreakBefore w:val="0"/>
              <w:widowControl w:val="0"/>
              <w:kinsoku/>
              <w:wordWrap/>
              <w:overflowPunct/>
              <w:topLinePunct w:val="0"/>
              <w:autoSpaceDE/>
              <w:autoSpaceDN/>
              <w:bidi w:val="0"/>
              <w:snapToGrid w:val="0"/>
              <w:spacing w:line="240" w:lineRule="auto"/>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7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highlight w:val="none"/>
                <w:lang w:val="en-US" w:eastAsia="zh-CN"/>
              </w:rPr>
              <w:t>14</w:t>
            </w:r>
          </w:p>
        </w:tc>
        <w:tc>
          <w:tcPr>
            <w:tcW w:w="1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ascii="宋体" w:hAnsi="宋体" w:cs="宋体"/>
                <w:b/>
                <w:color w:val="auto"/>
                <w:sz w:val="24"/>
              </w:rPr>
            </w:pPr>
            <w:r>
              <w:rPr>
                <w:rFonts w:hint="eastAsia" w:ascii="宋体" w:hAnsi="宋体" w:cs="宋体"/>
                <w:b/>
                <w:color w:val="auto"/>
                <w:sz w:val="24"/>
                <w:lang w:val="en-US" w:eastAsia="zh-CN"/>
              </w:rPr>
              <w:t>采购代理服务费</w:t>
            </w:r>
          </w:p>
        </w:tc>
        <w:tc>
          <w:tcPr>
            <w:tcW w:w="64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本项目的招标代理服务费由中标供应商支付。</w:t>
            </w:r>
          </w:p>
          <w:p>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计费标准：以中标（成交）金额为计费基准，按《计价格［2002］1980号》及《发改办价格［2003］857号》规定的收费标准计取。</w:t>
            </w:r>
          </w:p>
          <w:p>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按差额定率累进制计算,具体标准为:</w:t>
            </w:r>
          </w:p>
          <w:p>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中标金额为100万元及以下：中标金额×1.5%；</w:t>
            </w:r>
          </w:p>
          <w:p>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中标金额为100～500万元：100万×1.5%+(中标金额-100万)×1.1%。</w:t>
            </w:r>
          </w:p>
          <w:p>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中标金额为500～1000万元：100万×1.5%+(500万-100万)×1.1%+(中标金额-500万)×0.8%。</w:t>
            </w:r>
          </w:p>
          <w:p>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cs="Arial" w:asciiTheme="minorEastAsia" w:hAnsiTheme="minorEastAsia" w:eastAsiaTheme="minorEastAsia"/>
                <w:color w:val="auto"/>
                <w:kern w:val="0"/>
                <w:sz w:val="24"/>
              </w:rPr>
            </w:pPr>
            <w:r>
              <w:rPr>
                <w:rFonts w:hint="eastAsia" w:ascii="宋体" w:hAnsi="宋体" w:eastAsia="宋体" w:cs="宋体"/>
                <w:snapToGrid w:val="0"/>
                <w:color w:val="auto"/>
                <w:kern w:val="28"/>
                <w:sz w:val="24"/>
                <w:highlight w:val="none"/>
              </w:rPr>
              <w:t>结算方式及时间为：在领取中标通知书时由中标供应商一次性向采购代理机构付清。</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2"/>
        <w:keepNext w:val="0"/>
        <w:keepLines w:val="0"/>
        <w:pageBreakBefore w:val="0"/>
        <w:kinsoku/>
        <w:wordWrap/>
        <w:overflowPunct/>
        <w:topLinePunct w:val="0"/>
        <w:autoSpaceDE/>
        <w:autoSpaceDN/>
        <w:bidi w:val="0"/>
        <w:snapToGrid w:val="0"/>
        <w:spacing w:beforeAutospacing="0" w:line="360" w:lineRule="auto"/>
        <w:ind w:firstLine="480" w:firstLineChars="200"/>
        <w:textAlignment w:val="auto"/>
        <w:rPr>
          <w:rFonts w:hAnsi="宋体" w:cs="宋体"/>
          <w:color w:val="auto"/>
          <w:kern w:val="0"/>
          <w:sz w:val="24"/>
          <w:lang w:val="zh-CN"/>
        </w:rPr>
      </w:pPr>
      <w:r>
        <w:rPr>
          <w:rFonts w:hint="eastAsia" w:hAnsi="宋体" w:cs="宋体"/>
          <w:color w:val="auto"/>
          <w:kern w:val="0"/>
          <w:sz w:val="24"/>
          <w:lang w:val="zh-CN"/>
        </w:rPr>
        <w:t>　　4.3.3.4事实依据；</w:t>
      </w:r>
    </w:p>
    <w:p>
      <w:pPr>
        <w:pStyle w:val="32"/>
        <w:keepNext w:val="0"/>
        <w:keepLines w:val="0"/>
        <w:pageBreakBefore w:val="0"/>
        <w:kinsoku/>
        <w:wordWrap/>
        <w:overflowPunct/>
        <w:topLinePunct w:val="0"/>
        <w:autoSpaceDE/>
        <w:autoSpaceDN/>
        <w:bidi w:val="0"/>
        <w:snapToGrid w:val="0"/>
        <w:spacing w:beforeAutospacing="0" w:line="360" w:lineRule="auto"/>
        <w:ind w:firstLine="480" w:firstLineChars="200"/>
        <w:textAlignment w:val="auto"/>
        <w:rPr>
          <w:rFonts w:hAnsi="宋体" w:cs="宋体"/>
          <w:color w:val="auto"/>
          <w:kern w:val="0"/>
          <w:sz w:val="24"/>
          <w:lang w:val="zh-CN"/>
        </w:rPr>
      </w:pPr>
      <w:r>
        <w:rPr>
          <w:rFonts w:hint="eastAsia" w:hAnsi="宋体" w:cs="宋体"/>
          <w:color w:val="auto"/>
          <w:kern w:val="0"/>
          <w:sz w:val="24"/>
          <w:lang w:val="zh-CN"/>
        </w:rPr>
        <w:t>　　4.3.3.5必要的法律依据；</w:t>
      </w:r>
    </w:p>
    <w:p>
      <w:pPr>
        <w:pStyle w:val="32"/>
        <w:keepNext w:val="0"/>
        <w:keepLines w:val="0"/>
        <w:pageBreakBefore w:val="0"/>
        <w:kinsoku/>
        <w:wordWrap/>
        <w:overflowPunct/>
        <w:topLinePunct w:val="0"/>
        <w:autoSpaceDE/>
        <w:autoSpaceDN/>
        <w:bidi w:val="0"/>
        <w:snapToGrid w:val="0"/>
        <w:spacing w:beforeAutospacing="0" w:line="360" w:lineRule="auto"/>
        <w:ind w:firstLine="960" w:firstLineChars="400"/>
        <w:textAlignment w:val="auto"/>
        <w:rPr>
          <w:rFonts w:hAnsi="宋体" w:cs="宋体"/>
          <w:color w:val="auto"/>
          <w:kern w:val="0"/>
          <w:sz w:val="24"/>
          <w:lang w:val="zh-CN"/>
        </w:rPr>
      </w:pPr>
      <w:r>
        <w:rPr>
          <w:rFonts w:hint="eastAsia" w:hAnsi="宋体" w:cs="宋体"/>
          <w:color w:val="auto"/>
          <w:kern w:val="0"/>
          <w:sz w:val="24"/>
          <w:lang w:val="zh-CN"/>
        </w:rPr>
        <w:t>4.3.3.6提出质疑的日期。</w:t>
      </w:r>
    </w:p>
    <w:p>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rPr>
      </w:pPr>
      <w:r>
        <w:rPr>
          <w:rFonts w:hint="eastAsia"/>
          <w:color w:val="auto"/>
        </w:rPr>
        <w:t>质疑函范本及制作说明详见附件2。</w:t>
      </w:r>
    </w:p>
    <w:p>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rPr>
      </w:pPr>
      <w:r>
        <w:rPr>
          <w:rFonts w:hint="eastAsia"/>
          <w:color w:val="auto"/>
        </w:rPr>
        <w:t>4.3.4对同一采购程序环节的质疑，供应商须在法定质疑期内一次性提出。</w:t>
      </w:r>
    </w:p>
    <w:p>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color w:val="auto"/>
          <w:lang w:val="zh-CN"/>
        </w:rPr>
      </w:pPr>
      <w:r>
        <w:rPr>
          <w:rFonts w:hint="eastAsia"/>
          <w:color w:val="auto"/>
          <w:lang w:val="zh-CN"/>
        </w:rPr>
        <w:t>4.4供应商投诉</w:t>
      </w:r>
    </w:p>
    <w:p>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rPr>
      </w:pPr>
      <w:r>
        <w:rPr>
          <w:rFonts w:hint="eastAsia"/>
          <w:color w:val="auto"/>
        </w:rPr>
        <w:t>4.4.3供应商投诉应当有明确的请求和必要的证明材料。</w:t>
      </w:r>
    </w:p>
    <w:p>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rPr>
      </w:pPr>
      <w:r>
        <w:rPr>
          <w:rFonts w:hint="eastAsia"/>
          <w:color w:val="auto"/>
        </w:rPr>
        <w:t>4.4.4以联合体形式参加政府采购活动的，其投诉应当由组成联合体的所有供应商共同提出。</w:t>
      </w:r>
    </w:p>
    <w:p>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cs="仿宋"/>
          <w:color w:val="auto"/>
          <w:sz w:val="24"/>
        </w:rPr>
      </w:pPr>
      <w:r>
        <w:rPr>
          <w:rFonts w:hint="eastAsia" w:ascii="宋体" w:hAnsi="宋体" w:cs="仿宋"/>
          <w:color w:val="auto"/>
          <w:sz w:val="24"/>
        </w:rPr>
        <w:t>4.5 补偿救济</w:t>
      </w:r>
    </w:p>
    <w:p>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rPr>
      </w:pPr>
      <w:r>
        <w:rPr>
          <w:rFonts w:hint="eastAsia"/>
          <w:color w:val="auto"/>
        </w:rPr>
        <w:t>投诉书范本及制作说明详见附件3。</w:t>
      </w:r>
    </w:p>
    <w:p>
      <w:pPr>
        <w:pStyle w:val="130"/>
        <w:snapToGrid w:val="0"/>
        <w:spacing w:before="0"/>
        <w:ind w:left="0" w:leftChars="0" w:firstLine="0" w:firstLineChars="0"/>
        <w:jc w:val="center"/>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0"/>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rPr>
      </w:pPr>
      <w:r>
        <w:rPr>
          <w:rFonts w:hint="eastAsia" w:hAnsi="宋体" w:cs="宋体"/>
          <w:b/>
          <w:color w:val="auto"/>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pPr>
        <w:pStyle w:val="4"/>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2"/>
        <w:spacing w:line="360" w:lineRule="auto"/>
        <w:rPr>
          <w:rFonts w:hAnsi="宋体" w:cs="宋体"/>
          <w:b/>
          <w:color w:val="auto"/>
          <w:sz w:val="24"/>
          <w:szCs w:val="24"/>
        </w:rPr>
      </w:pPr>
      <w:r>
        <w:rPr>
          <w:rFonts w:hint="eastAsia" w:hAnsi="宋体" w:cs="宋体"/>
          <w:b/>
          <w:color w:val="auto"/>
          <w:sz w:val="24"/>
          <w:szCs w:val="24"/>
        </w:rPr>
        <w:t>15.备份投标文件</w:t>
      </w:r>
    </w:p>
    <w:p>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rPr>
      </w:pPr>
    </w:p>
    <w:p>
      <w:pPr>
        <w:pStyle w:val="130"/>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四、开标、资格审查与信用信息查询</w:t>
      </w:r>
    </w:p>
    <w:p>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30"/>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0"/>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
        <w:spacing w:line="360" w:lineRule="auto"/>
        <w:ind w:left="479" w:hanging="479" w:hangingChars="199"/>
        <w:rPr>
          <w:rFonts w:cs="宋体"/>
          <w:b/>
          <w:color w:val="auto"/>
        </w:rPr>
      </w:pPr>
      <w:r>
        <w:rPr>
          <w:rFonts w:hint="eastAsia" w:cs="宋体"/>
          <w:b/>
          <w:color w:val="auto"/>
        </w:rPr>
        <w:t>22. 确定中标供应商</w:t>
      </w:r>
    </w:p>
    <w:p>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pStyle w:val="130"/>
        <w:adjustRightInd w:val="0"/>
        <w:snapToGrid w:val="0"/>
        <w:spacing w:before="0"/>
        <w:ind w:firstLine="480" w:firstLineChars="200"/>
        <w:rPr>
          <w:rStyle w:val="78"/>
          <w:color w:val="auto"/>
        </w:rPr>
      </w:pPr>
      <w:r>
        <w:rPr>
          <w:rFonts w:hint="eastAsia" w:ascii="宋体" w:hAnsi="宋体" w:cs="宋体"/>
          <w:b w:val="0"/>
          <w:bCs/>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pPr>
        <w:pStyle w:val="79"/>
        <w:rPr>
          <w:color w:val="auto"/>
        </w:rPr>
      </w:pP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4"/>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0"/>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0"/>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pStyle w:val="79"/>
        <w:rPr>
          <w:color w:val="auto"/>
        </w:rPr>
      </w:pP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15" w:name="_Hlt68072990"/>
      <w:bookmarkEnd w:id="15"/>
      <w:bookmarkStart w:id="16" w:name="_Hlt74729768"/>
      <w:bookmarkEnd w:id="16"/>
      <w:bookmarkStart w:id="17" w:name="_Hlt74714665"/>
      <w:bookmarkEnd w:id="17"/>
      <w:bookmarkStart w:id="18" w:name="_Hlt75236290"/>
      <w:bookmarkEnd w:id="18"/>
      <w:bookmarkStart w:id="19" w:name="_Hlt75236101"/>
      <w:bookmarkEnd w:id="19"/>
      <w:bookmarkStart w:id="20" w:name="_Hlt74730295"/>
      <w:bookmarkEnd w:id="20"/>
      <w:bookmarkStart w:id="21" w:name="_Hlt68403820"/>
      <w:bookmarkEnd w:id="21"/>
      <w:bookmarkStart w:id="22" w:name="_Hlt68057669"/>
      <w:bookmarkEnd w:id="22"/>
      <w:bookmarkStart w:id="23" w:name="_Hlt75236011"/>
      <w:bookmarkEnd w:id="23"/>
      <w:bookmarkStart w:id="24" w:name="_Hlt74707468"/>
      <w:bookmarkEnd w:id="24"/>
      <w:bookmarkStart w:id="25" w:name="_Hlt68072998"/>
      <w:bookmarkEnd w:id="25"/>
      <w:bookmarkStart w:id="26" w:name="_Hlt68073093"/>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pStyle w:val="2"/>
        <w:spacing w:line="360" w:lineRule="auto"/>
        <w:ind w:firstLine="0" w:firstLineChars="0"/>
        <w:rPr>
          <w:rFonts w:hint="eastAsia" w:ascii="宋体" w:hAnsi="宋体" w:eastAsia="宋体" w:cs="宋体"/>
          <w:b/>
          <w:color w:val="auto"/>
          <w:lang w:val="en-US" w:eastAsia="zh-CN"/>
        </w:rPr>
      </w:pPr>
      <w:r>
        <w:rPr>
          <w:rFonts w:hint="eastAsia" w:ascii="宋体" w:hAnsi="宋体" w:eastAsia="宋体" w:cs="宋体"/>
          <w:b/>
          <w:color w:val="auto"/>
          <w:lang w:val="en-US" w:eastAsia="zh-CN"/>
        </w:rPr>
        <w:t>一、项目概况</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2024年下半年开展市本级食品生产环节食品安全监督抽检，</w:t>
      </w:r>
      <w:r>
        <w:rPr>
          <w:rFonts w:hint="eastAsia" w:ascii="宋体" w:hAnsi="宋体" w:eastAsia="宋体"/>
          <w:color w:val="auto"/>
          <w:sz w:val="24"/>
          <w:szCs w:val="24"/>
          <w:lang w:val="en-US" w:eastAsia="zh-CN"/>
        </w:rPr>
        <w:t>预计对生产环节小作坊专项监督抽检约</w:t>
      </w:r>
      <w:r>
        <w:rPr>
          <w:rFonts w:hint="eastAsia" w:ascii="宋体" w:hAnsi="宋体"/>
          <w:color w:val="auto"/>
          <w:sz w:val="24"/>
          <w:szCs w:val="24"/>
          <w:lang w:val="en-US" w:eastAsia="zh-CN"/>
        </w:rPr>
        <w:t>600</w:t>
      </w:r>
      <w:r>
        <w:rPr>
          <w:rFonts w:hint="eastAsia" w:ascii="宋体" w:hAnsi="宋体" w:eastAsia="宋体"/>
          <w:color w:val="auto"/>
          <w:sz w:val="24"/>
          <w:szCs w:val="24"/>
          <w:lang w:val="en-US" w:eastAsia="zh-CN"/>
        </w:rPr>
        <w:t>批次</w:t>
      </w:r>
      <w:r>
        <w:rPr>
          <w:rFonts w:hint="eastAsia" w:ascii="宋体" w:hAnsi="宋体" w:eastAsia="宋体" w:cs="宋体"/>
          <w:color w:val="auto"/>
          <w:kern w:val="0"/>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imes New Roman"/>
          <w:b/>
          <w:bCs/>
          <w:color w:val="auto"/>
          <w:sz w:val="24"/>
          <w:szCs w:val="24"/>
        </w:rPr>
      </w:pPr>
      <w:bookmarkStart w:id="28" w:name="_Toc19132"/>
      <w:r>
        <w:rPr>
          <w:rFonts w:hint="eastAsia" w:ascii="宋体" w:hAnsi="宋体" w:eastAsia="宋体" w:cs="Times New Roman"/>
          <w:b/>
          <w:bCs/>
          <w:color w:val="auto"/>
          <w:sz w:val="24"/>
          <w:szCs w:val="24"/>
          <w:lang w:val="en-US" w:eastAsia="zh-CN"/>
        </w:rPr>
        <w:t>二</w:t>
      </w:r>
      <w:r>
        <w:rPr>
          <w:rFonts w:hint="eastAsia" w:ascii="宋体" w:hAnsi="宋体" w:eastAsia="宋体" w:cs="Times New Roman"/>
          <w:b/>
          <w:bCs/>
          <w:color w:val="auto"/>
          <w:sz w:val="24"/>
          <w:szCs w:val="24"/>
        </w:rPr>
        <w:t>、招标需求</w:t>
      </w:r>
      <w:bookmarkEnd w:id="28"/>
    </w:p>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eastAsia" w:ascii="宋体" w:hAnsi="宋体" w:cs="宋体"/>
          <w:b/>
          <w:color w:val="auto"/>
          <w:sz w:val="24"/>
          <w:szCs w:val="24"/>
        </w:rPr>
      </w:pP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一）</w:t>
      </w:r>
      <w:r>
        <w:rPr>
          <w:rFonts w:hint="eastAsia" w:ascii="宋体" w:hAnsi="宋体" w:cs="宋体"/>
          <w:b/>
          <w:color w:val="auto"/>
          <w:sz w:val="24"/>
          <w:szCs w:val="24"/>
        </w:rPr>
        <w:t>项目基本情况</w:t>
      </w:r>
    </w:p>
    <w:tbl>
      <w:tblPr>
        <w:tblStyle w:val="62"/>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4359"/>
        <w:gridCol w:w="995"/>
        <w:gridCol w:w="2297"/>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pct"/>
            <w:noWrap w:val="0"/>
            <w:vAlign w:val="center"/>
          </w:tcPr>
          <w:p>
            <w:pPr>
              <w:widowControl/>
              <w:snapToGrid w:val="0"/>
              <w:ind w:left="60" w:right="6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rPr>
              <w:t>拟采购标的</w:t>
            </w:r>
          </w:p>
        </w:tc>
        <w:tc>
          <w:tcPr>
            <w:tcW w:w="2194" w:type="pct"/>
            <w:noWrap w:val="0"/>
            <w:vAlign w:val="center"/>
          </w:tcPr>
          <w:p>
            <w:pPr>
              <w:widowControl/>
              <w:snapToGrid w:val="0"/>
              <w:ind w:left="60" w:right="6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内容</w:t>
            </w:r>
          </w:p>
        </w:tc>
        <w:tc>
          <w:tcPr>
            <w:tcW w:w="501" w:type="pct"/>
            <w:noWrap w:val="0"/>
            <w:vAlign w:val="center"/>
          </w:tcPr>
          <w:p>
            <w:pPr>
              <w:widowControl/>
              <w:snapToGrid w:val="0"/>
              <w:ind w:left="60" w:right="60"/>
              <w:jc w:val="center"/>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最高限价</w:t>
            </w:r>
          </w:p>
        </w:tc>
        <w:tc>
          <w:tcPr>
            <w:tcW w:w="1156" w:type="pct"/>
            <w:noWrap w:val="0"/>
            <w:vAlign w:val="center"/>
          </w:tcPr>
          <w:p>
            <w:pPr>
              <w:widowControl/>
              <w:snapToGrid w:val="0"/>
              <w:ind w:left="60" w:right="6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rPr>
              <w:t>完成期限</w:t>
            </w:r>
          </w:p>
        </w:tc>
        <w:tc>
          <w:tcPr>
            <w:tcW w:w="606" w:type="pct"/>
            <w:noWrap w:val="0"/>
            <w:vAlign w:val="center"/>
          </w:tcPr>
          <w:p>
            <w:pPr>
              <w:widowControl/>
              <w:snapToGrid w:val="0"/>
              <w:ind w:left="60" w:right="60"/>
              <w:jc w:val="center"/>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pct"/>
            <w:noWrap w:val="0"/>
            <w:vAlign w:val="center"/>
          </w:tcPr>
          <w:p>
            <w:pPr>
              <w:widowControl/>
              <w:snapToGrid w:val="0"/>
              <w:ind w:left="60" w:right="6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359" w:type="dxa"/>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名特优、民生实事阳光作坊专项抽检</w:t>
            </w:r>
          </w:p>
        </w:tc>
        <w:tc>
          <w:tcPr>
            <w:tcW w:w="995" w:type="dxa"/>
            <w:noWrap w:val="0"/>
            <w:vAlign w:val="center"/>
          </w:tcPr>
          <w:p>
            <w:pPr>
              <w:widowControl/>
              <w:snapToGrid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r>
              <w:rPr>
                <w:rFonts w:hint="default" w:ascii="宋体" w:hAnsi="宋体" w:eastAsia="宋体" w:cs="宋体"/>
                <w:color w:val="auto"/>
                <w:kern w:val="0"/>
                <w:sz w:val="21"/>
                <w:szCs w:val="21"/>
                <w:highlight w:val="none"/>
                <w:lang w:val="en-US" w:eastAsia="zh-CN"/>
              </w:rPr>
              <w:t>70000</w:t>
            </w:r>
          </w:p>
        </w:tc>
        <w:tc>
          <w:tcPr>
            <w:tcW w:w="1156" w:type="pct"/>
            <w:noWrap w:val="0"/>
            <w:vAlign w:val="center"/>
          </w:tcPr>
          <w:p>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2024年12月10日前</w:t>
            </w:r>
          </w:p>
        </w:tc>
        <w:tc>
          <w:tcPr>
            <w:tcW w:w="606" w:type="pct"/>
            <w:noWrap w:val="0"/>
            <w:vAlign w:val="center"/>
          </w:tcPr>
          <w:p>
            <w:pPr>
              <w:widowControl/>
              <w:snapToGrid w:val="0"/>
              <w:jc w:val="left"/>
              <w:textAlignment w:val="center"/>
              <w:rPr>
                <w:rFonts w:hint="default"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pct"/>
            <w:noWrap w:val="0"/>
            <w:vAlign w:val="center"/>
          </w:tcPr>
          <w:p>
            <w:pPr>
              <w:widowControl/>
              <w:snapToGrid w:val="0"/>
              <w:ind w:left="60" w:right="6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35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普通小作坊食品重点品种专项抽检</w:t>
            </w:r>
          </w:p>
        </w:tc>
        <w:tc>
          <w:tcPr>
            <w:tcW w:w="995" w:type="dxa"/>
            <w:noWrap w:val="0"/>
            <w:vAlign w:val="center"/>
          </w:tcPr>
          <w:p>
            <w:pPr>
              <w:widowControl/>
              <w:snapToGrid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47</w:t>
            </w:r>
            <w:r>
              <w:rPr>
                <w:rFonts w:hint="default" w:ascii="宋体" w:hAnsi="宋体" w:eastAsia="宋体" w:cs="宋体"/>
                <w:color w:val="auto"/>
                <w:kern w:val="0"/>
                <w:sz w:val="21"/>
                <w:szCs w:val="21"/>
                <w:highlight w:val="none"/>
                <w:lang w:val="en-US" w:eastAsia="zh-CN"/>
              </w:rPr>
              <w:t>0000</w:t>
            </w:r>
          </w:p>
        </w:tc>
        <w:tc>
          <w:tcPr>
            <w:tcW w:w="1156" w:type="pct"/>
            <w:noWrap w:val="0"/>
            <w:vAlign w:val="center"/>
          </w:tcPr>
          <w:p>
            <w:pPr>
              <w:widowControl/>
              <w:snapToGrid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2024年12月10日前</w:t>
            </w:r>
          </w:p>
        </w:tc>
        <w:tc>
          <w:tcPr>
            <w:tcW w:w="606" w:type="pct"/>
            <w:noWrap w:val="0"/>
            <w:vAlign w:val="center"/>
          </w:tcPr>
          <w:p>
            <w:pPr>
              <w:widowControl/>
              <w:snapToGrid w:val="0"/>
              <w:jc w:val="left"/>
              <w:textAlignment w:val="center"/>
              <w:rPr>
                <w:rFonts w:hint="eastAsia" w:ascii="宋体" w:hAnsi="宋体" w:eastAsia="宋体" w:cs="宋体"/>
                <w:color w:val="auto"/>
                <w:kern w:val="0"/>
                <w:sz w:val="21"/>
                <w:szCs w:val="21"/>
                <w:highlight w:val="none"/>
              </w:rPr>
            </w:pPr>
          </w:p>
        </w:tc>
      </w:tr>
    </w:tbl>
    <w:p>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eastAsia="宋体"/>
          <w:b/>
          <w:bCs/>
          <w:color w:val="auto"/>
          <w:sz w:val="24"/>
          <w:szCs w:val="24"/>
        </w:rPr>
      </w:pPr>
      <w:r>
        <w:rPr>
          <w:rFonts w:hint="eastAsia" w:ascii="宋体" w:hAnsi="宋体"/>
          <w:b/>
          <w:bCs/>
          <w:color w:val="auto"/>
          <w:sz w:val="24"/>
          <w:szCs w:val="24"/>
          <w:lang w:val="en-US" w:eastAsia="zh-CN"/>
        </w:rPr>
        <w:t>（二）</w:t>
      </w:r>
      <w:r>
        <w:rPr>
          <w:rFonts w:hint="eastAsia" w:ascii="宋体" w:hAnsi="宋体" w:eastAsia="宋体"/>
          <w:b/>
          <w:bCs/>
          <w:color w:val="auto"/>
          <w:sz w:val="24"/>
          <w:szCs w:val="24"/>
        </w:rPr>
        <w:t>项目内容</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抽检品种详见表一。</w:t>
      </w:r>
    </w:p>
    <w:p>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eastAsia="宋体" w:cs="宋体"/>
          <w:b/>
          <w:color w:val="auto"/>
          <w:kern w:val="0"/>
          <w:sz w:val="24"/>
          <w:szCs w:val="24"/>
        </w:rPr>
      </w:pP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三）</w:t>
      </w:r>
      <w:r>
        <w:rPr>
          <w:rFonts w:hint="eastAsia" w:ascii="宋体" w:hAnsi="宋体" w:eastAsia="宋体" w:cs="宋体"/>
          <w:b/>
          <w:color w:val="auto"/>
          <w:kern w:val="0"/>
          <w:sz w:val="24"/>
          <w:szCs w:val="24"/>
        </w:rPr>
        <w:t>服务要求</w:t>
      </w:r>
    </w:p>
    <w:p>
      <w:pPr>
        <w:pStyle w:val="964"/>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（一）抽查范围及</w:t>
      </w:r>
      <w:r>
        <w:rPr>
          <w:rFonts w:hint="eastAsia" w:ascii="宋体" w:hAnsi="宋体" w:eastAsia="宋体" w:cs="宋体"/>
          <w:b/>
          <w:bCs/>
          <w:color w:val="auto"/>
          <w:kern w:val="0"/>
          <w:sz w:val="24"/>
          <w:szCs w:val="24"/>
        </w:rPr>
        <w:t>实施时间</w:t>
      </w:r>
      <w:r>
        <w:rPr>
          <w:rFonts w:hint="eastAsia" w:ascii="宋体" w:hAnsi="宋体" w:eastAsia="宋体" w:cs="宋体"/>
          <w:b/>
          <w:color w:val="auto"/>
          <w:sz w:val="24"/>
          <w:szCs w:val="24"/>
        </w:rPr>
        <w:t>：</w:t>
      </w:r>
      <w:r>
        <w:rPr>
          <w:rFonts w:hint="eastAsia" w:ascii="宋体" w:hAnsi="宋体" w:eastAsia="宋体" w:cs="宋体"/>
          <w:b w:val="0"/>
          <w:bCs/>
          <w:color w:val="auto"/>
          <w:sz w:val="24"/>
          <w:szCs w:val="24"/>
        </w:rPr>
        <w:t>检测工作应于完成期限前完成，抽样工作应在预留合理检测时间的前提下提前完成</w:t>
      </w:r>
      <w:r>
        <w:rPr>
          <w:rFonts w:hint="eastAsia" w:ascii="宋体" w:hAnsi="宋体" w:eastAsia="宋体" w:cs="宋体"/>
          <w:b w:val="0"/>
          <w:bCs/>
          <w:color w:val="auto"/>
          <w:sz w:val="24"/>
          <w:szCs w:val="24"/>
          <w:lang w:eastAsia="zh-CN"/>
        </w:rPr>
        <w:t>。</w:t>
      </w:r>
      <w:r>
        <w:rPr>
          <w:rFonts w:hint="eastAsia" w:ascii="宋体" w:hAnsi="宋体" w:eastAsia="宋体" w:cs="宋体"/>
          <w:b/>
          <w:color w:val="auto"/>
          <w:sz w:val="24"/>
          <w:szCs w:val="24"/>
        </w:rPr>
        <w:t xml:space="preserve"> </w:t>
      </w:r>
    </w:p>
    <w:p>
      <w:pPr>
        <w:pStyle w:val="964"/>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hAnsi="宋体" w:eastAsia="宋体" w:cs="宋体"/>
          <w:b/>
          <w:color w:val="auto"/>
          <w:sz w:val="24"/>
          <w:szCs w:val="24"/>
        </w:rPr>
      </w:pPr>
      <w:r>
        <w:rPr>
          <w:rFonts w:hint="eastAsia" w:ascii="宋体" w:hAnsi="宋体" w:eastAsia="宋体" w:cs="宋体"/>
          <w:b/>
          <w:color w:val="auto"/>
          <w:sz w:val="24"/>
          <w:szCs w:val="24"/>
        </w:rPr>
        <w:t>（二）服务要求：</w:t>
      </w:r>
    </w:p>
    <w:p>
      <w:pPr>
        <w:pStyle w:val="964"/>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1）抽样要求。</w:t>
      </w:r>
      <w:r>
        <w:rPr>
          <w:rFonts w:hint="eastAsia" w:ascii="宋体" w:hAnsi="宋体" w:eastAsia="宋体" w:cs="宋体"/>
          <w:color w:val="auto"/>
          <w:sz w:val="24"/>
          <w:szCs w:val="24"/>
        </w:rPr>
        <w:t>本次抽样工作严格按照市场监管总局</w:t>
      </w:r>
      <w:r>
        <w:rPr>
          <w:rFonts w:hint="eastAsia" w:ascii="宋体" w:hAnsi="宋体" w:eastAsia="宋体" w:cs="宋体"/>
          <w:b/>
          <w:color w:val="auto"/>
          <w:sz w:val="24"/>
          <w:szCs w:val="24"/>
        </w:rPr>
        <w:t>《食品安全抽样检验管理办法》（15号令）、</w:t>
      </w:r>
      <w:r>
        <w:rPr>
          <w:rFonts w:hint="eastAsia" w:ascii="宋体" w:hAnsi="宋体" w:eastAsia="宋体" w:cs="宋体"/>
          <w:b/>
          <w:color w:val="auto"/>
          <w:sz w:val="24"/>
          <w:szCs w:val="24"/>
          <w:lang w:eastAsia="zh-CN"/>
        </w:rPr>
        <w:t>《食品安全抽样检验工作规范》（市监食检发〔2023〕76 号）</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国家食品安全监督抽检实施细则（2024年版）</w:t>
      </w:r>
      <w:r>
        <w:rPr>
          <w:rFonts w:hint="eastAsia" w:ascii="宋体" w:hAnsi="宋体" w:eastAsia="宋体" w:cs="宋体"/>
          <w:b/>
          <w:color w:val="auto"/>
          <w:sz w:val="24"/>
          <w:szCs w:val="24"/>
        </w:rPr>
        <w:t>》</w:t>
      </w:r>
      <w:r>
        <w:rPr>
          <w:rFonts w:hint="eastAsia" w:ascii="宋体" w:hAnsi="宋体" w:eastAsia="宋体" w:cs="宋体"/>
          <w:color w:val="auto"/>
          <w:sz w:val="24"/>
          <w:szCs w:val="24"/>
        </w:rPr>
        <w:t>等规定及采购方要求执行。样品采集严格按照监督抽检工作程序，履行法定手续。</w:t>
      </w:r>
      <w:r>
        <w:rPr>
          <w:rFonts w:hint="eastAsia" w:ascii="宋体" w:hAnsi="宋体" w:eastAsia="宋体" w:cs="宋体"/>
          <w:color w:val="auto"/>
          <w:sz w:val="24"/>
          <w:szCs w:val="24"/>
          <w:lang w:val="zh-CN"/>
        </w:rPr>
        <w:t>对因故抽不到样品的企业，必须由企业出具证明，每月20日前上报市局食品生产监管处；对长期停产抽不到样品的企业，必须由当地监管部门出具证明，每月20日前上报市局食品生产监管处。</w:t>
      </w:r>
    </w:p>
    <w:p>
      <w:pPr>
        <w:pStyle w:val="96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抽样其他事项说明。根据杭州地区实际情况及食品抽检全覆盖的要求：抽样时可抽取散装产品；可适当放宽抽样基数要求；抽取贵重产品时，抽样数量以满足实验用量为准；生产品种较多、规模较大的企业需抽取多个批次产品，总抽样数量可突破计划批次数，由于企业关停等原因无法完成某品种抽样数量要求的，可抽取所中标段其他品种的产品来补足样品数量；对于生产环节未抽到的样品，可在流通环节抽取相应生产加工企业生产的产品</w:t>
      </w:r>
      <w:r>
        <w:rPr>
          <w:rFonts w:hint="eastAsia" w:ascii="宋体" w:hAnsi="宋体" w:eastAsia="宋体" w:cs="宋体"/>
          <w:b/>
          <w:color w:val="auto"/>
          <w:sz w:val="24"/>
          <w:szCs w:val="24"/>
        </w:rPr>
        <w:t>。</w:t>
      </w:r>
    </w:p>
    <w:p>
      <w:pPr>
        <w:pStyle w:val="964"/>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2）检验要求。</w:t>
      </w:r>
      <w:r>
        <w:rPr>
          <w:rFonts w:hint="eastAsia" w:ascii="宋体" w:hAnsi="宋体" w:eastAsia="宋体" w:cs="宋体"/>
          <w:color w:val="auto"/>
          <w:sz w:val="24"/>
          <w:szCs w:val="24"/>
        </w:rPr>
        <w:t>检验机构必须在规定的检验时间内按照国家食药总局下发的《</w:t>
      </w:r>
      <w:r>
        <w:rPr>
          <w:rFonts w:hint="eastAsia" w:ascii="宋体" w:hAnsi="宋体" w:eastAsia="宋体" w:cs="宋体"/>
          <w:b/>
          <w:color w:val="auto"/>
          <w:sz w:val="24"/>
          <w:szCs w:val="24"/>
          <w:lang w:eastAsia="zh-CN"/>
        </w:rPr>
        <w:t>国家食品安全监督抽检实施细则（2024年版）</w:t>
      </w:r>
      <w:r>
        <w:rPr>
          <w:rFonts w:hint="eastAsia" w:ascii="宋体" w:hAnsi="宋体" w:eastAsia="宋体" w:cs="宋体"/>
          <w:color w:val="auto"/>
          <w:sz w:val="24"/>
          <w:szCs w:val="24"/>
        </w:rPr>
        <w:t>》的产品评价规则对本文件要求的产品进行检验。</w:t>
      </w:r>
      <w:r>
        <w:rPr>
          <w:rFonts w:hint="eastAsia" w:ascii="宋体" w:hAnsi="宋体" w:eastAsia="宋体" w:cs="宋体"/>
          <w:b/>
          <w:color w:val="auto"/>
          <w:sz w:val="24"/>
          <w:szCs w:val="24"/>
        </w:rPr>
        <w:t>本次监督抽检的承检机构未经市局同意，严禁将检验任务分包给其他检验机构或修改检测项目，一经发现，取消检验资格。</w:t>
      </w:r>
      <w:r>
        <w:rPr>
          <w:rFonts w:hint="eastAsia" w:ascii="宋体" w:hAnsi="宋体" w:eastAsia="宋体" w:cs="宋体"/>
          <w:color w:val="auto"/>
          <w:sz w:val="24"/>
          <w:szCs w:val="24"/>
        </w:rPr>
        <w:t>各抽样单位和承检机构应将抽样及检验工作按要求进行合理分配（特殊要求除外），避免集中抽样、集中检验。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宋体" w:hAnsi="宋体" w:cs="宋体"/>
          <w:b/>
          <w:bCs/>
          <w:color w:val="auto"/>
          <w:sz w:val="24"/>
          <w:szCs w:val="24"/>
          <w:lang w:val="zh-CN"/>
        </w:rPr>
      </w:pPr>
      <w:r>
        <w:rPr>
          <w:rFonts w:hint="eastAsia" w:ascii="宋体" w:hAnsi="宋体" w:cs="宋体"/>
          <w:b/>
          <w:color w:val="auto"/>
          <w:sz w:val="24"/>
          <w:szCs w:val="24"/>
        </w:rPr>
        <w:t>3）</w:t>
      </w:r>
      <w:r>
        <w:rPr>
          <w:rFonts w:hint="eastAsia" w:ascii="宋体" w:hAnsi="宋体" w:cs="宋体"/>
          <w:b/>
          <w:bCs/>
          <w:color w:val="auto"/>
          <w:sz w:val="24"/>
          <w:szCs w:val="24"/>
          <w:lang w:val="zh-CN"/>
        </w:rPr>
        <w:t>质量管理。</w:t>
      </w:r>
      <w:r>
        <w:rPr>
          <w:rFonts w:hint="eastAsia" w:ascii="宋体" w:hAnsi="宋体" w:cs="宋体"/>
          <w:color w:val="auto"/>
          <w:sz w:val="24"/>
          <w:szCs w:val="24"/>
          <w:lang w:val="zh-CN"/>
        </w:rPr>
        <w:t>承检机构要严格按照</w:t>
      </w:r>
      <w:r>
        <w:rPr>
          <w:rFonts w:hint="eastAsia" w:ascii="宋体" w:hAnsi="宋体" w:cs="宋体"/>
          <w:color w:val="auto"/>
          <w:sz w:val="24"/>
          <w:szCs w:val="24"/>
        </w:rPr>
        <w:t>杭州市市场监管局</w:t>
      </w:r>
      <w:r>
        <w:rPr>
          <w:rFonts w:hint="eastAsia" w:ascii="宋体" w:hAnsi="宋体" w:cs="宋体"/>
          <w:color w:val="auto"/>
          <w:sz w:val="24"/>
          <w:szCs w:val="24"/>
          <w:lang w:val="zh-CN"/>
        </w:rPr>
        <w:t>《杭州市食品安全承检机构考核管理办法（试行）》要求，加强对样品采集、实验室检测、数据报送等关键环节的质量控制，确保检测结果准确可靠。市局将通过飞行检查、能力验证、盲样比对等形式开展对承检机构的工作考核，并及时将有关问题向检验机构资质管理部门通报。</w:t>
      </w:r>
    </w:p>
    <w:p>
      <w:pPr>
        <w:pStyle w:val="964"/>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4）工作纪律。</w:t>
      </w:r>
      <w:r>
        <w:rPr>
          <w:rFonts w:hint="eastAsia" w:ascii="宋体" w:hAnsi="宋体" w:eastAsia="宋体" w:cs="宋体"/>
          <w:color w:val="auto"/>
          <w:sz w:val="24"/>
          <w:szCs w:val="24"/>
          <w:lang w:val="zh-CN"/>
        </w:rPr>
        <w:t>参与监督抽检的承检机构及其工作人员应严格按照要求进行抽样、检验和结果上报，不得随意更改抽样地点和样品信息，不得瞒报、谎报和故意漏报、错报检测数据，确保结果的真实客观和准确。不得擅自发布有关监督抽检的信息，不得在开展抽样工作前事先通知被监督抽检单位和接受相关单位馈赠，不得利用监督抽检结果开展有偿活动，牟取不正当利益。</w:t>
      </w:r>
    </w:p>
    <w:p>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三</w:t>
      </w:r>
      <w:r>
        <w:rPr>
          <w:rFonts w:hint="eastAsia" w:ascii="宋体" w:hAnsi="宋体" w:eastAsia="宋体" w:cs="宋体"/>
          <w:b/>
          <w:color w:val="auto"/>
          <w:kern w:val="0"/>
          <w:sz w:val="24"/>
          <w:szCs w:val="24"/>
        </w:rPr>
        <w:t>、其他要求</w:t>
      </w:r>
    </w:p>
    <w:p>
      <w:pPr>
        <w:pStyle w:val="32"/>
        <w:keepNext w:val="0"/>
        <w:keepLines w:val="0"/>
        <w:pageBreakBefore w:val="0"/>
        <w:widowControl w:val="0"/>
        <w:kinsoku/>
        <w:wordWrap/>
        <w:overflowPunct/>
        <w:topLinePunct w:val="0"/>
        <w:bidi w:val="0"/>
        <w:adjustRightInd w:val="0"/>
        <w:snapToGrid w:val="0"/>
        <w:spacing w:line="360" w:lineRule="auto"/>
        <w:ind w:firstLine="482" w:firstLineChars="200"/>
        <w:jc w:val="left"/>
        <w:textAlignment w:val="auto"/>
        <w:rPr>
          <w:rFonts w:hAnsi="宋体" w:cs="宋体"/>
          <w:color w:val="auto"/>
          <w:sz w:val="24"/>
          <w:szCs w:val="24"/>
        </w:rPr>
      </w:pPr>
      <w:r>
        <w:rPr>
          <w:rFonts w:hint="eastAsia" w:hAnsi="宋体" w:cs="宋体"/>
          <w:b/>
          <w:color w:val="auto"/>
          <w:sz w:val="24"/>
          <w:szCs w:val="24"/>
        </w:rPr>
        <w:t>（一）数据录入工作。</w:t>
      </w:r>
      <w:r>
        <w:rPr>
          <w:rFonts w:hint="eastAsia" w:hAnsi="宋体" w:cs="宋体"/>
          <w:color w:val="auto"/>
          <w:sz w:val="24"/>
          <w:szCs w:val="24"/>
        </w:rPr>
        <w:t>所有抽样信息和检测结果统一由承检机构负责录入相应的信息系统。抽样信息必须在完成抽样后5个工作日内录入，检测结果必须在承检机构签发检验报告后3个工作日内录入，</w:t>
      </w:r>
      <w:r>
        <w:rPr>
          <w:rFonts w:hint="eastAsia" w:hAnsi="宋体" w:cs="宋体"/>
          <w:b/>
          <w:color w:val="auto"/>
          <w:sz w:val="24"/>
          <w:szCs w:val="24"/>
        </w:rPr>
        <w:t>两者均录入“国家食品安全抽样检验信息系统</w:t>
      </w:r>
      <w:r>
        <w:rPr>
          <w:rFonts w:hint="eastAsia" w:hAnsi="宋体" w:cs="宋体"/>
          <w:color w:val="auto"/>
          <w:sz w:val="22"/>
          <w:szCs w:val="24"/>
        </w:rPr>
        <w:t>https://fsp.samr.gov.cn”</w:t>
      </w:r>
    </w:p>
    <w:p>
      <w:pPr>
        <w:pStyle w:val="32"/>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Ansi="宋体" w:cs="宋体"/>
          <w:color w:val="auto"/>
          <w:sz w:val="24"/>
          <w:szCs w:val="24"/>
        </w:rPr>
      </w:pPr>
      <w:r>
        <w:rPr>
          <w:rFonts w:hint="eastAsia" w:hAnsi="宋体" w:cs="宋体"/>
          <w:color w:val="auto"/>
          <w:sz w:val="24"/>
          <w:szCs w:val="24"/>
        </w:rPr>
        <w:t>每月20日前报送报表（中标后发送给承检机构，遇节假日提前报送）。</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hAnsi="宋体"/>
          <w:color w:val="auto"/>
          <w:sz w:val="24"/>
          <w:szCs w:val="24"/>
        </w:rPr>
      </w:pPr>
      <w:r>
        <w:rPr>
          <w:rFonts w:hint="eastAsia" w:ascii="宋体" w:hAnsi="宋体" w:cs="宋体"/>
          <w:b/>
          <w:color w:val="auto"/>
          <w:sz w:val="24"/>
          <w:szCs w:val="24"/>
        </w:rPr>
        <w:t>（二）数据分析。每季度任务完成后，</w:t>
      </w:r>
      <w:r>
        <w:rPr>
          <w:rFonts w:hint="eastAsia" w:ascii="宋体" w:hAnsi="宋体" w:cs="宋体"/>
          <w:color w:val="auto"/>
          <w:sz w:val="24"/>
          <w:szCs w:val="24"/>
        </w:rPr>
        <w:t>上报监督抽检应包括检验工作小结、产品质量分析报告（每个产品均须分析，合格率低于85%且5批次以上的产品须重点分析）和检验结果数据。质量分析报告等文件通过电子邮件上报（OA或250853676@qq.com）。联系人：食品生产监管处  魏力  86438435。</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b/>
          <w:bCs/>
          <w:color w:val="auto"/>
          <w:sz w:val="24"/>
          <w:szCs w:val="24"/>
          <w:u w:val="single"/>
        </w:rPr>
      </w:pPr>
      <w:r>
        <w:rPr>
          <w:rFonts w:hint="eastAsia" w:ascii="宋体" w:hAnsi="宋体" w:eastAsia="宋体"/>
          <w:b/>
          <w:bCs/>
          <w:color w:val="auto"/>
          <w:sz w:val="24"/>
          <w:szCs w:val="24"/>
        </w:rPr>
        <w:t>（三）根据《浙江省市场监督管理局关于改进食品安全抽检监测工作提升质量效益的实施意见（试行）》（浙市监食检〔2020〕20号）相关规定，本项目实施抽检分离。食品生产环节监督抽检任务实行“抽的不检、检的不抽”，详见附件1</w:t>
      </w:r>
    </w:p>
    <w:p>
      <w:pPr>
        <w:spacing w:line="360" w:lineRule="auto"/>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lang w:val="en-US" w:eastAsia="zh-CN"/>
        </w:rPr>
        <w:t>、拟采购标的的商务要求</w:t>
      </w:r>
    </w:p>
    <w:p>
      <w:pPr>
        <w:spacing w:line="360" w:lineRule="auto"/>
        <w:ind w:left="210" w:leftChars="1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1.交付（实施）的时间（期限）</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single"/>
        </w:rPr>
        <w:t>在202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年12月10日前全面完成</w:t>
      </w:r>
      <w:r>
        <w:rPr>
          <w:rFonts w:hint="eastAsia" w:ascii="宋体" w:hAnsi="宋体" w:eastAsia="宋体" w:cs="宋体"/>
          <w:color w:val="auto"/>
          <w:sz w:val="24"/>
          <w:highlight w:val="none"/>
          <w:u w:val="single"/>
          <w:lang w:val="en-US" w:eastAsia="zh-CN"/>
        </w:rPr>
        <w:t xml:space="preserve"> </w:t>
      </w:r>
    </w:p>
    <w:p>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2.交付（实施）的地点（范围）：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采购人指定地点</w:t>
      </w:r>
      <w:r>
        <w:rPr>
          <w:rFonts w:hint="eastAsia" w:ascii="宋体" w:hAnsi="宋体" w:eastAsia="宋体" w:cs="宋体"/>
          <w:color w:val="auto"/>
          <w:sz w:val="24"/>
          <w:highlight w:val="none"/>
          <w:u w:val="single"/>
        </w:rPr>
        <w:t xml:space="preserve"> </w:t>
      </w:r>
    </w:p>
    <w:p>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3.付款条件（进度和方式）</w:t>
      </w:r>
    </w:p>
    <w:tbl>
      <w:tblPr>
        <w:tblStyle w:val="62"/>
        <w:tblW w:w="4991"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63"/>
        <w:gridCol w:w="3386"/>
        <w:gridCol w:w="559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48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02"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付款比例（%）</w:t>
            </w:r>
          </w:p>
        </w:tc>
        <w:tc>
          <w:tcPr>
            <w:tcW w:w="281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6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38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5596"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w:t>
            </w:r>
            <w:r>
              <w:rPr>
                <w:rFonts w:hint="eastAsia" w:ascii="宋体" w:hAnsi="宋体" w:eastAsia="宋体" w:cs="宋体"/>
                <w:color w:val="auto"/>
                <w:sz w:val="21"/>
                <w:szCs w:val="21"/>
                <w:highlight w:val="none"/>
              </w:rPr>
              <w:t>同签订以及具备实施条件后,</w:t>
            </w:r>
            <w:r>
              <w:rPr>
                <w:rFonts w:hint="eastAsia" w:ascii="宋体" w:hAnsi="宋体" w:eastAsia="宋体" w:cs="宋体"/>
                <w:color w:val="auto"/>
                <w:sz w:val="21"/>
                <w:szCs w:val="21"/>
                <w:highlight w:val="none"/>
                <w:lang w:val="en-US" w:eastAsia="zh-CN"/>
              </w:rPr>
              <w:t>甲方在收到发票</w:t>
            </w:r>
            <w:r>
              <w:rPr>
                <w:rFonts w:hint="eastAsia" w:ascii="宋体" w:hAnsi="宋体" w:cs="宋体"/>
                <w:color w:val="auto"/>
                <w:sz w:val="21"/>
                <w:szCs w:val="21"/>
                <w:highlight w:val="none"/>
                <w:lang w:val="en-US" w:eastAsia="zh-CN"/>
              </w:rPr>
              <w:t>7个工作日内</w:t>
            </w:r>
            <w:r>
              <w:rPr>
                <w:rFonts w:hint="eastAsia" w:ascii="宋体" w:hAnsi="宋体" w:eastAsia="宋体" w:cs="宋体"/>
                <w:color w:val="auto"/>
                <w:sz w:val="21"/>
                <w:szCs w:val="21"/>
                <w:highlight w:val="none"/>
              </w:rPr>
              <w:t>向乙方支付</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%的合同款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6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338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5596"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2024年9月30日前，</w:t>
            </w:r>
            <w:r>
              <w:rPr>
                <w:rFonts w:hint="eastAsia" w:ascii="宋体" w:hAnsi="宋体" w:eastAsia="宋体" w:cs="宋体"/>
                <w:color w:val="auto"/>
                <w:sz w:val="21"/>
                <w:szCs w:val="21"/>
                <w:highlight w:val="none"/>
                <w:lang w:val="en-US" w:eastAsia="zh-CN"/>
              </w:rPr>
              <w:t>合同执行至50%以上</w:t>
            </w:r>
            <w:r>
              <w:rPr>
                <w:rFonts w:hint="eastAsia" w:ascii="宋体" w:hAnsi="宋体" w:eastAsia="宋体" w:cs="宋体"/>
                <w:color w:val="auto"/>
                <w:sz w:val="21"/>
                <w:szCs w:val="21"/>
                <w:highlight w:val="none"/>
              </w:rPr>
              <w:t>并经采购人验收合格后，</w:t>
            </w:r>
            <w:r>
              <w:rPr>
                <w:rFonts w:hint="eastAsia" w:ascii="宋体" w:hAnsi="宋体" w:eastAsia="宋体" w:cs="宋体"/>
                <w:color w:val="auto"/>
                <w:sz w:val="21"/>
                <w:szCs w:val="21"/>
                <w:highlight w:val="none"/>
                <w:lang w:val="en-US" w:eastAsia="zh-CN"/>
              </w:rPr>
              <w:t>甲方在收到发票</w:t>
            </w:r>
            <w:r>
              <w:rPr>
                <w:rFonts w:hint="eastAsia" w:ascii="宋体" w:hAnsi="宋体" w:cs="宋体"/>
                <w:color w:val="auto"/>
                <w:sz w:val="21"/>
                <w:szCs w:val="21"/>
                <w:highlight w:val="none"/>
                <w:lang w:val="en-US" w:eastAsia="zh-CN"/>
              </w:rPr>
              <w:t>7个工作日内</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合同款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6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38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（按实结算）</w:t>
            </w:r>
          </w:p>
        </w:tc>
        <w:tc>
          <w:tcPr>
            <w:tcW w:w="5596"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完成项目实施并经采购人验收合格后，</w:t>
            </w:r>
            <w:r>
              <w:rPr>
                <w:rFonts w:hint="eastAsia" w:ascii="宋体" w:hAnsi="宋体" w:eastAsia="宋体" w:cs="宋体"/>
                <w:color w:val="auto"/>
                <w:sz w:val="21"/>
                <w:szCs w:val="21"/>
                <w:highlight w:val="none"/>
                <w:lang w:val="en-US" w:eastAsia="zh-CN"/>
              </w:rPr>
              <w:t>甲方在收到发票</w:t>
            </w:r>
            <w:r>
              <w:rPr>
                <w:rFonts w:hint="eastAsia" w:ascii="宋体" w:hAnsi="宋体" w:cs="宋体"/>
                <w:color w:val="auto"/>
                <w:sz w:val="21"/>
                <w:szCs w:val="21"/>
                <w:highlight w:val="none"/>
                <w:lang w:val="en-US" w:eastAsia="zh-CN"/>
              </w:rPr>
              <w:t>7个工作日内</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支付剩余合同款</w:t>
            </w:r>
          </w:p>
        </w:tc>
      </w:tr>
    </w:tbl>
    <w:p>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4.售后服务要求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无</w:t>
      </w:r>
      <w:r>
        <w:rPr>
          <w:rFonts w:hint="eastAsia" w:ascii="宋体" w:hAnsi="宋体" w:eastAsia="宋体" w:cs="宋体"/>
          <w:color w:val="auto"/>
          <w:sz w:val="24"/>
          <w:highlight w:val="none"/>
          <w:u w:val="single"/>
        </w:rPr>
        <w:t>。</w:t>
      </w:r>
    </w:p>
    <w:p>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5.其他商务要求（包装和运输、保险等）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u w:val="single"/>
          <w:lang w:val="en-US" w:eastAsia="zh-CN"/>
        </w:rPr>
        <w:t>无</w:t>
      </w:r>
      <w:r>
        <w:rPr>
          <w:rFonts w:hint="eastAsia" w:ascii="宋体" w:hAnsi="宋体" w:eastAsia="宋体" w:cs="宋体"/>
          <w:color w:val="auto"/>
          <w:sz w:val="24"/>
          <w:highlight w:val="none"/>
          <w:u w:val="single"/>
        </w:rPr>
        <w:t>。</w:t>
      </w:r>
    </w:p>
    <w:p>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五、采购项目的其他要求</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1.中标规则：</w:t>
      </w:r>
    </w:p>
    <w:p>
      <w:pPr>
        <w:pStyle w:val="6"/>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rPr>
        <w:t>本项目共</w:t>
      </w:r>
      <w:r>
        <w:rPr>
          <w:rFonts w:hint="eastAsia"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个标项，投标供应商根据自己的技术和商务优势可对全部或部分标项进行投标,且必须以标项为单位分别编写投标文件，分别装订，分别包装。但不得只对标项中部分采购内容进行投标。</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为保证检测服务工作形成良性竞争机制，供应商能按时保质保量完成各检测任务，本项目特对中标标项数量做如下规定：投标供应商在参加本项目投标时最多只能中标1个标项，如投标供应商综合得分排名一个以上标项第一位的，应由供应商代表当场确定特定标项作为其中标标项，同时自动放弃其他标项的中标资格。</w:t>
      </w:r>
      <w:r>
        <w:rPr>
          <w:rFonts w:hint="eastAsia" w:ascii="宋体" w:hAnsi="宋体" w:eastAsia="宋体" w:cs="宋体"/>
          <w:color w:val="auto"/>
          <w:sz w:val="24"/>
          <w:szCs w:val="24"/>
          <w:highlight w:val="none"/>
          <w:lang w:val="en-US" w:eastAsia="zh-CN"/>
        </w:rPr>
        <w:t xml:space="preserve"> </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费用支付：</w:t>
      </w:r>
    </w:p>
    <w:p>
      <w:pPr>
        <w:tabs>
          <w:tab w:val="left" w:pos="0"/>
        </w:tabs>
        <w:spacing w:line="360" w:lineRule="auto"/>
        <w:ind w:firstLine="480"/>
        <w:rPr>
          <w:rFonts w:hint="default" w:ascii="宋体" w:hAnsi="宋体" w:eastAsia="宋体" w:cs="宋体"/>
          <w:color w:val="auto"/>
          <w:kern w:val="0"/>
          <w:sz w:val="24"/>
          <w:lang w:val="en-US" w:eastAsia="zh-CN"/>
        </w:rPr>
      </w:pPr>
      <w:r>
        <w:rPr>
          <w:rFonts w:hint="eastAsia" w:ascii="宋体" w:hAnsi="宋体" w:eastAsia="宋体"/>
          <w:b/>
          <w:color w:val="auto"/>
          <w:sz w:val="24"/>
          <w:szCs w:val="24"/>
          <w:highlight w:val="none"/>
        </w:rPr>
        <w:t>本项目要求各投标人对各标项</w:t>
      </w:r>
      <w:r>
        <w:rPr>
          <w:rFonts w:hint="eastAsia" w:ascii="宋体" w:hAnsi="宋体" w:eastAsia="宋体"/>
          <w:b/>
          <w:color w:val="auto"/>
          <w:sz w:val="24"/>
          <w:szCs w:val="24"/>
          <w:highlight w:val="none"/>
          <w:lang w:val="en-US" w:eastAsia="zh-CN"/>
        </w:rPr>
        <w:t>按照食品细类及明确的计划批次数进行总价</w:t>
      </w:r>
      <w:r>
        <w:rPr>
          <w:rFonts w:hint="eastAsia" w:ascii="宋体" w:hAnsi="宋体" w:eastAsia="宋体"/>
          <w:b/>
          <w:color w:val="auto"/>
          <w:sz w:val="24"/>
          <w:szCs w:val="24"/>
          <w:highlight w:val="none"/>
        </w:rPr>
        <w:t>报价，若中标则</w:t>
      </w:r>
      <w:r>
        <w:rPr>
          <w:rFonts w:hint="eastAsia" w:ascii="宋体" w:hAnsi="宋体" w:eastAsia="宋体"/>
          <w:b/>
          <w:color w:val="auto"/>
          <w:sz w:val="24"/>
          <w:szCs w:val="24"/>
          <w:highlight w:val="none"/>
          <w:lang w:val="en-US" w:eastAsia="zh-CN"/>
        </w:rPr>
        <w:t>实行按批次数实行单批次的单价包干，根据</w:t>
      </w:r>
      <w:r>
        <w:rPr>
          <w:rFonts w:hint="eastAsia" w:ascii="宋体" w:hAnsi="宋体" w:eastAsia="宋体"/>
          <w:b/>
          <w:color w:val="auto"/>
          <w:sz w:val="24"/>
          <w:szCs w:val="24"/>
          <w:highlight w:val="none"/>
        </w:rPr>
        <w:t>检测数量计算实际费用</w:t>
      </w:r>
      <w:r>
        <w:rPr>
          <w:rFonts w:hint="eastAsia" w:ascii="宋体" w:hAnsi="宋体" w:eastAsia="宋体"/>
          <w:b/>
          <w:color w:val="auto"/>
          <w:sz w:val="24"/>
          <w:szCs w:val="24"/>
          <w:highlight w:val="none"/>
          <w:lang w:eastAsia="zh-CN"/>
        </w:rPr>
        <w:t>，</w:t>
      </w:r>
      <w:r>
        <w:rPr>
          <w:rFonts w:hint="eastAsia" w:ascii="宋体" w:hAnsi="宋体" w:eastAsia="宋体"/>
          <w:b/>
          <w:color w:val="auto"/>
          <w:sz w:val="24"/>
          <w:szCs w:val="24"/>
          <w:highlight w:val="none"/>
          <w:lang w:val="en-US" w:eastAsia="zh-CN"/>
        </w:rPr>
        <w:t>买样费在不高于平均最高限价的范围内，按实结算</w:t>
      </w:r>
      <w:r>
        <w:rPr>
          <w:rFonts w:hint="eastAsia" w:ascii="宋体" w:hAnsi="宋体" w:eastAsia="宋体"/>
          <w:b/>
          <w:color w:val="auto"/>
          <w:sz w:val="24"/>
          <w:szCs w:val="24"/>
          <w:highlight w:val="none"/>
        </w:rPr>
        <w:t>。</w:t>
      </w:r>
      <w:r>
        <w:rPr>
          <w:rFonts w:hint="eastAsia" w:ascii="宋体" w:hAnsi="宋体" w:eastAsia="宋体"/>
          <w:b/>
          <w:bCs/>
          <w:color w:val="auto"/>
          <w:sz w:val="24"/>
          <w:szCs w:val="24"/>
          <w:highlight w:val="none"/>
        </w:rPr>
        <w:t>实际检测批次数以采购人需求为准。采购人保留在签约时调整部分方案及检测批次数和服务的</w:t>
      </w:r>
      <w:r>
        <w:rPr>
          <w:rFonts w:hint="eastAsia" w:ascii="宋体" w:hAnsi="宋体" w:eastAsia="宋体"/>
          <w:b/>
          <w:bCs/>
          <w:color w:val="auto"/>
          <w:sz w:val="24"/>
          <w:szCs w:val="24"/>
          <w:highlight w:val="none"/>
          <w:lang w:val="en-US" w:eastAsia="zh-CN"/>
        </w:rPr>
        <w:t>权利</w:t>
      </w:r>
      <w:r>
        <w:rPr>
          <w:rFonts w:hint="eastAsia" w:ascii="宋体" w:hAnsi="宋体" w:eastAsia="宋体"/>
          <w:b/>
          <w:bCs/>
          <w:color w:val="auto"/>
          <w:sz w:val="24"/>
          <w:szCs w:val="24"/>
          <w:highlight w:val="none"/>
        </w:rPr>
        <w:t>，投标人应按投标单价不变的前提下进行调整，</w:t>
      </w:r>
      <w:r>
        <w:rPr>
          <w:rFonts w:hint="eastAsia" w:ascii="宋体" w:hAnsi="宋体" w:eastAsia="宋体" w:cs="宋体"/>
          <w:b/>
          <w:bCs/>
          <w:color w:val="auto"/>
          <w:sz w:val="24"/>
          <w:szCs w:val="24"/>
          <w:highlight w:val="none"/>
          <w:lang w:val="en-US" w:eastAsia="zh-CN"/>
        </w:rPr>
        <w:t>但总检测费用不超过标项最高限价</w:t>
      </w: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lang w:val="en-US" w:eastAsia="zh-CN"/>
        </w:rPr>
        <w:t xml:space="preserve"> </w:t>
      </w:r>
    </w:p>
    <w:p>
      <w:pPr>
        <w:spacing w:line="360" w:lineRule="auto"/>
        <w:rPr>
          <w:rFonts w:ascii="宋体" w:hAnsi="宋体" w:cs="宋体"/>
          <w:color w:val="auto"/>
          <w:sz w:val="24"/>
        </w:rPr>
        <w:sectPr>
          <w:pgSz w:w="11907" w:h="16840"/>
          <w:pgMar w:top="1440" w:right="1080" w:bottom="1440" w:left="1080" w:header="851" w:footer="851" w:gutter="0"/>
          <w:cols w:space="720" w:num="1"/>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附件：</w:t>
      </w:r>
    </w:p>
    <w:p>
      <w:pPr>
        <w:spacing w:line="360" w:lineRule="auto"/>
        <w:ind w:firstLine="361" w:firstLineChars="150"/>
        <w:rPr>
          <w:rFonts w:hint="eastAsia" w:ascii="宋体" w:hAnsi="宋体" w:eastAsia="宋体"/>
          <w:b/>
          <w:bCs w:val="0"/>
          <w:color w:val="auto"/>
          <w:sz w:val="24"/>
          <w:szCs w:val="24"/>
          <w:lang w:val="en-US" w:eastAsia="zh-CN"/>
        </w:rPr>
      </w:pPr>
      <w:r>
        <w:rPr>
          <w:rFonts w:hint="eastAsia" w:ascii="宋体" w:hAnsi="宋体"/>
          <w:b/>
          <w:bCs w:val="0"/>
          <w:color w:val="auto"/>
          <w:sz w:val="24"/>
          <w:szCs w:val="24"/>
          <w:lang w:val="en-US" w:eastAsia="zh-CN"/>
        </w:rPr>
        <w:t>标项一：名特优、民生实事阳光作坊专项抽检</w:t>
      </w:r>
    </w:p>
    <w:p>
      <w:pPr>
        <w:spacing w:line="360" w:lineRule="auto"/>
        <w:ind w:firstLine="361" w:firstLineChars="150"/>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抽样：</w:t>
      </w: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1190"/>
        <w:gridCol w:w="1117"/>
        <w:gridCol w:w="1335"/>
        <w:gridCol w:w="2067"/>
        <w:gridCol w:w="1021"/>
        <w:gridCol w:w="865"/>
        <w:gridCol w:w="5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2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7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w:t>
            </w:r>
          </w:p>
        </w:tc>
        <w:tc>
          <w:tcPr>
            <w:tcW w:w="20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2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0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食用植物油（半精炼、全精炼）</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其他食用植物油（半精炼、全精炼）</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酸值/酸价、过氧化值、铅（以Pb计）、苯并[a]芘、溶剂残留量，特丁基对苯二酚（TBHQ）、乙基麦芽酚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熟肉制品</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铬（以Cr计）、总砷（以As计）、亚硝酸盐（以亚硝酸钠计）、苯甲酸及其钠盐（以苯甲酸计）、山梨酸及其钾盐（以山梨酸计）、脱氢乙酸及其钠盐（以脱氢乙酸计）、胭脂红、氯霉素、纳他霉素、酸性橙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酒类</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蒸馏酒</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白酒、白酒（液态）、白酒（原酒）</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酒精度、铅（以Pb计）、甲醇、糖精钠（以糖精计）、甜蜜素（以环己基氨基磺酸计）、三氯蔗糖，安赛蜜，邻苯二甲酸二甲酯（DMP）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热加工糕点</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糖精钠（以糖精计）、三氯蔗糖、甜蜜素（以环己基氨基磺酸计）、铝的残留量（干样品，以Al计），金黄色葡萄球菌，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冷加工糕点</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非发酵性豆制品</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腐竹、油皮</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0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铅（以Pb计）、苯甲酸及其钠盐（以苯甲酸计）、山梨酸及其钾盐（以山梨酸计）、脱氢乙酸及其钠盐（以脱氢乙酸计）、铝的残留量（干样品，以AL计）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豆干、豆腐、豆皮等</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spacing w:line="360" w:lineRule="auto"/>
        <w:ind w:firstLine="361" w:firstLineChars="150"/>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检测：</w:t>
      </w: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1188"/>
        <w:gridCol w:w="1131"/>
        <w:gridCol w:w="1318"/>
        <w:gridCol w:w="1097"/>
        <w:gridCol w:w="947"/>
        <w:gridCol w:w="7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w:t>
            </w:r>
          </w:p>
        </w:tc>
        <w:tc>
          <w:tcPr>
            <w:tcW w:w="2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按2023年国抽细则检验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其他粮食加工品</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谷物粉类制成品</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食用植物油（半精炼、全精炼）</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酸值/酸价、过氧化值、铅（以Pb计）、苯并[a]芘、溶剂残留量，特丁基对苯二酚（TBHQ）、乙基麦芽酚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其他半固体复合调味料</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罂粟碱、可待因、苯甲酸及其钠盐（以苯甲酸计）、脱氢乙酸及其钠盐（以脱氢乙酸计）、防腐剂混合使用时各自用量占其最大使用量的比例之和、甜蜜素（以环己基氨基磺酸计）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预制肉制品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腌腊肉制品</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总砷（以As计）、过氧化值（以脂肪计）、亚硝酸盐（以亚硝酸钠计）、苯甲酸及其钠盐（以苯甲酸计）、山梨酸及其钾盐（以山梨酸计）、胭脂红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熟肉制品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铬（以Cr计）、总砷（以As计）、亚硝酸盐（以亚硝酸钠计）、苯甲酸及其钠盐（以苯甲酸计）、山梨酸及其钾盐（以山梨酸计）、脱氢乙酸及其钠盐（以脱氢乙酸计）、胭脂红、氯霉素、纳他霉素、酸性橙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速冻食品</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速冻面米食品</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速冻面米食品</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铅、糖精钠（以糖精计）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膨化食品</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酸价（以脂肪计）、过氧化值（以脂肪计）、糖精钠（以糖精计）、苯甲酸及其钠盐（以苯甲酸计）、山梨酸及其钾盐（以山梨酸计）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薯类食品</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铅（以Pb计）、过氧化值（以脂肪计）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糖果制品(含巧克力及制品)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糖精钠（以糖精计）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铅（以Pb计）、草甘膦、吡虫啉、联苯菊酯、甲拌磷、克百威、氧乐果、毒死蜱、多菌灵、呋虫胺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酒类</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蒸馏酒</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酒精度、铅（以Pb计）、甲醇、糖精钠（以糖精计）、甜蜜素（以环己基氨基磺酸计）、三氯蔗糖，安赛蜜，邻苯二甲酸二甲酯（DMP）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其他酒</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其他发酵酒</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苯甲酸及其钠盐（以苯甲酸计）、山梨酸及其钾盐（以山梨酸计）、糖精钠（以糖精计）、安赛蜜、甜蜜素（以环己基氨基磺酸计）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配制酒</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酒精度、糖精钠（以糖精计）、甜蜜素（以环己基氨基磺酸计）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酱腌菜</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苯甲酸及其钠盐（以苯甲酸计）、山梨酸及其钾盐（以山梨酸计）、脱氢乙酸及其钠盐（以脱氢乙酸计）、防腐剂混合使用时各自用量占其最大使用量的比例之和、糖精钠（以糖精计）、甜蜜素（以环己基氨基磺酸计）、二氧化硫残留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 烘炒类、油炸类、其他类）</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铅（以Pb计）、黄曲霉毒素B</w:t>
            </w:r>
            <w:r>
              <w:rPr>
                <w:rFonts w:hint="eastAsia" w:ascii="宋体" w:hAnsi="宋体" w:eastAsia="宋体" w:cs="宋体"/>
                <w:i w:val="0"/>
                <w:iCs w:val="0"/>
                <w:color w:val="000000"/>
                <w:kern w:val="0"/>
                <w:sz w:val="18"/>
                <w:szCs w:val="18"/>
                <w:u w:val="none"/>
                <w:vertAlign w:val="subscript"/>
                <w:lang w:val="en-US" w:eastAsia="zh-CN" w:bidi="ar"/>
              </w:rPr>
              <w:t>1</w:t>
            </w:r>
            <w:r>
              <w:rPr>
                <w:rFonts w:hint="eastAsia" w:ascii="宋体" w:hAnsi="宋体" w:eastAsia="宋体" w:cs="宋体"/>
                <w:i w:val="0"/>
                <w:iCs w:val="0"/>
                <w:color w:val="000000"/>
                <w:kern w:val="0"/>
                <w:sz w:val="18"/>
                <w:szCs w:val="18"/>
                <w:u w:val="none"/>
                <w:lang w:val="en-US" w:eastAsia="zh-CN" w:bidi="ar"/>
              </w:rPr>
              <w:t>、酸价（以脂肪计）、过氧化值（以脂肪计）、糖精钠（以糖精计）、甜蜜素（以环己基氨基磺酸计）、二氧化硫残留量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可可及焙烤咖啡产品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焙炒咖啡</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焙炒咖啡</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铅（以Pb计）、赭曲霉毒素A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蔗糖分、还原糖分、二氧化硫残留量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淀粉制品</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苯甲酸及其钠盐（以苯甲酸计）、山梨酸及其钾盐（以山梨酸计）、脱氢乙酸及其钠盐（以脱氢乙酸计）、铝的残留量（干样品，以AL计）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糖精钠（以糖精计）、三氯蔗糖、甜蜜素（以环己基氨基磺酸计）、铝的残留量（干样品，以Al计），金黄色葡萄球菌，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非发酵性豆制品</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铅（以Pb计）、苯甲酸及其钠盐（以苯甲酸计）、山梨酸及其钾盐（以山梨酸计）、脱氢乙酸及其钠盐（以脱氢乙酸计）、铝的残留量（干样品，以AL计）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蜂蜜</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氯霉素、呋喃妥因代谢物、呋喃西林代谢物、呋喃唑酮代谢物、洛硝达唑、甲硝唑、地美硝唑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spacing w:line="360" w:lineRule="auto"/>
        <w:ind w:firstLine="361" w:firstLineChars="150"/>
        <w:rPr>
          <w:rFonts w:hint="eastAsia" w:ascii="宋体" w:hAnsi="宋体"/>
          <w:b/>
          <w:bCs w:val="0"/>
          <w:color w:val="auto"/>
          <w:sz w:val="24"/>
          <w:szCs w:val="24"/>
          <w:lang w:val="en-US" w:eastAsia="zh-CN"/>
        </w:rPr>
      </w:pPr>
    </w:p>
    <w:p>
      <w:pPr>
        <w:spacing w:line="360" w:lineRule="auto"/>
        <w:ind w:firstLine="361" w:firstLineChars="150"/>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标项二：普通小作坊食品重点品种专项抽检</w:t>
      </w:r>
    </w:p>
    <w:p>
      <w:pPr>
        <w:spacing w:line="360" w:lineRule="auto"/>
        <w:ind w:firstLine="361" w:firstLineChars="150"/>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抽样：</w:t>
      </w: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1188"/>
        <w:gridCol w:w="1131"/>
        <w:gridCol w:w="1318"/>
        <w:gridCol w:w="1097"/>
        <w:gridCol w:w="947"/>
        <w:gridCol w:w="7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w:t>
            </w:r>
          </w:p>
        </w:tc>
        <w:tc>
          <w:tcPr>
            <w:tcW w:w="2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按2023年国抽细则检验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其他粮食加工品</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谷物粉类制成品</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食用植物油（半精炼、全精炼）</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酸值/酸价、过氧化值、铅（以Pb计）、苯并[a]芘、溶剂残留量，特丁基对苯二酚（TBHQ）、乙基麦芽酚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其他半固体复合调味料</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罂粟碱、可待因、苯甲酸及其钠盐（以苯甲酸计）、脱氢乙酸及其钠盐（以脱氢乙酸计）、防腐剂混合使用时各自用量占其最大使用量的比例之和、甜蜜素（以环己基氨基磺酸计）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预制肉制品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腌腊肉制品</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总砷（以As计）、过氧化值（以脂肪计）、亚硝酸盐（以亚硝酸钠计）、苯甲酸及其钠盐（以苯甲酸计）、山梨酸及其钾盐（以山梨酸计）、胭脂红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熟肉制品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铬（以Cr计）、总砷（以As计）、亚硝酸盐（以亚硝酸钠计）、苯甲酸及其钠盐（以苯甲酸计）、山梨酸及其钾盐（以山梨酸计）、脱氢乙酸及其钠盐（以脱氢乙酸计）、胭脂红、氯霉素、纳他霉素、酸性橙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速冻食品</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速冻面米食品</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速冻面米食品</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铅、糖精钠（以糖精计）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膨化食品</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酸价（以脂肪计）、过氧化值（以脂肪计）、糖精钠（以糖精计）、苯甲酸及其钠盐（以苯甲酸计）、山梨酸及其钾盐（以山梨酸计）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薯类食品</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铅（以Pb计）、过氧化值（以脂肪计）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糖果制品(含巧克力及制品)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糖精钠（以糖精计）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铅（以Pb计）、草甘膦、吡虫啉、联苯菊酯、甲拌磷、克百威、氧乐果、毒死蜱、多菌灵、呋虫胺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酒类</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蒸馏酒</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酒精度、铅（以Pb计）、甲醇、糖精钠（以糖精计）、甜蜜素（以环己基氨基磺酸计）、三氯蔗糖，安赛蜜，邻苯二甲酸二甲酯（DMP）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其他酒</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其他发酵酒</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苯甲酸及其钠盐（以苯甲酸计）、山梨酸及其钾盐（以山梨酸计）、糖精钠（以糖精计）、安赛蜜、甜蜜素（以环己基氨基磺酸计）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配制酒</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酒精度、糖精钠（以糖精计）、甜蜜素（以环己基氨基磺酸计）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酱腌菜</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苯甲酸及其钠盐（以苯甲酸计）、山梨酸及其钾盐（以山梨酸计）、脱氢乙酸及其钠盐（以脱氢乙酸计）、防腐剂混合使用时各自用量占其最大使用量的比例之和、糖精钠（以糖精计）、甜蜜素（以环己基氨基磺酸计）、二氧化硫残留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 烘炒类、油炸类、其他类）</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铅（以Pb计）、黄曲霉毒素B</w:t>
            </w:r>
            <w:r>
              <w:rPr>
                <w:rFonts w:hint="eastAsia" w:ascii="宋体" w:hAnsi="宋体" w:eastAsia="宋体" w:cs="宋体"/>
                <w:i w:val="0"/>
                <w:iCs w:val="0"/>
                <w:color w:val="000000"/>
                <w:kern w:val="0"/>
                <w:sz w:val="18"/>
                <w:szCs w:val="18"/>
                <w:u w:val="none"/>
                <w:vertAlign w:val="subscript"/>
                <w:lang w:val="en-US" w:eastAsia="zh-CN" w:bidi="ar"/>
              </w:rPr>
              <w:t>1</w:t>
            </w:r>
            <w:r>
              <w:rPr>
                <w:rFonts w:hint="eastAsia" w:ascii="宋体" w:hAnsi="宋体" w:eastAsia="宋体" w:cs="宋体"/>
                <w:i w:val="0"/>
                <w:iCs w:val="0"/>
                <w:color w:val="000000"/>
                <w:kern w:val="0"/>
                <w:sz w:val="18"/>
                <w:szCs w:val="18"/>
                <w:u w:val="none"/>
                <w:lang w:val="en-US" w:eastAsia="zh-CN" w:bidi="ar"/>
              </w:rPr>
              <w:t>、酸价（以脂肪计）、过氧化值（以脂肪计）、糖精钠（以糖精计）、甜蜜素（以环己基氨基磺酸计）、二氧化硫残留量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可可及焙烤咖啡产品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焙炒咖啡</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焙炒咖啡</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铅（以Pb计）、赭曲霉毒素A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蔗糖分、还原糖分、二氧化硫残留量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淀粉制品</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苯甲酸及其钠盐（以苯甲酸计）、山梨酸及其钾盐（以山梨酸计）、脱氢乙酸及其钠盐（以脱氢乙酸计）、铝的残留量（干样品，以AL计）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糖精钠（以糖精计）、三氯蔗糖、甜蜜素（以环己基氨基磺酸计）、铝的残留量（干样品，以Al计），金黄色葡萄球菌，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非发酵性豆制品</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铅（以Pb计）、苯甲酸及其钠盐（以苯甲酸计）、山梨酸及其钾盐（以山梨酸计）、脱氢乙酸及其钠盐（以脱氢乙酸计）、铝的残留量（干样品，以AL计）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蜂蜜</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氯霉素、呋喃妥因代谢物、呋喃西林代谢物、呋喃唑酮代谢物、洛硝达唑、甲硝唑、地美硝唑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6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spacing w:line="360" w:lineRule="auto"/>
        <w:ind w:firstLine="361" w:firstLineChars="150"/>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检测：</w:t>
      </w: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1190"/>
        <w:gridCol w:w="1117"/>
        <w:gridCol w:w="1335"/>
        <w:gridCol w:w="2067"/>
        <w:gridCol w:w="1021"/>
        <w:gridCol w:w="865"/>
        <w:gridCol w:w="5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2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   （一级）</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食品亚类（二级）</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   （三级）</w:t>
            </w:r>
          </w:p>
        </w:tc>
        <w:tc>
          <w:tcPr>
            <w:tcW w:w="7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w:t>
            </w:r>
          </w:p>
        </w:tc>
        <w:tc>
          <w:tcPr>
            <w:tcW w:w="20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2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0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食用植物油（半精炼、全精炼）</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其他食用植物油（半精炼、全精炼）</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酸值/酸价、过氧化值、铅（以Pb计）、苯并[a]芘、溶剂残留量，特丁基对苯二酚（TBHQ）、乙基麦芽酚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熟肉制品</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铬（以Cr计）、总砷（以As计）、亚硝酸盐（以亚硝酸钠计）、苯甲酸及其钠盐（以苯甲酸计）、山梨酸及其钾盐（以山梨酸计）、脱氢乙酸及其钠盐（以脱氢乙酸计）、胭脂红、氯霉素、纳他霉素、酸性橙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酒类</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蒸馏酒</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白酒、白酒（液态）、白酒（原酒）</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酒精度、铅（以Pb计）、甲醇、糖精钠（以糖精计）、甜蜜素（以环己基氨基磺酸计）、三氯蔗糖，安赛蜜，邻苯二甲酸二甲酯（DMP）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热加工糕点</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糖精钠（以糖精计）、三氯蔗糖、甜蜜素（以环己基氨基磺酸计）、铝的残留量（干样品，以Al计），金黄色葡萄球菌，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冷加工糕点</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非发酵性豆制品</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腐竹、油皮</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0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铅（以Pb计）、苯甲酸及其钠盐（以苯甲酸计）、山梨酸及其钾盐（以山梨酸计）、脱氢乙酸及其钠盐（以脱氢乙酸计）、铝的残留量（干样品，以AL计）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豆干、豆腐、豆皮等</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spacing w:line="360" w:lineRule="auto"/>
        <w:ind w:firstLine="360" w:firstLineChars="150"/>
        <w:rPr>
          <w:rFonts w:hint="eastAsia" w:ascii="宋体" w:hAnsi="宋体" w:eastAsia="宋体"/>
          <w:bCs/>
          <w:color w:val="auto"/>
          <w:sz w:val="24"/>
          <w:szCs w:val="24"/>
        </w:rPr>
      </w:pPr>
    </w:p>
    <w:p>
      <w:pPr>
        <w:spacing w:line="360" w:lineRule="auto"/>
        <w:ind w:firstLine="360" w:firstLineChars="150"/>
        <w:rPr>
          <w:rFonts w:ascii="宋体" w:hAnsi="宋体" w:eastAsia="宋体"/>
          <w:bCs/>
          <w:color w:val="auto"/>
          <w:sz w:val="24"/>
          <w:szCs w:val="24"/>
        </w:rPr>
      </w:pPr>
      <w:r>
        <w:rPr>
          <w:rFonts w:hint="eastAsia" w:ascii="宋体" w:hAnsi="宋体" w:eastAsia="宋体"/>
          <w:bCs/>
          <w:color w:val="auto"/>
          <w:sz w:val="24"/>
          <w:szCs w:val="24"/>
        </w:rPr>
        <w:t>注：</w:t>
      </w:r>
    </w:p>
    <w:p>
      <w:pPr>
        <w:spacing w:line="360" w:lineRule="auto"/>
        <w:ind w:firstLine="360" w:firstLineChars="150"/>
        <w:rPr>
          <w:rFonts w:ascii="宋体" w:hAnsi="宋体" w:eastAsia="宋体"/>
          <w:bCs/>
          <w:color w:val="auto"/>
          <w:sz w:val="24"/>
          <w:szCs w:val="24"/>
        </w:rPr>
      </w:pPr>
      <w:r>
        <w:rPr>
          <w:rFonts w:hint="eastAsia" w:ascii="宋体" w:hAnsi="宋体" w:eastAsia="宋体"/>
          <w:bCs/>
          <w:color w:val="auto"/>
          <w:sz w:val="24"/>
          <w:szCs w:val="24"/>
        </w:rPr>
        <w:t>1、</w:t>
      </w:r>
      <w:r>
        <w:rPr>
          <w:rFonts w:hint="eastAsia" w:ascii="宋体" w:hAnsi="宋体" w:eastAsia="宋体"/>
          <w:b/>
          <w:bCs/>
          <w:color w:val="auto"/>
          <w:sz w:val="24"/>
          <w:szCs w:val="24"/>
        </w:rPr>
        <w:t>上述清单中的检测计划批次数及检测季度</w:t>
      </w:r>
      <w:r>
        <w:rPr>
          <w:rFonts w:hint="eastAsia" w:ascii="宋体" w:hAnsi="宋体" w:eastAsia="宋体"/>
          <w:b/>
          <w:bCs/>
          <w:color w:val="auto"/>
          <w:sz w:val="24"/>
          <w:szCs w:val="24"/>
          <w:lang w:eastAsia="zh-CN"/>
        </w:rPr>
        <w:t>（</w:t>
      </w:r>
      <w:r>
        <w:rPr>
          <w:rFonts w:hint="eastAsia" w:ascii="宋体" w:hAnsi="宋体" w:eastAsia="宋体"/>
          <w:b/>
          <w:bCs/>
          <w:color w:val="auto"/>
          <w:sz w:val="24"/>
          <w:szCs w:val="24"/>
          <w:lang w:val="en-US" w:eastAsia="zh-CN"/>
        </w:rPr>
        <w:t>如有）</w:t>
      </w:r>
      <w:r>
        <w:rPr>
          <w:rFonts w:hint="eastAsia" w:ascii="宋体" w:hAnsi="宋体" w:eastAsia="宋体"/>
          <w:b/>
          <w:bCs/>
          <w:color w:val="auto"/>
          <w:sz w:val="24"/>
          <w:szCs w:val="24"/>
        </w:rPr>
        <w:t>为参考数量，实际检测批次数以招标人需求为准，最终以单价与实际检测批次数进行结算。采购人保留在签约时调整部分方案及检测批次数和服务的权力，投标人应对投标总价中各单项批次检测服务明细报价，按投标单价不变的前提下进行调整，双方不得拒绝。</w:t>
      </w:r>
    </w:p>
    <w:p>
      <w:pPr>
        <w:spacing w:line="360" w:lineRule="auto"/>
        <w:ind w:firstLine="360" w:firstLineChars="150"/>
        <w:rPr>
          <w:rFonts w:ascii="宋体" w:hAnsi="宋体" w:eastAsia="宋体"/>
          <w:color w:val="auto"/>
          <w:sz w:val="24"/>
          <w:szCs w:val="24"/>
        </w:rPr>
      </w:pPr>
      <w:r>
        <w:rPr>
          <w:rFonts w:hint="eastAsia" w:ascii="宋体" w:hAnsi="宋体" w:eastAsia="宋体"/>
          <w:color w:val="auto"/>
          <w:sz w:val="24"/>
          <w:szCs w:val="24"/>
        </w:rPr>
        <w:t>2、投标人在响应文件中需按照</w:t>
      </w:r>
      <w:r>
        <w:rPr>
          <w:rFonts w:hint="eastAsia" w:ascii="宋体" w:hAnsi="宋体" w:eastAsia="宋体"/>
          <w:bCs/>
          <w:color w:val="auto"/>
          <w:sz w:val="24"/>
          <w:szCs w:val="24"/>
        </w:rPr>
        <w:t>、检测内容及所依据的检测标准中</w:t>
      </w:r>
      <w:r>
        <w:rPr>
          <w:rFonts w:hint="eastAsia" w:ascii="宋体" w:hAnsi="宋体" w:eastAsia="宋体"/>
          <w:color w:val="auto"/>
          <w:sz w:val="24"/>
          <w:szCs w:val="24"/>
        </w:rPr>
        <w:t>的产品种类，根据</w:t>
      </w:r>
      <w:r>
        <w:rPr>
          <w:rFonts w:hint="eastAsia" w:ascii="宋体" w:hAnsi="宋体" w:eastAsia="宋体"/>
          <w:b/>
          <w:bCs/>
          <w:color w:val="auto"/>
          <w:sz w:val="24"/>
          <w:szCs w:val="24"/>
        </w:rPr>
        <w:t>《</w:t>
      </w:r>
      <w:r>
        <w:rPr>
          <w:rFonts w:hint="eastAsia" w:ascii="宋体" w:hAnsi="宋体" w:eastAsia="宋体" w:cs="宋体"/>
          <w:b/>
          <w:color w:val="auto"/>
          <w:sz w:val="24"/>
          <w:szCs w:val="24"/>
          <w:lang w:eastAsia="zh-CN"/>
        </w:rPr>
        <w:t>国家食品安全监督抽检实施细则（2024年版）</w:t>
      </w:r>
      <w:r>
        <w:rPr>
          <w:rFonts w:hint="eastAsia" w:ascii="宋体" w:hAnsi="宋体" w:eastAsia="宋体"/>
          <w:b/>
          <w:bCs/>
          <w:color w:val="auto"/>
          <w:sz w:val="24"/>
          <w:szCs w:val="24"/>
        </w:rPr>
        <w:t>》</w:t>
      </w:r>
      <w:r>
        <w:rPr>
          <w:rFonts w:hint="eastAsia" w:ascii="宋体" w:hAnsi="宋体" w:eastAsia="宋体"/>
          <w:color w:val="auto"/>
          <w:sz w:val="24"/>
          <w:szCs w:val="24"/>
        </w:rPr>
        <w:t>的检测项目进行逐项检测能力梳理，参照实施细则中检测项目的表格形式，在每个检测项目后写明所具备检测能力是否与实施细则要求的标准方法一致。</w:t>
      </w:r>
      <w:r>
        <w:rPr>
          <w:rFonts w:hint="eastAsia" w:ascii="宋体" w:hAnsi="宋体" w:eastAsia="宋体"/>
          <w:b/>
          <w:color w:val="auto"/>
          <w:sz w:val="24"/>
          <w:szCs w:val="24"/>
        </w:rPr>
        <w:t>未逐项写明的，视作该类产品无检测能力；写明有检测能力，但实际并不具备的，一经发现，视作虚假竞标。</w:t>
      </w:r>
      <w:r>
        <w:rPr>
          <w:rFonts w:hint="eastAsia" w:ascii="宋体" w:hAnsi="宋体" w:eastAsia="宋体"/>
          <w:color w:val="auto"/>
          <w:sz w:val="24"/>
          <w:szCs w:val="24"/>
        </w:rPr>
        <w:t>投标人在印证材料中需要将</w:t>
      </w:r>
      <w:r>
        <w:rPr>
          <w:rFonts w:hint="eastAsia" w:ascii="宋体" w:hAnsi="宋体" w:eastAsia="宋体"/>
          <w:color w:val="auto"/>
          <w:sz w:val="24"/>
          <w:szCs w:val="24"/>
          <w:highlight w:val="none"/>
        </w:rPr>
        <w:t>涉及到</w:t>
      </w:r>
      <w:r>
        <w:rPr>
          <w:rFonts w:hint="eastAsia" w:ascii="宋体" w:hAnsi="宋体" w:eastAsia="宋体"/>
          <w:color w:val="auto"/>
          <w:sz w:val="24"/>
          <w:szCs w:val="24"/>
        </w:rPr>
        <w:t>的指标用记号进行标注，方便查验。</w:t>
      </w:r>
    </w:p>
    <w:p>
      <w:pPr>
        <w:spacing w:line="360" w:lineRule="auto"/>
        <w:ind w:firstLine="361" w:firstLineChars="150"/>
        <w:rPr>
          <w:rFonts w:hint="default" w:ascii="宋体" w:hAnsi="宋体" w:eastAsia="宋体"/>
          <w:b/>
          <w:bCs w:val="0"/>
          <w:color w:val="auto"/>
          <w:sz w:val="24"/>
          <w:szCs w:val="24"/>
          <w:lang w:val="en-US" w:eastAsia="zh-CN"/>
        </w:rPr>
      </w:pPr>
      <w:r>
        <w:rPr>
          <w:rFonts w:hint="eastAsia" w:ascii="宋体" w:hAnsi="宋体"/>
          <w:b/>
          <w:bCs w:val="0"/>
          <w:color w:val="auto"/>
          <w:sz w:val="24"/>
          <w:szCs w:val="24"/>
          <w:lang w:val="en-US" w:eastAsia="zh-CN"/>
        </w:rPr>
        <w:t xml:space="preserve"> </w:t>
      </w:r>
    </w:p>
    <w:p>
      <w:pPr>
        <w:pStyle w:val="4"/>
        <w:rPr>
          <w:color w:val="auto"/>
        </w:rPr>
        <w:sectPr>
          <w:pgSz w:w="16840" w:h="11907" w:orient="landscape"/>
          <w:pgMar w:top="1080" w:right="1440" w:bottom="1080" w:left="1440" w:header="851" w:footer="851" w:gutter="0"/>
          <w:cols w:space="720" w:num="1"/>
        </w:sectPr>
      </w:pPr>
    </w:p>
    <w:p>
      <w:pPr>
        <w:rPr>
          <w:color w:val="auto"/>
        </w:rPr>
      </w:pPr>
    </w:p>
    <w:p>
      <w:pPr>
        <w:widowControl/>
        <w:ind w:firstLine="720" w:firstLineChars="300"/>
        <w:jc w:val="left"/>
        <w:rPr>
          <w:rFonts w:ascii="宋体" w:hAnsi="宋体" w:cs="宋体"/>
          <w:bCs/>
          <w:color w:val="auto"/>
          <w:sz w:val="24"/>
        </w:rPr>
      </w:pPr>
    </w:p>
    <w:p>
      <w:pPr>
        <w:rPr>
          <w:rFonts w:ascii="宋体" w:hAnsi="宋体" w:cs="宋体"/>
          <w:snapToGrid w:val="0"/>
          <w:color w:val="auto"/>
          <w:kern w:val="0"/>
          <w:sz w:val="24"/>
        </w:rPr>
      </w:pP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9" w:name="_Toc184308096"/>
      <w:bookmarkEnd w:id="29"/>
      <w:bookmarkStart w:id="30" w:name="_Toc184313295"/>
      <w:bookmarkEnd w:id="30"/>
      <w:bookmarkStart w:id="31" w:name="_Toc184308047"/>
      <w:bookmarkEnd w:id="31"/>
      <w:bookmarkStart w:id="32" w:name="_Toc184312103"/>
      <w:bookmarkEnd w:id="32"/>
      <w:bookmarkStart w:id="33" w:name="_Toc184313288"/>
      <w:bookmarkEnd w:id="33"/>
      <w:bookmarkStart w:id="34" w:name="_Toc184308097"/>
      <w:bookmarkEnd w:id="34"/>
      <w:bookmarkStart w:id="35" w:name="_Toc184314424"/>
      <w:bookmarkEnd w:id="35"/>
      <w:bookmarkStart w:id="36" w:name="_Toc184310326"/>
      <w:bookmarkEnd w:id="36"/>
      <w:bookmarkStart w:id="37" w:name="_Toc184308065"/>
      <w:bookmarkEnd w:id="37"/>
      <w:bookmarkStart w:id="38" w:name="_Toc184314459"/>
      <w:bookmarkEnd w:id="38"/>
      <w:bookmarkStart w:id="39" w:name="_Toc184313265"/>
      <w:bookmarkEnd w:id="39"/>
      <w:bookmarkStart w:id="40" w:name="_Toc184312097"/>
      <w:bookmarkEnd w:id="40"/>
      <w:bookmarkStart w:id="41" w:name="_Toc184310299"/>
      <w:bookmarkEnd w:id="41"/>
      <w:bookmarkStart w:id="42" w:name="_Toc184312113"/>
      <w:bookmarkEnd w:id="42"/>
      <w:bookmarkStart w:id="43" w:name="_Toc184310305"/>
      <w:bookmarkEnd w:id="43"/>
      <w:bookmarkStart w:id="44" w:name="_Toc184312099"/>
      <w:bookmarkEnd w:id="44"/>
      <w:bookmarkStart w:id="45" w:name="_Toc184314482"/>
      <w:bookmarkEnd w:id="45"/>
      <w:bookmarkStart w:id="46" w:name="_Toc184313299"/>
      <w:bookmarkEnd w:id="46"/>
      <w:bookmarkStart w:id="47" w:name="_Toc184314432"/>
      <w:bookmarkEnd w:id="47"/>
      <w:bookmarkStart w:id="48" w:name="_Toc184310341"/>
      <w:bookmarkEnd w:id="48"/>
      <w:bookmarkStart w:id="49" w:name="_Toc184308086"/>
      <w:bookmarkEnd w:id="49"/>
      <w:bookmarkStart w:id="50" w:name="_Toc184312072"/>
      <w:bookmarkEnd w:id="50"/>
      <w:bookmarkStart w:id="51" w:name="_Toc184314414"/>
      <w:bookmarkEnd w:id="51"/>
      <w:bookmarkStart w:id="52" w:name="_Toc184308079"/>
      <w:bookmarkEnd w:id="52"/>
      <w:bookmarkStart w:id="53" w:name="_Toc184312091"/>
      <w:bookmarkEnd w:id="53"/>
      <w:bookmarkStart w:id="54" w:name="_Toc184308075"/>
      <w:bookmarkEnd w:id="54"/>
      <w:bookmarkStart w:id="55" w:name="_Toc184310334"/>
      <w:bookmarkEnd w:id="55"/>
      <w:bookmarkStart w:id="56" w:name="_Toc184312085"/>
      <w:bookmarkEnd w:id="56"/>
      <w:bookmarkStart w:id="57" w:name="_Toc184308044"/>
      <w:bookmarkEnd w:id="57"/>
      <w:bookmarkStart w:id="58" w:name="_Toc184308070"/>
      <w:bookmarkEnd w:id="58"/>
      <w:bookmarkStart w:id="59" w:name="_Toc184314472"/>
      <w:bookmarkEnd w:id="59"/>
      <w:bookmarkStart w:id="60" w:name="_Toc184308050"/>
      <w:bookmarkEnd w:id="60"/>
      <w:bookmarkStart w:id="61" w:name="_Toc184314417"/>
      <w:bookmarkEnd w:id="61"/>
      <w:bookmarkStart w:id="62" w:name="_Toc184314450"/>
      <w:bookmarkEnd w:id="62"/>
      <w:bookmarkStart w:id="63" w:name="_Toc184313308"/>
      <w:bookmarkEnd w:id="63"/>
      <w:bookmarkStart w:id="64" w:name="_Toc184308041"/>
      <w:bookmarkEnd w:id="64"/>
      <w:bookmarkStart w:id="65" w:name="_Toc184308067"/>
      <w:bookmarkEnd w:id="65"/>
      <w:bookmarkStart w:id="66" w:name="_Toc184310277"/>
      <w:bookmarkEnd w:id="66"/>
      <w:bookmarkStart w:id="67" w:name="_Toc184310342"/>
      <w:bookmarkEnd w:id="67"/>
      <w:bookmarkStart w:id="68" w:name="_Toc184310340"/>
      <w:bookmarkEnd w:id="68"/>
      <w:bookmarkStart w:id="69" w:name="_Toc184313274"/>
      <w:bookmarkEnd w:id="69"/>
      <w:bookmarkStart w:id="70" w:name="_Toc184314430"/>
      <w:bookmarkEnd w:id="70"/>
      <w:bookmarkStart w:id="71" w:name="_Toc184314445"/>
      <w:bookmarkEnd w:id="71"/>
      <w:bookmarkStart w:id="72" w:name="_Toc184308098"/>
      <w:bookmarkEnd w:id="72"/>
      <w:bookmarkStart w:id="73" w:name="_Toc184312128"/>
      <w:bookmarkEnd w:id="73"/>
      <w:bookmarkStart w:id="74" w:name="_Toc184310314"/>
      <w:bookmarkEnd w:id="74"/>
      <w:bookmarkStart w:id="75" w:name="_Toc184312092"/>
      <w:bookmarkEnd w:id="75"/>
      <w:bookmarkStart w:id="76" w:name="_Toc184308090"/>
      <w:bookmarkEnd w:id="76"/>
      <w:bookmarkStart w:id="77" w:name="_Toc184313305"/>
      <w:bookmarkEnd w:id="77"/>
      <w:bookmarkStart w:id="78" w:name="_Toc184312117"/>
      <w:bookmarkEnd w:id="78"/>
      <w:bookmarkStart w:id="79" w:name="_Toc184313250"/>
      <w:bookmarkEnd w:id="79"/>
      <w:bookmarkStart w:id="80" w:name="_Toc184314464"/>
      <w:bookmarkEnd w:id="80"/>
      <w:bookmarkStart w:id="81" w:name="_Toc184313246"/>
      <w:bookmarkEnd w:id="81"/>
      <w:bookmarkStart w:id="82" w:name="_Toc184308036"/>
      <w:bookmarkEnd w:id="82"/>
      <w:bookmarkStart w:id="83" w:name="_Toc184313280"/>
      <w:bookmarkEnd w:id="83"/>
      <w:bookmarkStart w:id="84" w:name="_Toc184313278"/>
      <w:bookmarkEnd w:id="84"/>
      <w:bookmarkStart w:id="85" w:name="_Toc184313249"/>
      <w:bookmarkEnd w:id="85"/>
      <w:bookmarkStart w:id="86" w:name="_Toc184310327"/>
      <w:bookmarkEnd w:id="86"/>
      <w:bookmarkStart w:id="87" w:name="_Toc184313277"/>
      <w:bookmarkEnd w:id="87"/>
      <w:bookmarkStart w:id="88" w:name="_Toc184308100"/>
      <w:bookmarkEnd w:id="88"/>
      <w:bookmarkStart w:id="89" w:name="_Toc184312116"/>
      <w:bookmarkEnd w:id="89"/>
      <w:bookmarkStart w:id="90" w:name="_Toc184313269"/>
      <w:bookmarkEnd w:id="90"/>
      <w:bookmarkStart w:id="91" w:name="_Toc184310285"/>
      <w:bookmarkEnd w:id="91"/>
      <w:bookmarkStart w:id="92" w:name="_Toc184314431"/>
      <w:bookmarkEnd w:id="92"/>
      <w:bookmarkStart w:id="93" w:name="_Toc184308053"/>
      <w:bookmarkEnd w:id="93"/>
      <w:bookmarkStart w:id="94" w:name="_Toc184313238"/>
      <w:bookmarkEnd w:id="94"/>
      <w:bookmarkStart w:id="95" w:name="_Toc184310328"/>
      <w:bookmarkEnd w:id="95"/>
      <w:bookmarkStart w:id="96" w:name="_Toc184312137"/>
      <w:bookmarkEnd w:id="96"/>
      <w:bookmarkStart w:id="97" w:name="_Toc184308084"/>
      <w:bookmarkEnd w:id="97"/>
      <w:bookmarkStart w:id="98" w:name="_Toc184312136"/>
      <w:bookmarkEnd w:id="98"/>
      <w:bookmarkStart w:id="99" w:name="_Toc184314475"/>
      <w:bookmarkEnd w:id="99"/>
      <w:bookmarkStart w:id="100" w:name="_Toc184312131"/>
      <w:bookmarkEnd w:id="100"/>
      <w:bookmarkStart w:id="101" w:name="_Toc184312130"/>
      <w:bookmarkEnd w:id="101"/>
      <w:bookmarkStart w:id="102" w:name="_Toc184308095"/>
      <w:bookmarkEnd w:id="102"/>
      <w:bookmarkStart w:id="103" w:name="_Toc184312129"/>
      <w:bookmarkEnd w:id="103"/>
      <w:bookmarkStart w:id="104" w:name="_Toc184312093"/>
      <w:bookmarkEnd w:id="104"/>
      <w:bookmarkStart w:id="105" w:name="_Toc184314421"/>
      <w:bookmarkEnd w:id="105"/>
      <w:bookmarkStart w:id="106" w:name="_Toc184313290"/>
      <w:bookmarkEnd w:id="106"/>
      <w:bookmarkStart w:id="107" w:name="_Toc184313267"/>
      <w:bookmarkEnd w:id="107"/>
      <w:bookmarkStart w:id="108" w:name="_Toc184313303"/>
      <w:bookmarkEnd w:id="108"/>
      <w:bookmarkStart w:id="109" w:name="_Toc184312120"/>
      <w:bookmarkEnd w:id="109"/>
      <w:bookmarkStart w:id="110" w:name="_Toc184314415"/>
      <w:bookmarkEnd w:id="110"/>
      <w:bookmarkStart w:id="111" w:name="_Toc184312124"/>
      <w:bookmarkEnd w:id="111"/>
      <w:bookmarkStart w:id="112" w:name="_Toc184312090"/>
      <w:bookmarkEnd w:id="112"/>
      <w:bookmarkStart w:id="113" w:name="_Toc184313298"/>
      <w:bookmarkEnd w:id="113"/>
      <w:bookmarkStart w:id="114" w:name="_Toc184313307"/>
      <w:bookmarkEnd w:id="114"/>
      <w:bookmarkStart w:id="115" w:name="_Toc184313281"/>
      <w:bookmarkEnd w:id="115"/>
      <w:bookmarkStart w:id="116" w:name="_Toc184310335"/>
      <w:bookmarkEnd w:id="116"/>
      <w:bookmarkStart w:id="117" w:name="_Toc184310304"/>
      <w:bookmarkEnd w:id="117"/>
      <w:bookmarkStart w:id="118" w:name="_Toc184312078"/>
      <w:bookmarkEnd w:id="118"/>
      <w:bookmarkStart w:id="119" w:name="_Toc184308087"/>
      <w:bookmarkEnd w:id="119"/>
      <w:bookmarkStart w:id="120" w:name="_Toc184313301"/>
      <w:bookmarkEnd w:id="120"/>
      <w:bookmarkStart w:id="121" w:name="_Toc184314480"/>
      <w:bookmarkEnd w:id="121"/>
      <w:bookmarkStart w:id="122" w:name="_Toc184314453"/>
      <w:bookmarkEnd w:id="122"/>
      <w:bookmarkStart w:id="123" w:name="_Toc184310312"/>
      <w:bookmarkEnd w:id="123"/>
      <w:bookmarkStart w:id="124" w:name="_Toc184308039"/>
      <w:bookmarkEnd w:id="124"/>
      <w:bookmarkStart w:id="125" w:name="_Toc184312135"/>
      <w:bookmarkEnd w:id="125"/>
      <w:bookmarkStart w:id="126" w:name="_Toc184314458"/>
      <w:bookmarkEnd w:id="126"/>
      <w:bookmarkStart w:id="127" w:name="_Toc184310283"/>
      <w:bookmarkEnd w:id="127"/>
      <w:bookmarkStart w:id="128" w:name="_Toc184308059"/>
      <w:bookmarkEnd w:id="128"/>
      <w:bookmarkStart w:id="129" w:name="_Toc184313306"/>
      <w:bookmarkEnd w:id="129"/>
      <w:bookmarkStart w:id="130" w:name="_Toc184312119"/>
      <w:bookmarkEnd w:id="130"/>
      <w:bookmarkStart w:id="131" w:name="_Toc184308104"/>
      <w:bookmarkEnd w:id="131"/>
      <w:bookmarkStart w:id="132" w:name="_Toc184312096"/>
      <w:bookmarkEnd w:id="132"/>
      <w:bookmarkStart w:id="133" w:name="_Toc184313284"/>
      <w:bookmarkEnd w:id="133"/>
      <w:bookmarkStart w:id="134" w:name="_Toc184312075"/>
      <w:bookmarkEnd w:id="134"/>
      <w:bookmarkStart w:id="135" w:name="_Toc184313248"/>
      <w:bookmarkEnd w:id="135"/>
      <w:bookmarkStart w:id="136" w:name="_Toc184313256"/>
      <w:bookmarkEnd w:id="136"/>
      <w:bookmarkStart w:id="137" w:name="_Toc184308042"/>
      <w:bookmarkEnd w:id="137"/>
      <w:bookmarkStart w:id="138" w:name="_Toc184310325"/>
      <w:bookmarkEnd w:id="138"/>
      <w:bookmarkStart w:id="139" w:name="_Toc184310324"/>
      <w:bookmarkEnd w:id="139"/>
      <w:bookmarkStart w:id="140" w:name="_Toc184312071"/>
      <w:bookmarkEnd w:id="140"/>
      <w:bookmarkStart w:id="141" w:name="_Toc184310280"/>
      <w:bookmarkEnd w:id="141"/>
      <w:bookmarkStart w:id="142" w:name="_Toc184312126"/>
      <w:bookmarkEnd w:id="142"/>
      <w:bookmarkStart w:id="143" w:name="_Toc184314444"/>
      <w:bookmarkEnd w:id="143"/>
      <w:bookmarkStart w:id="144" w:name="_Toc184312127"/>
      <w:bookmarkEnd w:id="144"/>
      <w:bookmarkStart w:id="145" w:name="_Toc184308105"/>
      <w:bookmarkEnd w:id="145"/>
      <w:bookmarkStart w:id="146" w:name="_Toc184310333"/>
      <w:bookmarkEnd w:id="146"/>
      <w:bookmarkStart w:id="147" w:name="_Toc184310272"/>
      <w:bookmarkEnd w:id="147"/>
      <w:bookmarkStart w:id="148" w:name="_Toc184313285"/>
      <w:bookmarkEnd w:id="148"/>
      <w:bookmarkStart w:id="149" w:name="_Toc184312084"/>
      <w:bookmarkEnd w:id="149"/>
      <w:bookmarkStart w:id="150" w:name="_Toc184310284"/>
      <w:bookmarkEnd w:id="150"/>
      <w:bookmarkStart w:id="151" w:name="_Toc184308048"/>
      <w:bookmarkEnd w:id="151"/>
      <w:bookmarkStart w:id="152" w:name="_Toc184312094"/>
      <w:bookmarkEnd w:id="152"/>
      <w:bookmarkStart w:id="153" w:name="_Toc184310337"/>
      <w:bookmarkEnd w:id="153"/>
      <w:bookmarkStart w:id="154" w:name="_Toc184314439"/>
      <w:bookmarkEnd w:id="154"/>
      <w:bookmarkStart w:id="155" w:name="_Toc184314462"/>
      <w:bookmarkEnd w:id="155"/>
      <w:bookmarkStart w:id="156" w:name="_Toc184310289"/>
      <w:bookmarkEnd w:id="156"/>
      <w:bookmarkStart w:id="157" w:name="_Toc184313260"/>
      <w:bookmarkEnd w:id="157"/>
      <w:bookmarkStart w:id="158" w:name="_Toc184314476"/>
      <w:bookmarkEnd w:id="158"/>
      <w:bookmarkStart w:id="159" w:name="_Toc184312088"/>
      <w:bookmarkEnd w:id="159"/>
      <w:bookmarkStart w:id="160" w:name="_Toc184312074"/>
      <w:bookmarkEnd w:id="160"/>
      <w:bookmarkStart w:id="161" w:name="_Toc184308074"/>
      <w:bookmarkEnd w:id="161"/>
      <w:bookmarkStart w:id="162" w:name="_Toc184313253"/>
      <w:bookmarkEnd w:id="162"/>
      <w:bookmarkStart w:id="163" w:name="_Toc184312083"/>
      <w:bookmarkEnd w:id="163"/>
      <w:bookmarkStart w:id="164" w:name="_Toc184308089"/>
      <w:bookmarkEnd w:id="164"/>
      <w:bookmarkStart w:id="165" w:name="_Toc184310343"/>
      <w:bookmarkEnd w:id="165"/>
      <w:bookmarkStart w:id="166" w:name="_Toc184313239"/>
      <w:bookmarkEnd w:id="166"/>
      <w:bookmarkStart w:id="167" w:name="_Toc184314419"/>
      <w:bookmarkEnd w:id="167"/>
      <w:bookmarkStart w:id="168" w:name="_Toc184312110"/>
      <w:bookmarkEnd w:id="168"/>
      <w:bookmarkStart w:id="169" w:name="_Toc184312104"/>
      <w:bookmarkEnd w:id="169"/>
      <w:bookmarkStart w:id="170" w:name="_Toc184314433"/>
      <w:bookmarkEnd w:id="170"/>
      <w:bookmarkStart w:id="171" w:name="_Toc184313297"/>
      <w:bookmarkEnd w:id="171"/>
      <w:bookmarkStart w:id="172" w:name="_Toc184312114"/>
      <w:bookmarkEnd w:id="172"/>
      <w:bookmarkStart w:id="173" w:name="_Toc184313293"/>
      <w:bookmarkEnd w:id="173"/>
      <w:bookmarkStart w:id="174" w:name="_Toc184308093"/>
      <w:bookmarkEnd w:id="174"/>
      <w:bookmarkStart w:id="175" w:name="_Toc184310287"/>
      <w:bookmarkEnd w:id="175"/>
      <w:bookmarkStart w:id="176" w:name="_Toc184310301"/>
      <w:bookmarkEnd w:id="176"/>
      <w:bookmarkStart w:id="177" w:name="_Toc184308069"/>
      <w:bookmarkEnd w:id="177"/>
      <w:bookmarkStart w:id="178" w:name="_Toc184314422"/>
      <w:bookmarkEnd w:id="178"/>
      <w:bookmarkStart w:id="179" w:name="_Toc184308094"/>
      <w:bookmarkEnd w:id="179"/>
      <w:bookmarkStart w:id="180" w:name="_Toc184312070"/>
      <w:bookmarkEnd w:id="180"/>
      <w:bookmarkStart w:id="181" w:name="_Toc184314460"/>
      <w:bookmarkEnd w:id="181"/>
      <w:bookmarkStart w:id="182" w:name="_Toc184314470"/>
      <w:bookmarkEnd w:id="182"/>
      <w:bookmarkStart w:id="183" w:name="_Toc184314477"/>
      <w:bookmarkEnd w:id="183"/>
      <w:bookmarkStart w:id="184" w:name="_Toc184313242"/>
      <w:bookmarkEnd w:id="184"/>
      <w:bookmarkStart w:id="185" w:name="_Toc184312112"/>
      <w:bookmarkEnd w:id="185"/>
      <w:bookmarkStart w:id="186" w:name="_Toc184313273"/>
      <w:bookmarkEnd w:id="186"/>
      <w:bookmarkStart w:id="187" w:name="_Toc184312105"/>
      <w:bookmarkEnd w:id="187"/>
      <w:bookmarkStart w:id="188" w:name="_Toc184314478"/>
      <w:bookmarkEnd w:id="188"/>
      <w:bookmarkStart w:id="189" w:name="_Toc184312101"/>
      <w:bookmarkEnd w:id="189"/>
      <w:bookmarkStart w:id="190" w:name="_Toc184308066"/>
      <w:bookmarkEnd w:id="190"/>
      <w:bookmarkStart w:id="191" w:name="_Toc184313244"/>
      <w:bookmarkEnd w:id="191"/>
      <w:bookmarkStart w:id="192" w:name="_Toc184310296"/>
      <w:bookmarkEnd w:id="192"/>
      <w:bookmarkStart w:id="193" w:name="_Toc184314420"/>
      <w:bookmarkEnd w:id="193"/>
      <w:bookmarkStart w:id="194" w:name="_Toc184314427"/>
      <w:bookmarkEnd w:id="194"/>
      <w:bookmarkStart w:id="195" w:name="_Toc184313266"/>
      <w:bookmarkEnd w:id="195"/>
      <w:bookmarkStart w:id="196" w:name="_Toc184308101"/>
      <w:bookmarkEnd w:id="196"/>
      <w:bookmarkStart w:id="197" w:name="_Toc184310290"/>
      <w:bookmarkEnd w:id="197"/>
      <w:bookmarkStart w:id="198" w:name="_Toc184312115"/>
      <w:bookmarkEnd w:id="198"/>
      <w:bookmarkStart w:id="199" w:name="_Toc184308082"/>
      <w:bookmarkEnd w:id="199"/>
      <w:bookmarkStart w:id="200" w:name="_Toc184313300"/>
      <w:bookmarkEnd w:id="200"/>
      <w:bookmarkStart w:id="201" w:name="_Toc184313251"/>
      <w:bookmarkEnd w:id="201"/>
      <w:bookmarkStart w:id="202" w:name="_Toc184314465"/>
      <w:bookmarkEnd w:id="202"/>
      <w:bookmarkStart w:id="203" w:name="_Toc184312067"/>
      <w:bookmarkEnd w:id="203"/>
      <w:bookmarkStart w:id="204" w:name="_Toc184314425"/>
      <w:bookmarkEnd w:id="204"/>
      <w:bookmarkStart w:id="205" w:name="_Toc184310294"/>
      <w:bookmarkEnd w:id="205"/>
      <w:bookmarkStart w:id="206" w:name="_Toc184308102"/>
      <w:bookmarkEnd w:id="206"/>
      <w:bookmarkStart w:id="207" w:name="_Toc184310329"/>
      <w:bookmarkEnd w:id="207"/>
      <w:bookmarkStart w:id="208" w:name="_Toc184312087"/>
      <w:bookmarkEnd w:id="208"/>
      <w:bookmarkStart w:id="209" w:name="_Toc184310300"/>
      <w:bookmarkEnd w:id="209"/>
      <w:bookmarkStart w:id="210" w:name="_Toc184308064"/>
      <w:bookmarkEnd w:id="210"/>
      <w:bookmarkStart w:id="211" w:name="_Toc184314454"/>
      <w:bookmarkEnd w:id="211"/>
      <w:bookmarkStart w:id="212" w:name="_Toc184314463"/>
      <w:bookmarkEnd w:id="212"/>
      <w:bookmarkStart w:id="213" w:name="_Toc184313286"/>
      <w:bookmarkEnd w:id="213"/>
      <w:bookmarkStart w:id="214" w:name="_Toc184308040"/>
      <w:bookmarkEnd w:id="214"/>
      <w:bookmarkStart w:id="215" w:name="_Toc184308092"/>
      <w:bookmarkEnd w:id="215"/>
      <w:bookmarkStart w:id="216" w:name="_Toc184312107"/>
      <w:bookmarkEnd w:id="216"/>
      <w:bookmarkStart w:id="217" w:name="_Toc184310292"/>
      <w:bookmarkEnd w:id="217"/>
      <w:bookmarkStart w:id="218" w:name="_Toc184310286"/>
      <w:bookmarkEnd w:id="218"/>
      <w:bookmarkStart w:id="219" w:name="_Toc184312076"/>
      <w:bookmarkEnd w:id="219"/>
      <w:bookmarkStart w:id="220" w:name="_Toc184312086"/>
      <w:bookmarkEnd w:id="220"/>
      <w:bookmarkStart w:id="221" w:name="_Toc184308062"/>
      <w:bookmarkEnd w:id="221"/>
      <w:bookmarkStart w:id="222" w:name="_Toc184313287"/>
      <w:bookmarkEnd w:id="222"/>
      <w:bookmarkStart w:id="223" w:name="_Toc184308078"/>
      <w:bookmarkEnd w:id="223"/>
      <w:bookmarkStart w:id="224" w:name="_Toc184308077"/>
      <w:bookmarkEnd w:id="224"/>
      <w:bookmarkStart w:id="225" w:name="_Toc184308085"/>
      <w:bookmarkEnd w:id="225"/>
      <w:bookmarkStart w:id="226" w:name="_Toc184310288"/>
      <w:bookmarkEnd w:id="226"/>
      <w:bookmarkStart w:id="227" w:name="_Toc184310331"/>
      <w:bookmarkEnd w:id="227"/>
      <w:bookmarkStart w:id="228" w:name="_Toc184312100"/>
      <w:bookmarkEnd w:id="228"/>
      <w:bookmarkStart w:id="229" w:name="_Toc184312081"/>
      <w:bookmarkEnd w:id="229"/>
      <w:bookmarkStart w:id="230" w:name="_Toc184312139"/>
      <w:bookmarkEnd w:id="230"/>
      <w:bookmarkStart w:id="231" w:name="_Toc184312082"/>
      <w:bookmarkEnd w:id="231"/>
      <w:bookmarkStart w:id="232" w:name="_Toc184312132"/>
      <w:bookmarkEnd w:id="232"/>
      <w:bookmarkStart w:id="233" w:name="_Toc184312089"/>
      <w:bookmarkEnd w:id="233"/>
      <w:bookmarkStart w:id="234" w:name="_Toc184308083"/>
      <w:bookmarkEnd w:id="234"/>
      <w:bookmarkStart w:id="235" w:name="_Toc184308054"/>
      <w:bookmarkEnd w:id="235"/>
      <w:bookmarkStart w:id="236" w:name="_Toc184308068"/>
      <w:bookmarkEnd w:id="236"/>
      <w:bookmarkStart w:id="237" w:name="_Toc184310278"/>
      <w:bookmarkEnd w:id="237"/>
      <w:bookmarkStart w:id="238" w:name="_Toc184310323"/>
      <w:bookmarkEnd w:id="238"/>
      <w:bookmarkStart w:id="239" w:name="_Toc184310274"/>
      <w:bookmarkEnd w:id="239"/>
      <w:bookmarkStart w:id="240" w:name="_Toc184313259"/>
      <w:bookmarkEnd w:id="240"/>
      <w:bookmarkStart w:id="241" w:name="_Toc184313283"/>
      <w:bookmarkEnd w:id="241"/>
      <w:bookmarkStart w:id="242" w:name="_Toc184310282"/>
      <w:bookmarkEnd w:id="242"/>
      <w:bookmarkStart w:id="243" w:name="_Toc184310319"/>
      <w:bookmarkEnd w:id="243"/>
      <w:bookmarkStart w:id="244" w:name="_Toc184308076"/>
      <w:bookmarkEnd w:id="244"/>
      <w:bookmarkStart w:id="245" w:name="_Toc184308049"/>
      <w:bookmarkEnd w:id="245"/>
      <w:bookmarkStart w:id="246" w:name="_Toc184313296"/>
      <w:bookmarkEnd w:id="246"/>
      <w:bookmarkStart w:id="247" w:name="_Toc184310276"/>
      <w:bookmarkEnd w:id="247"/>
      <w:bookmarkStart w:id="248" w:name="_Toc184314448"/>
      <w:bookmarkEnd w:id="248"/>
      <w:bookmarkStart w:id="249" w:name="_Toc184308106"/>
      <w:bookmarkEnd w:id="249"/>
      <w:bookmarkStart w:id="250" w:name="_Toc184314429"/>
      <w:bookmarkEnd w:id="250"/>
      <w:bookmarkStart w:id="251" w:name="_Toc184308046"/>
      <w:bookmarkEnd w:id="251"/>
      <w:bookmarkStart w:id="252" w:name="_Toc184314461"/>
      <w:bookmarkEnd w:id="252"/>
      <w:bookmarkStart w:id="253" w:name="_Toc184308108"/>
      <w:bookmarkEnd w:id="253"/>
      <w:bookmarkStart w:id="254" w:name="_Toc184313282"/>
      <w:bookmarkEnd w:id="254"/>
      <w:bookmarkStart w:id="255" w:name="_Toc184312134"/>
      <w:bookmarkEnd w:id="255"/>
      <w:bookmarkStart w:id="256" w:name="_Toc184313262"/>
      <w:bookmarkEnd w:id="256"/>
      <w:bookmarkStart w:id="257" w:name="_Toc184308081"/>
      <w:bookmarkEnd w:id="257"/>
      <w:bookmarkStart w:id="258" w:name="_Toc184314468"/>
      <w:bookmarkEnd w:id="258"/>
      <w:bookmarkStart w:id="259" w:name="_Toc184312138"/>
      <w:bookmarkEnd w:id="259"/>
      <w:bookmarkStart w:id="260" w:name="_Toc184314436"/>
      <w:bookmarkEnd w:id="260"/>
      <w:bookmarkStart w:id="261" w:name="_Toc184308043"/>
      <w:bookmarkEnd w:id="261"/>
      <w:bookmarkStart w:id="262" w:name="_Toc184313291"/>
      <w:bookmarkEnd w:id="262"/>
      <w:bookmarkStart w:id="263" w:name="_Toc184310310"/>
      <w:bookmarkEnd w:id="263"/>
      <w:bookmarkStart w:id="264" w:name="_Toc184312079"/>
      <w:bookmarkEnd w:id="264"/>
      <w:bookmarkStart w:id="265" w:name="_Toc184314435"/>
      <w:bookmarkEnd w:id="265"/>
      <w:bookmarkStart w:id="266" w:name="_Toc184308045"/>
      <w:bookmarkEnd w:id="266"/>
      <w:bookmarkStart w:id="267" w:name="_Toc184308063"/>
      <w:bookmarkEnd w:id="267"/>
      <w:bookmarkStart w:id="268" w:name="_Toc184308060"/>
      <w:bookmarkEnd w:id="268"/>
      <w:bookmarkStart w:id="269" w:name="_Toc184314413"/>
      <w:bookmarkEnd w:id="269"/>
      <w:bookmarkStart w:id="270" w:name="_Toc184314411"/>
      <w:bookmarkEnd w:id="270"/>
      <w:bookmarkStart w:id="271" w:name="_Toc184313275"/>
      <w:bookmarkEnd w:id="271"/>
      <w:bookmarkStart w:id="272" w:name="_Toc184313252"/>
      <w:bookmarkEnd w:id="272"/>
      <w:bookmarkStart w:id="273" w:name="_Toc184314426"/>
      <w:bookmarkEnd w:id="273"/>
      <w:bookmarkStart w:id="274" w:name="_Toc184313258"/>
      <w:bookmarkEnd w:id="274"/>
      <w:bookmarkStart w:id="275" w:name="_Toc184310306"/>
      <w:bookmarkEnd w:id="275"/>
      <w:bookmarkStart w:id="276" w:name="_Toc184310320"/>
      <w:bookmarkEnd w:id="276"/>
      <w:bookmarkStart w:id="277" w:name="_Toc184314471"/>
      <w:bookmarkEnd w:id="277"/>
      <w:bookmarkStart w:id="278" w:name="_Toc184310332"/>
      <w:bookmarkEnd w:id="278"/>
      <w:bookmarkStart w:id="279" w:name="_Toc184314437"/>
      <w:bookmarkEnd w:id="279"/>
      <w:bookmarkStart w:id="280" w:name="_Toc184313255"/>
      <w:bookmarkEnd w:id="280"/>
      <w:bookmarkStart w:id="281" w:name="_Toc184310279"/>
      <w:bookmarkEnd w:id="281"/>
      <w:bookmarkStart w:id="282" w:name="_Toc184310322"/>
      <w:bookmarkEnd w:id="282"/>
      <w:bookmarkStart w:id="283" w:name="_Toc184310311"/>
      <w:bookmarkEnd w:id="283"/>
      <w:bookmarkStart w:id="284" w:name="_Toc184308056"/>
      <w:bookmarkEnd w:id="284"/>
      <w:bookmarkStart w:id="285" w:name="_Toc184308038"/>
      <w:bookmarkEnd w:id="285"/>
      <w:bookmarkStart w:id="286" w:name="_Toc184310303"/>
      <w:bookmarkEnd w:id="286"/>
      <w:bookmarkStart w:id="287" w:name="_Toc184308058"/>
      <w:bookmarkEnd w:id="287"/>
      <w:bookmarkStart w:id="288" w:name="_Toc184313310"/>
      <w:bookmarkEnd w:id="288"/>
      <w:bookmarkStart w:id="289" w:name="_Toc184312068"/>
      <w:bookmarkEnd w:id="289"/>
      <w:bookmarkStart w:id="290" w:name="_Toc184310339"/>
      <w:bookmarkEnd w:id="290"/>
      <w:bookmarkStart w:id="291" w:name="_Toc184314481"/>
      <w:bookmarkEnd w:id="291"/>
      <w:bookmarkStart w:id="292" w:name="_Toc184314416"/>
      <w:bookmarkEnd w:id="292"/>
      <w:bookmarkStart w:id="293" w:name="_Toc184312122"/>
      <w:bookmarkEnd w:id="293"/>
      <w:bookmarkStart w:id="294" w:name="_Toc184310308"/>
      <w:bookmarkEnd w:id="294"/>
      <w:bookmarkStart w:id="295" w:name="_Toc184310309"/>
      <w:bookmarkEnd w:id="295"/>
      <w:bookmarkStart w:id="296" w:name="_Toc184308073"/>
      <w:bookmarkEnd w:id="296"/>
      <w:bookmarkStart w:id="297" w:name="_Toc184314469"/>
      <w:bookmarkEnd w:id="297"/>
      <w:bookmarkStart w:id="298" w:name="_Toc184313240"/>
      <w:bookmarkEnd w:id="298"/>
      <w:bookmarkStart w:id="299" w:name="_Toc184310295"/>
      <w:bookmarkEnd w:id="299"/>
      <w:bookmarkStart w:id="300" w:name="_Toc184314418"/>
      <w:bookmarkEnd w:id="300"/>
      <w:bookmarkStart w:id="301" w:name="_Toc184310302"/>
      <w:bookmarkEnd w:id="301"/>
      <w:bookmarkStart w:id="302" w:name="_Toc184314423"/>
      <w:bookmarkEnd w:id="302"/>
      <w:bookmarkStart w:id="303" w:name="_Toc184314434"/>
      <w:bookmarkEnd w:id="303"/>
      <w:bookmarkStart w:id="304" w:name="_Toc184308052"/>
      <w:bookmarkEnd w:id="304"/>
      <w:bookmarkStart w:id="305" w:name="_Toc184314412"/>
      <w:bookmarkEnd w:id="305"/>
      <w:bookmarkStart w:id="306" w:name="_Toc184313292"/>
      <w:bookmarkEnd w:id="306"/>
      <w:bookmarkStart w:id="307" w:name="_Toc184314455"/>
      <w:bookmarkEnd w:id="307"/>
      <w:bookmarkStart w:id="308" w:name="_Toc184314474"/>
      <w:bookmarkEnd w:id="308"/>
      <w:bookmarkStart w:id="309" w:name="_Toc184313270"/>
      <w:bookmarkEnd w:id="309"/>
      <w:bookmarkStart w:id="310" w:name="_Toc184308080"/>
      <w:bookmarkEnd w:id="310"/>
      <w:bookmarkStart w:id="311" w:name="_Toc184314452"/>
      <w:bookmarkEnd w:id="311"/>
      <w:bookmarkStart w:id="312" w:name="_Toc184310336"/>
      <w:bookmarkEnd w:id="312"/>
      <w:bookmarkStart w:id="313" w:name="_Toc184310281"/>
      <w:bookmarkEnd w:id="313"/>
      <w:bookmarkStart w:id="314" w:name="_Toc184310307"/>
      <w:bookmarkEnd w:id="314"/>
      <w:bookmarkStart w:id="315" w:name="_Toc184312111"/>
      <w:bookmarkEnd w:id="315"/>
      <w:bookmarkStart w:id="316" w:name="_Toc184308057"/>
      <w:bookmarkEnd w:id="316"/>
      <w:bookmarkStart w:id="317" w:name="_Toc184314446"/>
      <w:bookmarkEnd w:id="317"/>
      <w:bookmarkStart w:id="318" w:name="_Toc184313304"/>
      <w:bookmarkEnd w:id="318"/>
      <w:bookmarkStart w:id="319" w:name="_Toc184312077"/>
      <w:bookmarkEnd w:id="319"/>
      <w:bookmarkStart w:id="320" w:name="_Toc184313263"/>
      <w:bookmarkEnd w:id="320"/>
      <w:bookmarkStart w:id="321" w:name="_Toc184314442"/>
      <w:bookmarkEnd w:id="321"/>
      <w:bookmarkStart w:id="322" w:name="_Toc184312125"/>
      <w:bookmarkEnd w:id="322"/>
      <w:bookmarkStart w:id="323" w:name="_Toc184312106"/>
      <w:bookmarkEnd w:id="323"/>
      <w:bookmarkStart w:id="324" w:name="_Toc184314438"/>
      <w:bookmarkEnd w:id="324"/>
      <w:bookmarkStart w:id="325" w:name="_Toc184314440"/>
      <w:bookmarkEnd w:id="325"/>
      <w:bookmarkStart w:id="326" w:name="_Toc184314443"/>
      <w:bookmarkEnd w:id="326"/>
      <w:bookmarkStart w:id="327" w:name="_Toc184313302"/>
      <w:bookmarkEnd w:id="327"/>
      <w:bookmarkStart w:id="328" w:name="_Toc184308072"/>
      <w:bookmarkEnd w:id="328"/>
      <w:bookmarkStart w:id="329" w:name="_Toc184312108"/>
      <w:bookmarkEnd w:id="329"/>
      <w:bookmarkStart w:id="330" w:name="_Toc184308037"/>
      <w:bookmarkEnd w:id="330"/>
      <w:bookmarkStart w:id="331" w:name="_Toc184308099"/>
      <w:bookmarkEnd w:id="331"/>
      <w:bookmarkStart w:id="332" w:name="_Toc184313247"/>
      <w:bookmarkEnd w:id="332"/>
      <w:bookmarkStart w:id="333" w:name="_Toc184312095"/>
      <w:bookmarkEnd w:id="333"/>
      <w:bookmarkStart w:id="334" w:name="_Toc184310330"/>
      <w:bookmarkEnd w:id="334"/>
      <w:bookmarkStart w:id="335" w:name="_Toc184312080"/>
      <w:bookmarkEnd w:id="335"/>
      <w:bookmarkStart w:id="336" w:name="_Toc184312123"/>
      <w:bookmarkEnd w:id="336"/>
      <w:bookmarkStart w:id="337" w:name="_Toc184313261"/>
      <w:bookmarkEnd w:id="337"/>
      <w:bookmarkStart w:id="338" w:name="_Toc184314441"/>
      <w:bookmarkEnd w:id="338"/>
      <w:bookmarkStart w:id="339" w:name="_Toc184312073"/>
      <w:bookmarkEnd w:id="339"/>
      <w:bookmarkStart w:id="340" w:name="_Toc184310338"/>
      <w:bookmarkEnd w:id="340"/>
      <w:bookmarkStart w:id="341" w:name="_Toc184308055"/>
      <w:bookmarkEnd w:id="341"/>
      <w:bookmarkStart w:id="342" w:name="_Toc184313268"/>
      <w:bookmarkEnd w:id="342"/>
      <w:bookmarkStart w:id="343" w:name="_Toc184313294"/>
      <w:bookmarkEnd w:id="343"/>
      <w:bookmarkStart w:id="344" w:name="_Toc184313264"/>
      <w:bookmarkEnd w:id="344"/>
      <w:bookmarkStart w:id="345" w:name="_Toc184314456"/>
      <w:bookmarkEnd w:id="345"/>
      <w:bookmarkStart w:id="346" w:name="_Toc184310313"/>
      <w:bookmarkEnd w:id="346"/>
      <w:bookmarkStart w:id="347" w:name="_Toc184310293"/>
      <w:bookmarkEnd w:id="347"/>
      <w:bookmarkStart w:id="348" w:name="_Toc184314428"/>
      <w:bookmarkEnd w:id="348"/>
      <w:bookmarkStart w:id="349" w:name="_Toc184314447"/>
      <w:bookmarkEnd w:id="349"/>
      <w:bookmarkStart w:id="350" w:name="_Toc184314449"/>
      <w:bookmarkEnd w:id="350"/>
      <w:bookmarkStart w:id="351" w:name="_Toc184313272"/>
      <w:bookmarkEnd w:id="351"/>
      <w:bookmarkStart w:id="352" w:name="_Toc184314457"/>
      <w:bookmarkEnd w:id="352"/>
      <w:bookmarkStart w:id="353" w:name="_Toc184314473"/>
      <w:bookmarkEnd w:id="353"/>
      <w:bookmarkStart w:id="354" w:name="_Toc184314410"/>
      <w:bookmarkEnd w:id="354"/>
      <w:bookmarkStart w:id="355" w:name="_Toc184312118"/>
      <w:bookmarkEnd w:id="355"/>
      <w:bookmarkStart w:id="356" w:name="_Toc184310318"/>
      <w:bookmarkEnd w:id="356"/>
      <w:bookmarkStart w:id="357" w:name="_Toc184310317"/>
      <w:bookmarkEnd w:id="357"/>
      <w:bookmarkStart w:id="358" w:name="_Toc184312133"/>
      <w:bookmarkEnd w:id="358"/>
      <w:bookmarkStart w:id="359" w:name="_Toc184310344"/>
      <w:bookmarkEnd w:id="359"/>
      <w:bookmarkStart w:id="360" w:name="_Toc184312121"/>
      <w:bookmarkEnd w:id="360"/>
      <w:bookmarkStart w:id="361" w:name="_Toc184310297"/>
      <w:bookmarkEnd w:id="361"/>
      <w:bookmarkStart w:id="362" w:name="_Toc184310316"/>
      <w:bookmarkEnd w:id="362"/>
      <w:bookmarkStart w:id="363" w:name="_Toc184314466"/>
      <w:bookmarkEnd w:id="363"/>
      <w:bookmarkStart w:id="364" w:name="_Toc184308091"/>
      <w:bookmarkEnd w:id="364"/>
      <w:bookmarkStart w:id="365" w:name="_Toc184310273"/>
      <w:bookmarkEnd w:id="365"/>
      <w:bookmarkStart w:id="366" w:name="_Toc184310275"/>
      <w:bookmarkEnd w:id="366"/>
      <w:bookmarkStart w:id="367" w:name="_Toc184312098"/>
      <w:bookmarkEnd w:id="367"/>
      <w:bookmarkStart w:id="368" w:name="_Toc184313241"/>
      <w:bookmarkEnd w:id="368"/>
      <w:bookmarkStart w:id="369" w:name="_Toc184308107"/>
      <w:bookmarkEnd w:id="369"/>
      <w:bookmarkStart w:id="370" w:name="_Toc184310321"/>
      <w:bookmarkEnd w:id="370"/>
      <w:bookmarkStart w:id="371" w:name="_Toc184310291"/>
      <w:bookmarkEnd w:id="371"/>
      <w:bookmarkStart w:id="372" w:name="_Toc184313279"/>
      <w:bookmarkEnd w:id="372"/>
      <w:bookmarkStart w:id="373" w:name="_Toc184308061"/>
      <w:bookmarkEnd w:id="373"/>
      <w:bookmarkStart w:id="374" w:name="_Toc184314451"/>
      <w:bookmarkEnd w:id="374"/>
      <w:bookmarkStart w:id="375" w:name="_Toc184308071"/>
      <w:bookmarkEnd w:id="375"/>
      <w:bookmarkStart w:id="376" w:name="_Toc184313271"/>
      <w:bookmarkEnd w:id="376"/>
      <w:bookmarkStart w:id="377" w:name="_Toc184313257"/>
      <w:bookmarkEnd w:id="377"/>
      <w:bookmarkStart w:id="378" w:name="_Toc184312102"/>
      <w:bookmarkEnd w:id="378"/>
      <w:bookmarkStart w:id="379" w:name="_Toc184313276"/>
      <w:bookmarkEnd w:id="379"/>
      <w:bookmarkStart w:id="380" w:name="_Toc184314467"/>
      <w:bookmarkEnd w:id="380"/>
      <w:bookmarkStart w:id="381" w:name="_Toc184313309"/>
      <w:bookmarkEnd w:id="381"/>
      <w:bookmarkStart w:id="382" w:name="_Toc184314479"/>
      <w:bookmarkEnd w:id="382"/>
      <w:bookmarkStart w:id="383" w:name="_Toc184310315"/>
      <w:bookmarkEnd w:id="383"/>
      <w:bookmarkStart w:id="384" w:name="_Toc184312069"/>
      <w:bookmarkEnd w:id="384"/>
      <w:bookmarkStart w:id="385" w:name="_Toc184312109"/>
      <w:bookmarkEnd w:id="385"/>
      <w:bookmarkStart w:id="386" w:name="_Toc184313243"/>
      <w:bookmarkEnd w:id="386"/>
      <w:bookmarkStart w:id="387" w:name="_Toc184313289"/>
      <w:bookmarkEnd w:id="387"/>
      <w:bookmarkStart w:id="388" w:name="_Toc184313254"/>
      <w:bookmarkEnd w:id="388"/>
      <w:bookmarkStart w:id="389" w:name="_Toc184308088"/>
      <w:bookmarkEnd w:id="389"/>
      <w:bookmarkStart w:id="390" w:name="_Toc184310298"/>
      <w:bookmarkEnd w:id="390"/>
      <w:bookmarkStart w:id="391" w:name="_Toc184308103"/>
      <w:bookmarkEnd w:id="391"/>
      <w:bookmarkStart w:id="392" w:name="_Toc184308051"/>
      <w:bookmarkEnd w:id="392"/>
      <w:bookmarkStart w:id="393" w:name="_Toc184313245"/>
      <w:bookmarkEnd w:id="393"/>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2"/>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7"/>
        <w:gridCol w:w="1978"/>
        <w:gridCol w:w="4446"/>
        <w:gridCol w:w="774"/>
        <w:gridCol w:w="77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 w:type="pct"/>
            <w:noWrap w:val="0"/>
            <w:tcMar>
              <w:top w:w="15" w:type="dxa"/>
              <w:left w:w="15" w:type="dxa"/>
              <w:bottom w:w="0" w:type="dxa"/>
              <w:right w:w="15" w:type="dxa"/>
            </w:tcMar>
            <w:vAlign w:val="center"/>
          </w:tcPr>
          <w:p>
            <w:pPr>
              <w:snapToGrid w:val="0"/>
              <w:jc w:val="center"/>
              <w:rPr>
                <w:rFonts w:hint="default" w:ascii="宋体" w:hAnsi="宋体"/>
                <w:b/>
                <w:bCs w:val="0"/>
                <w:color w:val="auto"/>
                <w:szCs w:val="21"/>
                <w:lang w:val="en-US" w:eastAsia="zh-CN"/>
              </w:rPr>
            </w:pPr>
            <w:r>
              <w:rPr>
                <w:rFonts w:hint="eastAsia" w:ascii="宋体" w:hAnsi="宋体"/>
                <w:b/>
                <w:bCs w:val="0"/>
                <w:color w:val="auto"/>
                <w:szCs w:val="21"/>
                <w:lang w:val="en-US" w:eastAsia="zh-CN"/>
              </w:rPr>
              <w:t>分类</w:t>
            </w:r>
          </w:p>
        </w:tc>
        <w:tc>
          <w:tcPr>
            <w:tcW w:w="3296" w:type="pct"/>
            <w:gridSpan w:val="2"/>
            <w:noWrap w:val="0"/>
            <w:tcMar>
              <w:top w:w="15" w:type="dxa"/>
              <w:left w:w="15" w:type="dxa"/>
              <w:bottom w:w="0" w:type="dxa"/>
              <w:right w:w="15" w:type="dxa"/>
            </w:tcMar>
            <w:vAlign w:val="center"/>
          </w:tcPr>
          <w:p>
            <w:pPr>
              <w:snapToGrid w:val="0"/>
              <w:jc w:val="center"/>
              <w:rPr>
                <w:rFonts w:hint="default" w:ascii="宋体" w:hAnsi="宋体" w:eastAsia="宋体"/>
                <w:b/>
                <w:bCs w:val="0"/>
                <w:color w:val="auto"/>
                <w:szCs w:val="21"/>
                <w:lang w:val="en-US" w:eastAsia="zh-CN"/>
              </w:rPr>
            </w:pPr>
            <w:r>
              <w:rPr>
                <w:rFonts w:hint="eastAsia" w:ascii="宋体" w:hAnsi="宋体"/>
                <w:b/>
                <w:bCs w:val="0"/>
                <w:color w:val="auto"/>
                <w:szCs w:val="21"/>
                <w:lang w:val="en-US" w:eastAsia="zh-CN"/>
              </w:rPr>
              <w:t>评分细则</w:t>
            </w:r>
          </w:p>
        </w:tc>
        <w:tc>
          <w:tcPr>
            <w:tcW w:w="397" w:type="pct"/>
            <w:noWrap w:val="0"/>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权重</w:t>
            </w:r>
          </w:p>
        </w:tc>
        <w:tc>
          <w:tcPr>
            <w:tcW w:w="397" w:type="pct"/>
            <w:noWrap w:val="0"/>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主观分/客观分属性</w:t>
            </w:r>
          </w:p>
        </w:tc>
        <w:tc>
          <w:tcPr>
            <w:tcW w:w="636" w:type="pct"/>
            <w:noWrap w:val="0"/>
            <w:vAlign w:val="center"/>
          </w:tcPr>
          <w:p>
            <w:pPr>
              <w:snapToGrid w:val="0"/>
              <w:jc w:val="center"/>
              <w:rPr>
                <w:rFonts w:hint="eastAsia" w:ascii="宋体" w:hAnsi="宋体" w:eastAsia="宋体" w:cs="宋体"/>
                <w:b/>
                <w:bCs w:val="0"/>
                <w:color w:val="auto"/>
                <w:sz w:val="21"/>
                <w:szCs w:val="21"/>
                <w:highlight w:val="none"/>
              </w:rPr>
            </w:pPr>
            <w:r>
              <w:rPr>
                <w:rFonts w:hint="eastAsia" w:ascii="宋体" w:hAnsi="宋体" w:eastAsia="宋体" w:cs="宋体"/>
                <w:b/>
                <w:color w:val="auto"/>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1" w:type="pct"/>
            <w:vMerge w:val="restart"/>
            <w:noWrap w:val="0"/>
            <w:tcMar>
              <w:top w:w="15" w:type="dxa"/>
              <w:left w:w="15" w:type="dxa"/>
              <w:bottom w:w="0" w:type="dxa"/>
              <w:right w:w="15" w:type="dxa"/>
            </w:tcMar>
            <w:vAlign w:val="center"/>
          </w:tcPr>
          <w:p>
            <w:pPr>
              <w:snapToGrid w:val="0"/>
              <w:jc w:val="center"/>
              <w:rPr>
                <w:rFonts w:ascii="宋体" w:hAnsi="宋体"/>
                <w:b/>
                <w:color w:val="auto"/>
                <w:szCs w:val="21"/>
              </w:rPr>
            </w:pPr>
            <w:r>
              <w:rPr>
                <w:rFonts w:hint="eastAsia" w:ascii="宋体" w:hAnsi="宋体"/>
                <w:b/>
                <w:color w:val="auto"/>
                <w:szCs w:val="21"/>
              </w:rPr>
              <w:t>商务</w:t>
            </w:r>
          </w:p>
          <w:p>
            <w:pPr>
              <w:snapToGrid w:val="0"/>
              <w:jc w:val="center"/>
              <w:rPr>
                <w:rFonts w:ascii="宋体" w:hAnsi="宋体"/>
                <w:b/>
                <w:color w:val="auto"/>
                <w:szCs w:val="21"/>
              </w:rPr>
            </w:pPr>
            <w:r>
              <w:rPr>
                <w:rFonts w:hint="eastAsia" w:ascii="宋体" w:hAnsi="宋体"/>
                <w:b/>
                <w:color w:val="auto"/>
                <w:szCs w:val="21"/>
              </w:rPr>
              <w:t>资信</w:t>
            </w:r>
          </w:p>
          <w:p>
            <w:pPr>
              <w:snapToGrid w:val="0"/>
              <w:jc w:val="center"/>
              <w:rPr>
                <w:rFonts w:ascii="宋体" w:hAnsi="宋体"/>
                <w:b/>
                <w:color w:val="auto"/>
                <w:szCs w:val="21"/>
              </w:rPr>
            </w:pPr>
            <w:r>
              <w:rPr>
                <w:rFonts w:hint="eastAsia" w:ascii="宋体" w:hAnsi="宋体"/>
                <w:b/>
                <w:color w:val="auto"/>
                <w:szCs w:val="21"/>
              </w:rPr>
              <w:t>评分</w:t>
            </w:r>
          </w:p>
          <w:p>
            <w:pPr>
              <w:snapToGrid w:val="0"/>
              <w:jc w:val="center"/>
              <w:rPr>
                <w:rFonts w:ascii="宋体" w:hAnsi="宋体"/>
                <w:b/>
                <w:color w:val="auto"/>
                <w:szCs w:val="21"/>
              </w:rPr>
            </w:pPr>
            <w:r>
              <w:rPr>
                <w:rFonts w:hint="eastAsia" w:ascii="宋体" w:hAnsi="宋体"/>
                <w:b/>
                <w:color w:val="auto"/>
                <w:szCs w:val="21"/>
                <w:lang w:val="en-US" w:eastAsia="zh-CN"/>
              </w:rPr>
              <w:t>5</w:t>
            </w:r>
            <w:r>
              <w:rPr>
                <w:rFonts w:hint="eastAsia" w:ascii="宋体" w:hAnsi="宋体"/>
                <w:b/>
                <w:color w:val="auto"/>
                <w:szCs w:val="21"/>
              </w:rPr>
              <w:t>分</w:t>
            </w:r>
          </w:p>
        </w:tc>
        <w:tc>
          <w:tcPr>
            <w:tcW w:w="1015" w:type="pct"/>
            <w:noWrap w:val="0"/>
            <w:tcMar>
              <w:top w:w="15" w:type="dxa"/>
              <w:left w:w="15" w:type="dxa"/>
              <w:bottom w:w="0" w:type="dxa"/>
              <w:right w:w="15" w:type="dxa"/>
            </w:tcMar>
            <w:vAlign w:val="center"/>
          </w:tcPr>
          <w:p>
            <w:pPr>
              <w:snapToGrid w:val="0"/>
              <w:rPr>
                <w:rFonts w:ascii="宋体" w:hAnsi="宋体"/>
                <w:color w:val="auto"/>
                <w:szCs w:val="21"/>
              </w:rPr>
            </w:pPr>
            <w:r>
              <w:rPr>
                <w:rFonts w:hint="eastAsia" w:ascii="宋体" w:hAnsi="宋体"/>
                <w:bCs/>
                <w:color w:val="auto"/>
                <w:szCs w:val="21"/>
              </w:rPr>
              <w:t>投标人综合实力（0-2分）</w:t>
            </w:r>
          </w:p>
        </w:tc>
        <w:tc>
          <w:tcPr>
            <w:tcW w:w="2281" w:type="pct"/>
            <w:noWrap w:val="0"/>
            <w:vAlign w:val="center"/>
          </w:tcPr>
          <w:p>
            <w:pPr>
              <w:snapToGrid w:val="0"/>
              <w:rPr>
                <w:rFonts w:ascii="宋体" w:hAnsi="宋体"/>
                <w:color w:val="auto"/>
                <w:szCs w:val="21"/>
              </w:rPr>
            </w:pPr>
            <w:r>
              <w:rPr>
                <w:rFonts w:hint="eastAsia" w:ascii="宋体" w:hAnsi="宋体"/>
                <w:bCs/>
                <w:color w:val="auto"/>
                <w:szCs w:val="21"/>
              </w:rPr>
              <w:t>依据投标人实力、资质等情况进行评审。</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w:t>
            </w:r>
          </w:p>
        </w:tc>
        <w:tc>
          <w:tcPr>
            <w:tcW w:w="397" w:type="pct"/>
            <w:noWrap w:val="0"/>
            <w:vAlign w:val="center"/>
          </w:tcPr>
          <w:p>
            <w:pPr>
              <w:snapToGrid w:val="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主观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1" w:type="pct"/>
            <w:vMerge w:val="continue"/>
            <w:noWrap w:val="0"/>
            <w:tcMar>
              <w:top w:w="15" w:type="dxa"/>
              <w:left w:w="15" w:type="dxa"/>
              <w:bottom w:w="0" w:type="dxa"/>
              <w:right w:w="15" w:type="dxa"/>
            </w:tcMar>
            <w:vAlign w:val="center"/>
          </w:tcPr>
          <w:p>
            <w:pPr>
              <w:snapToGrid w:val="0"/>
              <w:jc w:val="center"/>
              <w:rPr>
                <w:rFonts w:ascii="宋体" w:hAnsi="宋体"/>
                <w:b/>
                <w:color w:val="auto"/>
                <w:szCs w:val="21"/>
              </w:rPr>
            </w:pPr>
          </w:p>
        </w:tc>
        <w:tc>
          <w:tcPr>
            <w:tcW w:w="1015" w:type="pct"/>
            <w:noWrap w:val="0"/>
            <w:tcMar>
              <w:top w:w="15" w:type="dxa"/>
              <w:left w:w="15" w:type="dxa"/>
              <w:bottom w:w="0" w:type="dxa"/>
              <w:right w:w="15" w:type="dxa"/>
            </w:tcMar>
            <w:vAlign w:val="center"/>
          </w:tcPr>
          <w:p>
            <w:pPr>
              <w:snapToGrid w:val="0"/>
              <w:rPr>
                <w:rFonts w:ascii="宋体" w:hAnsi="宋体"/>
                <w:bCs/>
                <w:color w:val="auto"/>
                <w:szCs w:val="21"/>
              </w:rPr>
            </w:pPr>
            <w:r>
              <w:rPr>
                <w:rFonts w:hint="eastAsia" w:ascii="宋体" w:hAnsi="宋体"/>
                <w:bCs/>
                <w:color w:val="auto"/>
                <w:szCs w:val="21"/>
              </w:rPr>
              <w:t>投标人获得荣誉（0-2分）</w:t>
            </w:r>
          </w:p>
        </w:tc>
        <w:tc>
          <w:tcPr>
            <w:tcW w:w="2281" w:type="pct"/>
            <w:noWrap w:val="0"/>
            <w:vAlign w:val="center"/>
          </w:tcPr>
          <w:p>
            <w:pPr>
              <w:snapToGrid w:val="0"/>
              <w:rPr>
                <w:rFonts w:ascii="宋体" w:hAnsi="宋体"/>
                <w:bCs/>
                <w:color w:val="auto"/>
                <w:szCs w:val="21"/>
              </w:rPr>
            </w:pPr>
            <w:r>
              <w:rPr>
                <w:rFonts w:hint="eastAsia" w:ascii="宋体" w:hAnsi="宋体"/>
                <w:bCs/>
                <w:color w:val="auto"/>
                <w:szCs w:val="21"/>
              </w:rPr>
              <w:t>具有国家认监委、</w:t>
            </w:r>
            <w:r>
              <w:rPr>
                <w:rFonts w:hint="eastAsia" w:ascii="宋体" w:hAnsi="宋体"/>
                <w:bCs/>
                <w:color w:val="auto"/>
                <w:spacing w:val="-6"/>
                <w:szCs w:val="21"/>
              </w:rPr>
              <w:t>市场总局、卫健委和农业部</w:t>
            </w:r>
            <w:r>
              <w:rPr>
                <w:rFonts w:ascii="宋体" w:hAnsi="宋体"/>
                <w:bCs/>
                <w:color w:val="auto"/>
                <w:szCs w:val="21"/>
              </w:rPr>
              <w:t>公布</w:t>
            </w:r>
            <w:r>
              <w:rPr>
                <w:rFonts w:hint="eastAsia" w:ascii="宋体" w:hAnsi="宋体"/>
                <w:bCs/>
                <w:color w:val="auto"/>
                <w:szCs w:val="21"/>
              </w:rPr>
              <w:t>食品复检机构资质的得1分，没有的不得分。具有省级及以上荣誉的或高新技术企业、科技型企业的，有得1分，没有不得分。</w:t>
            </w:r>
          </w:p>
          <w:p>
            <w:pPr>
              <w:snapToGrid w:val="0"/>
              <w:rPr>
                <w:rFonts w:ascii="宋体" w:hAnsi="宋体"/>
                <w:bCs/>
                <w:color w:val="auto"/>
                <w:szCs w:val="21"/>
              </w:rPr>
            </w:pPr>
            <w:r>
              <w:rPr>
                <w:rFonts w:hint="eastAsia" w:ascii="宋体" w:hAnsi="宋体"/>
                <w:bCs/>
                <w:color w:val="auto"/>
                <w:szCs w:val="21"/>
              </w:rPr>
              <w:t>（须提供证明文件）</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客观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1" w:type="pct"/>
            <w:vMerge w:val="continue"/>
            <w:noWrap w:val="0"/>
            <w:vAlign w:val="center"/>
          </w:tcPr>
          <w:p>
            <w:pPr>
              <w:widowControl/>
              <w:snapToGrid w:val="0"/>
              <w:jc w:val="center"/>
              <w:rPr>
                <w:rFonts w:ascii="宋体" w:hAnsi="宋体"/>
                <w:b/>
                <w:color w:val="auto"/>
                <w:szCs w:val="21"/>
              </w:rPr>
            </w:pPr>
          </w:p>
        </w:tc>
        <w:tc>
          <w:tcPr>
            <w:tcW w:w="1015" w:type="pct"/>
            <w:noWrap w:val="0"/>
            <w:tcMar>
              <w:top w:w="15" w:type="dxa"/>
              <w:left w:w="15" w:type="dxa"/>
              <w:bottom w:w="0" w:type="dxa"/>
              <w:right w:w="15" w:type="dxa"/>
            </w:tcMar>
            <w:vAlign w:val="center"/>
          </w:tcPr>
          <w:p>
            <w:pPr>
              <w:snapToGrid w:val="0"/>
              <w:rPr>
                <w:rFonts w:ascii="宋体" w:hAnsi="宋体"/>
                <w:color w:val="auto"/>
                <w:szCs w:val="21"/>
              </w:rPr>
            </w:pPr>
            <w:r>
              <w:rPr>
                <w:rFonts w:hint="eastAsia" w:ascii="宋体" w:hAnsi="宋体"/>
                <w:bCs/>
                <w:color w:val="auto"/>
                <w:szCs w:val="21"/>
              </w:rPr>
              <w:t>同类项目业绩情况（0-</w:t>
            </w:r>
            <w:r>
              <w:rPr>
                <w:rFonts w:hint="eastAsia" w:ascii="宋体" w:hAnsi="宋体"/>
                <w:bCs/>
                <w:color w:val="auto"/>
                <w:szCs w:val="21"/>
                <w:lang w:val="en-US" w:eastAsia="zh-CN"/>
              </w:rPr>
              <w:t>1</w:t>
            </w:r>
            <w:r>
              <w:rPr>
                <w:rFonts w:hint="eastAsia" w:ascii="宋体" w:hAnsi="宋体"/>
                <w:bCs/>
                <w:color w:val="auto"/>
                <w:szCs w:val="21"/>
              </w:rPr>
              <w:t>分）</w:t>
            </w:r>
          </w:p>
        </w:tc>
        <w:tc>
          <w:tcPr>
            <w:tcW w:w="2281" w:type="pct"/>
            <w:noWrap w:val="0"/>
            <w:vAlign w:val="center"/>
          </w:tcPr>
          <w:p>
            <w:pPr>
              <w:snapToGrid w:val="0"/>
              <w:rPr>
                <w:rFonts w:ascii="宋体" w:hAnsi="宋体"/>
                <w:color w:val="auto"/>
                <w:szCs w:val="21"/>
              </w:rPr>
            </w:pPr>
            <w:r>
              <w:rPr>
                <w:rFonts w:hint="eastAsia" w:ascii="宋体" w:hAnsi="宋体"/>
                <w:bCs/>
                <w:color w:val="auto"/>
                <w:szCs w:val="21"/>
              </w:rPr>
              <w:t>提供20</w:t>
            </w:r>
            <w:r>
              <w:rPr>
                <w:rFonts w:hint="eastAsia" w:ascii="宋体" w:hAnsi="宋体"/>
                <w:bCs/>
                <w:color w:val="auto"/>
                <w:szCs w:val="21"/>
                <w:lang w:val="en-US" w:eastAsia="zh-CN"/>
              </w:rPr>
              <w:t>23</w:t>
            </w:r>
            <w:r>
              <w:rPr>
                <w:rFonts w:hint="eastAsia" w:ascii="宋体" w:hAnsi="宋体"/>
                <w:bCs/>
                <w:color w:val="auto"/>
                <w:szCs w:val="21"/>
              </w:rPr>
              <w:t>年至今市级及以上</w:t>
            </w:r>
            <w:r>
              <w:rPr>
                <w:rFonts w:hint="eastAsia" w:ascii="宋体" w:hAnsi="宋体"/>
                <w:bCs/>
                <w:color w:val="auto"/>
                <w:szCs w:val="21"/>
                <w:lang w:eastAsia="zh-CN"/>
              </w:rPr>
              <w:t>（</w:t>
            </w:r>
            <w:r>
              <w:rPr>
                <w:rFonts w:hint="eastAsia" w:ascii="宋体" w:hAnsi="宋体"/>
                <w:bCs/>
                <w:color w:val="auto"/>
                <w:szCs w:val="21"/>
                <w:lang w:val="en-US" w:eastAsia="zh-CN"/>
              </w:rPr>
              <w:t>不限于浙江省、杭州市）</w:t>
            </w:r>
            <w:r>
              <w:rPr>
                <w:rFonts w:hint="eastAsia" w:ascii="宋体" w:hAnsi="宋体"/>
                <w:bCs/>
                <w:color w:val="auto"/>
                <w:szCs w:val="21"/>
              </w:rPr>
              <w:t>同类业绩的</w:t>
            </w:r>
            <w:r>
              <w:rPr>
                <w:rFonts w:hint="eastAsia" w:ascii="宋体" w:hAnsi="宋体"/>
                <w:bCs/>
                <w:color w:val="auto"/>
                <w:szCs w:val="21"/>
                <w:lang w:val="en-US" w:eastAsia="zh-CN"/>
              </w:rPr>
              <w:t>得1</w:t>
            </w:r>
            <w:r>
              <w:rPr>
                <w:rFonts w:hint="eastAsia" w:ascii="宋体" w:hAnsi="宋体"/>
                <w:bCs/>
                <w:color w:val="auto"/>
                <w:szCs w:val="21"/>
              </w:rPr>
              <w:t>分,</w:t>
            </w:r>
            <w:r>
              <w:rPr>
                <w:rFonts w:hint="eastAsia" w:ascii="宋体" w:hAnsi="宋体"/>
                <w:bCs/>
                <w:color w:val="auto"/>
                <w:szCs w:val="21"/>
                <w:lang w:val="en-US" w:eastAsia="zh-CN"/>
              </w:rPr>
              <w:t>无不得分</w:t>
            </w:r>
            <w:r>
              <w:rPr>
                <w:rFonts w:hint="eastAsia" w:ascii="宋体" w:hAnsi="宋体"/>
                <w:bCs/>
                <w:color w:val="auto"/>
                <w:szCs w:val="21"/>
              </w:rPr>
              <w:t>。监督检验业绩证明材料且证明材料的检测内容与本次招标要求为同类，如合同、中标通知书、检测报告或业主有效证明材料等，否则不得分。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1</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客观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1" w:type="pct"/>
            <w:vMerge w:val="restart"/>
            <w:noWrap w:val="0"/>
            <w:tcMar>
              <w:top w:w="15" w:type="dxa"/>
              <w:left w:w="15" w:type="dxa"/>
              <w:bottom w:w="0" w:type="dxa"/>
              <w:right w:w="15" w:type="dxa"/>
            </w:tcMar>
            <w:vAlign w:val="center"/>
          </w:tcPr>
          <w:p>
            <w:pPr>
              <w:snapToGrid w:val="0"/>
              <w:jc w:val="center"/>
              <w:rPr>
                <w:rFonts w:ascii="宋体" w:hAnsi="宋体"/>
                <w:b/>
                <w:color w:val="auto"/>
                <w:szCs w:val="21"/>
              </w:rPr>
            </w:pPr>
            <w:r>
              <w:rPr>
                <w:rFonts w:hint="eastAsia" w:ascii="宋体" w:hAnsi="宋体"/>
                <w:b/>
                <w:color w:val="auto"/>
                <w:szCs w:val="21"/>
              </w:rPr>
              <w:t>技术</w:t>
            </w:r>
          </w:p>
          <w:p>
            <w:pPr>
              <w:snapToGrid w:val="0"/>
              <w:jc w:val="center"/>
              <w:rPr>
                <w:rFonts w:ascii="宋体" w:hAnsi="宋体"/>
                <w:b/>
                <w:color w:val="auto"/>
                <w:szCs w:val="21"/>
              </w:rPr>
            </w:pPr>
            <w:r>
              <w:rPr>
                <w:rFonts w:hint="eastAsia" w:ascii="宋体" w:hAnsi="宋体"/>
                <w:b/>
                <w:color w:val="auto"/>
                <w:szCs w:val="21"/>
              </w:rPr>
              <w:t>评分</w:t>
            </w:r>
          </w:p>
          <w:p>
            <w:pPr>
              <w:snapToGrid w:val="0"/>
              <w:jc w:val="center"/>
              <w:rPr>
                <w:rFonts w:ascii="宋体" w:hAnsi="宋体"/>
                <w:b/>
                <w:color w:val="auto"/>
                <w:szCs w:val="21"/>
              </w:rPr>
            </w:pPr>
            <w:r>
              <w:rPr>
                <w:rFonts w:hint="eastAsia" w:ascii="宋体" w:hAnsi="宋体"/>
                <w:b/>
                <w:color w:val="auto"/>
                <w:szCs w:val="21"/>
              </w:rPr>
              <w:t>8</w:t>
            </w:r>
            <w:r>
              <w:rPr>
                <w:rFonts w:hint="eastAsia" w:ascii="宋体" w:hAnsi="宋体"/>
                <w:b/>
                <w:color w:val="auto"/>
                <w:szCs w:val="21"/>
                <w:lang w:val="en-US" w:eastAsia="zh-CN"/>
              </w:rPr>
              <w:t>5</w:t>
            </w:r>
            <w:r>
              <w:rPr>
                <w:rFonts w:hint="eastAsia" w:ascii="宋体" w:hAnsi="宋体"/>
                <w:b/>
                <w:color w:val="auto"/>
                <w:szCs w:val="21"/>
              </w:rPr>
              <w:t>分</w:t>
            </w:r>
          </w:p>
        </w:tc>
        <w:tc>
          <w:tcPr>
            <w:tcW w:w="1015" w:type="pct"/>
            <w:noWrap w:val="0"/>
            <w:tcMar>
              <w:top w:w="15" w:type="dxa"/>
              <w:left w:w="15" w:type="dxa"/>
              <w:bottom w:w="0" w:type="dxa"/>
              <w:right w:w="15" w:type="dxa"/>
            </w:tcMar>
            <w:vAlign w:val="center"/>
          </w:tcPr>
          <w:p>
            <w:pPr>
              <w:snapToGrid w:val="0"/>
              <w:rPr>
                <w:rFonts w:ascii="宋体" w:hAnsi="宋体"/>
                <w:color w:val="auto"/>
                <w:szCs w:val="21"/>
              </w:rPr>
            </w:pPr>
            <w:r>
              <w:rPr>
                <w:rFonts w:hint="eastAsia" w:ascii="宋体" w:hAnsi="宋体"/>
                <w:color w:val="auto"/>
                <w:szCs w:val="21"/>
              </w:rPr>
              <w:t>抽检实施方案的优劣(先进性、科学性、完整性)。（0-</w:t>
            </w:r>
            <w:r>
              <w:rPr>
                <w:rFonts w:hint="eastAsia" w:ascii="宋体" w:hAnsi="宋体"/>
                <w:color w:val="auto"/>
                <w:szCs w:val="21"/>
                <w:lang w:val="en-US" w:eastAsia="zh-CN"/>
              </w:rPr>
              <w:t>5</w:t>
            </w:r>
            <w:r>
              <w:rPr>
                <w:rFonts w:hint="eastAsia" w:ascii="宋体" w:hAnsi="宋体"/>
                <w:color w:val="auto"/>
                <w:szCs w:val="21"/>
              </w:rPr>
              <w:t>分）</w:t>
            </w:r>
          </w:p>
        </w:tc>
        <w:tc>
          <w:tcPr>
            <w:tcW w:w="2281" w:type="pct"/>
            <w:noWrap w:val="0"/>
            <w:vAlign w:val="center"/>
          </w:tcPr>
          <w:p>
            <w:pPr>
              <w:snapToGrid w:val="0"/>
              <w:rPr>
                <w:rFonts w:ascii="宋体" w:hAnsi="宋体"/>
                <w:color w:val="auto"/>
                <w:szCs w:val="21"/>
              </w:rPr>
            </w:pPr>
            <w:r>
              <w:rPr>
                <w:rFonts w:hint="eastAsia" w:ascii="宋体" w:hAnsi="宋体"/>
                <w:color w:val="auto"/>
                <w:szCs w:val="21"/>
              </w:rPr>
              <w:t>按先进性、科学性和完整性</w:t>
            </w:r>
            <w:r>
              <w:rPr>
                <w:rFonts w:hint="eastAsia" w:ascii="宋体" w:hAnsi="宋体"/>
                <w:bCs/>
                <w:color w:val="auto"/>
                <w:szCs w:val="21"/>
              </w:rPr>
              <w:t>，对</w:t>
            </w:r>
            <w:r>
              <w:rPr>
                <w:rFonts w:hint="eastAsia" w:ascii="宋体" w:hAnsi="宋体"/>
                <w:color w:val="auto"/>
                <w:szCs w:val="21"/>
              </w:rPr>
              <w:t>抽检实施方案进行整体评价，最优者得</w:t>
            </w:r>
            <w:r>
              <w:rPr>
                <w:rFonts w:hint="eastAsia" w:ascii="宋体" w:hAnsi="宋体"/>
                <w:color w:val="auto"/>
                <w:szCs w:val="21"/>
                <w:lang w:val="en-US" w:eastAsia="zh-CN"/>
              </w:rPr>
              <w:t>5</w:t>
            </w:r>
            <w:r>
              <w:rPr>
                <w:rFonts w:hint="eastAsia" w:ascii="宋体" w:hAnsi="宋体"/>
                <w:color w:val="auto"/>
                <w:szCs w:val="21"/>
              </w:rPr>
              <w:t>分，其余方案逐次扣分。</w:t>
            </w:r>
          </w:p>
        </w:tc>
        <w:tc>
          <w:tcPr>
            <w:tcW w:w="397" w:type="pct"/>
            <w:noWrap w:val="0"/>
            <w:vAlign w:val="center"/>
          </w:tcPr>
          <w:p>
            <w:pPr>
              <w:snapToGrid w:val="0"/>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397" w:type="pct"/>
            <w:noWrap w:val="0"/>
            <w:vAlign w:val="center"/>
          </w:tcPr>
          <w:p>
            <w:pPr>
              <w:snapToGrid w:val="0"/>
              <w:jc w:val="center"/>
              <w:rPr>
                <w:rFonts w:hint="eastAsia" w:ascii="宋体" w:hAnsi="宋体"/>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271" w:type="pct"/>
            <w:vMerge w:val="continue"/>
            <w:noWrap w:val="0"/>
            <w:tcMar>
              <w:top w:w="15" w:type="dxa"/>
              <w:left w:w="15" w:type="dxa"/>
              <w:bottom w:w="0" w:type="dxa"/>
              <w:right w:w="15" w:type="dxa"/>
            </w:tcMar>
            <w:vAlign w:val="center"/>
          </w:tcPr>
          <w:p>
            <w:pPr>
              <w:snapToGrid w:val="0"/>
              <w:jc w:val="center"/>
              <w:rPr>
                <w:rFonts w:ascii="宋体" w:hAnsi="宋体"/>
                <w:b/>
                <w:color w:val="auto"/>
                <w:szCs w:val="21"/>
              </w:rPr>
            </w:pPr>
          </w:p>
        </w:tc>
        <w:tc>
          <w:tcPr>
            <w:tcW w:w="1015" w:type="pct"/>
            <w:vMerge w:val="restart"/>
            <w:noWrap w:val="0"/>
            <w:tcMar>
              <w:top w:w="15" w:type="dxa"/>
              <w:left w:w="15" w:type="dxa"/>
              <w:bottom w:w="0" w:type="dxa"/>
              <w:right w:w="15" w:type="dxa"/>
            </w:tcMar>
            <w:vAlign w:val="center"/>
          </w:tcPr>
          <w:p>
            <w:pPr>
              <w:snapToGrid w:val="0"/>
              <w:rPr>
                <w:rFonts w:ascii="宋体" w:hAnsi="宋体"/>
                <w:bCs/>
                <w:color w:val="auto"/>
                <w:szCs w:val="21"/>
              </w:rPr>
            </w:pPr>
            <w:r>
              <w:rPr>
                <w:rFonts w:hint="eastAsia" w:ascii="宋体" w:hAnsi="宋体"/>
                <w:bCs/>
                <w:color w:val="auto"/>
                <w:szCs w:val="21"/>
              </w:rPr>
              <w:t>抽检实施方案与需求的吻合程度，售后服务方案、售后人员和机构服务优劣程度等方面的因素。（0-</w:t>
            </w:r>
            <w:r>
              <w:rPr>
                <w:rFonts w:hint="eastAsia" w:ascii="宋体" w:hAnsi="宋体"/>
                <w:bCs/>
                <w:color w:val="auto"/>
                <w:szCs w:val="21"/>
                <w:lang w:val="en-US" w:eastAsia="zh-CN"/>
              </w:rPr>
              <w:t>8</w:t>
            </w:r>
            <w:r>
              <w:rPr>
                <w:rFonts w:hint="eastAsia" w:ascii="宋体" w:hAnsi="宋体"/>
                <w:bCs/>
                <w:color w:val="auto"/>
                <w:szCs w:val="21"/>
              </w:rPr>
              <w:t>分）</w:t>
            </w:r>
          </w:p>
        </w:tc>
        <w:tc>
          <w:tcPr>
            <w:tcW w:w="2281" w:type="pct"/>
            <w:noWrap w:val="0"/>
            <w:vAlign w:val="center"/>
          </w:tcPr>
          <w:p>
            <w:pPr>
              <w:snapToGrid w:val="0"/>
              <w:jc w:val="left"/>
              <w:rPr>
                <w:rFonts w:ascii="宋体" w:hAnsi="宋体"/>
                <w:bCs/>
                <w:color w:val="auto"/>
                <w:szCs w:val="21"/>
              </w:rPr>
            </w:pPr>
            <w:r>
              <w:rPr>
                <w:rFonts w:hint="eastAsia" w:ascii="宋体" w:hAnsi="宋体"/>
                <w:bCs/>
                <w:color w:val="auto"/>
                <w:szCs w:val="21"/>
              </w:rPr>
              <w:t>抽检实施方案与需求的吻合（</w:t>
            </w:r>
            <w:r>
              <w:rPr>
                <w:rFonts w:hint="eastAsia" w:ascii="宋体" w:hAnsi="宋体"/>
                <w:bCs/>
                <w:color w:val="auto"/>
                <w:szCs w:val="21"/>
                <w:lang w:val="en-US" w:eastAsia="zh-CN"/>
              </w:rPr>
              <w:t>3</w:t>
            </w:r>
            <w:r>
              <w:rPr>
                <w:rFonts w:hint="eastAsia" w:ascii="宋体" w:hAnsi="宋体"/>
                <w:bCs/>
                <w:color w:val="auto"/>
                <w:szCs w:val="21"/>
              </w:rPr>
              <w:t>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271" w:type="pct"/>
            <w:vMerge w:val="continue"/>
            <w:noWrap w:val="0"/>
            <w:tcMar>
              <w:top w:w="15" w:type="dxa"/>
              <w:left w:w="15" w:type="dxa"/>
              <w:bottom w:w="0" w:type="dxa"/>
              <w:right w:w="15" w:type="dxa"/>
            </w:tcMar>
            <w:vAlign w:val="center"/>
          </w:tcPr>
          <w:p>
            <w:pPr>
              <w:snapToGrid w:val="0"/>
              <w:jc w:val="center"/>
              <w:rPr>
                <w:color w:val="auto"/>
              </w:rPr>
            </w:pPr>
          </w:p>
        </w:tc>
        <w:tc>
          <w:tcPr>
            <w:tcW w:w="1015" w:type="pct"/>
            <w:vMerge w:val="continue"/>
            <w:noWrap w:val="0"/>
            <w:tcMar>
              <w:top w:w="15" w:type="dxa"/>
              <w:left w:w="15" w:type="dxa"/>
              <w:bottom w:w="0" w:type="dxa"/>
              <w:right w:w="15" w:type="dxa"/>
            </w:tcMar>
            <w:vAlign w:val="center"/>
          </w:tcPr>
          <w:p>
            <w:pPr>
              <w:snapToGrid w:val="0"/>
              <w:jc w:val="center"/>
              <w:rPr>
                <w:color w:val="auto"/>
              </w:rPr>
            </w:pPr>
          </w:p>
        </w:tc>
        <w:tc>
          <w:tcPr>
            <w:tcW w:w="2281" w:type="pct"/>
            <w:noWrap w:val="0"/>
            <w:vAlign w:val="center"/>
          </w:tcPr>
          <w:p>
            <w:pPr>
              <w:snapToGrid w:val="0"/>
              <w:jc w:val="left"/>
              <w:rPr>
                <w:color w:val="auto"/>
              </w:rPr>
            </w:pPr>
            <w:r>
              <w:rPr>
                <w:rFonts w:hint="eastAsia" w:ascii="宋体" w:hAnsi="宋体"/>
                <w:bCs/>
                <w:color w:val="auto"/>
                <w:szCs w:val="21"/>
              </w:rPr>
              <w:t>售后服务方案满足采购要求（</w:t>
            </w:r>
            <w:r>
              <w:rPr>
                <w:rFonts w:hint="eastAsia" w:ascii="宋体" w:hAnsi="宋体"/>
                <w:bCs/>
                <w:color w:val="auto"/>
                <w:szCs w:val="21"/>
                <w:lang w:val="en-US" w:eastAsia="zh-CN"/>
              </w:rPr>
              <w:t>3</w:t>
            </w:r>
            <w:r>
              <w:rPr>
                <w:rFonts w:hint="eastAsia" w:ascii="宋体" w:hAnsi="宋体"/>
                <w:bCs/>
                <w:color w:val="auto"/>
                <w:szCs w:val="21"/>
              </w:rPr>
              <w:t>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jc w:val="center"/>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271" w:type="pct"/>
            <w:vMerge w:val="continue"/>
            <w:noWrap w:val="0"/>
            <w:tcMar>
              <w:top w:w="15" w:type="dxa"/>
              <w:left w:w="15" w:type="dxa"/>
              <w:bottom w:w="0" w:type="dxa"/>
              <w:right w:w="15" w:type="dxa"/>
            </w:tcMar>
            <w:vAlign w:val="center"/>
          </w:tcPr>
          <w:p>
            <w:pPr>
              <w:snapToGrid w:val="0"/>
              <w:jc w:val="center"/>
              <w:rPr>
                <w:rFonts w:hint="eastAsia" w:ascii="宋体" w:hAnsi="宋体"/>
                <w:bCs/>
                <w:color w:val="auto"/>
                <w:szCs w:val="21"/>
              </w:rPr>
            </w:pPr>
          </w:p>
        </w:tc>
        <w:tc>
          <w:tcPr>
            <w:tcW w:w="1015" w:type="pct"/>
            <w:vMerge w:val="continue"/>
            <w:noWrap w:val="0"/>
            <w:tcMar>
              <w:top w:w="15" w:type="dxa"/>
              <w:left w:w="15" w:type="dxa"/>
              <w:bottom w:w="0" w:type="dxa"/>
              <w:right w:w="15" w:type="dxa"/>
            </w:tcMar>
            <w:vAlign w:val="center"/>
          </w:tcPr>
          <w:p>
            <w:pPr>
              <w:snapToGrid w:val="0"/>
              <w:jc w:val="center"/>
              <w:rPr>
                <w:rFonts w:hint="eastAsia" w:ascii="宋体" w:hAnsi="宋体"/>
                <w:bCs/>
                <w:color w:val="auto"/>
                <w:szCs w:val="21"/>
              </w:rPr>
            </w:pPr>
          </w:p>
        </w:tc>
        <w:tc>
          <w:tcPr>
            <w:tcW w:w="2281" w:type="pct"/>
            <w:noWrap w:val="0"/>
            <w:vAlign w:val="center"/>
          </w:tcPr>
          <w:p>
            <w:pPr>
              <w:snapToGrid w:val="0"/>
              <w:jc w:val="left"/>
              <w:rPr>
                <w:rFonts w:hint="eastAsia" w:ascii="宋体" w:hAnsi="宋体"/>
                <w:bCs/>
                <w:color w:val="auto"/>
                <w:szCs w:val="21"/>
              </w:rPr>
            </w:pPr>
            <w:r>
              <w:rPr>
                <w:rFonts w:hint="eastAsia" w:ascii="宋体" w:hAnsi="宋体"/>
                <w:bCs/>
                <w:color w:val="auto"/>
                <w:szCs w:val="21"/>
              </w:rPr>
              <w:t>售后人员和机构服务满足采购要求（</w:t>
            </w:r>
            <w:r>
              <w:rPr>
                <w:rFonts w:hint="eastAsia" w:ascii="宋体" w:hAnsi="宋体"/>
                <w:bCs/>
                <w:color w:val="auto"/>
                <w:szCs w:val="21"/>
                <w:lang w:val="en-US" w:eastAsia="zh-CN"/>
              </w:rPr>
              <w:t>2</w:t>
            </w:r>
            <w:r>
              <w:rPr>
                <w:rFonts w:hint="eastAsia" w:ascii="宋体" w:hAnsi="宋体"/>
                <w:bCs/>
                <w:color w:val="auto"/>
                <w:szCs w:val="21"/>
              </w:rPr>
              <w:t>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jc w:val="center"/>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trPr>
        <w:tc>
          <w:tcPr>
            <w:tcW w:w="271" w:type="pct"/>
            <w:vMerge w:val="continue"/>
            <w:noWrap w:val="0"/>
            <w:tcMar>
              <w:top w:w="15" w:type="dxa"/>
              <w:left w:w="15" w:type="dxa"/>
              <w:bottom w:w="0" w:type="dxa"/>
              <w:right w:w="15" w:type="dxa"/>
            </w:tcMar>
            <w:vAlign w:val="center"/>
          </w:tcPr>
          <w:p>
            <w:pPr>
              <w:snapToGrid w:val="0"/>
              <w:jc w:val="center"/>
              <w:rPr>
                <w:rFonts w:ascii="宋体" w:hAnsi="宋体"/>
                <w:b/>
                <w:color w:val="auto"/>
                <w:szCs w:val="21"/>
              </w:rPr>
            </w:pPr>
          </w:p>
        </w:tc>
        <w:tc>
          <w:tcPr>
            <w:tcW w:w="1015" w:type="pct"/>
            <w:vMerge w:val="restart"/>
            <w:noWrap w:val="0"/>
            <w:tcMar>
              <w:top w:w="15" w:type="dxa"/>
              <w:left w:w="15" w:type="dxa"/>
              <w:bottom w:w="0" w:type="dxa"/>
              <w:right w:w="15" w:type="dxa"/>
            </w:tcMar>
            <w:vAlign w:val="center"/>
          </w:tcPr>
          <w:p>
            <w:pPr>
              <w:snapToGrid w:val="0"/>
              <w:rPr>
                <w:rFonts w:ascii="宋体" w:hAnsi="宋体"/>
                <w:bCs/>
                <w:color w:val="auto"/>
                <w:szCs w:val="21"/>
              </w:rPr>
            </w:pPr>
            <w:r>
              <w:rPr>
                <w:rFonts w:hint="eastAsia" w:ascii="宋体" w:hAnsi="宋体"/>
                <w:bCs/>
                <w:color w:val="auto"/>
                <w:szCs w:val="21"/>
              </w:rPr>
              <w:t>对项目实施思路、原则、特点、技术要求的理解情况，方案在确保阶段性任务实现的同时，是否统筹考虑了总体目标的实现（0-</w:t>
            </w:r>
            <w:r>
              <w:rPr>
                <w:rFonts w:hint="eastAsia" w:ascii="宋体" w:hAnsi="宋体"/>
                <w:bCs/>
                <w:color w:val="auto"/>
                <w:szCs w:val="21"/>
                <w:lang w:val="en-US" w:eastAsia="zh-CN"/>
              </w:rPr>
              <w:t>8</w:t>
            </w:r>
            <w:r>
              <w:rPr>
                <w:rFonts w:hint="eastAsia" w:ascii="宋体" w:hAnsi="宋体"/>
                <w:bCs/>
                <w:color w:val="auto"/>
                <w:szCs w:val="21"/>
              </w:rPr>
              <w:t>分）</w:t>
            </w:r>
          </w:p>
        </w:tc>
        <w:tc>
          <w:tcPr>
            <w:tcW w:w="2281" w:type="pct"/>
            <w:noWrap w:val="0"/>
            <w:vAlign w:val="center"/>
          </w:tcPr>
          <w:p>
            <w:pPr>
              <w:snapToGrid w:val="0"/>
              <w:jc w:val="left"/>
              <w:rPr>
                <w:rFonts w:ascii="宋体" w:hAnsi="宋体"/>
                <w:bCs/>
                <w:color w:val="auto"/>
                <w:szCs w:val="21"/>
              </w:rPr>
            </w:pPr>
            <w:r>
              <w:rPr>
                <w:rFonts w:hint="eastAsia" w:ascii="宋体" w:hAnsi="宋体"/>
                <w:bCs/>
                <w:color w:val="auto"/>
                <w:szCs w:val="21"/>
              </w:rPr>
              <w:t>对项目实施思路、原则、特点、技术要求的理解情况（3分）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trPr>
        <w:tc>
          <w:tcPr>
            <w:tcW w:w="271" w:type="pct"/>
            <w:vMerge w:val="continue"/>
            <w:noWrap w:val="0"/>
            <w:tcMar>
              <w:top w:w="15" w:type="dxa"/>
              <w:left w:w="15" w:type="dxa"/>
              <w:bottom w:w="0" w:type="dxa"/>
              <w:right w:w="15" w:type="dxa"/>
            </w:tcMar>
            <w:vAlign w:val="center"/>
          </w:tcPr>
          <w:p>
            <w:pPr>
              <w:snapToGrid w:val="0"/>
              <w:jc w:val="center"/>
              <w:rPr>
                <w:color w:val="auto"/>
              </w:rPr>
            </w:pPr>
          </w:p>
        </w:tc>
        <w:tc>
          <w:tcPr>
            <w:tcW w:w="1015" w:type="pct"/>
            <w:vMerge w:val="continue"/>
            <w:noWrap w:val="0"/>
            <w:tcMar>
              <w:top w:w="15" w:type="dxa"/>
              <w:left w:w="15" w:type="dxa"/>
              <w:bottom w:w="0" w:type="dxa"/>
              <w:right w:w="15" w:type="dxa"/>
            </w:tcMar>
            <w:vAlign w:val="center"/>
          </w:tcPr>
          <w:p>
            <w:pPr>
              <w:snapToGrid w:val="0"/>
              <w:jc w:val="center"/>
              <w:rPr>
                <w:color w:val="auto"/>
              </w:rPr>
            </w:pPr>
          </w:p>
        </w:tc>
        <w:tc>
          <w:tcPr>
            <w:tcW w:w="2281" w:type="pct"/>
            <w:noWrap w:val="0"/>
            <w:vAlign w:val="center"/>
          </w:tcPr>
          <w:p>
            <w:pPr>
              <w:snapToGrid w:val="0"/>
              <w:jc w:val="left"/>
              <w:rPr>
                <w:color w:val="auto"/>
              </w:rPr>
            </w:pPr>
            <w:r>
              <w:rPr>
                <w:rFonts w:hint="eastAsia" w:ascii="宋体" w:hAnsi="宋体"/>
                <w:bCs/>
                <w:color w:val="auto"/>
                <w:szCs w:val="21"/>
              </w:rPr>
              <w:t>方案能够确保阶段性任务实现（</w:t>
            </w:r>
            <w:r>
              <w:rPr>
                <w:rFonts w:hint="eastAsia" w:ascii="宋体" w:hAnsi="宋体"/>
                <w:bCs/>
                <w:color w:val="auto"/>
                <w:szCs w:val="21"/>
                <w:lang w:val="en-US" w:eastAsia="zh-CN"/>
              </w:rPr>
              <w:t>3</w:t>
            </w:r>
            <w:r>
              <w:rPr>
                <w:rFonts w:hint="eastAsia" w:ascii="宋体" w:hAnsi="宋体"/>
                <w:bCs/>
                <w:color w:val="auto"/>
                <w:szCs w:val="21"/>
              </w:rPr>
              <w:t>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jc w:val="center"/>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trPr>
        <w:tc>
          <w:tcPr>
            <w:tcW w:w="271" w:type="pct"/>
            <w:vMerge w:val="continue"/>
            <w:noWrap w:val="0"/>
            <w:tcMar>
              <w:top w:w="15" w:type="dxa"/>
              <w:left w:w="15" w:type="dxa"/>
              <w:bottom w:w="0" w:type="dxa"/>
              <w:right w:w="15" w:type="dxa"/>
            </w:tcMar>
            <w:vAlign w:val="center"/>
          </w:tcPr>
          <w:p>
            <w:pPr>
              <w:snapToGrid w:val="0"/>
              <w:jc w:val="center"/>
              <w:rPr>
                <w:rFonts w:hint="eastAsia" w:ascii="宋体" w:hAnsi="宋体"/>
                <w:bCs/>
                <w:color w:val="auto"/>
                <w:szCs w:val="21"/>
              </w:rPr>
            </w:pPr>
          </w:p>
        </w:tc>
        <w:tc>
          <w:tcPr>
            <w:tcW w:w="1015" w:type="pct"/>
            <w:vMerge w:val="continue"/>
            <w:noWrap w:val="0"/>
            <w:tcMar>
              <w:top w:w="15" w:type="dxa"/>
              <w:left w:w="15" w:type="dxa"/>
              <w:bottom w:w="0" w:type="dxa"/>
              <w:right w:w="15" w:type="dxa"/>
            </w:tcMar>
            <w:vAlign w:val="center"/>
          </w:tcPr>
          <w:p>
            <w:pPr>
              <w:snapToGrid w:val="0"/>
              <w:jc w:val="center"/>
              <w:rPr>
                <w:rFonts w:hint="eastAsia" w:ascii="宋体" w:hAnsi="宋体"/>
                <w:bCs/>
                <w:color w:val="auto"/>
                <w:szCs w:val="21"/>
              </w:rPr>
            </w:pPr>
          </w:p>
        </w:tc>
        <w:tc>
          <w:tcPr>
            <w:tcW w:w="2281" w:type="pct"/>
            <w:noWrap w:val="0"/>
            <w:vAlign w:val="center"/>
          </w:tcPr>
          <w:p>
            <w:pPr>
              <w:snapToGrid w:val="0"/>
              <w:jc w:val="left"/>
              <w:rPr>
                <w:rFonts w:hint="eastAsia" w:ascii="宋体" w:hAnsi="宋体"/>
                <w:bCs/>
                <w:color w:val="auto"/>
                <w:szCs w:val="21"/>
              </w:rPr>
            </w:pPr>
            <w:r>
              <w:rPr>
                <w:rFonts w:hint="eastAsia" w:ascii="宋体" w:hAnsi="宋体"/>
                <w:bCs/>
                <w:color w:val="auto"/>
                <w:szCs w:val="21"/>
              </w:rPr>
              <w:t>方案能够确保总体目标的实现（</w:t>
            </w:r>
            <w:r>
              <w:rPr>
                <w:rFonts w:hint="eastAsia" w:ascii="宋体" w:hAnsi="宋体"/>
                <w:bCs/>
                <w:color w:val="auto"/>
                <w:szCs w:val="21"/>
                <w:lang w:val="en-US" w:eastAsia="zh-CN"/>
              </w:rPr>
              <w:t>2</w:t>
            </w:r>
            <w:r>
              <w:rPr>
                <w:rFonts w:hint="eastAsia" w:ascii="宋体" w:hAnsi="宋体"/>
                <w:bCs/>
                <w:color w:val="auto"/>
                <w:szCs w:val="21"/>
              </w:rPr>
              <w:t>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jc w:val="center"/>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trPr>
        <w:tc>
          <w:tcPr>
            <w:tcW w:w="271" w:type="pct"/>
            <w:vMerge w:val="continue"/>
            <w:noWrap w:val="0"/>
            <w:tcMar>
              <w:top w:w="15" w:type="dxa"/>
              <w:left w:w="15" w:type="dxa"/>
              <w:bottom w:w="0" w:type="dxa"/>
              <w:right w:w="15" w:type="dxa"/>
            </w:tcMar>
            <w:vAlign w:val="center"/>
          </w:tcPr>
          <w:p>
            <w:pPr>
              <w:snapToGrid w:val="0"/>
              <w:jc w:val="center"/>
              <w:rPr>
                <w:rFonts w:ascii="宋体" w:hAnsi="宋体"/>
                <w:b/>
                <w:color w:val="auto"/>
                <w:szCs w:val="21"/>
              </w:rPr>
            </w:pPr>
          </w:p>
        </w:tc>
        <w:tc>
          <w:tcPr>
            <w:tcW w:w="1015" w:type="pct"/>
            <w:vMerge w:val="restart"/>
            <w:noWrap w:val="0"/>
            <w:tcMar>
              <w:top w:w="15" w:type="dxa"/>
              <w:left w:w="15" w:type="dxa"/>
              <w:bottom w:w="0" w:type="dxa"/>
              <w:right w:w="15" w:type="dxa"/>
            </w:tcMar>
            <w:vAlign w:val="center"/>
          </w:tcPr>
          <w:p>
            <w:pPr>
              <w:snapToGrid w:val="0"/>
              <w:rPr>
                <w:rFonts w:ascii="宋体" w:hAnsi="宋体"/>
                <w:bCs/>
                <w:color w:val="auto"/>
                <w:szCs w:val="21"/>
              </w:rPr>
            </w:pPr>
            <w:r>
              <w:rPr>
                <w:rFonts w:hint="eastAsia" w:ascii="宋体" w:hAnsi="宋体"/>
                <w:bCs/>
                <w:color w:val="auto"/>
                <w:szCs w:val="21"/>
              </w:rPr>
              <w:t>对重点、难点技术环节有先进、合理的建议，是否具有先进性、科学性、扩展性和安全性，解决方案是否完整、经济、安全、切实可行，措施得力（0-9分）</w:t>
            </w:r>
          </w:p>
        </w:tc>
        <w:tc>
          <w:tcPr>
            <w:tcW w:w="2281" w:type="pct"/>
            <w:noWrap w:val="0"/>
            <w:vAlign w:val="center"/>
          </w:tcPr>
          <w:p>
            <w:pPr>
              <w:snapToGrid w:val="0"/>
              <w:jc w:val="left"/>
              <w:rPr>
                <w:rFonts w:ascii="宋体" w:hAnsi="宋体"/>
                <w:bCs/>
                <w:color w:val="auto"/>
                <w:szCs w:val="21"/>
              </w:rPr>
            </w:pPr>
            <w:r>
              <w:rPr>
                <w:rFonts w:hint="eastAsia" w:ascii="宋体" w:hAnsi="宋体"/>
                <w:bCs/>
                <w:color w:val="auto"/>
                <w:szCs w:val="21"/>
              </w:rPr>
              <w:t>对重点、难点技术环节有先进、合理的建议（3分）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271" w:type="pct"/>
            <w:vMerge w:val="continue"/>
            <w:noWrap w:val="0"/>
            <w:tcMar>
              <w:top w:w="15" w:type="dxa"/>
              <w:left w:w="15" w:type="dxa"/>
              <w:bottom w:w="0" w:type="dxa"/>
              <w:right w:w="15" w:type="dxa"/>
            </w:tcMar>
            <w:vAlign w:val="center"/>
          </w:tcPr>
          <w:p>
            <w:pPr>
              <w:snapToGrid w:val="0"/>
              <w:jc w:val="center"/>
              <w:rPr>
                <w:color w:val="auto"/>
              </w:rPr>
            </w:pPr>
          </w:p>
        </w:tc>
        <w:tc>
          <w:tcPr>
            <w:tcW w:w="1015" w:type="pct"/>
            <w:vMerge w:val="continue"/>
            <w:noWrap w:val="0"/>
            <w:tcMar>
              <w:top w:w="15" w:type="dxa"/>
              <w:left w:w="15" w:type="dxa"/>
              <w:bottom w:w="0" w:type="dxa"/>
              <w:right w:w="15" w:type="dxa"/>
            </w:tcMar>
            <w:vAlign w:val="center"/>
          </w:tcPr>
          <w:p>
            <w:pPr>
              <w:snapToGrid w:val="0"/>
              <w:jc w:val="center"/>
              <w:rPr>
                <w:color w:val="auto"/>
              </w:rPr>
            </w:pPr>
          </w:p>
        </w:tc>
        <w:tc>
          <w:tcPr>
            <w:tcW w:w="2281" w:type="pct"/>
            <w:noWrap w:val="0"/>
            <w:vAlign w:val="center"/>
          </w:tcPr>
          <w:p>
            <w:pPr>
              <w:snapToGrid w:val="0"/>
              <w:jc w:val="left"/>
              <w:rPr>
                <w:color w:val="auto"/>
              </w:rPr>
            </w:pPr>
            <w:r>
              <w:rPr>
                <w:rFonts w:hint="eastAsia" w:ascii="宋体" w:hAnsi="宋体"/>
                <w:bCs/>
                <w:color w:val="auto"/>
                <w:szCs w:val="21"/>
              </w:rPr>
              <w:t>检测方案具有先进性、科学性、扩展性和安全性（3分）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jc w:val="center"/>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trPr>
        <w:tc>
          <w:tcPr>
            <w:tcW w:w="271" w:type="pct"/>
            <w:vMerge w:val="continue"/>
            <w:noWrap w:val="0"/>
            <w:tcMar>
              <w:top w:w="15" w:type="dxa"/>
              <w:left w:w="15" w:type="dxa"/>
              <w:bottom w:w="0" w:type="dxa"/>
              <w:right w:w="15" w:type="dxa"/>
            </w:tcMar>
            <w:vAlign w:val="center"/>
          </w:tcPr>
          <w:p>
            <w:pPr>
              <w:snapToGrid w:val="0"/>
              <w:jc w:val="center"/>
              <w:rPr>
                <w:rFonts w:hint="eastAsia" w:ascii="宋体" w:hAnsi="宋体"/>
                <w:bCs/>
                <w:color w:val="auto"/>
                <w:szCs w:val="21"/>
              </w:rPr>
            </w:pPr>
          </w:p>
        </w:tc>
        <w:tc>
          <w:tcPr>
            <w:tcW w:w="1015" w:type="pct"/>
            <w:vMerge w:val="continue"/>
            <w:noWrap w:val="0"/>
            <w:tcMar>
              <w:top w:w="15" w:type="dxa"/>
              <w:left w:w="15" w:type="dxa"/>
              <w:bottom w:w="0" w:type="dxa"/>
              <w:right w:w="15" w:type="dxa"/>
            </w:tcMar>
            <w:vAlign w:val="center"/>
          </w:tcPr>
          <w:p>
            <w:pPr>
              <w:snapToGrid w:val="0"/>
              <w:jc w:val="center"/>
              <w:rPr>
                <w:rFonts w:hint="eastAsia" w:ascii="宋体" w:hAnsi="宋体"/>
                <w:bCs/>
                <w:color w:val="auto"/>
                <w:szCs w:val="21"/>
              </w:rPr>
            </w:pPr>
          </w:p>
        </w:tc>
        <w:tc>
          <w:tcPr>
            <w:tcW w:w="2281" w:type="pct"/>
            <w:noWrap w:val="0"/>
            <w:vAlign w:val="center"/>
          </w:tcPr>
          <w:p>
            <w:pPr>
              <w:snapToGrid w:val="0"/>
              <w:jc w:val="left"/>
              <w:rPr>
                <w:rFonts w:hint="eastAsia" w:ascii="宋体" w:hAnsi="宋体"/>
                <w:bCs/>
                <w:color w:val="auto"/>
                <w:szCs w:val="21"/>
              </w:rPr>
            </w:pPr>
            <w:r>
              <w:rPr>
                <w:rFonts w:hint="eastAsia" w:ascii="宋体" w:hAnsi="宋体"/>
                <w:bCs/>
                <w:color w:val="auto"/>
                <w:szCs w:val="21"/>
              </w:rPr>
              <w:t>解决方案完整、经济、安全、切实可行，措施得力（3分）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jc w:val="center"/>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1" w:type="pct"/>
            <w:vMerge w:val="continue"/>
            <w:noWrap w:val="0"/>
            <w:vAlign w:val="center"/>
          </w:tcPr>
          <w:p>
            <w:pPr>
              <w:widowControl/>
              <w:snapToGrid w:val="0"/>
              <w:jc w:val="center"/>
              <w:rPr>
                <w:rFonts w:ascii="宋体" w:hAnsi="宋体"/>
                <w:b/>
                <w:color w:val="auto"/>
                <w:szCs w:val="21"/>
              </w:rPr>
            </w:pPr>
          </w:p>
        </w:tc>
        <w:tc>
          <w:tcPr>
            <w:tcW w:w="1015" w:type="pct"/>
            <w:noWrap w:val="0"/>
            <w:tcMar>
              <w:top w:w="15" w:type="dxa"/>
              <w:left w:w="15" w:type="dxa"/>
              <w:bottom w:w="0" w:type="dxa"/>
              <w:right w:w="15" w:type="dxa"/>
            </w:tcMar>
            <w:vAlign w:val="center"/>
          </w:tcPr>
          <w:p>
            <w:pPr>
              <w:snapToGrid w:val="0"/>
              <w:rPr>
                <w:rFonts w:ascii="宋体" w:hAnsi="宋体"/>
                <w:color w:val="auto"/>
                <w:szCs w:val="21"/>
              </w:rPr>
            </w:pPr>
            <w:r>
              <w:rPr>
                <w:rFonts w:hint="eastAsia" w:ascii="宋体" w:hAnsi="宋体"/>
                <w:bCs/>
                <w:color w:val="auto"/>
                <w:szCs w:val="21"/>
              </w:rPr>
              <w:t>投标人对检验检测对象特点认识和理解情况（0-</w:t>
            </w:r>
            <w:r>
              <w:rPr>
                <w:rFonts w:hint="eastAsia" w:ascii="宋体" w:hAnsi="宋体"/>
                <w:bCs/>
                <w:color w:val="auto"/>
                <w:szCs w:val="21"/>
                <w:lang w:val="en-US" w:eastAsia="zh-CN"/>
              </w:rPr>
              <w:t>5</w:t>
            </w:r>
            <w:r>
              <w:rPr>
                <w:rFonts w:hint="eastAsia" w:ascii="宋体" w:hAnsi="宋体"/>
                <w:bCs/>
                <w:color w:val="auto"/>
                <w:szCs w:val="21"/>
              </w:rPr>
              <w:t>分）</w:t>
            </w:r>
          </w:p>
        </w:tc>
        <w:tc>
          <w:tcPr>
            <w:tcW w:w="2281" w:type="pct"/>
            <w:noWrap w:val="0"/>
            <w:vAlign w:val="center"/>
          </w:tcPr>
          <w:p>
            <w:pPr>
              <w:snapToGrid w:val="0"/>
              <w:rPr>
                <w:rFonts w:ascii="宋体" w:hAnsi="宋体"/>
                <w:color w:val="auto"/>
                <w:szCs w:val="21"/>
              </w:rPr>
            </w:pPr>
            <w:r>
              <w:rPr>
                <w:rFonts w:hint="eastAsia" w:ascii="宋体" w:hAnsi="宋体"/>
                <w:bCs/>
                <w:color w:val="auto"/>
                <w:szCs w:val="21"/>
              </w:rPr>
              <w:t>对检验检测对象特点认识和理解情况最佳者得</w:t>
            </w:r>
            <w:r>
              <w:rPr>
                <w:rFonts w:hint="eastAsia" w:ascii="宋体" w:hAnsi="宋体"/>
                <w:bCs/>
                <w:color w:val="auto"/>
                <w:szCs w:val="21"/>
                <w:lang w:val="en-US" w:eastAsia="zh-CN"/>
              </w:rPr>
              <w:t>5</w:t>
            </w:r>
            <w:r>
              <w:rPr>
                <w:rFonts w:hint="eastAsia" w:ascii="宋体" w:hAnsi="宋体"/>
                <w:bCs/>
                <w:color w:val="auto"/>
                <w:szCs w:val="21"/>
              </w:rPr>
              <w:t>分，</w:t>
            </w:r>
            <w:r>
              <w:rPr>
                <w:rFonts w:hint="eastAsia" w:ascii="宋体" w:hAnsi="宋体"/>
                <w:color w:val="auto"/>
                <w:szCs w:val="21"/>
              </w:rPr>
              <w:t>其余方案逐次扣分。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5</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1" w:type="pct"/>
            <w:vMerge w:val="continue"/>
            <w:noWrap w:val="0"/>
            <w:vAlign w:val="center"/>
          </w:tcPr>
          <w:p>
            <w:pPr>
              <w:widowControl/>
              <w:snapToGrid w:val="0"/>
              <w:jc w:val="center"/>
              <w:rPr>
                <w:rFonts w:ascii="宋体" w:hAnsi="宋体"/>
                <w:b/>
                <w:color w:val="auto"/>
                <w:szCs w:val="21"/>
              </w:rPr>
            </w:pPr>
          </w:p>
        </w:tc>
        <w:tc>
          <w:tcPr>
            <w:tcW w:w="1015" w:type="pct"/>
            <w:noWrap w:val="0"/>
            <w:tcMar>
              <w:top w:w="15" w:type="dxa"/>
              <w:left w:w="15" w:type="dxa"/>
              <w:bottom w:w="0" w:type="dxa"/>
              <w:right w:w="15" w:type="dxa"/>
            </w:tcMar>
            <w:vAlign w:val="center"/>
          </w:tcPr>
          <w:p>
            <w:pPr>
              <w:snapToGrid w:val="0"/>
              <w:rPr>
                <w:rFonts w:ascii="宋体" w:hAnsi="宋体"/>
                <w:color w:val="auto"/>
                <w:szCs w:val="21"/>
              </w:rPr>
            </w:pPr>
            <w:r>
              <w:rPr>
                <w:rFonts w:hint="eastAsia" w:ascii="宋体" w:hAnsi="宋体"/>
                <w:bCs/>
                <w:color w:val="auto"/>
                <w:szCs w:val="21"/>
              </w:rPr>
              <w:t>投标人应具有相应类别的食品检验项目的检测能力，并通过相应的实验室资质认定（0-10分）</w:t>
            </w:r>
          </w:p>
        </w:tc>
        <w:tc>
          <w:tcPr>
            <w:tcW w:w="2281" w:type="pct"/>
            <w:noWrap w:val="0"/>
            <w:vAlign w:val="center"/>
          </w:tcPr>
          <w:p>
            <w:pPr>
              <w:snapToGrid w:val="0"/>
              <w:rPr>
                <w:rFonts w:ascii="宋体" w:hAnsi="宋体"/>
                <w:color w:val="auto"/>
                <w:szCs w:val="21"/>
              </w:rPr>
            </w:pPr>
            <w:r>
              <w:rPr>
                <w:rFonts w:hint="eastAsia" w:ascii="宋体" w:hAnsi="宋体"/>
                <w:bCs/>
                <w:color w:val="auto"/>
                <w:szCs w:val="21"/>
              </w:rPr>
              <w:t>全部具备，得10分；不具备全项检测能力或未全部通过相应实验室资质认定的，不得分。</w:t>
            </w:r>
          </w:p>
        </w:tc>
        <w:tc>
          <w:tcPr>
            <w:tcW w:w="397" w:type="pct"/>
            <w:noWrap w:val="0"/>
            <w:vAlign w:val="center"/>
          </w:tcPr>
          <w:p>
            <w:pPr>
              <w:snapToGrid w:val="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10</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客观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271" w:type="pct"/>
            <w:vMerge w:val="continue"/>
            <w:noWrap w:val="0"/>
            <w:vAlign w:val="center"/>
          </w:tcPr>
          <w:p>
            <w:pPr>
              <w:widowControl/>
              <w:snapToGrid w:val="0"/>
              <w:jc w:val="center"/>
              <w:rPr>
                <w:rFonts w:ascii="宋体" w:hAnsi="宋体"/>
                <w:b/>
                <w:color w:val="auto"/>
                <w:szCs w:val="21"/>
              </w:rPr>
            </w:pPr>
          </w:p>
        </w:tc>
        <w:tc>
          <w:tcPr>
            <w:tcW w:w="1015" w:type="pct"/>
            <w:vMerge w:val="restart"/>
            <w:noWrap w:val="0"/>
            <w:tcMar>
              <w:top w:w="15" w:type="dxa"/>
              <w:left w:w="15" w:type="dxa"/>
              <w:bottom w:w="0" w:type="dxa"/>
              <w:right w:w="15" w:type="dxa"/>
            </w:tcMar>
            <w:vAlign w:val="center"/>
          </w:tcPr>
          <w:p>
            <w:pPr>
              <w:snapToGrid w:val="0"/>
              <w:rPr>
                <w:rFonts w:ascii="宋体" w:hAnsi="宋体"/>
                <w:color w:val="auto"/>
                <w:szCs w:val="21"/>
              </w:rPr>
            </w:pPr>
            <w:r>
              <w:rPr>
                <w:rFonts w:hint="eastAsia" w:ascii="宋体" w:hAnsi="宋体"/>
                <w:bCs/>
                <w:color w:val="auto"/>
                <w:szCs w:val="21"/>
              </w:rPr>
              <w:t>拟投入本项目的项目负责人及人员配备情况（0-</w:t>
            </w:r>
            <w:r>
              <w:rPr>
                <w:rFonts w:hint="eastAsia" w:ascii="宋体" w:hAnsi="宋体"/>
                <w:bCs/>
                <w:color w:val="auto"/>
                <w:szCs w:val="21"/>
                <w:lang w:val="en-US" w:eastAsia="zh-CN"/>
              </w:rPr>
              <w:t>6</w:t>
            </w:r>
            <w:r>
              <w:rPr>
                <w:rFonts w:hint="eastAsia" w:ascii="宋体" w:hAnsi="宋体"/>
                <w:bCs/>
                <w:color w:val="auto"/>
                <w:szCs w:val="21"/>
              </w:rPr>
              <w:t>分）</w:t>
            </w:r>
          </w:p>
        </w:tc>
        <w:tc>
          <w:tcPr>
            <w:tcW w:w="2281" w:type="pct"/>
            <w:noWrap w:val="0"/>
            <w:vAlign w:val="center"/>
          </w:tcPr>
          <w:p>
            <w:pPr>
              <w:snapToGrid w:val="0"/>
              <w:rPr>
                <w:rFonts w:ascii="宋体" w:hAnsi="宋体"/>
                <w:color w:val="auto"/>
                <w:szCs w:val="21"/>
              </w:rPr>
            </w:pPr>
            <w:r>
              <w:rPr>
                <w:rFonts w:hint="eastAsia" w:ascii="宋体" w:hAnsi="宋体"/>
                <w:bCs/>
                <w:color w:val="auto"/>
                <w:szCs w:val="21"/>
              </w:rPr>
              <w:t>项目负责人技术职称（</w:t>
            </w:r>
            <w:r>
              <w:rPr>
                <w:rFonts w:hint="eastAsia" w:ascii="宋体" w:hAnsi="宋体"/>
                <w:bCs/>
                <w:color w:val="auto"/>
                <w:szCs w:val="21"/>
                <w:lang w:val="en-US" w:eastAsia="zh-CN"/>
              </w:rPr>
              <w:t>3</w:t>
            </w:r>
            <w:r>
              <w:rPr>
                <w:rFonts w:hint="eastAsia" w:ascii="宋体" w:hAnsi="宋体"/>
                <w:bCs/>
                <w:color w:val="auto"/>
                <w:szCs w:val="21"/>
              </w:rPr>
              <w:t>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271" w:type="pct"/>
            <w:vMerge w:val="continue"/>
            <w:noWrap w:val="0"/>
            <w:vAlign w:val="center"/>
          </w:tcPr>
          <w:p>
            <w:pPr>
              <w:snapToGrid w:val="0"/>
              <w:rPr>
                <w:color w:val="auto"/>
              </w:rPr>
            </w:pPr>
          </w:p>
        </w:tc>
        <w:tc>
          <w:tcPr>
            <w:tcW w:w="1015" w:type="pct"/>
            <w:vMerge w:val="continue"/>
            <w:noWrap w:val="0"/>
            <w:tcMar>
              <w:top w:w="15" w:type="dxa"/>
              <w:left w:w="15" w:type="dxa"/>
              <w:bottom w:w="0" w:type="dxa"/>
              <w:right w:w="15" w:type="dxa"/>
            </w:tcMar>
            <w:vAlign w:val="center"/>
          </w:tcPr>
          <w:p>
            <w:pPr>
              <w:snapToGrid w:val="0"/>
              <w:rPr>
                <w:color w:val="auto"/>
              </w:rPr>
            </w:pPr>
          </w:p>
        </w:tc>
        <w:tc>
          <w:tcPr>
            <w:tcW w:w="2281" w:type="pct"/>
            <w:noWrap w:val="0"/>
            <w:vAlign w:val="center"/>
          </w:tcPr>
          <w:p>
            <w:pPr>
              <w:snapToGrid w:val="0"/>
              <w:rPr>
                <w:rFonts w:hint="eastAsia" w:ascii="宋体" w:hAnsi="宋体"/>
                <w:bCs/>
                <w:color w:val="auto"/>
                <w:szCs w:val="21"/>
              </w:rPr>
            </w:pPr>
            <w:r>
              <w:rPr>
                <w:rFonts w:hint="eastAsia" w:ascii="宋体" w:hAnsi="宋体"/>
                <w:bCs/>
                <w:color w:val="auto"/>
                <w:szCs w:val="21"/>
              </w:rPr>
              <w:t>项目技术人员总人数（3分）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1" w:type="pct"/>
            <w:vMerge w:val="continue"/>
            <w:noWrap w:val="0"/>
            <w:vAlign w:val="center"/>
          </w:tcPr>
          <w:p>
            <w:pPr>
              <w:widowControl/>
              <w:snapToGrid w:val="0"/>
              <w:jc w:val="center"/>
              <w:rPr>
                <w:rFonts w:ascii="宋体" w:hAnsi="宋体"/>
                <w:b/>
                <w:color w:val="auto"/>
                <w:szCs w:val="21"/>
              </w:rPr>
            </w:pPr>
          </w:p>
        </w:tc>
        <w:tc>
          <w:tcPr>
            <w:tcW w:w="1015" w:type="pct"/>
            <w:noWrap w:val="0"/>
            <w:tcMar>
              <w:top w:w="15" w:type="dxa"/>
              <w:left w:w="15" w:type="dxa"/>
              <w:bottom w:w="0" w:type="dxa"/>
              <w:right w:w="15" w:type="dxa"/>
            </w:tcMar>
            <w:vAlign w:val="center"/>
          </w:tcPr>
          <w:p>
            <w:pPr>
              <w:snapToGrid w:val="0"/>
              <w:rPr>
                <w:rFonts w:ascii="宋体" w:hAnsi="宋体"/>
                <w:color w:val="auto"/>
                <w:szCs w:val="21"/>
              </w:rPr>
            </w:pPr>
            <w:r>
              <w:rPr>
                <w:rFonts w:hint="eastAsia" w:ascii="宋体" w:hAnsi="宋体"/>
                <w:bCs/>
                <w:color w:val="auto"/>
                <w:szCs w:val="21"/>
              </w:rPr>
              <w:t>投标人拟投入检测的仪器设备的优劣性（0-</w:t>
            </w:r>
            <w:r>
              <w:rPr>
                <w:rFonts w:hint="eastAsia" w:ascii="宋体" w:hAnsi="宋体"/>
                <w:bCs/>
                <w:color w:val="auto"/>
                <w:szCs w:val="21"/>
                <w:lang w:val="en-US" w:eastAsia="zh-CN"/>
              </w:rPr>
              <w:t>5</w:t>
            </w:r>
            <w:r>
              <w:rPr>
                <w:rFonts w:hint="eastAsia" w:ascii="宋体" w:hAnsi="宋体"/>
                <w:bCs/>
                <w:color w:val="auto"/>
                <w:szCs w:val="21"/>
              </w:rPr>
              <w:t>分）</w:t>
            </w:r>
          </w:p>
        </w:tc>
        <w:tc>
          <w:tcPr>
            <w:tcW w:w="2281" w:type="pct"/>
            <w:noWrap w:val="0"/>
            <w:vAlign w:val="center"/>
          </w:tcPr>
          <w:p>
            <w:pPr>
              <w:snapToGrid w:val="0"/>
              <w:rPr>
                <w:rFonts w:ascii="宋体" w:hAnsi="宋体"/>
                <w:color w:val="auto"/>
                <w:szCs w:val="21"/>
              </w:rPr>
            </w:pPr>
            <w:r>
              <w:rPr>
                <w:rFonts w:hint="eastAsia" w:ascii="宋体" w:hAnsi="宋体"/>
                <w:bCs/>
                <w:color w:val="auto"/>
                <w:szCs w:val="21"/>
              </w:rPr>
              <w:t>完全满足本项目要求得</w:t>
            </w:r>
            <w:r>
              <w:rPr>
                <w:rFonts w:hint="eastAsia" w:ascii="宋体" w:hAnsi="宋体"/>
                <w:bCs/>
                <w:color w:val="auto"/>
                <w:szCs w:val="21"/>
                <w:lang w:val="en-US" w:eastAsia="zh-CN"/>
              </w:rPr>
              <w:t>5</w:t>
            </w:r>
            <w:r>
              <w:rPr>
                <w:rFonts w:hint="eastAsia" w:ascii="宋体" w:hAnsi="宋体"/>
                <w:bCs/>
                <w:color w:val="auto"/>
                <w:szCs w:val="21"/>
              </w:rPr>
              <w:t>分，有缺漏酌情扣分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5</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271" w:type="pct"/>
            <w:vMerge w:val="continue"/>
            <w:noWrap w:val="0"/>
            <w:vAlign w:val="center"/>
          </w:tcPr>
          <w:p>
            <w:pPr>
              <w:widowControl/>
              <w:snapToGrid w:val="0"/>
              <w:jc w:val="center"/>
              <w:rPr>
                <w:rFonts w:ascii="宋体" w:hAnsi="宋体"/>
                <w:b/>
                <w:color w:val="auto"/>
                <w:szCs w:val="21"/>
              </w:rPr>
            </w:pPr>
          </w:p>
        </w:tc>
        <w:tc>
          <w:tcPr>
            <w:tcW w:w="1015" w:type="pct"/>
            <w:vMerge w:val="restart"/>
            <w:noWrap w:val="0"/>
            <w:tcMar>
              <w:top w:w="15" w:type="dxa"/>
              <w:left w:w="15" w:type="dxa"/>
              <w:bottom w:w="0" w:type="dxa"/>
              <w:right w:w="15" w:type="dxa"/>
            </w:tcMar>
            <w:vAlign w:val="center"/>
          </w:tcPr>
          <w:p>
            <w:pPr>
              <w:snapToGrid w:val="0"/>
              <w:rPr>
                <w:rFonts w:ascii="宋体" w:hAnsi="宋体"/>
                <w:bCs/>
                <w:color w:val="auto"/>
                <w:szCs w:val="21"/>
              </w:rPr>
            </w:pPr>
            <w:r>
              <w:rPr>
                <w:rFonts w:hint="eastAsia" w:ascii="宋体" w:hAnsi="宋体"/>
                <w:bCs/>
                <w:color w:val="auto"/>
                <w:szCs w:val="21"/>
              </w:rPr>
              <w:t>项目实施过程中的安全保障措施以及质量控制管理制度的优劣性（0-</w:t>
            </w:r>
            <w:r>
              <w:rPr>
                <w:rFonts w:hint="eastAsia" w:ascii="宋体" w:hAnsi="宋体"/>
                <w:bCs/>
                <w:color w:val="auto"/>
                <w:szCs w:val="21"/>
                <w:lang w:val="en-US" w:eastAsia="zh-CN"/>
              </w:rPr>
              <w:t>6</w:t>
            </w:r>
            <w:r>
              <w:rPr>
                <w:rFonts w:hint="eastAsia" w:ascii="宋体" w:hAnsi="宋体"/>
                <w:bCs/>
                <w:color w:val="auto"/>
                <w:szCs w:val="21"/>
              </w:rPr>
              <w:t>分）</w:t>
            </w:r>
          </w:p>
        </w:tc>
        <w:tc>
          <w:tcPr>
            <w:tcW w:w="2281" w:type="pct"/>
            <w:noWrap w:val="0"/>
            <w:vAlign w:val="center"/>
          </w:tcPr>
          <w:p>
            <w:pPr>
              <w:snapToGrid w:val="0"/>
              <w:rPr>
                <w:rFonts w:ascii="宋体" w:hAnsi="宋体"/>
                <w:bCs/>
                <w:color w:val="auto"/>
                <w:szCs w:val="21"/>
              </w:rPr>
            </w:pPr>
            <w:r>
              <w:rPr>
                <w:rFonts w:hint="eastAsia" w:ascii="宋体" w:hAnsi="宋体"/>
                <w:bCs/>
                <w:color w:val="auto"/>
                <w:szCs w:val="21"/>
              </w:rPr>
              <w:t>安全保障措施（3分）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p>
        </w:tc>
        <w:tc>
          <w:tcPr>
            <w:tcW w:w="397" w:type="pct"/>
            <w:noWrap w:val="0"/>
            <w:vAlign w:val="center"/>
          </w:tcPr>
          <w:p>
            <w:pPr>
              <w:snapToGrid w:val="0"/>
              <w:jc w:val="center"/>
              <w:rPr>
                <w:rFonts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271" w:type="pct"/>
            <w:vMerge w:val="continue"/>
            <w:noWrap w:val="0"/>
            <w:vAlign w:val="center"/>
          </w:tcPr>
          <w:p>
            <w:pPr>
              <w:snapToGrid w:val="0"/>
              <w:rPr>
                <w:color w:val="auto"/>
              </w:rPr>
            </w:pPr>
          </w:p>
        </w:tc>
        <w:tc>
          <w:tcPr>
            <w:tcW w:w="1015" w:type="pct"/>
            <w:vMerge w:val="continue"/>
            <w:noWrap w:val="0"/>
            <w:tcMar>
              <w:top w:w="15" w:type="dxa"/>
              <w:left w:w="15" w:type="dxa"/>
              <w:bottom w:w="0" w:type="dxa"/>
              <w:right w:w="15" w:type="dxa"/>
            </w:tcMar>
            <w:vAlign w:val="center"/>
          </w:tcPr>
          <w:p>
            <w:pPr>
              <w:snapToGrid w:val="0"/>
              <w:rPr>
                <w:color w:val="auto"/>
              </w:rPr>
            </w:pPr>
          </w:p>
        </w:tc>
        <w:tc>
          <w:tcPr>
            <w:tcW w:w="2281" w:type="pct"/>
            <w:noWrap w:val="0"/>
            <w:vAlign w:val="center"/>
          </w:tcPr>
          <w:p>
            <w:pPr>
              <w:snapToGrid w:val="0"/>
              <w:rPr>
                <w:rFonts w:ascii="宋体" w:hAnsi="宋体"/>
                <w:bCs/>
                <w:color w:val="auto"/>
                <w:szCs w:val="21"/>
              </w:rPr>
            </w:pPr>
            <w:r>
              <w:rPr>
                <w:rFonts w:ascii="宋体" w:hAnsi="宋体"/>
                <w:bCs/>
                <w:color w:val="auto"/>
                <w:szCs w:val="21"/>
              </w:rPr>
              <w:t>质量控制管理制度</w:t>
            </w:r>
            <w:r>
              <w:rPr>
                <w:rFonts w:hint="eastAsia" w:ascii="宋体" w:hAnsi="宋体"/>
                <w:bCs/>
                <w:color w:val="auto"/>
                <w:szCs w:val="21"/>
              </w:rPr>
              <w:t>（</w:t>
            </w:r>
            <w:r>
              <w:rPr>
                <w:rFonts w:hint="eastAsia" w:ascii="宋体" w:hAnsi="宋体"/>
                <w:bCs/>
                <w:color w:val="auto"/>
                <w:szCs w:val="21"/>
                <w:lang w:val="en-US" w:eastAsia="zh-CN"/>
              </w:rPr>
              <w:t>3</w:t>
            </w:r>
            <w:r>
              <w:rPr>
                <w:rFonts w:hint="eastAsia" w:ascii="宋体" w:hAnsi="宋体"/>
                <w:bCs/>
                <w:color w:val="auto"/>
                <w:szCs w:val="21"/>
              </w:rPr>
              <w:t>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p>
        </w:tc>
        <w:tc>
          <w:tcPr>
            <w:tcW w:w="397" w:type="pct"/>
            <w:noWrap w:val="0"/>
            <w:vAlign w:val="center"/>
          </w:tcPr>
          <w:p>
            <w:pPr>
              <w:snapToGrid w:val="0"/>
              <w:jc w:val="center"/>
              <w:rPr>
                <w:rFonts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1" w:type="pct"/>
            <w:vMerge w:val="continue"/>
            <w:noWrap w:val="0"/>
            <w:vAlign w:val="center"/>
          </w:tcPr>
          <w:p>
            <w:pPr>
              <w:widowControl/>
              <w:snapToGrid w:val="0"/>
              <w:jc w:val="center"/>
              <w:rPr>
                <w:rFonts w:ascii="宋体" w:hAnsi="宋体"/>
                <w:b/>
                <w:color w:val="auto"/>
                <w:szCs w:val="21"/>
              </w:rPr>
            </w:pPr>
          </w:p>
        </w:tc>
        <w:tc>
          <w:tcPr>
            <w:tcW w:w="1015" w:type="pct"/>
            <w:noWrap w:val="0"/>
            <w:tcMar>
              <w:top w:w="15" w:type="dxa"/>
              <w:left w:w="15" w:type="dxa"/>
              <w:bottom w:w="0" w:type="dxa"/>
              <w:right w:w="15" w:type="dxa"/>
            </w:tcMar>
            <w:vAlign w:val="center"/>
          </w:tcPr>
          <w:p>
            <w:pPr>
              <w:snapToGrid w:val="0"/>
              <w:rPr>
                <w:rFonts w:ascii="宋体" w:hAnsi="宋体"/>
                <w:bCs/>
                <w:color w:val="auto"/>
                <w:szCs w:val="21"/>
              </w:rPr>
            </w:pPr>
            <w:r>
              <w:rPr>
                <w:rFonts w:hint="eastAsia" w:ascii="宋体" w:hAnsi="宋体"/>
                <w:bCs/>
                <w:color w:val="auto"/>
                <w:szCs w:val="21"/>
              </w:rPr>
              <w:t>检测能力验证（0-5分）</w:t>
            </w:r>
          </w:p>
        </w:tc>
        <w:tc>
          <w:tcPr>
            <w:tcW w:w="2281" w:type="pct"/>
            <w:noWrap w:val="0"/>
            <w:vAlign w:val="center"/>
          </w:tcPr>
          <w:p>
            <w:pPr>
              <w:snapToGrid w:val="0"/>
              <w:rPr>
                <w:rFonts w:ascii="宋体" w:hAnsi="宋体"/>
                <w:bCs/>
                <w:color w:val="auto"/>
                <w:szCs w:val="21"/>
              </w:rPr>
            </w:pPr>
            <w:r>
              <w:rPr>
                <w:rFonts w:hint="eastAsia" w:ascii="宋体" w:hAnsi="宋体"/>
                <w:bCs/>
                <w:color w:val="auto"/>
                <w:szCs w:val="21"/>
              </w:rPr>
              <w:t>投标人提供20</w:t>
            </w:r>
            <w:r>
              <w:rPr>
                <w:rFonts w:hint="eastAsia" w:ascii="宋体" w:hAnsi="宋体"/>
                <w:bCs/>
                <w:color w:val="auto"/>
                <w:szCs w:val="21"/>
                <w:lang w:val="en-US" w:eastAsia="zh-CN"/>
              </w:rPr>
              <w:t>21</w:t>
            </w:r>
            <w:r>
              <w:rPr>
                <w:rFonts w:hint="eastAsia" w:ascii="宋体" w:hAnsi="宋体"/>
                <w:bCs/>
                <w:color w:val="auto"/>
                <w:szCs w:val="21"/>
              </w:rPr>
              <w:t>年1月1日至今年每年参加国内外能力验证或测量审核且结果满意的（提供证明材料），每年至少4份，缺少一份扣0.5分，未提供不得分。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5</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客观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1" w:type="pct"/>
            <w:vMerge w:val="continue"/>
            <w:noWrap w:val="0"/>
            <w:vAlign w:val="center"/>
          </w:tcPr>
          <w:p>
            <w:pPr>
              <w:widowControl/>
              <w:snapToGrid w:val="0"/>
              <w:jc w:val="center"/>
              <w:rPr>
                <w:rFonts w:ascii="宋体" w:hAnsi="宋体"/>
                <w:b/>
                <w:color w:val="auto"/>
                <w:szCs w:val="21"/>
              </w:rPr>
            </w:pPr>
          </w:p>
        </w:tc>
        <w:tc>
          <w:tcPr>
            <w:tcW w:w="1015" w:type="pct"/>
            <w:noWrap w:val="0"/>
            <w:tcMar>
              <w:top w:w="15" w:type="dxa"/>
              <w:left w:w="15" w:type="dxa"/>
              <w:bottom w:w="0" w:type="dxa"/>
              <w:right w:w="15" w:type="dxa"/>
            </w:tcMar>
            <w:vAlign w:val="center"/>
          </w:tcPr>
          <w:p>
            <w:pPr>
              <w:snapToGrid w:val="0"/>
              <w:rPr>
                <w:rFonts w:ascii="宋体" w:hAnsi="宋体"/>
                <w:bCs/>
                <w:color w:val="auto"/>
                <w:szCs w:val="21"/>
              </w:rPr>
            </w:pPr>
            <w:r>
              <w:rPr>
                <w:rFonts w:hint="eastAsia" w:ascii="宋体" w:hAnsi="宋体"/>
                <w:bCs/>
                <w:color w:val="auto"/>
                <w:szCs w:val="21"/>
              </w:rPr>
              <w:t>具有</w:t>
            </w:r>
            <w:r>
              <w:rPr>
                <w:rFonts w:hint="eastAsia" w:ascii="宋体" w:hAnsi="宋体"/>
                <w:bCs/>
                <w:color w:val="auto"/>
                <w:szCs w:val="21"/>
                <w:lang w:val="en-US" w:eastAsia="zh-CN"/>
              </w:rPr>
              <w:t>食品及时检测</w:t>
            </w:r>
            <w:r>
              <w:rPr>
                <w:rFonts w:hint="eastAsia" w:ascii="宋体" w:hAnsi="宋体"/>
                <w:bCs/>
                <w:color w:val="auto"/>
                <w:szCs w:val="21"/>
              </w:rPr>
              <w:t>能力（0-10分）</w:t>
            </w:r>
          </w:p>
        </w:tc>
        <w:tc>
          <w:tcPr>
            <w:tcW w:w="2281" w:type="pct"/>
            <w:noWrap w:val="0"/>
            <w:vAlign w:val="center"/>
          </w:tcPr>
          <w:p>
            <w:pPr>
              <w:snapToGrid w:val="0"/>
              <w:rPr>
                <w:rFonts w:ascii="宋体" w:hAnsi="宋体"/>
                <w:bCs/>
                <w:color w:val="auto"/>
                <w:szCs w:val="21"/>
              </w:rPr>
            </w:pPr>
            <w:r>
              <w:rPr>
                <w:rFonts w:hint="eastAsia" w:ascii="宋体" w:hAnsi="宋体"/>
                <w:bCs/>
                <w:color w:val="auto"/>
                <w:szCs w:val="21"/>
              </w:rPr>
              <w:t>有：得10分；没有，不得分（须提供</w:t>
            </w:r>
            <w:r>
              <w:rPr>
                <w:rFonts w:hint="eastAsia" w:ascii="宋体" w:hAnsi="宋体"/>
                <w:bCs/>
                <w:color w:val="auto"/>
                <w:szCs w:val="21"/>
                <w:lang w:val="en-US" w:eastAsia="zh-CN"/>
              </w:rPr>
              <w:t>能够合理达成食品及时送检的</w:t>
            </w:r>
            <w:r>
              <w:rPr>
                <w:rFonts w:hint="eastAsia" w:ascii="宋体" w:hAnsi="宋体"/>
                <w:bCs/>
                <w:color w:val="auto"/>
                <w:szCs w:val="21"/>
              </w:rPr>
              <w:t>检验地点</w:t>
            </w:r>
            <w:r>
              <w:rPr>
                <w:rFonts w:hint="eastAsia" w:ascii="宋体" w:hAnsi="宋体"/>
                <w:bCs/>
                <w:color w:val="auto"/>
                <w:szCs w:val="21"/>
                <w:lang w:val="en-US" w:eastAsia="zh-CN"/>
              </w:rPr>
              <w:t>及</w:t>
            </w:r>
            <w:r>
              <w:rPr>
                <w:rFonts w:hint="eastAsia" w:ascii="宋体" w:hAnsi="宋体"/>
                <w:bCs/>
                <w:color w:val="auto"/>
                <w:szCs w:val="21"/>
              </w:rPr>
              <w:t>具有完善的管理机构的相关证明材料）。</w:t>
            </w:r>
          </w:p>
        </w:tc>
        <w:tc>
          <w:tcPr>
            <w:tcW w:w="397" w:type="pct"/>
            <w:noWrap w:val="0"/>
            <w:vAlign w:val="center"/>
          </w:tcPr>
          <w:p>
            <w:pPr>
              <w:snapToGrid w:val="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10</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客观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271" w:type="pct"/>
            <w:vMerge w:val="continue"/>
            <w:noWrap w:val="0"/>
            <w:vAlign w:val="center"/>
          </w:tcPr>
          <w:p>
            <w:pPr>
              <w:widowControl/>
              <w:snapToGrid w:val="0"/>
              <w:jc w:val="center"/>
              <w:rPr>
                <w:rFonts w:ascii="宋体" w:hAnsi="宋体"/>
                <w:b/>
                <w:color w:val="auto"/>
                <w:szCs w:val="21"/>
              </w:rPr>
            </w:pPr>
          </w:p>
        </w:tc>
        <w:tc>
          <w:tcPr>
            <w:tcW w:w="1015" w:type="pct"/>
            <w:vMerge w:val="restart"/>
            <w:noWrap w:val="0"/>
            <w:tcMar>
              <w:top w:w="15" w:type="dxa"/>
              <w:left w:w="15" w:type="dxa"/>
              <w:bottom w:w="0" w:type="dxa"/>
              <w:right w:w="15" w:type="dxa"/>
            </w:tcMar>
            <w:vAlign w:val="center"/>
          </w:tcPr>
          <w:p>
            <w:pPr>
              <w:snapToGrid w:val="0"/>
              <w:rPr>
                <w:rFonts w:ascii="宋体" w:hAnsi="宋体"/>
                <w:bCs/>
                <w:color w:val="auto"/>
                <w:szCs w:val="21"/>
              </w:rPr>
            </w:pPr>
            <w:r>
              <w:rPr>
                <w:rFonts w:hint="eastAsia" w:ascii="宋体" w:hAnsi="宋体"/>
                <w:bCs/>
                <w:color w:val="auto"/>
                <w:szCs w:val="21"/>
              </w:rPr>
              <w:t>对用户需求的响应程度，包括突发事件的应急措施以及其他活动的配合情况（如培训、预警信息及传统食品技术提升）（0-</w:t>
            </w:r>
            <w:r>
              <w:rPr>
                <w:rFonts w:hint="eastAsia" w:ascii="宋体" w:hAnsi="宋体"/>
                <w:bCs/>
                <w:color w:val="auto"/>
                <w:szCs w:val="21"/>
                <w:lang w:val="en-US" w:eastAsia="zh-CN"/>
              </w:rPr>
              <w:t>8</w:t>
            </w:r>
            <w:r>
              <w:rPr>
                <w:rFonts w:hint="eastAsia" w:ascii="宋体" w:hAnsi="宋体"/>
                <w:bCs/>
                <w:color w:val="auto"/>
                <w:szCs w:val="21"/>
              </w:rPr>
              <w:t>分）</w:t>
            </w:r>
          </w:p>
        </w:tc>
        <w:tc>
          <w:tcPr>
            <w:tcW w:w="2281" w:type="pct"/>
            <w:noWrap w:val="0"/>
            <w:vAlign w:val="center"/>
          </w:tcPr>
          <w:p>
            <w:pPr>
              <w:snapToGrid w:val="0"/>
              <w:rPr>
                <w:rFonts w:ascii="宋体" w:hAnsi="宋体"/>
                <w:bCs/>
                <w:color w:val="auto"/>
                <w:szCs w:val="21"/>
              </w:rPr>
            </w:pPr>
            <w:r>
              <w:rPr>
                <w:rFonts w:hint="eastAsia" w:ascii="宋体" w:hAnsi="宋体"/>
                <w:bCs/>
                <w:color w:val="auto"/>
                <w:szCs w:val="21"/>
              </w:rPr>
              <w:t>突发事件的应急措施（2分）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271" w:type="pct"/>
            <w:vMerge w:val="continue"/>
            <w:noWrap w:val="0"/>
            <w:vAlign w:val="center"/>
          </w:tcPr>
          <w:p>
            <w:pPr>
              <w:snapToGrid w:val="0"/>
              <w:rPr>
                <w:color w:val="auto"/>
              </w:rPr>
            </w:pPr>
          </w:p>
        </w:tc>
        <w:tc>
          <w:tcPr>
            <w:tcW w:w="1015" w:type="pct"/>
            <w:vMerge w:val="continue"/>
            <w:noWrap w:val="0"/>
            <w:tcMar>
              <w:top w:w="15" w:type="dxa"/>
              <w:left w:w="15" w:type="dxa"/>
              <w:bottom w:w="0" w:type="dxa"/>
              <w:right w:w="15" w:type="dxa"/>
            </w:tcMar>
            <w:vAlign w:val="center"/>
          </w:tcPr>
          <w:p>
            <w:pPr>
              <w:snapToGrid w:val="0"/>
              <w:rPr>
                <w:color w:val="auto"/>
              </w:rPr>
            </w:pPr>
          </w:p>
        </w:tc>
        <w:tc>
          <w:tcPr>
            <w:tcW w:w="2281" w:type="pct"/>
            <w:noWrap w:val="0"/>
            <w:vAlign w:val="center"/>
          </w:tcPr>
          <w:p>
            <w:pPr>
              <w:snapToGrid w:val="0"/>
              <w:rPr>
                <w:rFonts w:hint="eastAsia" w:ascii="宋体" w:hAnsi="宋体"/>
                <w:bCs/>
                <w:color w:val="auto"/>
                <w:szCs w:val="21"/>
              </w:rPr>
            </w:pPr>
            <w:r>
              <w:rPr>
                <w:rFonts w:hint="eastAsia" w:ascii="宋体" w:hAnsi="宋体"/>
                <w:bCs/>
                <w:color w:val="auto"/>
                <w:szCs w:val="21"/>
              </w:rPr>
              <w:t>培训（</w:t>
            </w:r>
            <w:r>
              <w:rPr>
                <w:rFonts w:hint="eastAsia" w:ascii="宋体" w:hAnsi="宋体"/>
                <w:bCs/>
                <w:color w:val="auto"/>
                <w:szCs w:val="21"/>
                <w:lang w:val="en-US" w:eastAsia="zh-CN"/>
              </w:rPr>
              <w:t>2</w:t>
            </w:r>
            <w:r>
              <w:rPr>
                <w:rFonts w:hint="eastAsia" w:ascii="宋体" w:hAnsi="宋体"/>
                <w:bCs/>
                <w:color w:val="auto"/>
                <w:szCs w:val="21"/>
              </w:rPr>
              <w:t>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271" w:type="pct"/>
            <w:vMerge w:val="continue"/>
            <w:noWrap w:val="0"/>
            <w:vAlign w:val="center"/>
          </w:tcPr>
          <w:p>
            <w:pPr>
              <w:snapToGrid w:val="0"/>
              <w:rPr>
                <w:rFonts w:hint="eastAsia" w:ascii="宋体" w:hAnsi="宋体"/>
                <w:bCs/>
                <w:color w:val="auto"/>
                <w:szCs w:val="21"/>
              </w:rPr>
            </w:pPr>
          </w:p>
        </w:tc>
        <w:tc>
          <w:tcPr>
            <w:tcW w:w="1015" w:type="pct"/>
            <w:vMerge w:val="continue"/>
            <w:noWrap w:val="0"/>
            <w:tcMar>
              <w:top w:w="15" w:type="dxa"/>
              <w:left w:w="15" w:type="dxa"/>
              <w:bottom w:w="0" w:type="dxa"/>
              <w:right w:w="15" w:type="dxa"/>
            </w:tcMar>
            <w:vAlign w:val="center"/>
          </w:tcPr>
          <w:p>
            <w:pPr>
              <w:snapToGrid w:val="0"/>
              <w:rPr>
                <w:rFonts w:hint="eastAsia" w:ascii="宋体" w:hAnsi="宋体"/>
                <w:bCs/>
                <w:color w:val="auto"/>
                <w:szCs w:val="21"/>
              </w:rPr>
            </w:pPr>
          </w:p>
        </w:tc>
        <w:tc>
          <w:tcPr>
            <w:tcW w:w="2281" w:type="pct"/>
            <w:noWrap w:val="0"/>
            <w:vAlign w:val="center"/>
          </w:tcPr>
          <w:p>
            <w:pPr>
              <w:snapToGrid w:val="0"/>
              <w:rPr>
                <w:rFonts w:hint="eastAsia" w:ascii="宋体" w:hAnsi="宋体"/>
                <w:bCs/>
                <w:color w:val="auto"/>
                <w:szCs w:val="21"/>
              </w:rPr>
            </w:pPr>
            <w:r>
              <w:rPr>
                <w:rFonts w:hint="eastAsia" w:ascii="宋体" w:hAnsi="宋体"/>
                <w:bCs/>
                <w:color w:val="auto"/>
                <w:szCs w:val="21"/>
              </w:rPr>
              <w:t>预警信息（</w:t>
            </w:r>
            <w:r>
              <w:rPr>
                <w:rFonts w:hint="eastAsia" w:ascii="宋体" w:hAnsi="宋体"/>
                <w:bCs/>
                <w:color w:val="auto"/>
                <w:szCs w:val="21"/>
                <w:lang w:val="en-US" w:eastAsia="zh-CN"/>
              </w:rPr>
              <w:t>2</w:t>
            </w:r>
            <w:r>
              <w:rPr>
                <w:rFonts w:hint="eastAsia" w:ascii="宋体" w:hAnsi="宋体"/>
                <w:bCs/>
                <w:color w:val="auto"/>
                <w:szCs w:val="21"/>
              </w:rPr>
              <w:t>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271" w:type="pct"/>
            <w:vMerge w:val="continue"/>
            <w:noWrap w:val="0"/>
            <w:vAlign w:val="center"/>
          </w:tcPr>
          <w:p>
            <w:pPr>
              <w:snapToGrid w:val="0"/>
              <w:rPr>
                <w:rFonts w:hint="eastAsia" w:ascii="宋体" w:hAnsi="宋体"/>
                <w:bCs/>
                <w:color w:val="auto"/>
                <w:szCs w:val="21"/>
              </w:rPr>
            </w:pPr>
          </w:p>
        </w:tc>
        <w:tc>
          <w:tcPr>
            <w:tcW w:w="1015" w:type="pct"/>
            <w:vMerge w:val="continue"/>
            <w:noWrap w:val="0"/>
            <w:tcMar>
              <w:top w:w="15" w:type="dxa"/>
              <w:left w:w="15" w:type="dxa"/>
              <w:bottom w:w="0" w:type="dxa"/>
              <w:right w:w="15" w:type="dxa"/>
            </w:tcMar>
            <w:vAlign w:val="center"/>
          </w:tcPr>
          <w:p>
            <w:pPr>
              <w:snapToGrid w:val="0"/>
              <w:rPr>
                <w:rFonts w:hint="eastAsia" w:ascii="宋体" w:hAnsi="宋体"/>
                <w:bCs/>
                <w:color w:val="auto"/>
                <w:szCs w:val="21"/>
              </w:rPr>
            </w:pPr>
          </w:p>
        </w:tc>
        <w:tc>
          <w:tcPr>
            <w:tcW w:w="2281" w:type="pct"/>
            <w:noWrap w:val="0"/>
            <w:vAlign w:val="center"/>
          </w:tcPr>
          <w:p>
            <w:pPr>
              <w:snapToGrid w:val="0"/>
              <w:rPr>
                <w:rFonts w:hint="eastAsia" w:ascii="宋体" w:hAnsi="宋体"/>
                <w:bCs/>
                <w:color w:val="auto"/>
                <w:szCs w:val="21"/>
              </w:rPr>
            </w:pPr>
            <w:r>
              <w:rPr>
                <w:rFonts w:hint="eastAsia" w:ascii="宋体" w:hAnsi="宋体"/>
                <w:bCs/>
                <w:color w:val="auto"/>
                <w:szCs w:val="21"/>
              </w:rPr>
              <w:t>传统食品技术提升（</w:t>
            </w:r>
            <w:r>
              <w:rPr>
                <w:rFonts w:hint="eastAsia" w:ascii="宋体" w:hAnsi="宋体"/>
                <w:bCs/>
                <w:color w:val="auto"/>
                <w:szCs w:val="21"/>
                <w:lang w:val="en-US" w:eastAsia="zh-CN"/>
              </w:rPr>
              <w:t>2</w:t>
            </w:r>
            <w:r>
              <w:rPr>
                <w:rFonts w:hint="eastAsia" w:ascii="宋体" w:hAnsi="宋体"/>
                <w:bCs/>
                <w:color w:val="auto"/>
                <w:szCs w:val="21"/>
              </w:rPr>
              <w:t>分）</w:t>
            </w:r>
          </w:p>
        </w:tc>
        <w:tc>
          <w:tcPr>
            <w:tcW w:w="397" w:type="pct"/>
            <w:noWrap w:val="0"/>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w:t>
            </w:r>
          </w:p>
        </w:tc>
        <w:tc>
          <w:tcPr>
            <w:tcW w:w="397" w:type="pct"/>
            <w:noWrap w:val="0"/>
            <w:vAlign w:val="center"/>
          </w:tcPr>
          <w:p>
            <w:pPr>
              <w:snapToGrid w:val="0"/>
              <w:jc w:val="center"/>
              <w:rPr>
                <w:rFonts w:hint="eastAsia" w:ascii="宋体" w:hAnsi="宋体"/>
                <w:bCs/>
                <w:color w:val="auto"/>
                <w:szCs w:val="21"/>
              </w:rPr>
            </w:pPr>
            <w:r>
              <w:rPr>
                <w:rFonts w:hint="eastAsia" w:ascii="宋体" w:hAnsi="宋体"/>
                <w:bCs/>
                <w:color w:val="auto"/>
                <w:szCs w:val="21"/>
                <w:lang w:val="en-US" w:eastAsia="zh-CN"/>
              </w:rPr>
              <w:t>主观</w:t>
            </w:r>
          </w:p>
        </w:tc>
        <w:tc>
          <w:tcPr>
            <w:tcW w:w="636" w:type="pct"/>
            <w:noWrap w:val="0"/>
            <w:vAlign w:val="center"/>
          </w:tcPr>
          <w:p>
            <w:pPr>
              <w:snapToGrid w:val="0"/>
              <w:rPr>
                <w:rFonts w:hint="eastAsia"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 w:type="pct"/>
            <w:noWrap w:val="0"/>
            <w:vAlign w:val="center"/>
          </w:tcPr>
          <w:p>
            <w:pPr>
              <w:snapToGrid w:val="0"/>
              <w:jc w:val="center"/>
              <w:rPr>
                <w:rFonts w:ascii="宋体" w:hAnsi="宋体"/>
                <w:b/>
                <w:color w:val="auto"/>
                <w:szCs w:val="21"/>
              </w:rPr>
            </w:pPr>
            <w:r>
              <w:rPr>
                <w:rFonts w:hint="eastAsia" w:ascii="宋体" w:hAnsi="宋体"/>
                <w:b/>
                <w:color w:val="auto"/>
                <w:szCs w:val="21"/>
              </w:rPr>
              <w:t>价格</w:t>
            </w:r>
          </w:p>
          <w:p>
            <w:pPr>
              <w:snapToGrid w:val="0"/>
              <w:jc w:val="center"/>
              <w:rPr>
                <w:rFonts w:ascii="宋体" w:hAnsi="宋体"/>
                <w:b/>
                <w:color w:val="auto"/>
                <w:szCs w:val="21"/>
              </w:rPr>
            </w:pPr>
            <w:r>
              <w:rPr>
                <w:rFonts w:hint="eastAsia" w:ascii="宋体" w:hAnsi="宋体"/>
                <w:b/>
                <w:color w:val="auto"/>
                <w:szCs w:val="21"/>
              </w:rPr>
              <w:t>10分</w:t>
            </w:r>
          </w:p>
        </w:tc>
        <w:tc>
          <w:tcPr>
            <w:tcW w:w="3296" w:type="pct"/>
            <w:gridSpan w:val="2"/>
            <w:noWrap w:val="0"/>
            <w:tcMar>
              <w:top w:w="15" w:type="dxa"/>
              <w:left w:w="15" w:type="dxa"/>
              <w:bottom w:w="0" w:type="dxa"/>
              <w:right w:w="15" w:type="dxa"/>
            </w:tcMar>
            <w:vAlign w:val="center"/>
          </w:tcPr>
          <w:p>
            <w:pPr>
              <w:snapToGrid w:val="0"/>
              <w:rPr>
                <w:rFonts w:ascii="宋体" w:hAnsi="宋体" w:cs="宋体"/>
                <w:color w:val="auto"/>
                <w:szCs w:val="21"/>
                <w:lang w:val="zh-CN"/>
              </w:rPr>
            </w:pPr>
            <w:r>
              <w:rPr>
                <w:rFonts w:hint="eastAsia" w:ascii="宋体" w:hAnsi="宋体" w:cs="宋体"/>
                <w:color w:val="auto"/>
                <w:szCs w:val="21"/>
                <w:lang w:val="zh-CN"/>
              </w:rPr>
              <w:t>报价分采用低价优先法计算，即满足招标文件要求且投标价格最低的投标报价为评标基准价，得满分10分，其他投标人的价格分按照下列公式计算：</w:t>
            </w:r>
          </w:p>
          <w:p>
            <w:pPr>
              <w:snapToGrid w:val="0"/>
              <w:rPr>
                <w:rFonts w:ascii="宋体" w:hAnsi="宋体" w:cs="宋体"/>
                <w:color w:val="auto"/>
                <w:szCs w:val="21"/>
                <w:lang w:val="zh-CN"/>
              </w:rPr>
            </w:pPr>
            <w:r>
              <w:rPr>
                <w:rFonts w:hint="eastAsia" w:ascii="宋体" w:hAnsi="宋体" w:cs="宋体"/>
                <w:color w:val="auto"/>
                <w:szCs w:val="21"/>
                <w:lang w:val="zh-CN"/>
              </w:rPr>
              <w:t>价格分=（评标基准价/投标报价）×10%×100</w:t>
            </w:r>
          </w:p>
          <w:p>
            <w:pPr>
              <w:snapToGrid w:val="0"/>
              <w:rPr>
                <w:rFonts w:ascii="宋体" w:hAnsi="宋体" w:cs="宋体"/>
                <w:color w:val="auto"/>
                <w:szCs w:val="21"/>
                <w:lang w:val="zh-CN"/>
              </w:rPr>
            </w:pPr>
            <w:r>
              <w:rPr>
                <w:rFonts w:hint="eastAsia" w:ascii="宋体" w:hAnsi="宋体" w:cs="宋体"/>
                <w:color w:val="auto"/>
                <w:szCs w:val="21"/>
                <w:lang w:val="zh-CN"/>
              </w:rPr>
              <w:t>其中投标报价为经评标委员会评审后的价格。</w:t>
            </w:r>
          </w:p>
          <w:p>
            <w:pPr>
              <w:snapToGrid w:val="0"/>
              <w:rPr>
                <w:rFonts w:ascii="宋体" w:hAnsi="宋体" w:cs="宋体"/>
                <w:color w:val="auto"/>
                <w:szCs w:val="21"/>
              </w:rPr>
            </w:pPr>
            <w:r>
              <w:rPr>
                <w:rFonts w:hint="eastAsia" w:ascii="宋体" w:hAnsi="宋体" w:cs="宋体"/>
                <w:color w:val="auto"/>
                <w:szCs w:val="21"/>
                <w:lang w:val="zh-CN"/>
              </w:rPr>
              <w:t>注：投标人的报价明显低于其他通过符合性审查投标人的报价，有可能影响产品质量或者不能诚信履约的，对于投标价格不足标的</w:t>
            </w:r>
            <w:r>
              <w:rPr>
                <w:rFonts w:hint="eastAsia" w:ascii="宋体" w:hAnsi="宋体" w:cs="宋体"/>
                <w:color w:val="auto"/>
                <w:szCs w:val="21"/>
              </w:rPr>
              <w:t>预算金额</w:t>
            </w:r>
            <w:r>
              <w:rPr>
                <w:rFonts w:hint="eastAsia" w:ascii="宋体" w:hAnsi="宋体" w:cs="宋体"/>
                <w:color w:val="auto"/>
                <w:szCs w:val="21"/>
                <w:lang w:val="zh-CN"/>
              </w:rPr>
              <w:t>50%的情况，投标方</w:t>
            </w:r>
            <w:r>
              <w:rPr>
                <w:rFonts w:hint="eastAsia" w:ascii="宋体" w:hAnsi="宋体" w:cs="宋体"/>
                <w:color w:val="auto"/>
                <w:szCs w:val="21"/>
              </w:rPr>
              <w:t>必须在投标文件中</w:t>
            </w:r>
            <w:r>
              <w:rPr>
                <w:rFonts w:hint="eastAsia" w:ascii="宋体" w:hAnsi="宋体" w:cs="宋体"/>
                <w:color w:val="auto"/>
                <w:szCs w:val="21"/>
                <w:lang w:val="zh-CN"/>
              </w:rPr>
              <w:t>书面出具</w:t>
            </w:r>
            <w:r>
              <w:rPr>
                <w:rFonts w:hint="eastAsia" w:ascii="宋体" w:hAnsi="宋体" w:cs="宋体"/>
                <w:color w:val="auto"/>
                <w:szCs w:val="21"/>
              </w:rPr>
              <w:t>能够充分证明报价合理性的相关</w:t>
            </w:r>
            <w:r>
              <w:rPr>
                <w:rFonts w:hint="eastAsia" w:ascii="宋体" w:hAnsi="宋体" w:cs="宋体"/>
                <w:color w:val="auto"/>
                <w:szCs w:val="21"/>
                <w:lang w:val="zh-CN"/>
              </w:rPr>
              <w:t>成本说明</w:t>
            </w:r>
            <w:r>
              <w:rPr>
                <w:rFonts w:hint="eastAsia" w:ascii="宋体" w:hAnsi="宋体" w:cs="宋体"/>
                <w:color w:val="auto"/>
                <w:szCs w:val="21"/>
              </w:rPr>
              <w:t>及证明材料</w:t>
            </w:r>
            <w:r>
              <w:rPr>
                <w:rFonts w:hint="eastAsia" w:ascii="宋体" w:hAnsi="宋体" w:cs="宋体"/>
                <w:color w:val="auto"/>
                <w:szCs w:val="21"/>
                <w:lang w:val="zh-CN"/>
              </w:rPr>
              <w:t>（</w:t>
            </w:r>
            <w:r>
              <w:rPr>
                <w:rFonts w:hint="eastAsia"/>
                <w:b/>
                <w:bCs/>
                <w:color w:val="auto"/>
                <w:szCs w:val="21"/>
              </w:rPr>
              <w:t>成本说明必须包括:人员工资、房屋水电、买样费用、交通住宿、设备折旧、检验相关易耗品等6项，并按比例平摊到每批次</w:t>
            </w:r>
            <w:r>
              <w:rPr>
                <w:rFonts w:hint="eastAsia" w:ascii="宋体" w:hAnsi="宋体" w:cs="宋体"/>
                <w:color w:val="auto"/>
                <w:szCs w:val="21"/>
              </w:rPr>
              <w:t>）</w:t>
            </w:r>
            <w:r>
              <w:rPr>
                <w:rFonts w:hint="eastAsia" w:ascii="宋体" w:hAnsi="宋体" w:cs="宋体"/>
                <w:color w:val="auto"/>
                <w:szCs w:val="21"/>
                <w:lang w:val="zh-CN"/>
              </w:rPr>
              <w:t>，</w:t>
            </w:r>
            <w:r>
              <w:rPr>
                <w:rFonts w:hint="eastAsia" w:ascii="宋体" w:hAnsi="宋体" w:cs="宋体"/>
                <w:color w:val="auto"/>
                <w:szCs w:val="21"/>
              </w:rPr>
              <w:t>未提供</w:t>
            </w:r>
            <w:r>
              <w:rPr>
                <w:rFonts w:hint="eastAsia" w:ascii="宋体" w:hAnsi="宋体" w:cs="宋体"/>
                <w:color w:val="auto"/>
                <w:szCs w:val="21"/>
                <w:lang w:val="zh-CN"/>
              </w:rPr>
              <w:t>成本说明</w:t>
            </w:r>
            <w:r>
              <w:rPr>
                <w:rFonts w:hint="eastAsia" w:ascii="宋体" w:hAnsi="宋体" w:cs="宋体"/>
                <w:color w:val="auto"/>
                <w:szCs w:val="21"/>
              </w:rPr>
              <w:t>及相关证明材料或</w:t>
            </w:r>
            <w:r>
              <w:rPr>
                <w:rFonts w:hint="eastAsia" w:ascii="宋体" w:hAnsi="宋体" w:cs="宋体"/>
                <w:color w:val="auto"/>
                <w:szCs w:val="21"/>
                <w:lang w:val="zh-CN"/>
              </w:rPr>
              <w:t>成本说明</w:t>
            </w:r>
            <w:r>
              <w:rPr>
                <w:rFonts w:hint="eastAsia" w:ascii="宋体" w:hAnsi="宋体" w:cs="宋体"/>
                <w:color w:val="auto"/>
                <w:szCs w:val="21"/>
              </w:rPr>
              <w:t>及相关证明材料不能得到评标委员会认可的，将作为无效投标处理。</w:t>
            </w:r>
          </w:p>
          <w:p>
            <w:pPr>
              <w:snapToGrid w:val="0"/>
              <w:rPr>
                <w:rFonts w:ascii="宋体" w:hAnsi="宋体" w:cs="宋体"/>
                <w:color w:val="auto"/>
                <w:szCs w:val="21"/>
              </w:rPr>
            </w:pPr>
            <w:r>
              <w:rPr>
                <w:rFonts w:hint="eastAsia" w:ascii="宋体" w:hAnsi="宋体" w:cs="宋体"/>
                <w:color w:val="auto"/>
                <w:szCs w:val="21"/>
              </w:rPr>
              <w:t xml:space="preserve"> </w:t>
            </w:r>
          </w:p>
          <w:p>
            <w:pPr>
              <w:snapToGrid w:val="0"/>
              <w:rPr>
                <w:rFonts w:ascii="宋体" w:hAnsi="宋体" w:cs="宋体"/>
                <w:color w:val="auto"/>
                <w:szCs w:val="21"/>
                <w:lang w:val="zh-CN"/>
              </w:rPr>
            </w:pPr>
            <w:r>
              <w:rPr>
                <w:rFonts w:hint="eastAsia" w:cs="仿宋_GB2312" w:asciiTheme="minorEastAsia" w:hAnsiTheme="minorEastAsia" w:eastAsiaTheme="minorEastAsia"/>
                <w:color w:val="auto"/>
                <w:sz w:val="21"/>
                <w:szCs w:val="21"/>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1"/>
                <w:szCs w:val="21"/>
                <w:lang w:val="en-US" w:eastAsia="zh-CN"/>
              </w:rPr>
              <w:t>10</w:t>
            </w:r>
            <w:r>
              <w:rPr>
                <w:rFonts w:hint="eastAsia" w:cs="仿宋_GB2312" w:asciiTheme="minorEastAsia" w:hAnsiTheme="minorEastAsia" w:eastAsiaTheme="minorEastAsia"/>
                <w:color w:val="auto"/>
                <w:sz w:val="21"/>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1"/>
                <w:szCs w:val="21"/>
                <w:lang w:val="en-US" w:eastAsia="zh-CN"/>
              </w:rPr>
              <w:t>4</w:t>
            </w:r>
            <w:r>
              <w:rPr>
                <w:rFonts w:hint="eastAsia" w:cs="仿宋_GB2312" w:asciiTheme="minorEastAsia" w:hAnsiTheme="minorEastAsia" w:eastAsiaTheme="minorEastAsia"/>
                <w:color w:val="auto"/>
                <w:sz w:val="21"/>
                <w:szCs w:val="21"/>
              </w:rPr>
              <w:t>%的扣除，用扣除后的价格参加评审</w:t>
            </w:r>
            <w:r>
              <w:rPr>
                <w:rFonts w:cs="仿宋_GB2312" w:asciiTheme="minorEastAsia" w:hAnsiTheme="minorEastAsia" w:eastAsiaTheme="minorEastAsia"/>
                <w:color w:val="auto"/>
                <w:sz w:val="21"/>
                <w:szCs w:val="21"/>
              </w:rPr>
              <w:t>。</w:t>
            </w:r>
          </w:p>
        </w:tc>
        <w:tc>
          <w:tcPr>
            <w:tcW w:w="397" w:type="pct"/>
            <w:noWrap w:val="0"/>
            <w:tcMar>
              <w:top w:w="15" w:type="dxa"/>
              <w:left w:w="15" w:type="dxa"/>
              <w:bottom w:w="0" w:type="dxa"/>
              <w:right w:w="15" w:type="dxa"/>
            </w:tcMar>
            <w:vAlign w:val="center"/>
          </w:tcPr>
          <w:p>
            <w:pPr>
              <w:snapToGrid w:val="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10</w:t>
            </w:r>
          </w:p>
        </w:tc>
        <w:tc>
          <w:tcPr>
            <w:tcW w:w="397" w:type="pct"/>
            <w:noWrap w:val="0"/>
            <w:tcMar>
              <w:top w:w="15" w:type="dxa"/>
              <w:left w:w="15" w:type="dxa"/>
              <w:bottom w:w="0" w:type="dxa"/>
              <w:right w:w="15" w:type="dxa"/>
            </w:tcMar>
            <w:vAlign w:val="center"/>
          </w:tcPr>
          <w:p>
            <w:pPr>
              <w:snapToGrid w:val="0"/>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客观</w:t>
            </w:r>
          </w:p>
        </w:tc>
        <w:tc>
          <w:tcPr>
            <w:tcW w:w="636" w:type="pct"/>
            <w:noWrap w:val="0"/>
            <w:tcMar>
              <w:top w:w="15" w:type="dxa"/>
              <w:left w:w="15" w:type="dxa"/>
              <w:bottom w:w="0" w:type="dxa"/>
              <w:right w:w="15" w:type="dxa"/>
            </w:tcMar>
            <w:vAlign w:val="center"/>
          </w:tcPr>
          <w:p>
            <w:pPr>
              <w:snapToGrid w:val="0"/>
              <w:rPr>
                <w:rFonts w:hint="eastAsia" w:ascii="宋体" w:hAnsi="宋体"/>
                <w:bCs/>
                <w:color w:val="auto"/>
                <w:szCs w:val="21"/>
              </w:rPr>
            </w:pPr>
          </w:p>
        </w:tc>
      </w:tr>
    </w:tbl>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
        <w:snapToGrid w:val="0"/>
        <w:spacing w:line="360" w:lineRule="auto"/>
        <w:rPr>
          <w:rFonts w:cs="宋体"/>
          <w:color w:val="auto"/>
        </w:rPr>
      </w:pPr>
      <w:r>
        <w:rPr>
          <w:rFonts w:hint="eastAsia" w:cs="宋体"/>
          <w:color w:val="auto"/>
        </w:rPr>
        <w:t>5.2出现影响采购公正的违法、违规行为的；</w:t>
      </w:r>
    </w:p>
    <w:p>
      <w:pPr>
        <w:pStyle w:val="2"/>
        <w:snapToGrid w:val="0"/>
        <w:spacing w:line="360" w:lineRule="auto"/>
        <w:rPr>
          <w:rFonts w:cs="宋体"/>
          <w:color w:val="auto"/>
        </w:rPr>
      </w:pPr>
      <w:r>
        <w:rPr>
          <w:rFonts w:hint="eastAsia" w:cs="宋体"/>
          <w:color w:val="auto"/>
        </w:rPr>
        <w:t>5.3投标人的报价均超过了采购预算，采购人不能支付的；</w:t>
      </w:r>
    </w:p>
    <w:p>
      <w:pPr>
        <w:pStyle w:val="2"/>
        <w:snapToGrid w:val="0"/>
        <w:spacing w:line="360" w:lineRule="auto"/>
        <w:rPr>
          <w:rFonts w:cs="宋体"/>
          <w:color w:val="auto"/>
        </w:rPr>
      </w:pPr>
      <w:r>
        <w:rPr>
          <w:rFonts w:hint="eastAsia" w:cs="宋体"/>
          <w:color w:val="auto"/>
        </w:rPr>
        <w:t>5.4因重大变故，采购任务取消的。</w:t>
      </w:r>
    </w:p>
    <w:p>
      <w:pPr>
        <w:pStyle w:val="2"/>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ascii="宋体" w:hAnsi="宋体" w:cs="宋体"/>
          <w:b/>
          <w:color w:val="auto"/>
          <w:sz w:val="36"/>
          <w:szCs w:val="36"/>
        </w:rPr>
      </w:pPr>
      <w:bookmarkStart w:id="394" w:name="第五部分"/>
      <w:bookmarkStart w:id="395" w:name="_Toc86217003"/>
    </w:p>
    <w:p>
      <w:pPr>
        <w:widowControl/>
        <w:adjustRightInd/>
        <w:jc w:val="left"/>
        <w:rPr>
          <w:rFonts w:ascii="宋体" w:hAnsi="宋体" w:cs="宋体"/>
          <w:b/>
          <w:color w:val="auto"/>
          <w:sz w:val="36"/>
          <w:szCs w:val="36"/>
        </w:rPr>
      </w:pPr>
      <w:r>
        <w:rPr>
          <w:rFonts w:ascii="宋体" w:hAnsi="宋体" w:cs="宋体"/>
          <w:b/>
          <w:color w:val="auto"/>
          <w:sz w:val="36"/>
          <w:szCs w:val="36"/>
        </w:rPr>
        <w:br w:type="page"/>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pStyle w:val="2"/>
        <w:ind w:firstLine="0" w:firstLineChars="0"/>
        <w:jc w:val="center"/>
        <w:rPr>
          <w:b/>
          <w:bCs/>
          <w:color w:val="auto"/>
          <w:sz w:val="32"/>
          <w:szCs w:val="22"/>
        </w:rPr>
      </w:pPr>
      <w:r>
        <w:rPr>
          <w:rFonts w:hint="eastAsia"/>
          <w:b/>
          <w:bCs/>
          <w:color w:val="auto"/>
          <w:sz w:val="32"/>
          <w:szCs w:val="22"/>
        </w:rPr>
        <w:t>杭州市市场监督管理局XXX委托合同</w:t>
      </w:r>
    </w:p>
    <w:p>
      <w:pPr>
        <w:pStyle w:val="2"/>
        <w:ind w:firstLine="0" w:firstLineChars="0"/>
        <w:jc w:val="center"/>
        <w:rPr>
          <w:b/>
          <w:bCs/>
          <w:color w:val="auto"/>
          <w:sz w:val="32"/>
          <w:szCs w:val="22"/>
        </w:rPr>
      </w:pPr>
    </w:p>
    <w:p>
      <w:pPr>
        <w:pStyle w:val="32"/>
        <w:snapToGrid w:val="0"/>
        <w:spacing w:line="360" w:lineRule="auto"/>
        <w:rPr>
          <w:rFonts w:hAnsi="宋体" w:cs="宋体"/>
          <w:b/>
          <w:color w:val="auto"/>
          <w:kern w:val="0"/>
          <w:sz w:val="24"/>
          <w:szCs w:val="24"/>
        </w:rPr>
      </w:pPr>
      <w:r>
        <w:rPr>
          <w:rFonts w:hint="eastAsia" w:hAnsi="宋体" w:cs="宋体"/>
          <w:b/>
          <w:color w:val="auto"/>
          <w:kern w:val="0"/>
          <w:sz w:val="24"/>
          <w:szCs w:val="24"/>
        </w:rPr>
        <w:t>甲  方：</w:t>
      </w:r>
      <w:r>
        <w:rPr>
          <w:rFonts w:hint="eastAsia" w:hAnsi="宋体" w:cs="宋体"/>
          <w:b/>
          <w:color w:val="auto"/>
          <w:sz w:val="24"/>
          <w:szCs w:val="24"/>
        </w:rPr>
        <w:t>杭州市市场监督管理局</w:t>
      </w:r>
    </w:p>
    <w:p>
      <w:pPr>
        <w:pStyle w:val="32"/>
        <w:snapToGrid w:val="0"/>
        <w:spacing w:line="360" w:lineRule="auto"/>
        <w:rPr>
          <w:rFonts w:hAnsi="宋体" w:cs="宋体"/>
          <w:b/>
          <w:color w:val="auto"/>
          <w:kern w:val="0"/>
          <w:sz w:val="24"/>
          <w:szCs w:val="24"/>
        </w:rPr>
      </w:pPr>
      <w:r>
        <w:rPr>
          <w:rFonts w:hint="eastAsia" w:hAnsi="宋体" w:cs="宋体"/>
          <w:b/>
          <w:color w:val="auto"/>
          <w:kern w:val="0"/>
          <w:sz w:val="24"/>
          <w:szCs w:val="24"/>
        </w:rPr>
        <w:t xml:space="preserve">乙  方：   </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kern w:val="0"/>
          <w:sz w:val="24"/>
          <w:szCs w:val="24"/>
        </w:rPr>
        <w:t>根据《中华人民共和国政府采购法》、《中华人民共和国民法典》等有关法律法规的规定，</w:t>
      </w:r>
      <w:r>
        <w:rPr>
          <w:rFonts w:hint="eastAsia" w:ascii="宋体" w:hAnsi="宋体" w:cs="宋体"/>
          <w:b/>
          <w:color w:val="auto"/>
          <w:sz w:val="24"/>
          <w:szCs w:val="24"/>
          <w:u w:val="single"/>
        </w:rPr>
        <w:t>杭州市市场监督管理局</w:t>
      </w:r>
      <w:r>
        <w:rPr>
          <w:rFonts w:hint="eastAsia" w:ascii="宋体" w:hAnsi="宋体" w:cs="宋体"/>
          <w:color w:val="auto"/>
          <w:sz w:val="24"/>
          <w:szCs w:val="24"/>
        </w:rPr>
        <w:t>(甲方)经过</w:t>
      </w:r>
      <w:r>
        <w:rPr>
          <w:rFonts w:hint="eastAsia" w:ascii="宋体" w:hAnsi="宋体" w:cs="宋体"/>
          <w:color w:val="auto"/>
          <w:sz w:val="24"/>
          <w:szCs w:val="24"/>
          <w:u w:val="single"/>
        </w:rPr>
        <w:t xml:space="preserve">  </w:t>
      </w:r>
      <w:r>
        <w:rPr>
          <w:rFonts w:hint="eastAsia" w:ascii="宋体" w:hAnsi="宋体" w:cs="宋体"/>
          <w:b/>
          <w:bCs/>
          <w:color w:val="auto"/>
          <w:sz w:val="24"/>
          <w:szCs w:val="24"/>
          <w:u w:val="single"/>
        </w:rPr>
        <w:t>公开招标</w:t>
      </w:r>
      <w:r>
        <w:rPr>
          <w:rFonts w:hint="eastAsia" w:ascii="宋体" w:hAnsi="宋体" w:cs="宋体"/>
          <w:color w:val="auto"/>
          <w:sz w:val="24"/>
          <w:szCs w:val="24"/>
          <w:u w:val="single"/>
        </w:rPr>
        <w:t xml:space="preserve">  </w:t>
      </w:r>
      <w:r>
        <w:rPr>
          <w:rFonts w:hint="eastAsia" w:ascii="宋体" w:hAnsi="宋体" w:cs="宋体"/>
          <w:color w:val="auto"/>
          <w:sz w:val="24"/>
          <w:szCs w:val="24"/>
        </w:rPr>
        <w:t>，确定</w:t>
      </w:r>
      <w:r>
        <w:rPr>
          <w:rFonts w:hint="eastAsia" w:ascii="宋体" w:hAnsi="宋体" w:cs="宋体"/>
          <w:color w:val="auto"/>
          <w:sz w:val="24"/>
          <w:szCs w:val="24"/>
          <w:u w:val="single"/>
        </w:rPr>
        <w:t xml:space="preserve"> </w:t>
      </w:r>
      <w:r>
        <w:rPr>
          <w:rFonts w:hint="eastAsia" w:ascii="宋体" w:hAnsi="宋体" w:cs="宋体"/>
          <w:b/>
          <w:color w:val="auto"/>
          <w:kern w:val="0"/>
          <w:sz w:val="24"/>
          <w:szCs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(乙方)为服务单位，双方经协商达成以下条款：</w:t>
      </w:r>
    </w:p>
    <w:p>
      <w:pPr>
        <w:snapToGrid w:val="0"/>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第一条：</w:t>
      </w:r>
      <w:r>
        <w:rPr>
          <w:rFonts w:hint="eastAsia" w:ascii="宋体" w:hAnsi="宋体" w:cs="宋体"/>
          <w:color w:val="auto"/>
          <w:sz w:val="24"/>
          <w:szCs w:val="24"/>
        </w:rPr>
        <w:t>甲方委托乙方进行委托业务的内容如下：</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内容：招标文件中“</w:t>
      </w:r>
      <w:r>
        <w:rPr>
          <w:rFonts w:hint="eastAsia" w:ascii="宋体" w:hAnsi="宋体" w:cs="宋体"/>
          <w:b/>
          <w:color w:val="auto"/>
          <w:sz w:val="24"/>
          <w:szCs w:val="24"/>
        </w:rPr>
        <w:t>第三部分 项目技术规范和服务要求”中内容。</w:t>
      </w:r>
    </w:p>
    <w:p>
      <w:pPr>
        <w:snapToGrid w:val="0"/>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第二条：</w:t>
      </w:r>
      <w:r>
        <w:rPr>
          <w:rFonts w:hint="eastAsia" w:ascii="宋体" w:hAnsi="宋体" w:cs="宋体"/>
          <w:color w:val="auto"/>
          <w:sz w:val="24"/>
          <w:szCs w:val="24"/>
        </w:rPr>
        <w:t>乙方应按下列要求完成委托业务工作：</w:t>
      </w:r>
    </w:p>
    <w:p>
      <w:pPr>
        <w:snapToGrid w:val="0"/>
        <w:spacing w:line="360" w:lineRule="auto"/>
        <w:rPr>
          <w:rFonts w:ascii="宋体" w:hAnsi="宋体" w:cs="宋体"/>
          <w:color w:val="auto"/>
          <w:sz w:val="24"/>
          <w:szCs w:val="24"/>
          <w:u w:val="single"/>
        </w:rPr>
      </w:pPr>
      <w:r>
        <w:rPr>
          <w:rFonts w:hint="eastAsia" w:ascii="宋体" w:hAnsi="宋体" w:cs="宋体"/>
          <w:color w:val="auto"/>
          <w:sz w:val="24"/>
          <w:szCs w:val="24"/>
        </w:rPr>
        <w:t xml:space="preserve">     1．工作期限：</w:t>
      </w:r>
      <w:r>
        <w:rPr>
          <w:rFonts w:hint="eastAsia" w:ascii="宋体" w:hAnsi="宋体" w:cs="宋体"/>
          <w:color w:val="auto"/>
          <w:sz w:val="24"/>
          <w:szCs w:val="24"/>
          <w:u w:val="single"/>
        </w:rPr>
        <w:t xml:space="preserve">合同签订后 </w:t>
      </w:r>
      <w:r>
        <w:rPr>
          <w:rFonts w:hint="eastAsia" w:ascii="宋体" w:hAnsi="宋体" w:cs="宋体"/>
          <w:b/>
          <w:color w:val="auto"/>
          <w:sz w:val="24"/>
          <w:szCs w:val="24"/>
          <w:u w:val="single"/>
        </w:rPr>
        <w:t xml:space="preserve">   </w:t>
      </w:r>
      <w:r>
        <w:rPr>
          <w:rFonts w:hint="eastAsia" w:ascii="宋体" w:hAnsi="宋体" w:cs="宋体"/>
          <w:color w:val="auto"/>
          <w:sz w:val="24"/>
          <w:szCs w:val="24"/>
          <w:u w:val="single"/>
        </w:rPr>
        <w:t xml:space="preserve">内完成。 </w:t>
      </w:r>
    </w:p>
    <w:p>
      <w:pPr>
        <w:snapToGrid w:val="0"/>
        <w:spacing w:line="360" w:lineRule="auto"/>
        <w:rPr>
          <w:rFonts w:ascii="宋体" w:hAnsi="宋体" w:cs="宋体"/>
          <w:color w:val="auto"/>
          <w:sz w:val="24"/>
          <w:szCs w:val="24"/>
          <w:u w:val="single"/>
        </w:rPr>
      </w:pPr>
      <w:r>
        <w:rPr>
          <w:rFonts w:hint="eastAsia" w:ascii="宋体" w:hAnsi="宋体" w:cs="宋体"/>
          <w:color w:val="auto"/>
          <w:sz w:val="24"/>
          <w:szCs w:val="24"/>
        </w:rPr>
        <w:t xml:space="preserve">     2．工作进度：按照投标文件提供承诺按时保质保量完成。</w:t>
      </w:r>
    </w:p>
    <w:p>
      <w:pPr>
        <w:snapToGrid w:val="0"/>
        <w:spacing w:line="360" w:lineRule="auto"/>
        <w:ind w:left="1"/>
        <w:rPr>
          <w:rFonts w:ascii="宋体" w:hAnsi="宋体" w:cs="宋体"/>
          <w:color w:val="auto"/>
          <w:sz w:val="24"/>
          <w:szCs w:val="24"/>
        </w:rPr>
      </w:pPr>
      <w:r>
        <w:rPr>
          <w:rFonts w:hint="eastAsia" w:ascii="宋体" w:hAnsi="宋体" w:cs="宋体"/>
          <w:color w:val="auto"/>
          <w:sz w:val="24"/>
          <w:szCs w:val="24"/>
        </w:rPr>
        <w:t xml:space="preserve">     3．质量要求：样品由检测机构统一采集，按照规定的抽样场所抽取样品。抽样方式：遵循随机原则购买样品，获取的样品应合理覆盖区域、品种，具有较好的代表性，按要求填写抽样单，抽样单一般包括被采样单位、采样地址、采样方法、采样时间、采样目的以及样品名称、规格、数量、包装状况或存储条件、生产日期或批号、生产或进口代理单位、采样地点、当事人及执法人员签名等要素。</w:t>
      </w:r>
    </w:p>
    <w:p>
      <w:pPr>
        <w:snapToGrid w:val="0"/>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第三条：</w:t>
      </w:r>
      <w:r>
        <w:rPr>
          <w:rFonts w:hint="eastAsia" w:ascii="宋体" w:hAnsi="宋体" w:cs="宋体"/>
          <w:color w:val="auto"/>
          <w:sz w:val="24"/>
          <w:szCs w:val="24"/>
        </w:rPr>
        <w:t>甲方向乙方支付委托业务费用及支付方式为：</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1、计划委托业务费：     元（大写：      圆整）</w:t>
      </w:r>
    </w:p>
    <w:tbl>
      <w:tblPr>
        <w:tblStyle w:val="62"/>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3"/>
        <w:gridCol w:w="2154"/>
        <w:gridCol w:w="938"/>
        <w:gridCol w:w="3218"/>
        <w:gridCol w:w="1004"/>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noWrap w:val="0"/>
            <w:vAlign w:val="center"/>
          </w:tcPr>
          <w:p>
            <w:pPr>
              <w:snapToGrid w:val="0"/>
              <w:jc w:val="center"/>
              <w:rPr>
                <w:rFonts w:ascii="宋体" w:hAnsi="宋体" w:cs="宋体"/>
                <w:b/>
                <w:bCs/>
                <w:color w:val="auto"/>
                <w:sz w:val="18"/>
                <w:szCs w:val="18"/>
              </w:rPr>
            </w:pPr>
            <w:r>
              <w:rPr>
                <w:rFonts w:hint="eastAsia" w:ascii="宋体" w:hAnsi="宋体" w:cs="宋体"/>
                <w:b/>
                <w:bCs/>
                <w:color w:val="auto"/>
                <w:sz w:val="18"/>
                <w:szCs w:val="18"/>
              </w:rPr>
              <w:t>序号</w:t>
            </w:r>
          </w:p>
        </w:tc>
        <w:tc>
          <w:tcPr>
            <w:tcW w:w="2154" w:type="dxa"/>
            <w:noWrap w:val="0"/>
            <w:vAlign w:val="center"/>
          </w:tcPr>
          <w:p>
            <w:pPr>
              <w:snapToGrid w:val="0"/>
              <w:jc w:val="center"/>
              <w:rPr>
                <w:rFonts w:ascii="宋体" w:hAnsi="宋体" w:cs="宋体"/>
                <w:b/>
                <w:bCs/>
                <w:color w:val="auto"/>
                <w:sz w:val="18"/>
                <w:szCs w:val="18"/>
              </w:rPr>
            </w:pPr>
            <w:r>
              <w:rPr>
                <w:rFonts w:hint="eastAsia" w:ascii="宋体" w:hAnsi="宋体" w:cs="宋体"/>
                <w:b/>
                <w:bCs/>
                <w:color w:val="auto"/>
                <w:sz w:val="18"/>
                <w:szCs w:val="18"/>
              </w:rPr>
              <w:t>食品品种</w:t>
            </w:r>
          </w:p>
        </w:tc>
        <w:tc>
          <w:tcPr>
            <w:tcW w:w="938" w:type="dxa"/>
            <w:noWrap w:val="0"/>
            <w:vAlign w:val="center"/>
          </w:tcPr>
          <w:p>
            <w:pPr>
              <w:snapToGrid w:val="0"/>
              <w:jc w:val="center"/>
              <w:rPr>
                <w:rFonts w:ascii="宋体" w:hAnsi="宋体" w:cs="宋体"/>
                <w:b/>
                <w:bCs/>
                <w:color w:val="auto"/>
                <w:sz w:val="18"/>
                <w:szCs w:val="18"/>
              </w:rPr>
            </w:pPr>
            <w:r>
              <w:rPr>
                <w:rFonts w:hint="eastAsia" w:ascii="宋体" w:hAnsi="宋体" w:cs="宋体"/>
                <w:b/>
                <w:bCs/>
                <w:color w:val="auto"/>
                <w:sz w:val="18"/>
                <w:szCs w:val="18"/>
              </w:rPr>
              <w:t>任务类型</w:t>
            </w:r>
          </w:p>
        </w:tc>
        <w:tc>
          <w:tcPr>
            <w:tcW w:w="3218" w:type="dxa"/>
            <w:noWrap w:val="0"/>
            <w:vAlign w:val="center"/>
          </w:tcPr>
          <w:p>
            <w:pPr>
              <w:snapToGrid w:val="0"/>
              <w:jc w:val="center"/>
              <w:rPr>
                <w:rFonts w:ascii="宋体" w:hAnsi="宋体" w:cs="宋体"/>
                <w:b/>
                <w:bCs/>
                <w:color w:val="auto"/>
                <w:sz w:val="18"/>
                <w:szCs w:val="18"/>
              </w:rPr>
            </w:pPr>
            <w:r>
              <w:rPr>
                <w:rFonts w:hint="eastAsia" w:ascii="宋体" w:hAnsi="宋体" w:cs="宋体"/>
                <w:b/>
                <w:bCs/>
                <w:color w:val="auto"/>
                <w:sz w:val="18"/>
                <w:szCs w:val="18"/>
              </w:rPr>
              <w:t>监督抽检批次数</w:t>
            </w:r>
          </w:p>
        </w:tc>
        <w:tc>
          <w:tcPr>
            <w:tcW w:w="1004" w:type="dxa"/>
            <w:noWrap w:val="0"/>
            <w:vAlign w:val="center"/>
          </w:tcPr>
          <w:p>
            <w:pPr>
              <w:snapToGrid w:val="0"/>
              <w:jc w:val="center"/>
              <w:rPr>
                <w:rFonts w:ascii="宋体" w:hAnsi="宋体" w:cs="宋体"/>
                <w:b/>
                <w:bCs/>
                <w:color w:val="auto"/>
                <w:sz w:val="18"/>
                <w:szCs w:val="18"/>
              </w:rPr>
            </w:pPr>
            <w:r>
              <w:rPr>
                <w:rFonts w:hint="eastAsia" w:ascii="宋体" w:hAnsi="宋体" w:cs="宋体"/>
                <w:b/>
                <w:bCs/>
                <w:color w:val="auto"/>
                <w:sz w:val="18"/>
                <w:szCs w:val="18"/>
              </w:rPr>
              <w:t>单批次费用（元）</w:t>
            </w:r>
          </w:p>
        </w:tc>
        <w:tc>
          <w:tcPr>
            <w:tcW w:w="1673" w:type="dxa"/>
            <w:noWrap w:val="0"/>
            <w:vAlign w:val="center"/>
          </w:tcPr>
          <w:p>
            <w:pPr>
              <w:snapToGrid w:val="0"/>
              <w:jc w:val="center"/>
              <w:rPr>
                <w:rFonts w:ascii="宋体" w:hAnsi="宋体" w:cs="宋体"/>
                <w:b/>
                <w:bCs/>
                <w:color w:val="auto"/>
                <w:sz w:val="18"/>
                <w:szCs w:val="18"/>
              </w:rPr>
            </w:pPr>
            <w:r>
              <w:rPr>
                <w:rFonts w:hint="eastAsia" w:ascii="宋体" w:hAnsi="宋体" w:cs="宋体"/>
                <w:b/>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1</w:t>
            </w:r>
          </w:p>
        </w:tc>
        <w:tc>
          <w:tcPr>
            <w:tcW w:w="2154" w:type="dxa"/>
            <w:noWrap w:val="0"/>
            <w:vAlign w:val="center"/>
          </w:tcPr>
          <w:p>
            <w:pPr>
              <w:widowControl/>
              <w:jc w:val="left"/>
              <w:textAlignment w:val="center"/>
              <w:rPr>
                <w:rFonts w:ascii="宋体" w:hAnsi="宋体" w:cs="宋体"/>
                <w:color w:val="auto"/>
                <w:sz w:val="18"/>
                <w:szCs w:val="18"/>
              </w:rPr>
            </w:pPr>
          </w:p>
        </w:tc>
        <w:tc>
          <w:tcPr>
            <w:tcW w:w="938" w:type="dxa"/>
            <w:noWrap w:val="0"/>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抽样</w:t>
            </w:r>
          </w:p>
        </w:tc>
        <w:tc>
          <w:tcPr>
            <w:tcW w:w="321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计划 批次，最终以实际委托数量为准</w:t>
            </w:r>
          </w:p>
        </w:tc>
        <w:tc>
          <w:tcPr>
            <w:tcW w:w="1004" w:type="dxa"/>
            <w:noWrap w:val="0"/>
            <w:vAlign w:val="bottom"/>
          </w:tcPr>
          <w:p>
            <w:pPr>
              <w:snapToGrid w:val="0"/>
              <w:jc w:val="center"/>
              <w:rPr>
                <w:rFonts w:ascii="宋体" w:hAnsi="宋体" w:cs="宋体"/>
                <w:color w:val="auto"/>
                <w:sz w:val="18"/>
                <w:szCs w:val="18"/>
              </w:rPr>
            </w:pPr>
          </w:p>
        </w:tc>
        <w:tc>
          <w:tcPr>
            <w:tcW w:w="1673" w:type="dxa"/>
            <w:vMerge w:val="restart"/>
            <w:noWrap w:val="0"/>
            <w:vAlign w:val="center"/>
          </w:tcPr>
          <w:p>
            <w:pPr>
              <w:snapToGrid w:val="0"/>
              <w:jc w:val="left"/>
              <w:rPr>
                <w:rFonts w:ascii="宋体" w:hAnsi="宋体" w:cs="宋体"/>
                <w:color w:val="auto"/>
                <w:sz w:val="18"/>
                <w:szCs w:val="18"/>
              </w:rPr>
            </w:pPr>
            <w:r>
              <w:rPr>
                <w:rFonts w:hint="eastAsia" w:ascii="宋体" w:hAnsi="宋体" w:cs="宋体"/>
                <w:color w:val="auto"/>
                <w:sz w:val="18"/>
                <w:szCs w:val="18"/>
              </w:rPr>
              <w:t>1、单批次费用含检验费、购置费、运输费、差旅费、资料费、邮电通信费等实施项目所需的一切费用。</w:t>
            </w:r>
          </w:p>
          <w:p>
            <w:pPr>
              <w:snapToGrid w:val="0"/>
              <w:jc w:val="left"/>
              <w:rPr>
                <w:rFonts w:hint="eastAsia" w:ascii="宋体" w:hAnsi="宋体" w:cs="宋体"/>
                <w:color w:val="auto"/>
                <w:sz w:val="18"/>
                <w:szCs w:val="18"/>
              </w:rPr>
            </w:pPr>
            <w:r>
              <w:rPr>
                <w:rFonts w:hint="eastAsia" w:ascii="宋体" w:hAnsi="宋体" w:cs="宋体"/>
                <w:color w:val="auto"/>
                <w:sz w:val="18"/>
                <w:szCs w:val="18"/>
              </w:rPr>
              <w:t>2、最终根据乙方实际检测批次数量以单批次费用结算，结算总价不高于人民币   元整(  元整)。</w:t>
            </w:r>
          </w:p>
          <w:p>
            <w:pPr>
              <w:snapToGrid w:val="0"/>
              <w:jc w:val="lef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 xml:space="preserve">3、买样费用：单批次买样费平均限价  元，买样费超出限价由承检机构自行承担，不足限价的按实结算。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2</w:t>
            </w:r>
          </w:p>
        </w:tc>
        <w:tc>
          <w:tcPr>
            <w:tcW w:w="2154" w:type="dxa"/>
            <w:noWrap w:val="0"/>
            <w:vAlign w:val="center"/>
          </w:tcPr>
          <w:p>
            <w:pPr>
              <w:widowControl/>
              <w:jc w:val="left"/>
              <w:textAlignment w:val="center"/>
              <w:rPr>
                <w:rFonts w:ascii="宋体" w:hAnsi="宋体" w:cs="宋体"/>
                <w:color w:val="auto"/>
                <w:sz w:val="18"/>
                <w:szCs w:val="18"/>
              </w:rPr>
            </w:pPr>
          </w:p>
        </w:tc>
        <w:tc>
          <w:tcPr>
            <w:tcW w:w="938" w:type="dxa"/>
            <w:noWrap w:val="0"/>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抽样</w:t>
            </w:r>
          </w:p>
        </w:tc>
        <w:tc>
          <w:tcPr>
            <w:tcW w:w="321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计划 批次，最终以实际委托数量为准</w:t>
            </w:r>
          </w:p>
        </w:tc>
        <w:tc>
          <w:tcPr>
            <w:tcW w:w="1004" w:type="dxa"/>
            <w:noWrap w:val="0"/>
            <w:vAlign w:val="bottom"/>
          </w:tcPr>
          <w:p>
            <w:pPr>
              <w:snapToGrid w:val="0"/>
              <w:jc w:val="center"/>
              <w:rPr>
                <w:rFonts w:ascii="宋体" w:hAnsi="宋体" w:cs="宋体"/>
                <w:color w:val="auto"/>
                <w:sz w:val="18"/>
                <w:szCs w:val="18"/>
              </w:rPr>
            </w:pPr>
          </w:p>
        </w:tc>
        <w:tc>
          <w:tcPr>
            <w:tcW w:w="1673" w:type="dxa"/>
            <w:vMerge w:val="continue"/>
            <w:noWrap w:val="0"/>
            <w:vAlign w:val="center"/>
          </w:tcPr>
          <w:p>
            <w:pPr>
              <w:snapToGrid w:val="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3</w:t>
            </w:r>
          </w:p>
        </w:tc>
        <w:tc>
          <w:tcPr>
            <w:tcW w:w="2154" w:type="dxa"/>
            <w:noWrap w:val="0"/>
            <w:vAlign w:val="center"/>
          </w:tcPr>
          <w:p>
            <w:pPr>
              <w:widowControl/>
              <w:jc w:val="left"/>
              <w:textAlignment w:val="center"/>
              <w:rPr>
                <w:rFonts w:ascii="宋体" w:hAnsi="宋体" w:cs="宋体"/>
                <w:color w:val="auto"/>
                <w:sz w:val="18"/>
                <w:szCs w:val="18"/>
              </w:rPr>
            </w:pPr>
          </w:p>
        </w:tc>
        <w:tc>
          <w:tcPr>
            <w:tcW w:w="938" w:type="dxa"/>
            <w:noWrap w:val="0"/>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抽样</w:t>
            </w:r>
          </w:p>
        </w:tc>
        <w:tc>
          <w:tcPr>
            <w:tcW w:w="321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计划 批次，最终以实际委托数量为准</w:t>
            </w:r>
          </w:p>
        </w:tc>
        <w:tc>
          <w:tcPr>
            <w:tcW w:w="1004" w:type="dxa"/>
            <w:noWrap w:val="0"/>
            <w:vAlign w:val="bottom"/>
          </w:tcPr>
          <w:p>
            <w:pPr>
              <w:snapToGrid w:val="0"/>
              <w:jc w:val="center"/>
              <w:rPr>
                <w:rFonts w:ascii="宋体" w:hAnsi="宋体" w:cs="宋体"/>
                <w:color w:val="auto"/>
                <w:sz w:val="18"/>
                <w:szCs w:val="18"/>
              </w:rPr>
            </w:pPr>
          </w:p>
        </w:tc>
        <w:tc>
          <w:tcPr>
            <w:tcW w:w="1673" w:type="dxa"/>
            <w:vMerge w:val="continue"/>
            <w:noWrap w:val="0"/>
            <w:vAlign w:val="center"/>
          </w:tcPr>
          <w:p>
            <w:pPr>
              <w:snapToGrid w:val="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4</w:t>
            </w:r>
          </w:p>
        </w:tc>
        <w:tc>
          <w:tcPr>
            <w:tcW w:w="2154" w:type="dxa"/>
            <w:noWrap w:val="0"/>
            <w:vAlign w:val="center"/>
          </w:tcPr>
          <w:p>
            <w:pPr>
              <w:widowControl/>
              <w:jc w:val="left"/>
              <w:textAlignment w:val="center"/>
              <w:rPr>
                <w:rFonts w:ascii="宋体" w:hAnsi="宋体" w:cs="宋体"/>
                <w:color w:val="auto"/>
                <w:sz w:val="18"/>
                <w:szCs w:val="18"/>
              </w:rPr>
            </w:pPr>
          </w:p>
        </w:tc>
        <w:tc>
          <w:tcPr>
            <w:tcW w:w="938" w:type="dxa"/>
            <w:noWrap w:val="0"/>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抽样</w:t>
            </w:r>
          </w:p>
        </w:tc>
        <w:tc>
          <w:tcPr>
            <w:tcW w:w="321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计划 批次，最终以实际委托数量为准</w:t>
            </w:r>
          </w:p>
        </w:tc>
        <w:tc>
          <w:tcPr>
            <w:tcW w:w="1004" w:type="dxa"/>
            <w:noWrap w:val="0"/>
            <w:vAlign w:val="bottom"/>
          </w:tcPr>
          <w:p>
            <w:pPr>
              <w:snapToGrid w:val="0"/>
              <w:jc w:val="center"/>
              <w:rPr>
                <w:rFonts w:ascii="宋体" w:hAnsi="宋体" w:cs="宋体"/>
                <w:color w:val="auto"/>
                <w:sz w:val="18"/>
                <w:szCs w:val="18"/>
              </w:rPr>
            </w:pPr>
          </w:p>
        </w:tc>
        <w:tc>
          <w:tcPr>
            <w:tcW w:w="1673" w:type="dxa"/>
            <w:vMerge w:val="continue"/>
            <w:noWrap w:val="0"/>
            <w:vAlign w:val="center"/>
          </w:tcPr>
          <w:p>
            <w:pPr>
              <w:snapToGrid w:val="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5</w:t>
            </w:r>
          </w:p>
        </w:tc>
        <w:tc>
          <w:tcPr>
            <w:tcW w:w="2154" w:type="dxa"/>
            <w:noWrap w:val="0"/>
            <w:vAlign w:val="center"/>
          </w:tcPr>
          <w:p>
            <w:pPr>
              <w:widowControl/>
              <w:jc w:val="left"/>
              <w:textAlignment w:val="center"/>
              <w:rPr>
                <w:rFonts w:ascii="宋体" w:hAnsi="宋体" w:cs="宋体"/>
                <w:color w:val="auto"/>
                <w:sz w:val="18"/>
                <w:szCs w:val="18"/>
              </w:rPr>
            </w:pPr>
          </w:p>
        </w:tc>
        <w:tc>
          <w:tcPr>
            <w:tcW w:w="938" w:type="dxa"/>
            <w:noWrap w:val="0"/>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抽样</w:t>
            </w:r>
          </w:p>
        </w:tc>
        <w:tc>
          <w:tcPr>
            <w:tcW w:w="321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计划 批次，最终以实际委托数量为准</w:t>
            </w:r>
          </w:p>
        </w:tc>
        <w:tc>
          <w:tcPr>
            <w:tcW w:w="1004" w:type="dxa"/>
            <w:noWrap w:val="0"/>
            <w:vAlign w:val="bottom"/>
          </w:tcPr>
          <w:p>
            <w:pPr>
              <w:snapToGrid w:val="0"/>
              <w:jc w:val="center"/>
              <w:rPr>
                <w:rFonts w:ascii="宋体" w:hAnsi="宋体" w:cs="宋体"/>
                <w:color w:val="auto"/>
                <w:sz w:val="18"/>
                <w:szCs w:val="18"/>
              </w:rPr>
            </w:pPr>
          </w:p>
        </w:tc>
        <w:tc>
          <w:tcPr>
            <w:tcW w:w="1673" w:type="dxa"/>
            <w:vMerge w:val="continue"/>
            <w:noWrap w:val="0"/>
            <w:vAlign w:val="center"/>
          </w:tcPr>
          <w:p>
            <w:pPr>
              <w:snapToGrid w:val="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w:t>
            </w:r>
          </w:p>
        </w:tc>
        <w:tc>
          <w:tcPr>
            <w:tcW w:w="2154" w:type="dxa"/>
            <w:noWrap w:val="0"/>
            <w:vAlign w:val="center"/>
          </w:tcPr>
          <w:p>
            <w:pPr>
              <w:widowControl/>
              <w:jc w:val="left"/>
              <w:textAlignment w:val="center"/>
              <w:rPr>
                <w:rFonts w:ascii="宋体" w:hAnsi="宋体" w:cs="宋体"/>
                <w:color w:val="auto"/>
                <w:sz w:val="18"/>
                <w:szCs w:val="18"/>
              </w:rPr>
            </w:pPr>
          </w:p>
        </w:tc>
        <w:tc>
          <w:tcPr>
            <w:tcW w:w="938" w:type="dxa"/>
            <w:noWrap w:val="0"/>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抽样</w:t>
            </w:r>
          </w:p>
        </w:tc>
        <w:tc>
          <w:tcPr>
            <w:tcW w:w="321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计划 批次，最终以实际委托数量为准</w:t>
            </w:r>
          </w:p>
        </w:tc>
        <w:tc>
          <w:tcPr>
            <w:tcW w:w="1004" w:type="dxa"/>
            <w:noWrap w:val="0"/>
            <w:vAlign w:val="bottom"/>
          </w:tcPr>
          <w:p>
            <w:pPr>
              <w:snapToGrid w:val="0"/>
              <w:jc w:val="center"/>
              <w:rPr>
                <w:rFonts w:ascii="宋体" w:hAnsi="宋体" w:cs="宋体"/>
                <w:color w:val="auto"/>
                <w:sz w:val="18"/>
                <w:szCs w:val="18"/>
              </w:rPr>
            </w:pPr>
          </w:p>
        </w:tc>
        <w:tc>
          <w:tcPr>
            <w:tcW w:w="1673" w:type="dxa"/>
            <w:vMerge w:val="continue"/>
            <w:noWrap w:val="0"/>
            <w:vAlign w:val="center"/>
          </w:tcPr>
          <w:p>
            <w:pPr>
              <w:snapToGrid w:val="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1" w:hRule="atLeast"/>
        </w:trPr>
        <w:tc>
          <w:tcPr>
            <w:tcW w:w="593"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1</w:t>
            </w:r>
          </w:p>
        </w:tc>
        <w:tc>
          <w:tcPr>
            <w:tcW w:w="2154" w:type="dxa"/>
            <w:noWrap w:val="0"/>
            <w:vAlign w:val="center"/>
          </w:tcPr>
          <w:p>
            <w:pPr>
              <w:widowControl/>
              <w:jc w:val="left"/>
              <w:textAlignment w:val="center"/>
              <w:rPr>
                <w:rFonts w:ascii="宋体" w:hAnsi="宋体" w:cs="宋体"/>
                <w:color w:val="auto"/>
                <w:sz w:val="18"/>
                <w:szCs w:val="18"/>
              </w:rPr>
            </w:pPr>
          </w:p>
        </w:tc>
        <w:tc>
          <w:tcPr>
            <w:tcW w:w="938" w:type="dxa"/>
            <w:noWrap w:val="0"/>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检测</w:t>
            </w:r>
          </w:p>
        </w:tc>
        <w:tc>
          <w:tcPr>
            <w:tcW w:w="321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计划 批次，最终以实际委托数量为准</w:t>
            </w:r>
          </w:p>
        </w:tc>
        <w:tc>
          <w:tcPr>
            <w:tcW w:w="1004" w:type="dxa"/>
            <w:noWrap w:val="0"/>
            <w:vAlign w:val="bottom"/>
          </w:tcPr>
          <w:p>
            <w:pPr>
              <w:snapToGrid w:val="0"/>
              <w:jc w:val="center"/>
              <w:rPr>
                <w:rFonts w:ascii="宋体" w:hAnsi="宋体" w:cs="宋体"/>
                <w:color w:val="auto"/>
                <w:sz w:val="18"/>
                <w:szCs w:val="18"/>
              </w:rPr>
            </w:pPr>
          </w:p>
        </w:tc>
        <w:tc>
          <w:tcPr>
            <w:tcW w:w="1673" w:type="dxa"/>
            <w:vMerge w:val="continue"/>
            <w:noWrap w:val="0"/>
            <w:vAlign w:val="center"/>
          </w:tcPr>
          <w:p>
            <w:pPr>
              <w:snapToGrid w:val="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2</w:t>
            </w:r>
          </w:p>
        </w:tc>
        <w:tc>
          <w:tcPr>
            <w:tcW w:w="2154" w:type="dxa"/>
            <w:noWrap w:val="0"/>
            <w:vAlign w:val="center"/>
          </w:tcPr>
          <w:p>
            <w:pPr>
              <w:widowControl/>
              <w:jc w:val="left"/>
              <w:textAlignment w:val="center"/>
              <w:rPr>
                <w:rFonts w:ascii="宋体" w:hAnsi="宋体" w:cs="宋体"/>
                <w:color w:val="auto"/>
                <w:sz w:val="18"/>
                <w:szCs w:val="18"/>
              </w:rPr>
            </w:pPr>
          </w:p>
        </w:tc>
        <w:tc>
          <w:tcPr>
            <w:tcW w:w="938" w:type="dxa"/>
            <w:noWrap w:val="0"/>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检测</w:t>
            </w:r>
          </w:p>
        </w:tc>
        <w:tc>
          <w:tcPr>
            <w:tcW w:w="321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计划 批次，最终以实际委托数量为准</w:t>
            </w:r>
          </w:p>
        </w:tc>
        <w:tc>
          <w:tcPr>
            <w:tcW w:w="1004" w:type="dxa"/>
            <w:noWrap w:val="0"/>
            <w:vAlign w:val="bottom"/>
          </w:tcPr>
          <w:p>
            <w:pPr>
              <w:snapToGrid w:val="0"/>
              <w:jc w:val="center"/>
              <w:rPr>
                <w:rFonts w:ascii="宋体" w:hAnsi="宋体" w:cs="宋体"/>
                <w:color w:val="auto"/>
                <w:sz w:val="18"/>
                <w:szCs w:val="18"/>
              </w:rPr>
            </w:pPr>
          </w:p>
        </w:tc>
        <w:tc>
          <w:tcPr>
            <w:tcW w:w="1673" w:type="dxa"/>
            <w:vMerge w:val="continue"/>
            <w:noWrap w:val="0"/>
            <w:vAlign w:val="center"/>
          </w:tcPr>
          <w:p>
            <w:pPr>
              <w:snapToGrid w:val="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3</w:t>
            </w:r>
          </w:p>
        </w:tc>
        <w:tc>
          <w:tcPr>
            <w:tcW w:w="2154" w:type="dxa"/>
            <w:noWrap w:val="0"/>
            <w:vAlign w:val="center"/>
          </w:tcPr>
          <w:p>
            <w:pPr>
              <w:widowControl/>
              <w:jc w:val="left"/>
              <w:textAlignment w:val="center"/>
              <w:rPr>
                <w:rFonts w:ascii="宋体" w:hAnsi="宋体" w:cs="宋体"/>
                <w:color w:val="auto"/>
                <w:sz w:val="18"/>
                <w:szCs w:val="18"/>
              </w:rPr>
            </w:pPr>
          </w:p>
        </w:tc>
        <w:tc>
          <w:tcPr>
            <w:tcW w:w="938" w:type="dxa"/>
            <w:noWrap w:val="0"/>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检测</w:t>
            </w:r>
          </w:p>
        </w:tc>
        <w:tc>
          <w:tcPr>
            <w:tcW w:w="321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计划 批次，最终以实际委托数量为准</w:t>
            </w:r>
          </w:p>
        </w:tc>
        <w:tc>
          <w:tcPr>
            <w:tcW w:w="1004" w:type="dxa"/>
            <w:noWrap w:val="0"/>
            <w:vAlign w:val="bottom"/>
          </w:tcPr>
          <w:p>
            <w:pPr>
              <w:snapToGrid w:val="0"/>
              <w:jc w:val="center"/>
              <w:rPr>
                <w:rFonts w:ascii="宋体" w:hAnsi="宋体" w:cs="宋体"/>
                <w:color w:val="auto"/>
                <w:sz w:val="18"/>
                <w:szCs w:val="18"/>
              </w:rPr>
            </w:pPr>
          </w:p>
        </w:tc>
        <w:tc>
          <w:tcPr>
            <w:tcW w:w="1673" w:type="dxa"/>
            <w:vMerge w:val="continue"/>
            <w:noWrap w:val="0"/>
            <w:vAlign w:val="center"/>
          </w:tcPr>
          <w:p>
            <w:pPr>
              <w:snapToGrid w:val="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4</w:t>
            </w:r>
          </w:p>
        </w:tc>
        <w:tc>
          <w:tcPr>
            <w:tcW w:w="2154" w:type="dxa"/>
            <w:noWrap w:val="0"/>
            <w:vAlign w:val="center"/>
          </w:tcPr>
          <w:p>
            <w:pPr>
              <w:widowControl/>
              <w:jc w:val="left"/>
              <w:textAlignment w:val="center"/>
              <w:rPr>
                <w:rFonts w:ascii="宋体" w:hAnsi="宋体" w:cs="宋体"/>
                <w:color w:val="auto"/>
                <w:sz w:val="18"/>
                <w:szCs w:val="18"/>
              </w:rPr>
            </w:pPr>
          </w:p>
        </w:tc>
        <w:tc>
          <w:tcPr>
            <w:tcW w:w="938" w:type="dxa"/>
            <w:noWrap w:val="0"/>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检测</w:t>
            </w:r>
          </w:p>
        </w:tc>
        <w:tc>
          <w:tcPr>
            <w:tcW w:w="321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计划 批次，最终以实际委托数量为准</w:t>
            </w:r>
          </w:p>
        </w:tc>
        <w:tc>
          <w:tcPr>
            <w:tcW w:w="1004" w:type="dxa"/>
            <w:noWrap w:val="0"/>
            <w:vAlign w:val="bottom"/>
          </w:tcPr>
          <w:p>
            <w:pPr>
              <w:snapToGrid w:val="0"/>
              <w:jc w:val="center"/>
              <w:rPr>
                <w:rFonts w:ascii="宋体" w:hAnsi="宋体" w:cs="宋体"/>
                <w:color w:val="auto"/>
                <w:sz w:val="18"/>
                <w:szCs w:val="18"/>
              </w:rPr>
            </w:pPr>
          </w:p>
        </w:tc>
        <w:tc>
          <w:tcPr>
            <w:tcW w:w="1673" w:type="dxa"/>
            <w:vMerge w:val="continue"/>
            <w:noWrap w:val="0"/>
            <w:vAlign w:val="center"/>
          </w:tcPr>
          <w:p>
            <w:pPr>
              <w:snapToGrid w:val="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5</w:t>
            </w:r>
          </w:p>
        </w:tc>
        <w:tc>
          <w:tcPr>
            <w:tcW w:w="2154" w:type="dxa"/>
            <w:noWrap w:val="0"/>
            <w:vAlign w:val="center"/>
          </w:tcPr>
          <w:p>
            <w:pPr>
              <w:widowControl/>
              <w:jc w:val="left"/>
              <w:textAlignment w:val="center"/>
              <w:rPr>
                <w:rFonts w:ascii="宋体" w:hAnsi="宋体" w:cs="宋体"/>
                <w:color w:val="auto"/>
                <w:sz w:val="18"/>
                <w:szCs w:val="18"/>
              </w:rPr>
            </w:pPr>
          </w:p>
        </w:tc>
        <w:tc>
          <w:tcPr>
            <w:tcW w:w="938" w:type="dxa"/>
            <w:noWrap w:val="0"/>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检测</w:t>
            </w:r>
          </w:p>
        </w:tc>
        <w:tc>
          <w:tcPr>
            <w:tcW w:w="321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计划 批次，最终以实际委托数量为准</w:t>
            </w:r>
          </w:p>
        </w:tc>
        <w:tc>
          <w:tcPr>
            <w:tcW w:w="1004" w:type="dxa"/>
            <w:noWrap w:val="0"/>
            <w:vAlign w:val="bottom"/>
          </w:tcPr>
          <w:p>
            <w:pPr>
              <w:snapToGrid w:val="0"/>
              <w:jc w:val="center"/>
              <w:rPr>
                <w:rFonts w:ascii="宋体" w:hAnsi="宋体" w:cs="宋体"/>
                <w:color w:val="auto"/>
                <w:sz w:val="18"/>
                <w:szCs w:val="18"/>
              </w:rPr>
            </w:pPr>
          </w:p>
        </w:tc>
        <w:tc>
          <w:tcPr>
            <w:tcW w:w="1673" w:type="dxa"/>
            <w:vMerge w:val="continue"/>
            <w:noWrap w:val="0"/>
            <w:vAlign w:val="center"/>
          </w:tcPr>
          <w:p>
            <w:pPr>
              <w:snapToGrid w:val="0"/>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93"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w:t>
            </w:r>
          </w:p>
        </w:tc>
        <w:tc>
          <w:tcPr>
            <w:tcW w:w="2154" w:type="dxa"/>
            <w:noWrap w:val="0"/>
            <w:vAlign w:val="center"/>
          </w:tcPr>
          <w:p>
            <w:pPr>
              <w:widowControl/>
              <w:jc w:val="left"/>
              <w:textAlignment w:val="center"/>
              <w:rPr>
                <w:rFonts w:ascii="宋体" w:hAnsi="宋体" w:cs="宋体"/>
                <w:color w:val="auto"/>
                <w:sz w:val="18"/>
                <w:szCs w:val="18"/>
              </w:rPr>
            </w:pPr>
          </w:p>
        </w:tc>
        <w:tc>
          <w:tcPr>
            <w:tcW w:w="938" w:type="dxa"/>
            <w:noWrap w:val="0"/>
            <w:vAlign w:val="center"/>
          </w:tcPr>
          <w:p>
            <w:pPr>
              <w:widowControl/>
              <w:jc w:val="center"/>
              <w:textAlignment w:val="center"/>
              <w:rPr>
                <w:rFonts w:ascii="宋体" w:hAnsi="宋体" w:cs="宋体"/>
                <w:color w:val="auto"/>
                <w:sz w:val="18"/>
                <w:szCs w:val="18"/>
              </w:rPr>
            </w:pPr>
            <w:r>
              <w:rPr>
                <w:rFonts w:hint="eastAsia" w:ascii="宋体" w:hAnsi="宋体" w:cs="宋体"/>
                <w:color w:val="auto"/>
                <w:sz w:val="18"/>
                <w:szCs w:val="18"/>
              </w:rPr>
              <w:t>检测</w:t>
            </w:r>
          </w:p>
        </w:tc>
        <w:tc>
          <w:tcPr>
            <w:tcW w:w="321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计划 批次，最终以实际委托数量为准</w:t>
            </w:r>
          </w:p>
        </w:tc>
        <w:tc>
          <w:tcPr>
            <w:tcW w:w="1004" w:type="dxa"/>
            <w:noWrap w:val="0"/>
            <w:vAlign w:val="bottom"/>
          </w:tcPr>
          <w:p>
            <w:pPr>
              <w:snapToGrid w:val="0"/>
              <w:jc w:val="center"/>
              <w:rPr>
                <w:rFonts w:ascii="宋体" w:hAnsi="宋体" w:cs="宋体"/>
                <w:color w:val="auto"/>
                <w:sz w:val="18"/>
                <w:szCs w:val="18"/>
              </w:rPr>
            </w:pPr>
          </w:p>
        </w:tc>
        <w:tc>
          <w:tcPr>
            <w:tcW w:w="1673" w:type="dxa"/>
            <w:vMerge w:val="continue"/>
            <w:noWrap w:val="0"/>
            <w:vAlign w:val="center"/>
          </w:tcPr>
          <w:p>
            <w:pPr>
              <w:snapToGrid w:val="0"/>
              <w:jc w:val="center"/>
              <w:rPr>
                <w:rFonts w:ascii="宋体" w:hAnsi="宋体" w:cs="宋体"/>
                <w:color w:val="auto"/>
                <w:sz w:val="18"/>
                <w:szCs w:val="18"/>
              </w:rPr>
            </w:pPr>
          </w:p>
        </w:tc>
      </w:tr>
    </w:tbl>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2、委托业务费由甲方</w:t>
      </w:r>
      <w:r>
        <w:rPr>
          <w:rFonts w:hint="eastAsia" w:ascii="宋体" w:hAnsi="宋体" w:cs="宋体"/>
          <w:color w:val="auto"/>
          <w:sz w:val="24"/>
          <w:szCs w:val="24"/>
          <w:u w:val="single"/>
        </w:rPr>
        <w:t>分期</w:t>
      </w:r>
      <w:r>
        <w:rPr>
          <w:rFonts w:hint="eastAsia" w:ascii="宋体" w:hAnsi="宋体" w:cs="宋体"/>
          <w:color w:val="auto"/>
          <w:sz w:val="24"/>
          <w:szCs w:val="24"/>
        </w:rPr>
        <w:t>支付乙方</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3、其他：</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具体支付方式和时间如下：</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（1）合同签订以及具备实施条件后,甲方在收到发票7个工作日内向乙方支付50%的合同款</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rPr>
        <w:t>年</w:t>
      </w:r>
      <w:r>
        <w:rPr>
          <w:rFonts w:hint="eastAsia" w:ascii="宋体" w:hAnsi="宋体" w:cs="宋体"/>
          <w:color w:val="auto"/>
          <w:sz w:val="24"/>
          <w:u w:val="single"/>
          <w:lang w:val="en-US" w:eastAsia="zh-CN"/>
        </w:rPr>
        <w:t xml:space="preserve">  </w:t>
      </w:r>
      <w:r>
        <w:rPr>
          <w:rFonts w:hint="eastAsia" w:ascii="宋体" w:hAnsi="宋体" w:cs="宋体"/>
          <w:color w:val="auto"/>
          <w:sz w:val="24"/>
        </w:rPr>
        <w:t>月</w:t>
      </w:r>
      <w:r>
        <w:rPr>
          <w:rFonts w:hint="eastAsia" w:ascii="宋体" w:hAnsi="宋体" w:cs="宋体"/>
          <w:color w:val="auto"/>
          <w:sz w:val="24"/>
          <w:u w:val="single"/>
          <w:lang w:val="en-US" w:eastAsia="zh-CN"/>
        </w:rPr>
        <w:t xml:space="preserve">  </w:t>
      </w:r>
      <w:r>
        <w:rPr>
          <w:rFonts w:hint="eastAsia" w:ascii="宋体" w:hAnsi="宋体" w:cs="宋体"/>
          <w:color w:val="auto"/>
          <w:sz w:val="24"/>
        </w:rPr>
        <w:t>日前，合同执行至50%以上并经采购人验收合格后，甲方在收到发票7个工作日内向乙方支付40%合同款</w:t>
      </w:r>
    </w:p>
    <w:p>
      <w:pPr>
        <w:adjustRightInd w:val="0"/>
        <w:snapToGrid w:val="0"/>
        <w:spacing w:line="360" w:lineRule="auto"/>
        <w:ind w:firstLine="480" w:firstLineChars="200"/>
        <w:rPr>
          <w:rFonts w:ascii="宋体" w:hAnsi="宋体" w:eastAsia="宋体"/>
          <w:color w:val="auto"/>
          <w:sz w:val="24"/>
          <w:szCs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乙方完成项目实施并经采购人验收合格后，甲方在收到发票7个工作日内向乙方支付剩余合同款</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乙方账户名称、开户银行和账号为：</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账户名称： </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开户银行： </w:t>
      </w:r>
    </w:p>
    <w:p>
      <w:pPr>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帐    号： </w:t>
      </w:r>
    </w:p>
    <w:p>
      <w:pP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第四条：</w:t>
      </w:r>
      <w:r>
        <w:rPr>
          <w:rFonts w:hint="eastAsia" w:ascii="宋体" w:hAnsi="宋体" w:cs="宋体"/>
          <w:color w:val="auto"/>
          <w:sz w:val="24"/>
          <w:szCs w:val="24"/>
        </w:rPr>
        <w:t>乙方必须在甲方规定的期限内完成委托业务，并保证工作质量符合甲方的质量要求。</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对抽样检测结果批次数与原计划有入出的，或乙方未在规定期限内完成任务、尚未超过10个工作日（含本数）的，甲方有权要求乙方按业务费用总额的</w:t>
      </w:r>
      <w:r>
        <w:rPr>
          <w:rFonts w:hint="eastAsia" w:ascii="宋体" w:hAnsi="宋体" w:cs="宋体"/>
          <w:color w:val="auto"/>
          <w:sz w:val="24"/>
          <w:szCs w:val="24"/>
          <w:u w:val="single"/>
        </w:rPr>
        <w:t>5 %</w:t>
      </w:r>
      <w:r>
        <w:rPr>
          <w:rFonts w:hint="eastAsia" w:ascii="宋体" w:hAnsi="宋体" w:cs="宋体"/>
          <w:color w:val="auto"/>
          <w:sz w:val="24"/>
          <w:szCs w:val="24"/>
        </w:rPr>
        <w:t xml:space="preserve"> 支付违约金。乙方未在规定期限内完成任务超过10个工作日以上的，甲方有权解除合同，并要求乙方按业务费用总额的</w:t>
      </w:r>
      <w:r>
        <w:rPr>
          <w:rFonts w:hint="eastAsia" w:ascii="宋体" w:hAnsi="宋体" w:cs="宋体"/>
          <w:color w:val="auto"/>
          <w:sz w:val="24"/>
          <w:szCs w:val="24"/>
          <w:u w:val="single"/>
        </w:rPr>
        <w:t>20 %</w:t>
      </w:r>
      <w:r>
        <w:rPr>
          <w:rFonts w:hint="eastAsia" w:ascii="宋体" w:hAnsi="宋体" w:cs="宋体"/>
          <w:color w:val="auto"/>
          <w:sz w:val="24"/>
          <w:szCs w:val="24"/>
        </w:rPr>
        <w:t xml:space="preserve"> 支付违约金。</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对发生工作质量问题的，视情况严重程度，甲方有权要求乙方按业务费用总额的</w:t>
      </w:r>
      <w:r>
        <w:rPr>
          <w:rFonts w:hint="eastAsia" w:ascii="宋体" w:hAnsi="宋体" w:cs="宋体"/>
          <w:color w:val="auto"/>
          <w:sz w:val="24"/>
          <w:szCs w:val="24"/>
          <w:u w:val="single"/>
        </w:rPr>
        <w:t>15 %</w:t>
      </w:r>
      <w:r>
        <w:rPr>
          <w:rFonts w:hint="eastAsia" w:ascii="宋体" w:hAnsi="宋体" w:cs="宋体"/>
          <w:color w:val="auto"/>
          <w:sz w:val="24"/>
          <w:szCs w:val="24"/>
        </w:rPr>
        <w:t xml:space="preserve"> 支付违约金。 经整改仍不能达到质量要求的，甲方有权解除合同，并要求乙方按业务费用总额的</w:t>
      </w:r>
      <w:r>
        <w:rPr>
          <w:rFonts w:hint="eastAsia" w:ascii="宋体" w:hAnsi="宋体" w:cs="宋体"/>
          <w:color w:val="auto"/>
          <w:sz w:val="24"/>
          <w:szCs w:val="24"/>
          <w:u w:val="single"/>
        </w:rPr>
        <w:t>20 %</w:t>
      </w:r>
      <w:r>
        <w:rPr>
          <w:rFonts w:hint="eastAsia" w:ascii="宋体" w:hAnsi="宋体" w:cs="宋体"/>
          <w:color w:val="auto"/>
          <w:sz w:val="24"/>
          <w:szCs w:val="24"/>
        </w:rPr>
        <w:t xml:space="preserve"> 支付违约金。</w:t>
      </w:r>
    </w:p>
    <w:p>
      <w:pPr>
        <w:snapToGrid w:val="0"/>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第五条：</w:t>
      </w:r>
      <w:r>
        <w:rPr>
          <w:rFonts w:hint="eastAsia" w:ascii="宋体" w:hAnsi="宋体" w:cs="宋体"/>
          <w:color w:val="auto"/>
          <w:sz w:val="24"/>
          <w:szCs w:val="24"/>
        </w:rPr>
        <w:t>根据实际情况，甲方有权适当、合理调整有关委托事项，并以书面形式通知乙方。</w:t>
      </w:r>
    </w:p>
    <w:p>
      <w:pPr>
        <w:snapToGrid w:val="0"/>
        <w:spacing w:line="360" w:lineRule="auto"/>
        <w:ind w:firstLine="482" w:firstLineChars="200"/>
        <w:rPr>
          <w:rFonts w:ascii="宋体" w:hAnsi="宋体" w:cs="宋体"/>
          <w:color w:val="auto"/>
          <w:sz w:val="24"/>
          <w:szCs w:val="24"/>
          <w:u w:val="single"/>
        </w:rPr>
      </w:pPr>
      <w:r>
        <w:rPr>
          <w:rFonts w:hint="eastAsia" w:ascii="宋体" w:hAnsi="宋体" w:cs="宋体"/>
          <w:b/>
          <w:color w:val="auto"/>
          <w:sz w:val="24"/>
          <w:szCs w:val="24"/>
        </w:rPr>
        <w:t>第六条：</w:t>
      </w:r>
      <w:r>
        <w:rPr>
          <w:rFonts w:hint="eastAsia" w:ascii="宋体" w:hAnsi="宋体" w:cs="宋体"/>
          <w:color w:val="auto"/>
          <w:sz w:val="24"/>
          <w:szCs w:val="24"/>
        </w:rPr>
        <w:t xml:space="preserve">双方约定本协议其他相关事项为： </w:t>
      </w:r>
      <w:r>
        <w:rPr>
          <w:rFonts w:hint="eastAsia" w:ascii="宋体" w:hAnsi="宋体" w:cs="宋体"/>
          <w:color w:val="auto"/>
          <w:sz w:val="24"/>
          <w:szCs w:val="24"/>
          <w:u w:val="single"/>
        </w:rPr>
        <w:t>在协议执行中，遇见其他问题时，双方协商解决。如协商不成，双方同意将本合同引起的争议向杭州仲裁委员会申请仲裁。</w:t>
      </w:r>
    </w:p>
    <w:p>
      <w:pPr>
        <w:widowControl/>
        <w:spacing w:line="360" w:lineRule="auto"/>
        <w:rPr>
          <w:rFonts w:ascii="宋体" w:hAnsi="宋体" w:cs="宋体"/>
          <w:color w:val="auto"/>
          <w:sz w:val="24"/>
          <w:szCs w:val="24"/>
        </w:rPr>
      </w:pPr>
      <w:r>
        <w:rPr>
          <w:rFonts w:hint="eastAsia" w:ascii="宋体" w:hAnsi="宋体" w:cs="宋体"/>
          <w:b/>
          <w:color w:val="auto"/>
          <w:sz w:val="24"/>
          <w:szCs w:val="24"/>
        </w:rPr>
        <w:t xml:space="preserve">    第七条：</w:t>
      </w:r>
      <w:r>
        <w:rPr>
          <w:rFonts w:hint="eastAsia" w:ascii="宋体" w:hAnsi="宋体" w:cs="宋体"/>
          <w:color w:val="auto"/>
          <w:sz w:val="24"/>
          <w:szCs w:val="24"/>
        </w:rPr>
        <w:t>本合同经甲方、乙方法定代表人或其委托代理人签字并加盖公章后生效。</w:t>
      </w:r>
      <w:r>
        <w:rPr>
          <w:rFonts w:hint="eastAsia" w:ascii="宋体" w:hAnsi="宋体" w:cs="宋体"/>
          <w:color w:val="auto"/>
          <w:sz w:val="24"/>
          <w:szCs w:val="24"/>
        </w:rPr>
        <w:br w:type="textWrapping"/>
      </w:r>
      <w:r>
        <w:rPr>
          <w:rFonts w:hint="eastAsia" w:ascii="宋体" w:hAnsi="宋体" w:cs="宋体"/>
          <w:b/>
          <w:color w:val="auto"/>
          <w:sz w:val="24"/>
          <w:szCs w:val="24"/>
        </w:rPr>
        <w:t xml:space="preserve">    第八条：</w:t>
      </w:r>
      <w:r>
        <w:rPr>
          <w:rFonts w:hint="eastAsia" w:ascii="宋体" w:hAnsi="宋体" w:cs="宋体"/>
          <w:color w:val="auto"/>
          <w:sz w:val="24"/>
          <w:szCs w:val="24"/>
        </w:rPr>
        <w:t>本合同正本一式四份，甲、乙双方各执二份。</w:t>
      </w:r>
      <w:r>
        <w:rPr>
          <w:rFonts w:hint="eastAsia" w:ascii="宋体" w:hAnsi="宋体" w:cs="宋体"/>
          <w:color w:val="auto"/>
          <w:sz w:val="24"/>
          <w:szCs w:val="24"/>
        </w:rPr>
        <w:br w:type="textWrapping"/>
      </w:r>
      <w:r>
        <w:rPr>
          <w:rFonts w:hint="eastAsia" w:ascii="宋体" w:hAnsi="宋体" w:cs="宋体"/>
          <w:b/>
          <w:color w:val="auto"/>
          <w:sz w:val="24"/>
          <w:szCs w:val="24"/>
        </w:rPr>
        <w:t xml:space="preserve">    第九条：</w:t>
      </w:r>
      <w:r>
        <w:rPr>
          <w:rFonts w:hint="eastAsia" w:ascii="宋体" w:hAnsi="宋体" w:cs="宋体"/>
          <w:color w:val="auto"/>
          <w:kern w:val="0"/>
          <w:sz w:val="24"/>
        </w:rPr>
        <w:t>招标文件（招标编号：       ）、投标文件及评标过程中形成的文字资料、询标纪要均作为本合同附件。</w:t>
      </w:r>
    </w:p>
    <w:p>
      <w:pPr>
        <w:snapToGrid w:val="0"/>
        <w:spacing w:line="360" w:lineRule="auto"/>
        <w:ind w:left="-260"/>
        <w:rPr>
          <w:rFonts w:ascii="宋体" w:hAnsi="宋体" w:cs="宋体"/>
          <w:color w:val="auto"/>
          <w:sz w:val="24"/>
          <w:szCs w:val="24"/>
        </w:rPr>
      </w:pPr>
    </w:p>
    <w:p>
      <w:pPr>
        <w:widowControl/>
        <w:spacing w:line="360" w:lineRule="auto"/>
        <w:ind w:firstLine="141" w:firstLineChars="59"/>
        <w:jc w:val="left"/>
        <w:rPr>
          <w:rFonts w:ascii="宋体" w:hAnsi="宋体" w:cs="宋体"/>
          <w:color w:val="auto"/>
          <w:sz w:val="24"/>
          <w:szCs w:val="24"/>
        </w:rPr>
      </w:pPr>
    </w:p>
    <w:p>
      <w:pPr>
        <w:snapToGrid w:val="0"/>
        <w:spacing w:line="360" w:lineRule="auto"/>
        <w:rPr>
          <w:rFonts w:ascii="宋体" w:hAnsi="宋体" w:cs="宋体"/>
          <w:color w:val="auto"/>
          <w:sz w:val="24"/>
          <w:szCs w:val="24"/>
        </w:rPr>
      </w:pPr>
      <w:r>
        <w:rPr>
          <w:rFonts w:hint="eastAsia" w:ascii="宋体" w:hAnsi="宋体" w:cs="宋体"/>
          <w:color w:val="auto"/>
          <w:sz w:val="24"/>
          <w:szCs w:val="24"/>
        </w:rPr>
        <w:t>甲方（盖章）：杭州市市场监督管理局   乙方（盖章）：</w:t>
      </w:r>
    </w:p>
    <w:p>
      <w:pPr>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法定代表人                           法定代表人                   </w:t>
      </w:r>
    </w:p>
    <w:p>
      <w:pPr>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或受委托人（签字）：                 或受委托人（签字）：                  </w:t>
      </w:r>
    </w:p>
    <w:p>
      <w:pPr>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联系人：                             联系人： </w:t>
      </w:r>
    </w:p>
    <w:p>
      <w:pPr>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地址：杭州市凤起东路109号           地址： </w:t>
      </w:r>
    </w:p>
    <w:p>
      <w:pPr>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电话：                               电话： </w:t>
      </w:r>
    </w:p>
    <w:p>
      <w:pPr>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传真：                               传真： </w:t>
      </w:r>
    </w:p>
    <w:p>
      <w:pPr>
        <w:spacing w:line="360" w:lineRule="auto"/>
        <w:rPr>
          <w:rFonts w:ascii="宋体" w:hAnsi="宋体" w:cs="宋体"/>
          <w:color w:val="auto"/>
          <w:sz w:val="24"/>
          <w:szCs w:val="24"/>
        </w:rPr>
      </w:pPr>
    </w:p>
    <w:p>
      <w:pPr>
        <w:spacing w:line="360" w:lineRule="auto"/>
        <w:ind w:firstLine="5640" w:firstLineChars="2350"/>
        <w:rPr>
          <w:rFonts w:ascii="宋体" w:hAnsi="宋体" w:cs="宋体"/>
          <w:color w:val="auto"/>
          <w:sz w:val="24"/>
          <w:szCs w:val="24"/>
        </w:rPr>
      </w:pPr>
      <w:r>
        <w:rPr>
          <w:rFonts w:hint="eastAsia" w:ascii="宋体" w:hAnsi="宋体" w:cs="宋体"/>
          <w:color w:val="auto"/>
          <w:sz w:val="24"/>
          <w:szCs w:val="24"/>
        </w:rPr>
        <w:t>签 约 地：杭州市</w:t>
      </w:r>
    </w:p>
    <w:p>
      <w:pPr>
        <w:spacing w:line="360" w:lineRule="auto"/>
        <w:ind w:left="-420" w:leftChars="-200" w:right="-420" w:rightChars="-200" w:firstLine="480" w:firstLineChars="200"/>
        <w:jc w:val="center"/>
        <w:outlineLvl w:val="0"/>
        <w:rPr>
          <w:rFonts w:hint="eastAsia" w:ascii="宋体" w:hAnsi="宋体" w:cs="宋体"/>
          <w:color w:val="auto"/>
          <w:sz w:val="24"/>
          <w:szCs w:val="24"/>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r>
        <w:rPr>
          <w:rFonts w:hint="eastAsia" w:ascii="宋体" w:hAnsi="宋体" w:cs="宋体"/>
          <w:color w:val="auto"/>
          <w:sz w:val="24"/>
          <w:szCs w:val="24"/>
        </w:rPr>
        <w:t xml:space="preserve">                                           签约日期：    年   月  日</w:t>
      </w: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4"/>
      <w:r>
        <w:rPr>
          <w:rFonts w:hint="eastAsia" w:ascii="宋体" w:hAnsi="宋体" w:cs="宋体"/>
          <w:b/>
          <w:color w:val="auto"/>
          <w:sz w:val="36"/>
          <w:szCs w:val="20"/>
        </w:rPr>
        <w:t xml:space="preserve"> </w:t>
      </w:r>
      <w:bookmarkEnd w:id="395"/>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2024年市本级食品生产环节小作坊专项抽检</w:t>
      </w:r>
      <w:r>
        <w:rPr>
          <w:rFonts w:hint="eastAsia" w:ascii="宋体" w:hAnsi="宋体" w:cs="宋体"/>
          <w:color w:val="auto"/>
          <w:sz w:val="24"/>
        </w:rPr>
        <w:t>【招标编号：</w:t>
      </w:r>
      <w:r>
        <w:rPr>
          <w:rFonts w:hint="eastAsia" w:ascii="宋体" w:hAnsi="宋体" w:cs="宋体"/>
          <w:color w:val="auto"/>
          <w:sz w:val="24"/>
          <w:lang w:eastAsia="zh-CN"/>
        </w:rPr>
        <w:t>ZJZN-24889-SJ38</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jc w:val="distribute"/>
        <w:rPr>
          <w:rFonts w:hint="eastAsia"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p>
    <w:p>
      <w:pPr>
        <w:snapToGrid w:val="0"/>
        <w:spacing w:line="360" w:lineRule="auto"/>
        <w:ind w:left="479" w:leftChars="228"/>
        <w:jc w:val="distribute"/>
        <w:rPr>
          <w:rFonts w:ascii="宋体" w:hAnsi="宋体" w:cs="宋体"/>
          <w:color w:val="auto"/>
        </w:rPr>
      </w:pP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jc w:val="distribute"/>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jc w:val="distribute"/>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jc w:val="distribute"/>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p>
    <w:p>
      <w:pPr>
        <w:snapToGrid w:val="0"/>
        <w:spacing w:line="360" w:lineRule="auto"/>
        <w:ind w:left="479" w:leftChars="228"/>
        <w:jc w:val="distribute"/>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p>
    <w:p>
      <w:pPr>
        <w:snapToGrid w:val="0"/>
        <w:spacing w:line="360" w:lineRule="auto"/>
        <w:ind w:left="479" w:leftChars="228"/>
        <w:jc w:val="distribute"/>
        <w:rPr>
          <w:rFonts w:ascii="宋体" w:hAnsi="宋体" w:cs="宋体"/>
          <w:color w:val="auto"/>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jc w:val="distribute"/>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2024年市本级食品生产环节小作坊专项抽检</w:t>
      </w:r>
      <w:r>
        <w:rPr>
          <w:rFonts w:hint="eastAsia" w:ascii="宋体" w:hAnsi="宋体" w:cs="宋体"/>
          <w:color w:val="auto"/>
          <w:sz w:val="24"/>
        </w:rPr>
        <w:t>【招标编号：</w:t>
      </w:r>
      <w:r>
        <w:rPr>
          <w:rFonts w:hint="eastAsia" w:ascii="宋体" w:hAnsi="宋体" w:cs="宋体"/>
          <w:color w:val="auto"/>
          <w:sz w:val="24"/>
          <w:lang w:eastAsia="zh-CN"/>
        </w:rPr>
        <w:t>ZJZN-24889-SJ38</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396" w:name="_Hlk101257010"/>
      <w:r>
        <w:rPr>
          <w:rFonts w:hint="eastAsia" w:ascii="宋体" w:hAnsi="宋体" w:cs="宋体"/>
          <w:color w:val="auto"/>
          <w:sz w:val="24"/>
        </w:rPr>
        <w:t>（如果有)</w:t>
      </w:r>
      <w:bookmarkEnd w:id="396"/>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pStyle w:val="79"/>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4"/>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2024年市本级食品生产环节小作坊专项抽检</w:t>
      </w:r>
      <w:r>
        <w:rPr>
          <w:rFonts w:hint="eastAsia" w:ascii="宋体" w:hAnsi="宋体" w:cs="宋体"/>
          <w:color w:val="auto"/>
          <w:sz w:val="24"/>
        </w:rPr>
        <w:t>【招标编号：</w:t>
      </w:r>
      <w:r>
        <w:rPr>
          <w:rFonts w:hint="eastAsia" w:ascii="宋体" w:hAnsi="宋体" w:cs="宋体"/>
          <w:color w:val="auto"/>
          <w:sz w:val="24"/>
          <w:lang w:eastAsia="zh-CN"/>
        </w:rPr>
        <w:t>ZJZN-24889-SJ38</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2024年市本级食品生产环节小作坊专项抽检</w:t>
      </w:r>
      <w:r>
        <w:rPr>
          <w:rFonts w:hint="eastAsia" w:ascii="宋体" w:hAnsi="宋体" w:cs="宋体"/>
          <w:color w:val="auto"/>
          <w:sz w:val="24"/>
        </w:rPr>
        <w:t>【招标编号：</w:t>
      </w:r>
      <w:r>
        <w:rPr>
          <w:rFonts w:hint="eastAsia" w:ascii="宋体" w:hAnsi="宋体" w:cs="宋体"/>
          <w:color w:val="auto"/>
          <w:sz w:val="24"/>
          <w:lang w:eastAsia="zh-CN"/>
        </w:rPr>
        <w:t>ZJZN-24889-SJ38</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rPr>
            </w:pPr>
            <w:r>
              <w:rPr>
                <w:rFonts w:hint="eastAsia" w:hAnsi="宋体" w:cs="宋体"/>
                <w:bCs/>
                <w:color w:val="auto"/>
                <w:sz w:val="24"/>
              </w:rPr>
              <w:t>正面：                                 反面：</w:t>
            </w:r>
          </w:p>
          <w:p>
            <w:pPr>
              <w:pStyle w:val="148"/>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5176"/>
        <w:gridCol w:w="264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5" w:type="pct"/>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2598" w:type="pct"/>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1327" w:type="pct"/>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738" w:type="pct"/>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jc w:val="center"/>
              <w:rPr>
                <w:rFonts w:ascii="宋体" w:hAnsi="宋体" w:cs="宋体"/>
                <w:color w:val="auto"/>
                <w:sz w:val="24"/>
              </w:rPr>
            </w:pPr>
            <w:r>
              <w:rPr>
                <w:rFonts w:hint="eastAsia" w:ascii="宋体" w:hAnsi="宋体" w:cs="宋体"/>
                <w:color w:val="auto"/>
                <w:sz w:val="24"/>
              </w:rPr>
              <w:t>1</w:t>
            </w:r>
          </w:p>
        </w:tc>
        <w:tc>
          <w:tcPr>
            <w:tcW w:w="2598" w:type="pct"/>
            <w:vAlign w:val="center"/>
          </w:tcPr>
          <w:p>
            <w:pPr>
              <w:spacing w:line="360" w:lineRule="auto"/>
              <w:jc w:val="both"/>
              <w:rPr>
                <w:rFonts w:ascii="宋体" w:hAnsi="宋体" w:cs="宋体"/>
                <w:color w:val="auto"/>
                <w:sz w:val="24"/>
              </w:rPr>
            </w:pPr>
            <w:r>
              <w:rPr>
                <w:rFonts w:hint="eastAsia" w:ascii="宋体" w:hAnsi="宋体" w:cs="宋体"/>
                <w:color w:val="auto"/>
                <w:sz w:val="24"/>
              </w:rPr>
              <w:t>投标文件按照招标文件要求签署、盖章。</w:t>
            </w:r>
          </w:p>
        </w:tc>
        <w:tc>
          <w:tcPr>
            <w:tcW w:w="1327" w:type="pct"/>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738" w:type="pct"/>
            <w:vAlign w:val="center"/>
          </w:tcPr>
          <w:p>
            <w:pPr>
              <w:jc w:val="both"/>
              <w:rPr>
                <w:rFonts w:ascii="宋体" w:hAnsi="宋体" w:cs="宋体"/>
                <w:color w:val="auto"/>
                <w:sz w:val="24"/>
              </w:rPr>
            </w:pPr>
            <w:r>
              <w:rPr>
                <w:rFonts w:hint="eastAsia" w:ascii="宋体" w:hAnsi="宋体" w:cs="宋体"/>
                <w:color w:val="auto"/>
                <w:sz w:val="24"/>
              </w:rPr>
              <w:t>见投标文件</w:t>
            </w:r>
          </w:p>
          <w:p>
            <w:pPr>
              <w:jc w:val="both"/>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jc w:val="center"/>
              <w:rPr>
                <w:rFonts w:ascii="宋体" w:hAnsi="宋体" w:cs="宋体"/>
                <w:color w:val="auto"/>
                <w:sz w:val="24"/>
              </w:rPr>
            </w:pPr>
            <w:r>
              <w:rPr>
                <w:rFonts w:hint="eastAsia" w:ascii="宋体" w:hAnsi="宋体" w:cs="宋体"/>
                <w:color w:val="auto"/>
                <w:sz w:val="24"/>
              </w:rPr>
              <w:t>2</w:t>
            </w:r>
          </w:p>
        </w:tc>
        <w:tc>
          <w:tcPr>
            <w:tcW w:w="2598" w:type="pct"/>
            <w:vAlign w:val="center"/>
          </w:tcPr>
          <w:p>
            <w:pPr>
              <w:spacing w:line="360" w:lineRule="auto"/>
              <w:jc w:val="both"/>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1327" w:type="pct"/>
            <w:vAlign w:val="center"/>
          </w:tcPr>
          <w:p>
            <w:pPr>
              <w:rPr>
                <w:rFonts w:ascii="宋体" w:hAnsi="宋体" w:cs="宋体"/>
                <w:color w:val="auto"/>
                <w:sz w:val="24"/>
              </w:rPr>
            </w:pPr>
            <w:r>
              <w:rPr>
                <w:rFonts w:hint="eastAsia" w:ascii="宋体" w:hAnsi="宋体" w:cs="宋体"/>
                <w:color w:val="auto"/>
                <w:sz w:val="24"/>
              </w:rPr>
              <w:t>投标函</w:t>
            </w:r>
          </w:p>
        </w:tc>
        <w:tc>
          <w:tcPr>
            <w:tcW w:w="738" w:type="pct"/>
            <w:vAlign w:val="center"/>
          </w:tcPr>
          <w:p>
            <w:pPr>
              <w:jc w:val="both"/>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pPr>
              <w:jc w:val="center"/>
              <w:rPr>
                <w:rFonts w:ascii="宋体" w:hAnsi="宋体" w:cs="宋体"/>
                <w:color w:val="auto"/>
                <w:sz w:val="24"/>
              </w:rPr>
            </w:pPr>
            <w:r>
              <w:rPr>
                <w:rFonts w:hint="eastAsia" w:ascii="宋体" w:hAnsi="宋体" w:cs="宋体"/>
                <w:color w:val="auto"/>
                <w:sz w:val="24"/>
              </w:rPr>
              <w:t>3</w:t>
            </w:r>
          </w:p>
        </w:tc>
        <w:tc>
          <w:tcPr>
            <w:tcW w:w="2598" w:type="pct"/>
            <w:vAlign w:val="center"/>
          </w:tcPr>
          <w:p>
            <w:pPr>
              <w:spacing w:line="360" w:lineRule="auto"/>
              <w:jc w:val="both"/>
              <w:rPr>
                <w:rFonts w:ascii="宋体" w:hAnsi="宋体" w:cs="宋体"/>
                <w:color w:val="auto"/>
                <w:sz w:val="24"/>
              </w:rPr>
            </w:pPr>
            <w:r>
              <w:rPr>
                <w:rFonts w:hint="eastAsia" w:ascii="宋体" w:hAnsi="宋体" w:cs="宋体"/>
                <w:color w:val="auto"/>
                <w:sz w:val="24"/>
              </w:rPr>
              <w:t>投标文件满足招标文件的其它实质性要求。</w:t>
            </w:r>
          </w:p>
        </w:tc>
        <w:tc>
          <w:tcPr>
            <w:tcW w:w="1327" w:type="pct"/>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738" w:type="pct"/>
            <w:vAlign w:val="center"/>
          </w:tcPr>
          <w:p>
            <w:pPr>
              <w:jc w:val="both"/>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403"/>
        <w:gridCol w:w="1142"/>
        <w:gridCol w:w="1292"/>
        <w:gridCol w:w="2847"/>
        <w:gridCol w:w="953"/>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70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573"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6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1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4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57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64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4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57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64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4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57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64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4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pStyle w:val="79"/>
        <w:rPr>
          <w:rFonts w:hint="eastAsia"/>
          <w:color w:val="auto"/>
        </w:rPr>
      </w:pPr>
    </w:p>
    <w:p>
      <w:pPr>
        <w:pStyle w:val="79"/>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2024年市本级食品生产环节小作坊专项抽检</w:t>
      </w:r>
      <w:r>
        <w:rPr>
          <w:rFonts w:hint="eastAsia" w:ascii="宋体" w:hAnsi="宋体" w:cs="宋体"/>
          <w:color w:val="auto"/>
          <w:kern w:val="0"/>
          <w:sz w:val="24"/>
          <w:lang w:val="zh-CN"/>
        </w:rPr>
        <w:t>【招标编号：</w:t>
      </w:r>
      <w:r>
        <w:rPr>
          <w:rFonts w:hint="eastAsia" w:ascii="宋体" w:hAnsi="宋体" w:cs="宋体"/>
          <w:color w:val="auto"/>
          <w:sz w:val="24"/>
          <w:lang w:eastAsia="zh-CN"/>
        </w:rPr>
        <w:t>ZJZN-24889-SJ38</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378"/>
        <w:gridCol w:w="993"/>
        <w:gridCol w:w="1792"/>
        <w:gridCol w:w="175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34" w:type="dxa"/>
            <w:vMerge w:val="restart"/>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6378" w:type="dxa"/>
            <w:vMerge w:val="restart"/>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highlight w:val="none"/>
              </w:rPr>
            </w:pPr>
            <w:r>
              <w:rPr>
                <w:rFonts w:hint="eastAsia" w:ascii="宋体" w:hAnsi="宋体" w:cs="宋体"/>
                <w:b/>
                <w:bCs/>
                <w:color w:val="auto"/>
                <w:kern w:val="0"/>
                <w:sz w:val="24"/>
                <w:highlight w:val="none"/>
                <w:lang w:val="en-US" w:eastAsia="zh-CN"/>
              </w:rPr>
              <w:t>食品细类</w:t>
            </w:r>
            <w:r>
              <w:rPr>
                <w:rFonts w:hint="eastAsia" w:ascii="宋体" w:hAnsi="宋体" w:cs="宋体"/>
                <w:b/>
                <w:bCs/>
                <w:color w:val="auto"/>
                <w:kern w:val="0"/>
                <w:sz w:val="24"/>
                <w:highlight w:val="none"/>
              </w:rPr>
              <w:t>名称</w:t>
            </w:r>
          </w:p>
        </w:tc>
        <w:tc>
          <w:tcPr>
            <w:tcW w:w="993" w:type="dxa"/>
            <w:vMerge w:val="restart"/>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highlight w:val="none"/>
                <w:lang w:val="en-US" w:eastAsia="zh-CN"/>
              </w:rPr>
            </w:pPr>
            <w:r>
              <w:rPr>
                <w:rFonts w:hint="eastAsia" w:ascii="宋体" w:hAnsi="宋体" w:cs="宋体"/>
                <w:b/>
                <w:bCs/>
                <w:color w:val="auto"/>
                <w:kern w:val="0"/>
                <w:sz w:val="24"/>
                <w:highlight w:val="none"/>
              </w:rPr>
              <w:t>计划批次</w:t>
            </w:r>
            <w:r>
              <w:rPr>
                <w:rFonts w:hint="eastAsia" w:ascii="宋体" w:hAnsi="宋体" w:cs="宋体"/>
                <w:b/>
                <w:bCs/>
                <w:color w:val="auto"/>
                <w:kern w:val="0"/>
                <w:sz w:val="24"/>
                <w:highlight w:val="none"/>
                <w:lang w:val="en-US" w:eastAsia="zh-CN"/>
              </w:rPr>
              <w:t>数量</w:t>
            </w:r>
          </w:p>
        </w:tc>
        <w:tc>
          <w:tcPr>
            <w:tcW w:w="3543" w:type="dxa"/>
            <w:gridSpan w:val="2"/>
            <w:noWrap w:val="0"/>
            <w:vAlign w:val="center"/>
          </w:tcPr>
          <w:p>
            <w:pPr>
              <w:kinsoku/>
              <w:wordWrap/>
              <w:overflowPunct/>
              <w:topLinePunct w:val="0"/>
              <w:bidi w:val="0"/>
              <w:snapToGrid w:val="0"/>
              <w:spacing w:beforeAutospacing="0" w:afterAutospacing="0" w:line="360" w:lineRule="auto"/>
              <w:jc w:val="center"/>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投标人检测费报价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含买样）</w:t>
            </w:r>
          </w:p>
        </w:tc>
        <w:tc>
          <w:tcPr>
            <w:tcW w:w="3119" w:type="dxa"/>
            <w:vMerge w:val="restart"/>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highlight w:val="none"/>
              </w:rPr>
            </w:pPr>
          </w:p>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r>
              <w:rPr>
                <w:rFonts w:hint="eastAsia" w:ascii="宋体" w:hAnsi="宋体" w:cs="宋体"/>
                <w:b/>
                <w:color w:val="auto"/>
                <w:sz w:val="24"/>
                <w:highlight w:val="none"/>
                <w:lang w:val="en-US" w:eastAsia="zh-CN"/>
              </w:rPr>
              <w:t>完成时间</w:t>
            </w:r>
            <w:r>
              <w:rPr>
                <w:rFonts w:hint="eastAsia" w:ascii="宋体" w:hAnsi="宋体" w:eastAsia="宋体" w:cs="宋体"/>
                <w:b/>
                <w:color w:val="auto"/>
                <w:sz w:val="24"/>
                <w:highlight w:val="none"/>
              </w:rPr>
              <w:t>）</w:t>
            </w:r>
          </w:p>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34" w:type="dxa"/>
            <w:vMerge w:val="continue"/>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highlight w:val="none"/>
              </w:rPr>
            </w:pPr>
          </w:p>
        </w:tc>
        <w:tc>
          <w:tcPr>
            <w:tcW w:w="6378" w:type="dxa"/>
            <w:vMerge w:val="continue"/>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cs="宋体"/>
                <w:b/>
                <w:bCs/>
                <w:color w:val="auto"/>
                <w:kern w:val="0"/>
                <w:sz w:val="24"/>
                <w:highlight w:val="none"/>
              </w:rPr>
            </w:pPr>
          </w:p>
        </w:tc>
        <w:tc>
          <w:tcPr>
            <w:tcW w:w="993" w:type="dxa"/>
            <w:vMerge w:val="continue"/>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cs="宋体"/>
                <w:b/>
                <w:bCs/>
                <w:color w:val="auto"/>
                <w:kern w:val="0"/>
                <w:sz w:val="24"/>
                <w:highlight w:val="none"/>
              </w:rPr>
            </w:pPr>
          </w:p>
        </w:tc>
        <w:tc>
          <w:tcPr>
            <w:tcW w:w="1792"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751"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highlight w:val="none"/>
              </w:rPr>
            </w:pPr>
            <w:r>
              <w:rPr>
                <w:rFonts w:hint="eastAsia" w:ascii="宋体" w:hAnsi="宋体" w:cs="宋体"/>
                <w:b/>
                <w:bCs/>
                <w:color w:val="auto"/>
                <w:kern w:val="0"/>
                <w:sz w:val="24"/>
                <w:highlight w:val="none"/>
              </w:rPr>
              <w:t>小计</w:t>
            </w:r>
          </w:p>
        </w:tc>
        <w:tc>
          <w:tcPr>
            <w:tcW w:w="3119" w:type="dxa"/>
            <w:vMerge w:val="continue"/>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378" w:type="dxa"/>
            <w:noWrap w:val="0"/>
            <w:vAlign w:val="center"/>
          </w:tcPr>
          <w:p>
            <w:pPr>
              <w:snapToGrid w:val="0"/>
              <w:jc w:val="center"/>
              <w:rPr>
                <w:rFonts w:hint="eastAsia" w:ascii="宋体" w:hAnsi="宋体" w:eastAsia="宋体" w:cs="宋体"/>
                <w:color w:val="auto"/>
                <w:sz w:val="24"/>
                <w:highlight w:val="none"/>
              </w:rPr>
            </w:pPr>
          </w:p>
        </w:tc>
        <w:tc>
          <w:tcPr>
            <w:tcW w:w="993" w:type="dxa"/>
            <w:noWrap w:val="0"/>
            <w:vAlign w:val="center"/>
          </w:tcPr>
          <w:p>
            <w:pPr>
              <w:snapToGrid w:val="0"/>
              <w:jc w:val="center"/>
              <w:rPr>
                <w:rFonts w:hint="eastAsia" w:ascii="宋体" w:hAnsi="宋体" w:eastAsia="宋体" w:cs="宋体"/>
                <w:color w:val="auto"/>
                <w:sz w:val="24"/>
                <w:highlight w:val="none"/>
              </w:rPr>
            </w:pPr>
          </w:p>
        </w:tc>
        <w:tc>
          <w:tcPr>
            <w:tcW w:w="1792" w:type="dxa"/>
            <w:noWrap w:val="0"/>
            <w:vAlign w:val="center"/>
          </w:tcPr>
          <w:p>
            <w:pPr>
              <w:jc w:val="center"/>
              <w:rPr>
                <w:rFonts w:hint="eastAsia" w:ascii="宋体" w:hAnsi="宋体" w:eastAsia="宋体" w:cs="宋体"/>
                <w:color w:val="auto"/>
                <w:sz w:val="24"/>
                <w:highlight w:val="none"/>
              </w:rPr>
            </w:pPr>
          </w:p>
        </w:tc>
        <w:tc>
          <w:tcPr>
            <w:tcW w:w="1751" w:type="dxa"/>
            <w:noWrap w:val="0"/>
            <w:vAlign w:val="center"/>
          </w:tcPr>
          <w:p>
            <w:pPr>
              <w:jc w:val="center"/>
              <w:rPr>
                <w:rFonts w:hint="eastAsia" w:ascii="宋体" w:hAnsi="宋体" w:eastAsia="宋体" w:cs="宋体"/>
                <w:color w:val="auto"/>
                <w:sz w:val="24"/>
                <w:highlight w:val="none"/>
              </w:rPr>
            </w:pPr>
          </w:p>
        </w:tc>
        <w:tc>
          <w:tcPr>
            <w:tcW w:w="3119"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378" w:type="dxa"/>
            <w:noWrap w:val="0"/>
            <w:vAlign w:val="center"/>
          </w:tcPr>
          <w:p>
            <w:pPr>
              <w:snapToGrid w:val="0"/>
              <w:jc w:val="center"/>
              <w:rPr>
                <w:rFonts w:hint="eastAsia" w:ascii="宋体" w:hAnsi="宋体" w:eastAsia="宋体" w:cs="宋体"/>
                <w:color w:val="auto"/>
                <w:sz w:val="24"/>
                <w:highlight w:val="none"/>
              </w:rPr>
            </w:pPr>
          </w:p>
        </w:tc>
        <w:tc>
          <w:tcPr>
            <w:tcW w:w="993" w:type="dxa"/>
            <w:noWrap w:val="0"/>
            <w:vAlign w:val="center"/>
          </w:tcPr>
          <w:p>
            <w:pPr>
              <w:snapToGrid w:val="0"/>
              <w:jc w:val="center"/>
              <w:rPr>
                <w:rFonts w:hint="eastAsia" w:ascii="宋体" w:hAnsi="宋体" w:eastAsia="宋体" w:cs="宋体"/>
                <w:color w:val="auto"/>
                <w:sz w:val="24"/>
                <w:highlight w:val="none"/>
              </w:rPr>
            </w:pPr>
          </w:p>
        </w:tc>
        <w:tc>
          <w:tcPr>
            <w:tcW w:w="1792"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c>
          <w:tcPr>
            <w:tcW w:w="1751"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c>
          <w:tcPr>
            <w:tcW w:w="3119"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6378" w:type="dxa"/>
            <w:noWrap w:val="0"/>
            <w:vAlign w:val="center"/>
          </w:tcPr>
          <w:p>
            <w:pPr>
              <w:snapToGrid w:val="0"/>
              <w:jc w:val="center"/>
              <w:rPr>
                <w:rFonts w:hint="default" w:ascii="宋体" w:hAnsi="宋体" w:eastAsia="宋体" w:cs="宋体"/>
                <w:color w:val="auto"/>
                <w:sz w:val="24"/>
                <w:highlight w:val="none"/>
                <w:lang w:val="en-US" w:eastAsia="zh-CN"/>
              </w:rPr>
            </w:pPr>
          </w:p>
        </w:tc>
        <w:tc>
          <w:tcPr>
            <w:tcW w:w="993" w:type="dxa"/>
            <w:noWrap w:val="0"/>
            <w:vAlign w:val="center"/>
          </w:tcPr>
          <w:p>
            <w:pPr>
              <w:snapToGrid w:val="0"/>
              <w:jc w:val="center"/>
              <w:rPr>
                <w:rFonts w:hint="eastAsia" w:ascii="宋体" w:hAnsi="宋体" w:eastAsia="宋体" w:cs="宋体"/>
                <w:color w:val="auto"/>
                <w:sz w:val="24"/>
                <w:highlight w:val="none"/>
              </w:rPr>
            </w:pPr>
          </w:p>
        </w:tc>
        <w:tc>
          <w:tcPr>
            <w:tcW w:w="1792"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c>
          <w:tcPr>
            <w:tcW w:w="1751"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c>
          <w:tcPr>
            <w:tcW w:w="3119"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6378" w:type="dxa"/>
            <w:noWrap w:val="0"/>
            <w:vAlign w:val="center"/>
          </w:tcPr>
          <w:p>
            <w:pPr>
              <w:snapToGrid w:val="0"/>
              <w:jc w:val="center"/>
              <w:rPr>
                <w:rFonts w:hint="eastAsia" w:ascii="宋体" w:hAnsi="宋体" w:eastAsia="宋体" w:cs="宋体"/>
                <w:color w:val="auto"/>
                <w:sz w:val="24"/>
                <w:highlight w:val="none"/>
              </w:rPr>
            </w:pPr>
          </w:p>
        </w:tc>
        <w:tc>
          <w:tcPr>
            <w:tcW w:w="993" w:type="dxa"/>
            <w:noWrap w:val="0"/>
            <w:vAlign w:val="center"/>
          </w:tcPr>
          <w:p>
            <w:pPr>
              <w:snapToGrid w:val="0"/>
              <w:jc w:val="center"/>
              <w:rPr>
                <w:rFonts w:hint="eastAsia" w:ascii="宋体" w:hAnsi="宋体" w:eastAsia="宋体" w:cs="宋体"/>
                <w:color w:val="auto"/>
                <w:sz w:val="24"/>
                <w:highlight w:val="none"/>
              </w:rPr>
            </w:pPr>
          </w:p>
        </w:tc>
        <w:tc>
          <w:tcPr>
            <w:tcW w:w="1792"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c>
          <w:tcPr>
            <w:tcW w:w="1751"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c>
          <w:tcPr>
            <w:tcW w:w="3119"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6378" w:type="dxa"/>
            <w:noWrap w:val="0"/>
            <w:vAlign w:val="center"/>
          </w:tcPr>
          <w:p>
            <w:pPr>
              <w:snapToGrid w:val="0"/>
              <w:jc w:val="center"/>
              <w:rPr>
                <w:rFonts w:hint="eastAsia" w:ascii="宋体" w:hAnsi="宋体" w:eastAsia="宋体" w:cs="宋体"/>
                <w:color w:val="auto"/>
                <w:sz w:val="24"/>
                <w:highlight w:val="none"/>
              </w:rPr>
            </w:pPr>
          </w:p>
        </w:tc>
        <w:tc>
          <w:tcPr>
            <w:tcW w:w="993" w:type="dxa"/>
            <w:noWrap w:val="0"/>
            <w:vAlign w:val="center"/>
          </w:tcPr>
          <w:p>
            <w:pPr>
              <w:snapToGrid w:val="0"/>
              <w:jc w:val="center"/>
              <w:rPr>
                <w:rFonts w:hint="eastAsia" w:ascii="宋体" w:hAnsi="宋体" w:eastAsia="宋体" w:cs="宋体"/>
                <w:color w:val="auto"/>
                <w:sz w:val="24"/>
                <w:highlight w:val="none"/>
              </w:rPr>
            </w:pPr>
          </w:p>
        </w:tc>
        <w:tc>
          <w:tcPr>
            <w:tcW w:w="1792"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c>
          <w:tcPr>
            <w:tcW w:w="1751"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c>
          <w:tcPr>
            <w:tcW w:w="3119"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6378" w:type="dxa"/>
            <w:noWrap w:val="0"/>
            <w:vAlign w:val="center"/>
          </w:tcPr>
          <w:p>
            <w:pPr>
              <w:snapToGrid w:val="0"/>
              <w:jc w:val="center"/>
              <w:rPr>
                <w:rFonts w:hint="eastAsia" w:ascii="宋体" w:hAnsi="宋体" w:eastAsia="宋体" w:cs="宋体"/>
                <w:color w:val="auto"/>
                <w:sz w:val="24"/>
                <w:highlight w:val="none"/>
              </w:rPr>
            </w:pPr>
          </w:p>
        </w:tc>
        <w:tc>
          <w:tcPr>
            <w:tcW w:w="993" w:type="dxa"/>
            <w:noWrap w:val="0"/>
            <w:vAlign w:val="center"/>
          </w:tcPr>
          <w:p>
            <w:pPr>
              <w:snapToGrid w:val="0"/>
              <w:jc w:val="center"/>
              <w:rPr>
                <w:rFonts w:hint="eastAsia" w:ascii="宋体" w:hAnsi="宋体" w:eastAsia="宋体" w:cs="宋体"/>
                <w:color w:val="auto"/>
                <w:sz w:val="24"/>
                <w:highlight w:val="none"/>
              </w:rPr>
            </w:pPr>
          </w:p>
        </w:tc>
        <w:tc>
          <w:tcPr>
            <w:tcW w:w="1792"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c>
          <w:tcPr>
            <w:tcW w:w="1751"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c>
          <w:tcPr>
            <w:tcW w:w="3119" w:type="dxa"/>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2"/>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2"/>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noWrap w:val="0"/>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40" w:right="1080" w:bottom="1440" w:left="1080" w:header="851" w:footer="992" w:gutter="0"/>
          <w:cols w:space="720" w:num="1"/>
          <w:titlePg/>
          <w:docGrid w:linePitch="312" w:charSpace="0"/>
        </w:sectPr>
      </w:pPr>
    </w:p>
    <w:p>
      <w:pPr>
        <w:pStyle w:val="692"/>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pPr>
        <w:pStyle w:val="4"/>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79"/>
        <w:rPr>
          <w:rFonts w:hint="eastAsia" w:ascii="宋体" w:hAnsi="宋体" w:cs="宋体"/>
          <w:b/>
          <w:color w:val="auto"/>
          <w:sz w:val="24"/>
        </w:rPr>
      </w:pPr>
    </w:p>
    <w:p>
      <w:pPr>
        <w:pStyle w:val="79"/>
        <w:rPr>
          <w:rFonts w:hint="eastAsia" w:ascii="宋体" w:hAnsi="宋体" w:cs="宋体"/>
          <w:b/>
          <w:color w:val="auto"/>
          <w:sz w:val="24"/>
        </w:rPr>
      </w:pP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397" w:name="OLE_LINK13"/>
      <w:bookmarkStart w:id="398" w:name="OLE_LINK14"/>
      <w:r>
        <w:rPr>
          <w:rFonts w:hint="eastAsia" w:ascii="宋体" w:hAnsi="宋体" w:cs="宋体"/>
          <w:b/>
          <w:color w:val="auto"/>
          <w:spacing w:val="6"/>
          <w:sz w:val="32"/>
          <w:szCs w:val="32"/>
        </w:rPr>
        <w:t>残疾人福利性单位声明函</w:t>
      </w:r>
    </w:p>
    <w:bookmarkEnd w:id="397"/>
    <w:bookmarkEnd w:id="398"/>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2024年市本级食品生产环节小作坊专项抽检</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杭州市市场监督管理局</w:t>
      </w:r>
      <w:r>
        <w:rPr>
          <w:rFonts w:hint="eastAsia" w:ascii="宋体" w:hAnsi="宋体" w:cs="宋体"/>
          <w:color w:val="auto"/>
          <w:sz w:val="24"/>
          <w:u w:val="single"/>
        </w:rPr>
        <w:t>、</w:t>
      </w:r>
      <w:r>
        <w:rPr>
          <w:rFonts w:hint="eastAsia" w:ascii="宋体" w:hAnsi="宋体" w:cs="宋体"/>
          <w:color w:val="auto"/>
          <w:sz w:val="24"/>
          <w:u w:val="single"/>
          <w:lang w:eastAsia="zh-CN"/>
        </w:rPr>
        <w:t>浙江中诺招标代理有限公司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2024年市本级食品生产环节小作坊专项抽检</w:t>
      </w:r>
      <w:r>
        <w:rPr>
          <w:rFonts w:hint="eastAsia" w:ascii="宋体" w:hAnsi="宋体" w:cs="宋体"/>
          <w:color w:val="auto"/>
          <w:sz w:val="24"/>
        </w:rPr>
        <w:t>【招标编号：</w:t>
      </w:r>
      <w:r>
        <w:rPr>
          <w:rFonts w:hint="eastAsia" w:ascii="宋体" w:hAnsi="宋体" w:cs="宋体"/>
          <w:color w:val="auto"/>
          <w:sz w:val="24"/>
          <w:lang w:eastAsia="zh-CN"/>
        </w:rPr>
        <w:t>ZJZN-24889-SJ38</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2024年市本级食品生产环节小作坊专项抽检</w:t>
      </w:r>
      <w:r>
        <w:rPr>
          <w:rFonts w:hint="eastAsia" w:ascii="宋体" w:hAnsi="宋体" w:cs="宋体"/>
          <w:color w:val="auto"/>
          <w:sz w:val="24"/>
        </w:rPr>
        <w:t>【招标编号：</w:t>
      </w:r>
      <w:r>
        <w:rPr>
          <w:rFonts w:hint="eastAsia" w:ascii="宋体" w:hAnsi="宋体" w:cs="宋体"/>
          <w:color w:val="auto"/>
          <w:sz w:val="24"/>
          <w:lang w:eastAsia="zh-CN"/>
        </w:rPr>
        <w:t>ZJZN-24889-SJ38</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399"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399"/>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00"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00"/>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01"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01"/>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2024年市本级食品生产环节小作坊专项抽检</w:t>
      </w:r>
      <w:r>
        <w:rPr>
          <w:rFonts w:hint="eastAsia" w:ascii="宋体" w:hAnsi="宋体" w:cs="宋体"/>
          <w:color w:val="auto"/>
          <w:sz w:val="24"/>
        </w:rPr>
        <w:t>【招标编号：</w:t>
      </w:r>
      <w:r>
        <w:rPr>
          <w:rFonts w:hint="eastAsia" w:ascii="宋体" w:hAnsi="宋体" w:cs="宋体"/>
          <w:color w:val="auto"/>
          <w:sz w:val="24"/>
          <w:lang w:eastAsia="zh-CN"/>
        </w:rPr>
        <w:t>ZJZN-24889-SJ38</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4"/>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杭州市市场监督管理局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2024年市本级食品生产环节小作坊专项抽检</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2" w:name="_Toc131845147"/>
    <w:bookmarkStart w:id="403" w:name="_Toc164085800"/>
    <w:bookmarkStart w:id="404" w:name="_Toc3611018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YzYzYWFmYTA4NTljOTgxZTQwZjllMDlmZDJkOT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449"/>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4B53C3"/>
    <w:rsid w:val="09535675"/>
    <w:rsid w:val="095F057D"/>
    <w:rsid w:val="09642282"/>
    <w:rsid w:val="09733572"/>
    <w:rsid w:val="09772C16"/>
    <w:rsid w:val="098353B5"/>
    <w:rsid w:val="09A92330"/>
    <w:rsid w:val="09B06B87"/>
    <w:rsid w:val="09C13146"/>
    <w:rsid w:val="09E04166"/>
    <w:rsid w:val="0A020AF5"/>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B468A"/>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8D051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6D5A37"/>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97422"/>
    <w:rsid w:val="258B00E2"/>
    <w:rsid w:val="25A917A6"/>
    <w:rsid w:val="25BE27CC"/>
    <w:rsid w:val="25F74A5C"/>
    <w:rsid w:val="260675EF"/>
    <w:rsid w:val="2628662C"/>
    <w:rsid w:val="262D45DE"/>
    <w:rsid w:val="264C4C27"/>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2A5A00"/>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6F118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406EC8"/>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6">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autoRedefine/>
    <w:qFormat/>
    <w:uiPriority w:val="0"/>
    <w:rPr>
      <w:b/>
      <w:bCs/>
    </w:rPr>
  </w:style>
  <w:style w:type="paragraph" w:styleId="60">
    <w:name w:val="Body Text First Indent"/>
    <w:basedOn w:val="24"/>
    <w:link w:val="320"/>
    <w:autoRedefine/>
    <w:qFormat/>
    <w:uiPriority w:val="0"/>
    <w:pPr>
      <w:ind w:firstLine="420"/>
    </w:pPr>
    <w:rPr>
      <w:rFonts w:hAnsi="Calibri" w:cs="Times New Roman"/>
      <w:snapToGrid/>
      <w:szCs w:val="20"/>
    </w:rPr>
  </w:style>
  <w:style w:type="paragraph" w:styleId="61">
    <w:name w:val="Body Text First Indent 2"/>
    <w:basedOn w:val="2"/>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0"/>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8"/>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附注"/>
    <w:basedOn w:val="1"/>
    <w:autoRedefine/>
    <w:qFormat/>
    <w:uiPriority w:val="0"/>
    <w:pPr>
      <w:ind w:firstLine="640"/>
    </w:pPr>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36885</Words>
  <Characters>38892</Characters>
  <Lines>281</Lines>
  <Paragraphs>79</Paragraphs>
  <TotalTime>118</TotalTime>
  <ScaleCrop>false</ScaleCrop>
  <LinksUpToDate>false</LinksUpToDate>
  <CharactersWithSpaces>43481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Kizuna</cp:lastModifiedBy>
  <cp:lastPrinted>2021-12-27T11:06:00Z</cp:lastPrinted>
  <dcterms:modified xsi:type="dcterms:W3CDTF">2024-06-18T06:09:54Z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