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19D5E">
      <w:pPr>
        <w:adjustRightInd/>
        <w:snapToGrid w:val="0"/>
        <w:spacing w:line="360" w:lineRule="auto"/>
        <w:jc w:val="center"/>
        <w:rPr>
          <w:rFonts w:ascii="仿宋" w:hAnsi="仿宋" w:eastAsia="仿宋" w:cs="仿宋"/>
          <w:color w:val="auto"/>
          <w:w w:val="80"/>
          <w:sz w:val="48"/>
          <w:szCs w:val="48"/>
          <w:highlight w:val="none"/>
          <w:lang w:bidi="th-TH"/>
        </w:rPr>
      </w:pPr>
      <w:r>
        <w:rPr>
          <w:rFonts w:hint="eastAsia" w:ascii="仿宋" w:hAnsi="仿宋" w:eastAsia="仿宋" w:cs="仿宋"/>
          <w:color w:val="auto"/>
          <w:w w:val="80"/>
          <w:sz w:val="48"/>
          <w:szCs w:val="48"/>
          <w:highlight w:val="none"/>
          <w:lang w:bidi="th-TH"/>
        </w:rPr>
        <w:t xml:space="preserve"> </w:t>
      </w:r>
    </w:p>
    <w:p w14:paraId="3AE6C156">
      <w:pPr>
        <w:adjustRightInd/>
        <w:snapToGrid w:val="0"/>
        <w:spacing w:line="360" w:lineRule="auto"/>
        <w:jc w:val="center"/>
        <w:rPr>
          <w:rFonts w:hint="eastAsia" w:ascii="仿宋" w:hAnsi="仿宋" w:eastAsia="仿宋" w:cs="仿宋"/>
          <w:color w:val="auto"/>
          <w:w w:val="80"/>
          <w:sz w:val="48"/>
          <w:szCs w:val="48"/>
          <w:highlight w:val="none"/>
          <w:lang w:eastAsia="zh-CN" w:bidi="th-TH"/>
        </w:rPr>
      </w:pPr>
      <w:r>
        <w:rPr>
          <w:rFonts w:hint="eastAsia" w:ascii="仿宋" w:hAnsi="仿宋" w:eastAsia="仿宋" w:cs="仿宋"/>
          <w:color w:val="auto"/>
          <w:w w:val="80"/>
          <w:sz w:val="48"/>
          <w:szCs w:val="48"/>
          <w:highlight w:val="none"/>
          <w:lang w:eastAsia="zh-CN" w:bidi="th-TH"/>
        </w:rPr>
        <w:t>国家税务总局浙江省税务局IDC机房巡检服务项目</w:t>
      </w:r>
    </w:p>
    <w:p w14:paraId="2D9DDF11">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pacing w:val="40"/>
          <w:w w:val="80"/>
          <w:sz w:val="96"/>
          <w:szCs w:val="96"/>
          <w:highlight w:val="none"/>
          <w:lang w:bidi="th-TH"/>
        </w:rPr>
        <w:t>招 标 文 件</w:t>
      </w:r>
    </w:p>
    <w:p w14:paraId="78316CB6">
      <w:pPr>
        <w:adjustRightInd/>
        <w:snapToGrid w:val="0"/>
        <w:spacing w:line="360" w:lineRule="auto"/>
        <w:jc w:val="center"/>
        <w:rPr>
          <w:rFonts w:ascii="仿宋" w:hAnsi="仿宋" w:eastAsia="仿宋" w:cs="仿宋"/>
          <w:color w:val="auto"/>
          <w:w w:val="80"/>
          <w:sz w:val="48"/>
          <w:szCs w:val="48"/>
          <w:highlight w:val="none"/>
          <w:lang w:bidi="th-TH"/>
        </w:rPr>
      </w:pPr>
      <w:r>
        <w:rPr>
          <w:rFonts w:hint="eastAsia" w:ascii="仿宋" w:hAnsi="仿宋" w:eastAsia="仿宋" w:cs="仿宋"/>
          <w:color w:val="auto"/>
          <w:w w:val="80"/>
          <w:sz w:val="48"/>
          <w:szCs w:val="48"/>
          <w:highlight w:val="none"/>
          <w:lang w:bidi="th-TH"/>
        </w:rPr>
        <w:t xml:space="preserve"> （电子招投标）</w:t>
      </w:r>
    </w:p>
    <w:p w14:paraId="32D9D779">
      <w:pPr>
        <w:adjustRightInd/>
        <w:snapToGrid w:val="0"/>
        <w:spacing w:line="360" w:lineRule="auto"/>
        <w:jc w:val="center"/>
        <w:rPr>
          <w:rFonts w:hint="eastAsia" w:ascii="仿宋" w:hAnsi="仿宋" w:eastAsia="仿宋" w:cs="仿宋"/>
          <w:color w:val="auto"/>
          <w:w w:val="80"/>
          <w:sz w:val="30"/>
          <w:szCs w:val="30"/>
          <w:highlight w:val="none"/>
          <w:lang w:eastAsia="zh-CN" w:bidi="th-TH"/>
        </w:rPr>
      </w:pPr>
      <w:r>
        <w:rPr>
          <w:rFonts w:hint="eastAsia" w:ascii="仿宋" w:hAnsi="仿宋" w:eastAsia="仿宋" w:cs="仿宋"/>
          <w:color w:val="auto"/>
          <w:w w:val="80"/>
          <w:sz w:val="30"/>
          <w:szCs w:val="30"/>
          <w:highlight w:val="none"/>
          <w:lang w:bidi="th-TH"/>
        </w:rPr>
        <w:t>编号:</w:t>
      </w:r>
      <w:r>
        <w:rPr>
          <w:rFonts w:hint="eastAsia" w:ascii="仿宋" w:hAnsi="仿宋" w:eastAsia="仿宋" w:cs="仿宋"/>
          <w:color w:val="auto"/>
          <w:w w:val="80"/>
          <w:sz w:val="30"/>
          <w:szCs w:val="30"/>
          <w:highlight w:val="none"/>
          <w:lang w:eastAsia="zh-CN" w:bidi="th-TH"/>
        </w:rPr>
        <w:t>ZJ-2510258</w:t>
      </w:r>
    </w:p>
    <w:p w14:paraId="5C19CF82">
      <w:pPr>
        <w:adjustRightInd/>
        <w:spacing w:line="360" w:lineRule="auto"/>
        <w:rPr>
          <w:rFonts w:ascii="仿宋" w:hAnsi="仿宋" w:eastAsia="仿宋" w:cs="仿宋"/>
          <w:color w:val="auto"/>
          <w:sz w:val="28"/>
          <w:szCs w:val="20"/>
          <w:highlight w:val="none"/>
        </w:rPr>
      </w:pPr>
    </w:p>
    <w:p w14:paraId="63662C18">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22FC8D58">
      <w:pPr>
        <w:spacing w:line="360" w:lineRule="auto"/>
        <w:jc w:val="center"/>
        <w:rPr>
          <w:rFonts w:ascii="仿宋" w:hAnsi="仿宋" w:eastAsia="仿宋" w:cs="仿宋"/>
          <w:b/>
          <w:color w:val="auto"/>
          <w:sz w:val="44"/>
          <w:szCs w:val="44"/>
          <w:highlight w:val="none"/>
        </w:rPr>
      </w:pPr>
    </w:p>
    <w:p w14:paraId="7C146C02">
      <w:pPr>
        <w:spacing w:line="360" w:lineRule="auto"/>
        <w:jc w:val="center"/>
        <w:rPr>
          <w:rFonts w:ascii="仿宋" w:hAnsi="仿宋" w:eastAsia="仿宋" w:cs="仿宋"/>
          <w:color w:val="auto"/>
          <w:sz w:val="24"/>
          <w:highlight w:val="none"/>
        </w:rPr>
      </w:pPr>
    </w:p>
    <w:tbl>
      <w:tblPr>
        <w:tblStyle w:val="55"/>
        <w:tblW w:w="6959" w:type="dxa"/>
        <w:jc w:val="center"/>
        <w:tblLayout w:type="fixed"/>
        <w:tblCellMar>
          <w:top w:w="0" w:type="dxa"/>
          <w:left w:w="108" w:type="dxa"/>
          <w:bottom w:w="0" w:type="dxa"/>
          <w:right w:w="108" w:type="dxa"/>
        </w:tblCellMar>
      </w:tblPr>
      <w:tblGrid>
        <w:gridCol w:w="2032"/>
        <w:gridCol w:w="516"/>
        <w:gridCol w:w="4411"/>
      </w:tblGrid>
      <w:tr w14:paraId="28436E2E">
        <w:tblPrEx>
          <w:tblCellMar>
            <w:top w:w="0" w:type="dxa"/>
            <w:left w:w="108" w:type="dxa"/>
            <w:bottom w:w="0" w:type="dxa"/>
            <w:right w:w="108" w:type="dxa"/>
          </w:tblCellMar>
        </w:tblPrEx>
        <w:trPr>
          <w:trHeight w:val="680" w:hRule="atLeast"/>
          <w:jc w:val="center"/>
        </w:trPr>
        <w:tc>
          <w:tcPr>
            <w:tcW w:w="2032" w:type="dxa"/>
            <w:vAlign w:val="center"/>
          </w:tcPr>
          <w:p w14:paraId="73B42C44">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w:t>
            </w:r>
          </w:p>
        </w:tc>
        <w:tc>
          <w:tcPr>
            <w:tcW w:w="516" w:type="dxa"/>
            <w:vAlign w:val="center"/>
          </w:tcPr>
          <w:p w14:paraId="6E5F9373">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411" w:type="dxa"/>
            <w:vAlign w:val="center"/>
          </w:tcPr>
          <w:p w14:paraId="52936023">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国家税务总局浙江省税务局</w:t>
            </w:r>
          </w:p>
        </w:tc>
      </w:tr>
      <w:tr w14:paraId="6F7B1EC2">
        <w:tblPrEx>
          <w:tblCellMar>
            <w:top w:w="0" w:type="dxa"/>
            <w:left w:w="108" w:type="dxa"/>
            <w:bottom w:w="0" w:type="dxa"/>
            <w:right w:w="108" w:type="dxa"/>
          </w:tblCellMar>
        </w:tblPrEx>
        <w:trPr>
          <w:trHeight w:val="297" w:hRule="atLeast"/>
          <w:jc w:val="center"/>
        </w:trPr>
        <w:tc>
          <w:tcPr>
            <w:tcW w:w="2032" w:type="dxa"/>
            <w:vAlign w:val="center"/>
          </w:tcPr>
          <w:p w14:paraId="0FF9975A">
            <w:pPr>
              <w:snapToGrid w:val="0"/>
              <w:jc w:val="distribute"/>
              <w:rPr>
                <w:rFonts w:ascii="仿宋" w:hAnsi="仿宋" w:eastAsia="仿宋" w:cs="仿宋"/>
                <w:color w:val="auto"/>
                <w:szCs w:val="21"/>
                <w:highlight w:val="none"/>
              </w:rPr>
            </w:pPr>
          </w:p>
        </w:tc>
        <w:tc>
          <w:tcPr>
            <w:tcW w:w="516" w:type="dxa"/>
            <w:vAlign w:val="center"/>
          </w:tcPr>
          <w:p w14:paraId="2EF08B19">
            <w:pPr>
              <w:snapToGrid w:val="0"/>
              <w:jc w:val="distribute"/>
              <w:rPr>
                <w:rFonts w:ascii="仿宋" w:hAnsi="仿宋" w:eastAsia="仿宋" w:cs="仿宋"/>
                <w:color w:val="auto"/>
                <w:szCs w:val="21"/>
                <w:highlight w:val="none"/>
              </w:rPr>
            </w:pPr>
          </w:p>
        </w:tc>
        <w:tc>
          <w:tcPr>
            <w:tcW w:w="4411" w:type="dxa"/>
            <w:vAlign w:val="center"/>
          </w:tcPr>
          <w:p w14:paraId="7A821F92">
            <w:pPr>
              <w:snapToGrid w:val="0"/>
              <w:jc w:val="distribute"/>
              <w:rPr>
                <w:rFonts w:ascii="仿宋" w:hAnsi="仿宋" w:eastAsia="仿宋" w:cs="仿宋"/>
                <w:color w:val="auto"/>
                <w:szCs w:val="21"/>
                <w:highlight w:val="none"/>
              </w:rPr>
            </w:pPr>
          </w:p>
        </w:tc>
      </w:tr>
      <w:tr w14:paraId="0189F4FC">
        <w:tblPrEx>
          <w:tblCellMar>
            <w:top w:w="0" w:type="dxa"/>
            <w:left w:w="108" w:type="dxa"/>
            <w:bottom w:w="0" w:type="dxa"/>
            <w:right w:w="108" w:type="dxa"/>
          </w:tblCellMar>
        </w:tblPrEx>
        <w:trPr>
          <w:trHeight w:val="680" w:hRule="atLeast"/>
          <w:jc w:val="center"/>
        </w:trPr>
        <w:tc>
          <w:tcPr>
            <w:tcW w:w="2032" w:type="dxa"/>
            <w:vAlign w:val="center"/>
          </w:tcPr>
          <w:p w14:paraId="67397815">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采购代理机构</w:t>
            </w:r>
          </w:p>
        </w:tc>
        <w:tc>
          <w:tcPr>
            <w:tcW w:w="516" w:type="dxa"/>
            <w:vAlign w:val="center"/>
          </w:tcPr>
          <w:p w14:paraId="45FE15B7">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411" w:type="dxa"/>
            <w:vAlign w:val="center"/>
          </w:tcPr>
          <w:p w14:paraId="4175B468">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浙江国际招投标有限公司</w:t>
            </w:r>
          </w:p>
        </w:tc>
      </w:tr>
      <w:tr w14:paraId="13599244">
        <w:tblPrEx>
          <w:tblCellMar>
            <w:top w:w="0" w:type="dxa"/>
            <w:left w:w="108" w:type="dxa"/>
            <w:bottom w:w="0" w:type="dxa"/>
            <w:right w:w="108" w:type="dxa"/>
          </w:tblCellMar>
        </w:tblPrEx>
        <w:trPr>
          <w:trHeight w:val="680" w:hRule="atLeast"/>
          <w:jc w:val="center"/>
        </w:trPr>
        <w:tc>
          <w:tcPr>
            <w:tcW w:w="6959" w:type="dxa"/>
            <w:gridSpan w:val="3"/>
            <w:vAlign w:val="bottom"/>
          </w:tcPr>
          <w:p w14:paraId="63C87C96">
            <w:pPr>
              <w:snapToGrid w:val="0"/>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月</w:t>
            </w:r>
          </w:p>
        </w:tc>
      </w:tr>
    </w:tbl>
    <w:p w14:paraId="0F2CD44A">
      <w:pPr>
        <w:spacing w:line="360" w:lineRule="auto"/>
        <w:jc w:val="center"/>
        <w:rPr>
          <w:rFonts w:ascii="仿宋" w:hAnsi="仿宋" w:eastAsia="仿宋" w:cs="仿宋_GB2312"/>
          <w:color w:val="auto"/>
          <w:sz w:val="24"/>
          <w:highlight w:val="none"/>
        </w:rPr>
        <w:sectPr>
          <w:headerReference r:id="rId5" w:type="first"/>
          <w:headerReference r:id="rId3" w:type="default"/>
          <w:headerReference r:id="rId4" w:type="even"/>
          <w:footerReference r:id="rId6" w:type="even"/>
          <w:pgSz w:w="11906" w:h="16838"/>
          <w:pgMar w:top="1276" w:right="1418" w:bottom="1247" w:left="1418" w:header="851" w:footer="992" w:gutter="0"/>
          <w:pgNumType w:start="1"/>
          <w:cols w:space="720" w:num="1"/>
          <w:titlePg/>
          <w:docGrid w:linePitch="312" w:charSpace="0"/>
        </w:sectPr>
      </w:pPr>
      <w:bookmarkStart w:id="0" w:name="_Hlt67893495"/>
      <w:bookmarkEnd w:id="0"/>
    </w:p>
    <w:p w14:paraId="505B8125">
      <w:pPr>
        <w:spacing w:line="360" w:lineRule="auto"/>
        <w:jc w:val="center"/>
        <w:rPr>
          <w:rFonts w:ascii="仿宋" w:hAnsi="仿宋" w:eastAsia="仿宋" w:cs="仿宋_GB2312"/>
          <w:b/>
          <w:color w:val="auto"/>
          <w:sz w:val="48"/>
          <w:szCs w:val="48"/>
          <w:highlight w:val="none"/>
        </w:rPr>
      </w:pPr>
    </w:p>
    <w:p w14:paraId="62073561">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14:paraId="5ACC8B01">
      <w:pPr>
        <w:spacing w:line="360" w:lineRule="auto"/>
        <w:rPr>
          <w:rFonts w:ascii="仿宋" w:hAnsi="仿宋" w:eastAsia="仿宋" w:cs="仿宋_GB2312"/>
          <w:color w:val="auto"/>
          <w:sz w:val="32"/>
          <w:szCs w:val="32"/>
          <w:highlight w:val="none"/>
        </w:rPr>
      </w:pPr>
    </w:p>
    <w:p w14:paraId="13CEA55F">
      <w:pPr>
        <w:spacing w:line="360" w:lineRule="auto"/>
        <w:rPr>
          <w:rFonts w:ascii="仿宋" w:hAnsi="仿宋" w:eastAsia="仿宋" w:cs="仿宋_GB2312"/>
          <w:color w:val="auto"/>
          <w:sz w:val="32"/>
          <w:szCs w:val="32"/>
          <w:highlight w:val="none"/>
        </w:rPr>
      </w:pPr>
    </w:p>
    <w:p w14:paraId="6D8E3FA4">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14:paraId="02B19BE5">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14:paraId="4D20E438">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14:paraId="3FAAB45D">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14:paraId="3A53E9BD">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合同条款</w:t>
      </w:r>
    </w:p>
    <w:p w14:paraId="6E2BD9CD">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14:paraId="3247CBD7">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14:paraId="6260DA2B">
      <w:pPr>
        <w:spacing w:line="360" w:lineRule="auto"/>
        <w:ind w:firstLine="549" w:firstLineChars="229"/>
        <w:rPr>
          <w:rFonts w:ascii="仿宋" w:hAnsi="仿宋" w:eastAsia="仿宋" w:cs="仿宋_GB2312"/>
          <w:color w:val="auto"/>
          <w:sz w:val="24"/>
          <w:highlight w:val="none"/>
        </w:rPr>
      </w:pPr>
    </w:p>
    <w:p w14:paraId="272A7F7F">
      <w:pPr>
        <w:spacing w:line="360" w:lineRule="auto"/>
        <w:ind w:firstLine="549" w:firstLineChars="229"/>
        <w:rPr>
          <w:rFonts w:ascii="仿宋" w:hAnsi="仿宋" w:eastAsia="仿宋" w:cs="仿宋_GB2312"/>
          <w:color w:val="auto"/>
          <w:sz w:val="24"/>
          <w:highlight w:val="none"/>
        </w:rPr>
      </w:pPr>
    </w:p>
    <w:p w14:paraId="2681142A">
      <w:pPr>
        <w:spacing w:line="360" w:lineRule="auto"/>
        <w:ind w:firstLine="549" w:firstLineChars="229"/>
        <w:rPr>
          <w:rFonts w:ascii="仿宋" w:hAnsi="仿宋" w:eastAsia="仿宋" w:cs="仿宋_GB2312"/>
          <w:color w:val="auto"/>
          <w:sz w:val="24"/>
          <w:highlight w:val="none"/>
        </w:rPr>
      </w:pPr>
    </w:p>
    <w:p w14:paraId="64A495D0">
      <w:pPr>
        <w:spacing w:line="360" w:lineRule="auto"/>
        <w:ind w:firstLine="549" w:firstLineChars="229"/>
        <w:rPr>
          <w:rFonts w:ascii="仿宋" w:hAnsi="仿宋" w:eastAsia="仿宋" w:cs="仿宋_GB2312"/>
          <w:color w:val="auto"/>
          <w:sz w:val="24"/>
          <w:highlight w:val="none"/>
        </w:rPr>
      </w:pPr>
    </w:p>
    <w:p w14:paraId="0AB48D8C">
      <w:pPr>
        <w:spacing w:line="360" w:lineRule="auto"/>
        <w:ind w:firstLine="549" w:firstLineChars="229"/>
        <w:rPr>
          <w:rFonts w:ascii="仿宋" w:hAnsi="仿宋" w:eastAsia="仿宋" w:cs="仿宋_GB2312"/>
          <w:color w:val="auto"/>
          <w:sz w:val="24"/>
          <w:highlight w:val="none"/>
        </w:rPr>
      </w:pPr>
    </w:p>
    <w:p w14:paraId="4573D2D6">
      <w:pPr>
        <w:spacing w:line="360" w:lineRule="auto"/>
        <w:ind w:firstLine="549" w:firstLineChars="229"/>
        <w:rPr>
          <w:rFonts w:ascii="仿宋" w:hAnsi="仿宋" w:eastAsia="仿宋" w:cs="仿宋_GB2312"/>
          <w:color w:val="auto"/>
          <w:sz w:val="24"/>
          <w:highlight w:val="none"/>
        </w:rPr>
      </w:pPr>
    </w:p>
    <w:p w14:paraId="42E42E21">
      <w:pPr>
        <w:spacing w:line="360" w:lineRule="auto"/>
        <w:ind w:firstLine="549" w:firstLineChars="229"/>
        <w:rPr>
          <w:rFonts w:ascii="仿宋" w:hAnsi="仿宋" w:eastAsia="仿宋" w:cs="仿宋_GB2312"/>
          <w:color w:val="auto"/>
          <w:sz w:val="24"/>
          <w:highlight w:val="none"/>
        </w:rPr>
      </w:pPr>
    </w:p>
    <w:p w14:paraId="3764D5F5">
      <w:pPr>
        <w:spacing w:line="360" w:lineRule="auto"/>
        <w:ind w:firstLine="549" w:firstLineChars="229"/>
        <w:rPr>
          <w:rFonts w:ascii="仿宋" w:hAnsi="仿宋" w:eastAsia="仿宋" w:cs="仿宋_GB2312"/>
          <w:color w:val="auto"/>
          <w:sz w:val="24"/>
          <w:highlight w:val="none"/>
        </w:rPr>
      </w:pPr>
    </w:p>
    <w:p w14:paraId="2A143670">
      <w:pPr>
        <w:spacing w:line="360" w:lineRule="auto"/>
        <w:ind w:firstLine="549" w:firstLineChars="229"/>
        <w:rPr>
          <w:rFonts w:ascii="仿宋" w:hAnsi="仿宋" w:eastAsia="仿宋" w:cs="仿宋_GB2312"/>
          <w:color w:val="auto"/>
          <w:sz w:val="24"/>
          <w:highlight w:val="none"/>
        </w:rPr>
      </w:pPr>
    </w:p>
    <w:p w14:paraId="44C42352">
      <w:pPr>
        <w:spacing w:line="360" w:lineRule="auto"/>
        <w:ind w:firstLine="549" w:firstLineChars="229"/>
        <w:rPr>
          <w:rFonts w:ascii="仿宋" w:hAnsi="仿宋" w:eastAsia="仿宋" w:cs="仿宋_GB2312"/>
          <w:color w:val="auto"/>
          <w:sz w:val="24"/>
          <w:highlight w:val="none"/>
        </w:rPr>
      </w:pPr>
    </w:p>
    <w:p w14:paraId="1C72D732">
      <w:pPr>
        <w:spacing w:line="360" w:lineRule="auto"/>
        <w:rPr>
          <w:rFonts w:ascii="仿宋" w:hAnsi="仿宋" w:eastAsia="仿宋" w:cs="仿宋_GB2312"/>
          <w:color w:val="auto"/>
          <w:sz w:val="24"/>
          <w:highlight w:val="none"/>
        </w:rPr>
      </w:pPr>
    </w:p>
    <w:p w14:paraId="150B07A1">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14:paraId="22E5DD8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5E4DB84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国家税务总局浙江省税务局IDC机房巡检服务项目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69"/>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lang w:val="en-US" w:eastAsia="zh-CN"/>
        </w:rPr>
        <w:t xml:space="preserve">0 </w:t>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17BC538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4F660AE1">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ZJ-2510258</w:t>
      </w:r>
    </w:p>
    <w:p w14:paraId="10322080">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国家税务总局浙江省税务局IDC机房巡检服务项目</w:t>
      </w:r>
    </w:p>
    <w:p w14:paraId="7ED77DFC">
      <w:pPr>
        <w:spacing w:line="360" w:lineRule="auto"/>
        <w:rPr>
          <w:rFonts w:hint="default" w:ascii="仿宋" w:hAnsi="仿宋" w:eastAsia="仿宋" w:cs="仿宋"/>
          <w:bCs/>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lang w:eastAsia="zh-CN"/>
        </w:rPr>
        <w:t>840000</w:t>
      </w:r>
    </w:p>
    <w:p w14:paraId="28857904">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eastAsia="zh-CN"/>
        </w:rPr>
        <w:t>840000</w:t>
      </w:r>
    </w:p>
    <w:p w14:paraId="511775E6">
      <w:pPr>
        <w:pStyle w:val="15"/>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20371C81">
      <w:pPr>
        <w:pStyle w:val="15"/>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rPr>
        <w:t>标项名称:</w:t>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eastAsia="zh-CN"/>
        </w:rPr>
        <w:t>国家税务总局浙江省税务局IDC机房巡检服务项目</w:t>
      </w:r>
      <w:r>
        <w:rPr>
          <w:rFonts w:hint="eastAsia" w:ascii="仿宋" w:hAnsi="仿宋" w:eastAsia="仿宋" w:cs="仿宋"/>
          <w:color w:val="auto"/>
          <w:sz w:val="24"/>
          <w:highlight w:val="none"/>
        </w:rPr>
        <w:t>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数量: 1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预算金额（元）: </w:t>
      </w:r>
      <w:r>
        <w:rPr>
          <w:rFonts w:hint="eastAsia" w:ascii="仿宋" w:hAnsi="仿宋" w:eastAsia="仿宋" w:cs="仿宋"/>
          <w:color w:val="auto"/>
          <w:kern w:val="2"/>
          <w:sz w:val="24"/>
          <w:szCs w:val="24"/>
          <w:highlight w:val="none"/>
          <w:lang w:eastAsia="zh-CN"/>
        </w:rPr>
        <w:t>840000</w:t>
      </w:r>
    </w:p>
    <w:p w14:paraId="4DC36278">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highlight w:val="none"/>
        </w:rPr>
        <w:t>简要规格描述或项目基本概况介绍、用途：</w:t>
      </w:r>
      <w:r>
        <w:rPr>
          <w:rFonts w:hint="eastAsia" w:ascii="仿宋" w:hAnsi="仿宋" w:eastAsia="仿宋" w:cs="仿宋"/>
          <w:bCs/>
          <w:snapToGrid/>
          <w:color w:val="auto"/>
          <w:kern w:val="2"/>
          <w:sz w:val="24"/>
          <w:szCs w:val="24"/>
          <w:highlight w:val="none"/>
          <w:lang w:val="en-US" w:eastAsia="zh-CN"/>
        </w:rPr>
        <w:t>采购内容包括：</w:t>
      </w:r>
      <w:r>
        <w:rPr>
          <w:rFonts w:hint="eastAsia" w:ascii="仿宋" w:hAnsi="仿宋" w:eastAsia="仿宋" w:cs="仿宋"/>
          <w:bCs/>
          <w:snapToGrid/>
          <w:color w:val="auto"/>
          <w:kern w:val="2"/>
          <w:sz w:val="24"/>
          <w:szCs w:val="24"/>
          <w:highlight w:val="none"/>
          <w:lang w:eastAsia="zh-CN"/>
        </w:rPr>
        <w:t>IDC机房巡检服务1项，负责对机房内的所有信息化设备（含服务器、小型机、存储设备、网络设备、安全设备等）的故障信息检查，及机房电力、消防、安防等系统的运行维护。</w:t>
      </w:r>
      <w:r>
        <w:rPr>
          <w:rFonts w:hint="eastAsia" w:ascii="仿宋" w:hAnsi="仿宋" w:eastAsia="仿宋" w:cs="仿宋"/>
          <w:bCs/>
          <w:snapToGrid/>
          <w:color w:val="auto"/>
          <w:kern w:val="2"/>
          <w:sz w:val="24"/>
          <w:szCs w:val="24"/>
          <w:highlight w:val="none"/>
        </w:rPr>
        <w:t>详见第三部分采购需求。</w:t>
      </w:r>
    </w:p>
    <w:p w14:paraId="5DB011E6">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highlight w:val="none"/>
        </w:rPr>
        <w:t>备注：</w:t>
      </w:r>
    </w:p>
    <w:p w14:paraId="7454BD35">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highlight w:val="none"/>
        </w:rPr>
        <w:t>合同履约期限：标项1，详见采购需求。</w:t>
      </w:r>
    </w:p>
    <w:p w14:paraId="5B262806">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highlight w:val="none"/>
        </w:rPr>
        <w:t>本项目（否）接受联合体投标。</w:t>
      </w:r>
    </w:p>
    <w:p w14:paraId="69345E74">
      <w:pPr>
        <w:spacing w:line="360" w:lineRule="auto"/>
        <w:rPr>
          <w:rFonts w:hint="eastAsia" w:ascii="仿宋" w:hAnsi="仿宋" w:eastAsia="仿宋" w:cs="仿宋"/>
          <w:b/>
          <w:color w:val="auto"/>
          <w:sz w:val="24"/>
          <w:highlight w:val="none"/>
        </w:rPr>
      </w:pPr>
    </w:p>
    <w:p w14:paraId="4F5BED3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300939AE">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9B5082A">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snapToGrid w:val="0"/>
          <w:color w:val="auto"/>
          <w:kern w:val="28"/>
          <w:sz w:val="24"/>
          <w:szCs w:val="20"/>
          <w:highlight w:val="none"/>
        </w:rPr>
        <w:t>2.落实政府采购政策需满足的资格要求：</w:t>
      </w:r>
      <w:r>
        <w:rPr>
          <w:rFonts w:hint="eastAsia" w:ascii="仿宋" w:hAnsi="仿宋" w:eastAsia="仿宋" w:cs="仿宋"/>
          <w:snapToGrid w:val="0"/>
          <w:color w:val="auto"/>
          <w:kern w:val="28"/>
          <w:sz w:val="24"/>
          <w:szCs w:val="20"/>
          <w:highlight w:val="none"/>
          <w:lang w:val="en-US" w:eastAsia="zh-CN"/>
        </w:rPr>
        <w:t>无</w:t>
      </w:r>
      <w:r>
        <w:rPr>
          <w:rFonts w:hint="eastAsia" w:ascii="仿宋" w:hAnsi="仿宋" w:eastAsia="仿宋" w:cs="仿宋"/>
          <w:snapToGrid w:val="0"/>
          <w:color w:val="auto"/>
          <w:kern w:val="28"/>
          <w:sz w:val="24"/>
          <w:szCs w:val="20"/>
          <w:highlight w:val="none"/>
          <w:lang w:eastAsia="zh-CN"/>
        </w:rPr>
        <w:t>；</w:t>
      </w:r>
    </w:p>
    <w:p w14:paraId="251DCF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3.本项目的特定资格要求：无；</w:t>
      </w:r>
    </w:p>
    <w:p w14:paraId="29E24B8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432F1C6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37A15E2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4D0F13A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46AB235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9DDCCB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5136D16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9:30  </w:t>
      </w:r>
      <w:r>
        <w:rPr>
          <w:rFonts w:hint="eastAsia" w:ascii="仿宋" w:hAnsi="仿宋" w:eastAsia="仿宋" w:cs="仿宋"/>
          <w:color w:val="auto"/>
          <w:sz w:val="24"/>
          <w:highlight w:val="none"/>
        </w:rPr>
        <w:t>（北京时间）</w:t>
      </w:r>
    </w:p>
    <w:p w14:paraId="3A4EDFB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4D873CB4">
      <w:pPr>
        <w:spacing w:line="360" w:lineRule="auto"/>
        <w:ind w:firstLine="482" w:firstLineChars="200"/>
        <w:rPr>
          <w:rFonts w:hint="default" w:ascii="仿宋" w:hAnsi="仿宋" w:eastAsia="仿宋" w:cs="仿宋"/>
          <w:bCs/>
          <w:color w:val="auto"/>
          <w:sz w:val="24"/>
          <w:highlight w:val="none"/>
          <w:u w:val="single"/>
          <w:lang w:val="en-US"/>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9:30  </w:t>
      </w:r>
    </w:p>
    <w:p w14:paraId="7377438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43087BAD">
      <w:pPr>
        <w:pStyle w:val="23"/>
        <w:rPr>
          <w:rFonts w:hint="eastAsia" w:ascii="仿宋" w:hAnsi="仿宋" w:eastAsia="仿宋" w:cs="仿宋"/>
          <w:b/>
          <w:color w:val="auto"/>
          <w:highlight w:val="none"/>
        </w:rPr>
      </w:pPr>
      <w:r>
        <w:rPr>
          <w:rFonts w:hint="eastAsia" w:ascii="仿宋" w:hAnsi="仿宋" w:eastAsia="仿宋" w:cs="仿宋"/>
          <w:b/>
          <w:bCs/>
          <w:color w:val="auto"/>
          <w:highlight w:val="none"/>
        </w:rPr>
        <w:t>五、</w:t>
      </w:r>
      <w:r>
        <w:rPr>
          <w:rFonts w:hint="eastAsia" w:ascii="仿宋" w:hAnsi="仿宋" w:eastAsia="仿宋" w:cs="仿宋"/>
          <w:b/>
          <w:color w:val="auto"/>
          <w:highlight w:val="none"/>
        </w:rPr>
        <w:t>公告期限</w:t>
      </w:r>
    </w:p>
    <w:p w14:paraId="5A3CB278">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自本公告发布之日起5个工作日。</w:t>
      </w:r>
    </w:p>
    <w:p w14:paraId="3A2DA85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058FD0A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77587A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56031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8093CD1">
      <w:pPr>
        <w:snapToGrid w:val="0"/>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）本项目招标文件公告期限为本公告发布之日起5个工作日。</w:t>
      </w:r>
    </w:p>
    <w:p w14:paraId="36EA5CF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66736CB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53ED0A7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称：国家税务总局浙江省税务局</w:t>
      </w:r>
    </w:p>
    <w:p w14:paraId="1FF5BE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 杭州市西湖区体环二路1号 </w:t>
      </w:r>
    </w:p>
    <w:p w14:paraId="6709D98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7B10EBFD">
      <w:pPr>
        <w:spacing w:line="360" w:lineRule="auto"/>
        <w:ind w:firstLine="48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项目联系人（询问）：周女士</w:t>
      </w:r>
    </w:p>
    <w:p w14:paraId="625A01FD">
      <w:pPr>
        <w:spacing w:line="360" w:lineRule="auto"/>
        <w:ind w:firstLine="48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项目联系方式（询问）：0571-85273751 </w:t>
      </w:r>
    </w:p>
    <w:p w14:paraId="6C72CB6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何先生</w:t>
      </w:r>
      <w:r>
        <w:rPr>
          <w:rFonts w:hint="eastAsia" w:ascii="仿宋" w:hAnsi="仿宋" w:eastAsia="仿宋" w:cs="仿宋"/>
          <w:color w:val="auto"/>
          <w:sz w:val="24"/>
          <w:highlight w:val="none"/>
        </w:rPr>
        <w:t>    </w:t>
      </w:r>
    </w:p>
    <w:p w14:paraId="738BF5E8">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质疑联系方式：0571-85270</w:t>
      </w:r>
      <w:r>
        <w:rPr>
          <w:rFonts w:hint="eastAsia" w:ascii="仿宋" w:hAnsi="仿宋" w:eastAsia="仿宋" w:cs="仿宋"/>
          <w:color w:val="auto"/>
          <w:sz w:val="24"/>
          <w:highlight w:val="none"/>
          <w:lang w:val="en-US" w:eastAsia="zh-CN"/>
        </w:rPr>
        <w:t>956</w:t>
      </w:r>
      <w:r>
        <w:rPr>
          <w:rFonts w:hint="eastAsia" w:ascii="仿宋" w:hAnsi="仿宋" w:eastAsia="仿宋" w:cs="仿宋"/>
          <w:color w:val="auto"/>
          <w:sz w:val="24"/>
          <w:highlight w:val="none"/>
        </w:rPr>
        <w:t>（请通过以下路径在线提起质疑：政采云-项目采购-询问质疑投诉-质疑列表）</w:t>
      </w:r>
    </w:p>
    <w:p w14:paraId="06A43DD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04C2128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称：浙江国际招投标有限公司</w:t>
      </w:r>
    </w:p>
    <w:p w14:paraId="3F8CAE7A">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址：杭州市文三路90号东部软件园1号楼3楼 </w:t>
      </w:r>
    </w:p>
    <w:p w14:paraId="4762142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真：0571-81061828</w:t>
      </w:r>
    </w:p>
    <w:p w14:paraId="252D128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项目联系人（询问）：邵子野，陶云龙</w:t>
      </w:r>
    </w:p>
    <w:p w14:paraId="0A5948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项目联系方式（询问）：0571-81061830,81061831</w:t>
      </w:r>
    </w:p>
    <w:p w14:paraId="16387C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质疑联系人：康勤勤</w:t>
      </w:r>
    </w:p>
    <w:p w14:paraId="0B1DA81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质疑联系方式：0571-81061834（请通过以下路径在线提起质疑：政采云-项目采购-询问质疑投诉-质疑列表）</w:t>
      </w:r>
    </w:p>
    <w:p w14:paraId="5DEA88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14:paraId="1B1375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称：财政部国库司              </w:t>
      </w:r>
    </w:p>
    <w:p w14:paraId="4D0C4CD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址：北京市月坛南街26号院1号楼              </w:t>
      </w:r>
    </w:p>
    <w:p w14:paraId="4A1287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：财政部政府采购投诉与受理举报窗口              </w:t>
      </w:r>
    </w:p>
    <w:p w14:paraId="1CC2812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监督投诉电话：010-68513070                  </w:t>
      </w:r>
    </w:p>
    <w:p w14:paraId="16967EF9">
      <w:pPr>
        <w:spacing w:line="360" w:lineRule="auto"/>
        <w:ind w:firstLine="480" w:firstLineChars="200"/>
        <w:rPr>
          <w:rFonts w:hint="eastAsia" w:ascii="仿宋" w:hAnsi="仿宋" w:eastAsia="仿宋" w:cs="仿宋"/>
          <w:color w:val="auto"/>
          <w:sz w:val="24"/>
          <w:highlight w:val="none"/>
        </w:rPr>
      </w:pPr>
    </w:p>
    <w:p w14:paraId="0C1AA0A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10585D2B">
      <w:pPr>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仿宋"/>
          <w:color w:val="auto"/>
          <w:sz w:val="24"/>
          <w:highlight w:val="none"/>
        </w:rPr>
        <w:t>CA问题联系电话（人工）：汇信CA 400-888-4636；天谷CA 400-087-8198。</w:t>
      </w:r>
      <w:r>
        <w:rPr>
          <w:rFonts w:ascii="仿宋" w:hAnsi="仿宋" w:eastAsia="仿宋" w:cs="仿宋_GB2312"/>
          <w:color w:val="auto"/>
          <w:sz w:val="24"/>
          <w:highlight w:val="none"/>
        </w:rPr>
        <w:t xml:space="preserve">                              </w:t>
      </w:r>
    </w:p>
    <w:p w14:paraId="3C58E307">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14:paraId="5133F91D">
      <w:pPr>
        <w:snapToGrid w:val="0"/>
        <w:spacing w:line="360" w:lineRule="auto"/>
        <w:jc w:val="center"/>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55"/>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483739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629" w:type="dxa"/>
            <w:noWrap w:val="0"/>
            <w:vAlign w:val="center"/>
          </w:tcPr>
          <w:p w14:paraId="194F98D5">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noWrap w:val="0"/>
            <w:vAlign w:val="center"/>
          </w:tcPr>
          <w:p w14:paraId="6449FBA5">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noWrap w:val="0"/>
            <w:vAlign w:val="center"/>
          </w:tcPr>
          <w:p w14:paraId="0A49B2BD">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7E5FE7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noWrap w:val="0"/>
            <w:vAlign w:val="center"/>
          </w:tcPr>
          <w:p w14:paraId="6A17C220">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noWrap w:val="0"/>
            <w:vAlign w:val="center"/>
          </w:tcPr>
          <w:p w14:paraId="69AA221F">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noWrap w:val="0"/>
            <w:vAlign w:val="center"/>
          </w:tcPr>
          <w:p w14:paraId="6E7F647E">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sym w:font="Wingdings" w:char="00A8"/>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EADC5E0">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6784DB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noWrap w:val="0"/>
            <w:vAlign w:val="center"/>
          </w:tcPr>
          <w:p w14:paraId="6299EE90">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noWrap w:val="0"/>
            <w:vAlign w:val="center"/>
          </w:tcPr>
          <w:p w14:paraId="39900029">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noWrap w:val="0"/>
            <w:vAlign w:val="center"/>
          </w:tcPr>
          <w:p w14:paraId="02CC8619">
            <w:pPr>
              <w:rPr>
                <w:color w:val="auto"/>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lang w:eastAsia="zh-CN"/>
              </w:rPr>
              <w:t>IDC机房巡检服务</w:t>
            </w:r>
            <w:r>
              <w:rPr>
                <w:rFonts w:hint="eastAsia" w:ascii="仿宋" w:hAnsi="仿宋" w:eastAsia="仿宋" w:cs="仿宋"/>
                <w:color w:val="auto"/>
                <w:sz w:val="24"/>
                <w:highlight w:val="none"/>
              </w:rPr>
              <w:t>，属于</w:t>
            </w:r>
            <w:r>
              <w:rPr>
                <w:rFonts w:hint="eastAsia" w:ascii="仿宋" w:hAnsi="仿宋" w:eastAsia="仿宋" w:cs="仿宋"/>
                <w:color w:val="auto"/>
                <w:kern w:val="0"/>
                <w:sz w:val="24"/>
                <w:highlight w:val="none"/>
                <w:u w:val="single"/>
              </w:rPr>
              <w:t>软件和信息技术服务业</w:t>
            </w:r>
            <w:r>
              <w:rPr>
                <w:rFonts w:hint="eastAsia" w:ascii="仿宋" w:hAnsi="仿宋" w:eastAsia="仿宋" w:cs="仿宋"/>
                <w:color w:val="auto"/>
                <w:kern w:val="0"/>
                <w:sz w:val="24"/>
                <w:highlight w:val="none"/>
              </w:rPr>
              <w:t>行业。</w:t>
            </w:r>
          </w:p>
        </w:tc>
      </w:tr>
      <w:tr w14:paraId="52E4EB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noWrap w:val="0"/>
            <w:vAlign w:val="center"/>
          </w:tcPr>
          <w:p w14:paraId="3D9BB70A">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noWrap w:val="0"/>
            <w:vAlign w:val="center"/>
          </w:tcPr>
          <w:p w14:paraId="49020DA3">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noWrap w:val="0"/>
            <w:vAlign w:val="center"/>
          </w:tcPr>
          <w:p w14:paraId="36304E5E">
            <w:pPr>
              <w:snapToGrid w:val="0"/>
              <w:spacing w:line="400" w:lineRule="exact"/>
              <w:rPr>
                <w:rFonts w:ascii="仿宋" w:hAnsi="仿宋" w:eastAsia="仿宋" w:cs="仿宋"/>
                <w:color w:val="auto"/>
                <w:kern w:val="0"/>
                <w:sz w:val="24"/>
                <w:highlight w:val="none"/>
              </w:rPr>
            </w:pPr>
            <w:r>
              <w:rPr>
                <w:rFonts w:ascii="Wingdings" w:hAnsi="Wingdings" w:eastAsia="仿宋" w:cs="仿宋"/>
                <w:color w:val="auto"/>
                <w:kern w:val="0"/>
                <w:sz w:val="24"/>
                <w:highlight w:val="none"/>
              </w:rPr>
              <w:t></w:t>
            </w:r>
            <w:r>
              <w:rPr>
                <w:rFonts w:hint="eastAsia" w:ascii="仿宋" w:hAnsi="仿宋" w:eastAsia="仿宋" w:cs="仿宋"/>
                <w:color w:val="auto"/>
                <w:kern w:val="0"/>
                <w:sz w:val="24"/>
                <w:highlight w:val="none"/>
              </w:rPr>
              <w:t>本项目不允许采购进口产品。</w:t>
            </w:r>
          </w:p>
          <w:p w14:paraId="245264C8">
            <w:pPr>
              <w:snapToGrid w:val="0"/>
              <w:spacing w:line="400" w:lineRule="exact"/>
              <w:rPr>
                <w:rFonts w:ascii="仿宋" w:hAnsi="仿宋" w:eastAsia="仿宋" w:cs="仿宋"/>
                <w:color w:val="auto"/>
                <w:highlight w:val="none"/>
              </w:rPr>
            </w:pP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2275FD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noWrap w:val="0"/>
            <w:vAlign w:val="center"/>
          </w:tcPr>
          <w:p w14:paraId="5D5BE23B">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noWrap w:val="0"/>
            <w:vAlign w:val="center"/>
          </w:tcPr>
          <w:p w14:paraId="56FED079">
            <w:pPr>
              <w:snapToGrid w:val="0"/>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noWrap w:val="0"/>
            <w:vAlign w:val="center"/>
          </w:tcPr>
          <w:p w14:paraId="1C25FA19">
            <w:pPr>
              <w:snapToGrid w:val="0"/>
              <w:spacing w:line="400" w:lineRule="exact"/>
              <w:rPr>
                <w:rFonts w:ascii="仿宋" w:hAnsi="仿宋" w:eastAsia="仿宋" w:cs="仿宋"/>
                <w:color w:val="auto"/>
                <w:sz w:val="24"/>
                <w:highlight w:val="none"/>
              </w:rPr>
            </w:pPr>
            <w:r>
              <w:rPr>
                <w:rFonts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60A4BA8D">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t></w:t>
            </w:r>
            <w:r>
              <w:rPr>
                <w:rFonts w:ascii="仿宋" w:hAnsi="仿宋" w:eastAsia="仿宋" w:cs="仿宋"/>
                <w:color w:val="auto"/>
                <w:kern w:val="0"/>
                <w:sz w:val="24"/>
                <w:highlight w:val="none"/>
              </w:rPr>
              <w:t>B</w:t>
            </w:r>
            <w:r>
              <w:rPr>
                <w:rFonts w:hint="eastAsia" w:ascii="仿宋" w:hAnsi="仿宋" w:eastAsia="仿宋" w:cs="仿宋"/>
                <w:color w:val="auto"/>
                <w:sz w:val="24"/>
                <w:highlight w:val="none"/>
              </w:rPr>
              <w:t xml:space="preserve">不同意分包。 </w:t>
            </w:r>
          </w:p>
        </w:tc>
      </w:tr>
      <w:tr w14:paraId="3489EE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noWrap w:val="0"/>
            <w:vAlign w:val="center"/>
          </w:tcPr>
          <w:p w14:paraId="503DC9DC">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noWrap w:val="0"/>
            <w:vAlign w:val="center"/>
          </w:tcPr>
          <w:p w14:paraId="7E4A1EFE">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noWrap w:val="0"/>
            <w:vAlign w:val="center"/>
          </w:tcPr>
          <w:p w14:paraId="42383848">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81C9343">
            <w:pPr>
              <w:snapToGrid w:val="0"/>
              <w:spacing w:line="400" w:lineRule="exact"/>
              <w:rPr>
                <w:rFonts w:ascii="仿宋" w:hAnsi="仿宋" w:eastAsia="仿宋" w:cs="仿宋"/>
                <w:color w:val="auto"/>
                <w:sz w:val="24"/>
                <w:szCs w:val="20"/>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241986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19" w:hRule="atLeast"/>
        </w:trPr>
        <w:tc>
          <w:tcPr>
            <w:tcW w:w="629" w:type="dxa"/>
            <w:noWrap w:val="0"/>
            <w:vAlign w:val="center"/>
          </w:tcPr>
          <w:p w14:paraId="58946D1F">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noWrap w:val="0"/>
            <w:vAlign w:val="center"/>
          </w:tcPr>
          <w:p w14:paraId="46F68C64">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noWrap w:val="0"/>
            <w:vAlign w:val="center"/>
          </w:tcPr>
          <w:p w14:paraId="649AB742">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6F8F5770">
            <w:pPr>
              <w:snapToGrid w:val="0"/>
              <w:spacing w:line="400" w:lineRule="exact"/>
              <w:rPr>
                <w:rFonts w:hint="eastAsia" w:ascii="仿宋" w:hAnsi="仿宋" w:eastAsia="仿宋" w:cs="仿宋"/>
                <w:color w:val="auto"/>
                <w:sz w:val="24"/>
                <w:highlight w:val="none"/>
              </w:rPr>
            </w:pPr>
            <w:r>
              <w:rPr>
                <w:rFonts w:ascii="Wingdings" w:hAnsi="Wingdings" w:eastAsia="仿宋" w:cs="仿宋"/>
                <w:color w:val="auto"/>
                <w:kern w:val="0"/>
                <w:sz w:val="24"/>
                <w:highlight w:val="none"/>
              </w:rPr>
              <w:sym w:font="Wingdings" w:char="00A8"/>
            </w:r>
            <w:r>
              <w:rPr>
                <w:rFonts w:hint="eastAsia" w:ascii="仿宋" w:hAnsi="仿宋" w:eastAsia="仿宋" w:cs="仿宋"/>
                <w:color w:val="auto"/>
                <w:kern w:val="0"/>
                <w:sz w:val="24"/>
                <w:highlight w:val="none"/>
              </w:rPr>
              <w:t>B要求提供</w:t>
            </w:r>
            <w:r>
              <w:rPr>
                <w:rFonts w:hint="eastAsia" w:ascii="仿宋" w:hAnsi="仿宋" w:eastAsia="仿宋" w:cs="仿宋"/>
                <w:color w:val="auto"/>
                <w:sz w:val="24"/>
                <w:highlight w:val="none"/>
              </w:rPr>
              <w:t>，</w:t>
            </w:r>
          </w:p>
          <w:p w14:paraId="34519D7E">
            <w:pPr>
              <w:numPr>
                <w:ilvl w:val="0"/>
                <w:numId w:val="1"/>
              </w:num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C5A6A91">
            <w:pPr>
              <w:numPr>
                <w:ilvl w:val="0"/>
                <w:numId w:val="1"/>
              </w:num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595231B">
            <w:pPr>
              <w:numPr>
                <w:ilvl w:val="0"/>
                <w:numId w:val="1"/>
              </w:num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样品的评审方法以及评审标准：详见</w:t>
            </w:r>
            <w:r>
              <w:rPr>
                <w:rFonts w:hint="eastAsia" w:ascii="仿宋" w:hAnsi="仿宋" w:eastAsia="仿宋" w:cs="仿宋"/>
                <w:color w:val="auto"/>
                <w:sz w:val="24"/>
                <w:highlight w:val="none"/>
                <w:u w:val="single"/>
              </w:rPr>
              <w:t>评标办法</w:t>
            </w:r>
            <w:r>
              <w:rPr>
                <w:rFonts w:hint="eastAsia" w:ascii="仿宋" w:hAnsi="仿宋" w:eastAsia="仿宋" w:cs="仿宋"/>
                <w:color w:val="auto"/>
                <w:sz w:val="24"/>
                <w:highlight w:val="none"/>
              </w:rPr>
              <w:t>；</w:t>
            </w:r>
          </w:p>
          <w:p w14:paraId="5030DF1E">
            <w:pPr>
              <w:numPr>
                <w:ilvl w:val="0"/>
                <w:numId w:val="1"/>
              </w:num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是否需要随样品提交检测报告：☐否；☐是，检测机构的要求：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；检测内容：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954E6B4">
            <w:pPr>
              <w:numPr>
                <w:ilvl w:val="0"/>
                <w:numId w:val="1"/>
              </w:num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058A06C6">
            <w:pPr>
              <w:numPr>
                <w:ilvl w:val="0"/>
                <w:numId w:val="1"/>
              </w:num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8787EE1">
            <w:pPr>
              <w:numPr>
                <w:ilvl w:val="0"/>
                <w:numId w:val="1"/>
              </w:numPr>
              <w:snapToGrid w:val="0"/>
              <w:spacing w:line="400" w:lineRule="exact"/>
              <w:rPr>
                <w:rFonts w:ascii="仿宋" w:hAnsi="仿宋" w:eastAsia="仿宋" w:cs="仿宋"/>
                <w:b/>
                <w:color w:val="auto"/>
                <w:sz w:val="24"/>
                <w:highlight w:val="none"/>
              </w:rPr>
            </w:pPr>
            <w:r>
              <w:rPr>
                <w:rFonts w:hint="eastAsia" w:ascii="仿宋" w:hAnsi="仿宋" w:eastAsia="仿宋" w:cs="仿宋"/>
                <w:color w:val="auto"/>
                <w:sz w:val="24"/>
                <w:highlight w:val="none"/>
              </w:rPr>
              <w:t>制作、运输、安装和保管样品所发生的一切费用由投标人自理。</w:t>
            </w:r>
          </w:p>
        </w:tc>
      </w:tr>
      <w:tr w14:paraId="440492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92" w:hRule="atLeast"/>
        </w:trPr>
        <w:tc>
          <w:tcPr>
            <w:tcW w:w="629" w:type="dxa"/>
            <w:noWrap w:val="0"/>
            <w:vAlign w:val="center"/>
          </w:tcPr>
          <w:p w14:paraId="69BA475C">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noWrap w:val="0"/>
            <w:vAlign w:val="center"/>
          </w:tcPr>
          <w:p w14:paraId="375E89A1">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noWrap w:val="0"/>
            <w:vAlign w:val="center"/>
          </w:tcPr>
          <w:p w14:paraId="7DAB56EF">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7EC6D44">
            <w:pPr>
              <w:snapToGrid w:val="0"/>
              <w:spacing w:line="400" w:lineRule="exact"/>
              <w:rPr>
                <w:rFonts w:ascii="仿宋" w:hAnsi="仿宋" w:eastAsia="仿宋" w:cs="仿宋"/>
                <w:color w:val="auto"/>
                <w:kern w:val="0"/>
                <w:sz w:val="24"/>
                <w:highlight w:val="none"/>
              </w:rPr>
            </w:pPr>
            <w:r>
              <w:rPr>
                <w:rFonts w:ascii="Wingdings" w:hAnsi="Wingdings" w:eastAsia="仿宋" w:cs="仿宋"/>
                <w:color w:val="auto"/>
                <w:kern w:val="0"/>
                <w:sz w:val="24"/>
                <w:highlight w:val="none"/>
              </w:rPr>
              <w:sym w:font="Wingdings" w:char="00A8"/>
            </w:r>
            <w:r>
              <w:rPr>
                <w:rFonts w:hint="eastAsia" w:ascii="仿宋" w:hAnsi="仿宋" w:eastAsia="仿宋" w:cs="仿宋"/>
                <w:color w:val="auto"/>
                <w:kern w:val="0"/>
                <w:sz w:val="24"/>
                <w:highlight w:val="none"/>
              </w:rPr>
              <w:t>B组织。</w:t>
            </w:r>
          </w:p>
          <w:p w14:paraId="1068E987">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人。讲解演示结束后按要求解答评标委员会提问。</w:t>
            </w:r>
          </w:p>
          <w:p w14:paraId="607F0117">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33D169FE">
            <w:pPr>
              <w:snapToGrid w:val="0"/>
              <w:spacing w:line="400" w:lineRule="exac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本项目不适用</w:t>
            </w:r>
            <w:r>
              <w:rPr>
                <w:rFonts w:hint="eastAsia" w:ascii="仿宋" w:hAnsi="仿宋" w:eastAsia="仿宋" w:cs="仿宋"/>
                <w:color w:val="auto"/>
                <w:kern w:val="0"/>
                <w:sz w:val="24"/>
                <w:highlight w:val="none"/>
                <w:lang w:eastAsia="zh-CN"/>
              </w:rPr>
              <w:t>）</w:t>
            </w:r>
          </w:p>
          <w:p w14:paraId="73312D68">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方式二：采购代理机构现场讲解演示。现场讲解地点为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杭州市西湖区文三路90号东部软件园1号楼3楼  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2F0F0D11">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14:paraId="075BE04E">
            <w:pPr>
              <w:snapToGrid w:val="0"/>
              <w:spacing w:line="400" w:lineRule="exac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C8609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rPr>
        <w:tc>
          <w:tcPr>
            <w:tcW w:w="629" w:type="dxa"/>
            <w:vMerge w:val="restart"/>
            <w:noWrap w:val="0"/>
            <w:vAlign w:val="center"/>
          </w:tcPr>
          <w:p w14:paraId="7F1EEB04">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noWrap w:val="0"/>
            <w:vAlign w:val="center"/>
          </w:tcPr>
          <w:p w14:paraId="0A00C2CC">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noWrap w:val="0"/>
            <w:vAlign w:val="center"/>
          </w:tcPr>
          <w:p w14:paraId="5764956B">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448311BC">
            <w:pPr>
              <w:snapToGrid w:val="0"/>
              <w:spacing w:line="400" w:lineRule="exact"/>
              <w:rPr>
                <w:rFonts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552B86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39" w:hRule="atLeast"/>
        </w:trPr>
        <w:tc>
          <w:tcPr>
            <w:tcW w:w="629" w:type="dxa"/>
            <w:vMerge w:val="continue"/>
            <w:noWrap w:val="0"/>
            <w:vAlign w:val="center"/>
          </w:tcPr>
          <w:p w14:paraId="5EFEF227">
            <w:pPr>
              <w:snapToGrid w:val="0"/>
              <w:spacing w:line="400" w:lineRule="exact"/>
              <w:jc w:val="center"/>
              <w:rPr>
                <w:rFonts w:ascii="仿宋" w:hAnsi="仿宋" w:eastAsia="仿宋" w:cs="仿宋"/>
                <w:color w:val="auto"/>
                <w:sz w:val="24"/>
                <w:highlight w:val="none"/>
              </w:rPr>
            </w:pPr>
          </w:p>
        </w:tc>
        <w:tc>
          <w:tcPr>
            <w:tcW w:w="1843" w:type="dxa"/>
            <w:vMerge w:val="continue"/>
            <w:noWrap w:val="0"/>
            <w:vAlign w:val="center"/>
          </w:tcPr>
          <w:p w14:paraId="607B6BCE">
            <w:pPr>
              <w:snapToGrid w:val="0"/>
              <w:spacing w:line="400" w:lineRule="exact"/>
              <w:jc w:val="center"/>
              <w:rPr>
                <w:rFonts w:ascii="仿宋" w:hAnsi="仿宋" w:eastAsia="仿宋" w:cs="仿宋"/>
                <w:b/>
                <w:color w:val="auto"/>
                <w:sz w:val="24"/>
                <w:highlight w:val="none"/>
              </w:rPr>
            </w:pPr>
          </w:p>
        </w:tc>
        <w:tc>
          <w:tcPr>
            <w:tcW w:w="6095" w:type="dxa"/>
            <w:noWrap w:val="0"/>
            <w:vAlign w:val="center"/>
          </w:tcPr>
          <w:p w14:paraId="15D3FAD6">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58B154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noWrap w:val="0"/>
            <w:vAlign w:val="center"/>
          </w:tcPr>
          <w:p w14:paraId="30E674F7">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noWrap w:val="0"/>
            <w:vAlign w:val="center"/>
          </w:tcPr>
          <w:p w14:paraId="23DB2C08">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noWrap w:val="0"/>
            <w:vAlign w:val="center"/>
          </w:tcPr>
          <w:p w14:paraId="424731F8">
            <w:pPr>
              <w:snapToGrid w:val="0"/>
              <w:spacing w:line="400" w:lineRule="exact"/>
              <w:rPr>
                <w:rFonts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C03BB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noWrap w:val="0"/>
            <w:vAlign w:val="center"/>
          </w:tcPr>
          <w:p w14:paraId="55352240">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noWrap w:val="0"/>
            <w:vAlign w:val="center"/>
          </w:tcPr>
          <w:p w14:paraId="560F1EAA">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noWrap w:val="0"/>
            <w:vAlign w:val="center"/>
          </w:tcPr>
          <w:p w14:paraId="33D0591C">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highlight w:val="none"/>
                <w:lang w:val="zh-CN"/>
              </w:rPr>
              <w:t>提醒：验收时检测费用由采购人承担，不包含在投标总价中。</w:t>
            </w:r>
          </w:p>
          <w:p w14:paraId="3A3C87B9">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DDAE3E3">
            <w:pPr>
              <w:numPr>
                <w:ilvl w:val="0"/>
                <w:numId w:val="2"/>
              </w:num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5466B34B">
            <w:pPr>
              <w:numPr>
                <w:ilvl w:val="0"/>
                <w:numId w:val="2"/>
              </w:num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0AD2C93A">
            <w:pPr>
              <w:numPr>
                <w:ilvl w:val="0"/>
                <w:numId w:val="2"/>
              </w:numPr>
              <w:snapToGrid w:val="0"/>
              <w:spacing w:line="400" w:lineRule="exact"/>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4D6212C6">
            <w:pPr>
              <w:snapToGrid w:val="0"/>
              <w:spacing w:line="400" w:lineRule="exact"/>
              <w:rPr>
                <w:rFonts w:ascii="仿宋" w:hAnsi="仿宋" w:eastAsia="仿宋" w:cs="仿宋"/>
                <w:color w:val="auto"/>
                <w:sz w:val="24"/>
                <w:highlight w:val="none"/>
              </w:rPr>
            </w:pPr>
            <w:r>
              <w:rPr>
                <w:rFonts w:hint="eastAsia" w:ascii="仿宋" w:hAnsi="仿宋" w:eastAsia="仿宋" w:cs="仿宋"/>
                <w:b/>
                <w:color w:val="auto"/>
                <w:kern w:val="0"/>
                <w:sz w:val="24"/>
                <w:highlight w:val="none"/>
              </w:rPr>
              <w:t>(4)投标人对根据修正原则修正后的报价不确认的</w:t>
            </w:r>
            <w:r>
              <w:rPr>
                <w:rFonts w:hint="eastAsia" w:ascii="仿宋" w:hAnsi="仿宋" w:eastAsia="仿宋" w:cs="仿宋"/>
                <w:b/>
                <w:color w:val="auto"/>
                <w:sz w:val="24"/>
                <w:highlight w:val="none"/>
              </w:rPr>
              <w:t>。</w:t>
            </w:r>
          </w:p>
        </w:tc>
      </w:tr>
      <w:tr w14:paraId="4A8FF6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088" w:hRule="atLeast"/>
        </w:trPr>
        <w:tc>
          <w:tcPr>
            <w:tcW w:w="629" w:type="dxa"/>
            <w:noWrap w:val="0"/>
            <w:vAlign w:val="center"/>
          </w:tcPr>
          <w:p w14:paraId="198E9E8B">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noWrap w:val="0"/>
            <w:vAlign w:val="center"/>
          </w:tcPr>
          <w:p w14:paraId="04BFB9CD">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noWrap w:val="0"/>
            <w:vAlign w:val="center"/>
          </w:tcPr>
          <w:p w14:paraId="4A02F6F6">
            <w:pPr>
              <w:snapToGrid w:val="0"/>
              <w:spacing w:line="400" w:lineRule="exact"/>
              <w:rPr>
                <w:rFonts w:ascii="仿宋" w:hAnsi="仿宋" w:eastAsia="仿宋" w:cs="仿宋"/>
                <w:b/>
                <w:color w:val="auto"/>
                <w:kern w:val="0"/>
                <w:sz w:val="24"/>
                <w:highlight w:val="none"/>
              </w:rPr>
            </w:pPr>
            <w:r>
              <w:rPr>
                <w:rFonts w:hint="eastAsia" w:ascii="仿宋" w:hAnsi="仿宋" w:eastAsia="仿宋" w:cs="仿宋"/>
                <w:snapToGrid w:val="0"/>
                <w:color w:val="auto"/>
                <w:kern w:val="28"/>
                <w:sz w:val="24"/>
                <w:highlight w:val="none"/>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EF67D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6" w:hRule="atLeast"/>
        </w:trPr>
        <w:tc>
          <w:tcPr>
            <w:tcW w:w="629" w:type="dxa"/>
            <w:noWrap w:val="0"/>
            <w:vAlign w:val="center"/>
          </w:tcPr>
          <w:p w14:paraId="787EA12E">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noWrap w:val="0"/>
            <w:vAlign w:val="center"/>
          </w:tcPr>
          <w:p w14:paraId="27055FDB">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noWrap w:val="0"/>
            <w:vAlign w:val="center"/>
          </w:tcPr>
          <w:p w14:paraId="082417C6">
            <w:pPr>
              <w:pStyle w:val="3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 xml:space="preserve"> 杭州市文三路90号东部软件园1号楼3楼325室 </w:t>
            </w:r>
            <w:r>
              <w:rPr>
                <w:rFonts w:hint="eastAsia" w:ascii="仿宋" w:hAnsi="仿宋" w:eastAsia="仿宋" w:cs="仿宋"/>
                <w:color w:val="auto"/>
                <w:kern w:val="28"/>
                <w:sz w:val="24"/>
                <w:szCs w:val="24"/>
                <w:highlight w:val="none"/>
              </w:rPr>
              <w:t>；</w:t>
            </w:r>
          </w:p>
          <w:p w14:paraId="1127750F">
            <w:pPr>
              <w:pStyle w:val="30"/>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备份投标文件签收联系人：</w:t>
            </w:r>
            <w:r>
              <w:rPr>
                <w:rFonts w:hint="eastAsia" w:ascii="仿宋" w:hAnsi="仿宋" w:eastAsia="仿宋" w:cs="仿宋"/>
                <w:color w:val="auto"/>
                <w:sz w:val="24"/>
                <w:highlight w:val="none"/>
                <w:u w:val="single"/>
              </w:rPr>
              <w:t>邵子野，</w:t>
            </w:r>
            <w:r>
              <w:rPr>
                <w:rFonts w:hint="eastAsia" w:ascii="仿宋" w:hAnsi="仿宋" w:eastAsia="仿宋" w:cs="仿宋"/>
                <w:color w:val="auto"/>
                <w:sz w:val="24"/>
                <w:highlight w:val="none"/>
                <w:u w:val="single"/>
                <w:lang w:eastAsia="zh-CN"/>
              </w:rPr>
              <w:t>陶云龙</w:t>
            </w:r>
            <w:r>
              <w:rPr>
                <w:rFonts w:hint="eastAsia" w:ascii="仿宋" w:hAnsi="仿宋" w:eastAsia="仿宋" w:cs="仿宋"/>
                <w:color w:val="auto"/>
                <w:sz w:val="24"/>
                <w:highlight w:val="none"/>
                <w:u w:val="singl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highlight w:val="none"/>
                <w:u w:val="single"/>
              </w:rPr>
              <w:t xml:space="preserve">  0571-81061830/18957164355，8106183</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w:t>
            </w:r>
          </w:p>
          <w:p w14:paraId="2E604CF8">
            <w:pPr>
              <w:pStyle w:val="30"/>
              <w:snapToGrid w:val="0"/>
              <w:spacing w:line="400" w:lineRule="exact"/>
              <w:rPr>
                <w:rFonts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采购人、采购代理机构不强制或变相强制投标人提交备份投标文件。</w:t>
            </w:r>
          </w:p>
        </w:tc>
      </w:tr>
      <w:tr w14:paraId="424A5E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154" w:hRule="atLeast"/>
        </w:trPr>
        <w:tc>
          <w:tcPr>
            <w:tcW w:w="629" w:type="dxa"/>
            <w:noWrap w:val="0"/>
            <w:vAlign w:val="center"/>
          </w:tcPr>
          <w:p w14:paraId="0739BB76">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noWrap w:val="0"/>
            <w:vAlign w:val="center"/>
          </w:tcPr>
          <w:p w14:paraId="6F73F0FD">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tc>
        <w:tc>
          <w:tcPr>
            <w:tcW w:w="6095" w:type="dxa"/>
            <w:noWrap w:val="0"/>
            <w:vAlign w:val="center"/>
          </w:tcPr>
          <w:p w14:paraId="653D9D7F">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本项目的采购代理费由中标人以人民币支付，即参照《杭价费[2003]148号文件》规定服务类收费标准收取，在领取中标通知书时，中标人向采购代理机构一次性支付全额代理服务费。</w:t>
            </w:r>
          </w:p>
          <w:p w14:paraId="2872B543">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单    位： 浙江国际招投标有限公司 </w:t>
            </w:r>
          </w:p>
          <w:p w14:paraId="579779CF">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 工商银行杭州武林支行</w:t>
            </w:r>
          </w:p>
          <w:p w14:paraId="4DBAAE10">
            <w:pPr>
              <w:pStyle w:val="3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  1202021209906782015</w:t>
            </w:r>
          </w:p>
          <w:p w14:paraId="54ED1E21">
            <w:pPr>
              <w:pStyle w:val="30"/>
              <w:snapToGrid w:val="0"/>
              <w:spacing w:line="400" w:lineRule="exact"/>
              <w:rPr>
                <w:rFonts w:ascii="仿宋" w:hAnsi="仿宋" w:eastAsia="仿宋" w:cs="仿宋"/>
                <w:color w:val="auto"/>
                <w:highlight w:val="none"/>
              </w:rPr>
            </w:pPr>
            <w:r>
              <w:rPr>
                <w:rFonts w:hint="eastAsia" w:ascii="仿宋" w:hAnsi="仿宋" w:eastAsia="仿宋" w:cs="仿宋"/>
                <w:color w:val="auto"/>
                <w:sz w:val="24"/>
                <w:highlight w:val="none"/>
              </w:rPr>
              <w:t>说明：中标、成交供应商放弃中标、成交资格导致重新采购的，应当承担支付代理费和专家评审费等费用在内的赔偿责任。</w:t>
            </w:r>
          </w:p>
        </w:tc>
      </w:tr>
      <w:tr w14:paraId="3F2E01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35" w:hRule="atLeast"/>
        </w:trPr>
        <w:tc>
          <w:tcPr>
            <w:tcW w:w="629" w:type="dxa"/>
            <w:vMerge w:val="restart"/>
            <w:noWrap w:val="0"/>
            <w:vAlign w:val="center"/>
          </w:tcPr>
          <w:p w14:paraId="785C4709">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p w14:paraId="750F3AA8">
            <w:pPr>
              <w:snapToGrid w:val="0"/>
              <w:spacing w:line="400" w:lineRule="exact"/>
              <w:jc w:val="center"/>
              <w:rPr>
                <w:rFonts w:hint="eastAsia" w:ascii="仿宋" w:hAnsi="仿宋" w:eastAsia="仿宋" w:cs="仿宋"/>
                <w:color w:val="auto"/>
                <w:sz w:val="24"/>
                <w:highlight w:val="none"/>
              </w:rPr>
            </w:pPr>
          </w:p>
        </w:tc>
        <w:tc>
          <w:tcPr>
            <w:tcW w:w="1843" w:type="dxa"/>
            <w:vMerge w:val="restart"/>
            <w:noWrap w:val="0"/>
            <w:vAlign w:val="center"/>
          </w:tcPr>
          <w:p w14:paraId="72AE8557">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联合体</w:t>
            </w:r>
            <w:r>
              <w:rPr>
                <w:rFonts w:hint="eastAsia" w:ascii="仿宋" w:hAnsi="仿宋" w:eastAsia="仿宋" w:cs="仿宋"/>
                <w:b/>
                <w:color w:val="auto"/>
                <w:sz w:val="24"/>
                <w:highlight w:val="none"/>
                <w:lang w:eastAsia="zh-CN"/>
              </w:rPr>
              <w:t>（如有）</w:t>
            </w:r>
            <w:r>
              <w:rPr>
                <w:rFonts w:hint="eastAsia" w:ascii="仿宋" w:hAnsi="仿宋" w:eastAsia="仿宋" w:cs="仿宋"/>
                <w:b/>
                <w:color w:val="auto"/>
                <w:sz w:val="24"/>
                <w:highlight w:val="none"/>
              </w:rPr>
              <w:t>投标说明</w:t>
            </w:r>
          </w:p>
          <w:p w14:paraId="14D9330A">
            <w:pPr>
              <w:snapToGrid w:val="0"/>
              <w:spacing w:line="400" w:lineRule="exact"/>
              <w:jc w:val="center"/>
              <w:rPr>
                <w:rFonts w:hint="eastAsia" w:ascii="仿宋" w:hAnsi="仿宋" w:eastAsia="仿宋" w:cs="仿宋"/>
                <w:b/>
                <w:color w:val="auto"/>
                <w:sz w:val="24"/>
                <w:highlight w:val="none"/>
              </w:rPr>
            </w:pPr>
          </w:p>
        </w:tc>
        <w:tc>
          <w:tcPr>
            <w:tcW w:w="6095" w:type="dxa"/>
            <w:noWrap w:val="0"/>
            <w:vAlign w:val="center"/>
          </w:tcPr>
          <w:p w14:paraId="1C9F2CBC">
            <w:pPr>
              <w:pStyle w:val="3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业绩证明材料</w:t>
            </w:r>
          </w:p>
          <w:p w14:paraId="0DA71446">
            <w:pPr>
              <w:pStyle w:val="3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☐联合体投标的，按联合体协议约定的分工内容出具相应的业绩证明材料。承担相同工作的各方或工作内容存在部 分相同的，业绩数量以提供材料较少的一方为准。</w:t>
            </w:r>
          </w:p>
          <w:p w14:paraId="696CBE78">
            <w:pPr>
              <w:pStyle w:val="30"/>
              <w:snapToGrid w:val="0"/>
              <w:spacing w:line="400" w:lineRule="exact"/>
              <w:rPr>
                <w:rFonts w:hint="eastAsia" w:ascii="仿宋" w:hAnsi="仿宋" w:eastAsia="仿宋" w:cs="仿宋"/>
                <w:color w:val="auto"/>
                <w:kern w:val="28"/>
                <w:sz w:val="24"/>
                <w:szCs w:val="24"/>
                <w:highlight w:val="none"/>
              </w:rPr>
            </w:pPr>
            <w:r>
              <w:rPr>
                <w:rFonts w:ascii="Wingdings" w:hAnsi="Wingdings" w:eastAsia="仿宋" w:cs="仿宋"/>
                <w:color w:val="auto"/>
                <w:kern w:val="0"/>
                <w:sz w:val="24"/>
                <w:highlight w:val="none"/>
              </w:rPr>
              <w:sym w:font="Wingdings" w:char="00A8"/>
            </w:r>
            <w:r>
              <w:rPr>
                <w:rFonts w:hint="eastAsia" w:ascii="仿宋" w:hAnsi="仿宋" w:eastAsia="仿宋" w:cs="仿宋"/>
                <w:color w:val="auto"/>
                <w:kern w:val="28"/>
                <w:sz w:val="24"/>
                <w:szCs w:val="24"/>
                <w:highlight w:val="none"/>
              </w:rPr>
              <w:t>联合体投标的，由联合体牵头方出具相应的业绩证明材料。</w:t>
            </w:r>
          </w:p>
          <w:p w14:paraId="5F25E2DE">
            <w:pPr>
              <w:pStyle w:val="3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☐其他规定：</w:t>
            </w:r>
            <w:r>
              <w:rPr>
                <w:rFonts w:hint="eastAsia" w:ascii="仿宋" w:hAnsi="仿宋" w:eastAsia="仿宋" w:cs="仿宋"/>
                <w:color w:val="auto"/>
                <w:kern w:val="28"/>
                <w:sz w:val="24"/>
                <w:szCs w:val="24"/>
                <w:highlight w:val="none"/>
                <w:u w:val="single"/>
              </w:rPr>
              <w:t xml:space="preserve">                 </w:t>
            </w:r>
          </w:p>
        </w:tc>
      </w:tr>
      <w:tr w14:paraId="0F4722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Merge w:val="continue"/>
            <w:noWrap w:val="0"/>
            <w:vAlign w:val="center"/>
          </w:tcPr>
          <w:p w14:paraId="3E142C6C">
            <w:pPr>
              <w:snapToGrid w:val="0"/>
              <w:spacing w:line="400" w:lineRule="exact"/>
              <w:jc w:val="center"/>
              <w:rPr>
                <w:rFonts w:hint="eastAsia" w:ascii="仿宋" w:hAnsi="仿宋" w:eastAsia="仿宋" w:cs="仿宋"/>
                <w:color w:val="auto"/>
                <w:sz w:val="24"/>
                <w:highlight w:val="none"/>
              </w:rPr>
            </w:pPr>
          </w:p>
        </w:tc>
        <w:tc>
          <w:tcPr>
            <w:tcW w:w="1843" w:type="dxa"/>
            <w:vMerge w:val="continue"/>
            <w:noWrap w:val="0"/>
            <w:vAlign w:val="center"/>
          </w:tcPr>
          <w:p w14:paraId="17B252D2">
            <w:pPr>
              <w:snapToGrid w:val="0"/>
              <w:spacing w:line="400" w:lineRule="exact"/>
              <w:jc w:val="center"/>
              <w:rPr>
                <w:rFonts w:hint="eastAsia" w:ascii="仿宋" w:hAnsi="仿宋" w:eastAsia="仿宋" w:cs="仿宋"/>
                <w:b/>
                <w:color w:val="auto"/>
                <w:sz w:val="24"/>
                <w:highlight w:val="none"/>
              </w:rPr>
            </w:pPr>
          </w:p>
        </w:tc>
        <w:tc>
          <w:tcPr>
            <w:tcW w:w="6095" w:type="dxa"/>
            <w:noWrap w:val="0"/>
            <w:vAlign w:val="center"/>
          </w:tcPr>
          <w:p w14:paraId="7CD22D42">
            <w:pPr>
              <w:pStyle w:val="3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其他资信证明材料</w:t>
            </w:r>
          </w:p>
          <w:p w14:paraId="13E4BB35">
            <w:pPr>
              <w:pStyle w:val="3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☐联合体投标的，联合体各方均需按招标文件第四部分评标标准要求提供资信证明文件，否则视为不符合相关要求。</w:t>
            </w:r>
          </w:p>
          <w:p w14:paraId="362798F8">
            <w:pPr>
              <w:pStyle w:val="30"/>
              <w:snapToGrid w:val="0"/>
              <w:spacing w:line="400" w:lineRule="exact"/>
              <w:rPr>
                <w:rFonts w:hint="eastAsia" w:ascii="仿宋" w:hAnsi="仿宋" w:eastAsia="仿宋" w:cs="仿宋"/>
                <w:color w:val="auto"/>
                <w:kern w:val="28"/>
                <w:sz w:val="24"/>
                <w:szCs w:val="24"/>
                <w:highlight w:val="none"/>
              </w:rPr>
            </w:pPr>
            <w:r>
              <w:rPr>
                <w:rFonts w:ascii="Wingdings" w:hAnsi="Wingdings" w:eastAsia="仿宋" w:cs="仿宋"/>
                <w:color w:val="auto"/>
                <w:kern w:val="0"/>
                <w:sz w:val="24"/>
                <w:highlight w:val="none"/>
              </w:rPr>
              <w:sym w:font="Wingdings" w:char="00A8"/>
            </w:r>
            <w:r>
              <w:rPr>
                <w:rFonts w:hint="eastAsia" w:ascii="仿宋" w:hAnsi="仿宋" w:eastAsia="仿宋" w:cs="仿宋"/>
                <w:color w:val="auto"/>
                <w:kern w:val="28"/>
                <w:sz w:val="24"/>
                <w:szCs w:val="24"/>
                <w:highlight w:val="none"/>
              </w:rPr>
              <w:t>联合体投标的，联合体牵头方或者联合体成员根据分工按招标文件第四部分评标标准要求提供资信证明文件的，视为符合了相关要求。</w:t>
            </w:r>
          </w:p>
          <w:p w14:paraId="1DD5A553">
            <w:pPr>
              <w:pStyle w:val="3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☐其他规定：</w:t>
            </w:r>
            <w:r>
              <w:rPr>
                <w:rFonts w:hint="eastAsia" w:ascii="仿宋" w:hAnsi="仿宋" w:eastAsia="仿宋" w:cs="仿宋"/>
                <w:color w:val="auto"/>
                <w:kern w:val="28"/>
                <w:sz w:val="24"/>
                <w:szCs w:val="24"/>
                <w:highlight w:val="none"/>
                <w:u w:val="single"/>
              </w:rPr>
              <w:t xml:space="preserve">                 </w:t>
            </w:r>
          </w:p>
        </w:tc>
      </w:tr>
      <w:tr w14:paraId="3CF46C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29" w:type="dxa"/>
            <w:noWrap w:val="0"/>
            <w:vAlign w:val="center"/>
          </w:tcPr>
          <w:p w14:paraId="755581BA">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noWrap w:val="0"/>
            <w:vAlign w:val="center"/>
          </w:tcPr>
          <w:p w14:paraId="7DACAF7B">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noWrap w:val="0"/>
            <w:vAlign w:val="center"/>
          </w:tcPr>
          <w:p w14:paraId="46ACA716">
            <w:pPr>
              <w:pStyle w:val="23"/>
              <w:autoSpaceDE/>
              <w:autoSpaceDN/>
              <w:snapToGrid w:val="0"/>
              <w:spacing w:line="400" w:lineRule="exact"/>
              <w:rPr>
                <w:rFonts w:ascii="仿宋" w:hAnsi="仿宋" w:eastAsia="仿宋" w:cs="仿宋"/>
                <w:color w:val="auto"/>
                <w:highlight w:val="none"/>
              </w:rPr>
            </w:pPr>
            <w:r>
              <w:rPr>
                <w:rFonts w:hint="eastAsia" w:ascii="仿宋" w:hAnsi="仿宋" w:eastAsia="仿宋" w:cs="仿宋"/>
                <w:color w:val="auto"/>
                <w:kern w:val="28"/>
                <w:highlight w:val="none"/>
              </w:rPr>
              <w:t>无</w:t>
            </w:r>
            <w:r>
              <w:rPr>
                <w:rFonts w:hint="eastAsia" w:ascii="仿宋" w:hAnsi="仿宋" w:eastAsia="仿宋" w:cs="仿宋"/>
                <w:bCs/>
                <w:color w:val="auto"/>
                <w:kern w:val="0"/>
                <w:highlight w:val="none"/>
              </w:rPr>
              <w:t>。</w:t>
            </w:r>
          </w:p>
        </w:tc>
      </w:tr>
    </w:tbl>
    <w:p w14:paraId="267FD40D">
      <w:pPr>
        <w:pStyle w:val="23"/>
        <w:rPr>
          <w:rFonts w:hint="eastAsia" w:ascii="仿宋" w:hAnsi="仿宋" w:eastAsia="仿宋" w:cs="仿宋_GB2312"/>
          <w:b/>
          <w:color w:val="auto"/>
          <w:sz w:val="32"/>
          <w:szCs w:val="20"/>
          <w:highlight w:val="none"/>
        </w:rPr>
      </w:pPr>
    </w:p>
    <w:bookmarkEnd w:id="10"/>
    <w:p w14:paraId="18F89665">
      <w:pPr>
        <w:rPr>
          <w:rFonts w:ascii="仿宋_GB2312" w:hAnsi="仿宋" w:eastAsia="仿宋_GB2312" w:cs="仿宋_GB2312"/>
          <w:b/>
          <w:color w:val="auto"/>
          <w:sz w:val="32"/>
          <w:szCs w:val="20"/>
          <w:highlight w:val="none"/>
        </w:rPr>
      </w:pPr>
      <w:bookmarkStart w:id="11" w:name="第三部分"/>
      <w:bookmarkStart w:id="12" w:name="_Toc164416483"/>
      <w:r>
        <w:rPr>
          <w:rFonts w:hint="eastAsia" w:ascii="仿宋_GB2312" w:hAnsi="仿宋" w:eastAsia="仿宋_GB2312" w:cs="仿宋_GB2312"/>
          <w:b/>
          <w:color w:val="auto"/>
          <w:sz w:val="32"/>
          <w:szCs w:val="20"/>
          <w:highlight w:val="none"/>
        </w:rPr>
        <w:br w:type="page"/>
      </w:r>
    </w:p>
    <w:p w14:paraId="461E5093">
      <w:pPr>
        <w:adjustRightInd/>
        <w:spacing w:line="360" w:lineRule="auto"/>
        <w:jc w:val="center"/>
        <w:outlineLvl w:val="0"/>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14:paraId="1EE63B26">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499E9679">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481D2F56">
      <w:pPr>
        <w:adjustRightInd/>
        <w:spacing w:line="360" w:lineRule="auto"/>
        <w:ind w:firstLine="420"/>
        <w:outlineLvl w:val="0"/>
        <w:rPr>
          <w:rFonts w:hint="eastAsia" w:ascii="仿宋" w:hAnsi="仿宋" w:eastAsia="仿宋" w:cs="仿宋"/>
          <w:b/>
          <w:color w:val="auto"/>
          <w:sz w:val="24"/>
          <w:highlight w:val="none"/>
        </w:rPr>
      </w:pPr>
    </w:p>
    <w:p w14:paraId="36C992EE">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4BE654E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5817A4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3E3D523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2B461B7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49321BC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E9AFD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73012CDF">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 “▲” 系指实质性要求条款，“★”系产品采购项目中单一产品或核心产品，“</w:t>
      </w:r>
      <w:r>
        <w:rPr>
          <w:rFonts w:ascii="Wingdings" w:hAnsi="Wingdings" w:eastAsia="仿宋" w:cs="仿宋"/>
          <w:color w:val="auto"/>
          <w:kern w:val="0"/>
          <w:sz w:val="24"/>
          <w:highlight w:val="none"/>
        </w:rPr>
        <w:t></w:t>
      </w:r>
      <w:r>
        <w:rPr>
          <w:rFonts w:hint="eastAsia" w:ascii="仿宋" w:hAnsi="仿宋" w:eastAsia="仿宋" w:cs="仿宋"/>
          <w:b/>
          <w:bCs/>
          <w:color w:val="auto"/>
          <w:sz w:val="24"/>
          <w:highlight w:val="none"/>
        </w:rPr>
        <w:t>” 系指适用本项目的要求，“</w:t>
      </w:r>
      <w:r>
        <w:rPr>
          <w:rFonts w:hint="eastAsia" w:ascii="仿宋" w:hAnsi="仿宋" w:eastAsia="仿宋" w:cs="仿宋"/>
          <w:b/>
          <w:bCs/>
          <w:color w:val="auto"/>
          <w:kern w:val="0"/>
          <w:sz w:val="24"/>
          <w:highlight w:val="none"/>
        </w:rPr>
        <w:t>☐</w:t>
      </w:r>
      <w:r>
        <w:rPr>
          <w:rFonts w:hint="eastAsia" w:ascii="仿宋" w:hAnsi="仿宋" w:eastAsia="仿宋" w:cs="仿宋"/>
          <w:b/>
          <w:bCs/>
          <w:color w:val="auto"/>
          <w:sz w:val="24"/>
          <w:highlight w:val="none"/>
        </w:rPr>
        <w:t>” 系指不适用本项目的要求。</w:t>
      </w:r>
    </w:p>
    <w:p w14:paraId="42C396B2">
      <w:pPr>
        <w:spacing w:line="360" w:lineRule="auto"/>
        <w:ind w:firstLine="241" w:firstLineChars="100"/>
        <w:rPr>
          <w:rFonts w:hint="eastAsia" w:ascii="仿宋" w:hAnsi="仿宋" w:eastAsia="仿宋" w:cs="仿宋"/>
          <w:b/>
          <w:color w:val="auto"/>
          <w:sz w:val="24"/>
          <w:highlight w:val="none"/>
        </w:rPr>
      </w:pPr>
    </w:p>
    <w:p w14:paraId="2B95AC1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4817EE9C">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3B104AB4">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1029B75B">
      <w:pPr>
        <w:spacing w:line="360" w:lineRule="auto"/>
        <w:ind w:firstLine="42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28EBF4B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124DE32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3182646">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481C2D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24273F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03A735F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14:paraId="4A298DC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14:paraId="33B4465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14:paraId="0FBC02A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14:paraId="266244D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4E17C1F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60CC6C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5C959C8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6C56C9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BC3C9B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09E08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37EC78AE">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1B593E0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2EEF15C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3.4.2对省级以上主管部门认定的首台套产品，自纳入《省推广应用指导目录》起三年内参加政府采购活动,视同已具备相应销售业绩,业绩分为满分。</w:t>
      </w:r>
    </w:p>
    <w:p w14:paraId="1C5BE151">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3.5中小企业信用融资：供应商中标后可在“政采云”平台申请政采贷：操作路径：登录政采云平台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xml:space="preserve">   3.6.平等对待内外资企业和符合条件的破产重整企业</w:t>
      </w:r>
    </w:p>
    <w:p w14:paraId="026A6B65">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38B4617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询问、质疑、投诉</w:t>
      </w:r>
    </w:p>
    <w:p w14:paraId="7375D7F0">
      <w:pPr>
        <w:autoSpaceDE w:val="0"/>
        <w:autoSpaceDN w:val="0"/>
        <w:spacing w:line="360" w:lineRule="auto"/>
        <w:ind w:firstLine="42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14:paraId="019C77E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91A636E">
      <w:pPr>
        <w:autoSpaceDE w:val="0"/>
        <w:autoSpaceDN w:val="0"/>
        <w:spacing w:line="360" w:lineRule="auto"/>
        <w:ind w:firstLine="42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60E5EFAE">
      <w:pPr>
        <w:pStyle w:val="3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28A180E9">
      <w:pPr>
        <w:pStyle w:val="3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65D1DDF">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4.2.2.1对招标文件提出质疑的，质疑期限为供应商获得招标文件之日或者招标文件公告期限届满之日起计算。</w:t>
      </w:r>
    </w:p>
    <w:p w14:paraId="5DF09E05">
      <w:pPr>
        <w:pStyle w:val="3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14:paraId="18BAC902">
      <w:pPr>
        <w:pStyle w:val="3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14:paraId="11CA86DB">
      <w:pPr>
        <w:pStyle w:val="3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14:paraId="2783B1D3">
      <w:pPr>
        <w:pStyle w:val="3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14:paraId="1C7C69BC">
      <w:pPr>
        <w:pStyle w:val="3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14:paraId="64C1830D">
      <w:pPr>
        <w:pStyle w:val="3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14:paraId="726FFBEA">
      <w:pPr>
        <w:pStyle w:val="3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14:paraId="6FAB15A3">
      <w:pPr>
        <w:pStyle w:val="3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14:paraId="3FA75F0F">
      <w:pPr>
        <w:pStyle w:val="30"/>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14:paraId="2C723EFC">
      <w:pPr>
        <w:pStyle w:val="72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D252D8F">
      <w:pPr>
        <w:pStyle w:val="725"/>
        <w:shd w:val="clear" w:color="auto" w:fill="FFFFFF"/>
        <w:snapToGrid w:val="0"/>
        <w:spacing w:after="240" w:afterAutospacing="0" w:line="360" w:lineRule="auto"/>
        <w:ind w:firstLine="42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1FCA251F">
      <w:pPr>
        <w:pStyle w:val="725"/>
        <w:shd w:val="clear" w:color="auto" w:fill="FFFFFF"/>
        <w:snapToGrid w:val="0"/>
        <w:spacing w:after="240" w:afterAutospacing="0" w:line="360" w:lineRule="auto"/>
        <w:ind w:firstLine="42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.4对同一采购程序环节的质疑，供应商须在法定质疑期内一次性提出。</w:t>
      </w:r>
    </w:p>
    <w:p w14:paraId="09B87D2A">
      <w:pPr>
        <w:pStyle w:val="725"/>
        <w:shd w:val="clear" w:color="auto" w:fill="FFFFFF"/>
        <w:snapToGrid w:val="0"/>
        <w:spacing w:after="240" w:afterAutospacing="0" w:line="360" w:lineRule="auto"/>
        <w:ind w:firstLine="420"/>
        <w:contextualSpacing/>
        <w:rPr>
          <w:rFonts w:hint="eastAsia" w:ascii="仿宋" w:hAnsi="仿宋" w:eastAsia="仿宋" w:cs="仿宋"/>
          <w:color w:val="auto"/>
          <w:highlight w:val="none"/>
        </w:rPr>
      </w:pPr>
      <w:r>
        <w:rPr>
          <w:rFonts w:hint="eastAsia" w:ascii="仿宋" w:hAnsi="仿宋" w:eastAsia="仿宋" w:cs="仿宋"/>
          <w:color w:val="auto"/>
          <w:highlight w:val="none"/>
        </w:rPr>
        <w:t>4.2.5采购人或者采购代理机构应当在收到供应商的书面质疑后七个工作日内作出答复，并以书面形式通知质疑供应商和其他与质疑处理结果有利害关系的政府采购当事人，但答复的内容不得涉及商业秘密。</w:t>
      </w:r>
    </w:p>
    <w:p w14:paraId="0D18BB6F">
      <w:pPr>
        <w:pStyle w:val="725"/>
        <w:shd w:val="clear" w:color="auto" w:fill="FFFFFF"/>
        <w:snapToGrid w:val="0"/>
        <w:spacing w:after="240" w:afterAutospacing="0" w:line="360" w:lineRule="auto"/>
        <w:ind w:firstLine="42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4E6B48E5">
      <w:pPr>
        <w:pStyle w:val="725"/>
        <w:shd w:val="clear" w:color="auto" w:fill="FFFFFF"/>
        <w:snapToGrid w:val="0"/>
        <w:spacing w:after="240" w:afterAutospacing="0" w:line="360" w:lineRule="auto"/>
        <w:ind w:firstLine="42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14:paraId="2F70642A">
      <w:pPr>
        <w:pStyle w:val="72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1D1E4605">
      <w:pPr>
        <w:pStyle w:val="72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0AA64A06">
      <w:pPr>
        <w:pStyle w:val="72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14:paraId="10062820">
      <w:pPr>
        <w:pStyle w:val="72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以联合体形式参加政府采购活动的，其投诉应当由组成联合体的所有供应商共同提出。</w:t>
      </w:r>
    </w:p>
    <w:p w14:paraId="2C574876">
      <w:pPr>
        <w:pStyle w:val="725"/>
        <w:shd w:val="clear" w:color="auto" w:fill="FFFFFF"/>
        <w:snapToGrid w:val="0"/>
        <w:spacing w:after="240" w:afterAutospacing="0" w:line="360" w:lineRule="auto"/>
        <w:ind w:firstLine="42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1302B8ED">
      <w:pPr>
        <w:pStyle w:val="366"/>
        <w:snapToGrid w:val="0"/>
        <w:spacing w:before="0"/>
        <w:ind w:firstLine="360"/>
        <w:rPr>
          <w:rFonts w:hint="eastAsia" w:ascii="仿宋" w:hAnsi="仿宋" w:eastAsia="仿宋" w:cs="仿宋"/>
          <w:color w:val="auto"/>
          <w:sz w:val="18"/>
          <w:szCs w:val="18"/>
          <w:highlight w:val="none"/>
        </w:rPr>
      </w:pPr>
    </w:p>
    <w:p w14:paraId="3DA4F38B">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570EEEC8">
      <w:pPr>
        <w:pStyle w:val="3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04042CA5">
      <w:pPr>
        <w:pStyle w:val="3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7D67D4D3">
      <w:pPr>
        <w:pStyle w:val="3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66C07CF0">
      <w:pPr>
        <w:pStyle w:val="3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16595CB3">
      <w:pPr>
        <w:pStyle w:val="3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C6F4050">
      <w:pPr>
        <w:pStyle w:val="3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39C7626C">
      <w:pPr>
        <w:pStyle w:val="3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611D0C2">
      <w:pPr>
        <w:pStyle w:val="3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76BE6DAB">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09864E2C">
      <w:pPr>
        <w:pStyle w:val="30"/>
        <w:spacing w:line="360" w:lineRule="auto"/>
        <w:rPr>
          <w:rFonts w:hint="eastAsia" w:ascii="仿宋" w:hAnsi="仿宋" w:eastAsia="仿宋" w:cs="仿宋"/>
          <w:b/>
          <w:color w:val="auto"/>
          <w:sz w:val="24"/>
          <w:szCs w:val="24"/>
          <w:highlight w:val="none"/>
        </w:rPr>
      </w:pPr>
    </w:p>
    <w:p w14:paraId="60024449">
      <w:pPr>
        <w:pStyle w:val="3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40608A69">
      <w:pPr>
        <w:pStyle w:val="366"/>
        <w:snapToGrid w:val="0"/>
        <w:spacing w:before="0"/>
        <w:ind w:firstLine="420" w:firstLineChars="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7F600AB2">
      <w:pPr>
        <w:pStyle w:val="366"/>
        <w:snapToGrid w:val="0"/>
        <w:spacing w:before="0"/>
        <w:ind w:firstLine="420" w:firstLineChars="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135E5E4">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121CFC2D">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70106ABD">
      <w:pPr>
        <w:pStyle w:val="3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4756D7AA">
      <w:pPr>
        <w:spacing w:line="360" w:lineRule="auto"/>
        <w:ind w:firstLine="42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0F38E82E">
      <w:pPr>
        <w:pStyle w:val="30"/>
        <w:spacing w:line="360" w:lineRule="auto"/>
        <w:rPr>
          <w:rFonts w:hint="eastAsia" w:ascii="仿宋" w:hAnsi="仿宋" w:eastAsia="仿宋" w:cs="仿宋"/>
          <w:b/>
          <w:color w:val="auto"/>
          <w:sz w:val="24"/>
          <w:szCs w:val="24"/>
          <w:highlight w:val="none"/>
        </w:rPr>
      </w:pPr>
    </w:p>
    <w:p w14:paraId="1995B2A7">
      <w:pPr>
        <w:pStyle w:val="3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732E89E1">
      <w:pPr>
        <w:pStyle w:val="3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70AA8739">
      <w:pPr>
        <w:pStyle w:val="30"/>
        <w:spacing w:line="360" w:lineRule="auto"/>
        <w:rPr>
          <w:rFonts w:hint="eastAsia" w:ascii="仿宋" w:hAnsi="仿宋" w:eastAsia="仿宋" w:cs="仿宋"/>
          <w:b/>
          <w:color w:val="auto"/>
          <w:kern w:val="28"/>
          <w:sz w:val="24"/>
          <w:szCs w:val="24"/>
          <w:highlight w:val="none"/>
        </w:rPr>
      </w:pPr>
    </w:p>
    <w:p w14:paraId="4104F609">
      <w:pPr>
        <w:pStyle w:val="30"/>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3227F6D0">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0D9ACB95">
      <w:pPr>
        <w:pStyle w:val="30"/>
        <w:spacing w:line="360" w:lineRule="auto"/>
        <w:rPr>
          <w:rFonts w:hint="eastAsia" w:ascii="仿宋" w:hAnsi="仿宋" w:eastAsia="仿宋" w:cs="仿宋"/>
          <w:b/>
          <w:color w:val="auto"/>
          <w:sz w:val="24"/>
          <w:szCs w:val="24"/>
          <w:highlight w:val="none"/>
        </w:rPr>
      </w:pPr>
    </w:p>
    <w:p w14:paraId="7EF2D7B5">
      <w:pPr>
        <w:pStyle w:val="3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46F6C4E1">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0CD3EF3B">
      <w:pPr>
        <w:pStyle w:val="30"/>
        <w:spacing w:line="360" w:lineRule="auto"/>
        <w:rPr>
          <w:rFonts w:hint="eastAsia" w:ascii="仿宋" w:hAnsi="仿宋" w:eastAsia="仿宋" w:cs="仿宋"/>
          <w:b/>
          <w:color w:val="auto"/>
          <w:sz w:val="24"/>
          <w:szCs w:val="24"/>
          <w:highlight w:val="none"/>
        </w:rPr>
      </w:pPr>
    </w:p>
    <w:p w14:paraId="7BA4C1B2">
      <w:pPr>
        <w:pStyle w:val="3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733B5E6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639B87F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608CB5B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11.1.2联合协议；（本项目不适用）</w:t>
      </w:r>
    </w:p>
    <w:p w14:paraId="72E4A73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11.1.3</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（本项目不适用）</w:t>
      </w:r>
    </w:p>
    <w:p w14:paraId="617CDAC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本项目的特定资格要求。（本项目不适用）</w:t>
      </w:r>
    </w:p>
    <w:p w14:paraId="09DF7FC5">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6A1CACA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6A0AC45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7030577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11.2.3分包意向协议；（本项目不适用）</w:t>
      </w:r>
    </w:p>
    <w:p w14:paraId="20E6D0B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2595BFA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35760A0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7EB0A28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15F91918">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zh-CN"/>
        </w:rPr>
        <w:t>政府采购供应商廉洁自律承诺书；</w:t>
      </w:r>
    </w:p>
    <w:p w14:paraId="46CC8C51">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48A25D5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6E099B07">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2中小企业声明函（如有）；</w:t>
      </w:r>
    </w:p>
    <w:p w14:paraId="71A54A2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3报价情况说明（如供应商报价低于项目预算50%的，应当提交本文档，详细阐述不影响产品质量或者诚信履约的具体原因）</w:t>
      </w:r>
    </w:p>
    <w:p w14:paraId="09DF7AF7">
      <w:pPr>
        <w:spacing w:line="360" w:lineRule="auto"/>
        <w:ind w:firstLine="42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sz w:val="24"/>
          <w:highlight w:val="none"/>
          <w:lang w:eastAsia="zh-CN"/>
        </w:rPr>
        <w:t>。</w:t>
      </w:r>
    </w:p>
    <w:p w14:paraId="59A276AF">
      <w:pPr>
        <w:spacing w:line="360" w:lineRule="auto"/>
        <w:ind w:firstLine="42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2BB23D39">
      <w:pPr>
        <w:pStyle w:val="366"/>
        <w:snapToGrid w:val="0"/>
        <w:spacing w:before="0"/>
        <w:ind w:firstLine="482" w:firstLineChars="20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供应商应对响应文件中材料的真实性、合法性负责。</w:t>
      </w:r>
    </w:p>
    <w:p w14:paraId="6069F05F">
      <w:pPr>
        <w:pStyle w:val="366"/>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6F797FD7">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C9FF665">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EDF7C08">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7330B2F">
      <w:pPr>
        <w:snapToGrid w:val="0"/>
        <w:spacing w:line="360" w:lineRule="auto"/>
        <w:rPr>
          <w:rFonts w:hint="eastAsia" w:ascii="仿宋" w:hAnsi="仿宋" w:eastAsia="仿宋" w:cs="仿宋"/>
          <w:b/>
          <w:color w:val="auto"/>
          <w:sz w:val="24"/>
          <w:highlight w:val="none"/>
        </w:rPr>
      </w:pPr>
    </w:p>
    <w:p w14:paraId="2380491D">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5A0D17F3">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p>
    <w:p w14:paraId="6892D1D8">
      <w:pPr>
        <w:pStyle w:val="366"/>
        <w:snapToGrid w:val="0"/>
        <w:spacing w:before="0"/>
        <w:ind w:firstLine="482"/>
        <w:rPr>
          <w:rFonts w:hint="eastAsia" w:ascii="仿宋" w:hAnsi="仿宋" w:eastAsia="仿宋" w:cs="仿宋"/>
          <w:b/>
          <w:color w:val="auto"/>
          <w:highlight w:val="none"/>
        </w:rPr>
      </w:pP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2EEC793B">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82395DE">
      <w:pPr>
        <w:pStyle w:val="36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0B57FBEE">
      <w:pPr>
        <w:pStyle w:val="366"/>
        <w:spacing w:before="0"/>
        <w:ind w:firstLine="0" w:firstLineChars="0"/>
        <w:rPr>
          <w:rFonts w:hint="eastAsia" w:ascii="仿宋" w:hAnsi="仿宋" w:eastAsia="仿宋" w:cs="仿宋"/>
          <w:b/>
          <w:color w:val="auto"/>
          <w:szCs w:val="24"/>
          <w:highlight w:val="none"/>
        </w:rPr>
      </w:pPr>
    </w:p>
    <w:p w14:paraId="7F451D98">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 投标文件的提交、补充、修改、撤回</w:t>
      </w:r>
    </w:p>
    <w:p w14:paraId="6DA99D19">
      <w:pPr>
        <w:pStyle w:val="366"/>
        <w:spacing w:before="0"/>
        <w:ind w:firstLine="42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038B9DB">
      <w:pPr>
        <w:pStyle w:val="36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E57A8F9">
      <w:pPr>
        <w:pStyle w:val="366"/>
        <w:spacing w:before="0"/>
        <w:ind w:firstLine="42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1F17C24">
      <w:pPr>
        <w:pStyle w:val="30"/>
        <w:spacing w:line="360" w:lineRule="auto"/>
        <w:rPr>
          <w:rFonts w:hint="eastAsia" w:ascii="仿宋" w:hAnsi="仿宋" w:eastAsia="仿宋" w:cs="仿宋"/>
          <w:b/>
          <w:color w:val="auto"/>
          <w:sz w:val="24"/>
          <w:szCs w:val="24"/>
          <w:highlight w:val="none"/>
        </w:rPr>
      </w:pPr>
    </w:p>
    <w:p w14:paraId="664BE3A6">
      <w:pPr>
        <w:pStyle w:val="3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60A3E157">
      <w:pPr>
        <w:pStyle w:val="30"/>
        <w:spacing w:line="360" w:lineRule="auto"/>
        <w:ind w:firstLine="42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1854AB2A">
      <w:pPr>
        <w:pStyle w:val="30"/>
        <w:spacing w:line="360" w:lineRule="auto"/>
        <w:ind w:firstLine="42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highlight w:val="none"/>
        </w:rPr>
        <w:t>或U盘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0F971669">
      <w:pPr>
        <w:pStyle w:val="3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35989C1">
      <w:pPr>
        <w:pStyle w:val="3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AFA3FCD">
      <w:pPr>
        <w:pStyle w:val="30"/>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04F66AB7">
      <w:pPr>
        <w:pStyle w:val="366"/>
        <w:spacing w:before="0"/>
        <w:ind w:firstLine="0" w:firstLineChars="0"/>
        <w:rPr>
          <w:rFonts w:hint="eastAsia" w:ascii="仿宋" w:hAnsi="仿宋" w:eastAsia="仿宋" w:cs="仿宋"/>
          <w:b/>
          <w:color w:val="auto"/>
          <w:szCs w:val="24"/>
          <w:highlight w:val="none"/>
        </w:rPr>
      </w:pPr>
    </w:p>
    <w:p w14:paraId="2054F5CD">
      <w:pPr>
        <w:pStyle w:val="36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757DF574">
      <w:pPr>
        <w:pStyle w:val="24"/>
        <w:spacing w:line="360" w:lineRule="auto"/>
        <w:ind w:firstLine="360" w:firstLineChars="15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第4.2项规定</w:t>
      </w:r>
      <w:r>
        <w:rPr>
          <w:rFonts w:hint="eastAsia" w:ascii="仿宋" w:hAnsi="仿宋" w:eastAsia="仿宋" w:cs="仿宋"/>
          <w:color w:val="auto"/>
          <w:szCs w:val="21"/>
          <w:highlight w:val="none"/>
        </w:rPr>
        <w:t>的情形之一的，投标无效</w:t>
      </w:r>
      <w:r>
        <w:rPr>
          <w:rFonts w:hint="eastAsia" w:ascii="仿宋" w:hAnsi="仿宋" w:eastAsia="仿宋" w:cs="仿宋"/>
          <w:color w:val="auto"/>
          <w:szCs w:val="21"/>
          <w:highlight w:val="none"/>
          <w:lang w:eastAsia="zh-CN"/>
        </w:rPr>
        <w:t>。</w:t>
      </w:r>
    </w:p>
    <w:p w14:paraId="1ADA462A">
      <w:pPr>
        <w:pStyle w:val="366"/>
        <w:spacing w:before="0"/>
        <w:ind w:firstLine="0" w:firstLineChars="0"/>
        <w:rPr>
          <w:rFonts w:hint="eastAsia" w:ascii="仿宋" w:hAnsi="仿宋" w:eastAsia="仿宋" w:cs="仿宋"/>
          <w:b/>
          <w:color w:val="auto"/>
          <w:szCs w:val="24"/>
          <w:highlight w:val="none"/>
        </w:rPr>
      </w:pPr>
    </w:p>
    <w:p w14:paraId="127DE339">
      <w:pPr>
        <w:pStyle w:val="36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44CE8F52">
      <w:pPr>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17.1投标有效期为从提交投标文件的截止之日起90天。</w:t>
      </w:r>
    </w:p>
    <w:p w14:paraId="6C70E273">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E87E841">
      <w:pPr>
        <w:pStyle w:val="36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601AC8FE">
      <w:pPr>
        <w:pStyle w:val="36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9B9FDB6">
      <w:pPr>
        <w:pStyle w:val="366"/>
        <w:spacing w:before="0"/>
        <w:ind w:firstLine="480"/>
        <w:rPr>
          <w:rFonts w:hint="eastAsia" w:ascii="仿宋" w:hAnsi="仿宋" w:eastAsia="仿宋" w:cs="仿宋"/>
          <w:bCs/>
          <w:color w:val="auto"/>
          <w:sz w:val="24"/>
          <w:highlight w:val="none"/>
        </w:rPr>
      </w:pPr>
      <w:r>
        <w:rPr>
          <w:rFonts w:hint="eastAsia" w:ascii="仿宋" w:hAnsi="仿宋" w:eastAsia="仿宋" w:cs="仿宋"/>
          <w:color w:val="auto"/>
          <w:highlight w:val="none"/>
          <w:lang w:val="en-US" w:eastAsia="zh-CN"/>
        </w:rPr>
        <w:t>17.4</w:t>
      </w:r>
      <w:r>
        <w:rPr>
          <w:rFonts w:hint="eastAsia" w:ascii="仿宋" w:hAnsi="仿宋" w:eastAsia="仿宋" w:cs="仿宋"/>
          <w:bCs/>
          <w:color w:val="auto"/>
          <w:sz w:val="24"/>
          <w:highlight w:val="none"/>
        </w:rPr>
        <w:t>在投标截止时间起至投标有效期届满，供应商投标文件不可撤销。</w:t>
      </w:r>
    </w:p>
    <w:p w14:paraId="4A087A2D">
      <w:pPr>
        <w:pStyle w:val="366"/>
        <w:spacing w:before="0"/>
        <w:ind w:firstLine="643"/>
        <w:rPr>
          <w:rFonts w:hint="eastAsia" w:ascii="仿宋" w:hAnsi="仿宋" w:eastAsia="仿宋" w:cs="仿宋"/>
          <w:b/>
          <w:color w:val="auto"/>
          <w:sz w:val="32"/>
          <w:highlight w:val="none"/>
        </w:rPr>
      </w:pPr>
    </w:p>
    <w:p w14:paraId="31547074">
      <w:pPr>
        <w:pStyle w:val="366"/>
        <w:spacing w:before="0"/>
        <w:ind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0AF079A9">
      <w:pPr>
        <w:pStyle w:val="896"/>
        <w:spacing w:before="0" w:line="360" w:lineRule="auto"/>
        <w:ind w:left="0" w:firstLine="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2B593DD7">
      <w:pPr>
        <w:pStyle w:val="896"/>
        <w:spacing w:before="0" w:line="360" w:lineRule="auto"/>
        <w:ind w:left="0" w:firstLine="42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0B3422CC">
      <w:pPr>
        <w:pStyle w:val="896"/>
        <w:spacing w:before="0" w:line="360" w:lineRule="auto"/>
        <w:ind w:left="0" w:firstLine="42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714EF35D">
      <w:pPr>
        <w:pStyle w:val="896"/>
        <w:spacing w:before="0" w:line="360" w:lineRule="auto"/>
        <w:ind w:left="0" w:firstLine="42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6033161D">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19.资格审查</w:t>
      </w:r>
    </w:p>
    <w:p w14:paraId="639FDA93">
      <w:pPr>
        <w:pStyle w:val="366"/>
        <w:spacing w:before="0"/>
        <w:ind w:firstLine="42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19.1开标后，采购人或采购代理机构依据法律法规和招标文件的规定，对投标人的资格进行审查。</w:t>
      </w:r>
    </w:p>
    <w:p w14:paraId="151BA401">
      <w:pPr>
        <w:pStyle w:val="366"/>
        <w:spacing w:before="0"/>
        <w:ind w:firstLine="420" w:firstLineChars="0"/>
        <w:rPr>
          <w:rFonts w:hint="eastAsia" w:ascii="仿宋" w:hAnsi="仿宋" w:eastAsia="仿宋" w:cs="仿宋"/>
          <w:color w:val="auto"/>
          <w:highlight w:val="none"/>
        </w:rPr>
      </w:pPr>
      <w:r>
        <w:rPr>
          <w:rFonts w:hint="eastAsia" w:ascii="仿宋" w:hAnsi="仿宋" w:eastAsia="仿宋" w:cs="仿宋"/>
          <w:color w:val="auto"/>
          <w:kern w:val="0"/>
          <w:szCs w:val="24"/>
          <w:highlight w:val="none"/>
        </w:rPr>
        <w:t>投标人未按照招标文件要求提供与资格条件相应的有效资格证明材料的，视为投标人不具备招标文件中规定的资格要求，其投标无效</w:t>
      </w:r>
      <w:r>
        <w:rPr>
          <w:rFonts w:hint="eastAsia" w:ascii="仿宋" w:hAnsi="仿宋" w:eastAsia="仿宋" w:cs="仿宋"/>
          <w:color w:val="auto"/>
          <w:highlight w:val="none"/>
        </w:rPr>
        <w:t>。</w:t>
      </w:r>
    </w:p>
    <w:p w14:paraId="5A4735A3">
      <w:pPr>
        <w:pStyle w:val="366"/>
        <w:spacing w:before="0"/>
        <w:ind w:firstLine="420" w:firstLineChars="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对未通过资格审查的投标人，采购人或采购代理机构告知其未通过的原因。</w:t>
      </w:r>
    </w:p>
    <w:p w14:paraId="0506C03F">
      <w:pPr>
        <w:pStyle w:val="366"/>
        <w:spacing w:before="0"/>
        <w:ind w:firstLine="420" w:firstLineChars="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合格投标人不足3家的，不再评标。</w:t>
      </w:r>
    </w:p>
    <w:p w14:paraId="6BF118CD">
      <w:pPr>
        <w:pStyle w:val="366"/>
        <w:spacing w:before="0"/>
        <w:ind w:firstLine="0" w:firstLineChars="0"/>
        <w:rPr>
          <w:rFonts w:hint="eastAsia" w:ascii="仿宋" w:hAnsi="仿宋" w:eastAsia="仿宋" w:cs="仿宋"/>
          <w:b/>
          <w:color w:val="auto"/>
          <w:szCs w:val="24"/>
          <w:highlight w:val="none"/>
        </w:rPr>
      </w:pPr>
    </w:p>
    <w:p w14:paraId="0F9A1B10">
      <w:pPr>
        <w:pStyle w:val="36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09BC47A1">
      <w:pPr>
        <w:pStyle w:val="366"/>
        <w:spacing w:before="0"/>
        <w:ind w:firstLine="42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0714D12D">
      <w:pPr>
        <w:pStyle w:val="366"/>
        <w:spacing w:before="0"/>
        <w:ind w:firstLine="42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41586FD3">
      <w:pPr>
        <w:pStyle w:val="366"/>
        <w:spacing w:before="0"/>
        <w:ind w:firstLine="42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72BB2E6">
      <w:pPr>
        <w:pStyle w:val="366"/>
        <w:spacing w:before="0"/>
        <w:ind w:firstLine="42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A82B427">
      <w:pPr>
        <w:pStyle w:val="366"/>
        <w:spacing w:before="0"/>
        <w:ind w:firstLine="0" w:firstLineChars="0"/>
        <w:rPr>
          <w:rFonts w:hint="eastAsia" w:ascii="仿宋" w:hAnsi="仿宋" w:eastAsia="仿宋" w:cs="仿宋"/>
          <w:color w:val="auto"/>
          <w:kern w:val="0"/>
          <w:szCs w:val="24"/>
          <w:highlight w:val="none"/>
        </w:rPr>
      </w:pPr>
    </w:p>
    <w:p w14:paraId="206441BF">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2D63F0ED">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5B6BFDB5">
      <w:pPr>
        <w:spacing w:line="360" w:lineRule="auto"/>
        <w:rPr>
          <w:rFonts w:hint="eastAsia" w:ascii="仿宋" w:hAnsi="仿宋" w:eastAsia="仿宋" w:cs="仿宋"/>
          <w:b/>
          <w:color w:val="auto"/>
          <w:sz w:val="24"/>
          <w:highlight w:val="none"/>
        </w:rPr>
      </w:pPr>
    </w:p>
    <w:p w14:paraId="4E11E872">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26158B03">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7FD99A12">
      <w:pPr>
        <w:pStyle w:val="366"/>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14:paraId="26BA7941">
      <w:pPr>
        <w:pStyle w:val="366"/>
        <w:snapToGrid w:val="0"/>
        <w:spacing w:before="0"/>
        <w:ind w:firstLine="0" w:firstLineChars="0"/>
        <w:rPr>
          <w:rFonts w:hint="eastAsia" w:ascii="仿宋" w:hAnsi="仿宋" w:eastAsia="仿宋" w:cs="仿宋"/>
          <w:b/>
          <w:color w:val="auto"/>
          <w:szCs w:val="24"/>
          <w:highlight w:val="none"/>
        </w:rPr>
      </w:pPr>
    </w:p>
    <w:p w14:paraId="2148417E">
      <w:pPr>
        <w:pStyle w:val="366"/>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466D9A1C">
      <w:pPr>
        <w:widowControl/>
        <w:spacing w:line="360" w:lineRule="auto"/>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3D81A17">
      <w:pPr>
        <w:widowControl/>
        <w:spacing w:line="360" w:lineRule="auto"/>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14238E54">
      <w:pPr>
        <w:widowControl/>
        <w:spacing w:line="360" w:lineRule="auto"/>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33D4F76A">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2497F915">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5144DB62">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01695CD8">
      <w:pPr>
        <w:pStyle w:val="24"/>
        <w:spacing w:line="360" w:lineRule="auto"/>
        <w:ind w:left="479" w:hanging="479" w:hangingChars="199"/>
        <w:rPr>
          <w:rFonts w:hint="eastAsia" w:ascii="仿宋" w:hAnsi="仿宋" w:eastAsia="仿宋" w:cs="仿宋"/>
          <w:b/>
          <w:color w:val="auto"/>
          <w:highlight w:val="none"/>
        </w:rPr>
      </w:pPr>
    </w:p>
    <w:p w14:paraId="60931583">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5CD68AAE">
      <w:pPr>
        <w:widowControl/>
        <w:spacing w:line="360" w:lineRule="auto"/>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14:paraId="008A21AB">
      <w:pPr>
        <w:pStyle w:val="366"/>
        <w:snapToGrid w:val="0"/>
        <w:spacing w:before="0"/>
        <w:ind w:firstLine="42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4D60E58">
      <w:pPr>
        <w:pStyle w:val="366"/>
        <w:snapToGrid w:val="0"/>
        <w:spacing w:before="0"/>
        <w:ind w:firstLine="420" w:firstLineChars="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25.3如签订合同并生效后，供应商无故拒绝或延期，除按照合同条款处理外，列入不良行为记录一次，并给予通报。</w:t>
      </w:r>
    </w:p>
    <w:p w14:paraId="793C130C">
      <w:pPr>
        <w:pStyle w:val="366"/>
        <w:snapToGrid w:val="0"/>
        <w:spacing w:before="0"/>
        <w:ind w:firstLine="420" w:firstLineChars="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25.4中标供应商拒绝与采购人签订合同的，采购人可以按照评审报告推荐的中标或者成交候选人名单排序，确定下一候选人为中标供应商，也可以重新开展政府采购活动。</w:t>
      </w:r>
    </w:p>
    <w:p w14:paraId="59241D65">
      <w:pPr>
        <w:pStyle w:val="366"/>
        <w:snapToGrid w:val="0"/>
        <w:spacing w:before="0"/>
        <w:ind w:firstLine="420" w:firstLineChars="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25.5采购合同由采购人与中标供应商根据招标文件、投标文件等内容通过政府采购电子交易平台在线签订，自动备案。</w:t>
      </w:r>
    </w:p>
    <w:p w14:paraId="75994627">
      <w:pPr>
        <w:pStyle w:val="24"/>
        <w:spacing w:line="360" w:lineRule="auto"/>
        <w:ind w:left="479" w:hanging="479" w:hangingChars="199"/>
        <w:rPr>
          <w:rFonts w:hint="eastAsia" w:ascii="仿宋" w:hAnsi="仿宋" w:eastAsia="仿宋" w:cs="仿宋"/>
          <w:b/>
          <w:color w:val="auto"/>
          <w:highlight w:val="none"/>
        </w:rPr>
      </w:pPr>
    </w:p>
    <w:p w14:paraId="72CCEDDF">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履约保证金（如有）</w:t>
      </w:r>
    </w:p>
    <w:p w14:paraId="4A3740CA">
      <w:pPr>
        <w:shd w:val="clea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w:t>
      </w:r>
    </w:p>
    <w:p w14:paraId="668A5460">
      <w:pPr>
        <w:tabs>
          <w:tab w:val="left" w:pos="0"/>
        </w:tabs>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ab/>
      </w:r>
      <w:r>
        <w:rPr>
          <w:rFonts w:hint="eastAsia" w:ascii="仿宋" w:hAnsi="仿宋" w:eastAsia="仿宋" w:cs="仿宋"/>
          <w:color w:val="auto"/>
          <w:sz w:val="24"/>
          <w:szCs w:val="20"/>
          <w:highlight w:val="none"/>
        </w:rPr>
        <w:t>供应商可登录政采云平台-【金融服务】—【我的项目】—【已备案合同】以保函形式提供：</w:t>
      </w:r>
    </w:p>
    <w:p w14:paraId="4F81B383">
      <w:pPr>
        <w:numPr>
          <w:ilvl w:val="0"/>
          <w:numId w:val="3"/>
        </w:numPr>
        <w:tabs>
          <w:tab w:val="left" w:pos="0"/>
        </w:tabs>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供应商在合同列表选择需要投保的合同，点击[保函推荐]。</w:t>
      </w:r>
    </w:p>
    <w:p w14:paraId="4113FCF5">
      <w:pPr>
        <w:numPr>
          <w:ilvl w:val="0"/>
          <w:numId w:val="3"/>
        </w:numPr>
        <w:tabs>
          <w:tab w:val="left" w:pos="0"/>
        </w:tabs>
        <w:spacing w:line="360" w:lineRule="auto"/>
        <w:ind w:left="0" w:firstLine="420" w:firstLineChars="175"/>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在弹框里查看推荐的保函产品，供应商自行选择保函产品，点击[立即申请]。</w:t>
      </w:r>
    </w:p>
    <w:p w14:paraId="0B9E45B8">
      <w:pPr>
        <w:numPr>
          <w:ilvl w:val="0"/>
          <w:numId w:val="3"/>
        </w:numPr>
        <w:tabs>
          <w:tab w:val="left" w:pos="0"/>
        </w:tabs>
        <w:spacing w:line="360" w:lineRule="auto"/>
        <w:ind w:left="0" w:firstLine="420" w:firstLineChars="175"/>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在弹框里填写保函申请信息。具体步骤：选择产品—填写供应商信息—选择中标项目—确认信息—等待保险/保函受理—确认保单—支付保费—成功出单。政采云金融专线400-903-9583。</w:t>
      </w:r>
    </w:p>
    <w:p w14:paraId="23E76CE0">
      <w:pPr>
        <w:snapToGrid w:val="0"/>
        <w:spacing w:line="360" w:lineRule="auto"/>
        <w:ind w:firstLine="3357" w:firstLineChars="1045"/>
        <w:rPr>
          <w:rFonts w:hint="eastAsia" w:ascii="仿宋" w:hAnsi="仿宋" w:eastAsia="仿宋" w:cs="仿宋"/>
          <w:b/>
          <w:color w:val="auto"/>
          <w:sz w:val="32"/>
          <w:highlight w:val="none"/>
        </w:rPr>
      </w:pPr>
    </w:p>
    <w:p w14:paraId="6577635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735B38C">
      <w:pPr>
        <w:pStyle w:val="366"/>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p>
    <w:p w14:paraId="4BB59CE1">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44625650">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3D1BD3D2">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780CFFEE">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2879499F">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00E89B23">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19B50AF8">
      <w:pPr>
        <w:pStyle w:val="366"/>
        <w:snapToGrid w:val="0"/>
        <w:spacing w:before="0"/>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382DBC6E">
      <w:pPr>
        <w:tabs>
          <w:tab w:val="left" w:pos="0"/>
        </w:tabs>
        <w:spacing w:line="360" w:lineRule="auto"/>
        <w:ind w:firstLine="480"/>
        <w:rPr>
          <w:rFonts w:hint="eastAsia" w:ascii="仿宋" w:hAnsi="仿宋" w:eastAsia="仿宋" w:cs="仿宋"/>
          <w:color w:val="auto"/>
          <w:sz w:val="24"/>
          <w:highlight w:val="none"/>
        </w:rPr>
      </w:pPr>
    </w:p>
    <w:p w14:paraId="46F00F8F">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3DB3538D">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14:paraId="0AB673E9">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5458BB3">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29.2采购人可以邀请参加本项目的其他投标人或者第三方机构参与验收。参与验收的投标人或者第三方机构的意见作为验收书的参考资料一并存档。</w:t>
      </w:r>
    </w:p>
    <w:p w14:paraId="34269DAA">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244E7AF">
      <w:pPr>
        <w:pStyle w:val="366"/>
        <w:snapToGrid w:val="0"/>
        <w:spacing w:before="0"/>
        <w:ind w:firstLine="480"/>
        <w:rPr>
          <w:rFonts w:ascii="仿宋_GB2312" w:hAnsi="仿宋" w:eastAsia="仿宋_GB2312" w:cs="仿宋_GB2312"/>
          <w:color w:val="auto"/>
          <w:highlight w:val="none"/>
        </w:rPr>
      </w:pPr>
      <w:r>
        <w:rPr>
          <w:rFonts w:hint="eastAsia" w:ascii="仿宋" w:hAnsi="仿宋" w:eastAsia="仿宋" w:cs="仿宋"/>
          <w:color w:val="auto"/>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4" w:name="_Hlt75236101"/>
      <w:bookmarkEnd w:id="14"/>
      <w:bookmarkStart w:id="15" w:name="_Hlt74729768"/>
      <w:bookmarkEnd w:id="15"/>
      <w:bookmarkStart w:id="16" w:name="_Hlt68073093"/>
      <w:bookmarkEnd w:id="16"/>
      <w:bookmarkStart w:id="17" w:name="_Hlt68057669"/>
      <w:bookmarkEnd w:id="17"/>
      <w:bookmarkStart w:id="18" w:name="_Hlt75236011"/>
      <w:bookmarkEnd w:id="18"/>
      <w:bookmarkStart w:id="19" w:name="_Hlt75236290"/>
      <w:bookmarkEnd w:id="19"/>
      <w:bookmarkStart w:id="20" w:name="_Hlt74714665"/>
      <w:bookmarkEnd w:id="20"/>
      <w:bookmarkStart w:id="21" w:name="_Hlt68072990"/>
      <w:bookmarkEnd w:id="21"/>
      <w:bookmarkStart w:id="22" w:name="_Hlt68403820"/>
      <w:bookmarkEnd w:id="22"/>
      <w:bookmarkStart w:id="23" w:name="_Hlt74707468"/>
      <w:bookmarkEnd w:id="23"/>
      <w:bookmarkStart w:id="24" w:name="_Hlt68072998"/>
      <w:bookmarkEnd w:id="24"/>
      <w:bookmarkStart w:id="25" w:name="_Hlt74730295"/>
      <w:bookmarkEnd w:id="25"/>
      <w:r>
        <w:rPr>
          <w:rFonts w:hint="eastAsia" w:ascii="仿宋_GB2312" w:hAnsi="仿宋" w:eastAsia="仿宋_GB2312" w:cs="仿宋_GB2312"/>
          <w:color w:val="auto"/>
          <w:highlight w:val="none"/>
        </w:rPr>
        <w:br w:type="page"/>
      </w:r>
    </w:p>
    <w:bookmarkEnd w:id="11"/>
    <w:bookmarkEnd w:id="12"/>
    <w:p w14:paraId="5C9D327A">
      <w:pPr>
        <w:spacing w:line="360" w:lineRule="auto"/>
        <w:jc w:val="center"/>
        <w:outlineLvl w:val="0"/>
        <w:rPr>
          <w:rFonts w:ascii="仿宋" w:hAnsi="仿宋" w:eastAsia="仿宋" w:cs="仿宋_GB2312"/>
          <w:b/>
          <w:color w:val="auto"/>
          <w:sz w:val="36"/>
          <w:szCs w:val="36"/>
          <w:highlight w:val="none"/>
        </w:rPr>
      </w:pPr>
      <w:bookmarkStart w:id="26"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14:paraId="763669D5">
      <w:pPr>
        <w:pStyle w:val="5"/>
        <w:keepNext w:val="0"/>
        <w:spacing w:before="0" w:after="0" w:line="360" w:lineRule="auto"/>
        <w:jc w:val="center"/>
        <w:rPr>
          <w:rFonts w:hint="eastAsia" w:ascii="仿宋" w:hAnsi="仿宋" w:eastAsia="仿宋" w:cs="仿宋"/>
          <w:b/>
          <w:bCs/>
          <w:color w:val="auto"/>
          <w:sz w:val="24"/>
          <w:szCs w:val="24"/>
          <w:highlight w:val="none"/>
        </w:rPr>
      </w:pPr>
      <w:bookmarkStart w:id="27" w:name="_Toc256000000"/>
      <w:r>
        <w:rPr>
          <w:rFonts w:hint="eastAsia" w:ascii="仿宋" w:hAnsi="仿宋" w:eastAsia="仿宋" w:cs="仿宋"/>
          <w:color w:val="auto"/>
          <w:kern w:val="36"/>
          <w:sz w:val="24"/>
          <w:szCs w:val="24"/>
          <w:highlight w:val="none"/>
        </w:rPr>
        <w:t>1项目概述</w:t>
      </w:r>
      <w:bookmarkEnd w:id="27"/>
    </w:p>
    <w:p w14:paraId="1DB94A86">
      <w:pPr>
        <w:pStyle w:val="6"/>
        <w:keepNext w:val="0"/>
        <w:spacing w:before="0" w:after="0" w:line="360" w:lineRule="auto"/>
        <w:rPr>
          <w:rFonts w:hint="eastAsia" w:ascii="仿宋" w:hAnsi="仿宋" w:eastAsia="仿宋" w:cs="仿宋"/>
          <w:b/>
          <w:bCs/>
          <w:color w:val="auto"/>
          <w:sz w:val="24"/>
          <w:szCs w:val="24"/>
          <w:highlight w:val="none"/>
        </w:rPr>
      </w:pPr>
      <w:bookmarkStart w:id="28" w:name="_Toc256000001"/>
      <w:r>
        <w:rPr>
          <w:rFonts w:hint="eastAsia" w:ascii="仿宋" w:hAnsi="仿宋" w:eastAsia="仿宋" w:cs="仿宋"/>
          <w:i w:val="0"/>
          <w:iCs w:val="0"/>
          <w:color w:val="auto"/>
          <w:sz w:val="24"/>
          <w:szCs w:val="24"/>
          <w:highlight w:val="none"/>
        </w:rPr>
        <w:t>1.1项目背景</w:t>
      </w:r>
      <w:bookmarkEnd w:id="28"/>
    </w:p>
    <w:p w14:paraId="64446D12">
      <w:pPr>
        <w:pStyle w:val="7"/>
        <w:keepNext w:val="0"/>
        <w:spacing w:before="0" w:after="0" w:line="360" w:lineRule="auto"/>
        <w:rPr>
          <w:rFonts w:hint="eastAsia" w:ascii="仿宋" w:hAnsi="仿宋" w:eastAsia="仿宋" w:cs="仿宋"/>
          <w:b/>
          <w:bCs/>
          <w:color w:val="auto"/>
          <w:sz w:val="24"/>
          <w:szCs w:val="24"/>
          <w:highlight w:val="none"/>
        </w:rPr>
      </w:pPr>
      <w:bookmarkStart w:id="29" w:name="_Toc256000002"/>
      <w:r>
        <w:rPr>
          <w:rFonts w:hint="eastAsia" w:ascii="仿宋" w:hAnsi="仿宋" w:eastAsia="仿宋" w:cs="仿宋"/>
          <w:color w:val="auto"/>
          <w:sz w:val="24"/>
          <w:szCs w:val="24"/>
          <w:highlight w:val="none"/>
        </w:rPr>
        <w:t>1.1.1项目目的、意义及背景</w:t>
      </w:r>
      <w:bookmarkEnd w:id="29"/>
    </w:p>
    <w:p w14:paraId="1B879E75">
      <w:pPr>
        <w:pStyle w:val="979"/>
        <w:spacing w:before="0" w:after="0" w:line="360" w:lineRule="auto"/>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省税务局租用服务商IDC机房，该机房为标准的数据中心托管机房，目前租用该机房425个标准机柜，已上架并运行的信息化设备达2000余台。浙江省税务局主要业务系统均部署在该IDC机房，包括核心征管、电子税务局、数电发票、增值税发票系统、社保费系统等核心系统，为全省纳税人、缴费人提供业务保障。</w:t>
      </w:r>
    </w:p>
    <w:p w14:paraId="56856AC2">
      <w:pPr>
        <w:pStyle w:val="979"/>
        <w:spacing w:before="0" w:after="0" w:line="360" w:lineRule="auto"/>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保障所有设备的平稳运行及机房基础环境的稳定，需采购专业技术团队做好机房信息化设备和基础环境的巡检，本次采购服务内容包括：IDC机房巡检服务1项，负责对机房内的所有信息化设备（含服务器、小型机、存储设备、网络设备、安全设备等）的故障信息检查，及机房电力、消防、安防等系统的运行维护。</w:t>
      </w:r>
    </w:p>
    <w:p w14:paraId="11EB2F3F">
      <w:pPr>
        <w:pStyle w:val="979"/>
        <w:spacing w:before="0" w:after="0" w:line="360" w:lineRule="auto"/>
        <w:jc w:val="left"/>
        <w:rPr>
          <w:rFonts w:hint="eastAsia" w:ascii="仿宋" w:hAnsi="仿宋" w:eastAsia="仿宋" w:cs="仿宋"/>
          <w:b/>
          <w:bCs/>
          <w:color w:val="auto"/>
          <w:sz w:val="24"/>
          <w:szCs w:val="24"/>
        </w:rPr>
      </w:pPr>
      <w:r>
        <w:rPr>
          <w:rFonts w:hint="eastAsia" w:ascii="仿宋" w:hAnsi="仿宋" w:eastAsia="仿宋" w:cs="仿宋"/>
          <w:b/>
          <w:bCs/>
          <w:i w:val="0"/>
          <w:iCs w:val="0"/>
          <w:color w:val="auto"/>
          <w:sz w:val="24"/>
          <w:szCs w:val="24"/>
        </w:rPr>
        <w:t>1.2项目内容</w:t>
      </w:r>
    </w:p>
    <w:p w14:paraId="01A348A4">
      <w:pPr>
        <w:pStyle w:val="7"/>
        <w:keepNext w:val="0"/>
        <w:spacing w:before="0" w:after="0" w:line="360" w:lineRule="auto"/>
        <w:rPr>
          <w:rFonts w:hint="eastAsia" w:ascii="仿宋" w:hAnsi="仿宋" w:eastAsia="仿宋" w:cs="仿宋"/>
          <w:b/>
          <w:bCs/>
          <w:color w:val="auto"/>
          <w:sz w:val="24"/>
          <w:szCs w:val="24"/>
        </w:rPr>
      </w:pPr>
      <w:bookmarkStart w:id="30" w:name="_Toc256000004"/>
      <w:r>
        <w:rPr>
          <w:rFonts w:hint="eastAsia" w:ascii="仿宋" w:hAnsi="仿宋" w:eastAsia="仿宋" w:cs="仿宋"/>
          <w:color w:val="auto"/>
          <w:sz w:val="24"/>
          <w:szCs w:val="24"/>
        </w:rPr>
        <w:t>1.2.1采购内容</w:t>
      </w:r>
      <w:bookmarkEnd w:id="30"/>
    </w:p>
    <w:p w14:paraId="34848C30">
      <w:pPr>
        <w:pStyle w:val="979"/>
        <w:spacing w:before="0"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IDC机房巡检服务1项</w:t>
      </w:r>
    </w:p>
    <w:p w14:paraId="69E6F2DD">
      <w:pPr>
        <w:pStyle w:val="7"/>
        <w:keepNext w:val="0"/>
        <w:spacing w:before="0" w:after="0" w:line="360" w:lineRule="auto"/>
        <w:rPr>
          <w:rFonts w:hint="eastAsia" w:ascii="仿宋" w:hAnsi="仿宋" w:eastAsia="仿宋" w:cs="仿宋"/>
          <w:b/>
          <w:bCs/>
          <w:color w:val="auto"/>
          <w:sz w:val="24"/>
          <w:szCs w:val="24"/>
        </w:rPr>
      </w:pPr>
      <w:bookmarkStart w:id="31" w:name="_Toc256000005"/>
      <w:r>
        <w:rPr>
          <w:rFonts w:hint="eastAsia" w:ascii="仿宋" w:hAnsi="仿宋" w:eastAsia="仿宋" w:cs="仿宋"/>
          <w:color w:val="auto"/>
          <w:sz w:val="24"/>
          <w:szCs w:val="24"/>
        </w:rPr>
        <w:t>1.2.2项目实施要求</w:t>
      </w:r>
      <w:bookmarkEnd w:id="31"/>
    </w:p>
    <w:p w14:paraId="3A5574AA">
      <w:pPr>
        <w:pStyle w:val="8"/>
        <w:keepNext w:val="0"/>
        <w:spacing w:before="0" w:after="0" w:line="360" w:lineRule="auto"/>
        <w:rPr>
          <w:rFonts w:hint="eastAsia" w:ascii="仿宋" w:hAnsi="仿宋" w:eastAsia="仿宋" w:cs="仿宋"/>
          <w:b/>
          <w:bCs/>
          <w:color w:val="auto"/>
          <w:sz w:val="24"/>
          <w:szCs w:val="24"/>
        </w:rPr>
      </w:pPr>
      <w:r>
        <w:rPr>
          <w:rFonts w:hint="eastAsia" w:ascii="仿宋" w:hAnsi="仿宋" w:eastAsia="仿宋" w:cs="仿宋"/>
          <w:color w:val="auto"/>
          <w:sz w:val="24"/>
          <w:szCs w:val="24"/>
        </w:rPr>
        <w:t>1.2.2.1实施范围要求</w:t>
      </w:r>
    </w:p>
    <w:p w14:paraId="64921567">
      <w:pPr>
        <w:spacing w:before="0"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指定范围。</w:t>
      </w:r>
    </w:p>
    <w:p w14:paraId="3DD6206F">
      <w:pPr>
        <w:pStyle w:val="8"/>
        <w:keepNext w:val="0"/>
        <w:spacing w:before="0" w:after="0" w:line="360" w:lineRule="auto"/>
        <w:rPr>
          <w:rFonts w:hint="eastAsia" w:ascii="仿宋" w:hAnsi="仿宋" w:eastAsia="仿宋" w:cs="仿宋"/>
          <w:b/>
          <w:bCs/>
          <w:color w:val="auto"/>
          <w:sz w:val="24"/>
          <w:szCs w:val="24"/>
        </w:rPr>
      </w:pPr>
      <w:r>
        <w:rPr>
          <w:rFonts w:hint="eastAsia" w:ascii="仿宋" w:hAnsi="仿宋" w:eastAsia="仿宋" w:cs="仿宋"/>
          <w:color w:val="auto"/>
          <w:sz w:val="24"/>
          <w:szCs w:val="24"/>
        </w:rPr>
        <w:t>1.2.2.2实施时间要求</w:t>
      </w:r>
    </w:p>
    <w:p w14:paraId="3CF62D32">
      <w:pPr>
        <w:pStyle w:val="979"/>
        <w:spacing w:before="0"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服务期：一年（从合同生效日开始计算）。</w:t>
      </w:r>
    </w:p>
    <w:p w14:paraId="552CC782">
      <w:pPr>
        <w:pStyle w:val="8"/>
        <w:keepNext w:val="0"/>
        <w:spacing w:before="0" w:after="0" w:line="360" w:lineRule="auto"/>
        <w:rPr>
          <w:rFonts w:hint="eastAsia" w:ascii="仿宋" w:hAnsi="仿宋" w:eastAsia="仿宋" w:cs="仿宋"/>
          <w:b/>
          <w:bCs/>
          <w:color w:val="auto"/>
          <w:sz w:val="24"/>
          <w:szCs w:val="24"/>
        </w:rPr>
      </w:pPr>
      <w:r>
        <w:rPr>
          <w:rFonts w:hint="eastAsia" w:ascii="仿宋" w:hAnsi="仿宋" w:eastAsia="仿宋" w:cs="仿宋"/>
          <w:color w:val="auto"/>
          <w:sz w:val="24"/>
          <w:szCs w:val="24"/>
        </w:rPr>
        <w:t>1.2.2.3实施地点要求</w:t>
      </w:r>
    </w:p>
    <w:p w14:paraId="65DB2622">
      <w:pPr>
        <w:spacing w:before="0"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指定地点。</w:t>
      </w:r>
    </w:p>
    <w:p w14:paraId="02B3BF8B">
      <w:pPr>
        <w:pStyle w:val="7"/>
        <w:keepNext w:val="0"/>
        <w:spacing w:before="0" w:after="0" w:line="360" w:lineRule="auto"/>
        <w:rPr>
          <w:rFonts w:hint="eastAsia" w:ascii="仿宋" w:hAnsi="仿宋" w:eastAsia="仿宋" w:cs="仿宋"/>
          <w:b/>
          <w:bCs/>
          <w:color w:val="auto"/>
          <w:sz w:val="24"/>
          <w:szCs w:val="24"/>
        </w:rPr>
      </w:pPr>
      <w:bookmarkStart w:id="32" w:name="_Toc256000006"/>
      <w:r>
        <w:rPr>
          <w:rFonts w:hint="eastAsia" w:ascii="仿宋" w:hAnsi="仿宋" w:eastAsia="仿宋" w:cs="仿宋"/>
          <w:color w:val="auto"/>
          <w:sz w:val="24"/>
          <w:szCs w:val="24"/>
        </w:rPr>
        <w:t>1.2.3项目服务期</w:t>
      </w:r>
      <w:bookmarkEnd w:id="32"/>
    </w:p>
    <w:p w14:paraId="3A0C494E">
      <w:pPr>
        <w:pStyle w:val="979"/>
        <w:spacing w:before="0" w:after="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项目服务期：一年（从合同生效日开始计算）。本次招标的有效期为三年，报价时，按一年报价，并在三年内不变。合同为一年一签，一年后，经考核合格（考核标准在合同中明确），甲方满意，双方协商一致，并经采购人同意后续签下一年度合同。最长不超过三年。</w:t>
      </w:r>
    </w:p>
    <w:p w14:paraId="6CF59006">
      <w:pPr>
        <w:pStyle w:val="5"/>
        <w:keepNext w:val="0"/>
        <w:spacing w:before="0" w:after="0" w:line="360" w:lineRule="auto"/>
        <w:jc w:val="center"/>
        <w:rPr>
          <w:rFonts w:hint="eastAsia" w:ascii="仿宋" w:hAnsi="仿宋" w:eastAsia="仿宋" w:cs="仿宋"/>
          <w:b/>
          <w:bCs/>
          <w:color w:val="auto"/>
          <w:sz w:val="24"/>
          <w:szCs w:val="24"/>
        </w:rPr>
      </w:pPr>
      <w:bookmarkStart w:id="33" w:name="_Toc256000007"/>
      <w:r>
        <w:rPr>
          <w:rFonts w:hint="eastAsia" w:ascii="仿宋" w:hAnsi="仿宋" w:eastAsia="仿宋" w:cs="仿宋"/>
          <w:color w:val="auto"/>
          <w:kern w:val="36"/>
          <w:sz w:val="24"/>
          <w:szCs w:val="24"/>
        </w:rPr>
        <w:t>2投标/响应要求</w:t>
      </w:r>
      <w:bookmarkEnd w:id="33"/>
    </w:p>
    <w:p w14:paraId="6BEF991E">
      <w:pPr>
        <w:pStyle w:val="6"/>
        <w:keepNext w:val="0"/>
        <w:spacing w:before="0" w:after="0" w:line="360" w:lineRule="auto"/>
        <w:rPr>
          <w:rFonts w:hint="eastAsia" w:ascii="仿宋" w:hAnsi="仿宋" w:eastAsia="仿宋" w:cs="仿宋"/>
          <w:b/>
          <w:bCs/>
          <w:color w:val="auto"/>
          <w:sz w:val="24"/>
          <w:szCs w:val="24"/>
        </w:rPr>
      </w:pPr>
      <w:bookmarkStart w:id="34" w:name="_Toc256000008"/>
      <w:r>
        <w:rPr>
          <w:rFonts w:hint="eastAsia" w:ascii="仿宋" w:hAnsi="仿宋" w:eastAsia="仿宋" w:cs="仿宋"/>
          <w:i w:val="0"/>
          <w:iCs w:val="0"/>
          <w:color w:val="auto"/>
          <w:sz w:val="24"/>
          <w:szCs w:val="24"/>
        </w:rPr>
        <w:t>2.1对供应商的要求</w:t>
      </w:r>
      <w:bookmarkEnd w:id="34"/>
    </w:p>
    <w:p w14:paraId="6B9EF930">
      <w:pPr>
        <w:pStyle w:val="7"/>
        <w:keepNext w:val="0"/>
        <w:spacing w:before="0" w:after="0" w:line="360" w:lineRule="auto"/>
        <w:rPr>
          <w:rFonts w:hint="eastAsia" w:ascii="仿宋" w:hAnsi="仿宋" w:eastAsia="仿宋" w:cs="仿宋"/>
          <w:b/>
          <w:bCs/>
          <w:color w:val="auto"/>
          <w:sz w:val="24"/>
          <w:szCs w:val="24"/>
        </w:rPr>
      </w:pPr>
      <w:bookmarkStart w:id="35" w:name="_Toc256000009"/>
      <w:r>
        <w:rPr>
          <w:rFonts w:hint="eastAsia" w:ascii="仿宋" w:hAnsi="仿宋" w:eastAsia="仿宋" w:cs="仿宋"/>
          <w:color w:val="auto"/>
          <w:sz w:val="24"/>
          <w:szCs w:val="24"/>
        </w:rPr>
        <w:t>2.1.1必备资质</w:t>
      </w:r>
      <w:bookmarkEnd w:id="35"/>
    </w:p>
    <w:p w14:paraId="5C832D4D">
      <w:pPr>
        <w:pStyle w:val="8"/>
        <w:keepNext w:val="0"/>
        <w:spacing w:before="0" w:after="0" w:line="360" w:lineRule="auto"/>
        <w:rPr>
          <w:rFonts w:hint="eastAsia" w:ascii="仿宋" w:hAnsi="仿宋" w:eastAsia="仿宋" w:cs="仿宋"/>
          <w:b/>
          <w:bCs/>
          <w:color w:val="auto"/>
          <w:sz w:val="24"/>
          <w:szCs w:val="24"/>
        </w:rPr>
      </w:pPr>
      <w:r>
        <w:rPr>
          <w:rFonts w:hint="eastAsia" w:ascii="仿宋" w:hAnsi="仿宋" w:eastAsia="仿宋" w:cs="仿宋"/>
          <w:color w:val="auto"/>
          <w:sz w:val="24"/>
          <w:szCs w:val="24"/>
        </w:rPr>
        <w:t>2.1.1.1投标人应遵守有关国家法律、法规和条例,具备《中华人民共和国政府采购法》第二十二条的规定和本文件中规定的条件。</w:t>
      </w:r>
    </w:p>
    <w:p w14:paraId="409211AB">
      <w:pPr>
        <w:pStyle w:val="8"/>
        <w:keepNext w:val="0"/>
        <w:spacing w:before="0" w:after="0" w:line="360" w:lineRule="auto"/>
        <w:rPr>
          <w:rFonts w:hint="eastAsia" w:ascii="仿宋" w:hAnsi="仿宋" w:eastAsia="仿宋" w:cs="仿宋"/>
          <w:b/>
          <w:bCs/>
          <w:color w:val="auto"/>
          <w:sz w:val="24"/>
          <w:szCs w:val="24"/>
        </w:rPr>
      </w:pPr>
      <w:r>
        <w:rPr>
          <w:rFonts w:hint="eastAsia" w:ascii="仿宋" w:hAnsi="仿宋" w:eastAsia="仿宋" w:cs="仿宋"/>
          <w:color w:val="auto"/>
          <w:sz w:val="24"/>
          <w:szCs w:val="24"/>
        </w:rPr>
        <w:t>2.1.1.2本项目的特定资格要求</w:t>
      </w:r>
    </w:p>
    <w:p w14:paraId="2B8D9772">
      <w:pPr>
        <w:spacing w:before="0"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谢绝联合体投标。</w:t>
      </w:r>
    </w:p>
    <w:p w14:paraId="16EA37D0">
      <w:pPr>
        <w:pStyle w:val="7"/>
        <w:keepNext w:val="0"/>
        <w:spacing w:before="0" w:after="0" w:line="360" w:lineRule="auto"/>
        <w:rPr>
          <w:rFonts w:hint="eastAsia" w:ascii="仿宋" w:hAnsi="仿宋" w:eastAsia="仿宋" w:cs="仿宋"/>
          <w:b/>
          <w:bCs/>
          <w:color w:val="auto"/>
          <w:sz w:val="24"/>
          <w:szCs w:val="24"/>
        </w:rPr>
      </w:pPr>
      <w:bookmarkStart w:id="36" w:name="_Toc256000010"/>
      <w:r>
        <w:rPr>
          <w:rFonts w:hint="eastAsia" w:ascii="仿宋" w:hAnsi="仿宋" w:eastAsia="仿宋" w:cs="仿宋"/>
          <w:color w:val="auto"/>
          <w:sz w:val="24"/>
          <w:szCs w:val="24"/>
        </w:rPr>
        <w:t>2.1.2优选资质/优选指标</w:t>
      </w:r>
      <w:bookmarkEnd w:id="36"/>
    </w:p>
    <w:p w14:paraId="3FAF3521">
      <w:pPr>
        <w:pStyle w:val="8"/>
        <w:keepNext w:val="0"/>
        <w:spacing w:before="0" w:after="0" w:line="360" w:lineRule="auto"/>
        <w:rPr>
          <w:rFonts w:hint="eastAsia" w:ascii="仿宋" w:hAnsi="仿宋" w:eastAsia="仿宋" w:cs="仿宋"/>
          <w:b/>
          <w:bCs/>
          <w:color w:val="auto"/>
          <w:sz w:val="24"/>
          <w:szCs w:val="24"/>
        </w:rPr>
      </w:pPr>
      <w:r>
        <w:rPr>
          <w:rFonts w:hint="eastAsia" w:ascii="仿宋" w:hAnsi="仿宋" w:eastAsia="仿宋" w:cs="仿宋"/>
          <w:color w:val="auto"/>
          <w:sz w:val="24"/>
          <w:szCs w:val="24"/>
        </w:rPr>
        <w:t>2.1.2.1相关证书</w:t>
      </w:r>
    </w:p>
    <w:tbl>
      <w:tblPr>
        <w:tblStyle w:val="55"/>
        <w:tblW w:w="5000" w:type="pct"/>
        <w:tblInd w:w="30" w:type="dxa"/>
        <w:tblLayout w:type="autofit"/>
        <w:tblCellMar>
          <w:top w:w="15" w:type="dxa"/>
          <w:left w:w="15" w:type="dxa"/>
          <w:bottom w:w="15" w:type="dxa"/>
          <w:right w:w="15" w:type="dxa"/>
        </w:tblCellMar>
      </w:tblPr>
      <w:tblGrid>
        <w:gridCol w:w="1302"/>
        <w:gridCol w:w="2604"/>
        <w:gridCol w:w="2604"/>
        <w:gridCol w:w="2604"/>
      </w:tblGrid>
      <w:tr w14:paraId="7943C333">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44FF8B6D">
            <w:pPr>
              <w:jc w:val="center"/>
              <w:rPr>
                <w:rFonts w:hint="eastAsia" w:ascii="仿宋" w:hAnsi="仿宋" w:eastAsia="仿宋" w:cs="仿宋"/>
                <w:b/>
                <w:bCs/>
                <w:i w:val="0"/>
                <w:iCs w:val="0"/>
                <w:smallCaps w:val="0"/>
                <w:color w:val="auto"/>
                <w:sz w:val="24"/>
                <w:szCs w:val="24"/>
              </w:rPr>
            </w:pPr>
            <w:r>
              <w:rPr>
                <w:rFonts w:hint="eastAsia" w:ascii="仿宋" w:hAnsi="仿宋" w:eastAsia="仿宋" w:cs="仿宋"/>
                <w:b/>
                <w:bCs/>
                <w:i w:val="0"/>
                <w:iCs w:val="0"/>
                <w:smallCaps w:val="0"/>
                <w:color w:val="auto"/>
                <w:sz w:val="24"/>
                <w:szCs w:val="24"/>
              </w:rPr>
              <w:t>序号</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6A35FD89">
            <w:pPr>
              <w:jc w:val="center"/>
              <w:rPr>
                <w:rFonts w:hint="eastAsia" w:ascii="仿宋" w:hAnsi="仿宋" w:eastAsia="仿宋" w:cs="仿宋"/>
                <w:b/>
                <w:bCs/>
                <w:i w:val="0"/>
                <w:iCs w:val="0"/>
                <w:smallCaps w:val="0"/>
                <w:color w:val="auto"/>
                <w:sz w:val="24"/>
                <w:szCs w:val="24"/>
              </w:rPr>
            </w:pPr>
            <w:r>
              <w:rPr>
                <w:rFonts w:hint="eastAsia" w:ascii="仿宋" w:hAnsi="仿宋" w:eastAsia="仿宋" w:cs="仿宋"/>
                <w:b/>
                <w:bCs/>
                <w:i w:val="0"/>
                <w:iCs w:val="0"/>
                <w:smallCaps w:val="0"/>
                <w:color w:val="auto"/>
                <w:sz w:val="24"/>
                <w:szCs w:val="24"/>
              </w:rPr>
              <w:t>证书名称</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7341953E">
            <w:pPr>
              <w:jc w:val="center"/>
              <w:rPr>
                <w:rFonts w:hint="eastAsia" w:ascii="仿宋" w:hAnsi="仿宋" w:eastAsia="仿宋" w:cs="仿宋"/>
                <w:b/>
                <w:bCs/>
                <w:i w:val="0"/>
                <w:iCs w:val="0"/>
                <w:smallCaps w:val="0"/>
                <w:color w:val="auto"/>
                <w:sz w:val="24"/>
                <w:szCs w:val="24"/>
              </w:rPr>
            </w:pPr>
            <w:r>
              <w:rPr>
                <w:rFonts w:hint="eastAsia" w:ascii="仿宋" w:hAnsi="仿宋" w:eastAsia="仿宋" w:cs="仿宋"/>
                <w:b/>
                <w:bCs/>
                <w:i w:val="0"/>
                <w:iCs w:val="0"/>
                <w:smallCaps w:val="0"/>
                <w:color w:val="auto"/>
                <w:sz w:val="24"/>
                <w:szCs w:val="24"/>
              </w:rPr>
              <w:t>颁发部门</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298FC284">
            <w:pPr>
              <w:jc w:val="center"/>
              <w:rPr>
                <w:rFonts w:hint="eastAsia" w:ascii="仿宋" w:hAnsi="仿宋" w:eastAsia="仿宋" w:cs="仿宋"/>
                <w:b/>
                <w:bCs/>
                <w:i w:val="0"/>
                <w:iCs w:val="0"/>
                <w:smallCaps w:val="0"/>
                <w:color w:val="auto"/>
                <w:sz w:val="24"/>
                <w:szCs w:val="24"/>
              </w:rPr>
            </w:pPr>
            <w:r>
              <w:rPr>
                <w:rFonts w:hint="eastAsia" w:ascii="仿宋" w:hAnsi="仿宋" w:eastAsia="仿宋" w:cs="仿宋"/>
                <w:b/>
                <w:bCs/>
                <w:i w:val="0"/>
                <w:iCs w:val="0"/>
                <w:smallCaps w:val="0"/>
                <w:color w:val="auto"/>
                <w:sz w:val="24"/>
                <w:szCs w:val="24"/>
              </w:rPr>
              <w:t>相关要求</w:t>
            </w:r>
          </w:p>
        </w:tc>
      </w:tr>
      <w:tr w14:paraId="1C618AB2">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A40C30">
            <w:pPr>
              <w:jc w:val="center"/>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1</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D5FFD6">
            <w:pPr>
              <w:jc w:val="left"/>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信息技术服务管理体系认证(ISO/IEC 20000)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55B975">
            <w:pPr>
              <w:jc w:val="left"/>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颁发机构为中国国家认证认可监督管理委员会认证机构名录内的机构</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51FCE7">
            <w:pPr>
              <w:jc w:val="left"/>
              <w:rPr>
                <w:rFonts w:hint="eastAsia" w:ascii="仿宋" w:hAnsi="仿宋" w:eastAsia="仿宋" w:cs="仿宋"/>
                <w:b w:val="0"/>
                <w:bCs w:val="0"/>
                <w:i w:val="0"/>
                <w:iCs w:val="0"/>
                <w:smallCaps w:val="0"/>
                <w:color w:val="auto"/>
                <w:sz w:val="24"/>
                <w:szCs w:val="24"/>
              </w:rPr>
            </w:pPr>
          </w:p>
        </w:tc>
      </w:tr>
      <w:tr w14:paraId="57587EB6">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C51A44">
            <w:pPr>
              <w:jc w:val="center"/>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2</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0324E9">
            <w:pPr>
              <w:jc w:val="left"/>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信息安全管理体系认证(ISO/IEC 27001)</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98E1C8">
            <w:pPr>
              <w:jc w:val="left"/>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颁发机构为中国国家认证认可监督管理委员会认证机构名录内的机构</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5881E6">
            <w:pPr>
              <w:jc w:val="left"/>
              <w:rPr>
                <w:rFonts w:hint="eastAsia" w:ascii="仿宋" w:hAnsi="仿宋" w:eastAsia="仿宋" w:cs="仿宋"/>
                <w:b w:val="0"/>
                <w:bCs w:val="0"/>
                <w:i w:val="0"/>
                <w:iCs w:val="0"/>
                <w:smallCaps w:val="0"/>
                <w:color w:val="auto"/>
                <w:sz w:val="24"/>
                <w:szCs w:val="24"/>
              </w:rPr>
            </w:pPr>
          </w:p>
        </w:tc>
      </w:tr>
      <w:tr w14:paraId="1BA0B852">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8836F5">
            <w:pPr>
              <w:jc w:val="center"/>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3</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97D3A9">
            <w:pPr>
              <w:jc w:val="left"/>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职业健康安全管理体系认证（ISO/IEC45001）</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97BB5C">
            <w:pPr>
              <w:jc w:val="left"/>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颁发机构为中国国家认证认可监督管理委员会认证机构名录内的机构</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5404C0">
            <w:pPr>
              <w:jc w:val="left"/>
              <w:rPr>
                <w:rFonts w:hint="eastAsia" w:ascii="仿宋" w:hAnsi="仿宋" w:eastAsia="仿宋" w:cs="仿宋"/>
                <w:b w:val="0"/>
                <w:bCs w:val="0"/>
                <w:i w:val="0"/>
                <w:iCs w:val="0"/>
                <w:smallCaps w:val="0"/>
                <w:color w:val="auto"/>
                <w:sz w:val="24"/>
                <w:szCs w:val="24"/>
              </w:rPr>
            </w:pPr>
          </w:p>
        </w:tc>
      </w:tr>
    </w:tbl>
    <w:p w14:paraId="1CAF35DD">
      <w:pPr>
        <w:pStyle w:val="8"/>
        <w:keepNext w:val="0"/>
        <w:spacing w:before="0" w:after="0" w:line="360" w:lineRule="auto"/>
        <w:rPr>
          <w:rFonts w:hint="eastAsia" w:ascii="仿宋" w:hAnsi="仿宋" w:eastAsia="仿宋" w:cs="仿宋"/>
          <w:b/>
          <w:bCs/>
          <w:color w:val="auto"/>
          <w:sz w:val="24"/>
          <w:szCs w:val="24"/>
        </w:rPr>
      </w:pPr>
      <w:r>
        <w:rPr>
          <w:rFonts w:hint="eastAsia" w:ascii="仿宋" w:hAnsi="仿宋" w:eastAsia="仿宋" w:cs="仿宋"/>
          <w:color w:val="auto"/>
          <w:sz w:val="24"/>
          <w:szCs w:val="24"/>
        </w:rPr>
        <w:t>2.1.2.2成功案例</w:t>
      </w:r>
    </w:p>
    <w:p w14:paraId="70CB83F2">
      <w:pPr>
        <w:pStyle w:val="979"/>
        <w:spacing w:before="0" w:after="0" w:line="360" w:lineRule="auto"/>
        <w:ind w:firstLine="480" w:firstLineChars="200"/>
        <w:rPr>
          <w:rFonts w:hint="eastAsia" w:ascii="仿宋" w:hAnsi="仿宋" w:eastAsia="仿宋" w:cs="仿宋"/>
          <w:color w:val="auto"/>
          <w:sz w:val="24"/>
          <w:szCs w:val="24"/>
          <w:lang w:val="en-US" w:eastAsia="en-US" w:bidi="ar-SA"/>
        </w:rPr>
      </w:pPr>
      <w:r>
        <w:rPr>
          <w:rFonts w:hint="eastAsia" w:ascii="仿宋" w:hAnsi="仿宋" w:eastAsia="仿宋" w:cs="仿宋"/>
          <w:color w:val="auto"/>
          <w:sz w:val="24"/>
          <w:szCs w:val="24"/>
          <w:lang w:val="en-US" w:eastAsia="en-US" w:bidi="ar-SA"/>
        </w:rPr>
        <w:t>自2022年1月1日以来（以合同签订日期为准）投标人承担过类似人员驻场运维成功案例（项目内容至少包括机房巡检），并提供合同复印件。</w:t>
      </w:r>
    </w:p>
    <w:p w14:paraId="141EE29E">
      <w:pPr>
        <w:pStyle w:val="7"/>
        <w:keepNext w:val="0"/>
        <w:spacing w:before="0" w:after="0" w:line="360" w:lineRule="auto"/>
        <w:rPr>
          <w:rFonts w:hint="eastAsia" w:ascii="仿宋" w:hAnsi="仿宋" w:eastAsia="仿宋" w:cs="仿宋"/>
          <w:b/>
          <w:bCs/>
          <w:color w:val="auto"/>
          <w:sz w:val="24"/>
          <w:szCs w:val="24"/>
        </w:rPr>
      </w:pPr>
      <w:bookmarkStart w:id="37" w:name="_Toc256000011"/>
      <w:r>
        <w:rPr>
          <w:rFonts w:hint="eastAsia" w:ascii="仿宋" w:hAnsi="仿宋" w:eastAsia="仿宋" w:cs="仿宋"/>
          <w:color w:val="auto"/>
          <w:sz w:val="24"/>
          <w:szCs w:val="24"/>
        </w:rPr>
        <w:t>2.1.3是否允许联合体</w:t>
      </w:r>
      <w:bookmarkEnd w:id="37"/>
    </w:p>
    <w:p w14:paraId="677C2D32">
      <w:pPr>
        <w:spacing w:before="0" w:after="0" w:line="360" w:lineRule="auto"/>
        <w:ind w:firstLine="561"/>
        <w:rPr>
          <w:rFonts w:hint="eastAsia" w:ascii="仿宋" w:hAnsi="仿宋" w:eastAsia="仿宋" w:cs="仿宋"/>
          <w:color w:val="auto"/>
          <w:sz w:val="24"/>
          <w:szCs w:val="24"/>
        </w:rPr>
      </w:pPr>
      <w:r>
        <w:rPr>
          <w:rFonts w:hint="eastAsia" w:ascii="仿宋" w:hAnsi="仿宋" w:eastAsia="仿宋" w:cs="仿宋"/>
          <w:color w:val="auto"/>
          <w:sz w:val="24"/>
          <w:szCs w:val="24"/>
        </w:rPr>
        <w:t>否</w:t>
      </w:r>
    </w:p>
    <w:p w14:paraId="6C2089A1">
      <w:pPr>
        <w:pStyle w:val="7"/>
        <w:keepNext w:val="0"/>
        <w:spacing w:before="0" w:after="0" w:line="360" w:lineRule="auto"/>
        <w:rPr>
          <w:rFonts w:hint="eastAsia" w:ascii="仿宋" w:hAnsi="仿宋" w:eastAsia="仿宋" w:cs="仿宋"/>
          <w:b/>
          <w:bCs/>
          <w:color w:val="auto"/>
          <w:sz w:val="24"/>
          <w:szCs w:val="24"/>
        </w:rPr>
      </w:pPr>
      <w:bookmarkStart w:id="38" w:name="_Toc256000012"/>
      <w:r>
        <w:rPr>
          <w:rFonts w:hint="eastAsia" w:ascii="仿宋" w:hAnsi="仿宋" w:eastAsia="仿宋" w:cs="仿宋"/>
          <w:color w:val="auto"/>
          <w:sz w:val="24"/>
          <w:szCs w:val="24"/>
        </w:rPr>
        <w:t>2.1.4是否专门面向中小企业</w:t>
      </w:r>
      <w:bookmarkEnd w:id="38"/>
    </w:p>
    <w:p w14:paraId="3101D26E">
      <w:pPr>
        <w:spacing w:before="0" w:after="0" w:line="360" w:lineRule="auto"/>
        <w:ind w:firstLine="561"/>
        <w:rPr>
          <w:rFonts w:hint="eastAsia" w:ascii="仿宋" w:hAnsi="仿宋" w:eastAsia="仿宋" w:cs="仿宋"/>
          <w:color w:val="auto"/>
          <w:sz w:val="24"/>
          <w:szCs w:val="24"/>
        </w:rPr>
      </w:pPr>
      <w:r>
        <w:rPr>
          <w:rFonts w:hint="eastAsia" w:ascii="仿宋" w:hAnsi="仿宋" w:eastAsia="仿宋" w:cs="仿宋"/>
          <w:color w:val="auto"/>
          <w:sz w:val="24"/>
          <w:szCs w:val="24"/>
        </w:rPr>
        <w:t>本项目不专门面向中小企业采购项目</w:t>
      </w:r>
    </w:p>
    <w:p w14:paraId="706AC251">
      <w:pPr>
        <w:pStyle w:val="6"/>
        <w:keepNext w:val="0"/>
        <w:spacing w:before="0" w:after="0" w:line="360" w:lineRule="auto"/>
        <w:rPr>
          <w:rFonts w:hint="eastAsia" w:ascii="仿宋" w:hAnsi="仿宋" w:eastAsia="仿宋" w:cs="仿宋"/>
          <w:b/>
          <w:bCs/>
          <w:color w:val="auto"/>
          <w:sz w:val="24"/>
          <w:szCs w:val="24"/>
        </w:rPr>
      </w:pPr>
      <w:bookmarkStart w:id="39" w:name="_Toc256000013"/>
      <w:r>
        <w:rPr>
          <w:rFonts w:hint="eastAsia" w:ascii="仿宋" w:hAnsi="仿宋" w:eastAsia="仿宋" w:cs="仿宋"/>
          <w:i w:val="0"/>
          <w:iCs w:val="0"/>
          <w:color w:val="auto"/>
          <w:sz w:val="24"/>
          <w:szCs w:val="24"/>
        </w:rPr>
        <w:t>2.2技术部分投标/响应内容</w:t>
      </w:r>
      <w:bookmarkEnd w:id="39"/>
    </w:p>
    <w:p w14:paraId="087609A6">
      <w:pPr>
        <w:pStyle w:val="7"/>
        <w:keepNext w:val="0"/>
        <w:spacing w:before="0" w:after="0" w:line="360" w:lineRule="auto"/>
        <w:rPr>
          <w:rFonts w:hint="eastAsia" w:ascii="仿宋" w:hAnsi="仿宋" w:eastAsia="仿宋" w:cs="仿宋"/>
          <w:b/>
          <w:bCs/>
          <w:color w:val="auto"/>
          <w:sz w:val="24"/>
          <w:szCs w:val="24"/>
        </w:rPr>
      </w:pPr>
      <w:bookmarkStart w:id="40" w:name="_Toc256000014"/>
      <w:r>
        <w:rPr>
          <w:rFonts w:hint="eastAsia" w:ascii="仿宋" w:hAnsi="仿宋" w:eastAsia="仿宋" w:cs="仿宋"/>
          <w:color w:val="auto"/>
          <w:sz w:val="24"/>
          <w:szCs w:val="24"/>
        </w:rPr>
        <w:t>2.2.1投标/响应方案要求</w:t>
      </w:r>
      <w:bookmarkEnd w:id="40"/>
    </w:p>
    <w:p w14:paraId="32D9E94D">
      <w:pPr>
        <w:spacing w:before="0" w:after="0" w:line="360" w:lineRule="auto"/>
        <w:ind w:firstLine="561"/>
        <w:rPr>
          <w:rFonts w:hint="eastAsia" w:ascii="仿宋" w:hAnsi="仿宋" w:eastAsia="仿宋" w:cs="仿宋"/>
          <w:color w:val="auto"/>
          <w:sz w:val="24"/>
          <w:szCs w:val="24"/>
        </w:rPr>
      </w:pPr>
      <w:r>
        <w:rPr>
          <w:rFonts w:hint="eastAsia" w:ascii="仿宋" w:hAnsi="仿宋" w:eastAsia="仿宋" w:cs="仿宋"/>
          <w:color w:val="auto"/>
          <w:sz w:val="24"/>
          <w:szCs w:val="24"/>
        </w:rPr>
        <w:t>以下相关方案，投标人应在根据项目特点和采购需求，制定更为完整、详细、可操作性强的方案。</w:t>
      </w:r>
    </w:p>
    <w:p w14:paraId="6A15F5AE">
      <w:pPr>
        <w:pStyle w:val="979"/>
        <w:spacing w:before="0" w:after="0" w:line="360" w:lineRule="auto"/>
        <w:ind w:firstLine="562"/>
        <w:rPr>
          <w:rFonts w:hint="eastAsia" w:ascii="仿宋" w:hAnsi="仿宋" w:eastAsia="仿宋" w:cs="仿宋"/>
          <w:color w:val="auto"/>
          <w:sz w:val="24"/>
          <w:szCs w:val="24"/>
        </w:rPr>
      </w:pPr>
      <w:r>
        <w:rPr>
          <w:rFonts w:hint="eastAsia" w:ascii="仿宋" w:hAnsi="仿宋" w:eastAsia="仿宋" w:cs="仿宋"/>
          <w:color w:val="auto"/>
          <w:sz w:val="24"/>
          <w:szCs w:val="24"/>
        </w:rPr>
        <w:t>1、机房信息化设备巡检方案</w:t>
      </w:r>
    </w:p>
    <w:p w14:paraId="5B9D7520">
      <w:pPr>
        <w:pStyle w:val="979"/>
        <w:spacing w:before="0" w:after="0" w:line="360" w:lineRule="auto"/>
        <w:ind w:firstLine="562"/>
        <w:rPr>
          <w:rFonts w:hint="eastAsia" w:ascii="仿宋" w:hAnsi="仿宋" w:eastAsia="仿宋" w:cs="仿宋"/>
          <w:color w:val="auto"/>
          <w:sz w:val="24"/>
          <w:szCs w:val="24"/>
        </w:rPr>
      </w:pPr>
      <w:r>
        <w:rPr>
          <w:rFonts w:hint="eastAsia" w:ascii="仿宋" w:hAnsi="仿宋" w:eastAsia="仿宋" w:cs="仿宋"/>
          <w:color w:val="auto"/>
          <w:sz w:val="24"/>
          <w:szCs w:val="24"/>
        </w:rPr>
        <w:t>2、机房基础环境巡检方案</w:t>
      </w:r>
    </w:p>
    <w:p w14:paraId="468495AE">
      <w:pPr>
        <w:pStyle w:val="979"/>
        <w:spacing w:before="0" w:after="0" w:line="360" w:lineRule="auto"/>
        <w:ind w:firstLine="562"/>
        <w:rPr>
          <w:rFonts w:hint="eastAsia" w:ascii="仿宋" w:hAnsi="仿宋" w:eastAsia="仿宋" w:cs="仿宋"/>
          <w:color w:val="auto"/>
          <w:sz w:val="24"/>
          <w:szCs w:val="24"/>
        </w:rPr>
      </w:pPr>
      <w:r>
        <w:rPr>
          <w:rFonts w:hint="eastAsia" w:ascii="仿宋" w:hAnsi="仿宋" w:eastAsia="仿宋" w:cs="仿宋"/>
          <w:color w:val="auto"/>
          <w:sz w:val="24"/>
          <w:szCs w:val="24"/>
        </w:rPr>
        <w:t>3、设备上下架及仓库管理方案</w:t>
      </w:r>
    </w:p>
    <w:p w14:paraId="552F6718">
      <w:pPr>
        <w:pStyle w:val="979"/>
        <w:spacing w:before="0" w:after="0" w:line="360" w:lineRule="auto"/>
        <w:ind w:firstLine="562"/>
        <w:rPr>
          <w:rFonts w:hint="eastAsia" w:ascii="仿宋" w:hAnsi="仿宋" w:eastAsia="仿宋" w:cs="仿宋"/>
          <w:color w:val="auto"/>
          <w:sz w:val="24"/>
          <w:szCs w:val="24"/>
        </w:rPr>
      </w:pPr>
      <w:r>
        <w:rPr>
          <w:rFonts w:hint="eastAsia" w:ascii="仿宋" w:hAnsi="仿宋" w:eastAsia="仿宋" w:cs="仿宋"/>
          <w:color w:val="auto"/>
          <w:sz w:val="24"/>
          <w:szCs w:val="24"/>
        </w:rPr>
        <w:t>4、重要节点保障方案</w:t>
      </w:r>
    </w:p>
    <w:p w14:paraId="1427E6A5">
      <w:pPr>
        <w:pStyle w:val="979"/>
        <w:spacing w:before="0" w:after="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 </w:t>
      </w:r>
    </w:p>
    <w:p w14:paraId="0CFF3136">
      <w:pPr>
        <w:pStyle w:val="5"/>
        <w:keepNext w:val="0"/>
        <w:spacing w:before="0" w:after="0" w:line="360" w:lineRule="auto"/>
        <w:jc w:val="center"/>
        <w:rPr>
          <w:rFonts w:hint="eastAsia" w:ascii="仿宋" w:hAnsi="仿宋" w:eastAsia="仿宋" w:cs="仿宋"/>
          <w:b/>
          <w:bCs/>
          <w:color w:val="auto"/>
          <w:sz w:val="24"/>
          <w:szCs w:val="24"/>
        </w:rPr>
      </w:pPr>
      <w:bookmarkStart w:id="41" w:name="_Toc256000015"/>
      <w:r>
        <w:rPr>
          <w:rFonts w:hint="eastAsia" w:ascii="仿宋" w:hAnsi="仿宋" w:eastAsia="仿宋" w:cs="仿宋"/>
          <w:color w:val="auto"/>
          <w:kern w:val="36"/>
          <w:sz w:val="24"/>
          <w:szCs w:val="24"/>
        </w:rPr>
        <w:t>3项目需求</w:t>
      </w:r>
      <w:bookmarkEnd w:id="41"/>
    </w:p>
    <w:p w14:paraId="0D6A2968">
      <w:pPr>
        <w:pStyle w:val="6"/>
        <w:keepNext w:val="0"/>
        <w:spacing w:before="0" w:after="0" w:line="360" w:lineRule="auto"/>
        <w:rPr>
          <w:rFonts w:hint="eastAsia" w:ascii="仿宋" w:hAnsi="仿宋" w:eastAsia="仿宋" w:cs="仿宋"/>
          <w:b/>
          <w:bCs/>
          <w:color w:val="auto"/>
          <w:sz w:val="24"/>
          <w:szCs w:val="24"/>
        </w:rPr>
      </w:pPr>
      <w:bookmarkStart w:id="42" w:name="_Toc256000016"/>
      <w:r>
        <w:rPr>
          <w:rFonts w:hint="eastAsia" w:ascii="仿宋" w:hAnsi="仿宋" w:eastAsia="仿宋" w:cs="仿宋"/>
          <w:i w:val="0"/>
          <w:iCs w:val="0"/>
          <w:color w:val="auto"/>
          <w:sz w:val="24"/>
          <w:szCs w:val="24"/>
        </w:rPr>
        <w:t>3.1总体要求</w:t>
      </w:r>
      <w:bookmarkEnd w:id="42"/>
    </w:p>
    <w:p w14:paraId="0811D8B7">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本次采购值班巡检人员，负责</w:t>
      </w:r>
      <w:r>
        <w:rPr>
          <w:rFonts w:hint="eastAsia" w:ascii="仿宋" w:hAnsi="仿宋" w:eastAsia="仿宋" w:cs="仿宋"/>
          <w:color w:val="auto"/>
          <w:sz w:val="24"/>
          <w:szCs w:val="24"/>
        </w:rPr>
        <w:t>对机房内的所有信息化设备（含服务器、小型机、存储、网络、安全等）的故障信息检查，及机房电力、消防、安防等系统的运行维护。</w:t>
      </w:r>
    </w:p>
    <w:p w14:paraId="325AA6F8">
      <w:pPr>
        <w:pStyle w:val="6"/>
        <w:keepNext w:val="0"/>
        <w:spacing w:before="0" w:after="0" w:line="360" w:lineRule="auto"/>
        <w:rPr>
          <w:rFonts w:hint="eastAsia" w:ascii="仿宋" w:hAnsi="仿宋" w:eastAsia="仿宋" w:cs="仿宋"/>
          <w:b/>
          <w:bCs/>
          <w:color w:val="auto"/>
          <w:sz w:val="24"/>
          <w:szCs w:val="24"/>
        </w:rPr>
      </w:pPr>
      <w:bookmarkStart w:id="43" w:name="_Toc256000017"/>
      <w:r>
        <w:rPr>
          <w:rFonts w:hint="eastAsia" w:ascii="仿宋" w:hAnsi="仿宋" w:eastAsia="仿宋" w:cs="仿宋"/>
          <w:i w:val="0"/>
          <w:iCs w:val="0"/>
          <w:color w:val="auto"/>
          <w:sz w:val="24"/>
          <w:szCs w:val="24"/>
        </w:rPr>
        <w:t>3.2服务内容和要求</w:t>
      </w:r>
      <w:bookmarkEnd w:id="43"/>
    </w:p>
    <w:p w14:paraId="7AB2A9F5">
      <w:pPr>
        <w:spacing w:before="0" w:after="0" w:line="360" w:lineRule="auto"/>
        <w:ind w:firstLine="561"/>
        <w:rPr>
          <w:rFonts w:hint="eastAsia" w:ascii="仿宋" w:hAnsi="仿宋" w:eastAsia="仿宋" w:cs="仿宋"/>
          <w:color w:val="auto"/>
          <w:sz w:val="24"/>
          <w:szCs w:val="24"/>
        </w:rPr>
      </w:pPr>
      <w:r>
        <w:rPr>
          <w:rFonts w:hint="eastAsia" w:ascii="仿宋" w:hAnsi="仿宋" w:eastAsia="仿宋" w:cs="仿宋"/>
          <w:color w:val="auto"/>
          <w:sz w:val="24"/>
          <w:szCs w:val="24"/>
        </w:rPr>
        <w:t>1、机房信息化设备巡检</w:t>
      </w:r>
    </w:p>
    <w:p w14:paraId="3BCD458B">
      <w:pPr>
        <w:spacing w:before="0" w:after="0" w:line="360" w:lineRule="auto"/>
        <w:ind w:firstLine="561"/>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机房</w:t>
      </w:r>
      <w:r>
        <w:rPr>
          <w:rFonts w:hint="eastAsia" w:ascii="仿宋" w:hAnsi="仿宋" w:eastAsia="仿宋" w:cs="仿宋"/>
          <w:color w:val="auto"/>
          <w:sz w:val="24"/>
          <w:szCs w:val="24"/>
        </w:rPr>
        <w:t>已上架并运行的信息化设备达2</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00余台</w:t>
      </w:r>
      <w:r>
        <w:rPr>
          <w:rFonts w:hint="eastAsia" w:ascii="仿宋" w:hAnsi="仿宋" w:eastAsia="仿宋" w:cs="仿宋"/>
          <w:color w:val="auto"/>
          <w:sz w:val="24"/>
          <w:szCs w:val="24"/>
          <w:lang w:eastAsia="zh-CN"/>
        </w:rPr>
        <w:t>，其中</w:t>
      </w:r>
      <w:r>
        <w:rPr>
          <w:rFonts w:hint="eastAsia" w:ascii="仿宋" w:hAnsi="仿宋" w:eastAsia="仿宋" w:cs="仿宋"/>
          <w:color w:val="auto"/>
          <w:sz w:val="24"/>
          <w:szCs w:val="24"/>
          <w:lang w:val="en-US" w:eastAsia="zh-CN"/>
        </w:rPr>
        <w:t>服务器1786台，主要品牌有华为、H3C、戴尔、联想等；小型机16台，主要品牌为浪潮；存储设备23台，主要品牌有EMC、华为、H3C等；网络设备383台，主要品牌有华为、H3C、锐捷、天融信等；安全设备110台，主要品牌有天融信、深信服、安恒、绿盟、帕拉迪等。</w:t>
      </w:r>
      <w:r>
        <w:rPr>
          <w:rFonts w:hint="eastAsia" w:ascii="仿宋" w:hAnsi="仿宋" w:eastAsia="仿宋" w:cs="仿宋"/>
          <w:color w:val="auto"/>
          <w:sz w:val="24"/>
          <w:szCs w:val="24"/>
        </w:rPr>
        <w:t>值班巡检人员</w:t>
      </w:r>
      <w:r>
        <w:rPr>
          <w:rFonts w:hint="eastAsia" w:ascii="仿宋" w:hAnsi="仿宋" w:eastAsia="仿宋" w:cs="仿宋"/>
          <w:color w:val="auto"/>
          <w:sz w:val="24"/>
          <w:szCs w:val="24"/>
          <w:lang w:eastAsia="zh-CN"/>
        </w:rPr>
        <w:t>负责</w:t>
      </w:r>
      <w:r>
        <w:rPr>
          <w:rFonts w:hint="eastAsia" w:ascii="仿宋" w:hAnsi="仿宋" w:eastAsia="仿宋" w:cs="仿宋"/>
          <w:color w:val="auto"/>
          <w:sz w:val="24"/>
          <w:szCs w:val="24"/>
        </w:rPr>
        <w:t>对机房内的所有信息化设备（含服务器、小型机、存储、网络、安全等）进行现场巡检，详细检查各设备的告警情况（电源、</w:t>
      </w:r>
      <w:r>
        <w:rPr>
          <w:rFonts w:hint="eastAsia" w:ascii="仿宋" w:hAnsi="仿宋" w:eastAsia="仿宋" w:cs="仿宋"/>
          <w:color w:val="auto"/>
          <w:sz w:val="24"/>
          <w:szCs w:val="24"/>
          <w:lang w:eastAsia="zh-CN"/>
        </w:rPr>
        <w:t>内存、</w:t>
      </w:r>
      <w:r>
        <w:rPr>
          <w:rFonts w:hint="eastAsia" w:ascii="仿宋" w:hAnsi="仿宋" w:eastAsia="仿宋" w:cs="仿宋"/>
          <w:color w:val="auto"/>
          <w:sz w:val="24"/>
          <w:szCs w:val="24"/>
        </w:rPr>
        <w:t>硬盘等），</w:t>
      </w:r>
      <w:r>
        <w:rPr>
          <w:rFonts w:hint="eastAsia" w:ascii="仿宋" w:hAnsi="仿宋" w:eastAsia="仿宋" w:cs="仿宋"/>
          <w:color w:val="auto"/>
          <w:sz w:val="24"/>
          <w:szCs w:val="24"/>
          <w:lang w:eastAsia="zh-CN"/>
        </w:rPr>
        <w:t>并做好设备故障的初步诊断及分析。若为电源故障，巡检人员应排查机柜</w:t>
      </w:r>
      <w:r>
        <w:rPr>
          <w:rFonts w:hint="eastAsia" w:ascii="仿宋" w:hAnsi="仿宋" w:eastAsia="仿宋" w:cs="仿宋"/>
          <w:color w:val="auto"/>
          <w:sz w:val="24"/>
          <w:szCs w:val="24"/>
          <w:lang w:val="en-US" w:eastAsia="zh-CN"/>
        </w:rPr>
        <w:t>PDU供电、电源线和设备电源模块，确定具体故障原因并联系IDC控制中心或设备厂家协同处理故障。若为设备</w:t>
      </w:r>
      <w:r>
        <w:rPr>
          <w:rFonts w:hint="eastAsia" w:ascii="仿宋" w:hAnsi="仿宋" w:eastAsia="仿宋" w:cs="仿宋"/>
          <w:color w:val="auto"/>
          <w:sz w:val="24"/>
          <w:szCs w:val="24"/>
          <w:lang w:eastAsia="zh-CN"/>
        </w:rPr>
        <w:t>内存、硬盘等故障，巡检人员应尽快定位该设备所部署的云平台或业务系统，分析故障原因并联系云平台或业务系统负责人，做好后续故障排查工作。值班巡检人员应将设备巡检及故障分析、排查情况完整记录并同步</w:t>
      </w:r>
      <w:r>
        <w:rPr>
          <w:rFonts w:hint="eastAsia" w:ascii="仿宋" w:hAnsi="仿宋" w:eastAsia="仿宋" w:cs="仿宋"/>
          <w:color w:val="auto"/>
          <w:sz w:val="24"/>
          <w:szCs w:val="24"/>
        </w:rPr>
        <w:t>告知采购人。</w:t>
      </w:r>
    </w:p>
    <w:p w14:paraId="7E45C4EC">
      <w:pPr>
        <w:spacing w:before="0" w:after="0" w:line="360" w:lineRule="auto"/>
        <w:ind w:firstLine="561"/>
        <w:rPr>
          <w:rFonts w:hint="eastAsia" w:ascii="仿宋" w:hAnsi="仿宋" w:eastAsia="仿宋" w:cs="仿宋"/>
          <w:color w:val="auto"/>
          <w:sz w:val="24"/>
          <w:szCs w:val="24"/>
        </w:rPr>
      </w:pPr>
      <w:r>
        <w:rPr>
          <w:rFonts w:hint="eastAsia" w:ascii="仿宋" w:hAnsi="仿宋" w:eastAsia="仿宋" w:cs="仿宋"/>
          <w:color w:val="auto"/>
          <w:sz w:val="24"/>
          <w:szCs w:val="24"/>
        </w:rPr>
        <w:t>巡检频次为：工作时间每2小时巡检一次，非工作时间每4小时巡检一次，全年365天，7*24小时不间断。需制定机房信息化设备巡检方案，方案应至少包含巡检目标、巡检计划、巡检内容、巡检总结等内容。</w:t>
      </w:r>
    </w:p>
    <w:p w14:paraId="6F05AC8C">
      <w:pPr>
        <w:spacing w:before="0" w:after="0" w:line="360" w:lineRule="auto"/>
        <w:ind w:firstLine="561"/>
        <w:rPr>
          <w:rFonts w:hint="eastAsia" w:ascii="仿宋" w:hAnsi="仿宋" w:eastAsia="仿宋" w:cs="仿宋"/>
          <w:color w:val="auto"/>
          <w:sz w:val="24"/>
          <w:szCs w:val="24"/>
        </w:rPr>
      </w:pPr>
      <w:r>
        <w:rPr>
          <w:rFonts w:hint="eastAsia" w:ascii="仿宋" w:hAnsi="仿宋" w:eastAsia="仿宋" w:cs="仿宋"/>
          <w:color w:val="auto"/>
          <w:sz w:val="24"/>
          <w:szCs w:val="24"/>
        </w:rPr>
        <w:t>2、机房基础环境巡检</w:t>
      </w:r>
    </w:p>
    <w:p w14:paraId="2053CE75">
      <w:pPr>
        <w:pStyle w:val="979"/>
        <w:spacing w:before="0" w:after="0" w:line="360" w:lineRule="auto"/>
        <w:ind w:firstLine="64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IDC机房</w:t>
      </w:r>
      <w:r>
        <w:rPr>
          <w:rFonts w:hint="eastAsia" w:ascii="仿宋" w:hAnsi="仿宋" w:eastAsia="仿宋" w:cs="仿宋"/>
          <w:color w:val="auto"/>
          <w:sz w:val="24"/>
          <w:szCs w:val="24"/>
        </w:rPr>
        <w:t>电力、UPS、空调、消防等设施配置完备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其中列柜采用双路市电输入，双路UPS供电，单系统备电时长不小于60分钟，并配置大型发电机组保障断电后机房100%供电，具备N+1冗余备份能力。机房配置专用精密空调设备，N+1备份，保障数据中心温度在21-25摄氏度，相对湿度40%-70%。值班巡检人员对机房内与保证信息系统正常运行相关的电力、空调、消防、安防等系统进行现场检查，</w:t>
      </w:r>
      <w:r>
        <w:rPr>
          <w:rFonts w:hint="eastAsia" w:ascii="仿宋" w:hAnsi="仿宋" w:eastAsia="仿宋" w:cs="仿宋"/>
          <w:color w:val="auto"/>
          <w:sz w:val="24"/>
          <w:szCs w:val="24"/>
          <w:lang w:eastAsia="zh-CN"/>
        </w:rPr>
        <w:t>巡检人员应详细记录每排机柜所有设备的实时负载功率、精密空调温湿度情况及故障信息检查等。巡检人员应同步监控动环监控系统相关指标数据，若发现指标异常，应立即现场巡检查看具体设备运行情况。巡检人员应</w:t>
      </w:r>
      <w:r>
        <w:rPr>
          <w:rFonts w:hint="eastAsia" w:ascii="仿宋" w:hAnsi="仿宋" w:eastAsia="仿宋" w:cs="仿宋"/>
          <w:color w:val="auto"/>
          <w:sz w:val="24"/>
          <w:szCs w:val="24"/>
        </w:rPr>
        <w:t>将检查情况</w:t>
      </w:r>
      <w:r>
        <w:rPr>
          <w:rFonts w:hint="eastAsia" w:ascii="仿宋" w:hAnsi="仿宋" w:eastAsia="仿宋" w:cs="仿宋"/>
          <w:color w:val="auto"/>
          <w:sz w:val="24"/>
          <w:szCs w:val="24"/>
          <w:lang w:eastAsia="zh-CN"/>
        </w:rPr>
        <w:t>及时</w:t>
      </w:r>
      <w:r>
        <w:rPr>
          <w:rFonts w:hint="eastAsia" w:ascii="仿宋" w:hAnsi="仿宋" w:eastAsia="仿宋" w:cs="仿宋"/>
          <w:color w:val="auto"/>
          <w:sz w:val="24"/>
          <w:szCs w:val="24"/>
        </w:rPr>
        <w:t>记录并</w:t>
      </w:r>
      <w:r>
        <w:rPr>
          <w:rFonts w:hint="eastAsia" w:ascii="仿宋" w:hAnsi="仿宋" w:eastAsia="仿宋" w:cs="仿宋"/>
          <w:color w:val="auto"/>
          <w:sz w:val="24"/>
          <w:szCs w:val="24"/>
          <w:lang w:eastAsia="zh-CN"/>
        </w:rPr>
        <w:t>同步</w:t>
      </w:r>
      <w:r>
        <w:rPr>
          <w:rFonts w:hint="eastAsia" w:ascii="仿宋" w:hAnsi="仿宋" w:eastAsia="仿宋" w:cs="仿宋"/>
          <w:color w:val="auto"/>
          <w:sz w:val="24"/>
          <w:szCs w:val="24"/>
        </w:rPr>
        <w:t>告知采购人。</w:t>
      </w:r>
    </w:p>
    <w:p w14:paraId="2ABF5313">
      <w:pPr>
        <w:pStyle w:val="979"/>
        <w:spacing w:before="0" w:after="0" w:line="360" w:lineRule="auto"/>
        <w:ind w:firstLine="640"/>
        <w:rPr>
          <w:rFonts w:hint="eastAsia" w:ascii="仿宋" w:hAnsi="仿宋" w:eastAsia="仿宋" w:cs="仿宋"/>
          <w:color w:val="auto"/>
          <w:sz w:val="24"/>
          <w:szCs w:val="24"/>
        </w:rPr>
      </w:pPr>
      <w:r>
        <w:rPr>
          <w:rFonts w:hint="eastAsia" w:ascii="仿宋" w:hAnsi="仿宋" w:eastAsia="仿宋" w:cs="仿宋"/>
          <w:color w:val="auto"/>
          <w:sz w:val="24"/>
          <w:szCs w:val="24"/>
        </w:rPr>
        <w:t>巡检频次为：工作时间每2小时巡检一次，非工作时间每4小时巡检一次，全年365天，7*24小时不间断。需制定机房基础环境巡检方案，方案应至少包含巡检目标、巡检计划、巡检内容、巡检总结等内容。</w:t>
      </w:r>
    </w:p>
    <w:p w14:paraId="435A4A34">
      <w:pPr>
        <w:spacing w:before="0" w:after="0" w:line="360" w:lineRule="auto"/>
        <w:ind w:firstLine="561"/>
        <w:rPr>
          <w:rFonts w:hint="eastAsia" w:ascii="仿宋" w:hAnsi="仿宋" w:eastAsia="仿宋" w:cs="仿宋"/>
          <w:color w:val="auto"/>
          <w:sz w:val="24"/>
          <w:szCs w:val="24"/>
        </w:rPr>
      </w:pPr>
      <w:r>
        <w:rPr>
          <w:rFonts w:hint="eastAsia" w:ascii="仿宋" w:hAnsi="仿宋" w:eastAsia="仿宋" w:cs="仿宋"/>
          <w:color w:val="auto"/>
          <w:sz w:val="24"/>
          <w:szCs w:val="24"/>
        </w:rPr>
        <w:t>3、设备上下架及仓库管理</w:t>
      </w:r>
    </w:p>
    <w:p w14:paraId="32BD4214">
      <w:pPr>
        <w:spacing w:before="0" w:after="0" w:line="360" w:lineRule="auto"/>
        <w:ind w:firstLine="561"/>
        <w:rPr>
          <w:rFonts w:hint="eastAsia" w:ascii="仿宋" w:hAnsi="仿宋" w:eastAsia="仿宋" w:cs="仿宋"/>
          <w:color w:val="auto"/>
          <w:sz w:val="24"/>
          <w:szCs w:val="24"/>
        </w:rPr>
      </w:pPr>
      <w:r>
        <w:rPr>
          <w:rFonts w:hint="eastAsia" w:ascii="仿宋" w:hAnsi="仿宋" w:eastAsia="仿宋" w:cs="仿宋"/>
          <w:color w:val="auto"/>
          <w:sz w:val="24"/>
          <w:szCs w:val="24"/>
        </w:rPr>
        <w:t>机房巡检人员应根据采购人需求，配合做好设备上下架实施、仓库设备整理等工作，至少包括以下内容：（1）配合做好设备日常故障处理；（2）配合做好设备上下架安装集成实施（3）采购人仓库闲置设备的管理（设备进出管理及总台账梳理）；（4）配合做好网线及光纤线路的部署连接。需制定</w:t>
      </w:r>
      <w:r>
        <w:rPr>
          <w:rFonts w:hint="eastAsia" w:ascii="仿宋" w:hAnsi="仿宋" w:eastAsia="仿宋" w:cs="仿宋"/>
          <w:color w:val="auto"/>
          <w:sz w:val="24"/>
          <w:szCs w:val="24"/>
        </w:rPr>
        <w:t>设备上下架及仓库管理方案</w:t>
      </w:r>
      <w:r>
        <w:rPr>
          <w:rFonts w:hint="eastAsia" w:ascii="仿宋" w:hAnsi="仿宋" w:eastAsia="仿宋" w:cs="仿宋"/>
          <w:color w:val="auto"/>
          <w:sz w:val="24"/>
          <w:szCs w:val="24"/>
        </w:rPr>
        <w:t>，方案应至少包含设备上下架管理、仓库管理、台账管理等内容。</w:t>
      </w:r>
    </w:p>
    <w:p w14:paraId="4FD29E08">
      <w:pPr>
        <w:spacing w:before="0" w:after="0" w:line="360" w:lineRule="auto"/>
        <w:ind w:firstLine="561"/>
        <w:rPr>
          <w:rFonts w:hint="eastAsia" w:ascii="仿宋" w:hAnsi="仿宋" w:eastAsia="仿宋" w:cs="仿宋"/>
          <w:color w:val="auto"/>
          <w:sz w:val="24"/>
          <w:szCs w:val="24"/>
        </w:rPr>
      </w:pPr>
      <w:r>
        <w:rPr>
          <w:rFonts w:hint="eastAsia" w:ascii="仿宋" w:hAnsi="仿宋" w:eastAsia="仿宋" w:cs="仿宋"/>
          <w:color w:val="auto"/>
          <w:sz w:val="24"/>
          <w:szCs w:val="24"/>
        </w:rPr>
        <w:t>4、重要节点保障</w:t>
      </w:r>
      <w:bookmarkStart w:id="449" w:name="_GoBack"/>
      <w:bookmarkEnd w:id="449"/>
    </w:p>
    <w:p w14:paraId="5D42AE6D">
      <w:pPr>
        <w:spacing w:before="0" w:after="0" w:line="360" w:lineRule="auto"/>
        <w:ind w:firstLine="561"/>
        <w:rPr>
          <w:rFonts w:hint="eastAsia" w:ascii="仿宋" w:hAnsi="仿宋" w:eastAsia="仿宋" w:cs="仿宋"/>
          <w:color w:val="auto"/>
          <w:sz w:val="24"/>
          <w:szCs w:val="24"/>
        </w:rPr>
      </w:pPr>
      <w:r>
        <w:rPr>
          <w:rFonts w:hint="eastAsia" w:ascii="仿宋" w:hAnsi="仿宋" w:eastAsia="仿宋" w:cs="仿宋"/>
          <w:color w:val="auto"/>
          <w:sz w:val="24"/>
          <w:szCs w:val="24"/>
        </w:rPr>
        <w:t>遇业务高峰期、系统割接、重大事件、节假日等关键时期，根据采购人需求，提供驻场值班保障服务。需制定重要节点保障方案，方案应至少包含保障服务目标、保障团队、保障措施、应急响应等内容。</w:t>
      </w:r>
    </w:p>
    <w:p w14:paraId="79F72E85">
      <w:pPr>
        <w:pStyle w:val="7"/>
        <w:keepNext w:val="0"/>
        <w:spacing w:before="0" w:after="0" w:line="360" w:lineRule="auto"/>
        <w:rPr>
          <w:rFonts w:hint="eastAsia" w:ascii="仿宋" w:hAnsi="仿宋" w:eastAsia="仿宋" w:cs="仿宋"/>
          <w:b/>
          <w:bCs/>
          <w:color w:val="auto"/>
          <w:sz w:val="24"/>
          <w:szCs w:val="24"/>
        </w:rPr>
      </w:pPr>
      <w:bookmarkStart w:id="44" w:name="_Toc256000018"/>
      <w:r>
        <w:rPr>
          <w:rFonts w:hint="eastAsia" w:ascii="仿宋" w:hAnsi="仿宋" w:eastAsia="仿宋" w:cs="仿宋"/>
          <w:color w:val="auto"/>
          <w:sz w:val="24"/>
          <w:szCs w:val="24"/>
        </w:rPr>
        <w:t>3.2.1技术和服务客观指标</w:t>
      </w:r>
      <w:bookmarkEnd w:id="44"/>
    </w:p>
    <w:p w14:paraId="47EC4746">
      <w:pPr>
        <w:pStyle w:val="8"/>
        <w:keepNext w:val="0"/>
        <w:spacing w:before="0" w:after="0" w:line="360" w:lineRule="auto"/>
        <w:rPr>
          <w:rFonts w:hint="eastAsia" w:ascii="仿宋" w:hAnsi="仿宋" w:eastAsia="仿宋" w:cs="仿宋"/>
          <w:b/>
          <w:bCs/>
          <w:color w:val="auto"/>
          <w:sz w:val="24"/>
          <w:szCs w:val="24"/>
        </w:rPr>
      </w:pPr>
      <w:r>
        <w:rPr>
          <w:rFonts w:hint="eastAsia" w:ascii="仿宋" w:hAnsi="仿宋" w:eastAsia="仿宋" w:cs="仿宋"/>
          <w:color w:val="auto"/>
          <w:sz w:val="24"/>
          <w:szCs w:val="24"/>
        </w:rPr>
        <w:t>3.2.1.1项目维护计划</w:t>
      </w:r>
    </w:p>
    <w:p w14:paraId="4C03ACEC">
      <w:pPr>
        <w:pStyle w:val="979"/>
        <w:spacing w:before="0"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1、中标人必须有一整套完善的数据中心机房巡检服务体系，能够向用户提供统一快捷的服务，明确提供该组织的分工安排、详细的人员组成情况等。</w:t>
      </w:r>
    </w:p>
    <w:p w14:paraId="06588314">
      <w:pPr>
        <w:pStyle w:val="979"/>
        <w:spacing w:before="0"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2、中标人须提供一名工作人员同采购人相关人员对接机房日常工作。</w:t>
      </w:r>
    </w:p>
    <w:p w14:paraId="1F714189">
      <w:pPr>
        <w:pStyle w:val="8"/>
        <w:keepNext w:val="0"/>
        <w:spacing w:before="0" w:after="0" w:line="360" w:lineRule="auto"/>
        <w:rPr>
          <w:rFonts w:hint="eastAsia" w:ascii="仿宋" w:hAnsi="仿宋" w:eastAsia="仿宋" w:cs="仿宋"/>
          <w:b/>
          <w:bCs/>
          <w:color w:val="auto"/>
          <w:sz w:val="24"/>
          <w:szCs w:val="24"/>
        </w:rPr>
      </w:pPr>
      <w:r>
        <w:rPr>
          <w:rFonts w:hint="eastAsia" w:ascii="仿宋" w:hAnsi="仿宋" w:eastAsia="仿宋" w:cs="仿宋"/>
          <w:color w:val="auto"/>
          <w:sz w:val="24"/>
          <w:szCs w:val="24"/>
        </w:rPr>
        <w:t>3.2.1.2技术培训</w:t>
      </w:r>
    </w:p>
    <w:p w14:paraId="7354563B">
      <w:pPr>
        <w:spacing w:before="0"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制定详细的培训方案，培训时长为2人次5天。培训目标为使采购人相关人员熟悉服务器、小型机、存储、交换机、安全防护设备等核心设备的简易巡检、故障排除等内容。</w:t>
      </w:r>
    </w:p>
    <w:p w14:paraId="3122415F">
      <w:pPr>
        <w:pStyle w:val="8"/>
        <w:keepNext w:val="0"/>
        <w:spacing w:before="0" w:after="0" w:line="360" w:lineRule="auto"/>
        <w:rPr>
          <w:rFonts w:hint="eastAsia" w:ascii="仿宋" w:hAnsi="仿宋" w:eastAsia="仿宋" w:cs="仿宋"/>
          <w:b/>
          <w:bCs/>
          <w:color w:val="auto"/>
          <w:sz w:val="24"/>
          <w:szCs w:val="24"/>
        </w:rPr>
      </w:pPr>
      <w:r>
        <w:rPr>
          <w:rFonts w:hint="eastAsia" w:ascii="仿宋" w:hAnsi="仿宋" w:eastAsia="仿宋" w:cs="仿宋"/>
          <w:color w:val="auto"/>
          <w:sz w:val="24"/>
          <w:szCs w:val="24"/>
        </w:rPr>
        <w:t>3.2.1.3响应情况</w:t>
      </w:r>
    </w:p>
    <w:p w14:paraId="455AC53F">
      <w:pPr>
        <w:pStyle w:val="979"/>
        <w:spacing w:before="0"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1、发现机房信息化设备故障后立即上报采购人指定人员，上报方式如下：</w:t>
      </w:r>
    </w:p>
    <w:p w14:paraId="50617089">
      <w:pPr>
        <w:pStyle w:val="979"/>
        <w:spacing w:before="0"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（1）电话上报：当发现问题时第一时间上报给采购人指定人员；</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（2）即时通讯工具上报：电话上报后，将问题详细描述，用即时通讯工具发送至采购人指定人员。</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2、发生机房基础环境问题，值班巡检人员应立即通知机房监控大厅负责人员并在30分钟内告知采购人相关人员。</w:t>
      </w:r>
    </w:p>
    <w:p w14:paraId="229120A3">
      <w:pPr>
        <w:pStyle w:val="7"/>
        <w:keepNext w:val="0"/>
        <w:spacing w:before="0" w:after="0" w:line="360" w:lineRule="auto"/>
        <w:rPr>
          <w:rFonts w:hint="eastAsia" w:ascii="仿宋" w:hAnsi="仿宋" w:eastAsia="仿宋" w:cs="仿宋"/>
          <w:b/>
          <w:bCs/>
          <w:color w:val="auto"/>
          <w:sz w:val="24"/>
          <w:szCs w:val="24"/>
        </w:rPr>
      </w:pPr>
      <w:bookmarkStart w:id="45" w:name="_Toc256000019"/>
      <w:r>
        <w:rPr>
          <w:rFonts w:hint="eastAsia" w:ascii="仿宋" w:hAnsi="仿宋" w:eastAsia="仿宋" w:cs="仿宋"/>
          <w:color w:val="auto"/>
          <w:sz w:val="24"/>
          <w:szCs w:val="24"/>
        </w:rPr>
        <w:t>3.2.2其他服务要求</w:t>
      </w:r>
      <w:bookmarkEnd w:id="45"/>
    </w:p>
    <w:p w14:paraId="360B3DEF">
      <w:pPr>
        <w:spacing w:before="0"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1、根据采购人要求，在采购人完成机房进出人员的登记报备手续后，做好进出机房人员的全程陪同并将进出机房人员的工作内容按月汇总提交给采购人相关负责人员；</w:t>
      </w:r>
    </w:p>
    <w:p w14:paraId="32883294">
      <w:pPr>
        <w:spacing w:before="0"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2、根据采购人要求，配合做好机房管理相关的临时资料的准备、整理工作；</w:t>
      </w:r>
    </w:p>
    <w:p w14:paraId="4E84A7E1">
      <w:pPr>
        <w:spacing w:before="0"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3、根据采购人要求，做好金四各系统可用性拨测、健康度、数据链路巡检情况的定期上报。</w:t>
      </w:r>
    </w:p>
    <w:p w14:paraId="39279F7B">
      <w:pPr>
        <w:pStyle w:val="6"/>
        <w:keepNext w:val="0"/>
        <w:spacing w:before="0" w:after="0" w:line="360" w:lineRule="auto"/>
        <w:rPr>
          <w:rFonts w:hint="eastAsia" w:ascii="仿宋" w:hAnsi="仿宋" w:eastAsia="仿宋" w:cs="仿宋"/>
          <w:b/>
          <w:bCs/>
          <w:color w:val="auto"/>
          <w:sz w:val="24"/>
          <w:szCs w:val="24"/>
        </w:rPr>
      </w:pPr>
      <w:bookmarkStart w:id="46" w:name="_Toc256000020"/>
      <w:r>
        <w:rPr>
          <w:rFonts w:hint="eastAsia" w:ascii="仿宋" w:hAnsi="仿宋" w:eastAsia="仿宋" w:cs="仿宋"/>
          <w:i w:val="0"/>
          <w:iCs w:val="0"/>
          <w:color w:val="auto"/>
          <w:sz w:val="24"/>
          <w:szCs w:val="24"/>
        </w:rPr>
        <w:t>3.3服务质量考核</w:t>
      </w:r>
      <w:bookmarkEnd w:id="46"/>
    </w:p>
    <w:p w14:paraId="10E253A3">
      <w:pPr>
        <w:pStyle w:val="979"/>
        <w:spacing w:before="0" w:after="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1.项目考核</w:t>
      </w:r>
    </w:p>
    <w:p w14:paraId="19ACE22F">
      <w:pPr>
        <w:pStyle w:val="979"/>
        <w:spacing w:before="0" w:after="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合同期内按年进行服务质量考核，考核结果以满分100分制计算。具体考核项目见下表：</w:t>
      </w:r>
    </w:p>
    <w:tbl>
      <w:tblPr>
        <w:tblStyle w:val="980"/>
        <w:tblW w:w="5000" w:type="pct"/>
        <w:tblCellSpacing w:w="0" w:type="dxa"/>
        <w:tblInd w:w="128" w:type="dxa"/>
        <w:tblLayout w:type="autofit"/>
        <w:tblCellMar>
          <w:top w:w="15" w:type="dxa"/>
          <w:left w:w="15" w:type="dxa"/>
          <w:bottom w:w="15" w:type="dxa"/>
          <w:right w:w="15" w:type="dxa"/>
        </w:tblCellMar>
      </w:tblPr>
      <w:tblGrid>
        <w:gridCol w:w="1410"/>
        <w:gridCol w:w="938"/>
        <w:gridCol w:w="1461"/>
        <w:gridCol w:w="1040"/>
        <w:gridCol w:w="4497"/>
      </w:tblGrid>
      <w:tr w14:paraId="3EE5BB3D">
        <w:tblPrEx>
          <w:tblCellMar>
            <w:top w:w="15" w:type="dxa"/>
            <w:left w:w="15" w:type="dxa"/>
            <w:bottom w:w="15" w:type="dxa"/>
            <w:right w:w="15" w:type="dxa"/>
          </w:tblCellMar>
        </w:tblPrEx>
        <w:trPr>
          <w:tblCellSpacing w:w="0" w:type="dxa"/>
        </w:trPr>
        <w:tc>
          <w:tcPr>
            <w:tcW w:w="1403" w:type="dxa"/>
            <w:tcBorders>
              <w:top w:val="single" w:color="000000" w:sz="8" w:space="0"/>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754DDCD6">
            <w:pPr>
              <w:pStyle w:val="979"/>
              <w:spacing w:line="560" w:lineRule="atLeast"/>
              <w:jc w:val="center"/>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考核项</w:t>
            </w:r>
          </w:p>
        </w:tc>
        <w:tc>
          <w:tcPr>
            <w:tcW w:w="934"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top"/>
          </w:tcPr>
          <w:p w14:paraId="767B8423">
            <w:pPr>
              <w:pStyle w:val="979"/>
              <w:spacing w:line="560" w:lineRule="atLeast"/>
              <w:jc w:val="center"/>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序号</w:t>
            </w:r>
          </w:p>
        </w:tc>
        <w:tc>
          <w:tcPr>
            <w:tcW w:w="1454"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top"/>
          </w:tcPr>
          <w:p w14:paraId="098C2748">
            <w:pPr>
              <w:pStyle w:val="979"/>
              <w:spacing w:line="560" w:lineRule="atLeast"/>
              <w:jc w:val="both"/>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考核内容</w:t>
            </w:r>
          </w:p>
        </w:tc>
        <w:tc>
          <w:tcPr>
            <w:tcW w:w="1035"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top"/>
          </w:tcPr>
          <w:p w14:paraId="47A48FD7">
            <w:pPr>
              <w:pStyle w:val="979"/>
              <w:spacing w:line="560" w:lineRule="atLeast"/>
              <w:jc w:val="center"/>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分值</w:t>
            </w:r>
          </w:p>
        </w:tc>
        <w:tc>
          <w:tcPr>
            <w:tcW w:w="4476"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top"/>
          </w:tcPr>
          <w:p w14:paraId="5CFC8EE7">
            <w:pPr>
              <w:pStyle w:val="979"/>
              <w:spacing w:line="560" w:lineRule="atLeast"/>
              <w:jc w:val="center"/>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备注</w:t>
            </w:r>
          </w:p>
        </w:tc>
      </w:tr>
      <w:tr w14:paraId="65EA5639">
        <w:tblPrEx>
          <w:tblCellMar>
            <w:top w:w="15" w:type="dxa"/>
            <w:left w:w="15" w:type="dxa"/>
            <w:bottom w:w="15" w:type="dxa"/>
            <w:right w:w="15" w:type="dxa"/>
          </w:tblCellMar>
        </w:tblPrEx>
        <w:trPr>
          <w:tblCellSpacing w:w="0" w:type="dxa"/>
        </w:trPr>
        <w:tc>
          <w:tcPr>
            <w:tcW w:w="1403" w:type="dxa"/>
            <w:vMerge w:val="restart"/>
            <w:tcBorders>
              <w:left w:val="single" w:color="000000" w:sz="8" w:space="0"/>
              <w:bottom w:val="nil"/>
              <w:right w:val="single" w:color="000000" w:sz="8" w:space="0"/>
            </w:tcBorders>
            <w:noWrap w:val="0"/>
            <w:tcMar>
              <w:top w:w="0" w:type="dxa"/>
              <w:left w:w="118" w:type="dxa"/>
              <w:bottom w:w="0" w:type="dxa"/>
              <w:right w:w="118" w:type="dxa"/>
            </w:tcMar>
            <w:vAlign w:val="center"/>
          </w:tcPr>
          <w:p w14:paraId="5881FBBC">
            <w:pPr>
              <w:pStyle w:val="979"/>
              <w:spacing w:line="560" w:lineRule="atLeast"/>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巡检服务</w:t>
            </w:r>
          </w:p>
        </w:tc>
        <w:tc>
          <w:tcPr>
            <w:tcW w:w="934" w:type="dxa"/>
            <w:tcBorders>
              <w:bottom w:val="single" w:color="000000" w:sz="8" w:space="0"/>
              <w:right w:val="single" w:color="000000" w:sz="8" w:space="0"/>
            </w:tcBorders>
            <w:noWrap w:val="0"/>
            <w:tcMar>
              <w:top w:w="0" w:type="dxa"/>
              <w:left w:w="108" w:type="dxa"/>
              <w:bottom w:w="0" w:type="dxa"/>
              <w:right w:w="118" w:type="dxa"/>
            </w:tcMar>
            <w:vAlign w:val="center"/>
          </w:tcPr>
          <w:p w14:paraId="147E319E">
            <w:pPr>
              <w:pStyle w:val="979"/>
              <w:spacing w:line="560" w:lineRule="atLeast"/>
              <w:jc w:val="center"/>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1</w:t>
            </w:r>
          </w:p>
        </w:tc>
        <w:tc>
          <w:tcPr>
            <w:tcW w:w="1454" w:type="dxa"/>
            <w:tcBorders>
              <w:bottom w:val="single" w:color="000000" w:sz="8" w:space="0"/>
              <w:right w:val="single" w:color="000000" w:sz="8" w:space="0"/>
            </w:tcBorders>
            <w:noWrap w:val="0"/>
            <w:tcMar>
              <w:top w:w="0" w:type="dxa"/>
              <w:left w:w="108" w:type="dxa"/>
              <w:bottom w:w="0" w:type="dxa"/>
              <w:right w:w="118" w:type="dxa"/>
            </w:tcMar>
            <w:vAlign w:val="center"/>
          </w:tcPr>
          <w:p w14:paraId="075E0CD4">
            <w:pPr>
              <w:pStyle w:val="979"/>
              <w:spacing w:line="560" w:lineRule="atLeast"/>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人员考勤</w:t>
            </w:r>
          </w:p>
        </w:tc>
        <w:tc>
          <w:tcPr>
            <w:tcW w:w="1035" w:type="dxa"/>
            <w:tcBorders>
              <w:bottom w:val="single" w:color="000000" w:sz="8" w:space="0"/>
              <w:right w:val="single" w:color="000000" w:sz="8" w:space="0"/>
            </w:tcBorders>
            <w:noWrap w:val="0"/>
            <w:tcMar>
              <w:top w:w="0" w:type="dxa"/>
              <w:left w:w="108" w:type="dxa"/>
              <w:bottom w:w="0" w:type="dxa"/>
              <w:right w:w="118" w:type="dxa"/>
            </w:tcMar>
            <w:vAlign w:val="center"/>
          </w:tcPr>
          <w:p w14:paraId="0749EF47">
            <w:pPr>
              <w:pStyle w:val="979"/>
              <w:spacing w:line="560" w:lineRule="atLeast"/>
              <w:ind w:firstLine="420"/>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20</w:t>
            </w:r>
          </w:p>
        </w:tc>
        <w:tc>
          <w:tcPr>
            <w:tcW w:w="4476" w:type="dxa"/>
            <w:tcBorders>
              <w:bottom w:val="single" w:color="000000" w:sz="8" w:space="0"/>
              <w:right w:val="single" w:color="000000" w:sz="8" w:space="0"/>
            </w:tcBorders>
            <w:noWrap w:val="0"/>
            <w:tcMar>
              <w:top w:w="0" w:type="dxa"/>
              <w:left w:w="108" w:type="dxa"/>
              <w:bottom w:w="0" w:type="dxa"/>
              <w:right w:w="118" w:type="dxa"/>
            </w:tcMar>
            <w:vAlign w:val="center"/>
          </w:tcPr>
          <w:p w14:paraId="547528D3">
            <w:pPr>
              <w:pStyle w:val="979"/>
              <w:spacing w:line="560" w:lineRule="atLeast"/>
              <w:ind w:firstLine="420"/>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一年服务期内，服务人员无故缺勤或迟到早退，每次扣减2分。</w:t>
            </w:r>
          </w:p>
        </w:tc>
      </w:tr>
      <w:tr w14:paraId="3D7C2052">
        <w:tblPrEx>
          <w:tblCellMar>
            <w:top w:w="15" w:type="dxa"/>
            <w:left w:w="15" w:type="dxa"/>
            <w:bottom w:w="15" w:type="dxa"/>
            <w:right w:w="15" w:type="dxa"/>
          </w:tblCellMar>
        </w:tblPrEx>
        <w:trPr>
          <w:tblCellSpacing w:w="0" w:type="dxa"/>
        </w:trPr>
        <w:tc>
          <w:tcPr>
            <w:vMerge w:val="continue"/>
            <w:tcBorders>
              <w:left w:val="single" w:color="000000" w:sz="8" w:space="0"/>
              <w:right w:val="single" w:color="000000" w:sz="8" w:space="0"/>
            </w:tcBorders>
            <w:vAlign w:val="center"/>
          </w:tcPr>
          <w:p w14:paraId="768CBE0A">
            <w:pPr>
              <w:rPr>
                <w:rFonts w:hint="eastAsia" w:ascii="仿宋" w:hAnsi="仿宋" w:eastAsia="仿宋" w:cs="仿宋"/>
                <w:b w:val="0"/>
                <w:bCs w:val="0"/>
                <w:i w:val="0"/>
                <w:iCs w:val="0"/>
                <w:smallCaps w:val="0"/>
                <w:color w:val="auto"/>
                <w:sz w:val="24"/>
                <w:szCs w:val="24"/>
              </w:rPr>
            </w:pPr>
          </w:p>
        </w:tc>
        <w:tc>
          <w:tcPr>
            <w:tcW w:w="934" w:type="dxa"/>
            <w:tcBorders>
              <w:bottom w:val="single" w:color="000000" w:sz="8" w:space="0"/>
              <w:right w:val="single" w:color="000000" w:sz="8" w:space="0"/>
            </w:tcBorders>
            <w:noWrap w:val="0"/>
            <w:tcMar>
              <w:top w:w="0" w:type="dxa"/>
              <w:left w:w="108" w:type="dxa"/>
              <w:bottom w:w="0" w:type="dxa"/>
              <w:right w:w="118" w:type="dxa"/>
            </w:tcMar>
            <w:vAlign w:val="center"/>
          </w:tcPr>
          <w:p w14:paraId="3FA27D61">
            <w:pPr>
              <w:pStyle w:val="979"/>
              <w:spacing w:line="560" w:lineRule="atLeast"/>
              <w:jc w:val="center"/>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2</w:t>
            </w:r>
          </w:p>
        </w:tc>
        <w:tc>
          <w:tcPr>
            <w:tcW w:w="1454" w:type="dxa"/>
            <w:tcBorders>
              <w:bottom w:val="single" w:color="000000" w:sz="8" w:space="0"/>
              <w:right w:val="single" w:color="000000" w:sz="8" w:space="0"/>
            </w:tcBorders>
            <w:noWrap w:val="0"/>
            <w:tcMar>
              <w:top w:w="0" w:type="dxa"/>
              <w:left w:w="108" w:type="dxa"/>
              <w:bottom w:w="0" w:type="dxa"/>
              <w:right w:w="118" w:type="dxa"/>
            </w:tcMar>
            <w:vAlign w:val="center"/>
          </w:tcPr>
          <w:p w14:paraId="77F62136">
            <w:pPr>
              <w:pStyle w:val="979"/>
              <w:spacing w:line="560" w:lineRule="atLeast"/>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服务人员稳定性</w:t>
            </w:r>
          </w:p>
        </w:tc>
        <w:tc>
          <w:tcPr>
            <w:tcW w:w="1035" w:type="dxa"/>
            <w:tcBorders>
              <w:bottom w:val="single" w:color="000000" w:sz="8" w:space="0"/>
              <w:right w:val="single" w:color="000000" w:sz="8" w:space="0"/>
            </w:tcBorders>
            <w:noWrap w:val="0"/>
            <w:tcMar>
              <w:top w:w="0" w:type="dxa"/>
              <w:left w:w="108" w:type="dxa"/>
              <w:bottom w:w="0" w:type="dxa"/>
              <w:right w:w="118" w:type="dxa"/>
            </w:tcMar>
            <w:vAlign w:val="center"/>
          </w:tcPr>
          <w:p w14:paraId="5AA7C0E6">
            <w:pPr>
              <w:pStyle w:val="979"/>
              <w:spacing w:line="560" w:lineRule="atLeast"/>
              <w:ind w:firstLine="420"/>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20</w:t>
            </w:r>
          </w:p>
        </w:tc>
        <w:tc>
          <w:tcPr>
            <w:tcW w:w="4476" w:type="dxa"/>
            <w:tcBorders>
              <w:bottom w:val="single" w:color="000000" w:sz="8" w:space="0"/>
              <w:right w:val="single" w:color="000000" w:sz="8" w:space="0"/>
            </w:tcBorders>
            <w:noWrap w:val="0"/>
            <w:tcMar>
              <w:top w:w="0" w:type="dxa"/>
              <w:left w:w="108" w:type="dxa"/>
              <w:bottom w:w="0" w:type="dxa"/>
              <w:right w:w="118" w:type="dxa"/>
            </w:tcMar>
            <w:vAlign w:val="center"/>
          </w:tcPr>
          <w:p w14:paraId="1F57A8CB">
            <w:pPr>
              <w:pStyle w:val="979"/>
              <w:spacing w:line="560" w:lineRule="atLeast"/>
              <w:ind w:firstLine="420"/>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一年服务期内人员变更超过2人次的（采购人主动书面要求的除外），每次扣减2分</w:t>
            </w:r>
          </w:p>
        </w:tc>
      </w:tr>
      <w:tr w14:paraId="1E744671">
        <w:tblPrEx>
          <w:tblCellMar>
            <w:top w:w="15" w:type="dxa"/>
            <w:left w:w="15" w:type="dxa"/>
            <w:bottom w:w="15" w:type="dxa"/>
            <w:right w:w="15" w:type="dxa"/>
          </w:tblCellMar>
        </w:tblPrEx>
        <w:trPr>
          <w:tblCellSpacing w:w="0" w:type="dxa"/>
        </w:trPr>
        <w:tc>
          <w:tcPr>
            <w:vMerge w:val="continue"/>
            <w:tcBorders>
              <w:left w:val="single" w:color="000000" w:sz="8" w:space="0"/>
              <w:right w:val="single" w:color="000000" w:sz="8" w:space="0"/>
            </w:tcBorders>
            <w:vAlign w:val="center"/>
          </w:tcPr>
          <w:p w14:paraId="7021A2F5">
            <w:pPr>
              <w:rPr>
                <w:rFonts w:hint="eastAsia" w:ascii="仿宋" w:hAnsi="仿宋" w:eastAsia="仿宋" w:cs="仿宋"/>
                <w:b w:val="0"/>
                <w:bCs w:val="0"/>
                <w:i w:val="0"/>
                <w:iCs w:val="0"/>
                <w:smallCaps w:val="0"/>
                <w:color w:val="auto"/>
                <w:sz w:val="24"/>
                <w:szCs w:val="24"/>
              </w:rPr>
            </w:pPr>
          </w:p>
        </w:tc>
        <w:tc>
          <w:tcPr>
            <w:tcW w:w="934" w:type="dxa"/>
            <w:tcBorders>
              <w:bottom w:val="single" w:color="000000" w:sz="8" w:space="0"/>
              <w:right w:val="single" w:color="000000" w:sz="8" w:space="0"/>
            </w:tcBorders>
            <w:noWrap w:val="0"/>
            <w:tcMar>
              <w:top w:w="0" w:type="dxa"/>
              <w:left w:w="108" w:type="dxa"/>
              <w:bottom w:w="0" w:type="dxa"/>
              <w:right w:w="118" w:type="dxa"/>
            </w:tcMar>
            <w:vAlign w:val="center"/>
          </w:tcPr>
          <w:p w14:paraId="63884655">
            <w:pPr>
              <w:pStyle w:val="979"/>
              <w:spacing w:line="560" w:lineRule="atLeast"/>
              <w:jc w:val="center"/>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3</w:t>
            </w:r>
          </w:p>
        </w:tc>
        <w:tc>
          <w:tcPr>
            <w:tcW w:w="1454" w:type="dxa"/>
            <w:tcBorders>
              <w:bottom w:val="single" w:color="000000" w:sz="8" w:space="0"/>
              <w:right w:val="single" w:color="000000" w:sz="8" w:space="0"/>
            </w:tcBorders>
            <w:noWrap w:val="0"/>
            <w:tcMar>
              <w:top w:w="0" w:type="dxa"/>
              <w:left w:w="108" w:type="dxa"/>
              <w:bottom w:w="0" w:type="dxa"/>
              <w:right w:w="118" w:type="dxa"/>
            </w:tcMar>
            <w:vAlign w:val="center"/>
          </w:tcPr>
          <w:p w14:paraId="32365F76">
            <w:pPr>
              <w:pStyle w:val="979"/>
              <w:spacing w:line="560" w:lineRule="atLeast"/>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设备巡检故障上报效率</w:t>
            </w:r>
          </w:p>
        </w:tc>
        <w:tc>
          <w:tcPr>
            <w:tcW w:w="1035" w:type="dxa"/>
            <w:tcBorders>
              <w:bottom w:val="single" w:color="000000" w:sz="8" w:space="0"/>
              <w:right w:val="single" w:color="000000" w:sz="8" w:space="0"/>
            </w:tcBorders>
            <w:noWrap w:val="0"/>
            <w:tcMar>
              <w:top w:w="0" w:type="dxa"/>
              <w:left w:w="108" w:type="dxa"/>
              <w:bottom w:w="0" w:type="dxa"/>
              <w:right w:w="118" w:type="dxa"/>
            </w:tcMar>
            <w:vAlign w:val="center"/>
          </w:tcPr>
          <w:p w14:paraId="7986059F">
            <w:pPr>
              <w:pStyle w:val="979"/>
              <w:spacing w:line="560" w:lineRule="atLeast"/>
              <w:ind w:firstLine="420"/>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20</w:t>
            </w:r>
          </w:p>
        </w:tc>
        <w:tc>
          <w:tcPr>
            <w:tcW w:w="4476" w:type="dxa"/>
            <w:tcBorders>
              <w:bottom w:val="single" w:color="000000" w:sz="8" w:space="0"/>
              <w:right w:val="single" w:color="000000" w:sz="8" w:space="0"/>
            </w:tcBorders>
            <w:noWrap w:val="0"/>
            <w:tcMar>
              <w:top w:w="0" w:type="dxa"/>
              <w:left w:w="108" w:type="dxa"/>
              <w:bottom w:w="0" w:type="dxa"/>
              <w:right w:w="118" w:type="dxa"/>
            </w:tcMar>
            <w:vAlign w:val="center"/>
          </w:tcPr>
          <w:p w14:paraId="208675BC">
            <w:pPr>
              <w:pStyle w:val="979"/>
              <w:spacing w:line="560" w:lineRule="atLeast"/>
              <w:ind w:firstLine="420"/>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设备巡检故障上报效率未满足要求的，每次扣1分</w:t>
            </w:r>
          </w:p>
        </w:tc>
      </w:tr>
      <w:tr w14:paraId="7A58D296">
        <w:tblPrEx>
          <w:tblCellMar>
            <w:top w:w="15" w:type="dxa"/>
            <w:left w:w="15" w:type="dxa"/>
            <w:bottom w:w="15" w:type="dxa"/>
            <w:right w:w="15" w:type="dxa"/>
          </w:tblCellMar>
        </w:tblPrEx>
        <w:trPr>
          <w:tblCellSpacing w:w="0" w:type="dxa"/>
        </w:trPr>
        <w:tc>
          <w:tcPr>
            <w:vMerge w:val="continue"/>
            <w:tcBorders>
              <w:left w:val="single" w:color="000000" w:sz="8" w:space="0"/>
              <w:right w:val="single" w:color="000000" w:sz="8" w:space="0"/>
            </w:tcBorders>
            <w:vAlign w:val="center"/>
          </w:tcPr>
          <w:p w14:paraId="7708D7A5">
            <w:pPr>
              <w:rPr>
                <w:rFonts w:hint="eastAsia" w:ascii="仿宋" w:hAnsi="仿宋" w:eastAsia="仿宋" w:cs="仿宋"/>
                <w:b w:val="0"/>
                <w:bCs w:val="0"/>
                <w:i w:val="0"/>
                <w:iCs w:val="0"/>
                <w:smallCaps w:val="0"/>
                <w:color w:val="auto"/>
                <w:sz w:val="24"/>
                <w:szCs w:val="24"/>
              </w:rPr>
            </w:pPr>
          </w:p>
        </w:tc>
        <w:tc>
          <w:tcPr>
            <w:tcW w:w="934" w:type="dxa"/>
            <w:tcBorders>
              <w:bottom w:val="single" w:color="000000" w:sz="8" w:space="0"/>
              <w:right w:val="single" w:color="000000" w:sz="8" w:space="0"/>
            </w:tcBorders>
            <w:noWrap w:val="0"/>
            <w:tcMar>
              <w:top w:w="0" w:type="dxa"/>
              <w:left w:w="108" w:type="dxa"/>
              <w:bottom w:w="0" w:type="dxa"/>
              <w:right w:w="118" w:type="dxa"/>
            </w:tcMar>
            <w:vAlign w:val="center"/>
          </w:tcPr>
          <w:p w14:paraId="579FD5D3">
            <w:pPr>
              <w:pStyle w:val="979"/>
              <w:spacing w:line="560" w:lineRule="atLeast"/>
              <w:jc w:val="center"/>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4</w:t>
            </w:r>
          </w:p>
        </w:tc>
        <w:tc>
          <w:tcPr>
            <w:tcW w:w="1454" w:type="dxa"/>
            <w:tcBorders>
              <w:bottom w:val="single" w:color="000000" w:sz="8" w:space="0"/>
              <w:right w:val="single" w:color="000000" w:sz="8" w:space="0"/>
            </w:tcBorders>
            <w:noWrap w:val="0"/>
            <w:tcMar>
              <w:top w:w="0" w:type="dxa"/>
              <w:left w:w="108" w:type="dxa"/>
              <w:bottom w:w="0" w:type="dxa"/>
              <w:right w:w="118" w:type="dxa"/>
            </w:tcMar>
            <w:vAlign w:val="center"/>
          </w:tcPr>
          <w:p w14:paraId="5A113D2E">
            <w:pPr>
              <w:pStyle w:val="979"/>
              <w:spacing w:line="560" w:lineRule="atLeast"/>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文档资料</w:t>
            </w:r>
          </w:p>
        </w:tc>
        <w:tc>
          <w:tcPr>
            <w:tcW w:w="1035" w:type="dxa"/>
            <w:tcBorders>
              <w:bottom w:val="single" w:color="000000" w:sz="8" w:space="0"/>
              <w:right w:val="single" w:color="000000" w:sz="8" w:space="0"/>
            </w:tcBorders>
            <w:noWrap w:val="0"/>
            <w:tcMar>
              <w:top w:w="0" w:type="dxa"/>
              <w:left w:w="108" w:type="dxa"/>
              <w:bottom w:w="0" w:type="dxa"/>
              <w:right w:w="118" w:type="dxa"/>
            </w:tcMar>
            <w:vAlign w:val="center"/>
          </w:tcPr>
          <w:p w14:paraId="5B41B992">
            <w:pPr>
              <w:pStyle w:val="979"/>
              <w:spacing w:line="560" w:lineRule="atLeast"/>
              <w:ind w:firstLine="420"/>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10</w:t>
            </w:r>
          </w:p>
        </w:tc>
        <w:tc>
          <w:tcPr>
            <w:tcW w:w="4476" w:type="dxa"/>
            <w:tcBorders>
              <w:bottom w:val="single" w:color="000000" w:sz="8" w:space="0"/>
              <w:right w:val="single" w:color="000000" w:sz="8" w:space="0"/>
            </w:tcBorders>
            <w:noWrap w:val="0"/>
            <w:tcMar>
              <w:top w:w="0" w:type="dxa"/>
              <w:left w:w="108" w:type="dxa"/>
              <w:bottom w:w="0" w:type="dxa"/>
              <w:right w:w="118" w:type="dxa"/>
            </w:tcMar>
            <w:vAlign w:val="center"/>
          </w:tcPr>
          <w:p w14:paraId="2A3B89EB">
            <w:pPr>
              <w:pStyle w:val="979"/>
              <w:spacing w:line="560" w:lineRule="atLeast"/>
              <w:ind w:firstLine="420"/>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文档资料不合要求的，未能按要求整改的，每次扣1分</w:t>
            </w:r>
          </w:p>
        </w:tc>
      </w:tr>
      <w:tr w14:paraId="31FCE8ED">
        <w:tblPrEx>
          <w:tblCellMar>
            <w:top w:w="15" w:type="dxa"/>
            <w:left w:w="15" w:type="dxa"/>
            <w:bottom w:w="15" w:type="dxa"/>
            <w:right w:w="15" w:type="dxa"/>
          </w:tblCellMar>
        </w:tblPrEx>
        <w:trPr>
          <w:tblCellSpacing w:w="0" w:type="dxa"/>
        </w:trPr>
        <w:tc>
          <w:tcPr>
            <w:vMerge w:val="continue"/>
            <w:tcBorders>
              <w:left w:val="single" w:color="000000" w:sz="8" w:space="0"/>
              <w:right w:val="single" w:color="000000" w:sz="8" w:space="0"/>
            </w:tcBorders>
            <w:vAlign w:val="center"/>
          </w:tcPr>
          <w:p w14:paraId="3C9D3783">
            <w:pPr>
              <w:rPr>
                <w:rFonts w:hint="eastAsia" w:ascii="仿宋" w:hAnsi="仿宋" w:eastAsia="仿宋" w:cs="仿宋"/>
                <w:b w:val="0"/>
                <w:bCs w:val="0"/>
                <w:i w:val="0"/>
                <w:iCs w:val="0"/>
                <w:smallCaps w:val="0"/>
                <w:color w:val="auto"/>
                <w:sz w:val="24"/>
                <w:szCs w:val="24"/>
              </w:rPr>
            </w:pPr>
          </w:p>
        </w:tc>
        <w:tc>
          <w:tcPr>
            <w:tcW w:w="934" w:type="dxa"/>
            <w:tcBorders>
              <w:bottom w:val="single" w:color="000000" w:sz="8" w:space="0"/>
              <w:right w:val="single" w:color="000000" w:sz="8" w:space="0"/>
            </w:tcBorders>
            <w:noWrap w:val="0"/>
            <w:tcMar>
              <w:top w:w="0" w:type="dxa"/>
              <w:left w:w="108" w:type="dxa"/>
              <w:bottom w:w="0" w:type="dxa"/>
              <w:right w:w="118" w:type="dxa"/>
            </w:tcMar>
            <w:vAlign w:val="center"/>
          </w:tcPr>
          <w:p w14:paraId="42C38F74">
            <w:pPr>
              <w:pStyle w:val="979"/>
              <w:spacing w:line="560" w:lineRule="atLeast"/>
              <w:jc w:val="center"/>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5</w:t>
            </w:r>
          </w:p>
        </w:tc>
        <w:tc>
          <w:tcPr>
            <w:tcW w:w="1454" w:type="dxa"/>
            <w:tcBorders>
              <w:bottom w:val="single" w:color="000000" w:sz="8" w:space="0"/>
              <w:right w:val="single" w:color="000000" w:sz="8" w:space="0"/>
            </w:tcBorders>
            <w:noWrap w:val="0"/>
            <w:tcMar>
              <w:top w:w="0" w:type="dxa"/>
              <w:left w:w="108" w:type="dxa"/>
              <w:bottom w:w="0" w:type="dxa"/>
              <w:right w:w="118" w:type="dxa"/>
            </w:tcMar>
            <w:vAlign w:val="center"/>
          </w:tcPr>
          <w:p w14:paraId="629D565B">
            <w:pPr>
              <w:pStyle w:val="979"/>
              <w:spacing w:line="560" w:lineRule="atLeast"/>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人员储备</w:t>
            </w:r>
          </w:p>
        </w:tc>
        <w:tc>
          <w:tcPr>
            <w:tcW w:w="1035" w:type="dxa"/>
            <w:tcBorders>
              <w:bottom w:val="single" w:color="000000" w:sz="8" w:space="0"/>
              <w:right w:val="single" w:color="000000" w:sz="8" w:space="0"/>
            </w:tcBorders>
            <w:noWrap w:val="0"/>
            <w:tcMar>
              <w:top w:w="0" w:type="dxa"/>
              <w:left w:w="108" w:type="dxa"/>
              <w:bottom w:w="0" w:type="dxa"/>
              <w:right w:w="118" w:type="dxa"/>
            </w:tcMar>
            <w:vAlign w:val="center"/>
          </w:tcPr>
          <w:p w14:paraId="559009D0">
            <w:pPr>
              <w:pStyle w:val="979"/>
              <w:spacing w:line="560" w:lineRule="atLeast"/>
              <w:ind w:firstLine="420"/>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10</w:t>
            </w:r>
          </w:p>
        </w:tc>
        <w:tc>
          <w:tcPr>
            <w:tcW w:w="4476" w:type="dxa"/>
            <w:tcBorders>
              <w:bottom w:val="single" w:color="000000" w:sz="8" w:space="0"/>
              <w:right w:val="single" w:color="000000" w:sz="8" w:space="0"/>
            </w:tcBorders>
            <w:noWrap w:val="0"/>
            <w:tcMar>
              <w:top w:w="0" w:type="dxa"/>
              <w:left w:w="108" w:type="dxa"/>
              <w:bottom w:w="0" w:type="dxa"/>
              <w:right w:w="118" w:type="dxa"/>
            </w:tcMar>
            <w:vAlign w:val="center"/>
          </w:tcPr>
          <w:p w14:paraId="2E967E92">
            <w:pPr>
              <w:pStyle w:val="979"/>
              <w:spacing w:line="560" w:lineRule="atLeast"/>
              <w:ind w:firstLine="420"/>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人员储备少于5人，且未能按要求整改的，每次扣1分</w:t>
            </w:r>
          </w:p>
        </w:tc>
      </w:tr>
      <w:tr w14:paraId="02380F4F">
        <w:tblPrEx>
          <w:tblCellMar>
            <w:top w:w="15" w:type="dxa"/>
            <w:left w:w="15" w:type="dxa"/>
            <w:bottom w:w="15" w:type="dxa"/>
            <w:right w:w="15" w:type="dxa"/>
          </w:tblCellMar>
        </w:tblPrEx>
        <w:trPr>
          <w:tblCellSpacing w:w="0" w:type="dxa"/>
        </w:trPr>
        <w:tc>
          <w:tcPr>
            <w:vMerge w:val="continue"/>
            <w:tcBorders>
              <w:left w:val="single" w:color="000000" w:sz="8" w:space="0"/>
              <w:bottom w:val="single" w:color="000000" w:sz="8" w:space="0"/>
              <w:right w:val="single" w:color="000000" w:sz="8" w:space="0"/>
            </w:tcBorders>
            <w:vAlign w:val="center"/>
          </w:tcPr>
          <w:p w14:paraId="59085351">
            <w:pPr>
              <w:rPr>
                <w:rFonts w:hint="eastAsia" w:ascii="仿宋" w:hAnsi="仿宋" w:eastAsia="仿宋" w:cs="仿宋"/>
                <w:b w:val="0"/>
                <w:bCs w:val="0"/>
                <w:i w:val="0"/>
                <w:iCs w:val="0"/>
                <w:smallCaps w:val="0"/>
                <w:color w:val="auto"/>
                <w:sz w:val="24"/>
                <w:szCs w:val="24"/>
              </w:rPr>
            </w:pPr>
          </w:p>
        </w:tc>
        <w:tc>
          <w:tcPr>
            <w:tcW w:w="934" w:type="dxa"/>
            <w:tcBorders>
              <w:bottom w:val="single" w:color="000000" w:sz="8" w:space="0"/>
              <w:right w:val="single" w:color="000000" w:sz="8" w:space="0"/>
            </w:tcBorders>
            <w:noWrap w:val="0"/>
            <w:tcMar>
              <w:top w:w="0" w:type="dxa"/>
              <w:left w:w="108" w:type="dxa"/>
              <w:bottom w:w="0" w:type="dxa"/>
              <w:right w:w="118" w:type="dxa"/>
            </w:tcMar>
            <w:vAlign w:val="center"/>
          </w:tcPr>
          <w:p w14:paraId="3056E7F4">
            <w:pPr>
              <w:pStyle w:val="979"/>
              <w:spacing w:line="560" w:lineRule="atLeast"/>
              <w:jc w:val="center"/>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6</w:t>
            </w:r>
          </w:p>
        </w:tc>
        <w:tc>
          <w:tcPr>
            <w:tcW w:w="1454" w:type="dxa"/>
            <w:tcBorders>
              <w:bottom w:val="single" w:color="000000" w:sz="8" w:space="0"/>
              <w:right w:val="single" w:color="000000" w:sz="8" w:space="0"/>
            </w:tcBorders>
            <w:noWrap w:val="0"/>
            <w:tcMar>
              <w:top w:w="0" w:type="dxa"/>
              <w:left w:w="108" w:type="dxa"/>
              <w:bottom w:w="0" w:type="dxa"/>
              <w:right w:w="118" w:type="dxa"/>
            </w:tcMar>
            <w:vAlign w:val="center"/>
          </w:tcPr>
          <w:p w14:paraId="3DE9951E">
            <w:pPr>
              <w:pStyle w:val="979"/>
              <w:spacing w:line="560" w:lineRule="atLeast"/>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安全保密</w:t>
            </w:r>
          </w:p>
        </w:tc>
        <w:tc>
          <w:tcPr>
            <w:tcW w:w="1035" w:type="dxa"/>
            <w:tcBorders>
              <w:bottom w:val="single" w:color="000000" w:sz="8" w:space="0"/>
              <w:right w:val="single" w:color="000000" w:sz="8" w:space="0"/>
            </w:tcBorders>
            <w:noWrap w:val="0"/>
            <w:tcMar>
              <w:top w:w="0" w:type="dxa"/>
              <w:left w:w="108" w:type="dxa"/>
              <w:bottom w:w="0" w:type="dxa"/>
              <w:right w:w="118" w:type="dxa"/>
            </w:tcMar>
            <w:vAlign w:val="center"/>
          </w:tcPr>
          <w:p w14:paraId="2F23C0E8">
            <w:pPr>
              <w:pStyle w:val="979"/>
              <w:spacing w:line="560" w:lineRule="atLeast"/>
              <w:ind w:firstLine="420"/>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20</w:t>
            </w:r>
          </w:p>
        </w:tc>
        <w:tc>
          <w:tcPr>
            <w:tcW w:w="4476" w:type="dxa"/>
            <w:tcBorders>
              <w:bottom w:val="single" w:color="000000" w:sz="8" w:space="0"/>
              <w:right w:val="single" w:color="000000" w:sz="8" w:space="0"/>
            </w:tcBorders>
            <w:noWrap w:val="0"/>
            <w:tcMar>
              <w:top w:w="0" w:type="dxa"/>
              <w:left w:w="108" w:type="dxa"/>
              <w:bottom w:w="0" w:type="dxa"/>
              <w:right w:w="118" w:type="dxa"/>
            </w:tcMar>
            <w:vAlign w:val="center"/>
          </w:tcPr>
          <w:p w14:paraId="6F9B68DA">
            <w:pPr>
              <w:pStyle w:val="979"/>
              <w:spacing w:line="560" w:lineRule="atLeast"/>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发生信息安全事故，每人次扣减5分；对机房安全检查发现的问题，未能及时进行改正的，每次扣减2分。</w:t>
            </w:r>
          </w:p>
        </w:tc>
      </w:tr>
      <w:tr w14:paraId="5F898F15">
        <w:tblPrEx>
          <w:tblCellMar>
            <w:top w:w="15" w:type="dxa"/>
            <w:left w:w="15" w:type="dxa"/>
            <w:bottom w:w="15" w:type="dxa"/>
            <w:right w:w="15" w:type="dxa"/>
          </w:tblCellMar>
        </w:tblPrEx>
        <w:trPr>
          <w:tblCellSpacing w:w="0" w:type="dxa"/>
        </w:trPr>
        <w:tc>
          <w:tcPr>
            <w:tcW w:w="3791" w:type="dxa"/>
            <w:gridSpan w:val="3"/>
            <w:tcBorders>
              <w:left w:val="single" w:color="000000" w:sz="8" w:space="0"/>
              <w:bottom w:val="single" w:color="000000" w:sz="8" w:space="0"/>
              <w:right w:val="single" w:color="000000" w:sz="8" w:space="0"/>
            </w:tcBorders>
            <w:noWrap w:val="0"/>
            <w:tcMar>
              <w:top w:w="0" w:type="dxa"/>
              <w:left w:w="118" w:type="dxa"/>
              <w:bottom w:w="0" w:type="dxa"/>
              <w:right w:w="118" w:type="dxa"/>
            </w:tcMar>
            <w:vAlign w:val="top"/>
          </w:tcPr>
          <w:p w14:paraId="3889681D">
            <w:pPr>
              <w:pStyle w:val="979"/>
              <w:spacing w:line="560" w:lineRule="atLeast"/>
              <w:ind w:firstLine="420"/>
              <w:jc w:val="center"/>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合计</w:t>
            </w:r>
          </w:p>
        </w:tc>
        <w:tc>
          <w:tcPr>
            <w:tcW w:w="5511" w:type="dxa"/>
            <w:gridSpan w:val="2"/>
            <w:tcBorders>
              <w:bottom w:val="single" w:color="000000" w:sz="8" w:space="0"/>
              <w:right w:val="single" w:color="000000" w:sz="8" w:space="0"/>
            </w:tcBorders>
            <w:noWrap w:val="0"/>
            <w:tcMar>
              <w:top w:w="0" w:type="dxa"/>
              <w:left w:w="108" w:type="dxa"/>
              <w:bottom w:w="0" w:type="dxa"/>
              <w:right w:w="118" w:type="dxa"/>
            </w:tcMar>
            <w:vAlign w:val="top"/>
          </w:tcPr>
          <w:p w14:paraId="1DE1B923">
            <w:pPr>
              <w:pStyle w:val="979"/>
              <w:spacing w:line="560" w:lineRule="atLeast"/>
              <w:ind w:firstLine="420"/>
              <w:jc w:val="center"/>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100</w:t>
            </w:r>
          </w:p>
        </w:tc>
      </w:tr>
    </w:tbl>
    <w:p w14:paraId="317BDD97">
      <w:pPr>
        <w:pStyle w:val="979"/>
        <w:spacing w:before="0" w:after="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服务期间如发生重大事故、服务质量不达标等情况，招标方有权要求更换巡检人员。考核结果低于90分的，招标方有权无条件终止合同。</w:t>
      </w:r>
    </w:p>
    <w:p w14:paraId="4D58D8FD">
      <w:pPr>
        <w:pStyle w:val="979"/>
        <w:spacing w:before="0" w:after="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2.个人考核</w:t>
      </w:r>
    </w:p>
    <w:p w14:paraId="1FFB57C7">
      <w:pPr>
        <w:pStyle w:val="979"/>
        <w:spacing w:before="0" w:after="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（1）遵守各项工作制度，无故缺勤每人/天扣200元。</w:t>
      </w:r>
    </w:p>
    <w:p w14:paraId="0B7B603F">
      <w:pPr>
        <w:pStyle w:val="979"/>
        <w:spacing w:before="0" w:after="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（2）采购方要求服务单位提供项目服务内容范围内的事项，责任人未按时按要求提供的，责任人按次扣200元。产生严重不良影响的，按次扣1000元。</w:t>
      </w:r>
    </w:p>
    <w:p w14:paraId="16006B5B">
      <w:pPr>
        <w:pStyle w:val="979"/>
        <w:spacing w:before="0" w:after="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（3）故意泄露数据，按次扣5000元并追究法律责任。</w:t>
      </w:r>
    </w:p>
    <w:p w14:paraId="15224BC6">
      <w:pPr>
        <w:pStyle w:val="5"/>
        <w:keepNext w:val="0"/>
        <w:spacing w:before="0" w:after="0" w:line="360" w:lineRule="auto"/>
        <w:jc w:val="center"/>
        <w:rPr>
          <w:rFonts w:hint="eastAsia" w:ascii="仿宋" w:hAnsi="仿宋" w:eastAsia="仿宋" w:cs="仿宋"/>
          <w:b/>
          <w:bCs/>
          <w:color w:val="auto"/>
          <w:sz w:val="24"/>
          <w:szCs w:val="24"/>
        </w:rPr>
      </w:pPr>
      <w:bookmarkStart w:id="47" w:name="_Toc256000021"/>
      <w:r>
        <w:rPr>
          <w:rFonts w:hint="eastAsia" w:ascii="仿宋" w:hAnsi="仿宋" w:eastAsia="仿宋" w:cs="仿宋"/>
          <w:color w:val="auto"/>
          <w:kern w:val="36"/>
          <w:sz w:val="24"/>
          <w:szCs w:val="24"/>
        </w:rPr>
        <w:t>4人员要求</w:t>
      </w:r>
      <w:bookmarkEnd w:id="47"/>
    </w:p>
    <w:p w14:paraId="3A16A580">
      <w:pPr>
        <w:pStyle w:val="6"/>
        <w:keepNext w:val="0"/>
        <w:spacing w:before="0" w:after="0" w:line="360" w:lineRule="auto"/>
        <w:rPr>
          <w:rFonts w:hint="eastAsia" w:ascii="仿宋" w:hAnsi="仿宋" w:eastAsia="仿宋" w:cs="仿宋"/>
          <w:b/>
          <w:bCs/>
          <w:color w:val="auto"/>
          <w:sz w:val="24"/>
          <w:szCs w:val="24"/>
        </w:rPr>
      </w:pPr>
      <w:bookmarkStart w:id="48" w:name="_Toc256000022"/>
      <w:r>
        <w:rPr>
          <w:rFonts w:hint="eastAsia" w:ascii="仿宋" w:hAnsi="仿宋" w:eastAsia="仿宋" w:cs="仿宋"/>
          <w:i w:val="0"/>
          <w:iCs w:val="0"/>
          <w:color w:val="auto"/>
          <w:sz w:val="24"/>
          <w:szCs w:val="24"/>
        </w:rPr>
        <w:t>4.1总体要求</w:t>
      </w:r>
      <w:bookmarkEnd w:id="48"/>
    </w:p>
    <w:p w14:paraId="3A536380">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投标人需安排5名技术人员组成项目团队，其中项目经理1人，其他技术人员4人。</w:t>
      </w:r>
    </w:p>
    <w:p w14:paraId="040A788C">
      <w:pPr>
        <w:pStyle w:val="6"/>
        <w:keepNext w:val="0"/>
        <w:spacing w:before="0" w:after="0" w:line="360" w:lineRule="auto"/>
        <w:rPr>
          <w:rFonts w:hint="eastAsia" w:ascii="仿宋" w:hAnsi="仿宋" w:eastAsia="仿宋" w:cs="仿宋"/>
          <w:b/>
          <w:bCs/>
          <w:color w:val="auto"/>
          <w:sz w:val="24"/>
          <w:szCs w:val="24"/>
        </w:rPr>
      </w:pPr>
      <w:bookmarkStart w:id="49" w:name="_Toc256000023"/>
      <w:r>
        <w:rPr>
          <w:rFonts w:hint="eastAsia" w:ascii="仿宋" w:hAnsi="仿宋" w:eastAsia="仿宋" w:cs="仿宋"/>
          <w:i w:val="0"/>
          <w:iCs w:val="0"/>
          <w:color w:val="auto"/>
          <w:sz w:val="24"/>
          <w:szCs w:val="24"/>
        </w:rPr>
        <w:t>4.2管理团队</w:t>
      </w:r>
      <w:bookmarkEnd w:id="49"/>
    </w:p>
    <w:p w14:paraId="3D1EEC73">
      <w:pPr>
        <w:pStyle w:val="7"/>
        <w:keepNext w:val="0"/>
        <w:spacing w:before="0" w:after="0" w:line="360" w:lineRule="auto"/>
        <w:rPr>
          <w:rFonts w:hint="eastAsia" w:ascii="仿宋" w:hAnsi="仿宋" w:eastAsia="仿宋" w:cs="仿宋"/>
          <w:b/>
          <w:bCs/>
          <w:color w:val="auto"/>
          <w:sz w:val="24"/>
          <w:szCs w:val="24"/>
        </w:rPr>
      </w:pPr>
      <w:bookmarkStart w:id="50" w:name="_Toc256000024"/>
      <w:r>
        <w:rPr>
          <w:rFonts w:hint="eastAsia" w:ascii="仿宋" w:hAnsi="仿宋" w:eastAsia="仿宋" w:cs="仿宋"/>
          <w:color w:val="auto"/>
          <w:sz w:val="24"/>
          <w:szCs w:val="24"/>
        </w:rPr>
        <w:t>4.2.1项目经理要求</w:t>
      </w:r>
      <w:bookmarkEnd w:id="50"/>
    </w:p>
    <w:p w14:paraId="52FA166F">
      <w:pPr>
        <w:pStyle w:val="981"/>
        <w:spacing w:before="0" w:after="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项目经理1人，要求本科及以上计算机或通信相关专业,同时具有信息系统项目管理师、系统分析师证书。</w:t>
      </w:r>
    </w:p>
    <w:p w14:paraId="6A3E4080">
      <w:pPr>
        <w:pStyle w:val="6"/>
        <w:keepNext w:val="0"/>
        <w:spacing w:before="0" w:after="0" w:line="360" w:lineRule="auto"/>
        <w:rPr>
          <w:rFonts w:hint="eastAsia" w:ascii="仿宋" w:hAnsi="仿宋" w:eastAsia="仿宋" w:cs="仿宋"/>
          <w:b/>
          <w:bCs/>
          <w:color w:val="auto"/>
          <w:sz w:val="24"/>
          <w:szCs w:val="24"/>
        </w:rPr>
      </w:pPr>
      <w:bookmarkStart w:id="51" w:name="_Toc256000025"/>
      <w:r>
        <w:rPr>
          <w:rFonts w:hint="eastAsia" w:ascii="仿宋" w:hAnsi="仿宋" w:eastAsia="仿宋" w:cs="仿宋"/>
          <w:i w:val="0"/>
          <w:iCs w:val="0"/>
          <w:color w:val="auto"/>
          <w:sz w:val="24"/>
          <w:szCs w:val="24"/>
        </w:rPr>
        <w:t>4.3技术团队</w:t>
      </w:r>
      <w:bookmarkEnd w:id="51"/>
    </w:p>
    <w:p w14:paraId="627AA5E0">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其他技术人员4人，要求专科及以上计算机、通信、消防工程或建筑学相关专业。</w:t>
      </w:r>
    </w:p>
    <w:p w14:paraId="55D4BE84">
      <w:pPr>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b w:val="0"/>
          <w:bCs w:val="0"/>
          <w:color w:val="auto"/>
          <w:sz w:val="24"/>
          <w:szCs w:val="24"/>
        </w:rPr>
        <w:t>技术团队具备以下证书：网络规划设计师证书、信息安全工程师证书、一级注册消防工程师证书。</w:t>
      </w:r>
    </w:p>
    <w:p w14:paraId="41946984">
      <w:pPr>
        <w:pStyle w:val="5"/>
        <w:keepNext w:val="0"/>
        <w:spacing w:before="0" w:after="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2" w:name="_Toc256000027"/>
      <w:r>
        <w:rPr>
          <w:rFonts w:hint="eastAsia" w:ascii="仿宋" w:hAnsi="仿宋" w:eastAsia="仿宋" w:cs="仿宋"/>
          <w:color w:val="auto"/>
          <w:kern w:val="36"/>
          <w:sz w:val="24"/>
          <w:szCs w:val="24"/>
        </w:rPr>
        <w:t>5管理实施要求</w:t>
      </w:r>
      <w:bookmarkEnd w:id="52"/>
    </w:p>
    <w:p w14:paraId="4A2CD3A5">
      <w:pPr>
        <w:pStyle w:val="6"/>
        <w:keepNext w:val="0"/>
        <w:spacing w:before="0" w:after="0" w:line="360" w:lineRule="auto"/>
        <w:rPr>
          <w:rFonts w:hint="eastAsia" w:ascii="仿宋" w:hAnsi="仿宋" w:eastAsia="仿宋" w:cs="仿宋"/>
          <w:b/>
          <w:bCs/>
          <w:color w:val="auto"/>
          <w:sz w:val="24"/>
          <w:szCs w:val="24"/>
        </w:rPr>
      </w:pPr>
      <w:bookmarkStart w:id="53" w:name="_Toc256000028"/>
      <w:r>
        <w:rPr>
          <w:rFonts w:hint="eastAsia" w:ascii="仿宋" w:hAnsi="仿宋" w:eastAsia="仿宋" w:cs="仿宋"/>
          <w:i w:val="0"/>
          <w:iCs w:val="0"/>
          <w:color w:val="auto"/>
          <w:sz w:val="24"/>
          <w:szCs w:val="24"/>
        </w:rPr>
        <w:t>5.1对投标人的管理要求</w:t>
      </w:r>
      <w:bookmarkEnd w:id="53"/>
    </w:p>
    <w:p w14:paraId="5E8D0AC0">
      <w:pPr>
        <w:pStyle w:val="981"/>
        <w:spacing w:before="0" w:after="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1、在本项目现场服务人员无法完成相关工作时，投标人应提供后备人员团队以协助完成相关工作，后备人员团队应不少于5人，并就相关问题及解决方案书面提交应急预案。</w:t>
      </w:r>
    </w:p>
    <w:p w14:paraId="05C0D235">
      <w:pPr>
        <w:pStyle w:val="981"/>
        <w:spacing w:before="0" w:after="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投标人须保证派出运维人员的稳定性和连续性，运维人员确定后，不得随意更换。投标人须提前做好人力储备，如投标方派出人员的合同到期或申请离职，投标人必须提前两个月通知采购人，并立即从后备人员团队中经考核后，选择合格人员进行工作熟悉和交接，确保正常工作不受影响。正式更换前，需正式提交书面申请，报采购人项目负责人审批后方可调整。</w:t>
      </w:r>
    </w:p>
    <w:p w14:paraId="32B34670">
      <w:pPr>
        <w:pStyle w:val="981"/>
        <w:spacing w:before="0" w:after="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投标人所派驻场人员须经采购人认可，对于达不到要求的人员，采购人有权退回，并要求一个月内重新选派人员。若未能按要求及时更换选派人员，则扣款5000元；累计更换3次选派人员仍未能满足采购人要求，则采购人有权终止该服务项目，并不再支付该服务项目的剩余款项。</w:t>
      </w:r>
    </w:p>
    <w:p w14:paraId="1EB19368">
      <w:pPr>
        <w:pStyle w:val="981"/>
        <w:spacing w:before="0" w:after="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4、项目团队应做好值班巡检服务的计划与总结，按月向采购人提交值班巡检工作计划、设备巡检情况报告、机房环境巡检情况报告等与项目有关的文档及采购人要求提供的其他文档。</w:t>
      </w:r>
    </w:p>
    <w:p w14:paraId="61CB4E88">
      <w:pPr>
        <w:pStyle w:val="6"/>
        <w:keepNext w:val="0"/>
        <w:spacing w:before="0" w:after="0" w:line="360" w:lineRule="auto"/>
        <w:rPr>
          <w:rFonts w:hint="eastAsia" w:ascii="仿宋" w:hAnsi="仿宋" w:eastAsia="仿宋" w:cs="仿宋"/>
          <w:b/>
          <w:bCs/>
          <w:color w:val="auto"/>
          <w:sz w:val="24"/>
          <w:szCs w:val="24"/>
        </w:rPr>
      </w:pPr>
      <w:bookmarkStart w:id="54" w:name="_Toc256000029"/>
      <w:r>
        <w:rPr>
          <w:rFonts w:hint="eastAsia" w:ascii="仿宋" w:hAnsi="仿宋" w:eastAsia="仿宋" w:cs="仿宋"/>
          <w:i w:val="0"/>
          <w:iCs w:val="0"/>
          <w:color w:val="auto"/>
          <w:sz w:val="24"/>
          <w:szCs w:val="24"/>
        </w:rPr>
        <w:t>5.2对人员管理的要求</w:t>
      </w:r>
      <w:bookmarkEnd w:id="54"/>
    </w:p>
    <w:p w14:paraId="3458A02B">
      <w:pPr>
        <w:spacing w:before="0" w:after="0" w:line="360" w:lineRule="auto"/>
        <w:ind w:left="0" w:firstLine="420"/>
        <w:jc w:val="both"/>
        <w:rPr>
          <w:rFonts w:hint="eastAsia" w:ascii="仿宋" w:hAnsi="仿宋" w:eastAsia="仿宋" w:cs="仿宋"/>
          <w:color w:val="auto"/>
          <w:sz w:val="24"/>
          <w:szCs w:val="24"/>
        </w:rPr>
      </w:pPr>
      <w:r>
        <w:rPr>
          <w:rFonts w:hint="eastAsia" w:ascii="仿宋" w:hAnsi="仿宋" w:eastAsia="仿宋" w:cs="仿宋"/>
          <w:color w:val="auto"/>
          <w:sz w:val="24"/>
          <w:szCs w:val="24"/>
        </w:rPr>
        <w:t>1.项目服务人员的管理按照《国家税务总局浙江省税务局系统外部运维人员管理制度》执行。</w:t>
      </w:r>
    </w:p>
    <w:p w14:paraId="6D6DCB89">
      <w:pPr>
        <w:spacing w:before="0" w:after="0" w:line="360" w:lineRule="auto"/>
        <w:ind w:left="0" w:firstLine="420"/>
        <w:jc w:val="both"/>
        <w:rPr>
          <w:rFonts w:hint="eastAsia" w:ascii="仿宋" w:hAnsi="仿宋" w:eastAsia="仿宋" w:cs="仿宋"/>
          <w:color w:val="auto"/>
          <w:sz w:val="24"/>
          <w:szCs w:val="24"/>
        </w:rPr>
      </w:pPr>
      <w:r>
        <w:rPr>
          <w:rFonts w:hint="eastAsia" w:ascii="仿宋" w:hAnsi="仿宋" w:eastAsia="仿宋" w:cs="仿宋"/>
          <w:color w:val="auto"/>
          <w:sz w:val="24"/>
          <w:szCs w:val="24"/>
        </w:rPr>
        <w:t>2.供应商应按照项目工作特点为项目服务人员提供必要的工作设备。工作设备在现场服务需要接入网络时，应遵守采购人的安全要求。</w:t>
      </w:r>
    </w:p>
    <w:p w14:paraId="76297B66">
      <w:pPr>
        <w:spacing w:before="0" w:after="0" w:line="360" w:lineRule="auto"/>
        <w:ind w:left="0" w:firstLine="420"/>
        <w:jc w:val="both"/>
        <w:rPr>
          <w:rFonts w:hint="eastAsia" w:ascii="仿宋" w:hAnsi="仿宋" w:eastAsia="仿宋" w:cs="仿宋"/>
          <w:color w:val="auto"/>
          <w:sz w:val="24"/>
          <w:szCs w:val="24"/>
        </w:rPr>
      </w:pPr>
      <w:r>
        <w:rPr>
          <w:rFonts w:hint="eastAsia" w:ascii="仿宋" w:hAnsi="仿宋" w:eastAsia="仿宋" w:cs="仿宋"/>
          <w:color w:val="auto"/>
          <w:sz w:val="24"/>
          <w:szCs w:val="24"/>
        </w:rPr>
        <w:t>3.供应商派出的驻场运维人员应严格遵守采购人的工作纪律、安全等管理规定，服从采购人要求安排加班等工作。</w:t>
      </w:r>
    </w:p>
    <w:p w14:paraId="5E30DF4B">
      <w:pPr>
        <w:spacing w:before="0" w:after="0" w:line="360" w:lineRule="auto"/>
        <w:ind w:left="0" w:firstLine="420"/>
        <w:jc w:val="both"/>
        <w:rPr>
          <w:rFonts w:hint="eastAsia" w:ascii="仿宋" w:hAnsi="仿宋" w:eastAsia="仿宋" w:cs="仿宋"/>
          <w:color w:val="auto"/>
          <w:sz w:val="24"/>
          <w:szCs w:val="24"/>
        </w:rPr>
      </w:pPr>
      <w:r>
        <w:rPr>
          <w:rFonts w:hint="eastAsia" w:ascii="仿宋" w:hAnsi="仿宋" w:eastAsia="仿宋" w:cs="仿宋"/>
          <w:color w:val="auto"/>
          <w:sz w:val="24"/>
          <w:szCs w:val="24"/>
        </w:rPr>
        <w:t>4.供应商和运维人员对采购人负责，按照授权工作，不得从事不在授权内的工作内容。</w:t>
      </w:r>
    </w:p>
    <w:p w14:paraId="77F31902">
      <w:pPr>
        <w:spacing w:before="0" w:after="0" w:line="360" w:lineRule="auto"/>
        <w:ind w:left="0" w:firstLine="420"/>
        <w:jc w:val="both"/>
        <w:rPr>
          <w:rFonts w:hint="eastAsia" w:ascii="仿宋" w:hAnsi="仿宋" w:eastAsia="仿宋" w:cs="仿宋"/>
          <w:color w:val="auto"/>
          <w:sz w:val="24"/>
          <w:szCs w:val="24"/>
        </w:rPr>
      </w:pPr>
      <w:r>
        <w:rPr>
          <w:rFonts w:hint="eastAsia" w:ascii="仿宋" w:hAnsi="仿宋" w:eastAsia="仿宋" w:cs="仿宋"/>
          <w:color w:val="auto"/>
          <w:sz w:val="24"/>
          <w:szCs w:val="24"/>
        </w:rPr>
        <w:t>5.项目经理应同采购人做好机房日常巡检事宜的对接工作，其他技术人员应常驻采购人地点做好采购人要求的各项日常工作。</w:t>
      </w:r>
    </w:p>
    <w:p w14:paraId="0CCFAFDF">
      <w:pPr>
        <w:spacing w:before="0" w:after="0" w:line="360" w:lineRule="auto"/>
        <w:ind w:left="0" w:firstLine="420"/>
        <w:jc w:val="both"/>
        <w:rPr>
          <w:rFonts w:hint="eastAsia" w:ascii="仿宋" w:hAnsi="仿宋" w:eastAsia="仿宋" w:cs="仿宋"/>
          <w:color w:val="auto"/>
          <w:sz w:val="24"/>
          <w:szCs w:val="24"/>
        </w:rPr>
      </w:pPr>
      <w:r>
        <w:rPr>
          <w:rFonts w:hint="eastAsia" w:ascii="仿宋" w:hAnsi="仿宋" w:eastAsia="仿宋" w:cs="仿宋"/>
          <w:color w:val="auto"/>
          <w:sz w:val="24"/>
          <w:szCs w:val="24"/>
        </w:rPr>
        <w:t> </w:t>
      </w:r>
    </w:p>
    <w:p w14:paraId="5A2B9BF9">
      <w:pPr>
        <w:pStyle w:val="5"/>
        <w:keepNext w:val="0"/>
        <w:spacing w:before="0" w:after="0" w:line="360" w:lineRule="auto"/>
        <w:jc w:val="center"/>
        <w:rPr>
          <w:rFonts w:hint="eastAsia" w:ascii="仿宋" w:hAnsi="仿宋" w:eastAsia="仿宋" w:cs="仿宋"/>
          <w:b/>
          <w:bCs/>
          <w:color w:val="auto"/>
          <w:sz w:val="24"/>
          <w:szCs w:val="24"/>
        </w:rPr>
      </w:pPr>
      <w:bookmarkStart w:id="55" w:name="_Toc256000030"/>
      <w:r>
        <w:rPr>
          <w:rFonts w:hint="eastAsia" w:ascii="仿宋" w:hAnsi="仿宋" w:eastAsia="仿宋" w:cs="仿宋"/>
          <w:color w:val="auto"/>
          <w:kern w:val="36"/>
          <w:sz w:val="24"/>
          <w:szCs w:val="24"/>
        </w:rPr>
        <w:t>6保密要求</w:t>
      </w:r>
      <w:bookmarkEnd w:id="55"/>
    </w:p>
    <w:p w14:paraId="0D48AC7E">
      <w:pPr>
        <w:pStyle w:val="979"/>
        <w:spacing w:before="0" w:after="0" w:line="360" w:lineRule="auto"/>
        <w:ind w:firstLine="600"/>
        <w:rPr>
          <w:rFonts w:hint="eastAsia" w:ascii="仿宋" w:hAnsi="仿宋" w:eastAsia="仿宋" w:cs="仿宋"/>
          <w:color w:val="auto"/>
          <w:sz w:val="24"/>
          <w:szCs w:val="24"/>
        </w:rPr>
      </w:pPr>
      <w:r>
        <w:rPr>
          <w:rFonts w:hint="eastAsia" w:ascii="仿宋" w:hAnsi="仿宋" w:eastAsia="仿宋" w:cs="仿宋"/>
          <w:color w:val="auto"/>
          <w:sz w:val="24"/>
          <w:szCs w:val="24"/>
        </w:rPr>
        <w:t>▲投标人对于采购人提供的资料，以及本项目实施过程中所涉及的机房相关的所有文档、数据、介质和相关信息保密，未经许可，不得以任何形式向第三方传播。保密期限不受本项目期限的限制，在本项目履行完毕后，投标人仍应承担保密义务。如因投标人的原因造成泄密，用户方将保留追究其法律责任的权利。</w:t>
      </w:r>
    </w:p>
    <w:p w14:paraId="5458C580">
      <w:pPr>
        <w:pStyle w:val="5"/>
        <w:keepNext w:val="0"/>
        <w:spacing w:before="0" w:after="0" w:line="360" w:lineRule="auto"/>
        <w:jc w:val="center"/>
        <w:rPr>
          <w:rFonts w:hint="eastAsia" w:ascii="仿宋" w:hAnsi="仿宋" w:eastAsia="仿宋" w:cs="仿宋"/>
          <w:b/>
          <w:bCs/>
          <w:color w:val="auto"/>
          <w:sz w:val="24"/>
          <w:szCs w:val="24"/>
        </w:rPr>
      </w:pPr>
      <w:bookmarkStart w:id="56" w:name="_Toc256000031"/>
      <w:r>
        <w:rPr>
          <w:rFonts w:hint="eastAsia" w:ascii="仿宋" w:hAnsi="仿宋" w:eastAsia="仿宋" w:cs="仿宋"/>
          <w:color w:val="auto"/>
          <w:kern w:val="36"/>
          <w:sz w:val="24"/>
          <w:szCs w:val="24"/>
        </w:rPr>
        <w:t>7知识转移要求</w:t>
      </w:r>
      <w:bookmarkEnd w:id="56"/>
    </w:p>
    <w:p w14:paraId="4EABDBA6">
      <w:pPr>
        <w:spacing w:before="0" w:after="0" w:line="360" w:lineRule="auto"/>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1、知识转移的目标是投标人要采取有效方法、途径保证采购人能顺利完成本项目服务过程中各阶段移交物的接收及技术知识的吸收和转移，确保采购人能够掌握该项目的核心技术。投标人须将服务期间产生的一切资料和知识通过培训和文档等形式转移给采购人。</w:t>
      </w:r>
    </w:p>
    <w:p w14:paraId="33568E47">
      <w:pPr>
        <w:spacing w:before="0" w:after="0" w:line="360" w:lineRule="auto"/>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2、采购人不单独对知识转移支付费用。</w:t>
      </w:r>
    </w:p>
    <w:p w14:paraId="48EDFCB6">
      <w:pPr>
        <w:pStyle w:val="5"/>
        <w:keepNext w:val="0"/>
        <w:spacing w:before="0" w:after="0" w:line="360" w:lineRule="auto"/>
        <w:jc w:val="center"/>
        <w:rPr>
          <w:rFonts w:hint="eastAsia" w:ascii="仿宋" w:hAnsi="仿宋" w:eastAsia="仿宋" w:cs="仿宋"/>
          <w:b/>
          <w:bCs/>
          <w:color w:val="auto"/>
          <w:sz w:val="24"/>
          <w:szCs w:val="24"/>
        </w:rPr>
      </w:pPr>
      <w:bookmarkStart w:id="57" w:name="_Toc256000032"/>
      <w:r>
        <w:rPr>
          <w:rFonts w:hint="eastAsia" w:ascii="仿宋" w:hAnsi="仿宋" w:eastAsia="仿宋" w:cs="仿宋"/>
          <w:color w:val="auto"/>
          <w:kern w:val="36"/>
          <w:sz w:val="24"/>
          <w:szCs w:val="24"/>
        </w:rPr>
        <w:t>8风险管控要求</w:t>
      </w:r>
      <w:bookmarkEnd w:id="57"/>
    </w:p>
    <w:p w14:paraId="6F0285E6">
      <w:pPr>
        <w:spacing w:before="0" w:after="0" w:line="360" w:lineRule="auto"/>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 投标人应充分考虑各种风险因素，做好预案，确保按质按时提供、完成巡检服务。</w:t>
      </w:r>
    </w:p>
    <w:p w14:paraId="6955C022">
      <w:pPr>
        <w:pStyle w:val="5"/>
        <w:keepNext w:val="0"/>
        <w:spacing w:before="0" w:after="0" w:line="360" w:lineRule="auto"/>
        <w:jc w:val="center"/>
        <w:rPr>
          <w:rFonts w:hint="eastAsia" w:ascii="仿宋" w:hAnsi="仿宋" w:eastAsia="仿宋" w:cs="仿宋"/>
          <w:b/>
          <w:bCs/>
          <w:color w:val="auto"/>
          <w:sz w:val="24"/>
          <w:szCs w:val="24"/>
        </w:rPr>
      </w:pPr>
      <w:bookmarkStart w:id="58" w:name="_Toc256000033"/>
      <w:r>
        <w:rPr>
          <w:rFonts w:hint="eastAsia" w:ascii="仿宋" w:hAnsi="仿宋" w:eastAsia="仿宋" w:cs="仿宋"/>
          <w:color w:val="auto"/>
          <w:kern w:val="36"/>
          <w:sz w:val="24"/>
          <w:szCs w:val="24"/>
        </w:rPr>
        <w:t>9履约验收要求</w:t>
      </w:r>
      <w:bookmarkEnd w:id="58"/>
    </w:p>
    <w:p w14:paraId="3817D741">
      <w:pPr>
        <w:pStyle w:val="6"/>
        <w:keepNext w:val="0"/>
        <w:spacing w:before="0" w:after="0" w:line="360" w:lineRule="auto"/>
        <w:rPr>
          <w:rFonts w:hint="eastAsia" w:ascii="仿宋" w:hAnsi="仿宋" w:eastAsia="仿宋" w:cs="仿宋"/>
          <w:b/>
          <w:bCs/>
          <w:color w:val="auto"/>
          <w:sz w:val="24"/>
          <w:szCs w:val="24"/>
        </w:rPr>
      </w:pPr>
      <w:bookmarkStart w:id="59" w:name="_Toc256000034"/>
      <w:r>
        <w:rPr>
          <w:rFonts w:hint="eastAsia" w:ascii="仿宋" w:hAnsi="仿宋" w:eastAsia="仿宋" w:cs="仿宋"/>
          <w:i w:val="0"/>
          <w:iCs w:val="0"/>
          <w:color w:val="auto"/>
          <w:sz w:val="24"/>
          <w:szCs w:val="24"/>
        </w:rPr>
        <w:t>9.1总体要求</w:t>
      </w:r>
      <w:bookmarkEnd w:id="59"/>
    </w:p>
    <w:tbl>
      <w:tblPr>
        <w:tblStyle w:val="55"/>
        <w:tblW w:w="5000" w:type="pct"/>
        <w:tblInd w:w="30" w:type="dxa"/>
        <w:tblLayout w:type="autofit"/>
        <w:tblCellMar>
          <w:top w:w="15" w:type="dxa"/>
          <w:left w:w="15" w:type="dxa"/>
          <w:bottom w:w="15" w:type="dxa"/>
          <w:right w:w="15" w:type="dxa"/>
        </w:tblCellMar>
      </w:tblPr>
      <w:tblGrid>
        <w:gridCol w:w="4557"/>
        <w:gridCol w:w="4557"/>
      </w:tblGrid>
      <w:tr w14:paraId="0DC81249">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0EC26E22">
            <w:pPr>
              <w:jc w:val="center"/>
              <w:rPr>
                <w:rFonts w:hint="eastAsia" w:ascii="仿宋" w:hAnsi="仿宋" w:eastAsia="仿宋" w:cs="仿宋"/>
                <w:b/>
                <w:bCs/>
                <w:i w:val="0"/>
                <w:iCs w:val="0"/>
                <w:smallCaps w:val="0"/>
                <w:color w:val="auto"/>
                <w:sz w:val="24"/>
                <w:szCs w:val="24"/>
              </w:rPr>
            </w:pPr>
            <w:r>
              <w:rPr>
                <w:rFonts w:hint="eastAsia" w:ascii="仿宋" w:hAnsi="仿宋" w:eastAsia="仿宋" w:cs="仿宋"/>
                <w:b/>
                <w:bCs/>
                <w:i w:val="0"/>
                <w:iCs w:val="0"/>
                <w:smallCaps w:val="0"/>
                <w:color w:val="auto"/>
                <w:sz w:val="24"/>
                <w:szCs w:val="24"/>
              </w:rPr>
              <w:t>验收名称</w:t>
            </w:r>
          </w:p>
        </w:tc>
        <w:tc>
          <w:tcPr>
            <w:tcW w:w="2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3D111B34">
            <w:pPr>
              <w:jc w:val="center"/>
              <w:rPr>
                <w:rFonts w:hint="eastAsia" w:ascii="仿宋" w:hAnsi="仿宋" w:eastAsia="仿宋" w:cs="仿宋"/>
                <w:b/>
                <w:bCs/>
                <w:i w:val="0"/>
                <w:iCs w:val="0"/>
                <w:smallCaps w:val="0"/>
                <w:color w:val="auto"/>
                <w:sz w:val="24"/>
                <w:szCs w:val="24"/>
              </w:rPr>
            </w:pPr>
            <w:r>
              <w:rPr>
                <w:rFonts w:hint="eastAsia" w:ascii="仿宋" w:hAnsi="仿宋" w:eastAsia="仿宋" w:cs="仿宋"/>
                <w:b/>
                <w:bCs/>
                <w:i w:val="0"/>
                <w:iCs w:val="0"/>
                <w:smallCaps w:val="0"/>
                <w:color w:val="auto"/>
                <w:sz w:val="24"/>
                <w:szCs w:val="24"/>
              </w:rPr>
              <w:t>验收要求</w:t>
            </w:r>
          </w:p>
        </w:tc>
      </w:tr>
      <w:tr w14:paraId="68E92657">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B8050C">
            <w:pPr>
              <w:jc w:val="center"/>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第1次验收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46162A">
            <w:pPr>
              <w:jc w:val="left"/>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IDC机房巡检按采购人要求完成各项招标服务内容，按照服务内容和服务要求开展各项工作，工作符合质量管理要求。合同签订3个月后，投标人向采购人项目责任部门提交验收申请，并由该部门组织完成项目验收相关工作，主要对投标人的季度巡检工作情况、总结报告等内容进行验收。</w:t>
            </w:r>
          </w:p>
        </w:tc>
      </w:tr>
      <w:tr w14:paraId="1F70E27B">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0DEB6E">
            <w:pPr>
              <w:jc w:val="center"/>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第2次验收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91F5FA">
            <w:pPr>
              <w:jc w:val="left"/>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IDC机房巡检按采购人要求完成各项招标服务内容，按照服务内容和服务要求开展各项工作，工作符合质量管理要求。服务期到期后一个月内，投标人向采购人项目责任部门提交验收申请，并由该部门组织完成项目验收相关工作，采购人项目责任部门对项目年度考核表进行打分，达到90分以上的同意验收并出具《项目验收报告》。</w:t>
            </w:r>
            <w:r>
              <w:rPr>
                <w:rFonts w:hint="eastAsia" w:ascii="仿宋" w:hAnsi="仿宋" w:eastAsia="仿宋" w:cs="仿宋"/>
                <w:b w:val="0"/>
                <w:bCs w:val="0"/>
                <w:i w:val="0"/>
                <w:iCs w:val="0"/>
                <w:smallCaps w:val="0"/>
                <w:color w:val="auto"/>
                <w:sz w:val="24"/>
                <w:szCs w:val="24"/>
              </w:rPr>
              <w:br w:type="textWrapping"/>
            </w:r>
            <w:r>
              <w:rPr>
                <w:rFonts w:hint="eastAsia" w:ascii="仿宋" w:hAnsi="仿宋" w:eastAsia="仿宋" w:cs="仿宋"/>
                <w:b w:val="0"/>
                <w:bCs w:val="0"/>
                <w:i w:val="0"/>
                <w:iCs w:val="0"/>
                <w:smallCaps w:val="0"/>
                <w:color w:val="auto"/>
                <w:sz w:val="24"/>
                <w:szCs w:val="24"/>
              </w:rPr>
              <w:t>投标人提供的各类文档应内容完整、描述清晰。投标人在投标时需对项目履约及验收过程中的重点、难点进行分析并提出对应的解决措施。</w:t>
            </w:r>
          </w:p>
        </w:tc>
      </w:tr>
    </w:tbl>
    <w:p w14:paraId="1E5514E0">
      <w:pPr>
        <w:pStyle w:val="6"/>
        <w:keepNext w:val="0"/>
        <w:spacing w:before="0" w:after="0" w:line="360" w:lineRule="auto"/>
        <w:rPr>
          <w:rFonts w:hint="eastAsia" w:ascii="仿宋" w:hAnsi="仿宋" w:eastAsia="仿宋" w:cs="仿宋"/>
          <w:b/>
          <w:bCs/>
          <w:color w:val="auto"/>
          <w:sz w:val="24"/>
          <w:szCs w:val="24"/>
        </w:rPr>
      </w:pPr>
      <w:bookmarkStart w:id="60" w:name="_Toc256000035"/>
      <w:r>
        <w:rPr>
          <w:rFonts w:hint="eastAsia" w:ascii="仿宋" w:hAnsi="仿宋" w:eastAsia="仿宋" w:cs="仿宋"/>
          <w:i w:val="0"/>
          <w:iCs w:val="0"/>
          <w:color w:val="auto"/>
          <w:sz w:val="24"/>
          <w:szCs w:val="24"/>
        </w:rPr>
        <w:t>9.2项目验收具体要求</w:t>
      </w:r>
      <w:bookmarkEnd w:id="60"/>
    </w:p>
    <w:p w14:paraId="0C2E0141">
      <w:pPr>
        <w:spacing w:before="0" w:after="0" w:line="360" w:lineRule="auto"/>
        <w:ind w:left="0" w:firstLine="480"/>
        <w:rPr>
          <w:rFonts w:hint="eastAsia" w:ascii="仿宋" w:hAnsi="仿宋" w:eastAsia="仿宋" w:cs="仿宋"/>
          <w:color w:val="auto"/>
          <w:sz w:val="24"/>
          <w:szCs w:val="24"/>
        </w:rPr>
      </w:pPr>
      <w:r>
        <w:rPr>
          <w:rFonts w:hint="eastAsia" w:ascii="仿宋" w:hAnsi="仿宋" w:eastAsia="仿宋" w:cs="仿宋"/>
          <w:color w:val="auto"/>
          <w:sz w:val="24"/>
          <w:szCs w:val="24"/>
        </w:rPr>
        <w:t>IDC机房巡检按采购人要求完成各项招标服务内容，按照服务内容和服务要求开展各项工作，工作符合质量管理要求。</w:t>
      </w:r>
      <w:r>
        <w:rPr>
          <w:rFonts w:hint="eastAsia" w:ascii="仿宋" w:hAnsi="仿宋" w:eastAsia="仿宋" w:cs="仿宋"/>
          <w:color w:val="auto"/>
          <w:sz w:val="24"/>
          <w:szCs w:val="24"/>
          <w:lang w:eastAsia="zh-CN"/>
        </w:rPr>
        <w:t>合同签订</w:t>
      </w:r>
      <w:r>
        <w:rPr>
          <w:rFonts w:hint="eastAsia" w:ascii="仿宋" w:hAnsi="仿宋" w:eastAsia="仿宋" w:cs="仿宋"/>
          <w:color w:val="auto"/>
          <w:sz w:val="24"/>
          <w:szCs w:val="24"/>
          <w:lang w:val="en-US" w:eastAsia="zh-CN"/>
        </w:rPr>
        <w:t>3个月后、</w:t>
      </w:r>
      <w:r>
        <w:rPr>
          <w:rFonts w:hint="eastAsia" w:ascii="仿宋" w:hAnsi="仿宋" w:eastAsia="仿宋" w:cs="仿宋"/>
          <w:color w:val="auto"/>
          <w:sz w:val="24"/>
          <w:szCs w:val="24"/>
        </w:rPr>
        <w:t>服务期到期后一个月内，投标人向采购人项目责任部门提交验收申请，并由该部门组织完成项目验收相关工作，采购人项目责任部门对项目年度考核表进行打分，达到90分以上的同意验收并出具《项目验收报告》。</w:t>
      </w:r>
    </w:p>
    <w:p w14:paraId="6C879AA6">
      <w:pPr>
        <w:spacing w:before="0"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投标人提供的各类文档应内容完整、描述清晰。投标人在投标时需对项目履约及验收过程中的重点、难点进行分析并提出对应的解决措施。</w:t>
      </w:r>
    </w:p>
    <w:p w14:paraId="3655ECF6">
      <w:pPr>
        <w:pStyle w:val="5"/>
        <w:keepNext w:val="0"/>
        <w:spacing w:before="0" w:after="0" w:line="360" w:lineRule="auto"/>
        <w:jc w:val="center"/>
        <w:rPr>
          <w:rFonts w:hint="eastAsia" w:ascii="仿宋" w:hAnsi="仿宋" w:eastAsia="仿宋" w:cs="仿宋"/>
          <w:b/>
          <w:bCs/>
          <w:color w:val="auto"/>
          <w:sz w:val="24"/>
          <w:szCs w:val="24"/>
        </w:rPr>
      </w:pPr>
      <w:bookmarkStart w:id="61" w:name="_Toc256000036"/>
      <w:r>
        <w:rPr>
          <w:rFonts w:hint="eastAsia" w:ascii="仿宋" w:hAnsi="仿宋" w:eastAsia="仿宋" w:cs="仿宋"/>
          <w:color w:val="auto"/>
          <w:kern w:val="36"/>
          <w:sz w:val="24"/>
          <w:szCs w:val="24"/>
        </w:rPr>
        <w:t>10其他要求</w:t>
      </w:r>
      <w:bookmarkEnd w:id="61"/>
    </w:p>
    <w:p w14:paraId="2DFF70B7">
      <w:pPr>
        <w:pStyle w:val="6"/>
        <w:keepNext w:val="0"/>
        <w:spacing w:before="0" w:after="0" w:line="360" w:lineRule="auto"/>
        <w:rPr>
          <w:rFonts w:hint="eastAsia" w:ascii="仿宋" w:hAnsi="仿宋" w:eastAsia="仿宋" w:cs="仿宋"/>
          <w:b/>
          <w:bCs/>
          <w:color w:val="auto"/>
          <w:sz w:val="24"/>
          <w:szCs w:val="24"/>
        </w:rPr>
      </w:pPr>
      <w:bookmarkStart w:id="62" w:name="_Toc256000037"/>
      <w:r>
        <w:rPr>
          <w:rFonts w:hint="eastAsia" w:ascii="仿宋" w:hAnsi="仿宋" w:eastAsia="仿宋" w:cs="仿宋"/>
          <w:i w:val="0"/>
          <w:iCs w:val="0"/>
          <w:color w:val="auto"/>
          <w:sz w:val="24"/>
          <w:szCs w:val="24"/>
        </w:rPr>
        <w:t>10.1必备要求</w:t>
      </w:r>
      <w:bookmarkEnd w:id="62"/>
    </w:p>
    <w:p w14:paraId="2FE37F0D">
      <w:pPr>
        <w:pStyle w:val="7"/>
        <w:keepNext w:val="0"/>
        <w:spacing w:before="0" w:after="0" w:line="360" w:lineRule="auto"/>
        <w:rPr>
          <w:rFonts w:hint="eastAsia" w:ascii="仿宋" w:hAnsi="仿宋" w:eastAsia="仿宋" w:cs="仿宋"/>
          <w:b/>
          <w:bCs/>
          <w:color w:val="auto"/>
          <w:sz w:val="24"/>
          <w:szCs w:val="24"/>
        </w:rPr>
      </w:pPr>
      <w:bookmarkStart w:id="63" w:name="_Toc256000038"/>
      <w:r>
        <w:rPr>
          <w:rFonts w:hint="eastAsia" w:ascii="仿宋" w:hAnsi="仿宋" w:eastAsia="仿宋" w:cs="仿宋"/>
          <w:color w:val="auto"/>
          <w:sz w:val="24"/>
          <w:szCs w:val="24"/>
        </w:rPr>
        <w:t>10.1.1▲税收信息化项目开发和应用管理工作要求</w:t>
      </w:r>
      <w:bookmarkEnd w:id="63"/>
    </w:p>
    <w:p w14:paraId="1FCBBF03">
      <w:pPr>
        <w:spacing w:before="0" w:after="0" w:line="360" w:lineRule="auto"/>
        <w:ind w:firstLine="561"/>
        <w:rPr>
          <w:rFonts w:hint="eastAsia" w:ascii="仿宋" w:hAnsi="仿宋" w:eastAsia="仿宋" w:cs="仿宋"/>
          <w:color w:val="auto"/>
          <w:sz w:val="24"/>
          <w:szCs w:val="24"/>
        </w:rPr>
      </w:pPr>
      <w:r>
        <w:rPr>
          <w:rFonts w:hint="eastAsia" w:ascii="仿宋" w:hAnsi="仿宋" w:eastAsia="仿宋" w:cs="仿宋"/>
          <w:color w:val="auto"/>
          <w:sz w:val="24"/>
          <w:szCs w:val="24"/>
        </w:rPr>
        <w:t>供应商在采购以及后续项目实施过程中，应严格遵守国家税务总局税收信息化项目开发和应用管理工作要求。对于因失信行为纳入《税务系统信息化服务商失信行为记录名单》的供应商，存在一般失信行为的，由采购人函告服务商；存在严重失信行为的，由采购人约谈服务商主要负责人；对于违反合同约定的，依据合同约定及政府采购有关规定，采购人可采取要求限期改正、在应付合同金额中扣除违约金、解除合同、拒绝参加税务系统政府采购活动等措施；对于存在影响恶劣的严重违法失信行为的，由采购人按规定推送财政部纳入政府采购严重违法失信行为记录名单。</w:t>
      </w:r>
    </w:p>
    <w:p w14:paraId="7BB96737">
      <w:pPr>
        <w:pStyle w:val="7"/>
        <w:keepNext w:val="0"/>
        <w:spacing w:before="0" w:after="0" w:line="360" w:lineRule="auto"/>
        <w:rPr>
          <w:rFonts w:hint="eastAsia" w:ascii="仿宋" w:hAnsi="仿宋" w:eastAsia="仿宋" w:cs="仿宋"/>
          <w:b/>
          <w:bCs/>
          <w:color w:val="auto"/>
          <w:sz w:val="24"/>
          <w:szCs w:val="24"/>
        </w:rPr>
      </w:pPr>
      <w:bookmarkStart w:id="64" w:name="_Toc256000039"/>
      <w:r>
        <w:rPr>
          <w:rFonts w:hint="eastAsia" w:ascii="仿宋" w:hAnsi="仿宋" w:eastAsia="仿宋" w:cs="仿宋"/>
          <w:color w:val="auto"/>
          <w:sz w:val="24"/>
          <w:szCs w:val="24"/>
        </w:rPr>
        <w:t>10.1.2▲供应链安全管理要求</w:t>
      </w:r>
      <w:bookmarkEnd w:id="64"/>
    </w:p>
    <w:p w14:paraId="08AF4AB1">
      <w:pPr>
        <w:spacing w:before="0" w:after="0" w:line="360" w:lineRule="auto"/>
        <w:ind w:firstLine="561"/>
        <w:rPr>
          <w:rFonts w:hint="eastAsia" w:ascii="仿宋" w:hAnsi="仿宋" w:eastAsia="仿宋" w:cs="仿宋"/>
          <w:color w:val="auto"/>
          <w:sz w:val="24"/>
          <w:szCs w:val="24"/>
        </w:rPr>
      </w:pPr>
      <w:r>
        <w:rPr>
          <w:rFonts w:hint="eastAsia" w:ascii="仿宋" w:hAnsi="仿宋" w:eastAsia="仿宋" w:cs="仿宋"/>
          <w:color w:val="auto"/>
          <w:sz w:val="24"/>
          <w:szCs w:val="24"/>
        </w:rPr>
        <w:t xml:space="preserve">1、人员资格要求 </w:t>
      </w:r>
    </w:p>
    <w:p w14:paraId="7B44D134">
      <w:pPr>
        <w:spacing w:before="0" w:after="0" w:line="360" w:lineRule="auto"/>
        <w:ind w:firstLine="561"/>
        <w:rPr>
          <w:rFonts w:hint="eastAsia" w:ascii="仿宋" w:hAnsi="仿宋" w:eastAsia="仿宋" w:cs="仿宋"/>
          <w:color w:val="auto"/>
          <w:sz w:val="24"/>
          <w:szCs w:val="24"/>
        </w:rPr>
      </w:pPr>
      <w:r>
        <w:rPr>
          <w:rFonts w:hint="eastAsia" w:ascii="仿宋" w:hAnsi="仿宋" w:eastAsia="仿宋" w:cs="仿宋"/>
          <w:color w:val="auto"/>
          <w:sz w:val="24"/>
          <w:szCs w:val="24"/>
        </w:rPr>
        <w:t xml:space="preserve">（1）签订承诺书。供应商应严格落实国家税务总局网络安全和保密管理要求，承担技术支持人员的网络安全和保密管理责任，按采购人要求签订协议和承诺书。 </w:t>
      </w:r>
    </w:p>
    <w:p w14:paraId="41907E7F">
      <w:pPr>
        <w:spacing w:before="0" w:after="0" w:line="360" w:lineRule="auto"/>
        <w:ind w:firstLine="561"/>
        <w:rPr>
          <w:rFonts w:hint="eastAsia" w:ascii="仿宋" w:hAnsi="仿宋" w:eastAsia="仿宋" w:cs="仿宋"/>
          <w:color w:val="auto"/>
          <w:sz w:val="24"/>
          <w:szCs w:val="24"/>
        </w:rPr>
      </w:pPr>
      <w:r>
        <w:rPr>
          <w:rFonts w:hint="eastAsia" w:ascii="仿宋" w:hAnsi="仿宋" w:eastAsia="仿宋" w:cs="仿宋"/>
          <w:color w:val="auto"/>
          <w:sz w:val="24"/>
          <w:szCs w:val="24"/>
        </w:rPr>
        <w:t xml:space="preserve">（2）开展背景审查。供应商承担技术支持人员背景审查工作，提供其身份证明、履历、家庭成员及主要社会关系、无犯罪记录证明等材料，并提交采购人进行备案。 </w:t>
      </w:r>
    </w:p>
    <w:p w14:paraId="63A40297">
      <w:pPr>
        <w:spacing w:before="0" w:after="0" w:line="360" w:lineRule="auto"/>
        <w:ind w:firstLine="561"/>
        <w:rPr>
          <w:rFonts w:hint="eastAsia" w:ascii="仿宋" w:hAnsi="仿宋" w:eastAsia="仿宋" w:cs="仿宋"/>
          <w:color w:val="auto"/>
          <w:sz w:val="24"/>
          <w:szCs w:val="24"/>
        </w:rPr>
      </w:pPr>
      <w:r>
        <w:rPr>
          <w:rFonts w:hint="eastAsia" w:ascii="仿宋" w:hAnsi="仿宋" w:eastAsia="仿宋" w:cs="仿宋"/>
          <w:color w:val="auto"/>
          <w:sz w:val="24"/>
          <w:szCs w:val="24"/>
        </w:rPr>
        <w:t xml:space="preserve">（3）设置网络安全负责人（由驻场运维人员兼任）。供应商为本项目配备一名网络安全负责人，该负责人具备独立决策能力并保持相对稳定，在项目实施的全过程负责网络安全工作，组织落实各项网络安全要求。 </w:t>
      </w:r>
    </w:p>
    <w:p w14:paraId="2A4C9F96">
      <w:pPr>
        <w:spacing w:before="0" w:after="0" w:line="360" w:lineRule="auto"/>
        <w:ind w:firstLine="561"/>
        <w:rPr>
          <w:rFonts w:hint="eastAsia" w:ascii="仿宋" w:hAnsi="仿宋" w:eastAsia="仿宋" w:cs="仿宋"/>
          <w:color w:val="auto"/>
          <w:sz w:val="24"/>
          <w:szCs w:val="24"/>
        </w:rPr>
      </w:pPr>
      <w:r>
        <w:rPr>
          <w:rFonts w:hint="eastAsia" w:ascii="仿宋" w:hAnsi="仿宋" w:eastAsia="仿宋" w:cs="仿宋"/>
          <w:color w:val="auto"/>
          <w:sz w:val="24"/>
          <w:szCs w:val="24"/>
        </w:rPr>
        <w:t xml:space="preserve">2、日常行为规范要求 </w:t>
      </w:r>
    </w:p>
    <w:p w14:paraId="6D21166C">
      <w:pPr>
        <w:spacing w:before="0" w:after="0" w:line="360" w:lineRule="auto"/>
        <w:ind w:firstLine="561"/>
        <w:rPr>
          <w:rFonts w:hint="eastAsia" w:ascii="仿宋" w:hAnsi="仿宋" w:eastAsia="仿宋" w:cs="仿宋"/>
          <w:color w:val="auto"/>
          <w:sz w:val="24"/>
          <w:szCs w:val="24"/>
        </w:rPr>
      </w:pPr>
      <w:r>
        <w:rPr>
          <w:rFonts w:hint="eastAsia" w:ascii="仿宋" w:hAnsi="仿宋" w:eastAsia="仿宋" w:cs="仿宋"/>
          <w:color w:val="auto"/>
          <w:sz w:val="24"/>
          <w:szCs w:val="24"/>
        </w:rPr>
        <w:t xml:space="preserve">（1）工作能力要求。供应商负责对技术支持人员进行资格条件、工作胜任力以及网络安全能力评估，对技术支持人员承担的工作进行安全保密风险分析，明确技术支持人员工作范围和边界，重点防范设备和资料失窃、误操作导致的软硬件故障、工作秘密和税费数据等信息泄露、信息系统越权访问和网络攻击等风险。 </w:t>
      </w:r>
    </w:p>
    <w:p w14:paraId="28299C2F">
      <w:pPr>
        <w:spacing w:before="0" w:after="0" w:line="360" w:lineRule="auto"/>
        <w:ind w:firstLine="561"/>
        <w:rPr>
          <w:rFonts w:hint="eastAsia" w:ascii="仿宋" w:hAnsi="仿宋" w:eastAsia="仿宋" w:cs="仿宋"/>
          <w:color w:val="auto"/>
          <w:sz w:val="24"/>
          <w:szCs w:val="24"/>
        </w:rPr>
      </w:pPr>
      <w:r>
        <w:rPr>
          <w:rFonts w:hint="eastAsia" w:ascii="仿宋" w:hAnsi="仿宋" w:eastAsia="仿宋" w:cs="仿宋"/>
          <w:color w:val="auto"/>
          <w:sz w:val="24"/>
          <w:szCs w:val="24"/>
        </w:rPr>
        <w:t xml:space="preserve">（2）教育培训要求。供应商负责对技术支持人员进行网络和数据安全法律法规、网络安全意识、网络安全管理、网络安全技能、保密意识以及网络安全警示教育等培训，上岗前对其进行考核。 </w:t>
      </w:r>
    </w:p>
    <w:p w14:paraId="7F1E871B">
      <w:pPr>
        <w:spacing w:before="0" w:after="0" w:line="360" w:lineRule="auto"/>
        <w:ind w:firstLine="561"/>
        <w:rPr>
          <w:rFonts w:hint="eastAsia" w:ascii="仿宋" w:hAnsi="仿宋" w:eastAsia="仿宋" w:cs="仿宋"/>
          <w:color w:val="auto"/>
          <w:sz w:val="24"/>
          <w:szCs w:val="24"/>
        </w:rPr>
      </w:pPr>
      <w:r>
        <w:rPr>
          <w:rFonts w:hint="eastAsia" w:ascii="仿宋" w:hAnsi="仿宋" w:eastAsia="仿宋" w:cs="仿宋"/>
          <w:color w:val="auto"/>
          <w:sz w:val="24"/>
          <w:szCs w:val="24"/>
        </w:rPr>
        <w:t xml:space="preserve">3、违约惩戒措施 </w:t>
      </w:r>
    </w:p>
    <w:p w14:paraId="4FDF15A0">
      <w:pPr>
        <w:spacing w:before="0" w:after="0" w:line="360" w:lineRule="auto"/>
        <w:ind w:firstLine="561"/>
        <w:rPr>
          <w:rFonts w:hint="eastAsia" w:ascii="仿宋" w:hAnsi="仿宋" w:eastAsia="仿宋" w:cs="仿宋"/>
          <w:color w:val="auto"/>
          <w:sz w:val="24"/>
          <w:szCs w:val="24"/>
        </w:rPr>
      </w:pPr>
      <w:r>
        <w:rPr>
          <w:rFonts w:hint="eastAsia" w:ascii="仿宋" w:hAnsi="仿宋" w:eastAsia="仿宋" w:cs="仿宋"/>
          <w:color w:val="auto"/>
          <w:sz w:val="24"/>
          <w:szCs w:val="24"/>
        </w:rPr>
        <w:t>供应商对供应链安全管理责任落实不到位，造成安全事件或产生不良影响的，采购人按照《税务系统信息化服务商失信行为记录名单制度（试行）》（税总办征科发〔2022〕1号）要求，组织对供应商进行失信行为认定，并采取相应的处置措施。</w:t>
      </w:r>
    </w:p>
    <w:p w14:paraId="17D3B88D">
      <w:pPr>
        <w:pStyle w:val="7"/>
        <w:keepNext w:val="0"/>
        <w:spacing w:before="0" w:after="0" w:line="360" w:lineRule="auto"/>
        <w:rPr>
          <w:rFonts w:hint="eastAsia" w:ascii="仿宋" w:hAnsi="仿宋" w:eastAsia="仿宋" w:cs="仿宋"/>
          <w:b/>
          <w:bCs/>
          <w:color w:val="auto"/>
          <w:sz w:val="24"/>
          <w:szCs w:val="24"/>
        </w:rPr>
      </w:pPr>
      <w:bookmarkStart w:id="65" w:name="_Toc256000040"/>
      <w:r>
        <w:rPr>
          <w:rFonts w:hint="eastAsia" w:ascii="仿宋" w:hAnsi="仿宋" w:eastAsia="仿宋" w:cs="仿宋"/>
          <w:color w:val="auto"/>
          <w:sz w:val="24"/>
          <w:szCs w:val="24"/>
        </w:rPr>
        <w:t>10.1.3▲信息化服务运维人员要求</w:t>
      </w:r>
      <w:bookmarkEnd w:id="65"/>
    </w:p>
    <w:p w14:paraId="1294DBAE">
      <w:pPr>
        <w:spacing w:before="0" w:after="0" w:line="360" w:lineRule="auto"/>
        <w:ind w:firstLine="561"/>
        <w:rPr>
          <w:rFonts w:hint="eastAsia" w:ascii="仿宋" w:hAnsi="仿宋" w:eastAsia="仿宋" w:cs="仿宋"/>
          <w:color w:val="auto"/>
          <w:sz w:val="24"/>
          <w:szCs w:val="24"/>
        </w:rPr>
      </w:pPr>
      <w:r>
        <w:rPr>
          <w:rFonts w:hint="eastAsia" w:ascii="仿宋" w:hAnsi="仿宋" w:eastAsia="仿宋" w:cs="仿宋"/>
          <w:color w:val="auto"/>
          <w:sz w:val="24"/>
          <w:szCs w:val="24"/>
        </w:rPr>
        <w:t>本项目涉及信息化服务运维人员的，运维人员应当是运维单位的正式人员，或者是与运维单位签订1年以上劳动合同且实际工作满1年的人员，常驻运维人员应当为技术骨干。</w:t>
      </w:r>
    </w:p>
    <w:p w14:paraId="7C62452A">
      <w:pPr>
        <w:pStyle w:val="7"/>
        <w:keepNext w:val="0"/>
        <w:spacing w:before="0" w:after="0" w:line="360" w:lineRule="auto"/>
        <w:rPr>
          <w:rFonts w:hint="eastAsia" w:ascii="仿宋" w:hAnsi="仿宋" w:eastAsia="仿宋" w:cs="仿宋"/>
          <w:b/>
          <w:bCs/>
          <w:color w:val="auto"/>
          <w:sz w:val="24"/>
          <w:szCs w:val="24"/>
        </w:rPr>
      </w:pPr>
      <w:bookmarkStart w:id="66" w:name="_Toc256000041"/>
      <w:r>
        <w:rPr>
          <w:rFonts w:hint="eastAsia" w:ascii="仿宋" w:hAnsi="仿宋" w:eastAsia="仿宋" w:cs="仿宋"/>
          <w:color w:val="auto"/>
          <w:sz w:val="24"/>
          <w:szCs w:val="24"/>
        </w:rPr>
        <w:t>10.1.4其他</w:t>
      </w:r>
      <w:bookmarkEnd w:id="66"/>
    </w:p>
    <w:p w14:paraId="0793F107">
      <w:pPr>
        <w:spacing w:before="0" w:after="0" w:line="360" w:lineRule="auto"/>
        <w:ind w:firstLine="561"/>
        <w:rPr>
          <w:rFonts w:hint="eastAsia" w:ascii="仿宋" w:hAnsi="仿宋" w:eastAsia="仿宋" w:cs="仿宋"/>
          <w:color w:val="auto"/>
          <w:sz w:val="24"/>
          <w:szCs w:val="24"/>
        </w:rPr>
      </w:pPr>
      <w:r>
        <w:rPr>
          <w:rFonts w:hint="eastAsia" w:ascii="仿宋" w:hAnsi="仿宋" w:eastAsia="仿宋" w:cs="仿宋"/>
          <w:color w:val="auto"/>
          <w:sz w:val="24"/>
          <w:szCs w:val="24"/>
        </w:rPr>
        <w:t xml:space="preserve">1.本项目中如涉及商品包装和快递包装的，其包装需求标准应不低于《关于印发&lt;商品包装政府采购需求标准（试行）&gt;、&lt;快递包装政府采购需求标准（试行）&gt;的通知》（财办库〔2020〕123 号）规定的包装要求，如有其他包装需求，详见采购文件技术部分相关章节。 </w:t>
      </w:r>
    </w:p>
    <w:p w14:paraId="1D00785C">
      <w:pPr>
        <w:spacing w:before="0" w:after="0" w:line="360" w:lineRule="auto"/>
        <w:ind w:firstLine="561"/>
        <w:rPr>
          <w:rFonts w:hint="eastAsia" w:ascii="仿宋" w:hAnsi="仿宋" w:eastAsia="仿宋" w:cs="仿宋"/>
          <w:color w:val="auto"/>
          <w:sz w:val="24"/>
          <w:szCs w:val="24"/>
        </w:rPr>
      </w:pPr>
      <w:r>
        <w:rPr>
          <w:rFonts w:hint="eastAsia" w:ascii="仿宋" w:hAnsi="仿宋" w:eastAsia="仿宋" w:cs="仿宋"/>
          <w:color w:val="auto"/>
          <w:sz w:val="24"/>
          <w:szCs w:val="24"/>
        </w:rPr>
        <w:t xml:space="preserve">2.本项目中如涉及网络关键设备或网络安全专用产品的，应严格执行国家互联网信息办公室、工业和信息化部、公安部、财政部和国家认证认可监督管理委员会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 </w:t>
      </w:r>
    </w:p>
    <w:p w14:paraId="0615FD43">
      <w:pPr>
        <w:spacing w:before="0" w:after="0" w:line="360" w:lineRule="auto"/>
        <w:ind w:firstLine="561"/>
        <w:rPr>
          <w:rFonts w:hint="eastAsia" w:ascii="仿宋" w:hAnsi="仿宋" w:eastAsia="仿宋" w:cs="仿宋"/>
          <w:color w:val="auto"/>
          <w:sz w:val="24"/>
          <w:szCs w:val="24"/>
        </w:rPr>
      </w:pPr>
      <w:r>
        <w:rPr>
          <w:rFonts w:hint="eastAsia" w:ascii="仿宋" w:hAnsi="仿宋" w:eastAsia="仿宋" w:cs="仿宋"/>
          <w:color w:val="auto"/>
          <w:sz w:val="24"/>
          <w:szCs w:val="24"/>
        </w:rPr>
        <w:t xml:space="preserve">3.本项目中如涉及国家强制性产品认证证书（CCC 认证证书）、电信设备进网许可证、无线电发射设备核准证等市场准入类资质的，应严格执行国家相关法律法规的要求。 </w:t>
      </w:r>
    </w:p>
    <w:p w14:paraId="4CA103B5">
      <w:pPr>
        <w:spacing w:before="0" w:after="0" w:line="360" w:lineRule="auto"/>
        <w:ind w:firstLine="561"/>
        <w:rPr>
          <w:rFonts w:hint="eastAsia" w:ascii="仿宋" w:hAnsi="仿宋" w:eastAsia="仿宋" w:cs="仿宋"/>
          <w:color w:val="auto"/>
          <w:sz w:val="24"/>
          <w:szCs w:val="24"/>
        </w:rPr>
      </w:pPr>
      <w:r>
        <w:rPr>
          <w:rFonts w:hint="eastAsia" w:ascii="仿宋" w:hAnsi="仿宋" w:eastAsia="仿宋" w:cs="仿宋"/>
          <w:color w:val="auto"/>
          <w:sz w:val="24"/>
          <w:szCs w:val="24"/>
        </w:rPr>
        <w:t>以上相关要求，由供应商在响应时应答，在履约验收中，采购人将按照采购文件、中标/成交供应商响应文件、采购合同等对中标/成交供应商提供的货物和服务进行验收，必要时依法依规开展相应检测、认证。</w:t>
      </w:r>
    </w:p>
    <w:p w14:paraId="071F7AAD">
      <w:pPr>
        <w:pStyle w:val="6"/>
        <w:keepNext w:val="0"/>
        <w:spacing w:before="0" w:after="0" w:line="360" w:lineRule="auto"/>
        <w:rPr>
          <w:rFonts w:hint="eastAsia" w:ascii="仿宋" w:hAnsi="仿宋" w:eastAsia="仿宋" w:cs="仿宋"/>
          <w:b/>
          <w:bCs/>
          <w:color w:val="auto"/>
          <w:sz w:val="24"/>
          <w:szCs w:val="24"/>
        </w:rPr>
      </w:pPr>
      <w:bookmarkStart w:id="67" w:name="_Toc256000042"/>
      <w:r>
        <w:rPr>
          <w:rFonts w:hint="eastAsia" w:ascii="仿宋" w:hAnsi="仿宋" w:eastAsia="仿宋" w:cs="仿宋"/>
          <w:i w:val="0"/>
          <w:iCs w:val="0"/>
          <w:color w:val="auto"/>
          <w:sz w:val="24"/>
          <w:szCs w:val="24"/>
        </w:rPr>
        <w:t>10.2知识产权要求</w:t>
      </w:r>
      <w:bookmarkEnd w:id="67"/>
    </w:p>
    <w:p w14:paraId="5A3A27FA">
      <w:pPr>
        <w:pStyle w:val="6"/>
        <w:keepNext w:val="0"/>
        <w:spacing w:before="0" w:after="0" w:line="360" w:lineRule="auto"/>
        <w:rPr>
          <w:rFonts w:hint="eastAsia" w:ascii="仿宋" w:hAnsi="仿宋" w:eastAsia="仿宋" w:cs="仿宋"/>
          <w:b/>
          <w:bCs/>
          <w:color w:val="auto"/>
          <w:sz w:val="24"/>
          <w:szCs w:val="24"/>
        </w:rPr>
      </w:pPr>
      <w:bookmarkStart w:id="68" w:name="_Toc256000043"/>
      <w:r>
        <w:rPr>
          <w:rFonts w:hint="eastAsia" w:ascii="仿宋" w:hAnsi="仿宋" w:eastAsia="仿宋" w:cs="仿宋"/>
          <w:i w:val="0"/>
          <w:iCs w:val="0"/>
          <w:color w:val="auto"/>
          <w:sz w:val="24"/>
          <w:szCs w:val="24"/>
        </w:rPr>
        <w:t>10.3付款安排建议</w:t>
      </w:r>
      <w:bookmarkEnd w:id="68"/>
    </w:p>
    <w:tbl>
      <w:tblPr>
        <w:tblStyle w:val="55"/>
        <w:tblW w:w="5000" w:type="pct"/>
        <w:tblInd w:w="30" w:type="dxa"/>
        <w:tblLayout w:type="autofit"/>
        <w:tblCellMar>
          <w:top w:w="15" w:type="dxa"/>
          <w:left w:w="15" w:type="dxa"/>
          <w:bottom w:w="15" w:type="dxa"/>
          <w:right w:w="15" w:type="dxa"/>
        </w:tblCellMar>
      </w:tblPr>
      <w:tblGrid>
        <w:gridCol w:w="1823"/>
        <w:gridCol w:w="5468"/>
        <w:gridCol w:w="1823"/>
      </w:tblGrid>
      <w:tr w14:paraId="1A28B6B5">
        <w:tblPrEx>
          <w:tblCellMar>
            <w:top w:w="15" w:type="dxa"/>
            <w:left w:w="15" w:type="dxa"/>
            <w:bottom w:w="15" w:type="dxa"/>
            <w:right w:w="15"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79E14C17">
            <w:pPr>
              <w:jc w:val="center"/>
              <w:rPr>
                <w:rFonts w:hint="eastAsia" w:ascii="仿宋" w:hAnsi="仿宋" w:eastAsia="仿宋" w:cs="仿宋"/>
                <w:b/>
                <w:bCs/>
                <w:i w:val="0"/>
                <w:iCs w:val="0"/>
                <w:smallCaps w:val="0"/>
                <w:color w:val="auto"/>
                <w:sz w:val="24"/>
                <w:szCs w:val="24"/>
              </w:rPr>
            </w:pPr>
            <w:r>
              <w:rPr>
                <w:rFonts w:hint="eastAsia" w:ascii="仿宋" w:hAnsi="仿宋" w:eastAsia="仿宋" w:cs="仿宋"/>
                <w:b/>
                <w:bCs/>
                <w:i w:val="0"/>
                <w:iCs w:val="0"/>
                <w:smallCaps w:val="0"/>
                <w:color w:val="auto"/>
                <w:sz w:val="24"/>
                <w:szCs w:val="24"/>
              </w:rPr>
              <w:t>付款名称</w:t>
            </w:r>
          </w:p>
        </w:tc>
        <w:tc>
          <w:tcPr>
            <w:tcW w:w="3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1D00B33B">
            <w:pPr>
              <w:jc w:val="center"/>
              <w:rPr>
                <w:rFonts w:hint="eastAsia" w:ascii="仿宋" w:hAnsi="仿宋" w:eastAsia="仿宋" w:cs="仿宋"/>
                <w:b/>
                <w:bCs/>
                <w:i w:val="0"/>
                <w:iCs w:val="0"/>
                <w:smallCaps w:val="0"/>
                <w:color w:val="auto"/>
                <w:sz w:val="24"/>
                <w:szCs w:val="24"/>
              </w:rPr>
            </w:pPr>
            <w:r>
              <w:rPr>
                <w:rFonts w:hint="eastAsia" w:ascii="仿宋" w:hAnsi="仿宋" w:eastAsia="仿宋" w:cs="仿宋"/>
                <w:b/>
                <w:bCs/>
                <w:i w:val="0"/>
                <w:iCs w:val="0"/>
                <w:smallCaps w:val="0"/>
                <w:color w:val="auto"/>
                <w:sz w:val="24"/>
                <w:szCs w:val="24"/>
              </w:rPr>
              <w:t>付款要求</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28CD9EAF">
            <w:pPr>
              <w:jc w:val="center"/>
              <w:rPr>
                <w:rFonts w:hint="eastAsia" w:ascii="仿宋" w:hAnsi="仿宋" w:eastAsia="仿宋" w:cs="仿宋"/>
                <w:b/>
                <w:bCs/>
                <w:i w:val="0"/>
                <w:iCs w:val="0"/>
                <w:smallCaps w:val="0"/>
                <w:color w:val="auto"/>
                <w:sz w:val="24"/>
                <w:szCs w:val="24"/>
              </w:rPr>
            </w:pPr>
            <w:r>
              <w:rPr>
                <w:rFonts w:hint="eastAsia" w:ascii="仿宋" w:hAnsi="仿宋" w:eastAsia="仿宋" w:cs="仿宋"/>
                <w:b/>
                <w:bCs/>
                <w:i w:val="0"/>
                <w:iCs w:val="0"/>
                <w:smallCaps w:val="0"/>
                <w:color w:val="auto"/>
                <w:sz w:val="24"/>
                <w:szCs w:val="24"/>
              </w:rPr>
              <w:t>付款比例(%)</w:t>
            </w:r>
          </w:p>
        </w:tc>
      </w:tr>
      <w:tr w14:paraId="4079FE10">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8E77AF">
            <w:pPr>
              <w:jc w:val="left"/>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第1次付款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6C7915">
            <w:pPr>
              <w:jc w:val="left"/>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合同签订后15个工作日内支付</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738407">
            <w:pPr>
              <w:jc w:val="left"/>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30.0</w:t>
            </w:r>
          </w:p>
        </w:tc>
      </w:tr>
      <w:tr w14:paraId="573B1235">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0D2BA3">
            <w:pPr>
              <w:jc w:val="left"/>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第2次付款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03B7BB">
            <w:pPr>
              <w:jc w:val="left"/>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合同签订满3个月且项目第一次验收合格后支付</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9965A8">
            <w:pPr>
              <w:jc w:val="left"/>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40.0</w:t>
            </w:r>
          </w:p>
        </w:tc>
      </w:tr>
      <w:tr w14:paraId="22E695B8">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A0CA57">
            <w:pPr>
              <w:jc w:val="left"/>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第3次付款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DEBA8F">
            <w:pPr>
              <w:jc w:val="left"/>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服务期结束且验收合格后，15个工作日内支付</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ABBCD4">
            <w:pPr>
              <w:jc w:val="left"/>
              <w:rPr>
                <w:rFonts w:hint="eastAsia" w:ascii="仿宋" w:hAnsi="仿宋" w:eastAsia="仿宋" w:cs="仿宋"/>
                <w:b w:val="0"/>
                <w:bCs w:val="0"/>
                <w:i w:val="0"/>
                <w:iCs w:val="0"/>
                <w:smallCaps w:val="0"/>
                <w:color w:val="auto"/>
                <w:sz w:val="24"/>
                <w:szCs w:val="24"/>
              </w:rPr>
            </w:pPr>
            <w:r>
              <w:rPr>
                <w:rFonts w:hint="eastAsia" w:ascii="仿宋" w:hAnsi="仿宋" w:eastAsia="仿宋" w:cs="仿宋"/>
                <w:b w:val="0"/>
                <w:bCs w:val="0"/>
                <w:i w:val="0"/>
                <w:iCs w:val="0"/>
                <w:smallCaps w:val="0"/>
                <w:color w:val="auto"/>
                <w:sz w:val="24"/>
                <w:szCs w:val="24"/>
              </w:rPr>
              <w:t>30.0</w:t>
            </w:r>
          </w:p>
        </w:tc>
      </w:tr>
    </w:tbl>
    <w:p w14:paraId="702000AA">
      <w:pPr>
        <w:spacing w:before="0" w:after="0" w:line="360" w:lineRule="auto"/>
        <w:ind w:firstLine="561"/>
        <w:rPr>
          <w:rFonts w:ascii="仿宋_GB2312" w:hAnsi="仿宋_GB2312" w:eastAsia="仿宋_GB2312" w:cs="仿宋_GB2312"/>
          <w:color w:val="auto"/>
          <w:sz w:val="28"/>
          <w:szCs w:val="28"/>
          <w:highlight w:val="none"/>
        </w:rPr>
      </w:pPr>
    </w:p>
    <w:p w14:paraId="1A625D45">
      <w:pPr>
        <w:rPr>
          <w:rFonts w:ascii="仿宋" w:hAnsi="仿宋" w:eastAsia="仿宋" w:cs="仿宋_GB2312"/>
          <w:b/>
          <w:color w:val="auto"/>
          <w:sz w:val="36"/>
          <w:szCs w:val="36"/>
          <w:highlight w:val="none"/>
        </w:rPr>
      </w:pPr>
      <w:r>
        <w:rPr>
          <w:rFonts w:ascii="仿宋" w:hAnsi="仿宋" w:eastAsia="仿宋" w:cs="仿宋_GB2312"/>
          <w:b/>
          <w:color w:val="auto"/>
          <w:sz w:val="36"/>
          <w:szCs w:val="36"/>
          <w:highlight w:val="none"/>
        </w:rPr>
        <w:br w:type="page"/>
      </w:r>
    </w:p>
    <w:p w14:paraId="46A04029">
      <w:pPr>
        <w:snapToGrid w:val="0"/>
        <w:spacing w:line="360" w:lineRule="auto"/>
        <w:jc w:val="center"/>
        <w:rPr>
          <w:rFonts w:hint="eastAsia" w:ascii="仿宋" w:hAnsi="仿宋" w:eastAsia="仿宋" w:cs="仿宋_GB2312"/>
          <w:b/>
          <w:color w:val="auto"/>
          <w:sz w:val="36"/>
          <w:szCs w:val="36"/>
          <w:highlight w:val="none"/>
        </w:rPr>
      </w:pPr>
    </w:p>
    <w:p w14:paraId="49E312E3">
      <w:pPr>
        <w:snapToGrid w:val="0"/>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69" w:name="_Toc184313273"/>
      <w:bookmarkEnd w:id="69"/>
      <w:bookmarkStart w:id="70" w:name="_Toc184313244"/>
      <w:bookmarkEnd w:id="70"/>
      <w:bookmarkStart w:id="71" w:name="_Toc184308103"/>
      <w:bookmarkEnd w:id="71"/>
      <w:bookmarkStart w:id="72" w:name="_Toc184314467"/>
      <w:bookmarkEnd w:id="72"/>
      <w:bookmarkStart w:id="73" w:name="_Toc184313281"/>
      <w:bookmarkEnd w:id="73"/>
      <w:bookmarkStart w:id="74" w:name="_Toc184313259"/>
      <w:bookmarkEnd w:id="74"/>
      <w:bookmarkStart w:id="75" w:name="_Toc184313263"/>
      <w:bookmarkEnd w:id="75"/>
      <w:bookmarkStart w:id="76" w:name="_Toc184314417"/>
      <w:bookmarkEnd w:id="76"/>
      <w:bookmarkStart w:id="77" w:name="_Toc184310285"/>
      <w:bookmarkEnd w:id="77"/>
      <w:bookmarkStart w:id="78" w:name="_Toc184314443"/>
      <w:bookmarkEnd w:id="78"/>
      <w:bookmarkStart w:id="79" w:name="_Toc184313301"/>
      <w:bookmarkEnd w:id="79"/>
      <w:bookmarkStart w:id="80" w:name="_Toc184310279"/>
      <w:bookmarkEnd w:id="80"/>
      <w:bookmarkStart w:id="81" w:name="_Toc184313264"/>
      <w:bookmarkEnd w:id="81"/>
      <w:bookmarkStart w:id="82" w:name="_Toc184313290"/>
      <w:bookmarkEnd w:id="82"/>
      <w:bookmarkStart w:id="83" w:name="_Toc184314473"/>
      <w:bookmarkEnd w:id="83"/>
      <w:bookmarkStart w:id="84" w:name="_Toc184310312"/>
      <w:bookmarkEnd w:id="84"/>
      <w:bookmarkStart w:id="85" w:name="_Toc184313248"/>
      <w:bookmarkEnd w:id="85"/>
      <w:bookmarkStart w:id="86" w:name="_Toc184313245"/>
      <w:bookmarkEnd w:id="86"/>
      <w:bookmarkStart w:id="87" w:name="_Toc184314452"/>
      <w:bookmarkEnd w:id="87"/>
      <w:bookmarkStart w:id="88" w:name="_Toc184310300"/>
      <w:bookmarkEnd w:id="88"/>
      <w:bookmarkStart w:id="89" w:name="_Toc184314455"/>
      <w:bookmarkEnd w:id="89"/>
      <w:bookmarkStart w:id="90" w:name="_Toc184308064"/>
      <w:bookmarkEnd w:id="90"/>
      <w:bookmarkStart w:id="91" w:name="_Toc184312119"/>
      <w:bookmarkEnd w:id="91"/>
      <w:bookmarkStart w:id="92" w:name="_Toc184314475"/>
      <w:bookmarkEnd w:id="92"/>
      <w:bookmarkStart w:id="93" w:name="_Toc184308058"/>
      <w:bookmarkEnd w:id="93"/>
      <w:bookmarkStart w:id="94" w:name="_Toc184312118"/>
      <w:bookmarkEnd w:id="94"/>
      <w:bookmarkStart w:id="95" w:name="_Toc184310328"/>
      <w:bookmarkEnd w:id="95"/>
      <w:bookmarkStart w:id="96" w:name="_Toc184308066"/>
      <w:bookmarkEnd w:id="96"/>
      <w:bookmarkStart w:id="97" w:name="_Toc184312121"/>
      <w:bookmarkEnd w:id="97"/>
      <w:bookmarkStart w:id="98" w:name="_Toc184308093"/>
      <w:bookmarkEnd w:id="98"/>
      <w:bookmarkStart w:id="99" w:name="_Toc184310326"/>
      <w:bookmarkEnd w:id="99"/>
      <w:bookmarkStart w:id="100" w:name="_Toc184313275"/>
      <w:bookmarkEnd w:id="100"/>
      <w:bookmarkStart w:id="101" w:name="_Toc184312090"/>
      <w:bookmarkEnd w:id="101"/>
      <w:bookmarkStart w:id="102" w:name="_Toc184312069"/>
      <w:bookmarkEnd w:id="102"/>
      <w:bookmarkStart w:id="103" w:name="_Toc184312107"/>
      <w:bookmarkEnd w:id="103"/>
      <w:bookmarkStart w:id="104" w:name="_Toc184313254"/>
      <w:bookmarkEnd w:id="104"/>
      <w:bookmarkStart w:id="105" w:name="_Toc184312136"/>
      <w:bookmarkEnd w:id="105"/>
      <w:bookmarkStart w:id="106" w:name="_Toc184314440"/>
      <w:bookmarkEnd w:id="106"/>
      <w:bookmarkStart w:id="107" w:name="_Toc184314439"/>
      <w:bookmarkEnd w:id="107"/>
      <w:bookmarkStart w:id="108" w:name="_Toc184312120"/>
      <w:bookmarkEnd w:id="108"/>
      <w:bookmarkStart w:id="109" w:name="_Toc184312072"/>
      <w:bookmarkEnd w:id="109"/>
      <w:bookmarkStart w:id="110" w:name="_Toc184308055"/>
      <w:bookmarkEnd w:id="110"/>
      <w:bookmarkStart w:id="111" w:name="_Toc184313296"/>
      <w:bookmarkEnd w:id="111"/>
      <w:bookmarkStart w:id="112" w:name="_Toc184310323"/>
      <w:bookmarkEnd w:id="112"/>
      <w:bookmarkStart w:id="113" w:name="_Toc184313292"/>
      <w:bookmarkEnd w:id="113"/>
      <w:bookmarkStart w:id="114" w:name="_Toc184310289"/>
      <w:bookmarkEnd w:id="114"/>
      <w:bookmarkStart w:id="115" w:name="_Toc184313288"/>
      <w:bookmarkEnd w:id="115"/>
      <w:bookmarkStart w:id="116" w:name="_Toc184312080"/>
      <w:bookmarkEnd w:id="116"/>
      <w:bookmarkStart w:id="117" w:name="_Toc184313286"/>
      <w:bookmarkEnd w:id="117"/>
      <w:bookmarkStart w:id="118" w:name="_Toc184308056"/>
      <w:bookmarkEnd w:id="118"/>
      <w:bookmarkStart w:id="119" w:name="_Toc184313277"/>
      <w:bookmarkEnd w:id="119"/>
      <w:bookmarkStart w:id="120" w:name="_Toc184314449"/>
      <w:bookmarkEnd w:id="120"/>
      <w:bookmarkStart w:id="121" w:name="_Toc184314446"/>
      <w:bookmarkEnd w:id="121"/>
      <w:bookmarkStart w:id="122" w:name="_Toc184308067"/>
      <w:bookmarkEnd w:id="122"/>
      <w:bookmarkStart w:id="123" w:name="_Toc184308096"/>
      <w:bookmarkEnd w:id="123"/>
      <w:bookmarkStart w:id="124" w:name="_Toc184308040"/>
      <w:bookmarkEnd w:id="124"/>
      <w:bookmarkStart w:id="125" w:name="_Toc184313256"/>
      <w:bookmarkEnd w:id="125"/>
      <w:bookmarkStart w:id="126" w:name="_Toc184313265"/>
      <w:bookmarkEnd w:id="126"/>
      <w:bookmarkStart w:id="127" w:name="_Toc184312098"/>
      <w:bookmarkEnd w:id="127"/>
      <w:bookmarkStart w:id="128" w:name="_Toc184312102"/>
      <w:bookmarkEnd w:id="128"/>
      <w:bookmarkStart w:id="129" w:name="_Toc184314441"/>
      <w:bookmarkEnd w:id="129"/>
      <w:bookmarkStart w:id="130" w:name="_Toc184314434"/>
      <w:bookmarkEnd w:id="130"/>
      <w:bookmarkStart w:id="131" w:name="_Toc184313250"/>
      <w:bookmarkEnd w:id="131"/>
      <w:bookmarkStart w:id="132" w:name="_Toc184314457"/>
      <w:bookmarkEnd w:id="132"/>
      <w:bookmarkStart w:id="133" w:name="_Toc184312073"/>
      <w:bookmarkEnd w:id="133"/>
      <w:bookmarkStart w:id="134" w:name="_Toc184310335"/>
      <w:bookmarkEnd w:id="134"/>
      <w:bookmarkStart w:id="135" w:name="_Toc184314471"/>
      <w:bookmarkEnd w:id="135"/>
      <w:bookmarkStart w:id="136" w:name="_Toc184312126"/>
      <w:bookmarkEnd w:id="136"/>
      <w:bookmarkStart w:id="137" w:name="_Toc184313238"/>
      <w:bookmarkEnd w:id="137"/>
      <w:bookmarkStart w:id="138" w:name="_Toc184313294"/>
      <w:bookmarkEnd w:id="138"/>
      <w:bookmarkStart w:id="139" w:name="_Toc184314448"/>
      <w:bookmarkEnd w:id="139"/>
      <w:bookmarkStart w:id="140" w:name="_Toc184312094"/>
      <w:bookmarkEnd w:id="140"/>
      <w:bookmarkStart w:id="141" w:name="_Toc184308088"/>
      <w:bookmarkEnd w:id="141"/>
      <w:bookmarkStart w:id="142" w:name="_Toc184313302"/>
      <w:bookmarkEnd w:id="142"/>
      <w:bookmarkStart w:id="143" w:name="_Toc184310304"/>
      <w:bookmarkEnd w:id="143"/>
      <w:bookmarkStart w:id="144" w:name="_Toc184310330"/>
      <w:bookmarkEnd w:id="144"/>
      <w:bookmarkStart w:id="145" w:name="_Toc184314421"/>
      <w:bookmarkEnd w:id="145"/>
      <w:bookmarkStart w:id="146" w:name="_Toc184314430"/>
      <w:bookmarkEnd w:id="146"/>
      <w:bookmarkStart w:id="147" w:name="_Toc184314411"/>
      <w:bookmarkEnd w:id="147"/>
      <w:bookmarkStart w:id="148" w:name="_Toc184310311"/>
      <w:bookmarkEnd w:id="148"/>
      <w:bookmarkStart w:id="149" w:name="_Toc184308049"/>
      <w:bookmarkEnd w:id="149"/>
      <w:bookmarkStart w:id="150" w:name="_Toc184312100"/>
      <w:bookmarkEnd w:id="150"/>
      <w:bookmarkStart w:id="151" w:name="_Toc184312113"/>
      <w:bookmarkEnd w:id="151"/>
      <w:bookmarkStart w:id="152" w:name="_Toc184313298"/>
      <w:bookmarkEnd w:id="152"/>
      <w:bookmarkStart w:id="153" w:name="_Toc184313309"/>
      <w:bookmarkEnd w:id="153"/>
      <w:bookmarkStart w:id="154" w:name="_Toc184310329"/>
      <w:bookmarkEnd w:id="154"/>
      <w:bookmarkStart w:id="155" w:name="_Toc184308086"/>
      <w:bookmarkEnd w:id="155"/>
      <w:bookmarkStart w:id="156" w:name="_Toc184313305"/>
      <w:bookmarkEnd w:id="156"/>
      <w:bookmarkStart w:id="157" w:name="_Toc184313307"/>
      <w:bookmarkEnd w:id="157"/>
      <w:bookmarkStart w:id="158" w:name="_Toc184308079"/>
      <w:bookmarkEnd w:id="158"/>
      <w:bookmarkStart w:id="159" w:name="_Toc184308080"/>
      <w:bookmarkEnd w:id="159"/>
      <w:bookmarkStart w:id="160" w:name="_Toc184313303"/>
      <w:bookmarkEnd w:id="160"/>
      <w:bookmarkStart w:id="161" w:name="_Toc184314478"/>
      <w:bookmarkEnd w:id="161"/>
      <w:bookmarkStart w:id="162" w:name="_Toc184313241"/>
      <w:bookmarkEnd w:id="162"/>
      <w:bookmarkStart w:id="163" w:name="_Toc184313287"/>
      <w:bookmarkEnd w:id="163"/>
      <w:bookmarkStart w:id="164" w:name="_Toc184308068"/>
      <w:bookmarkEnd w:id="164"/>
      <w:bookmarkStart w:id="165" w:name="_Toc184308069"/>
      <w:bookmarkEnd w:id="165"/>
      <w:bookmarkStart w:id="166" w:name="_Toc184312095"/>
      <w:bookmarkEnd w:id="166"/>
      <w:bookmarkStart w:id="167" w:name="_Toc184310288"/>
      <w:bookmarkEnd w:id="167"/>
      <w:bookmarkStart w:id="168" w:name="_Toc184312111"/>
      <w:bookmarkEnd w:id="168"/>
      <w:bookmarkStart w:id="169" w:name="_Toc184308100"/>
      <w:bookmarkEnd w:id="169"/>
      <w:bookmarkStart w:id="170" w:name="_Toc184310318"/>
      <w:bookmarkEnd w:id="170"/>
      <w:bookmarkStart w:id="171" w:name="_Toc184308091"/>
      <w:bookmarkEnd w:id="171"/>
      <w:bookmarkStart w:id="172" w:name="_Toc184310343"/>
      <w:bookmarkEnd w:id="172"/>
      <w:bookmarkStart w:id="173" w:name="_Toc184310337"/>
      <w:bookmarkEnd w:id="173"/>
      <w:bookmarkStart w:id="174" w:name="_Toc184312085"/>
      <w:bookmarkEnd w:id="174"/>
      <w:bookmarkStart w:id="175" w:name="_Toc184312114"/>
      <w:bookmarkEnd w:id="175"/>
      <w:bookmarkStart w:id="176" w:name="_Toc184313253"/>
      <w:bookmarkEnd w:id="176"/>
      <w:bookmarkStart w:id="177" w:name="_Toc184312134"/>
      <w:bookmarkEnd w:id="177"/>
      <w:bookmarkStart w:id="178" w:name="_Toc184312093"/>
      <w:bookmarkEnd w:id="178"/>
      <w:bookmarkStart w:id="179" w:name="_Toc184308065"/>
      <w:bookmarkEnd w:id="179"/>
      <w:bookmarkStart w:id="180" w:name="_Toc184313297"/>
      <w:bookmarkEnd w:id="180"/>
      <w:bookmarkStart w:id="181" w:name="_Toc184313300"/>
      <w:bookmarkEnd w:id="181"/>
      <w:bookmarkStart w:id="182" w:name="_Toc184312099"/>
      <w:bookmarkEnd w:id="182"/>
      <w:bookmarkStart w:id="183" w:name="_Toc184308051"/>
      <w:bookmarkEnd w:id="183"/>
      <w:bookmarkStart w:id="184" w:name="_Toc184312089"/>
      <w:bookmarkEnd w:id="184"/>
      <w:bookmarkStart w:id="185" w:name="_Toc184308059"/>
      <w:bookmarkEnd w:id="185"/>
      <w:bookmarkStart w:id="186" w:name="_Toc184312067"/>
      <w:bookmarkEnd w:id="186"/>
      <w:bookmarkStart w:id="187" w:name="_Toc184313278"/>
      <w:bookmarkEnd w:id="187"/>
      <w:bookmarkStart w:id="188" w:name="_Toc184313276"/>
      <w:bookmarkEnd w:id="188"/>
      <w:bookmarkStart w:id="189" w:name="_Toc184313283"/>
      <w:bookmarkEnd w:id="189"/>
      <w:bookmarkStart w:id="190" w:name="_Toc184312112"/>
      <w:bookmarkEnd w:id="190"/>
      <w:bookmarkStart w:id="191" w:name="_Toc184314428"/>
      <w:bookmarkEnd w:id="191"/>
      <w:bookmarkStart w:id="192" w:name="_Toc184310290"/>
      <w:bookmarkEnd w:id="192"/>
      <w:bookmarkStart w:id="193" w:name="_Toc184313289"/>
      <w:bookmarkEnd w:id="193"/>
      <w:bookmarkStart w:id="194" w:name="_Toc184314453"/>
      <w:bookmarkEnd w:id="194"/>
      <w:bookmarkStart w:id="195" w:name="_Toc184313291"/>
      <w:bookmarkEnd w:id="195"/>
      <w:bookmarkStart w:id="196" w:name="_Toc184312081"/>
      <w:bookmarkEnd w:id="196"/>
      <w:bookmarkStart w:id="197" w:name="_Toc184310292"/>
      <w:bookmarkEnd w:id="197"/>
      <w:bookmarkStart w:id="198" w:name="_Toc184308046"/>
      <w:bookmarkEnd w:id="198"/>
      <w:bookmarkStart w:id="199" w:name="_Toc184314438"/>
      <w:bookmarkEnd w:id="199"/>
      <w:bookmarkStart w:id="200" w:name="_Toc184310274"/>
      <w:bookmarkEnd w:id="200"/>
      <w:bookmarkStart w:id="201" w:name="_Toc184312087"/>
      <w:bookmarkEnd w:id="201"/>
      <w:bookmarkStart w:id="202" w:name="_Toc184314429"/>
      <w:bookmarkEnd w:id="202"/>
      <w:bookmarkStart w:id="203" w:name="_Toc184314459"/>
      <w:bookmarkEnd w:id="203"/>
      <w:bookmarkStart w:id="204" w:name="_Toc184310298"/>
      <w:bookmarkEnd w:id="204"/>
      <w:bookmarkStart w:id="205" w:name="_Toc184310324"/>
      <w:bookmarkEnd w:id="205"/>
      <w:bookmarkStart w:id="206" w:name="_Toc184312137"/>
      <w:bookmarkEnd w:id="206"/>
      <w:bookmarkStart w:id="207" w:name="_Toc184310309"/>
      <w:bookmarkEnd w:id="207"/>
      <w:bookmarkStart w:id="208" w:name="_Toc184308089"/>
      <w:bookmarkEnd w:id="208"/>
      <w:bookmarkStart w:id="209" w:name="_Toc184314464"/>
      <w:bookmarkEnd w:id="209"/>
      <w:bookmarkStart w:id="210" w:name="_Toc184308041"/>
      <w:bookmarkEnd w:id="210"/>
      <w:bookmarkStart w:id="211" w:name="_Toc184314480"/>
      <w:bookmarkEnd w:id="211"/>
      <w:bookmarkStart w:id="212" w:name="_Toc184312068"/>
      <w:bookmarkEnd w:id="212"/>
      <w:bookmarkStart w:id="213" w:name="_Toc184310306"/>
      <w:bookmarkEnd w:id="213"/>
      <w:bookmarkStart w:id="214" w:name="_Toc184314442"/>
      <w:bookmarkEnd w:id="214"/>
      <w:bookmarkStart w:id="215" w:name="_Toc184313260"/>
      <w:bookmarkEnd w:id="215"/>
      <w:bookmarkStart w:id="216" w:name="_Toc184310334"/>
      <w:bookmarkEnd w:id="216"/>
      <w:bookmarkStart w:id="217" w:name="_Toc184308077"/>
      <w:bookmarkEnd w:id="217"/>
      <w:bookmarkStart w:id="218" w:name="_Toc184313268"/>
      <w:bookmarkEnd w:id="218"/>
      <w:bookmarkStart w:id="219" w:name="_Toc184314424"/>
      <w:bookmarkEnd w:id="219"/>
      <w:bookmarkStart w:id="220" w:name="_Toc184314474"/>
      <w:bookmarkEnd w:id="220"/>
      <w:bookmarkStart w:id="221" w:name="_Toc184314482"/>
      <w:bookmarkEnd w:id="221"/>
      <w:bookmarkStart w:id="222" w:name="_Toc184314456"/>
      <w:bookmarkEnd w:id="222"/>
      <w:bookmarkStart w:id="223" w:name="_Toc184313262"/>
      <w:bookmarkEnd w:id="223"/>
      <w:bookmarkStart w:id="224" w:name="_Toc184308036"/>
      <w:bookmarkEnd w:id="224"/>
      <w:bookmarkStart w:id="225" w:name="_Toc184312131"/>
      <w:bookmarkEnd w:id="225"/>
      <w:bookmarkStart w:id="226" w:name="_Toc184310332"/>
      <w:bookmarkEnd w:id="226"/>
      <w:bookmarkStart w:id="227" w:name="_Toc184312105"/>
      <w:bookmarkEnd w:id="227"/>
      <w:bookmarkStart w:id="228" w:name="_Toc184310277"/>
      <w:bookmarkEnd w:id="228"/>
      <w:bookmarkStart w:id="229" w:name="_Toc184313299"/>
      <w:bookmarkEnd w:id="229"/>
      <w:bookmarkStart w:id="230" w:name="_Toc184314460"/>
      <w:bookmarkEnd w:id="230"/>
      <w:bookmarkStart w:id="231" w:name="_Toc184313280"/>
      <w:bookmarkEnd w:id="231"/>
      <w:bookmarkStart w:id="232" w:name="_Toc184313257"/>
      <w:bookmarkEnd w:id="232"/>
      <w:bookmarkStart w:id="233" w:name="_Toc184308070"/>
      <w:bookmarkEnd w:id="233"/>
      <w:bookmarkStart w:id="234" w:name="_Toc184313293"/>
      <w:bookmarkEnd w:id="234"/>
      <w:bookmarkStart w:id="235" w:name="_Toc184308073"/>
      <w:bookmarkEnd w:id="235"/>
      <w:bookmarkStart w:id="236" w:name="_Toc184314463"/>
      <w:bookmarkEnd w:id="236"/>
      <w:bookmarkStart w:id="237" w:name="_Toc184313252"/>
      <w:bookmarkEnd w:id="237"/>
      <w:bookmarkStart w:id="238" w:name="_Toc184310281"/>
      <w:bookmarkEnd w:id="238"/>
      <w:bookmarkStart w:id="239" w:name="_Toc184310316"/>
      <w:bookmarkEnd w:id="239"/>
      <w:bookmarkStart w:id="240" w:name="_Toc184314462"/>
      <w:bookmarkEnd w:id="240"/>
      <w:bookmarkStart w:id="241" w:name="_Toc184310278"/>
      <w:bookmarkEnd w:id="241"/>
      <w:bookmarkStart w:id="242" w:name="_Toc184312106"/>
      <w:bookmarkEnd w:id="242"/>
      <w:bookmarkStart w:id="243" w:name="_Toc184312108"/>
      <w:bookmarkEnd w:id="243"/>
      <w:bookmarkStart w:id="244" w:name="_Toc184310338"/>
      <w:bookmarkEnd w:id="244"/>
      <w:bookmarkStart w:id="245" w:name="_Toc184310336"/>
      <w:bookmarkEnd w:id="245"/>
      <w:bookmarkStart w:id="246" w:name="_Toc184314415"/>
      <w:bookmarkEnd w:id="246"/>
      <w:bookmarkStart w:id="247" w:name="_Toc184312122"/>
      <w:bookmarkEnd w:id="247"/>
      <w:bookmarkStart w:id="248" w:name="_Toc184313269"/>
      <w:bookmarkEnd w:id="248"/>
      <w:bookmarkStart w:id="249" w:name="_Toc184310321"/>
      <w:bookmarkEnd w:id="249"/>
      <w:bookmarkStart w:id="250" w:name="_Toc184314410"/>
      <w:bookmarkEnd w:id="250"/>
      <w:bookmarkStart w:id="251" w:name="_Toc184310325"/>
      <w:bookmarkEnd w:id="251"/>
      <w:bookmarkStart w:id="252" w:name="_Toc184308063"/>
      <w:bookmarkEnd w:id="252"/>
      <w:bookmarkStart w:id="253" w:name="_Toc184314476"/>
      <w:bookmarkEnd w:id="253"/>
      <w:bookmarkStart w:id="254" w:name="_Toc184313246"/>
      <w:bookmarkEnd w:id="254"/>
      <w:bookmarkStart w:id="255" w:name="_Toc184308078"/>
      <w:bookmarkEnd w:id="255"/>
      <w:bookmarkStart w:id="256" w:name="_Toc184310317"/>
      <w:bookmarkEnd w:id="256"/>
      <w:bookmarkStart w:id="257" w:name="_Toc184308054"/>
      <w:bookmarkEnd w:id="257"/>
      <w:bookmarkStart w:id="258" w:name="_Toc184310342"/>
      <w:bookmarkEnd w:id="258"/>
      <w:bookmarkStart w:id="259" w:name="_Toc184312110"/>
      <w:bookmarkEnd w:id="259"/>
      <w:bookmarkStart w:id="260" w:name="_Toc184310302"/>
      <w:bookmarkEnd w:id="260"/>
      <w:bookmarkStart w:id="261" w:name="_Toc184312103"/>
      <w:bookmarkEnd w:id="261"/>
      <w:bookmarkStart w:id="262" w:name="_Toc184314450"/>
      <w:bookmarkEnd w:id="262"/>
      <w:bookmarkStart w:id="263" w:name="_Toc184313261"/>
      <w:bookmarkEnd w:id="263"/>
      <w:bookmarkStart w:id="264" w:name="_Toc184314422"/>
      <w:bookmarkEnd w:id="264"/>
      <w:bookmarkStart w:id="265" w:name="_Toc184310280"/>
      <w:bookmarkEnd w:id="265"/>
      <w:bookmarkStart w:id="266" w:name="_Toc184313249"/>
      <w:bookmarkEnd w:id="266"/>
      <w:bookmarkStart w:id="267" w:name="_Toc184310340"/>
      <w:bookmarkEnd w:id="267"/>
      <w:bookmarkStart w:id="268" w:name="_Toc184310307"/>
      <w:bookmarkEnd w:id="268"/>
      <w:bookmarkStart w:id="269" w:name="_Toc184313258"/>
      <w:bookmarkEnd w:id="269"/>
      <w:bookmarkStart w:id="270" w:name="_Toc184310286"/>
      <w:bookmarkEnd w:id="270"/>
      <w:bookmarkStart w:id="271" w:name="_Toc184312084"/>
      <w:bookmarkEnd w:id="271"/>
      <w:bookmarkStart w:id="272" w:name="_Toc184310327"/>
      <w:bookmarkEnd w:id="272"/>
      <w:bookmarkStart w:id="273" w:name="_Toc184312104"/>
      <w:bookmarkEnd w:id="273"/>
      <w:bookmarkStart w:id="274" w:name="_Toc184310320"/>
      <w:bookmarkEnd w:id="274"/>
      <w:bookmarkStart w:id="275" w:name="_Toc184314435"/>
      <w:bookmarkEnd w:id="275"/>
      <w:bookmarkStart w:id="276" w:name="_Toc184313272"/>
      <w:bookmarkEnd w:id="276"/>
      <w:bookmarkStart w:id="277" w:name="_Toc184312092"/>
      <w:bookmarkEnd w:id="277"/>
      <w:bookmarkStart w:id="278" w:name="_Toc184310339"/>
      <w:bookmarkEnd w:id="278"/>
      <w:bookmarkStart w:id="279" w:name="_Toc184314414"/>
      <w:bookmarkEnd w:id="279"/>
      <w:bookmarkStart w:id="280" w:name="_Toc184308050"/>
      <w:bookmarkEnd w:id="280"/>
      <w:bookmarkStart w:id="281" w:name="_Toc184308085"/>
      <w:bookmarkEnd w:id="281"/>
      <w:bookmarkStart w:id="282" w:name="_Toc184314419"/>
      <w:bookmarkEnd w:id="282"/>
      <w:bookmarkStart w:id="283" w:name="_Toc184314432"/>
      <w:bookmarkEnd w:id="283"/>
      <w:bookmarkStart w:id="284" w:name="_Toc184310310"/>
      <w:bookmarkEnd w:id="284"/>
      <w:bookmarkStart w:id="285" w:name="_Toc184314461"/>
      <w:bookmarkEnd w:id="285"/>
      <w:bookmarkStart w:id="286" w:name="_Toc184308104"/>
      <w:bookmarkEnd w:id="286"/>
      <w:bookmarkStart w:id="287" w:name="_Toc184308081"/>
      <w:bookmarkEnd w:id="287"/>
      <w:bookmarkStart w:id="288" w:name="_Toc184310322"/>
      <w:bookmarkEnd w:id="288"/>
      <w:bookmarkStart w:id="289" w:name="_Toc184308099"/>
      <w:bookmarkEnd w:id="289"/>
      <w:bookmarkStart w:id="290" w:name="_Toc184314433"/>
      <w:bookmarkEnd w:id="290"/>
      <w:bookmarkStart w:id="291" w:name="_Toc184310301"/>
      <w:bookmarkEnd w:id="291"/>
      <w:bookmarkStart w:id="292" w:name="_Toc184310331"/>
      <w:bookmarkEnd w:id="292"/>
      <w:bookmarkStart w:id="293" w:name="_Toc184313251"/>
      <w:bookmarkEnd w:id="293"/>
      <w:bookmarkStart w:id="294" w:name="_Toc184314479"/>
      <w:bookmarkEnd w:id="294"/>
      <w:bookmarkStart w:id="295" w:name="_Toc184308090"/>
      <w:bookmarkEnd w:id="295"/>
      <w:bookmarkStart w:id="296" w:name="_Toc184314481"/>
      <w:bookmarkEnd w:id="296"/>
      <w:bookmarkStart w:id="297" w:name="_Toc184312082"/>
      <w:bookmarkEnd w:id="297"/>
      <w:bookmarkStart w:id="298" w:name="_Toc184308101"/>
      <w:bookmarkEnd w:id="298"/>
      <w:bookmarkStart w:id="299" w:name="_Toc184308095"/>
      <w:bookmarkEnd w:id="299"/>
      <w:bookmarkStart w:id="300" w:name="_Toc184310344"/>
      <w:bookmarkEnd w:id="300"/>
      <w:bookmarkStart w:id="301" w:name="_Toc184314472"/>
      <w:bookmarkEnd w:id="301"/>
      <w:bookmarkStart w:id="302" w:name="_Toc184310284"/>
      <w:bookmarkEnd w:id="302"/>
      <w:bookmarkStart w:id="303" w:name="_Toc184308053"/>
      <w:bookmarkEnd w:id="303"/>
      <w:bookmarkStart w:id="304" w:name="_Toc184313282"/>
      <w:bookmarkEnd w:id="304"/>
      <w:bookmarkStart w:id="305" w:name="_Toc184310308"/>
      <w:bookmarkEnd w:id="305"/>
      <w:bookmarkStart w:id="306" w:name="_Toc184313267"/>
      <w:bookmarkEnd w:id="306"/>
      <w:bookmarkStart w:id="307" w:name="_Toc184312115"/>
      <w:bookmarkEnd w:id="307"/>
      <w:bookmarkStart w:id="308" w:name="_Toc184310314"/>
      <w:bookmarkEnd w:id="308"/>
      <w:bookmarkStart w:id="309" w:name="_Toc184313304"/>
      <w:bookmarkEnd w:id="309"/>
      <w:bookmarkStart w:id="310" w:name="_Toc184313274"/>
      <w:bookmarkEnd w:id="310"/>
      <w:bookmarkStart w:id="311" w:name="_Toc184308071"/>
      <w:bookmarkEnd w:id="311"/>
      <w:bookmarkStart w:id="312" w:name="_Toc184310273"/>
      <w:bookmarkEnd w:id="312"/>
      <w:bookmarkStart w:id="313" w:name="_Toc184312132"/>
      <w:bookmarkEnd w:id="313"/>
      <w:bookmarkStart w:id="314" w:name="_Toc184308107"/>
      <w:bookmarkEnd w:id="314"/>
      <w:bookmarkStart w:id="315" w:name="_Toc184313308"/>
      <w:bookmarkEnd w:id="315"/>
      <w:bookmarkStart w:id="316" w:name="_Toc184308044"/>
      <w:bookmarkEnd w:id="316"/>
      <w:bookmarkStart w:id="317" w:name="_Toc184314423"/>
      <w:bookmarkEnd w:id="317"/>
      <w:bookmarkStart w:id="318" w:name="_Toc184312127"/>
      <w:bookmarkEnd w:id="318"/>
      <w:bookmarkStart w:id="319" w:name="_Toc184314458"/>
      <w:bookmarkEnd w:id="319"/>
      <w:bookmarkStart w:id="320" w:name="_Toc184310319"/>
      <w:bookmarkEnd w:id="320"/>
      <w:bookmarkStart w:id="321" w:name="_Toc184314477"/>
      <w:bookmarkEnd w:id="321"/>
      <w:bookmarkStart w:id="322" w:name="_Toc184312078"/>
      <w:bookmarkEnd w:id="322"/>
      <w:bookmarkStart w:id="323" w:name="_Toc184308082"/>
      <w:bookmarkEnd w:id="323"/>
      <w:bookmarkStart w:id="324" w:name="_Toc184312135"/>
      <w:bookmarkEnd w:id="324"/>
      <w:bookmarkStart w:id="325" w:name="_Toc184314454"/>
      <w:bookmarkEnd w:id="325"/>
      <w:bookmarkStart w:id="326" w:name="_Toc184312077"/>
      <w:bookmarkEnd w:id="326"/>
      <w:bookmarkStart w:id="327" w:name="_Toc184308074"/>
      <w:bookmarkEnd w:id="327"/>
      <w:bookmarkStart w:id="328" w:name="_Toc184308072"/>
      <w:bookmarkEnd w:id="328"/>
      <w:bookmarkStart w:id="329" w:name="_Toc184314425"/>
      <w:bookmarkEnd w:id="329"/>
      <w:bookmarkStart w:id="330" w:name="_Toc184314436"/>
      <w:bookmarkEnd w:id="330"/>
      <w:bookmarkStart w:id="331" w:name="_Toc184310303"/>
      <w:bookmarkEnd w:id="331"/>
      <w:bookmarkStart w:id="332" w:name="_Toc184313271"/>
      <w:bookmarkEnd w:id="332"/>
      <w:bookmarkStart w:id="333" w:name="_Toc184312109"/>
      <w:bookmarkEnd w:id="333"/>
      <w:bookmarkStart w:id="334" w:name="_Toc184312097"/>
      <w:bookmarkEnd w:id="334"/>
      <w:bookmarkStart w:id="335" w:name="_Toc184313310"/>
      <w:bookmarkEnd w:id="335"/>
      <w:bookmarkStart w:id="336" w:name="_Toc184312075"/>
      <w:bookmarkEnd w:id="336"/>
      <w:bookmarkStart w:id="337" w:name="_Toc184308076"/>
      <w:bookmarkEnd w:id="337"/>
      <w:bookmarkStart w:id="338" w:name="_Toc184310276"/>
      <w:bookmarkEnd w:id="338"/>
      <w:bookmarkStart w:id="339" w:name="_Toc184312117"/>
      <w:bookmarkEnd w:id="339"/>
      <w:bookmarkStart w:id="340" w:name="_Toc184308106"/>
      <w:bookmarkEnd w:id="340"/>
      <w:bookmarkStart w:id="341" w:name="_Toc184312138"/>
      <w:bookmarkEnd w:id="341"/>
      <w:bookmarkStart w:id="342" w:name="_Toc184312088"/>
      <w:bookmarkEnd w:id="342"/>
      <w:bookmarkStart w:id="343" w:name="_Toc184308087"/>
      <w:bookmarkEnd w:id="343"/>
      <w:bookmarkStart w:id="344" w:name="_Toc184308092"/>
      <w:bookmarkEnd w:id="344"/>
      <w:bookmarkStart w:id="345" w:name="_Toc184310272"/>
      <w:bookmarkEnd w:id="345"/>
      <w:bookmarkStart w:id="346" w:name="_Toc184314469"/>
      <w:bookmarkEnd w:id="346"/>
      <w:bookmarkStart w:id="347" w:name="_Toc184312074"/>
      <w:bookmarkEnd w:id="347"/>
      <w:bookmarkStart w:id="348" w:name="_Toc184313266"/>
      <w:bookmarkEnd w:id="348"/>
      <w:bookmarkStart w:id="349" w:name="_Toc184313270"/>
      <w:bookmarkEnd w:id="349"/>
      <w:bookmarkStart w:id="350" w:name="_Toc184310287"/>
      <w:bookmarkEnd w:id="350"/>
      <w:bookmarkStart w:id="351" w:name="_Toc184312071"/>
      <w:bookmarkEnd w:id="351"/>
      <w:bookmarkStart w:id="352" w:name="_Toc184313285"/>
      <w:bookmarkEnd w:id="352"/>
      <w:bookmarkStart w:id="353" w:name="_Toc184314426"/>
      <w:bookmarkEnd w:id="353"/>
      <w:bookmarkStart w:id="354" w:name="_Toc184308037"/>
      <w:bookmarkEnd w:id="354"/>
      <w:bookmarkStart w:id="355" w:name="_Toc184312124"/>
      <w:bookmarkEnd w:id="355"/>
      <w:bookmarkStart w:id="356" w:name="_Toc184312101"/>
      <w:bookmarkEnd w:id="356"/>
      <w:bookmarkStart w:id="357" w:name="_Toc184310313"/>
      <w:bookmarkEnd w:id="357"/>
      <w:bookmarkStart w:id="358" w:name="_Toc184308102"/>
      <w:bookmarkEnd w:id="358"/>
      <w:bookmarkStart w:id="359" w:name="_Toc184314412"/>
      <w:bookmarkEnd w:id="359"/>
      <w:bookmarkStart w:id="360" w:name="_Toc184308108"/>
      <w:bookmarkEnd w:id="360"/>
      <w:bookmarkStart w:id="361" w:name="_Toc184308039"/>
      <w:bookmarkEnd w:id="361"/>
      <w:bookmarkStart w:id="362" w:name="_Toc184312079"/>
      <w:bookmarkEnd w:id="362"/>
      <w:bookmarkStart w:id="363" w:name="_Toc184310275"/>
      <w:bookmarkEnd w:id="363"/>
      <w:bookmarkStart w:id="364" w:name="_Toc184314431"/>
      <w:bookmarkEnd w:id="364"/>
      <w:bookmarkStart w:id="365" w:name="_Toc184312123"/>
      <w:bookmarkEnd w:id="365"/>
      <w:bookmarkStart w:id="366" w:name="_Toc184314416"/>
      <w:bookmarkEnd w:id="366"/>
      <w:bookmarkStart w:id="367" w:name="_Toc184310293"/>
      <w:bookmarkEnd w:id="367"/>
      <w:bookmarkStart w:id="368" w:name="_Toc184308052"/>
      <w:bookmarkEnd w:id="368"/>
      <w:bookmarkStart w:id="369" w:name="_Toc184308084"/>
      <w:bookmarkEnd w:id="369"/>
      <w:bookmarkStart w:id="370" w:name="_Toc184310282"/>
      <w:bookmarkEnd w:id="370"/>
      <w:bookmarkStart w:id="371" w:name="_Toc184308042"/>
      <w:bookmarkEnd w:id="371"/>
      <w:bookmarkStart w:id="372" w:name="_Toc184308062"/>
      <w:bookmarkEnd w:id="372"/>
      <w:bookmarkStart w:id="373" w:name="_Toc184313240"/>
      <w:bookmarkEnd w:id="373"/>
      <w:bookmarkStart w:id="374" w:name="_Toc184312128"/>
      <w:bookmarkEnd w:id="374"/>
      <w:bookmarkStart w:id="375" w:name="_Toc184313279"/>
      <w:bookmarkEnd w:id="375"/>
      <w:bookmarkStart w:id="376" w:name="_Toc184312096"/>
      <w:bookmarkEnd w:id="376"/>
      <w:bookmarkStart w:id="377" w:name="_Toc184314437"/>
      <w:bookmarkEnd w:id="377"/>
      <w:bookmarkStart w:id="378" w:name="_Toc184310295"/>
      <w:bookmarkEnd w:id="378"/>
      <w:bookmarkStart w:id="379" w:name="_Toc184313243"/>
      <w:bookmarkEnd w:id="379"/>
      <w:bookmarkStart w:id="380" w:name="_Toc184308083"/>
      <w:bookmarkEnd w:id="380"/>
      <w:bookmarkStart w:id="381" w:name="_Toc184314418"/>
      <w:bookmarkEnd w:id="381"/>
      <w:bookmarkStart w:id="382" w:name="_Toc184314444"/>
      <w:bookmarkEnd w:id="382"/>
      <w:bookmarkStart w:id="383" w:name="_Toc184314470"/>
      <w:bookmarkEnd w:id="383"/>
      <w:bookmarkStart w:id="384" w:name="_Toc184308075"/>
      <w:bookmarkEnd w:id="384"/>
      <w:bookmarkStart w:id="385" w:name="_Toc184313284"/>
      <w:bookmarkEnd w:id="385"/>
      <w:bookmarkStart w:id="386" w:name="_Toc184310291"/>
      <w:bookmarkEnd w:id="386"/>
      <w:bookmarkStart w:id="387" w:name="_Toc184312129"/>
      <w:bookmarkEnd w:id="387"/>
      <w:bookmarkStart w:id="388" w:name="_Toc184312130"/>
      <w:bookmarkEnd w:id="388"/>
      <w:bookmarkStart w:id="389" w:name="_Toc184312086"/>
      <w:bookmarkEnd w:id="389"/>
      <w:bookmarkStart w:id="390" w:name="_Toc184314427"/>
      <w:bookmarkEnd w:id="390"/>
      <w:bookmarkStart w:id="391" w:name="_Toc184308048"/>
      <w:bookmarkEnd w:id="391"/>
      <w:bookmarkStart w:id="392" w:name="_Toc184314420"/>
      <w:bookmarkEnd w:id="392"/>
      <w:bookmarkStart w:id="393" w:name="_Toc184310294"/>
      <w:bookmarkEnd w:id="393"/>
      <w:bookmarkStart w:id="394" w:name="_Toc184308094"/>
      <w:bookmarkEnd w:id="394"/>
      <w:bookmarkStart w:id="395" w:name="_Toc184314445"/>
      <w:bookmarkEnd w:id="395"/>
      <w:bookmarkStart w:id="396" w:name="_Toc184310305"/>
      <w:bookmarkEnd w:id="396"/>
      <w:bookmarkStart w:id="397" w:name="_Toc184310283"/>
      <w:bookmarkEnd w:id="397"/>
      <w:bookmarkStart w:id="398" w:name="_Toc184312133"/>
      <w:bookmarkEnd w:id="398"/>
      <w:bookmarkStart w:id="399" w:name="_Toc184308105"/>
      <w:bookmarkEnd w:id="399"/>
      <w:bookmarkStart w:id="400" w:name="_Toc184312091"/>
      <w:bookmarkEnd w:id="400"/>
      <w:bookmarkStart w:id="401" w:name="_Toc184312076"/>
      <w:bookmarkEnd w:id="401"/>
      <w:bookmarkStart w:id="402" w:name="_Toc184312125"/>
      <w:bookmarkEnd w:id="402"/>
      <w:bookmarkStart w:id="403" w:name="_Toc184314466"/>
      <w:bookmarkEnd w:id="403"/>
      <w:bookmarkStart w:id="404" w:name="_Toc184314413"/>
      <w:bookmarkEnd w:id="404"/>
      <w:bookmarkStart w:id="405" w:name="_Toc184313295"/>
      <w:bookmarkEnd w:id="405"/>
      <w:bookmarkStart w:id="406" w:name="_Toc184313306"/>
      <w:bookmarkEnd w:id="406"/>
      <w:bookmarkStart w:id="407" w:name="_Toc184308061"/>
      <w:bookmarkEnd w:id="407"/>
      <w:bookmarkStart w:id="408" w:name="_Toc184314451"/>
      <w:bookmarkEnd w:id="408"/>
      <w:bookmarkStart w:id="409" w:name="_Toc184308038"/>
      <w:bookmarkEnd w:id="409"/>
      <w:bookmarkStart w:id="410" w:name="_Toc184314465"/>
      <w:bookmarkEnd w:id="410"/>
      <w:bookmarkStart w:id="411" w:name="_Toc184310296"/>
      <w:bookmarkEnd w:id="411"/>
      <w:bookmarkStart w:id="412" w:name="_Toc184313242"/>
      <w:bookmarkEnd w:id="412"/>
      <w:bookmarkStart w:id="413" w:name="_Toc184312083"/>
      <w:bookmarkEnd w:id="413"/>
      <w:bookmarkStart w:id="414" w:name="_Toc184313255"/>
      <w:bookmarkEnd w:id="414"/>
      <w:bookmarkStart w:id="415" w:name="_Toc184308097"/>
      <w:bookmarkEnd w:id="415"/>
      <w:bookmarkStart w:id="416" w:name="_Toc184312070"/>
      <w:bookmarkEnd w:id="416"/>
      <w:bookmarkStart w:id="417" w:name="_Toc184308045"/>
      <w:bookmarkEnd w:id="417"/>
      <w:bookmarkStart w:id="418" w:name="_Toc184308098"/>
      <w:bookmarkEnd w:id="418"/>
      <w:bookmarkStart w:id="419" w:name="_Toc184312116"/>
      <w:bookmarkEnd w:id="419"/>
      <w:bookmarkStart w:id="420" w:name="_Toc184313239"/>
      <w:bookmarkEnd w:id="420"/>
      <w:bookmarkStart w:id="421" w:name="_Toc184314468"/>
      <w:bookmarkEnd w:id="421"/>
      <w:bookmarkStart w:id="422" w:name="_Toc184310333"/>
      <w:bookmarkEnd w:id="422"/>
      <w:bookmarkStart w:id="423" w:name="_Toc184310297"/>
      <w:bookmarkEnd w:id="423"/>
      <w:bookmarkStart w:id="424" w:name="_Toc184310315"/>
      <w:bookmarkEnd w:id="424"/>
      <w:bookmarkStart w:id="425" w:name="_Toc184308057"/>
      <w:bookmarkEnd w:id="425"/>
      <w:bookmarkStart w:id="426" w:name="_Toc184308047"/>
      <w:bookmarkEnd w:id="426"/>
      <w:bookmarkStart w:id="427" w:name="_Toc184314447"/>
      <w:bookmarkEnd w:id="427"/>
      <w:bookmarkStart w:id="428" w:name="_Toc184308043"/>
      <w:bookmarkEnd w:id="428"/>
      <w:bookmarkStart w:id="429" w:name="_Toc184308060"/>
      <w:bookmarkEnd w:id="429"/>
      <w:bookmarkStart w:id="430" w:name="_Toc184310341"/>
      <w:bookmarkEnd w:id="430"/>
      <w:bookmarkStart w:id="431" w:name="_Toc184313247"/>
      <w:bookmarkEnd w:id="431"/>
      <w:bookmarkStart w:id="432" w:name="_Toc184310299"/>
      <w:bookmarkEnd w:id="432"/>
      <w:bookmarkStart w:id="433" w:name="_Toc184312139"/>
      <w:bookmarkEnd w:id="433"/>
      <w:r>
        <w:rPr>
          <w:rFonts w:hint="eastAsia" w:ascii="仿宋" w:hAnsi="仿宋" w:eastAsia="仿宋" w:cs="仿宋_GB2312"/>
          <w:b/>
          <w:color w:val="auto"/>
          <w:sz w:val="36"/>
          <w:szCs w:val="36"/>
          <w:highlight w:val="none"/>
        </w:rPr>
        <w:t>评标办法</w:t>
      </w:r>
    </w:p>
    <w:p w14:paraId="11C835D1">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p w14:paraId="75D24B4B">
      <w:pPr>
        <w:pStyle w:val="828"/>
        <w:ind w:firstLine="964"/>
        <w:rPr>
          <w:rFonts w:ascii="仿宋" w:hAnsi="仿宋" w:eastAsia="仿宋" w:cs="仿宋_GB2312"/>
          <w:color w:val="auto"/>
          <w:sz w:val="32"/>
          <w:szCs w:val="20"/>
          <w:highlight w:val="none"/>
        </w:rPr>
      </w:pPr>
    </w:p>
    <w:tbl>
      <w:tblPr>
        <w:tblStyle w:val="55"/>
        <w:tblW w:w="9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4851"/>
        <w:gridCol w:w="676"/>
        <w:gridCol w:w="1643"/>
        <w:gridCol w:w="1643"/>
      </w:tblGrid>
      <w:tr w14:paraId="06B3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98" w:type="dxa"/>
            <w:vAlign w:val="center"/>
          </w:tcPr>
          <w:p w14:paraId="2184C015">
            <w:pPr>
              <w:snapToGrid w:val="0"/>
              <w:spacing w:line="24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4851" w:type="dxa"/>
            <w:vAlign w:val="center"/>
          </w:tcPr>
          <w:p w14:paraId="7661FC17">
            <w:pPr>
              <w:spacing w:line="24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评标标准</w:t>
            </w:r>
          </w:p>
        </w:tc>
        <w:tc>
          <w:tcPr>
            <w:tcW w:w="676" w:type="dxa"/>
            <w:vAlign w:val="center"/>
          </w:tcPr>
          <w:p w14:paraId="5CB110EA">
            <w:pPr>
              <w:spacing w:line="24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权重</w:t>
            </w:r>
          </w:p>
        </w:tc>
        <w:tc>
          <w:tcPr>
            <w:tcW w:w="1643" w:type="dxa"/>
            <w:vAlign w:val="center"/>
          </w:tcPr>
          <w:p w14:paraId="3A45562E">
            <w:pPr>
              <w:keepNext w:val="0"/>
              <w:keepLines w:val="0"/>
              <w:pageBreakBefore w:val="0"/>
              <w:widowControl w:val="0"/>
              <w:kinsoku/>
              <w:wordWrap/>
              <w:overflowPunct/>
              <w:topLinePunct w:val="0"/>
              <w:autoSpaceDE/>
              <w:autoSpaceDN/>
              <w:bidi w:val="0"/>
              <w:adjustRightInd/>
              <w:spacing w:line="240" w:lineRule="auto"/>
              <w:ind w:right="0" w:rightChars="0"/>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主观分/客观分属性</w:t>
            </w:r>
          </w:p>
        </w:tc>
        <w:tc>
          <w:tcPr>
            <w:tcW w:w="1643" w:type="dxa"/>
            <w:vAlign w:val="center"/>
          </w:tcPr>
          <w:p w14:paraId="6168E1B6">
            <w:pPr>
              <w:spacing w:line="24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r>
              <w:rPr>
                <w:rFonts w:hint="eastAsia" w:ascii="仿宋" w:hAnsi="仿宋" w:eastAsia="仿宋" w:cs="仿宋"/>
                <w:bCs/>
                <w:color w:val="auto"/>
                <w:sz w:val="24"/>
                <w:szCs w:val="24"/>
                <w:highlight w:val="none"/>
                <w:shd w:val="clear" w:color="auto" w:fill="FFFFFF"/>
              </w:rPr>
              <w:t>*</w:t>
            </w:r>
          </w:p>
        </w:tc>
      </w:tr>
      <w:tr w14:paraId="52EE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998" w:type="dxa"/>
            <w:vAlign w:val="center"/>
          </w:tcPr>
          <w:p w14:paraId="650DFEA5">
            <w:pPr>
              <w:snapToGrid w:val="0"/>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4851" w:type="dxa"/>
            <w:shd w:val="clear" w:color="auto" w:fill="auto"/>
            <w:vAlign w:val="center"/>
          </w:tcPr>
          <w:p w14:paraId="6466D9D8">
            <w:pPr>
              <w:spacing w:line="240" w:lineRule="auto"/>
              <w:jc w:val="left"/>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针对招标文件中“服务内容”的要求提供机房信息化设备巡检方案，</w:t>
            </w:r>
            <w:r>
              <w:rPr>
                <w:rFonts w:hint="eastAsia" w:ascii="仿宋" w:hAnsi="仿宋" w:eastAsia="仿宋" w:cs="仿宋"/>
                <w:bCs/>
                <w:color w:val="auto"/>
                <w:sz w:val="24"/>
                <w:szCs w:val="24"/>
                <w:highlight w:val="none"/>
                <w:lang w:val="en-US" w:eastAsia="zh-CN"/>
              </w:rPr>
              <w:t>提供方案描述内容完整并且能够满足招标要求的，得</w:t>
            </w:r>
            <w:r>
              <w:rPr>
                <w:rFonts w:hint="default" w:ascii="仿宋" w:hAnsi="仿宋" w:eastAsia="仿宋" w:cs="仿宋"/>
                <w:bCs/>
                <w:color w:val="auto"/>
                <w:sz w:val="24"/>
                <w:szCs w:val="24"/>
                <w:highlight w:val="none"/>
                <w:lang w:val="en" w:eastAsia="zh-CN"/>
              </w:rPr>
              <w:t>5</w:t>
            </w:r>
            <w:r>
              <w:rPr>
                <w:rFonts w:hint="eastAsia" w:ascii="仿宋" w:hAnsi="仿宋" w:eastAsia="仿宋" w:cs="仿宋"/>
                <w:bCs/>
                <w:color w:val="auto"/>
                <w:sz w:val="24"/>
                <w:szCs w:val="24"/>
                <w:highlight w:val="none"/>
                <w:lang w:val="en-US" w:eastAsia="zh-CN"/>
              </w:rPr>
              <w:t>分；</w:t>
            </w:r>
            <w:r>
              <w:rPr>
                <w:rFonts w:hint="default" w:ascii="仿宋" w:hAnsi="仿宋" w:eastAsia="仿宋" w:cs="仿宋"/>
                <w:bCs/>
                <w:color w:val="auto"/>
                <w:sz w:val="24"/>
                <w:szCs w:val="24"/>
                <w:highlight w:val="none"/>
                <w:lang w:val="en" w:eastAsia="zh-CN"/>
              </w:rPr>
              <w:t>内容不完整或存在少量未达到招标要求的，得</w:t>
            </w:r>
            <w:r>
              <w:rPr>
                <w:rFonts w:hint="eastAsia" w:ascii="仿宋" w:hAnsi="仿宋" w:eastAsia="仿宋" w:cs="仿宋"/>
                <w:bCs/>
                <w:color w:val="auto"/>
                <w:sz w:val="24"/>
                <w:szCs w:val="24"/>
                <w:highlight w:val="none"/>
                <w:lang w:val="en-US" w:eastAsia="zh-CN"/>
              </w:rPr>
              <w:t>4</w:t>
            </w:r>
            <w:r>
              <w:rPr>
                <w:rFonts w:hint="default" w:ascii="仿宋" w:hAnsi="仿宋" w:eastAsia="仿宋" w:cs="仿宋"/>
                <w:bCs/>
                <w:color w:val="auto"/>
                <w:sz w:val="24"/>
                <w:szCs w:val="24"/>
                <w:highlight w:val="none"/>
                <w:lang w:val="en" w:eastAsia="zh-CN"/>
              </w:rPr>
              <w:t>分；内容存在比较重大的缺漏可能导致不能满足采购需求的，得1分；未提供或完全不能满足招标要求的，得0分。</w:t>
            </w:r>
          </w:p>
        </w:tc>
        <w:tc>
          <w:tcPr>
            <w:tcW w:w="676" w:type="dxa"/>
            <w:shd w:val="clear" w:color="auto" w:fill="auto"/>
            <w:vAlign w:val="center"/>
          </w:tcPr>
          <w:p w14:paraId="07161EAA">
            <w:pPr>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5</w:t>
            </w:r>
          </w:p>
        </w:tc>
        <w:tc>
          <w:tcPr>
            <w:tcW w:w="1643" w:type="dxa"/>
            <w:shd w:val="clear" w:color="auto" w:fill="auto"/>
            <w:vAlign w:val="center"/>
          </w:tcPr>
          <w:p w14:paraId="555A21AF">
            <w:pPr>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主观分</w:t>
            </w:r>
          </w:p>
        </w:tc>
        <w:tc>
          <w:tcPr>
            <w:tcW w:w="1643" w:type="dxa"/>
            <w:vAlign w:val="center"/>
          </w:tcPr>
          <w:p w14:paraId="28947B94">
            <w:pPr>
              <w:spacing w:line="240" w:lineRule="auto"/>
              <w:jc w:val="center"/>
              <w:outlineLvl w:val="0"/>
              <w:rPr>
                <w:rFonts w:hint="eastAsia" w:ascii="仿宋" w:hAnsi="仿宋" w:eastAsia="仿宋" w:cs="仿宋"/>
                <w:bCs/>
                <w:color w:val="auto"/>
                <w:sz w:val="24"/>
                <w:szCs w:val="24"/>
                <w:highlight w:val="none"/>
              </w:rPr>
            </w:pPr>
          </w:p>
        </w:tc>
      </w:tr>
      <w:tr w14:paraId="4EBE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shd w:val="clear" w:color="auto" w:fill="auto"/>
            <w:vAlign w:val="center"/>
          </w:tcPr>
          <w:p w14:paraId="7BF94566">
            <w:pPr>
              <w:snapToGrid w:val="0"/>
              <w:spacing w:line="240" w:lineRule="auto"/>
              <w:jc w:val="center"/>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w:t>
            </w:r>
          </w:p>
        </w:tc>
        <w:tc>
          <w:tcPr>
            <w:tcW w:w="4851" w:type="dxa"/>
            <w:shd w:val="clear" w:color="auto" w:fill="auto"/>
            <w:vAlign w:val="center"/>
          </w:tcPr>
          <w:p w14:paraId="261F02C0">
            <w:pPr>
              <w:spacing w:line="240" w:lineRule="auto"/>
              <w:jc w:val="left"/>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针对招标文件中“服务内容”的要求提供机房基础环境巡检方案，</w:t>
            </w:r>
            <w:r>
              <w:rPr>
                <w:rFonts w:hint="eastAsia" w:ascii="仿宋" w:hAnsi="仿宋" w:eastAsia="仿宋" w:cs="仿宋"/>
                <w:bCs/>
                <w:color w:val="auto"/>
                <w:sz w:val="24"/>
                <w:szCs w:val="24"/>
                <w:highlight w:val="none"/>
                <w:lang w:val="en-US" w:eastAsia="zh-CN"/>
              </w:rPr>
              <w:t>提供方案描述内容完整并且能够满足招标要求的，得</w:t>
            </w:r>
            <w:r>
              <w:rPr>
                <w:rFonts w:hint="default" w:ascii="仿宋" w:hAnsi="仿宋" w:eastAsia="仿宋" w:cs="仿宋"/>
                <w:bCs/>
                <w:color w:val="auto"/>
                <w:sz w:val="24"/>
                <w:szCs w:val="24"/>
                <w:highlight w:val="none"/>
                <w:lang w:val="en" w:eastAsia="zh-CN"/>
              </w:rPr>
              <w:t>5</w:t>
            </w:r>
            <w:r>
              <w:rPr>
                <w:rFonts w:hint="eastAsia" w:ascii="仿宋" w:hAnsi="仿宋" w:eastAsia="仿宋" w:cs="仿宋"/>
                <w:bCs/>
                <w:color w:val="auto"/>
                <w:sz w:val="24"/>
                <w:szCs w:val="24"/>
                <w:highlight w:val="none"/>
                <w:lang w:val="en-US" w:eastAsia="zh-CN"/>
              </w:rPr>
              <w:t>分；</w:t>
            </w:r>
            <w:r>
              <w:rPr>
                <w:rFonts w:hint="default" w:ascii="仿宋" w:hAnsi="仿宋" w:eastAsia="仿宋" w:cs="仿宋"/>
                <w:bCs/>
                <w:color w:val="auto"/>
                <w:sz w:val="24"/>
                <w:szCs w:val="24"/>
                <w:highlight w:val="none"/>
                <w:lang w:val="en" w:eastAsia="zh-CN"/>
              </w:rPr>
              <w:t>内容不完整或存在少量未达到招标要求的，得</w:t>
            </w:r>
            <w:r>
              <w:rPr>
                <w:rFonts w:hint="eastAsia" w:ascii="仿宋" w:hAnsi="仿宋" w:eastAsia="仿宋" w:cs="仿宋"/>
                <w:bCs/>
                <w:color w:val="auto"/>
                <w:sz w:val="24"/>
                <w:szCs w:val="24"/>
                <w:highlight w:val="none"/>
                <w:lang w:val="en-US" w:eastAsia="zh-CN"/>
              </w:rPr>
              <w:t>4</w:t>
            </w:r>
            <w:r>
              <w:rPr>
                <w:rFonts w:hint="default" w:ascii="仿宋" w:hAnsi="仿宋" w:eastAsia="仿宋" w:cs="仿宋"/>
                <w:bCs/>
                <w:color w:val="auto"/>
                <w:sz w:val="24"/>
                <w:szCs w:val="24"/>
                <w:highlight w:val="none"/>
                <w:lang w:val="en" w:eastAsia="zh-CN"/>
              </w:rPr>
              <w:t>分；内容存在比较重大的缺漏可能导致不能满足采购需求的，得1分；未提供或完全不能满足招标要求的，得0分。</w:t>
            </w:r>
          </w:p>
        </w:tc>
        <w:tc>
          <w:tcPr>
            <w:tcW w:w="676" w:type="dxa"/>
            <w:shd w:val="clear" w:color="auto" w:fill="auto"/>
            <w:vAlign w:val="center"/>
          </w:tcPr>
          <w:p w14:paraId="2D064C03">
            <w:pPr>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5</w:t>
            </w:r>
          </w:p>
        </w:tc>
        <w:tc>
          <w:tcPr>
            <w:tcW w:w="1643" w:type="dxa"/>
            <w:shd w:val="clear" w:color="auto" w:fill="auto"/>
            <w:vAlign w:val="center"/>
          </w:tcPr>
          <w:p w14:paraId="1BEE6FC1">
            <w:pPr>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主观分</w:t>
            </w:r>
          </w:p>
        </w:tc>
        <w:tc>
          <w:tcPr>
            <w:tcW w:w="1643" w:type="dxa"/>
            <w:vAlign w:val="center"/>
          </w:tcPr>
          <w:p w14:paraId="15687AFB">
            <w:pPr>
              <w:spacing w:line="240" w:lineRule="auto"/>
              <w:jc w:val="center"/>
              <w:outlineLvl w:val="0"/>
              <w:rPr>
                <w:rFonts w:hint="eastAsia" w:ascii="仿宋" w:hAnsi="仿宋" w:eastAsia="仿宋" w:cs="仿宋"/>
                <w:bCs/>
                <w:color w:val="auto"/>
                <w:sz w:val="24"/>
                <w:szCs w:val="24"/>
                <w:highlight w:val="none"/>
              </w:rPr>
            </w:pPr>
          </w:p>
        </w:tc>
      </w:tr>
      <w:tr w14:paraId="3384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shd w:val="clear" w:color="auto" w:fill="auto"/>
            <w:vAlign w:val="center"/>
          </w:tcPr>
          <w:p w14:paraId="6CDF4093">
            <w:pPr>
              <w:snapToGrid w:val="0"/>
              <w:spacing w:line="240" w:lineRule="auto"/>
              <w:jc w:val="center"/>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w:t>
            </w:r>
          </w:p>
        </w:tc>
        <w:tc>
          <w:tcPr>
            <w:tcW w:w="4851" w:type="dxa"/>
            <w:shd w:val="clear" w:color="auto" w:fill="auto"/>
            <w:vAlign w:val="center"/>
          </w:tcPr>
          <w:p w14:paraId="18C2602D">
            <w:pPr>
              <w:spacing w:line="240" w:lineRule="auto"/>
              <w:jc w:val="left"/>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针对招标文件中“服务内容”的要求提供设备上下架及仓库管理方案，</w:t>
            </w:r>
            <w:r>
              <w:rPr>
                <w:rFonts w:hint="eastAsia" w:ascii="仿宋" w:hAnsi="仿宋" w:eastAsia="仿宋" w:cs="仿宋"/>
                <w:bCs/>
                <w:color w:val="auto"/>
                <w:sz w:val="24"/>
                <w:szCs w:val="24"/>
                <w:highlight w:val="none"/>
                <w:lang w:val="en-US" w:eastAsia="zh-CN"/>
              </w:rPr>
              <w:t>提供方案描述内容完整并且能够满足招标要求的，得</w:t>
            </w:r>
            <w:r>
              <w:rPr>
                <w:rFonts w:hint="default" w:ascii="仿宋" w:hAnsi="仿宋" w:eastAsia="仿宋" w:cs="仿宋"/>
                <w:bCs/>
                <w:color w:val="auto"/>
                <w:sz w:val="24"/>
                <w:szCs w:val="24"/>
                <w:highlight w:val="none"/>
                <w:lang w:val="en" w:eastAsia="zh-CN"/>
              </w:rPr>
              <w:t>5</w:t>
            </w:r>
            <w:r>
              <w:rPr>
                <w:rFonts w:hint="eastAsia" w:ascii="仿宋" w:hAnsi="仿宋" w:eastAsia="仿宋" w:cs="仿宋"/>
                <w:bCs/>
                <w:color w:val="auto"/>
                <w:sz w:val="24"/>
                <w:szCs w:val="24"/>
                <w:highlight w:val="none"/>
                <w:lang w:val="en-US" w:eastAsia="zh-CN"/>
              </w:rPr>
              <w:t>分；</w:t>
            </w:r>
            <w:r>
              <w:rPr>
                <w:rFonts w:hint="default" w:ascii="仿宋" w:hAnsi="仿宋" w:eastAsia="仿宋" w:cs="仿宋"/>
                <w:bCs/>
                <w:color w:val="auto"/>
                <w:sz w:val="24"/>
                <w:szCs w:val="24"/>
                <w:highlight w:val="none"/>
                <w:lang w:val="en" w:eastAsia="zh-CN"/>
              </w:rPr>
              <w:t>内容不完整或存在少量未达到招标要求的，得</w:t>
            </w:r>
            <w:r>
              <w:rPr>
                <w:rFonts w:hint="eastAsia" w:ascii="仿宋" w:hAnsi="仿宋" w:eastAsia="仿宋" w:cs="仿宋"/>
                <w:bCs/>
                <w:color w:val="auto"/>
                <w:sz w:val="24"/>
                <w:szCs w:val="24"/>
                <w:highlight w:val="none"/>
                <w:lang w:val="en-US" w:eastAsia="zh-CN"/>
              </w:rPr>
              <w:t>4</w:t>
            </w:r>
            <w:r>
              <w:rPr>
                <w:rFonts w:hint="default" w:ascii="仿宋" w:hAnsi="仿宋" w:eastAsia="仿宋" w:cs="仿宋"/>
                <w:bCs/>
                <w:color w:val="auto"/>
                <w:sz w:val="24"/>
                <w:szCs w:val="24"/>
                <w:highlight w:val="none"/>
                <w:lang w:val="en" w:eastAsia="zh-CN"/>
              </w:rPr>
              <w:t>分；内容存在比较重大的缺漏可能导致不能满足采购需求的，得1分；未提供或完全不能满足招标要求的，得0分。</w:t>
            </w:r>
          </w:p>
        </w:tc>
        <w:tc>
          <w:tcPr>
            <w:tcW w:w="676" w:type="dxa"/>
            <w:shd w:val="clear" w:color="auto" w:fill="auto"/>
            <w:vAlign w:val="center"/>
          </w:tcPr>
          <w:p w14:paraId="73F559AE">
            <w:pPr>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5</w:t>
            </w:r>
          </w:p>
        </w:tc>
        <w:tc>
          <w:tcPr>
            <w:tcW w:w="1643" w:type="dxa"/>
            <w:shd w:val="clear" w:color="auto" w:fill="auto"/>
            <w:vAlign w:val="center"/>
          </w:tcPr>
          <w:p w14:paraId="21E5220A">
            <w:pPr>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主观分</w:t>
            </w:r>
          </w:p>
        </w:tc>
        <w:tc>
          <w:tcPr>
            <w:tcW w:w="1643" w:type="dxa"/>
            <w:vAlign w:val="center"/>
          </w:tcPr>
          <w:p w14:paraId="6AE8D25A">
            <w:pPr>
              <w:spacing w:line="240" w:lineRule="auto"/>
              <w:jc w:val="center"/>
              <w:outlineLvl w:val="0"/>
              <w:rPr>
                <w:rFonts w:hint="eastAsia" w:ascii="仿宋" w:hAnsi="仿宋" w:eastAsia="仿宋" w:cs="仿宋"/>
                <w:bCs/>
                <w:color w:val="auto"/>
                <w:sz w:val="24"/>
                <w:szCs w:val="24"/>
                <w:highlight w:val="none"/>
              </w:rPr>
            </w:pPr>
          </w:p>
        </w:tc>
      </w:tr>
      <w:tr w14:paraId="019C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shd w:val="clear" w:color="auto" w:fill="auto"/>
            <w:vAlign w:val="center"/>
          </w:tcPr>
          <w:p w14:paraId="2A55FB96">
            <w:pPr>
              <w:snapToGrid w:val="0"/>
              <w:spacing w:line="240" w:lineRule="auto"/>
              <w:jc w:val="center"/>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w:t>
            </w:r>
          </w:p>
        </w:tc>
        <w:tc>
          <w:tcPr>
            <w:tcW w:w="4851" w:type="dxa"/>
            <w:shd w:val="clear" w:color="auto" w:fill="auto"/>
            <w:vAlign w:val="center"/>
          </w:tcPr>
          <w:p w14:paraId="4E3D09DA">
            <w:pPr>
              <w:spacing w:line="240" w:lineRule="auto"/>
              <w:jc w:val="left"/>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针对招标文件中“服务内容”的要求提供重要节点保障方案，</w:t>
            </w:r>
            <w:r>
              <w:rPr>
                <w:rFonts w:hint="eastAsia" w:ascii="仿宋" w:hAnsi="仿宋" w:eastAsia="仿宋" w:cs="仿宋"/>
                <w:bCs/>
                <w:color w:val="auto"/>
                <w:sz w:val="24"/>
                <w:szCs w:val="24"/>
                <w:highlight w:val="none"/>
                <w:lang w:val="en-US" w:eastAsia="zh-CN"/>
              </w:rPr>
              <w:t>提供方案描述内容完整并且能够满足招标要求的，得</w:t>
            </w:r>
            <w:r>
              <w:rPr>
                <w:rFonts w:hint="default" w:ascii="仿宋" w:hAnsi="仿宋" w:eastAsia="仿宋" w:cs="仿宋"/>
                <w:bCs/>
                <w:color w:val="auto"/>
                <w:sz w:val="24"/>
                <w:szCs w:val="24"/>
                <w:highlight w:val="none"/>
                <w:lang w:val="en" w:eastAsia="zh-CN"/>
              </w:rPr>
              <w:t>5</w:t>
            </w:r>
            <w:r>
              <w:rPr>
                <w:rFonts w:hint="eastAsia" w:ascii="仿宋" w:hAnsi="仿宋" w:eastAsia="仿宋" w:cs="仿宋"/>
                <w:bCs/>
                <w:color w:val="auto"/>
                <w:sz w:val="24"/>
                <w:szCs w:val="24"/>
                <w:highlight w:val="none"/>
                <w:lang w:val="en-US" w:eastAsia="zh-CN"/>
              </w:rPr>
              <w:t>分；</w:t>
            </w:r>
            <w:r>
              <w:rPr>
                <w:rFonts w:hint="default" w:ascii="仿宋" w:hAnsi="仿宋" w:eastAsia="仿宋" w:cs="仿宋"/>
                <w:bCs/>
                <w:color w:val="auto"/>
                <w:sz w:val="24"/>
                <w:szCs w:val="24"/>
                <w:highlight w:val="none"/>
                <w:lang w:val="en" w:eastAsia="zh-CN"/>
              </w:rPr>
              <w:t>内容不完整或存在少量未达到招标要求的，得</w:t>
            </w:r>
            <w:r>
              <w:rPr>
                <w:rFonts w:hint="eastAsia" w:ascii="仿宋" w:hAnsi="仿宋" w:eastAsia="仿宋" w:cs="仿宋"/>
                <w:bCs/>
                <w:color w:val="auto"/>
                <w:sz w:val="24"/>
                <w:szCs w:val="24"/>
                <w:highlight w:val="none"/>
                <w:lang w:val="en-US" w:eastAsia="zh-CN"/>
              </w:rPr>
              <w:t>4</w:t>
            </w:r>
            <w:r>
              <w:rPr>
                <w:rFonts w:hint="default" w:ascii="仿宋" w:hAnsi="仿宋" w:eastAsia="仿宋" w:cs="仿宋"/>
                <w:bCs/>
                <w:color w:val="auto"/>
                <w:sz w:val="24"/>
                <w:szCs w:val="24"/>
                <w:highlight w:val="none"/>
                <w:lang w:val="en" w:eastAsia="zh-CN"/>
              </w:rPr>
              <w:t>分；内容存在比较重大的缺漏可能导致不能满足采购需求的，得1分；未提供或完全不能满足招标要求的，得0分。</w:t>
            </w:r>
          </w:p>
        </w:tc>
        <w:tc>
          <w:tcPr>
            <w:tcW w:w="676" w:type="dxa"/>
            <w:shd w:val="clear" w:color="auto" w:fill="auto"/>
            <w:vAlign w:val="center"/>
          </w:tcPr>
          <w:p w14:paraId="24CBB297">
            <w:pPr>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5</w:t>
            </w:r>
          </w:p>
        </w:tc>
        <w:tc>
          <w:tcPr>
            <w:tcW w:w="1643" w:type="dxa"/>
            <w:shd w:val="clear" w:color="auto" w:fill="auto"/>
            <w:vAlign w:val="center"/>
          </w:tcPr>
          <w:p w14:paraId="6A865EA6">
            <w:pPr>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主观分</w:t>
            </w:r>
          </w:p>
        </w:tc>
        <w:tc>
          <w:tcPr>
            <w:tcW w:w="1643" w:type="dxa"/>
            <w:vAlign w:val="center"/>
          </w:tcPr>
          <w:p w14:paraId="53000BD0">
            <w:pPr>
              <w:spacing w:line="240" w:lineRule="auto"/>
              <w:jc w:val="center"/>
              <w:outlineLvl w:val="0"/>
              <w:rPr>
                <w:rFonts w:hint="eastAsia" w:ascii="仿宋" w:hAnsi="仿宋" w:eastAsia="仿宋" w:cs="仿宋"/>
                <w:bCs/>
                <w:color w:val="auto"/>
                <w:sz w:val="24"/>
                <w:szCs w:val="24"/>
                <w:highlight w:val="none"/>
              </w:rPr>
            </w:pPr>
          </w:p>
        </w:tc>
      </w:tr>
      <w:tr w14:paraId="0CD8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shd w:val="clear" w:color="auto" w:fill="auto"/>
            <w:vAlign w:val="center"/>
          </w:tcPr>
          <w:p w14:paraId="10DFE1EA">
            <w:pPr>
              <w:snapToGrid w:val="0"/>
              <w:spacing w:line="240" w:lineRule="auto"/>
              <w:jc w:val="center"/>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w:t>
            </w:r>
          </w:p>
        </w:tc>
        <w:tc>
          <w:tcPr>
            <w:tcW w:w="4851" w:type="dxa"/>
            <w:shd w:val="clear" w:color="auto" w:fill="auto"/>
            <w:vAlign w:val="center"/>
          </w:tcPr>
          <w:p w14:paraId="29A243D1">
            <w:pPr>
              <w:spacing w:line="240" w:lineRule="auto"/>
              <w:jc w:val="left"/>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针对招标文件中“服务内容”的“</w:t>
            </w:r>
            <w:r>
              <w:rPr>
                <w:rFonts w:hint="eastAsia" w:ascii="仿宋" w:hAnsi="仿宋" w:eastAsia="仿宋" w:cs="仿宋"/>
                <w:bCs/>
                <w:color w:val="auto"/>
                <w:sz w:val="24"/>
                <w:szCs w:val="24"/>
                <w:highlight w:val="none"/>
                <w:lang w:eastAsia="zh-CN"/>
              </w:rPr>
              <w:t>其他服务要求</w:t>
            </w:r>
            <w:r>
              <w:rPr>
                <w:rFonts w:hint="eastAsia" w:ascii="仿宋" w:hAnsi="仿宋" w:eastAsia="仿宋" w:cs="仿宋"/>
                <w:bCs/>
                <w:color w:val="auto"/>
                <w:sz w:val="24"/>
                <w:szCs w:val="24"/>
                <w:highlight w:val="none"/>
              </w:rPr>
              <w:t>”的响应情况打分，每承诺满足一项得3分，共3项，共9分。</w:t>
            </w:r>
          </w:p>
        </w:tc>
        <w:tc>
          <w:tcPr>
            <w:tcW w:w="676" w:type="dxa"/>
            <w:shd w:val="clear" w:color="auto" w:fill="auto"/>
            <w:vAlign w:val="center"/>
          </w:tcPr>
          <w:p w14:paraId="0A7851AB">
            <w:pPr>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9</w:t>
            </w:r>
          </w:p>
        </w:tc>
        <w:tc>
          <w:tcPr>
            <w:tcW w:w="1643" w:type="dxa"/>
            <w:shd w:val="clear" w:color="auto" w:fill="auto"/>
            <w:vAlign w:val="center"/>
          </w:tcPr>
          <w:p w14:paraId="6B7BF814">
            <w:pPr>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客观分</w:t>
            </w:r>
          </w:p>
        </w:tc>
        <w:tc>
          <w:tcPr>
            <w:tcW w:w="1643" w:type="dxa"/>
            <w:vAlign w:val="center"/>
          </w:tcPr>
          <w:p w14:paraId="1DC59DA1">
            <w:pPr>
              <w:spacing w:line="240" w:lineRule="auto"/>
              <w:jc w:val="center"/>
              <w:outlineLvl w:val="0"/>
              <w:rPr>
                <w:rFonts w:hint="eastAsia" w:ascii="仿宋" w:hAnsi="仿宋" w:eastAsia="仿宋" w:cs="仿宋"/>
                <w:bCs/>
                <w:color w:val="auto"/>
                <w:sz w:val="24"/>
                <w:szCs w:val="24"/>
                <w:highlight w:val="none"/>
              </w:rPr>
            </w:pPr>
          </w:p>
        </w:tc>
      </w:tr>
      <w:tr w14:paraId="04A8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vAlign w:val="center"/>
          </w:tcPr>
          <w:p w14:paraId="34886C71">
            <w:pPr>
              <w:snapToGrid w:val="0"/>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w:t>
            </w:r>
          </w:p>
        </w:tc>
        <w:tc>
          <w:tcPr>
            <w:tcW w:w="4851" w:type="dxa"/>
            <w:shd w:val="clear" w:color="auto" w:fill="auto"/>
            <w:vAlign w:val="center"/>
          </w:tcPr>
          <w:p w14:paraId="7715055E">
            <w:pPr>
              <w:spacing w:line="240" w:lineRule="auto"/>
              <w:jc w:val="left"/>
              <w:outlineLvl w:val="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针对投标人针对招标文件中“人员要求”的响应情况打分</w:t>
            </w:r>
            <w:r>
              <w:rPr>
                <w:rFonts w:hint="eastAsia" w:ascii="仿宋" w:hAnsi="仿宋" w:eastAsia="仿宋" w:cs="仿宋"/>
                <w:bCs/>
                <w:color w:val="auto"/>
                <w:sz w:val="24"/>
                <w:szCs w:val="24"/>
                <w:highlight w:val="none"/>
                <w:lang w:eastAsia="zh-CN"/>
              </w:rPr>
              <w:t>。</w:t>
            </w:r>
          </w:p>
          <w:p w14:paraId="282A6275">
            <w:pPr>
              <w:spacing w:line="240" w:lineRule="auto"/>
              <w:jc w:val="left"/>
              <w:outlineLvl w:val="0"/>
              <w:rPr>
                <w:rFonts w:hint="eastAsia" w:ascii="仿宋" w:hAnsi="仿宋" w:eastAsia="仿宋" w:cs="仿宋"/>
                <w:bCs/>
                <w:color w:val="auto"/>
                <w:sz w:val="24"/>
                <w:szCs w:val="24"/>
                <w:highlight w:val="none"/>
                <w:lang w:val="en-US" w:eastAsia="zh-CN"/>
              </w:rPr>
            </w:pPr>
          </w:p>
        </w:tc>
        <w:tc>
          <w:tcPr>
            <w:tcW w:w="676" w:type="dxa"/>
            <w:shd w:val="clear" w:color="auto" w:fill="auto"/>
            <w:vAlign w:val="center"/>
          </w:tcPr>
          <w:p w14:paraId="3A760C72">
            <w:pPr>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643" w:type="dxa"/>
            <w:shd w:val="clear" w:color="auto" w:fill="auto"/>
            <w:vAlign w:val="center"/>
          </w:tcPr>
          <w:p w14:paraId="74B3EB4C">
            <w:pPr>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643" w:type="dxa"/>
            <w:vAlign w:val="center"/>
          </w:tcPr>
          <w:p w14:paraId="6CC8FDB2">
            <w:pPr>
              <w:spacing w:line="240" w:lineRule="auto"/>
              <w:jc w:val="center"/>
              <w:outlineLvl w:val="0"/>
              <w:rPr>
                <w:rFonts w:hint="eastAsia" w:ascii="仿宋" w:hAnsi="仿宋" w:eastAsia="仿宋" w:cs="仿宋"/>
                <w:bCs/>
                <w:color w:val="auto"/>
                <w:sz w:val="24"/>
                <w:szCs w:val="24"/>
                <w:highlight w:val="none"/>
              </w:rPr>
            </w:pPr>
          </w:p>
        </w:tc>
      </w:tr>
      <w:tr w14:paraId="4539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vAlign w:val="center"/>
          </w:tcPr>
          <w:p w14:paraId="6C932ABA">
            <w:pPr>
              <w:snapToGrid w:val="0"/>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6.1</w:t>
            </w:r>
          </w:p>
        </w:tc>
        <w:tc>
          <w:tcPr>
            <w:tcW w:w="4851" w:type="dxa"/>
            <w:shd w:val="clear" w:color="auto" w:fill="auto"/>
            <w:vAlign w:val="center"/>
          </w:tcPr>
          <w:p w14:paraId="1C620A7E">
            <w:pPr>
              <w:spacing w:line="240" w:lineRule="auto"/>
              <w:jc w:val="left"/>
              <w:outlineLvl w:val="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项目经理</w:t>
            </w:r>
            <w:r>
              <w:rPr>
                <w:rFonts w:hint="eastAsia" w:ascii="仿宋" w:hAnsi="仿宋" w:eastAsia="仿宋" w:cs="仿宋"/>
                <w:bCs/>
                <w:color w:val="auto"/>
                <w:sz w:val="24"/>
                <w:szCs w:val="24"/>
                <w:highlight w:val="none"/>
                <w:lang w:eastAsia="zh-CN"/>
              </w:rPr>
              <w:t>：承诺完全满足响应要求的，</w:t>
            </w:r>
            <w:r>
              <w:rPr>
                <w:rFonts w:hint="eastAsia" w:ascii="仿宋" w:hAnsi="仿宋" w:eastAsia="仿宋" w:cs="仿宋"/>
                <w:bCs/>
                <w:color w:val="auto"/>
                <w:sz w:val="24"/>
                <w:szCs w:val="24"/>
                <w:highlight w:val="none"/>
              </w:rPr>
              <w:t>得4分（提供相关证明）</w:t>
            </w:r>
          </w:p>
        </w:tc>
        <w:tc>
          <w:tcPr>
            <w:tcW w:w="676" w:type="dxa"/>
            <w:shd w:val="clear" w:color="auto" w:fill="auto"/>
            <w:vAlign w:val="center"/>
          </w:tcPr>
          <w:p w14:paraId="4FB2A1A3">
            <w:pPr>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p>
        </w:tc>
        <w:tc>
          <w:tcPr>
            <w:tcW w:w="1643" w:type="dxa"/>
            <w:shd w:val="clear" w:color="auto" w:fill="auto"/>
            <w:vAlign w:val="center"/>
          </w:tcPr>
          <w:p w14:paraId="159C3CB5">
            <w:pPr>
              <w:spacing w:line="24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客观分</w:t>
            </w:r>
          </w:p>
        </w:tc>
        <w:tc>
          <w:tcPr>
            <w:tcW w:w="1643" w:type="dxa"/>
            <w:vAlign w:val="center"/>
          </w:tcPr>
          <w:p w14:paraId="0CB87448">
            <w:pPr>
              <w:spacing w:line="240" w:lineRule="auto"/>
              <w:jc w:val="center"/>
              <w:outlineLvl w:val="0"/>
              <w:rPr>
                <w:rFonts w:hint="eastAsia" w:ascii="仿宋" w:hAnsi="仿宋" w:eastAsia="仿宋" w:cs="仿宋"/>
                <w:bCs/>
                <w:color w:val="auto"/>
                <w:sz w:val="24"/>
                <w:szCs w:val="24"/>
                <w:highlight w:val="none"/>
              </w:rPr>
            </w:pPr>
          </w:p>
        </w:tc>
      </w:tr>
      <w:tr w14:paraId="12FA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vAlign w:val="center"/>
          </w:tcPr>
          <w:p w14:paraId="730A1549">
            <w:pPr>
              <w:snapToGrid w:val="0"/>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6.2</w:t>
            </w:r>
          </w:p>
        </w:tc>
        <w:tc>
          <w:tcPr>
            <w:tcW w:w="4851" w:type="dxa"/>
            <w:shd w:val="clear" w:color="auto" w:fill="auto"/>
            <w:vAlign w:val="center"/>
          </w:tcPr>
          <w:p w14:paraId="432A0A20">
            <w:pPr>
              <w:spacing w:line="240" w:lineRule="auto"/>
              <w:jc w:val="left"/>
              <w:outlineLvl w:val="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技术团队：承诺满足一项的，得</w:t>
            </w:r>
            <w:r>
              <w:rPr>
                <w:rFonts w:hint="eastAsia" w:ascii="仿宋" w:hAnsi="仿宋" w:eastAsia="仿宋" w:cs="仿宋"/>
                <w:bCs/>
                <w:color w:val="auto"/>
                <w:sz w:val="24"/>
                <w:szCs w:val="24"/>
                <w:highlight w:val="none"/>
                <w:lang w:val="en-US" w:eastAsia="zh-CN"/>
              </w:rPr>
              <w:t>4分，最高8分</w:t>
            </w:r>
            <w:r>
              <w:rPr>
                <w:rFonts w:hint="eastAsia" w:ascii="仿宋" w:hAnsi="仿宋" w:eastAsia="仿宋" w:cs="仿宋"/>
                <w:bCs/>
                <w:color w:val="auto"/>
                <w:sz w:val="24"/>
                <w:szCs w:val="24"/>
                <w:highlight w:val="none"/>
              </w:rPr>
              <w:t>（提供相关证明）</w:t>
            </w:r>
          </w:p>
        </w:tc>
        <w:tc>
          <w:tcPr>
            <w:tcW w:w="676" w:type="dxa"/>
            <w:shd w:val="clear" w:color="auto" w:fill="auto"/>
            <w:vAlign w:val="center"/>
          </w:tcPr>
          <w:p w14:paraId="26129D38">
            <w:pPr>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w:t>
            </w:r>
          </w:p>
        </w:tc>
        <w:tc>
          <w:tcPr>
            <w:tcW w:w="1643" w:type="dxa"/>
            <w:shd w:val="clear" w:color="auto" w:fill="auto"/>
            <w:vAlign w:val="center"/>
          </w:tcPr>
          <w:p w14:paraId="4FC68C25">
            <w:pPr>
              <w:spacing w:line="24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客观分</w:t>
            </w:r>
          </w:p>
        </w:tc>
        <w:tc>
          <w:tcPr>
            <w:tcW w:w="1643" w:type="dxa"/>
            <w:vAlign w:val="center"/>
          </w:tcPr>
          <w:p w14:paraId="52E9B402">
            <w:pPr>
              <w:spacing w:line="240" w:lineRule="auto"/>
              <w:jc w:val="center"/>
              <w:outlineLvl w:val="0"/>
              <w:rPr>
                <w:rFonts w:hint="eastAsia" w:ascii="仿宋" w:hAnsi="仿宋" w:eastAsia="仿宋" w:cs="仿宋"/>
                <w:bCs/>
                <w:color w:val="auto"/>
                <w:sz w:val="24"/>
                <w:szCs w:val="24"/>
                <w:highlight w:val="none"/>
              </w:rPr>
            </w:pPr>
          </w:p>
        </w:tc>
      </w:tr>
      <w:tr w14:paraId="447F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vAlign w:val="center"/>
          </w:tcPr>
          <w:p w14:paraId="62619648">
            <w:pPr>
              <w:snapToGrid w:val="0"/>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w:t>
            </w:r>
          </w:p>
        </w:tc>
        <w:tc>
          <w:tcPr>
            <w:tcW w:w="4851" w:type="dxa"/>
            <w:shd w:val="clear" w:color="auto" w:fill="auto"/>
            <w:vAlign w:val="center"/>
          </w:tcPr>
          <w:p w14:paraId="61D9A4E5">
            <w:pPr>
              <w:spacing w:line="240" w:lineRule="auto"/>
              <w:jc w:val="left"/>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针对投标人针对招标文件中“</w:t>
            </w:r>
            <w:r>
              <w:rPr>
                <w:rFonts w:hint="eastAsia" w:ascii="仿宋" w:hAnsi="仿宋" w:eastAsia="仿宋" w:cs="仿宋"/>
                <w:bCs/>
                <w:color w:val="auto"/>
                <w:sz w:val="24"/>
                <w:szCs w:val="24"/>
                <w:highlight w:val="none"/>
                <w:lang w:eastAsia="zh-CN"/>
              </w:rPr>
              <w:t>管理实施要求</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对投标人的</w:t>
            </w:r>
            <w:r>
              <w:rPr>
                <w:rFonts w:hint="eastAsia" w:ascii="仿宋" w:hAnsi="仿宋" w:eastAsia="仿宋" w:cs="仿宋"/>
                <w:bCs/>
                <w:color w:val="auto"/>
                <w:sz w:val="24"/>
                <w:szCs w:val="24"/>
                <w:highlight w:val="none"/>
                <w:lang w:eastAsia="zh-CN"/>
              </w:rPr>
              <w:t>管理</w:t>
            </w:r>
            <w:r>
              <w:rPr>
                <w:rFonts w:hint="eastAsia" w:ascii="仿宋" w:hAnsi="仿宋" w:eastAsia="仿宋" w:cs="仿宋"/>
                <w:bCs/>
                <w:color w:val="auto"/>
                <w:sz w:val="24"/>
                <w:szCs w:val="24"/>
                <w:highlight w:val="none"/>
              </w:rPr>
              <w:t>要求”的响应情况打分，每承诺满足一项得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分，共4项，共</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分。</w:t>
            </w:r>
          </w:p>
        </w:tc>
        <w:tc>
          <w:tcPr>
            <w:tcW w:w="676" w:type="dxa"/>
            <w:shd w:val="clear" w:color="auto" w:fill="auto"/>
            <w:vAlign w:val="center"/>
          </w:tcPr>
          <w:p w14:paraId="1F5D1306">
            <w:pPr>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w:t>
            </w:r>
          </w:p>
        </w:tc>
        <w:tc>
          <w:tcPr>
            <w:tcW w:w="1643" w:type="dxa"/>
            <w:shd w:val="clear" w:color="auto" w:fill="auto"/>
            <w:vAlign w:val="center"/>
          </w:tcPr>
          <w:p w14:paraId="3F9EE973">
            <w:pPr>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客观分</w:t>
            </w:r>
          </w:p>
        </w:tc>
        <w:tc>
          <w:tcPr>
            <w:tcW w:w="1643" w:type="dxa"/>
            <w:vAlign w:val="center"/>
          </w:tcPr>
          <w:p w14:paraId="3DE7F891">
            <w:pPr>
              <w:spacing w:line="240" w:lineRule="auto"/>
              <w:jc w:val="center"/>
              <w:outlineLvl w:val="0"/>
              <w:rPr>
                <w:rFonts w:hint="eastAsia" w:ascii="仿宋" w:hAnsi="仿宋" w:eastAsia="仿宋" w:cs="仿宋"/>
                <w:bCs/>
                <w:color w:val="auto"/>
                <w:sz w:val="24"/>
                <w:szCs w:val="24"/>
                <w:highlight w:val="none"/>
              </w:rPr>
            </w:pPr>
          </w:p>
        </w:tc>
      </w:tr>
      <w:tr w14:paraId="7D2D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vAlign w:val="center"/>
          </w:tcPr>
          <w:p w14:paraId="44657234">
            <w:pPr>
              <w:snapToGrid w:val="0"/>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w:t>
            </w:r>
          </w:p>
        </w:tc>
        <w:tc>
          <w:tcPr>
            <w:tcW w:w="4851" w:type="dxa"/>
            <w:shd w:val="clear" w:color="auto" w:fill="auto"/>
            <w:vAlign w:val="center"/>
          </w:tcPr>
          <w:p w14:paraId="12E844BE">
            <w:pPr>
              <w:spacing w:line="240" w:lineRule="auto"/>
              <w:jc w:val="left"/>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针对投标人针对招标文件中“</w:t>
            </w:r>
            <w:r>
              <w:rPr>
                <w:rFonts w:hint="eastAsia" w:ascii="仿宋" w:hAnsi="仿宋" w:eastAsia="仿宋" w:cs="仿宋"/>
                <w:bCs/>
                <w:color w:val="auto"/>
                <w:sz w:val="24"/>
                <w:szCs w:val="24"/>
                <w:highlight w:val="none"/>
                <w:lang w:eastAsia="zh-CN"/>
              </w:rPr>
              <w:t>管理实施要求</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lang w:eastAsia="zh-CN"/>
              </w:rPr>
              <w:t>对人员的管理要求</w:t>
            </w:r>
            <w:r>
              <w:rPr>
                <w:rFonts w:hint="eastAsia" w:ascii="仿宋" w:hAnsi="仿宋" w:eastAsia="仿宋" w:cs="仿宋"/>
                <w:bCs/>
                <w:color w:val="auto"/>
                <w:sz w:val="24"/>
                <w:szCs w:val="24"/>
                <w:highlight w:val="none"/>
              </w:rPr>
              <w:t>”的响应情况打分，每承诺满足一项得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分，共</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项，共</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分。</w:t>
            </w:r>
          </w:p>
        </w:tc>
        <w:tc>
          <w:tcPr>
            <w:tcW w:w="676" w:type="dxa"/>
            <w:shd w:val="clear" w:color="auto" w:fill="auto"/>
            <w:vAlign w:val="center"/>
          </w:tcPr>
          <w:p w14:paraId="6D9DF84C">
            <w:pPr>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w:t>
            </w:r>
          </w:p>
        </w:tc>
        <w:tc>
          <w:tcPr>
            <w:tcW w:w="1643" w:type="dxa"/>
            <w:shd w:val="clear" w:color="auto" w:fill="auto"/>
            <w:vAlign w:val="center"/>
          </w:tcPr>
          <w:p w14:paraId="77F508FF">
            <w:pPr>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客观分</w:t>
            </w:r>
          </w:p>
        </w:tc>
        <w:tc>
          <w:tcPr>
            <w:tcW w:w="1643" w:type="dxa"/>
            <w:vAlign w:val="center"/>
          </w:tcPr>
          <w:p w14:paraId="3A427068">
            <w:pPr>
              <w:spacing w:line="240" w:lineRule="auto"/>
              <w:jc w:val="center"/>
              <w:outlineLvl w:val="0"/>
              <w:rPr>
                <w:rFonts w:hint="eastAsia" w:ascii="仿宋" w:hAnsi="仿宋" w:eastAsia="仿宋" w:cs="仿宋"/>
                <w:bCs/>
                <w:color w:val="auto"/>
                <w:sz w:val="24"/>
                <w:szCs w:val="24"/>
                <w:highlight w:val="none"/>
              </w:rPr>
            </w:pPr>
          </w:p>
        </w:tc>
      </w:tr>
      <w:tr w14:paraId="14A9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vAlign w:val="center"/>
          </w:tcPr>
          <w:p w14:paraId="7DA3C50D">
            <w:pPr>
              <w:snapToGrid w:val="0"/>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w:t>
            </w:r>
          </w:p>
        </w:tc>
        <w:tc>
          <w:tcPr>
            <w:tcW w:w="4851" w:type="dxa"/>
            <w:shd w:val="clear" w:color="auto" w:fill="auto"/>
            <w:vAlign w:val="center"/>
          </w:tcPr>
          <w:p w14:paraId="5AC56E8B">
            <w:pPr>
              <w:spacing w:line="240" w:lineRule="auto"/>
              <w:jc w:val="left"/>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根据投标人针对招标文件中“服务质量考核”的响应情况打分，承诺完全同意服务质量考核要求的，得5分，不同意的得0分。</w:t>
            </w:r>
          </w:p>
        </w:tc>
        <w:tc>
          <w:tcPr>
            <w:tcW w:w="676" w:type="dxa"/>
            <w:shd w:val="clear" w:color="auto" w:fill="auto"/>
            <w:vAlign w:val="center"/>
          </w:tcPr>
          <w:p w14:paraId="666F93F0">
            <w:pPr>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5</w:t>
            </w:r>
          </w:p>
        </w:tc>
        <w:tc>
          <w:tcPr>
            <w:tcW w:w="1643" w:type="dxa"/>
            <w:shd w:val="clear" w:color="auto" w:fill="auto"/>
            <w:vAlign w:val="center"/>
          </w:tcPr>
          <w:p w14:paraId="7FD97526">
            <w:pPr>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客观分</w:t>
            </w:r>
          </w:p>
        </w:tc>
        <w:tc>
          <w:tcPr>
            <w:tcW w:w="1643" w:type="dxa"/>
            <w:vAlign w:val="center"/>
          </w:tcPr>
          <w:p w14:paraId="4E8930FE">
            <w:pPr>
              <w:spacing w:line="240" w:lineRule="auto"/>
              <w:jc w:val="center"/>
              <w:outlineLvl w:val="0"/>
              <w:rPr>
                <w:rFonts w:hint="eastAsia" w:ascii="仿宋" w:hAnsi="仿宋" w:eastAsia="仿宋" w:cs="仿宋"/>
                <w:bCs/>
                <w:color w:val="auto"/>
                <w:sz w:val="24"/>
                <w:szCs w:val="24"/>
                <w:highlight w:val="none"/>
              </w:rPr>
            </w:pPr>
          </w:p>
        </w:tc>
      </w:tr>
      <w:tr w14:paraId="098A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vAlign w:val="center"/>
          </w:tcPr>
          <w:p w14:paraId="19B5E40C">
            <w:pPr>
              <w:snapToGrid w:val="0"/>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w:t>
            </w:r>
          </w:p>
        </w:tc>
        <w:tc>
          <w:tcPr>
            <w:tcW w:w="4851" w:type="dxa"/>
            <w:shd w:val="clear" w:color="auto" w:fill="auto"/>
            <w:vAlign w:val="center"/>
          </w:tcPr>
          <w:p w14:paraId="7D1B17D0">
            <w:pPr>
              <w:spacing w:line="240" w:lineRule="auto"/>
              <w:jc w:val="left"/>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针对投标文件中的“项目维护计划”的响应情况进行打分，每承诺一项要求的，得3分，最高6分。</w:t>
            </w:r>
          </w:p>
        </w:tc>
        <w:tc>
          <w:tcPr>
            <w:tcW w:w="676" w:type="dxa"/>
            <w:shd w:val="clear" w:color="auto" w:fill="auto"/>
            <w:vAlign w:val="center"/>
          </w:tcPr>
          <w:p w14:paraId="7DC8BD02">
            <w:pPr>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6</w:t>
            </w:r>
          </w:p>
        </w:tc>
        <w:tc>
          <w:tcPr>
            <w:tcW w:w="1643" w:type="dxa"/>
            <w:shd w:val="clear" w:color="auto" w:fill="auto"/>
            <w:vAlign w:val="center"/>
          </w:tcPr>
          <w:p w14:paraId="47CE3453">
            <w:pPr>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客观分</w:t>
            </w:r>
          </w:p>
        </w:tc>
        <w:tc>
          <w:tcPr>
            <w:tcW w:w="1643" w:type="dxa"/>
            <w:vAlign w:val="center"/>
          </w:tcPr>
          <w:p w14:paraId="02FC4E32">
            <w:pPr>
              <w:spacing w:line="240" w:lineRule="auto"/>
              <w:jc w:val="center"/>
              <w:outlineLvl w:val="0"/>
              <w:rPr>
                <w:rFonts w:hint="eastAsia" w:ascii="仿宋" w:hAnsi="仿宋" w:eastAsia="仿宋" w:cs="仿宋"/>
                <w:bCs/>
                <w:color w:val="auto"/>
                <w:sz w:val="24"/>
                <w:szCs w:val="24"/>
                <w:highlight w:val="none"/>
              </w:rPr>
            </w:pPr>
          </w:p>
        </w:tc>
      </w:tr>
      <w:tr w14:paraId="4BC4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vAlign w:val="center"/>
          </w:tcPr>
          <w:p w14:paraId="2D4E4E32">
            <w:pPr>
              <w:snapToGrid w:val="0"/>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w:t>
            </w:r>
          </w:p>
        </w:tc>
        <w:tc>
          <w:tcPr>
            <w:tcW w:w="4851" w:type="dxa"/>
            <w:shd w:val="clear" w:color="auto" w:fill="auto"/>
            <w:vAlign w:val="top"/>
          </w:tcPr>
          <w:p w14:paraId="6B26B97A">
            <w:pPr>
              <w:spacing w:line="240" w:lineRule="auto"/>
              <w:jc w:val="left"/>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针对投标文件中的“响应情况”的响应情况进行打分，每承诺一项要求的，得3分，最高6分。</w:t>
            </w:r>
          </w:p>
        </w:tc>
        <w:tc>
          <w:tcPr>
            <w:tcW w:w="676" w:type="dxa"/>
            <w:shd w:val="clear" w:color="auto" w:fill="auto"/>
            <w:vAlign w:val="center"/>
          </w:tcPr>
          <w:p w14:paraId="61D56514">
            <w:pPr>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6</w:t>
            </w:r>
          </w:p>
        </w:tc>
        <w:tc>
          <w:tcPr>
            <w:tcW w:w="1643" w:type="dxa"/>
            <w:shd w:val="clear" w:color="auto" w:fill="auto"/>
            <w:vAlign w:val="center"/>
          </w:tcPr>
          <w:p w14:paraId="07BF31B4">
            <w:pPr>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客观分</w:t>
            </w:r>
          </w:p>
        </w:tc>
        <w:tc>
          <w:tcPr>
            <w:tcW w:w="1643" w:type="dxa"/>
            <w:vAlign w:val="center"/>
          </w:tcPr>
          <w:p w14:paraId="00C1D665">
            <w:pPr>
              <w:spacing w:line="240" w:lineRule="auto"/>
              <w:jc w:val="center"/>
              <w:outlineLvl w:val="0"/>
              <w:rPr>
                <w:rFonts w:hint="eastAsia" w:ascii="仿宋" w:hAnsi="仿宋" w:eastAsia="仿宋" w:cs="仿宋"/>
                <w:bCs/>
                <w:color w:val="auto"/>
                <w:sz w:val="24"/>
                <w:szCs w:val="24"/>
                <w:highlight w:val="none"/>
              </w:rPr>
            </w:pPr>
          </w:p>
        </w:tc>
      </w:tr>
      <w:tr w14:paraId="38A8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vAlign w:val="center"/>
          </w:tcPr>
          <w:p w14:paraId="21DE72C0">
            <w:pPr>
              <w:snapToGrid w:val="0"/>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12</w:t>
            </w:r>
          </w:p>
        </w:tc>
        <w:tc>
          <w:tcPr>
            <w:tcW w:w="4851" w:type="dxa"/>
            <w:shd w:val="clear" w:color="auto" w:fill="auto"/>
            <w:vAlign w:val="center"/>
          </w:tcPr>
          <w:p w14:paraId="6D23F446">
            <w:pPr>
              <w:spacing w:line="240" w:lineRule="auto"/>
              <w:jc w:val="left"/>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针对投标文件中的“技术培训”的可行性、合理性及完整性等内容打分，满分</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w:t>
            </w:r>
          </w:p>
          <w:p w14:paraId="07A89CA7">
            <w:pPr>
              <w:spacing w:line="240" w:lineRule="auto"/>
              <w:jc w:val="left"/>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培训方案内容完整，计划合理，完全满足需求，得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分；内容基本完整，计划较合理，有少量瑕疵的，得</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措施不给力、</w:t>
            </w:r>
            <w:r>
              <w:rPr>
                <w:rFonts w:hint="eastAsia" w:ascii="仿宋" w:hAnsi="仿宋" w:eastAsia="仿宋" w:cs="仿宋"/>
                <w:bCs/>
                <w:color w:val="auto"/>
                <w:sz w:val="24"/>
                <w:szCs w:val="24"/>
                <w:highlight w:val="none"/>
              </w:rPr>
              <w:t>内容不完整的得1分；仅复制采购文件要求未提供方案的，得0分。</w:t>
            </w:r>
          </w:p>
        </w:tc>
        <w:tc>
          <w:tcPr>
            <w:tcW w:w="676" w:type="dxa"/>
            <w:shd w:val="clear" w:color="auto" w:fill="auto"/>
            <w:vAlign w:val="center"/>
          </w:tcPr>
          <w:p w14:paraId="692198D3">
            <w:pPr>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1643" w:type="dxa"/>
            <w:shd w:val="clear" w:color="auto" w:fill="auto"/>
            <w:vAlign w:val="center"/>
          </w:tcPr>
          <w:p w14:paraId="72A856D8">
            <w:pPr>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主</w:t>
            </w:r>
            <w:r>
              <w:rPr>
                <w:rFonts w:hint="eastAsia" w:ascii="仿宋" w:hAnsi="仿宋" w:eastAsia="仿宋" w:cs="仿宋"/>
                <w:bCs/>
                <w:color w:val="auto"/>
                <w:sz w:val="24"/>
                <w:szCs w:val="24"/>
                <w:highlight w:val="none"/>
              </w:rPr>
              <w:t>观分</w:t>
            </w:r>
          </w:p>
        </w:tc>
        <w:tc>
          <w:tcPr>
            <w:tcW w:w="1643" w:type="dxa"/>
            <w:vAlign w:val="center"/>
          </w:tcPr>
          <w:p w14:paraId="66215334">
            <w:pPr>
              <w:spacing w:line="240" w:lineRule="auto"/>
              <w:jc w:val="center"/>
              <w:outlineLvl w:val="0"/>
              <w:rPr>
                <w:rFonts w:hint="eastAsia" w:ascii="仿宋" w:hAnsi="仿宋" w:eastAsia="仿宋" w:cs="仿宋"/>
                <w:bCs/>
                <w:color w:val="auto"/>
                <w:sz w:val="24"/>
                <w:szCs w:val="24"/>
                <w:highlight w:val="none"/>
              </w:rPr>
            </w:pPr>
          </w:p>
        </w:tc>
      </w:tr>
      <w:tr w14:paraId="1603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vAlign w:val="center"/>
          </w:tcPr>
          <w:p w14:paraId="780BDA0F">
            <w:pPr>
              <w:snapToGrid w:val="0"/>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13</w:t>
            </w:r>
          </w:p>
        </w:tc>
        <w:tc>
          <w:tcPr>
            <w:tcW w:w="4851" w:type="dxa"/>
            <w:shd w:val="clear" w:color="auto" w:fill="auto"/>
            <w:vAlign w:val="center"/>
          </w:tcPr>
          <w:p w14:paraId="52B14ACD">
            <w:pPr>
              <w:spacing w:line="240" w:lineRule="auto"/>
              <w:jc w:val="left"/>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 xml:space="preserve">针对招标文件中“项目验收”的响应情况打分。投标人对项目履约及验收过程中的重点、难点进行分析并提出解决措施：重点、难点定位准确、分析全面合理、提出的措施得力，完全满足项目需求的得 </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分；重点、难点基本能够定位、提出措施解决部分问题，基本满足部门项目需求的得</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分；重点、难点定位不准确，分析不合理，措施不给力的得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分；未提供相关内容的，得0分</w:t>
            </w:r>
            <w:r>
              <w:rPr>
                <w:rFonts w:hint="eastAsia" w:ascii="仿宋" w:hAnsi="仿宋" w:eastAsia="仿宋" w:cs="仿宋"/>
                <w:bCs/>
                <w:color w:val="auto"/>
                <w:sz w:val="24"/>
                <w:szCs w:val="24"/>
                <w:highlight w:val="none"/>
                <w:lang w:eastAsia="zh-CN"/>
              </w:rPr>
              <w:t>。</w:t>
            </w:r>
          </w:p>
        </w:tc>
        <w:tc>
          <w:tcPr>
            <w:tcW w:w="676" w:type="dxa"/>
            <w:shd w:val="clear" w:color="auto" w:fill="auto"/>
            <w:vAlign w:val="center"/>
          </w:tcPr>
          <w:p w14:paraId="7D2BECED">
            <w:pPr>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1643" w:type="dxa"/>
            <w:shd w:val="clear" w:color="auto" w:fill="auto"/>
            <w:vAlign w:val="center"/>
          </w:tcPr>
          <w:p w14:paraId="3073EC2B">
            <w:pPr>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主观分</w:t>
            </w:r>
          </w:p>
        </w:tc>
        <w:tc>
          <w:tcPr>
            <w:tcW w:w="1643" w:type="dxa"/>
            <w:vAlign w:val="center"/>
          </w:tcPr>
          <w:p w14:paraId="2CE76629">
            <w:pPr>
              <w:spacing w:line="240" w:lineRule="auto"/>
              <w:jc w:val="center"/>
              <w:outlineLvl w:val="0"/>
              <w:rPr>
                <w:rFonts w:hint="eastAsia" w:ascii="仿宋" w:hAnsi="仿宋" w:eastAsia="仿宋" w:cs="仿宋"/>
                <w:bCs/>
                <w:color w:val="auto"/>
                <w:sz w:val="24"/>
                <w:szCs w:val="24"/>
                <w:highlight w:val="none"/>
              </w:rPr>
            </w:pPr>
          </w:p>
        </w:tc>
      </w:tr>
      <w:tr w14:paraId="742A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vAlign w:val="center"/>
          </w:tcPr>
          <w:p w14:paraId="770AF73D">
            <w:pPr>
              <w:snapToGrid w:val="0"/>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14</w:t>
            </w:r>
          </w:p>
        </w:tc>
        <w:tc>
          <w:tcPr>
            <w:tcW w:w="4851" w:type="dxa"/>
            <w:shd w:val="clear" w:color="auto" w:fill="auto"/>
            <w:vAlign w:val="center"/>
          </w:tcPr>
          <w:p w14:paraId="5B48AFC4">
            <w:pPr>
              <w:spacing w:line="240" w:lineRule="auto"/>
              <w:jc w:val="left"/>
              <w:outlineLvl w:val="0"/>
              <w:rPr>
                <w:rFonts w:hint="eastAsia" w:ascii="仿宋" w:hAnsi="仿宋" w:eastAsia="仿宋" w:cs="仿宋"/>
                <w:bCs/>
                <w:color w:val="auto"/>
                <w:sz w:val="24"/>
                <w:szCs w:val="24"/>
                <w:highlight w:val="none"/>
                <w:lang w:val="en-US" w:eastAsia="zh-CN"/>
              </w:rPr>
            </w:pPr>
            <w:r>
              <w:rPr>
                <w:rFonts w:hint="default" w:ascii="仿宋" w:hAnsi="仿宋" w:eastAsia="仿宋" w:cs="仿宋"/>
                <w:bCs/>
                <w:color w:val="auto"/>
                <w:sz w:val="24"/>
                <w:szCs w:val="24"/>
                <w:highlight w:val="none"/>
              </w:rPr>
              <w:t>投标人技术能力：投标人具有有效信息技术服务管理体系认证证书、信息安全管理体系证书</w:t>
            </w:r>
            <w:r>
              <w:rPr>
                <w:rFonts w:hint="eastAsia" w:ascii="仿宋" w:hAnsi="仿宋" w:eastAsia="仿宋" w:cs="仿宋"/>
                <w:bCs/>
                <w:color w:val="auto"/>
                <w:sz w:val="24"/>
                <w:szCs w:val="24"/>
                <w:highlight w:val="none"/>
                <w:lang w:eastAsia="zh-CN"/>
              </w:rPr>
              <w:t>、职业健康安全管理体系认证</w:t>
            </w:r>
            <w:r>
              <w:rPr>
                <w:rFonts w:hint="default" w:ascii="仿宋" w:hAnsi="仿宋" w:eastAsia="仿宋" w:cs="仿宋"/>
                <w:bCs/>
                <w:color w:val="auto"/>
                <w:sz w:val="24"/>
                <w:szCs w:val="24"/>
                <w:highlight w:val="none"/>
              </w:rPr>
              <w:t>（提供复印件）。每提供一个得1分，最多3分。</w:t>
            </w:r>
          </w:p>
        </w:tc>
        <w:tc>
          <w:tcPr>
            <w:tcW w:w="676" w:type="dxa"/>
            <w:shd w:val="clear" w:color="auto" w:fill="auto"/>
            <w:vAlign w:val="center"/>
          </w:tcPr>
          <w:p w14:paraId="1F40B3D5">
            <w:pPr>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3</w:t>
            </w:r>
          </w:p>
        </w:tc>
        <w:tc>
          <w:tcPr>
            <w:tcW w:w="1643" w:type="dxa"/>
            <w:shd w:val="clear" w:color="auto" w:fill="auto"/>
            <w:vAlign w:val="center"/>
          </w:tcPr>
          <w:p w14:paraId="1A703585">
            <w:pPr>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客观分</w:t>
            </w:r>
          </w:p>
        </w:tc>
        <w:tc>
          <w:tcPr>
            <w:tcW w:w="1643" w:type="dxa"/>
            <w:vAlign w:val="center"/>
          </w:tcPr>
          <w:p w14:paraId="0A97725A">
            <w:pPr>
              <w:spacing w:line="240" w:lineRule="auto"/>
              <w:jc w:val="center"/>
              <w:outlineLvl w:val="0"/>
              <w:rPr>
                <w:rFonts w:hint="eastAsia" w:ascii="仿宋" w:hAnsi="仿宋" w:eastAsia="仿宋" w:cs="仿宋"/>
                <w:bCs/>
                <w:color w:val="auto"/>
                <w:sz w:val="24"/>
                <w:szCs w:val="24"/>
                <w:highlight w:val="none"/>
              </w:rPr>
            </w:pPr>
          </w:p>
        </w:tc>
      </w:tr>
      <w:tr w14:paraId="7430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vAlign w:val="center"/>
          </w:tcPr>
          <w:p w14:paraId="5978FD36">
            <w:pPr>
              <w:snapToGrid w:val="0"/>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15</w:t>
            </w:r>
          </w:p>
        </w:tc>
        <w:tc>
          <w:tcPr>
            <w:tcW w:w="4851" w:type="dxa"/>
            <w:shd w:val="clear" w:color="auto" w:fill="auto"/>
            <w:vAlign w:val="top"/>
          </w:tcPr>
          <w:p w14:paraId="37D10AAE">
            <w:pPr>
              <w:spacing w:line="240" w:lineRule="auto"/>
              <w:jc w:val="left"/>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自2022年1月1日以来（以合同签订日期为准）投标人承担过类似人员驻场运维成功案例（项目内容至少包括机房巡检），并提供合同复印件。</w:t>
            </w:r>
            <w:r>
              <w:rPr>
                <w:rFonts w:hint="default" w:ascii="仿宋" w:hAnsi="仿宋" w:eastAsia="仿宋" w:cs="仿宋"/>
                <w:bCs/>
                <w:color w:val="auto"/>
                <w:sz w:val="24"/>
                <w:szCs w:val="24"/>
                <w:highlight w:val="none"/>
                <w:lang w:eastAsia="zh-CN"/>
              </w:rPr>
              <w:t>每项得0.5分，最高得1分。</w:t>
            </w:r>
          </w:p>
        </w:tc>
        <w:tc>
          <w:tcPr>
            <w:tcW w:w="676" w:type="dxa"/>
            <w:shd w:val="clear" w:color="auto" w:fill="auto"/>
            <w:vAlign w:val="center"/>
          </w:tcPr>
          <w:p w14:paraId="0F8797DC">
            <w:pPr>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1</w:t>
            </w:r>
          </w:p>
        </w:tc>
        <w:tc>
          <w:tcPr>
            <w:tcW w:w="1643" w:type="dxa"/>
            <w:shd w:val="clear" w:color="auto" w:fill="auto"/>
            <w:vAlign w:val="center"/>
          </w:tcPr>
          <w:p w14:paraId="18B14FE2">
            <w:pPr>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客观分</w:t>
            </w:r>
          </w:p>
        </w:tc>
        <w:tc>
          <w:tcPr>
            <w:tcW w:w="1643" w:type="dxa"/>
            <w:vAlign w:val="center"/>
          </w:tcPr>
          <w:p w14:paraId="2B79EAD3">
            <w:pPr>
              <w:spacing w:line="240" w:lineRule="auto"/>
              <w:jc w:val="center"/>
              <w:outlineLvl w:val="0"/>
              <w:rPr>
                <w:rFonts w:hint="eastAsia" w:ascii="仿宋" w:hAnsi="仿宋" w:eastAsia="仿宋" w:cs="仿宋"/>
                <w:bCs/>
                <w:color w:val="auto"/>
                <w:sz w:val="24"/>
                <w:szCs w:val="24"/>
                <w:highlight w:val="none"/>
              </w:rPr>
            </w:pPr>
          </w:p>
        </w:tc>
      </w:tr>
      <w:tr w14:paraId="7B88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998" w:type="dxa"/>
            <w:vAlign w:val="center"/>
          </w:tcPr>
          <w:p w14:paraId="7030B4D9">
            <w:pPr>
              <w:snapToGrid w:val="0"/>
              <w:spacing w:line="240" w:lineRule="auto"/>
              <w:jc w:val="center"/>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16</w:t>
            </w:r>
          </w:p>
        </w:tc>
        <w:tc>
          <w:tcPr>
            <w:tcW w:w="4851" w:type="dxa"/>
            <w:vAlign w:val="center"/>
          </w:tcPr>
          <w:p w14:paraId="22F9FDAF">
            <w:pPr>
              <w:spacing w:line="240" w:lineRule="auto"/>
              <w:jc w:val="left"/>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有效投标报价的最低价作为评标基准价，其最低报价为满分；按［投标报价得分=（评标基准价/投标报价）*权重］的计算公式计算。</w:t>
            </w:r>
          </w:p>
          <w:p w14:paraId="3F7F6ACB">
            <w:pPr>
              <w:snapToGrid w:val="0"/>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评标过程中，不得去掉报价中的最高报价和最低报价。</w:t>
            </w:r>
          </w:p>
          <w:p w14:paraId="4475B72F">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因落实政府采购政策需要进行价格调整的，以调整后的价格计算评标基准价和投标报价。</w:t>
            </w:r>
            <w:bookmarkStart w:id="434" w:name="_Toc8202"/>
          </w:p>
          <w:p w14:paraId="5895D251">
            <w:pPr>
              <w:pStyle w:val="24"/>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b/>
                <w:bCs/>
                <w:color w:val="auto"/>
                <w:sz w:val="24"/>
                <w:szCs w:val="24"/>
                <w:highlight w:val="none"/>
                <w:u w:val="single"/>
                <w:lang w:val="en-US" w:eastAsia="zh-CN"/>
              </w:rPr>
              <w:t xml:space="preserve">  15  </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4"/>
                <w:szCs w:val="24"/>
                <w:highlight w:val="none"/>
                <w:u w:val="single"/>
                <w:lang w:val="en-US" w:eastAsia="zh-CN"/>
              </w:rPr>
              <w:t xml:space="preserve"> 5 </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的扣除，用扣除后的价格参加评审。</w:t>
            </w:r>
            <w:bookmarkEnd w:id="434"/>
          </w:p>
        </w:tc>
        <w:tc>
          <w:tcPr>
            <w:tcW w:w="676" w:type="dxa"/>
            <w:vAlign w:val="center"/>
          </w:tcPr>
          <w:p w14:paraId="685A1C37">
            <w:pPr>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w:t>
            </w:r>
          </w:p>
        </w:tc>
        <w:tc>
          <w:tcPr>
            <w:tcW w:w="1643" w:type="dxa"/>
            <w:vAlign w:val="center"/>
          </w:tcPr>
          <w:p w14:paraId="18A05613">
            <w:pPr>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客观分</w:t>
            </w:r>
          </w:p>
        </w:tc>
        <w:tc>
          <w:tcPr>
            <w:tcW w:w="1643" w:type="dxa"/>
            <w:vAlign w:val="center"/>
          </w:tcPr>
          <w:p w14:paraId="5466E45D">
            <w:pPr>
              <w:spacing w:line="240" w:lineRule="auto"/>
              <w:jc w:val="center"/>
              <w:outlineLvl w:val="0"/>
              <w:rPr>
                <w:rFonts w:hint="eastAsia" w:ascii="仿宋" w:hAnsi="仿宋" w:eastAsia="仿宋" w:cs="仿宋"/>
                <w:bCs/>
                <w:color w:val="auto"/>
                <w:sz w:val="24"/>
                <w:szCs w:val="24"/>
                <w:highlight w:val="none"/>
              </w:rPr>
            </w:pPr>
          </w:p>
        </w:tc>
      </w:tr>
    </w:tbl>
    <w:p w14:paraId="4977F65F">
      <w:pPr>
        <w:snapToGrid w:val="0"/>
        <w:spacing w:line="360" w:lineRule="auto"/>
        <w:rPr>
          <w:rFonts w:ascii="仿宋_GB2312" w:hAnsi="仿宋" w:eastAsia="仿宋_GB2312" w:cs="仿宋_GB2312"/>
          <w:b/>
          <w:color w:val="auto"/>
          <w:sz w:val="32"/>
          <w:highlight w:val="none"/>
        </w:rPr>
      </w:pPr>
      <w:r>
        <w:rPr>
          <w:rFonts w:ascii="Arial" w:hAnsi="Arial" w:cs="Arial"/>
          <w:color w:val="auto"/>
          <w:szCs w:val="21"/>
          <w:highlight w:val="none"/>
          <w:shd w:val="clear" w:color="auto" w:fill="FFFFFF"/>
        </w:rPr>
        <w:t>*</w:t>
      </w:r>
      <w:r>
        <w:rPr>
          <w:rFonts w:hint="eastAsia" w:ascii="仿宋" w:hAnsi="仿宋" w:eastAsia="仿宋" w:cs="仿宋_GB2312"/>
          <w:b/>
          <w:color w:val="auto"/>
          <w:szCs w:val="21"/>
          <w:highlight w:val="none"/>
        </w:rPr>
        <w:t>备注：</w:t>
      </w:r>
      <w:r>
        <w:rPr>
          <w:rFonts w:hint="eastAsia" w:ascii="仿宋" w:hAnsi="仿宋" w:eastAsia="仿宋" w:cs="仿宋_GB2312"/>
          <w:color w:val="auto"/>
          <w:szCs w:val="21"/>
          <w:highlight w:val="none"/>
        </w:rPr>
        <w:t>投标人编制投标文件（商务技术文件部分）时，建议按此目录（序号和内容）提供评标标准相应的商务技术资料。</w:t>
      </w:r>
      <w:r>
        <w:rPr>
          <w:rFonts w:ascii="仿宋" w:hAnsi="仿宋" w:eastAsia="仿宋" w:cs="仿宋_GB2312"/>
          <w:color w:val="auto"/>
          <w:szCs w:val="21"/>
          <w:highlight w:val="none"/>
        </w:rPr>
        <w:t> </w:t>
      </w:r>
    </w:p>
    <w:p w14:paraId="4228B120">
      <w:pPr>
        <w:snapToGrid w:val="0"/>
        <w:spacing w:line="360" w:lineRule="auto"/>
        <w:rPr>
          <w:rFonts w:ascii="仿宋_GB2312" w:hAnsi="仿宋" w:eastAsia="仿宋_GB2312" w:cs="仿宋_GB2312"/>
          <w:b/>
          <w:color w:val="auto"/>
          <w:sz w:val="32"/>
          <w:highlight w:val="none"/>
        </w:rPr>
        <w:sectPr>
          <w:headerReference r:id="rId7" w:type="first"/>
          <w:footerReference r:id="rId9" w:type="first"/>
          <w:footerReference r:id="rId8" w:type="default"/>
          <w:pgSz w:w="11906" w:h="16838"/>
          <w:pgMar w:top="1276" w:right="1418" w:bottom="1247" w:left="1418" w:header="851" w:footer="992" w:gutter="0"/>
          <w:pgNumType w:fmt="decimal" w:start="1"/>
          <w:cols w:space="720" w:num="1"/>
          <w:titlePg/>
          <w:docGrid w:linePitch="312" w:charSpace="0"/>
        </w:sectPr>
      </w:pPr>
    </w:p>
    <w:p w14:paraId="65BF3C8E">
      <w:pP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14:paraId="6B8C566D">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7352E8F2">
      <w:pPr>
        <w:snapToGrid w:val="0"/>
        <w:spacing w:line="360" w:lineRule="auto"/>
        <w:rPr>
          <w:rFonts w:hint="eastAsia"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二、评标标准</w:t>
      </w:r>
    </w:p>
    <w:p w14:paraId="3675419B">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3D6876B6">
      <w:pPr>
        <w:snapToGrid w:val="0"/>
        <w:spacing w:line="360" w:lineRule="auto"/>
        <w:rPr>
          <w:rFonts w:hint="eastAsia"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三、评标程序</w:t>
      </w:r>
    </w:p>
    <w:p w14:paraId="569FB29C">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F06AC65">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53C75BA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5019327A">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0D1BDF46">
      <w:pPr>
        <w:pStyle w:val="366"/>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4FC7E1B5">
      <w:pPr>
        <w:pStyle w:val="366"/>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14:paraId="7BC41011">
      <w:pPr>
        <w:pStyle w:val="366"/>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14:paraId="3A1BDEA5">
      <w:pPr>
        <w:pStyle w:val="366"/>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14:paraId="4BEEDF92">
      <w:pPr>
        <w:pStyle w:val="366"/>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14:paraId="5878B38A">
      <w:pPr>
        <w:pStyle w:val="366"/>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14:paraId="2F6CAD1F">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14:paraId="045218B1">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14:paraId="3EB85DA2">
      <w:pPr>
        <w:pStyle w:val="366"/>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评标委员会认为投标人的报价明显低于其他通过符合性审查投标人的报价，有可能影响服务质量或者不能诚信履约的，应当要求其在合理的时间内提供书面说明，必要时提交相关证明材料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14:paraId="0858FECB">
      <w:pPr>
        <w:pStyle w:val="366"/>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s="Arial"/>
          <w:b/>
          <w:bCs/>
          <w:color w:val="auto"/>
          <w:kern w:val="0"/>
          <w:sz w:val="24"/>
          <w:highlight w:val="none"/>
          <w:lang w:val="en-US" w:eastAsia="zh-CN"/>
        </w:rPr>
        <w:t>15%</w:t>
      </w:r>
      <w:r>
        <w:rPr>
          <w:rFonts w:ascii="仿宋" w:hAnsi="仿宋" w:eastAsia="仿宋" w:cs="仿宋"/>
          <w:color w:val="auto"/>
          <w:kern w:val="0"/>
          <w:szCs w:val="24"/>
          <w:highlight w:val="none"/>
        </w:rPr>
        <w:t>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b/>
          <w:bCs/>
          <w:color w:val="auto"/>
          <w:kern w:val="0"/>
          <w:szCs w:val="24"/>
          <w:highlight w:val="none"/>
          <w:lang w:val="en-US" w:eastAsia="zh-CN"/>
        </w:rPr>
        <w:t>5</w:t>
      </w:r>
      <w:r>
        <w:rPr>
          <w:rFonts w:ascii="仿宋" w:hAnsi="仿宋" w:eastAsia="仿宋" w:cs="仿宋"/>
          <w:b/>
          <w:bCs/>
          <w:color w:val="auto"/>
          <w:kern w:val="0"/>
          <w:szCs w:val="24"/>
          <w:highlight w:val="none"/>
        </w:rPr>
        <w:t>%</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14:paraId="4F480967">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F5EA76">
      <w:pPr>
        <w:spacing w:line="360" w:lineRule="auto"/>
        <w:ind w:firstLine="42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CC13ACC">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C84D688">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4F390F4D">
      <w:pPr>
        <w:pStyle w:val="366"/>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C42399F">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14:paraId="66A32225">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4.2.1投标人不具备招标文件中规定的资格要求的（投标人未提供有效的资格文件的，视为投标人不具备招标文件中规定的资格要求）；</w:t>
      </w:r>
    </w:p>
    <w:p w14:paraId="385AFAD0">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4.2.2投标文件未按照招标文件要求签署、盖章的；</w:t>
      </w:r>
    </w:p>
    <w:p w14:paraId="0410510E">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26FDF94B">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4.2.4投标文件含有采购人不能接受的附加条件的；</w:t>
      </w:r>
    </w:p>
    <w:p w14:paraId="39432EAE">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4.2.5投标文件中承诺的投标有效期少于招标文件中载明的投标有效期的；</w:t>
      </w:r>
    </w:p>
    <w:p w14:paraId="62CA969C">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4.2.6投标文件出现不是唯一的、有选择性投标报价的;</w:t>
      </w:r>
    </w:p>
    <w:p w14:paraId="0C09ACD8">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4.2.7投标报价超过招标文件中规定的预算金额或者最高限价的;</w:t>
      </w:r>
    </w:p>
    <w:p w14:paraId="7B02CECB">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5AA4913">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4.2.9投标人对根据修正原则修正后的报价不确认的；</w:t>
      </w:r>
    </w:p>
    <w:p w14:paraId="6F0A4022">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4.2.10投标人提供虚假材料投标的；</w:t>
      </w:r>
    </w:p>
    <w:p w14:paraId="01B0BC82">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4.2.11投标人有恶意串通、妨碍其他投标人的竞争行为、损害采购人或者其他投标人的合法权益情形的；</w:t>
      </w:r>
    </w:p>
    <w:p w14:paraId="01AA381A">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4.2.12投标人仅提交备份投标文件，没有在电子交易平台传输递交投标文件的，投标无效；</w:t>
      </w:r>
    </w:p>
    <w:p w14:paraId="031C149B">
      <w:pPr>
        <w:spacing w:line="360" w:lineRule="auto"/>
        <w:ind w:firstLine="482" w:firstLineChars="200"/>
        <w:rPr>
          <w:rFonts w:hint="eastAsia" w:ascii="仿宋" w:hAnsi="仿宋" w:eastAsia="仿宋" w:cs="仿宋"/>
          <w:b/>
          <w:bCs/>
          <w:color w:val="auto"/>
          <w:kern w:val="0"/>
          <w:sz w:val="24"/>
          <w:highlight w:val="none"/>
          <w:lang w:val="en-US"/>
        </w:rPr>
      </w:pPr>
      <w:r>
        <w:rPr>
          <w:rFonts w:hint="eastAsia" w:ascii="仿宋" w:hAnsi="仿宋" w:eastAsia="仿宋" w:cs="仿宋"/>
          <w:b/>
          <w:bCs/>
          <w:color w:val="auto"/>
          <w:kern w:val="0"/>
          <w:sz w:val="24"/>
          <w:highlight w:val="none"/>
          <w:lang w:val="en-US"/>
        </w:rPr>
        <w:t>4.2.13 投标人IP、MAC、设备硬件信息一致的，相关投标人投标均无效；</w:t>
      </w:r>
    </w:p>
    <w:p w14:paraId="07C2B9B9">
      <w:pPr>
        <w:spacing w:line="360" w:lineRule="auto"/>
        <w:ind w:firstLine="482" w:firstLineChars="200"/>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4.2.14</w:t>
      </w:r>
      <w:r>
        <w:rPr>
          <w:rFonts w:hint="eastAsia" w:ascii="仿宋" w:hAnsi="仿宋" w:eastAsia="仿宋" w:cs="仿宋"/>
          <w:b/>
          <w:bCs/>
          <w:color w:val="auto"/>
          <w:kern w:val="0"/>
          <w:sz w:val="24"/>
          <w:highlight w:val="none"/>
          <w:lang w:val="en-US"/>
        </w:rPr>
        <w:t>投标人</w:t>
      </w:r>
      <w:r>
        <w:rPr>
          <w:rFonts w:hint="eastAsia" w:ascii="仿宋" w:hAnsi="仿宋" w:eastAsia="仿宋" w:cs="仿宋"/>
          <w:b/>
          <w:bCs/>
          <w:color w:val="auto"/>
          <w:kern w:val="0"/>
          <w:sz w:val="24"/>
          <w:highlight w:val="none"/>
          <w:lang w:val="en-US" w:eastAsia="zh-CN"/>
        </w:rPr>
        <w:t>商务、技术响应情况与实际不符的，投标无效；</w:t>
      </w:r>
    </w:p>
    <w:p w14:paraId="6FA64B20">
      <w:pPr>
        <w:spacing w:line="360" w:lineRule="auto"/>
        <w:ind w:firstLine="482" w:firstLineChars="200"/>
        <w:rPr>
          <w:rFonts w:hint="eastAsia" w:ascii="仿宋" w:hAnsi="仿宋" w:eastAsia="仿宋" w:cs="仿宋"/>
          <w:b/>
          <w:bCs/>
          <w:color w:val="auto"/>
          <w:kern w:val="0"/>
          <w:sz w:val="24"/>
          <w:highlight w:val="none"/>
          <w:lang w:val="en-US"/>
        </w:rPr>
      </w:pPr>
      <w:r>
        <w:rPr>
          <w:rFonts w:hint="eastAsia" w:ascii="仿宋" w:hAnsi="仿宋" w:eastAsia="仿宋" w:cs="仿宋"/>
          <w:b/>
          <w:bCs/>
          <w:color w:val="auto"/>
          <w:kern w:val="0"/>
          <w:sz w:val="24"/>
          <w:highlight w:val="none"/>
          <w:lang w:val="en-US" w:eastAsia="zh-CN"/>
        </w:rPr>
        <w:t>4.2.15</w:t>
      </w:r>
      <w:r>
        <w:rPr>
          <w:rFonts w:hint="eastAsia" w:ascii="仿宋" w:hAnsi="仿宋" w:eastAsia="仿宋" w:cs="仿宋"/>
          <w:b/>
          <w:bCs/>
          <w:color w:val="auto"/>
          <w:kern w:val="0"/>
          <w:sz w:val="24"/>
          <w:highlight w:val="none"/>
          <w:lang w:val="en-US"/>
        </w:rPr>
        <w:t>投标文件不满足招标文件的其它实质性要求的；</w:t>
      </w:r>
    </w:p>
    <w:p w14:paraId="3613217F">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w:t>
      </w:r>
      <w:r>
        <w:rPr>
          <w:rFonts w:hint="eastAsia" w:ascii="仿宋" w:hAnsi="仿宋" w:eastAsia="仿宋" w:cs="仿宋"/>
          <w:b/>
          <w:bCs/>
          <w:color w:val="auto"/>
          <w:kern w:val="0"/>
          <w:sz w:val="24"/>
          <w:highlight w:val="none"/>
          <w:lang w:val="en-US" w:eastAsia="zh-CN"/>
        </w:rPr>
        <w:t>6</w:t>
      </w:r>
      <w:r>
        <w:rPr>
          <w:rFonts w:hint="eastAsia" w:ascii="仿宋" w:hAnsi="仿宋" w:eastAsia="仿宋" w:cs="仿宋"/>
          <w:b/>
          <w:bCs/>
          <w:color w:val="auto"/>
          <w:kern w:val="0"/>
          <w:sz w:val="24"/>
          <w:highlight w:val="none"/>
        </w:rPr>
        <w:t>法律、法规、规章及省级以上规范性文件规定的其他无效情形。</w:t>
      </w:r>
    </w:p>
    <w:p w14:paraId="282263CB">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0D7CC196">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50E1C039">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3219E5B9">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6B781DE3">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2734227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7E96E5D8">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E1A6F89">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379C23B7">
      <w:pPr>
        <w:pStyle w:val="24"/>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14:paraId="4158CD1C">
      <w:pPr>
        <w:pStyle w:val="24"/>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0A68CE52">
      <w:pPr>
        <w:pStyle w:val="24"/>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14:paraId="651127BD">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425944C">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14:paraId="37A890EF">
      <w:pPr>
        <w:rPr>
          <w:rFonts w:hint="eastAsia" w:ascii="仿宋" w:hAnsi="仿宋" w:eastAsia="仿宋" w:cs="仿宋"/>
          <w:color w:val="auto"/>
          <w:highlight w:val="none"/>
        </w:rPr>
      </w:pPr>
      <w:r>
        <w:rPr>
          <w:rFonts w:hint="eastAsia" w:ascii="仿宋" w:hAnsi="仿宋" w:eastAsia="仿宋" w:cs="仿宋"/>
          <w:color w:val="auto"/>
          <w:highlight w:val="none"/>
        </w:rPr>
        <w:br w:type="page"/>
      </w:r>
    </w:p>
    <w:bookmarkEnd w:id="26"/>
    <w:p w14:paraId="415B073E">
      <w:pPr>
        <w:spacing w:line="360" w:lineRule="auto"/>
        <w:ind w:left="720" w:leftChars="343" w:firstLine="1084" w:firstLineChars="300"/>
        <w:outlineLvl w:val="0"/>
        <w:rPr>
          <w:rFonts w:ascii="仿宋_GB2312" w:hAnsi="仿宋" w:eastAsia="仿宋_GB2312" w:cs="仿宋_GB2312"/>
          <w:b/>
          <w:color w:val="auto"/>
          <w:sz w:val="36"/>
          <w:szCs w:val="36"/>
          <w:highlight w:val="none"/>
        </w:rPr>
      </w:pPr>
      <w:bookmarkStart w:id="435" w:name="第五部分"/>
      <w:bookmarkStart w:id="436" w:name="_Toc86217003"/>
    </w:p>
    <w:p w14:paraId="7F95D0DF">
      <w:pPr>
        <w:spacing w:line="360" w:lineRule="auto"/>
        <w:jc w:val="center"/>
        <w:outlineLvl w:val="0"/>
        <w:rPr>
          <w:rFonts w:ascii="仿宋" w:hAnsi="仿宋" w:eastAsia="仿宋"/>
          <w:b/>
          <w:color w:val="auto"/>
          <w:sz w:val="24"/>
          <w:highlight w:val="none"/>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合同条款</w:t>
      </w:r>
    </w:p>
    <w:p w14:paraId="598AB6E3">
      <w:pPr>
        <w:pStyle w:val="30"/>
        <w:jc w:val="center"/>
        <w:rPr>
          <w:rFonts w:hint="eastAsia" w:hAnsi="宋体" w:cs="宋体"/>
          <w:b/>
          <w:color w:val="auto"/>
          <w:sz w:val="96"/>
          <w:szCs w:val="96"/>
          <w:highlight w:val="none"/>
        </w:rPr>
      </w:pPr>
    </w:p>
    <w:p w14:paraId="142E8942">
      <w:pPr>
        <w:pStyle w:val="30"/>
        <w:keepNext w:val="0"/>
        <w:keepLines w:val="0"/>
        <w:pageBreakBefore w:val="0"/>
        <w:widowControl w:val="0"/>
        <w:kinsoku/>
        <w:wordWrap/>
        <w:overflowPunct/>
        <w:bidi w:val="0"/>
        <w:adjustRightInd/>
        <w:jc w:val="center"/>
        <w:textAlignment w:val="auto"/>
        <w:outlineLvl w:val="9"/>
        <w:rPr>
          <w:rFonts w:hint="eastAsia" w:ascii="华文中宋" w:hAnsi="华文中宋" w:eastAsia="华文中宋" w:cs="华文中宋"/>
          <w:b w:val="0"/>
          <w:bCs/>
          <w:color w:val="auto"/>
          <w:sz w:val="32"/>
          <w:szCs w:val="32"/>
          <w:highlight w:val="none"/>
        </w:rPr>
      </w:pPr>
      <w:r>
        <w:rPr>
          <w:rFonts w:hint="eastAsia" w:ascii="华文中宋" w:hAnsi="华文中宋" w:eastAsia="华文中宋" w:cs="华文中宋"/>
          <w:b w:val="0"/>
          <w:bCs/>
          <w:color w:val="auto"/>
          <w:sz w:val="32"/>
          <w:szCs w:val="32"/>
          <w:highlight w:val="none"/>
        </w:rPr>
        <w:t>合 同 书</w:t>
      </w:r>
    </w:p>
    <w:p w14:paraId="1513FABB">
      <w:pPr>
        <w:pStyle w:val="30"/>
        <w:keepNext w:val="0"/>
        <w:keepLines w:val="0"/>
        <w:pageBreakBefore w:val="0"/>
        <w:widowControl w:val="0"/>
        <w:kinsoku/>
        <w:wordWrap/>
        <w:overflowPunct/>
        <w:bidi w:val="0"/>
        <w:adjustRightInd/>
        <w:jc w:val="center"/>
        <w:textAlignment w:val="auto"/>
        <w:outlineLvl w:val="9"/>
        <w:rPr>
          <w:rFonts w:hint="eastAsia" w:ascii="华文中宋" w:hAnsi="华文中宋" w:eastAsia="华文中宋" w:cs="华文中宋"/>
          <w:b w:val="0"/>
          <w:bCs/>
          <w:color w:val="auto"/>
          <w:sz w:val="32"/>
          <w:szCs w:val="32"/>
          <w:highlight w:val="none"/>
        </w:rPr>
      </w:pPr>
    </w:p>
    <w:p w14:paraId="081AAEE5">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14:paraId="1C4558FF">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14:paraId="53F9B89E">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14:paraId="46EF60E1">
      <w:pPr>
        <w:keepNext w:val="0"/>
        <w:keepLines w:val="0"/>
        <w:pageBreakBefore w:val="0"/>
        <w:widowControl w:val="0"/>
        <w:tabs>
          <w:tab w:val="left" w:pos="540"/>
          <w:tab w:val="left" w:pos="1080"/>
          <w:tab w:val="left" w:pos="1440"/>
        </w:tabs>
        <w:kinsoku/>
        <w:wordWrap/>
        <w:overflowPunct/>
        <w:bidi w:val="0"/>
        <w:adjustRightInd/>
        <w:snapToGrid w:val="0"/>
        <w:ind w:left="1680" w:leftChars="800"/>
        <w:jc w:val="center"/>
        <w:textAlignment w:val="auto"/>
        <w:outlineLvl w:val="9"/>
        <w:rPr>
          <w:rFonts w:hint="eastAsia" w:ascii="宋体" w:hAnsi="宋体" w:cs="宋体"/>
          <w:color w:val="auto"/>
          <w:sz w:val="32"/>
          <w:szCs w:val="32"/>
          <w:highlight w:val="none"/>
        </w:rPr>
      </w:pPr>
    </w:p>
    <w:p w14:paraId="02B81FEA">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outlineLvl w:val="9"/>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rPr>
        <w:t>项目名称：</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14:paraId="44E0151D">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lang w:eastAsia="zh-CN"/>
        </w:rPr>
        <w:t>包</w:t>
      </w:r>
      <w:r>
        <w:rPr>
          <w:rFonts w:hint="eastAsia" w:ascii="方正小标宋简体" w:hAnsi="方正小标宋简体" w:eastAsia="方正小标宋简体" w:cs="方正小标宋简体"/>
          <w:b w:val="0"/>
          <w:bCs/>
          <w:color w:val="auto"/>
          <w:sz w:val="24"/>
          <w:szCs w:val="24"/>
          <w:highlight w:val="none"/>
          <w:lang w:val="en-US" w:eastAsia="zh-CN"/>
        </w:rPr>
        <w:t xml:space="preserve">    </w:t>
      </w:r>
      <w:r>
        <w:rPr>
          <w:rFonts w:hint="eastAsia" w:ascii="方正小标宋简体" w:hAnsi="方正小标宋简体" w:eastAsia="方正小标宋简体" w:cs="方正小标宋简体"/>
          <w:b w:val="0"/>
          <w:bCs/>
          <w:color w:val="auto"/>
          <w:sz w:val="24"/>
          <w:szCs w:val="24"/>
          <w:highlight w:val="none"/>
          <w:lang w:eastAsia="zh-CN"/>
        </w:rPr>
        <w:t>号：</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14:paraId="6E857F94">
      <w:pPr>
        <w:keepNext w:val="0"/>
        <w:keepLines w:val="0"/>
        <w:pageBreakBefore w:val="0"/>
        <w:widowControl w:val="0"/>
        <w:tabs>
          <w:tab w:val="left" w:pos="540"/>
          <w:tab w:val="left" w:pos="1080"/>
          <w:tab w:val="left" w:pos="1440"/>
        </w:tabs>
        <w:kinsoku/>
        <w:wordWrap/>
        <w:overflowPunct/>
        <w:bidi w:val="0"/>
        <w:adjustRightInd/>
        <w:snapToGrid w:val="0"/>
        <w:spacing w:line="360" w:lineRule="auto"/>
        <w:ind w:left="2100" w:leftChars="1000" w:firstLine="0" w:firstLineChars="0"/>
        <w:textAlignment w:val="auto"/>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rPr>
        <w:t>合同编号：</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lang w:val="en-US" w:eastAsia="zh-CN"/>
        </w:rPr>
        <w:t xml:space="preserve"> </w:t>
      </w:r>
    </w:p>
    <w:p w14:paraId="4BCA5F4C">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880" w:leftChars="800" w:hanging="1200" w:hangingChars="500"/>
        <w:textAlignment w:val="auto"/>
        <w:rPr>
          <w:rFonts w:hint="eastAsia" w:ascii="方正小标宋简体" w:hAnsi="方正小标宋简体" w:eastAsia="方正小标宋简体" w:cs="方正小标宋简体"/>
          <w:b w:val="0"/>
          <w:bCs/>
          <w:color w:val="auto"/>
          <w:sz w:val="24"/>
          <w:szCs w:val="24"/>
          <w:highlight w:val="none"/>
        </w:rPr>
      </w:pPr>
    </w:p>
    <w:p w14:paraId="23DA7997">
      <w:pPr>
        <w:pStyle w:val="30"/>
        <w:spacing w:line="460" w:lineRule="exact"/>
        <w:jc w:val="center"/>
        <w:rPr>
          <w:rFonts w:hint="eastAsia" w:ascii="方正小标宋简体" w:hAnsi="方正小标宋简体" w:eastAsia="方正小标宋简体" w:cs="方正小标宋简体"/>
          <w:b w:val="0"/>
          <w:bCs/>
          <w:color w:val="auto"/>
          <w:sz w:val="24"/>
          <w:szCs w:val="24"/>
          <w:highlight w:val="none"/>
        </w:rPr>
      </w:pPr>
    </w:p>
    <w:p w14:paraId="61F4E01C">
      <w:pPr>
        <w:pStyle w:val="30"/>
        <w:tabs>
          <w:tab w:val="left" w:pos="3045"/>
        </w:tabs>
        <w:spacing w:line="460" w:lineRule="exact"/>
        <w:rPr>
          <w:rFonts w:hint="eastAsia" w:ascii="方正小标宋简体" w:hAnsi="方正小标宋简体" w:eastAsia="方正小标宋简体" w:cs="方正小标宋简体"/>
          <w:b w:val="0"/>
          <w:bCs/>
          <w:color w:val="auto"/>
          <w:sz w:val="24"/>
          <w:szCs w:val="24"/>
          <w:highlight w:val="none"/>
        </w:rPr>
      </w:pPr>
      <w:r>
        <w:rPr>
          <w:rFonts w:hint="eastAsia" w:ascii="方正小标宋简体" w:hAnsi="方正小标宋简体" w:eastAsia="方正小标宋简体" w:cs="方正小标宋简体"/>
          <w:b w:val="0"/>
          <w:bCs/>
          <w:color w:val="auto"/>
          <w:sz w:val="24"/>
          <w:szCs w:val="24"/>
          <w:highlight w:val="none"/>
        </w:rPr>
        <w:tab/>
      </w:r>
    </w:p>
    <w:p w14:paraId="4FA4B2EA">
      <w:pPr>
        <w:pStyle w:val="30"/>
        <w:spacing w:line="460" w:lineRule="exact"/>
        <w:jc w:val="both"/>
        <w:rPr>
          <w:rFonts w:hint="eastAsia" w:ascii="方正小标宋简体" w:hAnsi="方正小标宋简体" w:eastAsia="方正小标宋简体" w:cs="方正小标宋简体"/>
          <w:b w:val="0"/>
          <w:bCs/>
          <w:color w:val="auto"/>
          <w:sz w:val="24"/>
          <w:szCs w:val="24"/>
          <w:highlight w:val="none"/>
        </w:rPr>
      </w:pPr>
    </w:p>
    <w:p w14:paraId="00817AB6">
      <w:pPr>
        <w:pStyle w:val="30"/>
        <w:spacing w:line="460" w:lineRule="exact"/>
        <w:jc w:val="center"/>
        <w:rPr>
          <w:rFonts w:hint="eastAsia" w:ascii="方正小标宋简体" w:hAnsi="方正小标宋简体" w:eastAsia="方正小标宋简体" w:cs="方正小标宋简体"/>
          <w:b w:val="0"/>
          <w:bCs/>
          <w:color w:val="auto"/>
          <w:sz w:val="24"/>
          <w:szCs w:val="24"/>
          <w:highlight w:val="none"/>
        </w:rPr>
      </w:pPr>
    </w:p>
    <w:p w14:paraId="5CBEBD57">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rPr>
          <w:rFonts w:hint="eastAsia" w:ascii="方正小标宋简体" w:hAnsi="方正小标宋简体" w:eastAsia="方正小标宋简体" w:cs="方正小标宋简体"/>
          <w:b w:val="0"/>
          <w:bCs/>
          <w:color w:val="auto"/>
          <w:sz w:val="24"/>
          <w:szCs w:val="24"/>
          <w:highlight w:val="none"/>
        </w:rPr>
      </w:pPr>
      <w:r>
        <w:rPr>
          <w:rFonts w:hint="eastAsia" w:ascii="方正小标宋简体" w:hAnsi="方正小标宋简体" w:eastAsia="方正小标宋简体" w:cs="方正小标宋简体"/>
          <w:b w:val="0"/>
          <w:bCs/>
          <w:color w:val="auto"/>
          <w:sz w:val="24"/>
          <w:szCs w:val="24"/>
          <w:highlight w:val="none"/>
        </w:rPr>
        <w:t xml:space="preserve">甲    方： </w:t>
      </w:r>
      <w:r>
        <w:rPr>
          <w:rFonts w:hint="eastAsia" w:ascii="方正小标宋简体" w:hAnsi="方正小标宋简体" w:eastAsia="方正小标宋简体" w:cs="方正小标宋简体"/>
          <w:b w:val="0"/>
          <w:bCs/>
          <w:color w:val="auto"/>
          <w:sz w:val="24"/>
          <w:szCs w:val="24"/>
          <w:highlight w:val="none"/>
          <w:u w:val="single"/>
        </w:rPr>
        <w:t>国家税务总局</w:t>
      </w:r>
      <w:r>
        <w:rPr>
          <w:rFonts w:hint="eastAsia" w:ascii="方正小标宋简体" w:hAnsi="方正小标宋简体" w:eastAsia="方正小标宋简体" w:cs="方正小标宋简体"/>
          <w:b w:val="0"/>
          <w:bCs/>
          <w:color w:val="auto"/>
          <w:sz w:val="24"/>
          <w:szCs w:val="24"/>
          <w:highlight w:val="none"/>
          <w:u w:val="single"/>
          <w:lang w:val="en-US" w:eastAsia="zh-CN"/>
        </w:rPr>
        <w:t>浙江省税务局</w:t>
      </w:r>
    </w:p>
    <w:p w14:paraId="18293A50">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outlineLvl w:val="9"/>
        <w:rPr>
          <w:rFonts w:hint="default" w:ascii="方正小标宋简体" w:hAnsi="方正小标宋简体" w:eastAsia="方正小标宋简体" w:cs="方正小标宋简体"/>
          <w:b w:val="0"/>
          <w:bCs/>
          <w:color w:val="auto"/>
          <w:sz w:val="24"/>
          <w:szCs w:val="24"/>
          <w:highlight w:val="none"/>
          <w:u w:val="single"/>
          <w:lang w:val="en-US" w:eastAsia="zh-CN"/>
        </w:rPr>
      </w:pPr>
      <w:r>
        <w:rPr>
          <w:rFonts w:hint="eastAsia" w:ascii="方正小标宋简体" w:hAnsi="方正小标宋简体" w:eastAsia="方正小标宋简体" w:cs="方正小标宋简体"/>
          <w:b w:val="0"/>
          <w:bCs/>
          <w:color w:val="auto"/>
          <w:sz w:val="24"/>
          <w:szCs w:val="24"/>
          <w:highlight w:val="none"/>
        </w:rPr>
        <w:t xml:space="preserve">乙    方：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14:paraId="2A1CABED">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outlineLvl w:val="9"/>
        <w:rPr>
          <w:rFonts w:hint="default" w:ascii="方正小标宋简体" w:hAnsi="方正小标宋简体" w:eastAsia="方正小标宋简体" w:cs="方正小标宋简体"/>
          <w:b w:val="0"/>
          <w:bCs/>
          <w:color w:val="auto"/>
          <w:sz w:val="24"/>
          <w:szCs w:val="24"/>
          <w:highlight w:val="none"/>
          <w:u w:val="single"/>
          <w:lang w:val="en-US" w:eastAsia="zh-CN"/>
        </w:rPr>
      </w:pPr>
      <w:r>
        <w:rPr>
          <w:rFonts w:hint="eastAsia" w:ascii="方正小标宋简体" w:hAnsi="方正小标宋简体" w:eastAsia="方正小标宋简体" w:cs="方正小标宋简体"/>
          <w:b w:val="0"/>
          <w:bCs/>
          <w:color w:val="auto"/>
          <w:sz w:val="24"/>
          <w:szCs w:val="24"/>
          <w:highlight w:val="none"/>
        </w:rPr>
        <w:t xml:space="preserve">日    期： </w:t>
      </w:r>
      <w:r>
        <w:rPr>
          <w:rFonts w:hint="eastAsia" w:ascii="方正小标宋简体" w:hAnsi="方正小标宋简体" w:eastAsia="方正小标宋简体" w:cs="方正小标宋简体"/>
          <w:b w:val="0"/>
          <w:bCs/>
          <w:color w:val="auto"/>
          <w:sz w:val="24"/>
          <w:szCs w:val="24"/>
          <w:highlight w:val="none"/>
          <w:u w:val="single"/>
        </w:rPr>
        <w:t xml:space="preserve">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rPr>
        <w:t>年</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rPr>
        <w:t xml:space="preserve">月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lang w:eastAsia="zh-CN"/>
        </w:rPr>
        <w:t>日</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14:paraId="114E6102">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9"/>
        <w:rPr>
          <w:rFonts w:hint="eastAsia" w:ascii="宋体" w:hAnsi="宋体" w:cs="宋体"/>
          <w:b/>
          <w:color w:val="auto"/>
          <w:sz w:val="24"/>
          <w:szCs w:val="24"/>
          <w:highlight w:val="none"/>
        </w:rPr>
      </w:pPr>
      <w:r>
        <w:rPr>
          <w:rFonts w:ascii="宋体" w:hAnsi="宋体" w:cs="宋体"/>
          <w:b/>
          <w:bCs/>
          <w:color w:val="auto"/>
          <w:sz w:val="28"/>
          <w:highlight w:val="none"/>
          <w:u w:val="single"/>
        </w:rPr>
        <w:br w:type="page"/>
      </w:r>
      <w:r>
        <w:rPr>
          <w:rFonts w:hint="eastAsia" w:ascii="宋体" w:hAnsi="宋体" w:cs="宋体"/>
          <w:b/>
          <w:color w:val="auto"/>
          <w:sz w:val="24"/>
          <w:szCs w:val="24"/>
          <w:highlight w:val="none"/>
        </w:rPr>
        <w:t>合同条款前附表</w:t>
      </w:r>
    </w:p>
    <w:tbl>
      <w:tblPr>
        <w:tblStyle w:val="55"/>
        <w:tblW w:w="8828"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909"/>
        <w:gridCol w:w="6264"/>
      </w:tblGrid>
      <w:tr w14:paraId="7416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464DABFD">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8173" w:type="dxa"/>
            <w:gridSpan w:val="2"/>
            <w:tcBorders>
              <w:top w:val="single" w:color="auto" w:sz="4" w:space="0"/>
              <w:left w:val="single" w:color="auto" w:sz="4" w:space="0"/>
              <w:bottom w:val="single" w:color="auto" w:sz="4" w:space="0"/>
              <w:right w:val="single" w:color="auto" w:sz="4" w:space="0"/>
            </w:tcBorders>
            <w:noWrap w:val="0"/>
            <w:vAlign w:val="center"/>
          </w:tcPr>
          <w:p w14:paraId="6040FEB9">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        容</w:t>
            </w:r>
          </w:p>
        </w:tc>
      </w:tr>
      <w:tr w14:paraId="5F2B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61DD9CA2">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370454BF">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合同名称</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68B7449F">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bCs/>
                <w:color w:val="auto"/>
                <w:sz w:val="21"/>
                <w:szCs w:val="21"/>
                <w:highlight w:val="none"/>
              </w:rPr>
            </w:pPr>
          </w:p>
        </w:tc>
      </w:tr>
      <w:tr w14:paraId="0D3A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121E534D">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44644D15">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合同编号</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68823B78">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cs="Times New Roman"/>
                <w:bCs/>
                <w:color w:val="auto"/>
                <w:sz w:val="21"/>
                <w:szCs w:val="21"/>
                <w:highlight w:val="none"/>
              </w:rPr>
            </w:pPr>
          </w:p>
        </w:tc>
      </w:tr>
      <w:tr w14:paraId="06BA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03186F78">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2DD59F76">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合同类型</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7E25343E">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eastAsia="zh-CN"/>
              </w:rPr>
              <w:t>货物</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eastAsia="zh-CN"/>
              </w:rPr>
              <w:t>服务</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eastAsia="zh-CN"/>
              </w:rPr>
              <w:t>工程</w:t>
            </w:r>
            <w:r>
              <w:rPr>
                <w:rFonts w:hint="eastAsia" w:ascii="Times New Roman" w:hAnsi="Times New Roman" w:cs="Times New Roman"/>
                <w:color w:val="auto"/>
                <w:sz w:val="21"/>
                <w:szCs w:val="21"/>
                <w:highlight w:val="none"/>
                <w:lang w:val="en-US" w:eastAsia="zh-CN"/>
              </w:rPr>
              <w:t xml:space="preserve"> </w:t>
            </w:r>
          </w:p>
        </w:tc>
      </w:tr>
      <w:tr w14:paraId="4F16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134CE2FC">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7971AD48">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定价方式</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48FE5973">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eastAsia="zh-CN"/>
              </w:rPr>
              <w:t>固定总价</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eastAsia="zh-CN"/>
              </w:rPr>
              <w:t>固定单价</w:t>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eastAsia="zh-CN"/>
              </w:rPr>
              <w:t>其他</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 xml:space="preserve"> </w:t>
            </w:r>
          </w:p>
        </w:tc>
      </w:tr>
      <w:tr w14:paraId="2F6A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noWrap w:val="0"/>
            <w:vAlign w:val="center"/>
          </w:tcPr>
          <w:p w14:paraId="206A0875">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5</w:t>
            </w:r>
          </w:p>
        </w:tc>
        <w:tc>
          <w:tcPr>
            <w:tcW w:w="1909" w:type="dxa"/>
            <w:tcBorders>
              <w:top w:val="single" w:color="auto" w:sz="4" w:space="0"/>
              <w:left w:val="single" w:color="auto" w:sz="4" w:space="0"/>
              <w:bottom w:val="single" w:color="auto" w:sz="6" w:space="0"/>
              <w:right w:val="single" w:color="auto" w:sz="6" w:space="0"/>
            </w:tcBorders>
            <w:noWrap w:val="0"/>
            <w:vAlign w:val="center"/>
          </w:tcPr>
          <w:p w14:paraId="1D30A92B">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甲方名称</w:t>
            </w:r>
          </w:p>
        </w:tc>
        <w:tc>
          <w:tcPr>
            <w:tcW w:w="6264" w:type="dxa"/>
            <w:tcBorders>
              <w:top w:val="single" w:color="auto" w:sz="4" w:space="0"/>
              <w:left w:val="single" w:color="auto" w:sz="6" w:space="0"/>
              <w:bottom w:val="single" w:color="auto" w:sz="6" w:space="0"/>
              <w:right w:val="single" w:color="auto" w:sz="4" w:space="0"/>
            </w:tcBorders>
            <w:noWrap w:val="0"/>
            <w:vAlign w:val="center"/>
          </w:tcPr>
          <w:p w14:paraId="65A708A2">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5BBD1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14:paraId="009CF24E">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6" w:space="0"/>
              <w:left w:val="single" w:color="auto" w:sz="4" w:space="0"/>
              <w:bottom w:val="single" w:color="auto" w:sz="6" w:space="0"/>
              <w:right w:val="single" w:color="auto" w:sz="6" w:space="0"/>
            </w:tcBorders>
            <w:noWrap w:val="0"/>
            <w:vAlign w:val="center"/>
          </w:tcPr>
          <w:p w14:paraId="7E399BC6">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甲方地址</w:t>
            </w:r>
          </w:p>
        </w:tc>
        <w:tc>
          <w:tcPr>
            <w:tcW w:w="6264" w:type="dxa"/>
            <w:tcBorders>
              <w:top w:val="single" w:color="auto" w:sz="6" w:space="0"/>
              <w:left w:val="single" w:color="auto" w:sz="6" w:space="0"/>
              <w:bottom w:val="single" w:color="auto" w:sz="6" w:space="0"/>
              <w:right w:val="single" w:color="auto" w:sz="4" w:space="0"/>
            </w:tcBorders>
            <w:noWrap w:val="0"/>
            <w:vAlign w:val="center"/>
          </w:tcPr>
          <w:p w14:paraId="73CD15D8">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0574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14:paraId="784137E3">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6" w:space="0"/>
              <w:left w:val="single" w:color="auto" w:sz="4" w:space="0"/>
              <w:bottom w:val="single" w:color="auto" w:sz="6" w:space="0"/>
              <w:right w:val="single" w:color="auto" w:sz="6" w:space="0"/>
            </w:tcBorders>
            <w:noWrap w:val="0"/>
            <w:vAlign w:val="center"/>
          </w:tcPr>
          <w:p w14:paraId="44B3E451">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联系人</w:t>
            </w:r>
          </w:p>
        </w:tc>
        <w:tc>
          <w:tcPr>
            <w:tcW w:w="6264" w:type="dxa"/>
            <w:tcBorders>
              <w:top w:val="single" w:color="auto" w:sz="6" w:space="0"/>
              <w:left w:val="single" w:color="auto" w:sz="6" w:space="0"/>
              <w:bottom w:val="single" w:color="auto" w:sz="6" w:space="0"/>
              <w:right w:val="single" w:color="auto" w:sz="4" w:space="0"/>
            </w:tcBorders>
            <w:noWrap w:val="0"/>
            <w:vAlign w:val="center"/>
          </w:tcPr>
          <w:p w14:paraId="6F14A5C3">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149A1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14:paraId="4327A207">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6" w:space="0"/>
              <w:left w:val="single" w:color="auto" w:sz="4" w:space="0"/>
              <w:bottom w:val="single" w:color="auto" w:sz="4" w:space="0"/>
              <w:right w:val="single" w:color="auto" w:sz="6" w:space="0"/>
            </w:tcBorders>
            <w:noWrap w:val="0"/>
            <w:vAlign w:val="center"/>
          </w:tcPr>
          <w:p w14:paraId="68865645">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6264" w:type="dxa"/>
            <w:tcBorders>
              <w:top w:val="single" w:color="auto" w:sz="6" w:space="0"/>
              <w:left w:val="single" w:color="auto" w:sz="6" w:space="0"/>
              <w:bottom w:val="single" w:color="auto" w:sz="4" w:space="0"/>
              <w:right w:val="single" w:color="auto" w:sz="4" w:space="0"/>
            </w:tcBorders>
            <w:noWrap w:val="0"/>
            <w:vAlign w:val="center"/>
          </w:tcPr>
          <w:p w14:paraId="4FD32D62">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2904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bottom w:val="single" w:color="auto" w:sz="4" w:space="0"/>
              <w:right w:val="single" w:color="auto" w:sz="4" w:space="0"/>
            </w:tcBorders>
            <w:noWrap w:val="0"/>
            <w:vAlign w:val="center"/>
          </w:tcPr>
          <w:p w14:paraId="5BCEA669">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6</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5CC492CF">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乙方名称</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136352E9">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217D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7C53BCCB">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783E9E7E">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乙方企业性质</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082B7D90">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中型企业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小型企业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微型企业    </w:t>
            </w:r>
          </w:p>
          <w:p w14:paraId="48D26BB9">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监狱企业</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残疾人福利性单位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其他</w:t>
            </w:r>
          </w:p>
        </w:tc>
      </w:tr>
      <w:tr w14:paraId="65B5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1CCDC989">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2F65F1D3">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乙方地址</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25B6CB0A">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val="en-US" w:eastAsia="zh-CN"/>
              </w:rPr>
            </w:pPr>
          </w:p>
        </w:tc>
      </w:tr>
      <w:tr w14:paraId="4A5A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0D496DAB">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49625F95">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乙方联系人</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55D014FA">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p>
        </w:tc>
      </w:tr>
      <w:tr w14:paraId="413B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45A5270B">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349F11A1">
            <w:pPr>
              <w:keepNext w:val="0"/>
              <w:keepLines w:val="0"/>
              <w:pageBreakBefore w:val="0"/>
              <w:tabs>
                <w:tab w:val="left" w:pos="700"/>
              </w:tabs>
              <w:kinsoku/>
              <w:wordWrap/>
              <w:overflowPunct/>
              <w:bidi w:val="0"/>
              <w:adjustRightInd w:val="0"/>
              <w:snapToGrid w:val="0"/>
              <w:spacing w:line="240" w:lineRule="auto"/>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联系电话</w:t>
            </w:r>
            <w:r>
              <w:rPr>
                <w:rFonts w:hint="eastAsia" w:ascii="Times New Roman" w:hAnsi="Times New Roman" w:cs="Times New Roman"/>
                <w:color w:val="auto"/>
                <w:sz w:val="21"/>
                <w:szCs w:val="21"/>
                <w:highlight w:val="none"/>
                <w:lang w:val="en-US" w:eastAsia="zh-CN"/>
              </w:rPr>
              <w:t>/传真</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507C19F9">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val="en-US" w:eastAsia="zh-CN"/>
              </w:rPr>
            </w:pPr>
          </w:p>
        </w:tc>
      </w:tr>
      <w:tr w14:paraId="7223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3C56DA39">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004A7D25">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开户银行名称</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039187D1">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0415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0ED5B46C">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5D0906CD">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银行账号</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0B0EF571">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0FAE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3B04D834">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7</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64DF6C21">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合同金额</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077D8926">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tc>
      </w:tr>
      <w:tr w14:paraId="6750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2D0E8D20">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8</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70930090">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服务内容</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68AC6EA0">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本合同服务内容为：</w:t>
            </w:r>
          </w:p>
          <w:p w14:paraId="2676E740">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14:paraId="2A1A0CC1">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14:paraId="0EECDAFE">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14:paraId="08B4FDD4">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14:paraId="1DF43887">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14:paraId="3D9711E6">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14:paraId="41F96BF8">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14:paraId="2B9A502C">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14:paraId="3C65C171">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3F552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56C5E0F5">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9</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13A393A9">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合同付款</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3A36CA4B">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合同以人民币结算，付款方式：</w:t>
            </w:r>
          </w:p>
          <w:p w14:paraId="57FD563E">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ind w:firstLine="420" w:firstLineChars="2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第一次付款：</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后</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个工作日内</w:t>
            </w: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凭</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支付乙方合同金额</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%的款项，即人民币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元整（¥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14:paraId="453CC5EE">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ind w:firstLine="420" w:firstLineChars="2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第二次付款：</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后</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个工作日内</w:t>
            </w: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凭</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支付乙方合同金额</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%的款项，即人民币</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元整（¥</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w:t>
            </w:r>
          </w:p>
          <w:p w14:paraId="7E87D243">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
              </w:rPr>
              <w:t>......</w:t>
            </w:r>
          </w:p>
          <w:p w14:paraId="5687C747">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p>
        </w:tc>
      </w:tr>
      <w:tr w14:paraId="2328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63A48FA4">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2D091D6B">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履约保证金及返还</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6A754912">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本</w:t>
            </w:r>
            <w:r>
              <w:rPr>
                <w:rFonts w:hint="default" w:ascii="Times New Roman" w:hAnsi="Times New Roman" w:cs="Times New Roman"/>
                <w:color w:val="auto"/>
                <w:sz w:val="21"/>
                <w:szCs w:val="21"/>
                <w:highlight w:val="none"/>
                <w:lang w:eastAsia="zh-CN"/>
              </w:rPr>
              <w:t>项目不要求提供履约保证金。</w:t>
            </w:r>
          </w:p>
          <w:p w14:paraId="5DE39925">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本项目要求提供履约保证金。履约保证金为合同</w:t>
            </w:r>
            <w:r>
              <w:rPr>
                <w:rFonts w:hint="default" w:ascii="Times New Roman" w:hAnsi="Times New Roman" w:cs="Times New Roman"/>
                <w:color w:val="auto"/>
                <w:sz w:val="21"/>
                <w:szCs w:val="21"/>
                <w:highlight w:val="none"/>
                <w:lang w:eastAsia="zh-CN"/>
              </w:rPr>
              <w:t>总</w:t>
            </w:r>
            <w:r>
              <w:rPr>
                <w:rFonts w:hint="default" w:ascii="Times New Roman" w:hAnsi="Times New Roman" w:cs="Times New Roman"/>
                <w:color w:val="auto"/>
                <w:sz w:val="21"/>
                <w:szCs w:val="21"/>
                <w:highlight w:val="none"/>
              </w:rPr>
              <w:t>金额</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%，即人民币</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none"/>
                <w:lang w:val="en" w:eastAsia="zh-CN"/>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乙方应在合同签订之日起 30 日内提交甲方。提交方式为银行电汇、金融机构或担保机构出具的保函。在合同履行期满，扣除应扣除的款项（如有）且双方无争议后，无息返还。</w:t>
            </w:r>
          </w:p>
          <w:p w14:paraId="756D5455">
            <w:pPr>
              <w:keepNext w:val="0"/>
              <w:keepLines w:val="0"/>
              <w:pageBreakBefore w:val="0"/>
              <w:tabs>
                <w:tab w:val="left" w:pos="70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办理返还履约保证金时，乙方应提供履约保证金返还申请（格式另附）、</w:t>
            </w:r>
            <w:r>
              <w:rPr>
                <w:rFonts w:hint="default" w:ascii="Times New Roman" w:hAnsi="Times New Roman" w:cs="Times New Roman"/>
                <w:color w:val="auto"/>
                <w:sz w:val="21"/>
                <w:szCs w:val="21"/>
                <w:highlight w:val="none"/>
                <w:lang w:eastAsia="zh-CN"/>
              </w:rPr>
              <w:t>合同或</w:t>
            </w:r>
            <w:r>
              <w:rPr>
                <w:rFonts w:hint="default" w:ascii="Times New Roman" w:hAnsi="Times New Roman" w:cs="Times New Roman"/>
                <w:color w:val="auto"/>
                <w:sz w:val="21"/>
                <w:szCs w:val="21"/>
                <w:highlight w:val="none"/>
              </w:rPr>
              <w:t>合同关键页复印件、合同约定的其他资料。涉及验收的，应同时提交甲方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出具的项目终验意见或</w:t>
            </w:r>
            <w:r>
              <w:rPr>
                <w:rFonts w:hint="default" w:ascii="Times New Roman" w:hAnsi="Times New Roman" w:cs="Times New Roman"/>
                <w:color w:val="auto"/>
                <w:sz w:val="21"/>
                <w:szCs w:val="21"/>
                <w:highlight w:val="none"/>
                <w:lang w:eastAsia="zh-CN"/>
              </w:rPr>
              <w:t>质量保证</w:t>
            </w:r>
            <w:r>
              <w:rPr>
                <w:rFonts w:hint="default" w:ascii="Times New Roman" w:hAnsi="Times New Roman" w:cs="Times New Roman"/>
                <w:color w:val="auto"/>
                <w:sz w:val="21"/>
                <w:szCs w:val="21"/>
                <w:highlight w:val="none"/>
              </w:rPr>
              <w:t>期（服务期）满验收意见。</w:t>
            </w:r>
          </w:p>
          <w:p w14:paraId="705EC891">
            <w:pPr>
              <w:keepNext w:val="0"/>
              <w:keepLines w:val="0"/>
              <w:pageBreakBefore w:val="0"/>
              <w:tabs>
                <w:tab w:val="left" w:pos="70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满足履约保证金返还条件的，甲方在收到返还相关信息等合同约定资料后，进行核实。对核实结果无异议的，自完成核实之日起30日内，以</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方式返还履约保证金</w:t>
            </w:r>
            <w:r>
              <w:rPr>
                <w:rFonts w:hint="default" w:ascii="Times New Roman" w:hAnsi="Times New Roman" w:cs="Times New Roman"/>
                <w:color w:val="auto"/>
                <w:sz w:val="21"/>
                <w:szCs w:val="21"/>
                <w:highlight w:val="none"/>
                <w:lang w:eastAsia="zh-CN"/>
              </w:rPr>
              <w:t>或退回保函</w:t>
            </w:r>
            <w:r>
              <w:rPr>
                <w:rFonts w:hint="default" w:ascii="Times New Roman" w:hAnsi="Times New Roman" w:cs="Times New Roman"/>
                <w:color w:val="auto"/>
                <w:sz w:val="21"/>
                <w:szCs w:val="21"/>
                <w:highlight w:val="none"/>
              </w:rPr>
              <w:t>。</w:t>
            </w:r>
          </w:p>
        </w:tc>
      </w:tr>
      <w:tr w14:paraId="5701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0237E061">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3409B465">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合同履行期限</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1F579D38">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自合同签订之日起至质量保障期</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服务期）满</w:t>
            </w:r>
            <w:r>
              <w:rPr>
                <w:rFonts w:hint="default" w:ascii="Times New Roman" w:hAnsi="Times New Roman" w:cs="Times New Roman"/>
                <w:color w:val="auto"/>
                <w:sz w:val="21"/>
                <w:szCs w:val="21"/>
                <w:highlight w:val="none"/>
                <w:lang w:eastAsia="zh-CN"/>
              </w:rPr>
              <w:t>验收合格</w:t>
            </w:r>
            <w:r>
              <w:rPr>
                <w:rFonts w:hint="default" w:ascii="Times New Roman" w:hAnsi="Times New Roman" w:cs="Times New Roman"/>
                <w:color w:val="auto"/>
                <w:sz w:val="21"/>
                <w:szCs w:val="21"/>
                <w:highlight w:val="none"/>
              </w:rPr>
              <w:t>之日止</w:t>
            </w:r>
          </w:p>
        </w:tc>
      </w:tr>
      <w:tr w14:paraId="4800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35A80365">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78B00242">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项目</w:t>
            </w:r>
            <w:r>
              <w:rPr>
                <w:rFonts w:hint="default" w:ascii="Times New Roman" w:hAnsi="Times New Roman" w:cs="Times New Roman"/>
                <w:color w:val="auto"/>
                <w:sz w:val="21"/>
                <w:szCs w:val="21"/>
                <w:highlight w:val="none"/>
              </w:rPr>
              <w:t>质量保障期</w:t>
            </w:r>
          </w:p>
          <w:p w14:paraId="097C4EB7">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 w:eastAsia="zh-CN"/>
              </w:rPr>
            </w:pPr>
            <w:r>
              <w:rPr>
                <w:rFonts w:hint="default" w:ascii="Times New Roman" w:hAnsi="Times New Roman" w:cs="Times New Roman"/>
                <w:color w:val="auto"/>
                <w:sz w:val="21"/>
                <w:szCs w:val="21"/>
                <w:highlight w:val="none"/>
                <w:lang w:eastAsia="zh-CN"/>
              </w:rPr>
              <w:t>（服务期）</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63C89F79">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2476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52B22890">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6F520870">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合同履约地点</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309D7FCD">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p>
        </w:tc>
      </w:tr>
      <w:tr w14:paraId="02F8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15F07F37">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14</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6F118845">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合同纠纷解决方式</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45CC8AD0">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甲乙双方应首先通过友好协商解决在执行本合同中所发生的或与本合同有关的一切争端。如从协商开始</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eastAsia="zh-CN"/>
              </w:rPr>
              <w:t>天内仍不能解决，可以选择以下途径之一解决纠纷：</w:t>
            </w:r>
          </w:p>
          <w:p w14:paraId="006764AD">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lang w:eastAsia="zh-CN"/>
              </w:rPr>
              <w:t>向甲方所在地仲裁委员会或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eastAsia="zh-CN"/>
              </w:rPr>
              <w:t>仲裁委员会申请仲裁</w:t>
            </w:r>
          </w:p>
          <w:p w14:paraId="1732C3C0">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lang w:eastAsia="zh-CN"/>
              </w:rPr>
              <w:t>向甲方所在地人民法院或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eastAsia="zh-CN"/>
              </w:rPr>
              <w:t>人民法院提起诉讼</w:t>
            </w:r>
          </w:p>
        </w:tc>
      </w:tr>
    </w:tbl>
    <w:p w14:paraId="2DD7E533">
      <w:pPr>
        <w:tabs>
          <w:tab w:val="left" w:pos="700"/>
        </w:tabs>
        <w:topLinePunct/>
        <w:autoSpaceDE w:val="0"/>
        <w:autoSpaceDN w:val="0"/>
        <w:spacing w:line="460" w:lineRule="exact"/>
        <w:rPr>
          <w:rFonts w:hint="eastAsia" w:ascii="宋体" w:hAnsi="宋体" w:cs="宋体"/>
          <w:b/>
          <w:color w:val="auto"/>
          <w:sz w:val="24"/>
          <w:highlight w:val="none"/>
        </w:rPr>
      </w:pPr>
      <w:r>
        <w:rPr>
          <w:rFonts w:hint="eastAsia" w:ascii="宋体" w:hAnsi="宋体" w:cs="宋体"/>
          <w:b/>
          <w:color w:val="auto"/>
          <w:sz w:val="28"/>
          <w:highlight w:val="none"/>
        </w:rPr>
        <w:br w:type="page"/>
      </w:r>
    </w:p>
    <w:p w14:paraId="066107B9">
      <w:pPr>
        <w:keepNext w:val="0"/>
        <w:keepLines w:val="0"/>
        <w:pageBreakBefore w:val="0"/>
        <w:widowControl w:val="0"/>
        <w:tabs>
          <w:tab w:val="left" w:pos="0"/>
        </w:tabs>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 xml:space="preserve">一   合  同 </w:t>
      </w:r>
    </w:p>
    <w:p w14:paraId="4FB2D421">
      <w:pPr>
        <w:tabs>
          <w:tab w:val="left" w:pos="540"/>
        </w:tabs>
        <w:topLinePunct/>
        <w:autoSpaceDE w:val="0"/>
        <w:autoSpaceDN w:val="0"/>
        <w:spacing w:line="460" w:lineRule="exact"/>
        <w:rPr>
          <w:rFonts w:hint="default" w:ascii="Times New Roman" w:hAnsi="Times New Roman" w:cs="Times New Roman"/>
          <w:b/>
          <w:color w:val="auto"/>
          <w:sz w:val="24"/>
          <w:highlight w:val="none"/>
        </w:rPr>
      </w:pPr>
    </w:p>
    <w:p w14:paraId="74AABE6F">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国家税务总局</w:t>
      </w:r>
      <w:r>
        <w:rPr>
          <w:rFonts w:hint="eastAsia" w:ascii="Times New Roman" w:hAnsi="Times New Roman" w:cs="Times New Roman"/>
          <w:color w:val="auto"/>
          <w:sz w:val="21"/>
          <w:szCs w:val="21"/>
          <w:highlight w:val="none"/>
          <w:lang w:eastAsia="zh-CN"/>
        </w:rPr>
        <w:t>浙江省税务局</w:t>
      </w:r>
      <w:r>
        <w:rPr>
          <w:rFonts w:hint="default" w:ascii="Times New Roman" w:hAnsi="Times New Roman" w:cs="Times New Roman"/>
          <w:color w:val="auto"/>
          <w:sz w:val="21"/>
          <w:szCs w:val="21"/>
          <w:highlight w:val="none"/>
        </w:rPr>
        <w:t>（以下简称“甲方”）通过</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式</w:t>
      </w:r>
      <w:r>
        <w:rPr>
          <w:rFonts w:hint="default" w:ascii="Times New Roman" w:hAnsi="Times New Roman" w:cs="Times New Roman"/>
          <w:color w:val="auto"/>
          <w:sz w:val="21"/>
          <w:szCs w:val="21"/>
          <w:highlight w:val="none"/>
        </w:rPr>
        <w:t>采购</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确定_</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_____公司（以下简称“乙方”）为《</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项目》</w:t>
      </w:r>
      <w:r>
        <w:rPr>
          <w:rFonts w:hint="default" w:ascii="Times New Roman" w:hAnsi="Times New Roman" w:cs="Times New Roman"/>
          <w:color w:val="auto"/>
          <w:sz w:val="21"/>
          <w:szCs w:val="21"/>
          <w:highlight w:val="none"/>
          <w:lang w:eastAsia="zh-CN"/>
        </w:rPr>
        <w:t>中标（成交）供应商</w:t>
      </w:r>
      <w:r>
        <w:rPr>
          <w:rFonts w:hint="default" w:ascii="Times New Roman" w:hAnsi="Times New Roman" w:cs="Times New Roman"/>
          <w:color w:val="auto"/>
          <w:sz w:val="21"/>
          <w:szCs w:val="21"/>
          <w:highlight w:val="none"/>
        </w:rPr>
        <w:t>。甲乙双方同意按照该项目</w:t>
      </w:r>
      <w:r>
        <w:rPr>
          <w:rFonts w:hint="default" w:ascii="Times New Roman" w:hAnsi="Times New Roman" w:cs="Times New Roman"/>
          <w:color w:val="auto"/>
          <w:sz w:val="21"/>
          <w:szCs w:val="21"/>
          <w:highlight w:val="none"/>
          <w:lang w:eastAsia="zh-CN"/>
        </w:rPr>
        <w:t>招标（采购）文件</w:t>
      </w:r>
      <w:r>
        <w:rPr>
          <w:rFonts w:hint="default" w:ascii="Times New Roman" w:hAnsi="Times New Roman" w:cs="Times New Roman"/>
          <w:color w:val="auto"/>
          <w:sz w:val="21"/>
          <w:szCs w:val="21"/>
          <w:highlight w:val="none"/>
        </w:rPr>
        <w:t>约定的内容，签署《</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合同书》（合同编号：</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，以下简称“合同”)。</w:t>
      </w:r>
    </w:p>
    <w:p w14:paraId="78679301">
      <w:pPr>
        <w:keepNext w:val="0"/>
        <w:keepLines w:val="0"/>
        <w:pageBreakBefore w:val="0"/>
        <w:widowControl w:val="0"/>
        <w:kinsoku/>
        <w:wordWrap/>
        <w:overflowPunct/>
        <w:topLinePunct/>
        <w:autoSpaceDE w:val="0"/>
        <w:autoSpaceDN w:val="0"/>
        <w:bidi w:val="0"/>
        <w:snapToGrid w:val="0"/>
        <w:spacing w:line="360" w:lineRule="auto"/>
        <w:ind w:left="48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 合同文件</w:t>
      </w:r>
    </w:p>
    <w:p w14:paraId="5BAF231F">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本合同所附下列文件是构成本合同不可分割的部分：</w:t>
      </w:r>
    </w:p>
    <w:p w14:paraId="792FEDD3">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（1）合同通用条款；</w:t>
      </w:r>
    </w:p>
    <w:p w14:paraId="7C37A251">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（2）报价表（总报价表和分项报价表）；</w:t>
      </w:r>
    </w:p>
    <w:p w14:paraId="1CC9FB0A">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eastAsia="zh-CN"/>
        </w:rPr>
        <w:t>）招标（采购）文件；</w:t>
      </w:r>
    </w:p>
    <w:p w14:paraId="6A5A547A">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投标（响应）</w:t>
      </w:r>
      <w:r>
        <w:rPr>
          <w:rFonts w:hint="default" w:ascii="Times New Roman" w:hAnsi="Times New Roman" w:cs="Times New Roman"/>
          <w:color w:val="auto"/>
          <w:sz w:val="21"/>
          <w:szCs w:val="21"/>
          <w:highlight w:val="none"/>
        </w:rPr>
        <w:t>文件。</w:t>
      </w:r>
    </w:p>
    <w:p w14:paraId="27C926BD">
      <w:pPr>
        <w:keepNext w:val="0"/>
        <w:keepLines w:val="0"/>
        <w:pageBreakBefore w:val="0"/>
        <w:widowControl w:val="0"/>
        <w:kinsoku/>
        <w:wordWrap/>
        <w:overflowPunct/>
        <w:topLinePunct/>
        <w:autoSpaceDE w:val="0"/>
        <w:autoSpaceDN w:val="0"/>
        <w:bidi w:val="0"/>
        <w:snapToGrid w:val="0"/>
        <w:spacing w:line="360" w:lineRule="auto"/>
        <w:ind w:left="482"/>
        <w:rPr>
          <w:rFonts w:hint="eastAsia" w:ascii="Times New Roman" w:hAnsi="Times New Roman" w:cs="Times New Roman"/>
          <w:b/>
          <w:color w:val="auto"/>
          <w:sz w:val="21"/>
          <w:szCs w:val="21"/>
          <w:highlight w:val="none"/>
          <w:lang w:val="en-US" w:eastAsia="zh-CN"/>
        </w:rPr>
      </w:pPr>
      <w:r>
        <w:rPr>
          <w:rFonts w:hint="default" w:ascii="Times New Roman" w:hAnsi="Times New Roman" w:cs="Times New Roman"/>
          <w:b/>
          <w:color w:val="auto"/>
          <w:sz w:val="21"/>
          <w:szCs w:val="21"/>
          <w:highlight w:val="none"/>
        </w:rPr>
        <w:t>2. 合同范围和条件</w:t>
      </w:r>
      <w:r>
        <w:rPr>
          <w:rFonts w:hint="eastAsia" w:ascii="Times New Roman" w:hAnsi="Times New Roman" w:cs="Times New Roman"/>
          <w:b/>
          <w:color w:val="auto"/>
          <w:sz w:val="21"/>
          <w:szCs w:val="21"/>
          <w:highlight w:val="none"/>
          <w:lang w:val="en-US" w:eastAsia="zh-CN"/>
        </w:rPr>
        <w:t xml:space="preserve"> </w:t>
      </w:r>
    </w:p>
    <w:tbl>
      <w:tblPr>
        <w:tblStyle w:val="56"/>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1140"/>
        <w:gridCol w:w="900"/>
        <w:gridCol w:w="975"/>
        <w:gridCol w:w="5880"/>
      </w:tblGrid>
      <w:tr w14:paraId="689F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73" w:type="dxa"/>
            <w:vAlign w:val="top"/>
          </w:tcPr>
          <w:p w14:paraId="1585719D">
            <w:pPr>
              <w:pStyle w:val="2"/>
              <w:numPr>
                <w:ilvl w:val="0"/>
                <w:numId w:val="0"/>
              </w:numPr>
              <w:tabs>
                <w:tab w:val="left" w:pos="780"/>
                <w:tab w:val="clear" w:pos="1008"/>
                <w:tab w:val="clear" w:pos="1697"/>
              </w:tabs>
              <w:jc w:val="center"/>
              <w:rPr>
                <w:rFonts w:hint="eastAsia"/>
                <w:color w:val="auto"/>
                <w:vertAlign w:val="baseline"/>
                <w:lang w:eastAsia="zh-CN"/>
              </w:rPr>
            </w:pPr>
            <w:r>
              <w:rPr>
                <w:rFonts w:hint="eastAsia" w:ascii="宋体" w:hAnsi="宋体" w:eastAsia="宋体" w:cs="宋体"/>
                <w:bCs w:val="0"/>
                <w:color w:val="auto"/>
                <w:kern w:val="2"/>
                <w:sz w:val="21"/>
                <w:szCs w:val="21"/>
                <w:highlight w:val="none"/>
                <w:lang w:val="en-US" w:eastAsia="zh-CN" w:bidi="ar-SA"/>
              </w:rPr>
              <w:t>序号</w:t>
            </w:r>
          </w:p>
        </w:tc>
        <w:tc>
          <w:tcPr>
            <w:tcW w:w="1140" w:type="dxa"/>
            <w:vAlign w:val="top"/>
          </w:tcPr>
          <w:p w14:paraId="455C3FA6">
            <w:pPr>
              <w:pStyle w:val="2"/>
              <w:numPr>
                <w:ilvl w:val="0"/>
                <w:numId w:val="0"/>
              </w:numPr>
              <w:tabs>
                <w:tab w:val="left" w:pos="780"/>
                <w:tab w:val="clear" w:pos="1008"/>
                <w:tab w:val="clear" w:pos="1697"/>
              </w:tabs>
              <w:jc w:val="center"/>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服务名称</w:t>
            </w:r>
          </w:p>
        </w:tc>
        <w:tc>
          <w:tcPr>
            <w:tcW w:w="900" w:type="dxa"/>
            <w:vAlign w:val="top"/>
          </w:tcPr>
          <w:p w14:paraId="4EED6C4A">
            <w:pPr>
              <w:pStyle w:val="2"/>
              <w:numPr>
                <w:ilvl w:val="0"/>
                <w:numId w:val="0"/>
              </w:numPr>
              <w:tabs>
                <w:tab w:val="left" w:pos="780"/>
                <w:tab w:val="clear" w:pos="1008"/>
                <w:tab w:val="clear" w:pos="1697"/>
              </w:tabs>
              <w:jc w:val="center"/>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数量</w:t>
            </w:r>
          </w:p>
        </w:tc>
        <w:tc>
          <w:tcPr>
            <w:tcW w:w="975" w:type="dxa"/>
            <w:vAlign w:val="top"/>
          </w:tcPr>
          <w:p w14:paraId="04747AA4">
            <w:pPr>
              <w:pStyle w:val="2"/>
              <w:numPr>
                <w:ilvl w:val="0"/>
                <w:numId w:val="0"/>
              </w:numPr>
              <w:tabs>
                <w:tab w:val="left" w:pos="780"/>
                <w:tab w:val="clear" w:pos="1008"/>
                <w:tab w:val="clear" w:pos="1697"/>
              </w:tabs>
              <w:jc w:val="center"/>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单位</w:t>
            </w:r>
          </w:p>
        </w:tc>
        <w:tc>
          <w:tcPr>
            <w:tcW w:w="5880" w:type="dxa"/>
            <w:vAlign w:val="top"/>
          </w:tcPr>
          <w:p w14:paraId="3DA24E99">
            <w:pPr>
              <w:pStyle w:val="2"/>
              <w:numPr>
                <w:ilvl w:val="0"/>
                <w:numId w:val="0"/>
              </w:numPr>
              <w:tabs>
                <w:tab w:val="left" w:pos="780"/>
                <w:tab w:val="clear" w:pos="1008"/>
                <w:tab w:val="clear" w:pos="1697"/>
              </w:tabs>
              <w:jc w:val="center"/>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具体服务承诺（包括但不限于服务内容、范围和基本要求）</w:t>
            </w:r>
          </w:p>
        </w:tc>
      </w:tr>
      <w:tr w14:paraId="44AF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14:paraId="0B574B5C">
            <w:pPr>
              <w:pStyle w:val="2"/>
              <w:numPr>
                <w:ilvl w:val="0"/>
                <w:numId w:val="0"/>
              </w:numPr>
              <w:tabs>
                <w:tab w:val="left" w:pos="780"/>
                <w:tab w:val="clear" w:pos="1008"/>
                <w:tab w:val="clear" w:pos="1697"/>
              </w:tabs>
              <w:rPr>
                <w:rFonts w:hint="eastAsia"/>
                <w:color w:val="auto"/>
                <w:vertAlign w:val="baseline"/>
                <w:lang w:eastAsia="zh-CN"/>
              </w:rPr>
            </w:pPr>
          </w:p>
        </w:tc>
        <w:tc>
          <w:tcPr>
            <w:tcW w:w="1140" w:type="dxa"/>
          </w:tcPr>
          <w:p w14:paraId="032D0BBB">
            <w:pPr>
              <w:pStyle w:val="2"/>
              <w:numPr>
                <w:ilvl w:val="0"/>
                <w:numId w:val="0"/>
              </w:numPr>
              <w:tabs>
                <w:tab w:val="left" w:pos="780"/>
                <w:tab w:val="clear" w:pos="1008"/>
                <w:tab w:val="clear" w:pos="1697"/>
              </w:tabs>
              <w:rPr>
                <w:rFonts w:hint="eastAsia"/>
                <w:color w:val="auto"/>
                <w:vertAlign w:val="baseline"/>
                <w:lang w:eastAsia="zh-CN"/>
              </w:rPr>
            </w:pPr>
          </w:p>
        </w:tc>
        <w:tc>
          <w:tcPr>
            <w:tcW w:w="900" w:type="dxa"/>
          </w:tcPr>
          <w:p w14:paraId="6F6C8CC8">
            <w:pPr>
              <w:pStyle w:val="2"/>
              <w:numPr>
                <w:ilvl w:val="0"/>
                <w:numId w:val="0"/>
              </w:numPr>
              <w:tabs>
                <w:tab w:val="left" w:pos="780"/>
                <w:tab w:val="clear" w:pos="1008"/>
                <w:tab w:val="clear" w:pos="1697"/>
              </w:tabs>
              <w:rPr>
                <w:rFonts w:hint="eastAsia"/>
                <w:color w:val="auto"/>
                <w:vertAlign w:val="baseline"/>
                <w:lang w:eastAsia="zh-CN"/>
              </w:rPr>
            </w:pPr>
          </w:p>
        </w:tc>
        <w:tc>
          <w:tcPr>
            <w:tcW w:w="975" w:type="dxa"/>
          </w:tcPr>
          <w:p w14:paraId="4E29365F">
            <w:pPr>
              <w:pStyle w:val="2"/>
              <w:numPr>
                <w:ilvl w:val="0"/>
                <w:numId w:val="0"/>
              </w:numPr>
              <w:tabs>
                <w:tab w:val="left" w:pos="780"/>
                <w:tab w:val="clear" w:pos="1008"/>
                <w:tab w:val="clear" w:pos="1697"/>
              </w:tabs>
              <w:rPr>
                <w:rFonts w:hint="eastAsia"/>
                <w:color w:val="auto"/>
                <w:vertAlign w:val="baseline"/>
                <w:lang w:eastAsia="zh-CN"/>
              </w:rPr>
            </w:pPr>
          </w:p>
        </w:tc>
        <w:tc>
          <w:tcPr>
            <w:tcW w:w="5880" w:type="dxa"/>
          </w:tcPr>
          <w:p w14:paraId="172842F4">
            <w:pPr>
              <w:pStyle w:val="2"/>
              <w:numPr>
                <w:ilvl w:val="0"/>
                <w:numId w:val="0"/>
              </w:numPr>
              <w:tabs>
                <w:tab w:val="left" w:pos="780"/>
                <w:tab w:val="clear" w:pos="1008"/>
                <w:tab w:val="clear" w:pos="1697"/>
              </w:tabs>
              <w:rPr>
                <w:rFonts w:hint="eastAsia"/>
                <w:color w:val="auto"/>
                <w:vertAlign w:val="baseline"/>
                <w:lang w:eastAsia="zh-CN"/>
              </w:rPr>
            </w:pPr>
          </w:p>
        </w:tc>
      </w:tr>
      <w:tr w14:paraId="545D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14:paraId="3A92551F">
            <w:pPr>
              <w:pStyle w:val="2"/>
              <w:numPr>
                <w:ilvl w:val="0"/>
                <w:numId w:val="0"/>
              </w:numPr>
              <w:tabs>
                <w:tab w:val="left" w:pos="780"/>
                <w:tab w:val="clear" w:pos="1008"/>
                <w:tab w:val="clear" w:pos="1697"/>
              </w:tabs>
              <w:rPr>
                <w:rFonts w:hint="eastAsia"/>
                <w:color w:val="auto"/>
                <w:vertAlign w:val="baseline"/>
                <w:lang w:eastAsia="zh-CN"/>
              </w:rPr>
            </w:pPr>
          </w:p>
        </w:tc>
        <w:tc>
          <w:tcPr>
            <w:tcW w:w="1140" w:type="dxa"/>
          </w:tcPr>
          <w:p w14:paraId="6CBF0AC0">
            <w:pPr>
              <w:pStyle w:val="2"/>
              <w:numPr>
                <w:ilvl w:val="0"/>
                <w:numId w:val="0"/>
              </w:numPr>
              <w:tabs>
                <w:tab w:val="left" w:pos="780"/>
                <w:tab w:val="clear" w:pos="1008"/>
                <w:tab w:val="clear" w:pos="1697"/>
              </w:tabs>
              <w:rPr>
                <w:rFonts w:hint="eastAsia"/>
                <w:color w:val="auto"/>
                <w:vertAlign w:val="baseline"/>
                <w:lang w:eastAsia="zh-CN"/>
              </w:rPr>
            </w:pPr>
          </w:p>
        </w:tc>
        <w:tc>
          <w:tcPr>
            <w:tcW w:w="900" w:type="dxa"/>
          </w:tcPr>
          <w:p w14:paraId="261C0051">
            <w:pPr>
              <w:pStyle w:val="2"/>
              <w:numPr>
                <w:ilvl w:val="0"/>
                <w:numId w:val="0"/>
              </w:numPr>
              <w:tabs>
                <w:tab w:val="left" w:pos="780"/>
                <w:tab w:val="clear" w:pos="1008"/>
                <w:tab w:val="clear" w:pos="1697"/>
              </w:tabs>
              <w:rPr>
                <w:rFonts w:hint="eastAsia"/>
                <w:color w:val="auto"/>
                <w:vertAlign w:val="baseline"/>
                <w:lang w:eastAsia="zh-CN"/>
              </w:rPr>
            </w:pPr>
          </w:p>
        </w:tc>
        <w:tc>
          <w:tcPr>
            <w:tcW w:w="975" w:type="dxa"/>
          </w:tcPr>
          <w:p w14:paraId="2D740491">
            <w:pPr>
              <w:pStyle w:val="2"/>
              <w:numPr>
                <w:ilvl w:val="0"/>
                <w:numId w:val="0"/>
              </w:numPr>
              <w:tabs>
                <w:tab w:val="left" w:pos="780"/>
                <w:tab w:val="clear" w:pos="1008"/>
                <w:tab w:val="clear" w:pos="1697"/>
              </w:tabs>
              <w:rPr>
                <w:rFonts w:hint="eastAsia"/>
                <w:color w:val="auto"/>
                <w:vertAlign w:val="baseline"/>
                <w:lang w:eastAsia="zh-CN"/>
              </w:rPr>
            </w:pPr>
          </w:p>
        </w:tc>
        <w:tc>
          <w:tcPr>
            <w:tcW w:w="5880" w:type="dxa"/>
          </w:tcPr>
          <w:p w14:paraId="000E5623">
            <w:pPr>
              <w:pStyle w:val="2"/>
              <w:numPr>
                <w:ilvl w:val="0"/>
                <w:numId w:val="0"/>
              </w:numPr>
              <w:tabs>
                <w:tab w:val="left" w:pos="780"/>
                <w:tab w:val="clear" w:pos="1008"/>
                <w:tab w:val="clear" w:pos="1697"/>
              </w:tabs>
              <w:rPr>
                <w:rFonts w:hint="eastAsia"/>
                <w:color w:val="auto"/>
                <w:vertAlign w:val="baseline"/>
                <w:lang w:eastAsia="zh-CN"/>
              </w:rPr>
            </w:pPr>
          </w:p>
        </w:tc>
      </w:tr>
    </w:tbl>
    <w:p w14:paraId="17B7DDEE">
      <w:pPr>
        <w:pStyle w:val="2"/>
        <w:numPr>
          <w:ilvl w:val="0"/>
          <w:numId w:val="0"/>
        </w:numPr>
        <w:tabs>
          <w:tab w:val="left" w:pos="780"/>
          <w:tab w:val="clear" w:pos="1008"/>
          <w:tab w:val="clear" w:pos="1697"/>
        </w:tabs>
        <w:ind w:leftChars="200"/>
        <w:rPr>
          <w:rFonts w:hint="eastAsia"/>
          <w:color w:val="auto"/>
          <w:lang w:val="en-US" w:eastAsia="zh-CN"/>
        </w:rPr>
      </w:pPr>
    </w:p>
    <w:p w14:paraId="25ADC9CA">
      <w:pPr>
        <w:pStyle w:val="4"/>
        <w:rPr>
          <w:rFonts w:hint="eastAsia"/>
          <w:color w:val="auto"/>
          <w:lang w:val="en-US" w:eastAsia="zh-CN"/>
        </w:rPr>
      </w:pPr>
    </w:p>
    <w:p w14:paraId="08415945">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 合同金额</w:t>
      </w:r>
    </w:p>
    <w:p w14:paraId="1F23B4CB">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本合同金额为人民币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14:paraId="29A6DA66">
      <w:pPr>
        <w:keepNext w:val="0"/>
        <w:keepLines w:val="0"/>
        <w:pageBreakBefore w:val="0"/>
        <w:widowControl w:val="0"/>
        <w:numPr>
          <w:ilvl w:val="0"/>
          <w:numId w:val="0"/>
        </w:numPr>
        <w:tabs>
          <w:tab w:val="left" w:pos="700"/>
        </w:tabs>
        <w:kinsoku/>
        <w:wordWrap/>
        <w:overflowPunct/>
        <w:topLinePunct/>
        <w:autoSpaceDE w:val="0"/>
        <w:autoSpaceDN w:val="0"/>
        <w:bidi w:val="0"/>
        <w:snapToGrid w:val="0"/>
        <w:spacing w:line="360" w:lineRule="auto"/>
        <w:ind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
        </w:rPr>
        <w:t>4.</w:t>
      </w:r>
      <w:r>
        <w:rPr>
          <w:rFonts w:hint="default" w:ascii="Times New Roman" w:hAnsi="Times New Roman" w:cs="Times New Roman"/>
          <w:b/>
          <w:color w:val="auto"/>
          <w:sz w:val="21"/>
          <w:szCs w:val="21"/>
          <w:highlight w:val="none"/>
        </w:rPr>
        <w:t>付款条件</w:t>
      </w:r>
    </w:p>
    <w:p w14:paraId="254B1CF0">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合同以人民币结算，付款方式：</w:t>
      </w:r>
    </w:p>
    <w:p w14:paraId="37DE8980">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ind w:firstLine="420" w:firstLineChars="2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第一次付款：</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后</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个工作日内</w:t>
      </w: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凭</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支付乙方合同金额</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%的款项，即人民币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元整（¥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14:paraId="562F5805">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ind w:firstLine="420" w:firstLineChars="2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第二次付款：</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后</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个工作日内</w:t>
      </w: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凭</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支付乙方合同金额</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%的款项，即人民币</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元整（¥</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w:t>
      </w:r>
    </w:p>
    <w:p w14:paraId="1F6D1DED">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
        </w:rPr>
        <w:t>......</w:t>
      </w:r>
    </w:p>
    <w:p w14:paraId="01E416D3">
      <w:pPr>
        <w:keepNext w:val="0"/>
        <w:keepLines w:val="0"/>
        <w:pageBreakBefore w:val="0"/>
        <w:widowControl w:val="0"/>
        <w:kinsoku/>
        <w:wordWrap/>
        <w:overflowPunct/>
        <w:topLinePunct/>
        <w:autoSpaceDE w:val="0"/>
        <w:autoSpaceDN w:val="0"/>
        <w:bidi w:val="0"/>
        <w:snapToGrid w:val="0"/>
        <w:spacing w:line="360" w:lineRule="auto"/>
        <w:ind w:left="482"/>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cs="Times New Roman"/>
          <w:b/>
          <w:color w:val="auto"/>
          <w:sz w:val="21"/>
          <w:szCs w:val="21"/>
          <w:highlight w:val="none"/>
        </w:rPr>
        <w:t>5. 合同签订</w:t>
      </w:r>
      <w:r>
        <w:rPr>
          <w:rFonts w:hint="default" w:ascii="Times New Roman" w:hAnsi="Times New Roman" w:cs="Times New Roman"/>
          <w:b/>
          <w:color w:val="auto"/>
          <w:sz w:val="21"/>
          <w:szCs w:val="21"/>
          <w:highlight w:val="none"/>
          <w:lang w:eastAsia="zh-CN"/>
        </w:rPr>
        <w:t>及生效</w:t>
      </w:r>
    </w:p>
    <w:p w14:paraId="0F837F5F">
      <w:pPr>
        <w:pStyle w:val="508"/>
        <w:keepNext w:val="0"/>
        <w:keepLines w:val="0"/>
        <w:pageBreakBefore w:val="0"/>
        <w:widowControl w:val="0"/>
        <w:numPr>
          <w:ilvl w:val="0"/>
          <w:numId w:val="0"/>
        </w:numPr>
        <w:tabs>
          <w:tab w:val="left" w:pos="840"/>
          <w:tab w:val="clear" w:pos="1212"/>
          <w:tab w:val="clear" w:pos="3888"/>
        </w:tabs>
        <w:kinsoku/>
        <w:wordWrap/>
        <w:overflowPunct/>
        <w:bidi w:val="0"/>
        <w:snapToGrid w:val="0"/>
        <w:spacing w:line="360" w:lineRule="auto"/>
        <w:ind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本合同一式</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份</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由甲乙双方</w:t>
      </w:r>
      <w:r>
        <w:rPr>
          <w:rFonts w:hint="default" w:ascii="Times New Roman" w:hAnsi="Times New Roman" w:cs="Times New Roman"/>
          <w:color w:val="auto"/>
          <w:sz w:val="21"/>
          <w:szCs w:val="21"/>
          <w:highlight w:val="none"/>
          <w:lang w:eastAsia="zh-CN"/>
        </w:rPr>
        <w:t>法定代表人或被</w:t>
      </w:r>
      <w:r>
        <w:rPr>
          <w:rFonts w:hint="default" w:ascii="Times New Roman" w:hAnsi="Times New Roman" w:cs="Times New Roman"/>
          <w:color w:val="auto"/>
          <w:sz w:val="21"/>
          <w:szCs w:val="21"/>
          <w:highlight w:val="none"/>
        </w:rPr>
        <w:t>授权</w:t>
      </w:r>
      <w:r>
        <w:rPr>
          <w:rFonts w:hint="default" w:ascii="Times New Roman" w:hAnsi="Times New Roman" w:cs="Times New Roman"/>
          <w:color w:val="auto"/>
          <w:sz w:val="21"/>
          <w:szCs w:val="21"/>
          <w:highlight w:val="none"/>
          <w:lang w:eastAsia="zh-CN"/>
        </w:rPr>
        <w:t>人</w:t>
      </w:r>
      <w:r>
        <w:rPr>
          <w:rFonts w:hint="default" w:ascii="Times New Roman" w:hAnsi="Times New Roman" w:cs="Times New Roman"/>
          <w:color w:val="auto"/>
          <w:sz w:val="21"/>
          <w:szCs w:val="21"/>
          <w:highlight w:val="none"/>
        </w:rPr>
        <w:t>签字</w:t>
      </w:r>
      <w:r>
        <w:rPr>
          <w:rFonts w:hint="default" w:ascii="Times New Roman" w:hAnsi="Times New Roman" w:cs="Times New Roman"/>
          <w:color w:val="auto"/>
          <w:sz w:val="21"/>
          <w:szCs w:val="21"/>
          <w:highlight w:val="none"/>
          <w:lang w:eastAsia="zh-CN"/>
        </w:rPr>
        <w:t>并</w:t>
      </w:r>
      <w:r>
        <w:rPr>
          <w:rFonts w:hint="default" w:ascii="Times New Roman" w:hAnsi="Times New Roman" w:cs="Times New Roman"/>
          <w:color w:val="auto"/>
          <w:sz w:val="21"/>
          <w:szCs w:val="21"/>
          <w:highlight w:val="none"/>
        </w:rPr>
        <w:t>盖章</w:t>
      </w:r>
      <w:r>
        <w:rPr>
          <w:rFonts w:hint="default" w:ascii="Times New Roman" w:hAnsi="Times New Roman" w:cs="Times New Roman"/>
          <w:color w:val="auto"/>
          <w:sz w:val="21"/>
          <w:szCs w:val="21"/>
          <w:highlight w:val="none"/>
          <w:lang w:eastAsia="zh-CN"/>
        </w:rPr>
        <w:t>后生效。</w:t>
      </w:r>
    </w:p>
    <w:p w14:paraId="66483350">
      <w:pPr>
        <w:pStyle w:val="508"/>
        <w:keepNext w:val="0"/>
        <w:keepLines w:val="0"/>
        <w:pageBreakBefore w:val="0"/>
        <w:widowControl w:val="0"/>
        <w:numPr>
          <w:ilvl w:val="0"/>
          <w:numId w:val="0"/>
        </w:numPr>
        <w:tabs>
          <w:tab w:val="left" w:pos="840"/>
          <w:tab w:val="clear" w:pos="1212"/>
          <w:tab w:val="clear" w:pos="3888"/>
        </w:tabs>
        <w:kinsoku/>
        <w:wordWrap/>
        <w:overflowPunct/>
        <w:bidi w:val="0"/>
        <w:snapToGrid w:val="0"/>
        <w:spacing w:line="360" w:lineRule="auto"/>
        <w:ind w:firstLine="420" w:firstLineChars="200"/>
        <w:rPr>
          <w:rFonts w:hint="eastAsia" w:cs="宋体"/>
          <w:color w:val="auto"/>
          <w:sz w:val="21"/>
          <w:szCs w:val="21"/>
          <w:highlight w:val="none"/>
        </w:rPr>
      </w:pPr>
    </w:p>
    <w:p w14:paraId="7E0C3E2B">
      <w:pPr>
        <w:keepNext w:val="0"/>
        <w:keepLines w:val="0"/>
        <w:pageBreakBefore w:val="0"/>
        <w:widowControl w:val="0"/>
        <w:tabs>
          <w:tab w:val="left" w:pos="700"/>
        </w:tabs>
        <w:kinsoku/>
        <w:wordWrap/>
        <w:overflowPunct/>
        <w:topLinePunct/>
        <w:autoSpaceDE w:val="0"/>
        <w:autoSpaceDN w:val="0"/>
        <w:bidi w:val="0"/>
        <w:spacing w:line="360" w:lineRule="auto"/>
        <w:rPr>
          <w:rFonts w:hint="eastAsia" w:ascii="宋体" w:hAnsi="宋体" w:cs="宋体"/>
          <w:color w:val="auto"/>
          <w:sz w:val="21"/>
          <w:szCs w:val="21"/>
          <w:highlight w:val="none"/>
        </w:rPr>
      </w:pPr>
    </w:p>
    <w:p w14:paraId="11B6FCCC">
      <w:pPr>
        <w:keepNext w:val="0"/>
        <w:keepLines w:val="0"/>
        <w:pageBreakBefore w:val="0"/>
        <w:widowControl w:val="0"/>
        <w:tabs>
          <w:tab w:val="left" w:pos="700"/>
        </w:tabs>
        <w:kinsoku/>
        <w:wordWrap/>
        <w:overflowPunct/>
        <w:topLinePunct/>
        <w:autoSpaceDE w:val="0"/>
        <w:autoSpaceDN w:val="0"/>
        <w:bidi w:val="0"/>
        <w:spacing w:line="360" w:lineRule="auto"/>
        <w:rPr>
          <w:rFonts w:hint="eastAsia" w:ascii="宋体" w:hAnsi="宋体" w:cs="宋体"/>
          <w:color w:val="auto"/>
          <w:sz w:val="21"/>
          <w:szCs w:val="21"/>
          <w:highlight w:val="none"/>
        </w:rPr>
      </w:pPr>
    </w:p>
    <w:p w14:paraId="4842D862">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甲方：国家税务总局</w:t>
      </w:r>
      <w:r>
        <w:rPr>
          <w:rFonts w:hint="eastAsia" w:ascii="宋体" w:hAnsi="宋体" w:cs="宋体"/>
          <w:color w:val="auto"/>
          <w:sz w:val="21"/>
          <w:szCs w:val="21"/>
          <w:highlight w:val="none"/>
          <w:lang w:eastAsia="zh-CN"/>
        </w:rPr>
        <w:t>浙江省税务局</w:t>
      </w:r>
      <w:r>
        <w:rPr>
          <w:rFonts w:hint="eastAsia" w:ascii="宋体" w:hAnsi="宋体" w:cs="宋体"/>
          <w:color w:val="auto"/>
          <w:sz w:val="21"/>
          <w:szCs w:val="21"/>
          <w:highlight w:val="none"/>
        </w:rPr>
        <w:tab/>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乙</w:t>
      </w:r>
      <w:r>
        <w:rPr>
          <w:rFonts w:hint="eastAsia" w:ascii="宋体" w:hAnsi="宋体" w:cs="宋体"/>
          <w:color w:val="auto"/>
          <w:sz w:val="21"/>
          <w:szCs w:val="21"/>
          <w:highlight w:val="none"/>
        </w:rPr>
        <w:t>方：</w:t>
      </w:r>
    </w:p>
    <w:p w14:paraId="035C568C">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签字：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签字：</w:t>
      </w:r>
    </w:p>
    <w:p w14:paraId="15D7532D">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盖章：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盖章： </w:t>
      </w:r>
    </w:p>
    <w:p w14:paraId="1906AE97">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日期：    年    月    日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日期：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年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月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日</w:t>
      </w:r>
    </w:p>
    <w:p w14:paraId="665E47F3">
      <w:pPr>
        <w:topLinePunct/>
        <w:autoSpaceDE w:val="0"/>
        <w:autoSpaceDN w:val="0"/>
        <w:spacing w:line="460" w:lineRule="exact"/>
        <w:rPr>
          <w:rFonts w:hint="eastAsia" w:ascii="宋体" w:hAnsi="宋体" w:cs="宋体"/>
          <w:b/>
          <w:color w:val="auto"/>
          <w:sz w:val="24"/>
          <w:highlight w:val="none"/>
        </w:rPr>
      </w:pPr>
    </w:p>
    <w:p w14:paraId="56CE38E7">
      <w:pPr>
        <w:topLinePunct/>
        <w:autoSpaceDE w:val="0"/>
        <w:autoSpaceDN w:val="0"/>
        <w:spacing w:line="460" w:lineRule="exact"/>
        <w:jc w:val="center"/>
        <w:rPr>
          <w:rFonts w:hint="eastAsia" w:ascii="宋体" w:hAnsi="宋体" w:eastAsia="宋体" w:cs="宋体"/>
          <w:b/>
          <w:color w:val="auto"/>
          <w:sz w:val="24"/>
          <w:highlight w:val="none"/>
          <w:lang w:eastAsia="zh-CN"/>
        </w:rPr>
      </w:pPr>
    </w:p>
    <w:p w14:paraId="0B7C620D">
      <w:pPr>
        <w:topLinePunct/>
        <w:autoSpaceDE w:val="0"/>
        <w:autoSpaceDN w:val="0"/>
        <w:spacing w:line="460" w:lineRule="exact"/>
        <w:jc w:val="center"/>
        <w:rPr>
          <w:rFonts w:hint="eastAsia" w:ascii="宋体" w:hAnsi="宋体" w:eastAsia="宋体" w:cs="宋体"/>
          <w:b/>
          <w:color w:val="auto"/>
          <w:sz w:val="24"/>
          <w:highlight w:val="none"/>
          <w:lang w:eastAsia="zh-CN"/>
        </w:rPr>
      </w:pPr>
    </w:p>
    <w:p w14:paraId="7D849ECB">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highlight w:val="none"/>
        </w:rPr>
      </w:pPr>
      <w:r>
        <w:rPr>
          <w:rFonts w:ascii="宋体" w:hAnsi="宋体" w:cs="宋体"/>
          <w:b/>
          <w:color w:val="auto"/>
          <w:sz w:val="24"/>
          <w:highlight w:val="none"/>
        </w:rPr>
        <w:br w:type="page"/>
      </w:r>
      <w:r>
        <w:rPr>
          <w:rFonts w:hint="eastAsia" w:ascii="宋体" w:hAnsi="宋体" w:cs="宋体"/>
          <w:b/>
          <w:color w:val="auto"/>
          <w:sz w:val="24"/>
          <w:highlight w:val="none"/>
        </w:rPr>
        <w:t>二   合 同 通 用 条 款</w:t>
      </w:r>
    </w:p>
    <w:p w14:paraId="7E35B5CC">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 定义</w:t>
      </w:r>
    </w:p>
    <w:p w14:paraId="67B6DB8F">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本合同下列术语应解释为：</w:t>
      </w:r>
    </w:p>
    <w:p w14:paraId="3EA05385">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1.1“甲方”是指国家税务总局</w:t>
      </w:r>
      <w:r>
        <w:rPr>
          <w:rFonts w:hint="eastAsia" w:ascii="Times New Roman" w:hAnsi="Times New Roman" w:cs="Times New Roman"/>
          <w:color w:val="auto"/>
          <w:sz w:val="21"/>
          <w:szCs w:val="21"/>
          <w:highlight w:val="none"/>
          <w:lang w:val="en" w:eastAsia="zh-CN"/>
        </w:rPr>
        <w:t>浙江省</w:t>
      </w:r>
      <w:r>
        <w:rPr>
          <w:rFonts w:hint="default" w:ascii="Times New Roman" w:hAnsi="Times New Roman" w:cs="Times New Roman"/>
          <w:color w:val="auto"/>
          <w:sz w:val="21"/>
          <w:szCs w:val="21"/>
          <w:highlight w:val="none"/>
          <w:lang w:val="en" w:eastAsia="zh-CN"/>
        </w:rPr>
        <w:t>税务局</w:t>
      </w:r>
      <w:r>
        <w:rPr>
          <w:rFonts w:hint="default" w:ascii="Times New Roman" w:hAnsi="Times New Roman" w:cs="Times New Roman"/>
          <w:color w:val="auto"/>
          <w:sz w:val="21"/>
          <w:szCs w:val="21"/>
          <w:highlight w:val="none"/>
        </w:rPr>
        <w:t>。</w:t>
      </w:r>
    </w:p>
    <w:p w14:paraId="7F0C25C9">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1.2“乙方”见“合同条款前附表”第</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项“乙方名称”。</w:t>
      </w:r>
    </w:p>
    <w:p w14:paraId="3BDE3CE2">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 “合同”系指甲乙双方签订的、合同格式中载明的甲乙双方所达成的协议，包括所有的附件、附录和上述文件所提到的构成合同的所有文件。</w:t>
      </w:r>
    </w:p>
    <w:p w14:paraId="50F61BDA">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 “天”除非特别指出，“天”均为自然天。</w:t>
      </w:r>
    </w:p>
    <w:p w14:paraId="7FB4508B">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 标准</w:t>
      </w:r>
    </w:p>
    <w:p w14:paraId="79C734BE">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 乙方为甲方</w:t>
      </w:r>
      <w:r>
        <w:rPr>
          <w:rFonts w:hint="default" w:ascii="Times New Roman" w:hAnsi="Times New Roman" w:cs="Times New Roman"/>
          <w:color w:val="auto"/>
          <w:sz w:val="21"/>
          <w:szCs w:val="21"/>
          <w:highlight w:val="none"/>
          <w:lang w:eastAsia="zh-CN"/>
        </w:rPr>
        <w:t>交付或</w:t>
      </w:r>
      <w:r>
        <w:rPr>
          <w:rFonts w:hint="default" w:ascii="Times New Roman" w:hAnsi="Times New Roman" w:cs="Times New Roman"/>
          <w:color w:val="auto"/>
          <w:sz w:val="21"/>
          <w:szCs w:val="21"/>
          <w:highlight w:val="none"/>
        </w:rPr>
        <w:t>提供的服务应符合</w:t>
      </w:r>
      <w:r>
        <w:rPr>
          <w:rFonts w:hint="default" w:ascii="Times New Roman" w:hAnsi="Times New Roman" w:cs="Times New Roman"/>
          <w:color w:val="auto"/>
          <w:sz w:val="21"/>
          <w:szCs w:val="21"/>
          <w:highlight w:val="none"/>
          <w:lang w:eastAsia="zh-CN"/>
        </w:rPr>
        <w:t>招标（采购）文件</w:t>
      </w:r>
      <w:r>
        <w:rPr>
          <w:rFonts w:hint="default" w:ascii="Times New Roman" w:hAnsi="Times New Roman" w:cs="Times New Roman"/>
          <w:color w:val="auto"/>
          <w:sz w:val="21"/>
          <w:szCs w:val="21"/>
          <w:highlight w:val="none"/>
        </w:rPr>
        <w:t>所述的</w:t>
      </w:r>
      <w:r>
        <w:rPr>
          <w:rFonts w:hint="default" w:ascii="Times New Roman" w:hAnsi="Times New Roman" w:cs="Times New Roman"/>
          <w:color w:val="auto"/>
          <w:sz w:val="21"/>
          <w:szCs w:val="21"/>
          <w:highlight w:val="none"/>
          <w:lang w:eastAsia="zh-CN"/>
        </w:rPr>
        <w:t>标准</w:t>
      </w:r>
      <w:r>
        <w:rPr>
          <w:rFonts w:hint="default" w:ascii="Times New Roman" w:hAnsi="Times New Roman" w:cs="Times New Roman"/>
          <w:color w:val="auto"/>
          <w:sz w:val="21"/>
          <w:szCs w:val="21"/>
          <w:highlight w:val="none"/>
        </w:rPr>
        <w:t>，如果没有提及适用标准，则应符合相应的国家标准。这些标准必须是有关机构发布的最新版本的标准。</w:t>
      </w:r>
    </w:p>
    <w:p w14:paraId="0F83F250">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2.2 除非技术要求中另有规定，计量单位均采用中华人民共和国法定计量单位。</w:t>
      </w:r>
    </w:p>
    <w:p w14:paraId="2E894866">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 服务</w:t>
      </w:r>
    </w:p>
    <w:p w14:paraId="5682C2FA">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Cs/>
          <w:color w:val="auto"/>
          <w:sz w:val="21"/>
          <w:szCs w:val="21"/>
          <w:highlight w:val="none"/>
        </w:rPr>
        <w:t>3.1 本项目的“服务”见“合同条款前附表”第</w:t>
      </w:r>
      <w:r>
        <w:rPr>
          <w:rFonts w:hint="default" w:ascii="Times New Roman" w:hAnsi="Times New Roman" w:cs="Times New Roman"/>
          <w:bCs/>
          <w:color w:val="auto"/>
          <w:sz w:val="21"/>
          <w:szCs w:val="21"/>
          <w:highlight w:val="none"/>
          <w:lang w:val="en-US" w:eastAsia="zh-CN"/>
        </w:rPr>
        <w:t>8</w:t>
      </w:r>
      <w:r>
        <w:rPr>
          <w:rFonts w:hint="default" w:ascii="Times New Roman" w:hAnsi="Times New Roman" w:cs="Times New Roman"/>
          <w:bCs/>
          <w:color w:val="auto"/>
          <w:sz w:val="21"/>
          <w:szCs w:val="21"/>
          <w:highlight w:val="none"/>
        </w:rPr>
        <w:t>项“服务内容”。</w:t>
      </w:r>
    </w:p>
    <w:p w14:paraId="32BC2140">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 乙方应保证所提供的服务符合合同规定的技术要求。如不符时，乙方应负全责并尽快处理解决，由此造成的损失和相关费用由乙方负责，甲方保留终止合同及索赔的权利。</w:t>
      </w:r>
    </w:p>
    <w:p w14:paraId="72AD3C73">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 乙方应保证通过执行合同中全部方案后，可以取得本合同</w:t>
      </w:r>
      <w:r>
        <w:rPr>
          <w:rFonts w:hint="default" w:ascii="Times New Roman" w:hAnsi="Times New Roman" w:cs="Times New Roman"/>
          <w:color w:val="auto"/>
          <w:sz w:val="21"/>
          <w:szCs w:val="21"/>
          <w:highlight w:val="none"/>
          <w:lang w:eastAsia="zh-CN"/>
        </w:rPr>
        <w:t>约定</w:t>
      </w:r>
      <w:r>
        <w:rPr>
          <w:rFonts w:hint="default" w:ascii="Times New Roman" w:hAnsi="Times New Roman" w:cs="Times New Roman"/>
          <w:color w:val="auto"/>
          <w:sz w:val="21"/>
          <w:szCs w:val="21"/>
          <w:highlight w:val="none"/>
        </w:rPr>
        <w:t>的结果，达到本合同</w:t>
      </w:r>
      <w:r>
        <w:rPr>
          <w:rFonts w:hint="default" w:ascii="Times New Roman" w:hAnsi="Times New Roman" w:cs="Times New Roman"/>
          <w:color w:val="auto"/>
          <w:sz w:val="21"/>
          <w:szCs w:val="21"/>
          <w:highlight w:val="none"/>
          <w:lang w:eastAsia="zh-CN"/>
        </w:rPr>
        <w:t>约定</w:t>
      </w:r>
      <w:r>
        <w:rPr>
          <w:rFonts w:hint="default" w:ascii="Times New Roman" w:hAnsi="Times New Roman" w:cs="Times New Roman"/>
          <w:color w:val="auto"/>
          <w:sz w:val="21"/>
          <w:szCs w:val="21"/>
          <w:highlight w:val="none"/>
        </w:rPr>
        <w:t>的预期目标。对任何情况下出现的问题，应尽快提出解决方案。</w:t>
      </w:r>
    </w:p>
    <w:p w14:paraId="1DC3DA9E">
      <w:pPr>
        <w:keepNext w:val="0"/>
        <w:keepLines w:val="0"/>
        <w:pageBreakBefore w:val="0"/>
        <w:widowControl w:val="0"/>
        <w:tabs>
          <w:tab w:val="left" w:pos="0"/>
          <w:tab w:val="left" w:pos="54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3.4 如果乙方提供的服务和解决方案不符合甲方要求，或在规定的时间内没有弥补缺陷，甲方有权采取一切必要的补救措施，由此产生的费用全部由乙方负责。</w:t>
      </w:r>
    </w:p>
    <w:p w14:paraId="009073BF">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3.5 除合同条款另行规定外，伴随服务的费用应含在合同价中，不单独进行支付。</w:t>
      </w:r>
    </w:p>
    <w:p w14:paraId="6BC30ECB">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4. 知识产权</w:t>
      </w:r>
    </w:p>
    <w:p w14:paraId="5C02AC75">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4.1 乙方应保证所提供</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rPr>
        <w:t>服务免受第三方提出侵犯其知识产权（专利权、商标权、</w:t>
      </w:r>
      <w:r>
        <w:rPr>
          <w:rFonts w:hint="default" w:ascii="Times New Roman" w:hAnsi="Times New Roman" w:cs="Times New Roman"/>
          <w:color w:val="auto"/>
          <w:sz w:val="21"/>
          <w:szCs w:val="21"/>
          <w:highlight w:val="none"/>
          <w:lang w:eastAsia="zh-CN"/>
        </w:rPr>
        <w:t>软件著作权、</w:t>
      </w:r>
      <w:r>
        <w:rPr>
          <w:rFonts w:hint="default" w:ascii="Times New Roman" w:hAnsi="Times New Roman" w:cs="Times New Roman"/>
          <w:color w:val="auto"/>
          <w:sz w:val="21"/>
          <w:szCs w:val="21"/>
          <w:highlight w:val="none"/>
        </w:rPr>
        <w:t>版权等）的起诉。</w:t>
      </w:r>
    </w:p>
    <w:p w14:paraId="6A24FD15">
      <w:pPr>
        <w:keepNext w:val="0"/>
        <w:keepLines w:val="0"/>
        <w:pageBreakBefore w:val="0"/>
        <w:widowControl w:val="0"/>
        <w:tabs>
          <w:tab w:val="left" w:pos="0"/>
          <w:tab w:val="left" w:pos="540"/>
        </w:tabs>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4.2 甲方对项目实施过程中所产生的所有成果（包括发明、发现、可运行系统、源代码及相关技术资料、文档等）享有永久使用权、复制权和修改权，其专利申请权、专利权、软件著作权、技术秘密的所有权、使用权、转让权等知识产权归甲方所有。</w:t>
      </w:r>
    </w:p>
    <w:p w14:paraId="3E653D4B">
      <w:pPr>
        <w:keepNext w:val="0"/>
        <w:keepLines w:val="0"/>
        <w:pageBreakBefore w:val="0"/>
        <w:widowControl w:val="0"/>
        <w:tabs>
          <w:tab w:val="left" w:pos="0"/>
          <w:tab w:val="left" w:pos="540"/>
        </w:tabs>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4.3 乙方不得利用本项目实施过程中所产生的成果（包括发明、发现、可运行系统、源代码及相关技术资料、文档等），另行自行开发本合同业务范围内供纳税人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使用的软件或产品，不得利用开发便利变相收费或搭车收费。</w:t>
      </w:r>
    </w:p>
    <w:p w14:paraId="2E97C3A0">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5. 保密条款</w:t>
      </w:r>
    </w:p>
    <w:p w14:paraId="090CAC8A">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5.1 甲乙双方应对在本合同签订或履行过程中所接触的对方信息，包括但不限于知识产权、技术资料、技术诀窍、内部管理及其他相关信息，负有保密义务。</w:t>
      </w:r>
    </w:p>
    <w:p w14:paraId="79BB79E1">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14:paraId="21441CDA">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 应以审慎态度避免泄漏、公开或传播甲方的信息；</w:t>
      </w:r>
    </w:p>
    <w:p w14:paraId="433FF36C">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 在开发过程中对数据的处理方式应事先得到甲方的许可；</w:t>
      </w:r>
    </w:p>
    <w:p w14:paraId="338CC2A6">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 未经甲方书面许可，不得对有关信息进行修改、补充、复制；</w:t>
      </w:r>
    </w:p>
    <w:p w14:paraId="31E7A0EF">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 未经甲方书面许可，不得将信息以任何方式（如E-mail）携带出甲方场所；</w:t>
      </w:r>
    </w:p>
    <w:p w14:paraId="02BA0FEC">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（5） 未经甲方书面许可，不得将信息透露给任何其他人； </w:t>
      </w:r>
    </w:p>
    <w:p w14:paraId="2790A2AC">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 严禁在提交的软件</w:t>
      </w:r>
      <w:r>
        <w:rPr>
          <w:rFonts w:hint="default" w:ascii="Times New Roman" w:hAnsi="Times New Roman" w:cs="Times New Roman"/>
          <w:color w:val="auto"/>
          <w:sz w:val="21"/>
          <w:szCs w:val="21"/>
          <w:highlight w:val="none"/>
          <w:lang w:eastAsia="zh-CN"/>
        </w:rPr>
        <w:t>产品</w:t>
      </w:r>
      <w:r>
        <w:rPr>
          <w:rFonts w:hint="default" w:ascii="Times New Roman" w:hAnsi="Times New Roman" w:cs="Times New Roman"/>
          <w:color w:val="auto"/>
          <w:sz w:val="21"/>
          <w:szCs w:val="21"/>
          <w:highlight w:val="none"/>
        </w:rPr>
        <w:t>中设置远程维护接口和后门程序；</w:t>
      </w:r>
    </w:p>
    <w:p w14:paraId="5648CD60">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 不得进行系统软硬件设备的远程维护；</w:t>
      </w:r>
    </w:p>
    <w:p w14:paraId="45AF4404">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 甲方以书面形式提出的其他保密措施。</w:t>
      </w:r>
    </w:p>
    <w:p w14:paraId="148A202B">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5.3 保密期限不受合同有效期的限制，在合同有效期结束后，信息接受方仍应承担保密义务，直至该等信息成为公开信息。</w:t>
      </w:r>
    </w:p>
    <w:p w14:paraId="3EA5DD87">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5.4 甲乙双方如出现泄密行为，泄密方应承担相关的法律责任，包括但是不限于对由此给对方造成的经济损失进行赔偿。</w:t>
      </w:r>
    </w:p>
    <w:p w14:paraId="261C89FA">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6</w:t>
      </w:r>
      <w:r>
        <w:rPr>
          <w:rFonts w:hint="default" w:ascii="Times New Roman" w:hAnsi="Times New Roman" w:cs="Times New Roman"/>
          <w:b/>
          <w:color w:val="auto"/>
          <w:sz w:val="21"/>
          <w:szCs w:val="21"/>
          <w:highlight w:val="none"/>
        </w:rPr>
        <w:t xml:space="preserve">. </w:t>
      </w:r>
      <w:r>
        <w:rPr>
          <w:rFonts w:hint="default" w:ascii="Times New Roman" w:hAnsi="Times New Roman" w:cs="Times New Roman"/>
          <w:b/>
          <w:color w:val="auto"/>
          <w:sz w:val="21"/>
          <w:szCs w:val="21"/>
          <w:highlight w:val="none"/>
          <w:lang w:eastAsia="zh-CN"/>
        </w:rPr>
        <w:t>履约</w:t>
      </w:r>
      <w:r>
        <w:rPr>
          <w:rFonts w:hint="default" w:ascii="Times New Roman" w:hAnsi="Times New Roman" w:cs="Times New Roman"/>
          <w:b/>
          <w:color w:val="auto"/>
          <w:sz w:val="21"/>
          <w:szCs w:val="21"/>
          <w:highlight w:val="none"/>
        </w:rPr>
        <w:t>验收要求</w:t>
      </w:r>
    </w:p>
    <w:p w14:paraId="7580F380">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.1 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严格按照采购合同开展履约验收。验收时,</w:t>
      </w:r>
      <w:r>
        <w:rPr>
          <w:rFonts w:hint="default" w:ascii="Times New Roman" w:hAnsi="Times New Roman" w:cs="Times New Roman"/>
          <w:color w:val="auto"/>
          <w:sz w:val="21"/>
          <w:szCs w:val="21"/>
          <w:highlight w:val="none"/>
          <w:lang w:eastAsia="zh-CN"/>
        </w:rPr>
        <w:t>应当按照本合同约定的技术、服务和安全标准，对供应商各项义务履行情况进行验收确认。未约定相关标准的，应当按照国家强制性规定、政策要求、安全标准和行业有关标准进行验收确认。</w:t>
      </w:r>
      <w:r>
        <w:rPr>
          <w:rFonts w:hint="default" w:ascii="Times New Roman" w:hAnsi="Times New Roman" w:cs="Times New Roman"/>
          <w:color w:val="auto"/>
          <w:sz w:val="21"/>
          <w:szCs w:val="21"/>
          <w:highlight w:val="none"/>
        </w:rPr>
        <w:t>验收结束后</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应当出具验收意见，列明合同事项、验收标准及验收情况</w:t>
      </w:r>
      <w:r>
        <w:rPr>
          <w:rFonts w:hint="default" w:ascii="Times New Roman" w:hAnsi="Times New Roman" w:cs="Times New Roman"/>
          <w:color w:val="auto"/>
          <w:sz w:val="21"/>
          <w:szCs w:val="21"/>
          <w:highlight w:val="none"/>
          <w:lang w:eastAsia="zh-CN"/>
        </w:rPr>
        <w:t>，由全体验收人员签字</w:t>
      </w:r>
      <w:r>
        <w:rPr>
          <w:rFonts w:hint="default" w:ascii="Times New Roman" w:hAnsi="Times New Roman" w:cs="Times New Roman"/>
          <w:color w:val="auto"/>
          <w:sz w:val="21"/>
          <w:szCs w:val="21"/>
          <w:highlight w:val="none"/>
        </w:rPr>
        <w:t>。</w:t>
      </w:r>
    </w:p>
    <w:p w14:paraId="0B5AEA75">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.2具体</w:t>
      </w:r>
      <w:r>
        <w:rPr>
          <w:rFonts w:hint="default" w:ascii="Times New Roman" w:hAnsi="Times New Roman" w:cs="Times New Roman"/>
          <w:color w:val="auto"/>
          <w:sz w:val="21"/>
          <w:szCs w:val="21"/>
          <w:highlight w:val="none"/>
          <w:lang w:eastAsia="zh-CN"/>
        </w:rPr>
        <w:t>履约</w:t>
      </w:r>
      <w:r>
        <w:rPr>
          <w:rFonts w:hint="default" w:ascii="Times New Roman" w:hAnsi="Times New Roman" w:cs="Times New Roman"/>
          <w:color w:val="auto"/>
          <w:sz w:val="21"/>
          <w:szCs w:val="21"/>
          <w:highlight w:val="none"/>
        </w:rPr>
        <w:t>验收要求详见</w:t>
      </w:r>
      <w:r>
        <w:rPr>
          <w:rFonts w:hint="default" w:ascii="Times New Roman" w:hAnsi="Times New Roman" w:cs="Times New Roman"/>
          <w:color w:val="auto"/>
          <w:sz w:val="21"/>
          <w:szCs w:val="21"/>
          <w:highlight w:val="none"/>
          <w:lang w:eastAsia="zh-CN"/>
        </w:rPr>
        <w:t>招标（</w:t>
      </w:r>
      <w:r>
        <w:rPr>
          <w:rFonts w:hint="default" w:ascii="Times New Roman" w:hAnsi="Times New Roman" w:cs="Times New Roman"/>
          <w:color w:val="auto"/>
          <w:sz w:val="21"/>
          <w:szCs w:val="21"/>
          <w:highlight w:val="none"/>
        </w:rPr>
        <w:t>采购</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文件。</w:t>
      </w:r>
    </w:p>
    <w:p w14:paraId="52213C69">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 履约保证金</w:t>
      </w:r>
    </w:p>
    <w:p w14:paraId="65A5D07A">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.1 需提交履约保证金的项目，乙方应按照“合同条款前附表”第 1</w:t>
      </w: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 xml:space="preserve"> 项“履约保证金及返还”提交履约保证金。</w:t>
      </w:r>
    </w:p>
    <w:p w14:paraId="34C27B8B">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.2 履约保证金的金额</w:t>
      </w:r>
      <w:r>
        <w:rPr>
          <w:rFonts w:hint="default" w:ascii="Times New Roman" w:hAnsi="Times New Roman" w:cs="Times New Roman"/>
          <w:color w:val="auto"/>
          <w:sz w:val="21"/>
          <w:szCs w:val="21"/>
          <w:highlight w:val="none"/>
          <w:lang w:eastAsia="zh-CN"/>
        </w:rPr>
        <w:t>可用于</w:t>
      </w:r>
      <w:r>
        <w:rPr>
          <w:rFonts w:hint="default" w:ascii="Times New Roman" w:hAnsi="Times New Roman" w:cs="Times New Roman"/>
          <w:color w:val="auto"/>
          <w:sz w:val="21"/>
          <w:szCs w:val="21"/>
          <w:highlight w:val="none"/>
        </w:rPr>
        <w:t>补偿甲方因乙方不能完成其合同义务而蒙受的损失。</w:t>
      </w:r>
    </w:p>
    <w:p w14:paraId="5301F884">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14:paraId="28A1653C">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.4 乙方不履行合同、或者履行合同义务不符合约定使得合同目的不能实现，履约保证金不予退还，给甲方造成的损失超过履约保证金数额的，还应当对超过部分予以赔偿。</w:t>
      </w:r>
    </w:p>
    <w:p w14:paraId="44AC4994">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.5 履约保证金在合同履行期满后，扣除相应款项（如有）且双方无争议后，凭返还申请等资料一次性无息返还，详见“合同条款前附表”第</w:t>
      </w: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项“履约保证金及返还”。</w:t>
      </w:r>
    </w:p>
    <w:p w14:paraId="201E8602">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．履约延误</w:t>
      </w:r>
    </w:p>
    <w:p w14:paraId="6F91CDA8">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.1 乙方应按照本合同的规定提供服务。</w:t>
      </w:r>
    </w:p>
    <w:p w14:paraId="0BAD70EE">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.2 如乙方迟延履行合同义务，甲方将从应付合同金额中扣除误期违约金，每延误一天误期违约金按合同总金额的万分之三（0.03%）计收。乙方支付的误期违约金不足以弥补甲方损失的，应继续承担赔偿责任。本合同约定的损失，包括但不限于：直接损失、调查取证费、诉讼费、律师费等。</w:t>
      </w:r>
    </w:p>
    <w:p w14:paraId="0C6DB92C">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赔偿费。</w:t>
      </w:r>
    </w:p>
    <w:p w14:paraId="5F1CFA8E">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.4 除不可抗力和根据合同规定延期取得甲方同意而不收取误期赔偿费之外，乙方延误工期，将按合同规定被收取误期赔偿费。</w:t>
      </w:r>
    </w:p>
    <w:p w14:paraId="4A08386E">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.5 逾期退还履约保证金的违约责任。满足履约保证金返还条件的，甲方在收到返还相关信息等合同约定资料后，进行核实。对核实结果无异议的，应当自完成核实之日起30日内返还履约保证金。无特殊原因逾期退还履约保证金</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rPr>
        <w:t>，乙方可要求</w:t>
      </w:r>
      <w:r>
        <w:rPr>
          <w:rFonts w:hint="default" w:ascii="Times New Roman" w:hAnsi="Times New Roman" w:cs="Times New Roman"/>
          <w:color w:val="auto"/>
          <w:sz w:val="21"/>
          <w:szCs w:val="21"/>
          <w:highlight w:val="none"/>
          <w:lang w:eastAsia="zh-CN"/>
        </w:rPr>
        <w:t>甲方按</w:t>
      </w:r>
      <w:r>
        <w:rPr>
          <w:rFonts w:hint="default" w:ascii="Times New Roman" w:hAnsi="Times New Roman" w:cs="Times New Roman"/>
          <w:color w:val="auto"/>
          <w:sz w:val="21"/>
          <w:szCs w:val="21"/>
          <w:highlight w:val="none"/>
        </w:rPr>
        <w:t>银行</w:t>
      </w:r>
      <w:r>
        <w:rPr>
          <w:rFonts w:hint="default" w:ascii="Times New Roman" w:hAnsi="Times New Roman" w:cs="Times New Roman"/>
          <w:color w:val="auto"/>
          <w:sz w:val="21"/>
          <w:szCs w:val="21"/>
          <w:highlight w:val="none"/>
          <w:lang w:eastAsia="zh-CN"/>
        </w:rPr>
        <w:t>同期</w:t>
      </w:r>
      <w:r>
        <w:rPr>
          <w:rFonts w:hint="default" w:ascii="Times New Roman" w:hAnsi="Times New Roman" w:cs="Times New Roman"/>
          <w:color w:val="auto"/>
          <w:sz w:val="21"/>
          <w:szCs w:val="21"/>
          <w:highlight w:val="none"/>
        </w:rPr>
        <w:t>活期存款</w:t>
      </w:r>
      <w:r>
        <w:rPr>
          <w:rFonts w:hint="default" w:ascii="Times New Roman" w:hAnsi="Times New Roman" w:cs="Times New Roman"/>
          <w:color w:val="auto"/>
          <w:sz w:val="21"/>
          <w:szCs w:val="21"/>
          <w:highlight w:val="none"/>
          <w:lang w:eastAsia="zh-CN"/>
        </w:rPr>
        <w:t>利率支付逾期利息</w:t>
      </w:r>
      <w:r>
        <w:rPr>
          <w:rFonts w:hint="default" w:ascii="Times New Roman" w:hAnsi="Times New Roman" w:cs="Times New Roman"/>
          <w:color w:val="auto"/>
          <w:sz w:val="21"/>
          <w:szCs w:val="21"/>
          <w:highlight w:val="none"/>
        </w:rPr>
        <w:t>。特殊原因逾期返还的，双方协商解决。</w:t>
      </w:r>
    </w:p>
    <w:p w14:paraId="2D505917">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 违约责任</w:t>
      </w:r>
    </w:p>
    <w:p w14:paraId="5482CC5D">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14:paraId="6F886A75">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.2 乙方没有按照时限要求提供服务，且在甲方指定的延长期限内没有采取补救措施，甲方有权自行采取其他方式进行补救，乙方除按合同第</w:t>
      </w: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条约定向甲方支付误期违约金外，另外甲方所发生的一切费用和甲方损失，甲方有权从应付的乙方的合同款项中扣除，不足扣除的乙方应另行支付。</w:t>
      </w:r>
    </w:p>
    <w:p w14:paraId="0A531400">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.3 除应支付甲方违约金等外，甲方有权根据合同或有关部门出具的检验证书向乙方提出索赔。</w:t>
      </w:r>
    </w:p>
    <w:p w14:paraId="221F1DAC">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.4 如果乙方对差异负有责任而甲方提出索赔，乙方同意按照下列方式解决索赔事宜：</w:t>
      </w:r>
    </w:p>
    <w:p w14:paraId="00CCB0D4">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如果在甲方发出索赔通知后5个工作日内，乙方未作书面答复，上述索赔应视为已被乙方接受。如乙方未能在甲方发出索赔通知后5个工作日内或甲方同意的延长期限内着手解决索赔事宜，甲方有权从乙方的合同款项中扣除索赔金额。</w:t>
      </w:r>
    </w:p>
    <w:p w14:paraId="1A840050">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.5 乙方利用本项目实施过程中所产生的成果（包括发明、发现、可运行系统、源代码及相关技术资料、文档等），另行自行开发本合同业务范围内供纳税人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使用的软件或产品，或利用</w:t>
      </w:r>
      <w:r>
        <w:rPr>
          <w:rFonts w:hint="default" w:ascii="Times New Roman" w:hAnsi="Times New Roman" w:cs="Times New Roman"/>
          <w:color w:val="auto"/>
          <w:sz w:val="21"/>
          <w:szCs w:val="21"/>
          <w:highlight w:val="none"/>
          <w:lang w:eastAsia="zh-CN"/>
        </w:rPr>
        <w:t>为税务机关提供信息化服务的</w:t>
      </w:r>
      <w:r>
        <w:rPr>
          <w:rFonts w:hint="default" w:ascii="Times New Roman" w:hAnsi="Times New Roman" w:cs="Times New Roman"/>
          <w:color w:val="auto"/>
          <w:sz w:val="21"/>
          <w:szCs w:val="21"/>
          <w:highlight w:val="none"/>
        </w:rPr>
        <w:t>便利</w:t>
      </w:r>
      <w:r>
        <w:rPr>
          <w:rFonts w:hint="default" w:ascii="Times New Roman" w:hAnsi="Times New Roman" w:cs="Times New Roman"/>
          <w:color w:val="auto"/>
          <w:sz w:val="21"/>
          <w:szCs w:val="21"/>
          <w:highlight w:val="none"/>
          <w:lang w:eastAsia="zh-CN"/>
        </w:rPr>
        <w:t>，向纳税人缴费人</w:t>
      </w:r>
      <w:r>
        <w:rPr>
          <w:rFonts w:hint="default" w:ascii="Times New Roman" w:hAnsi="Times New Roman" w:cs="Times New Roman"/>
          <w:color w:val="auto"/>
          <w:sz w:val="21"/>
          <w:szCs w:val="21"/>
          <w:highlight w:val="none"/>
        </w:rPr>
        <w:t>搭车收费或变相收费的，</w:t>
      </w:r>
      <w:r>
        <w:rPr>
          <w:rFonts w:hint="default" w:ascii="Times New Roman" w:hAnsi="Times New Roman" w:cs="Times New Roman"/>
          <w:color w:val="auto"/>
          <w:sz w:val="21"/>
          <w:szCs w:val="21"/>
          <w:highlight w:val="none"/>
          <w:lang w:eastAsia="zh-CN"/>
        </w:rPr>
        <w:t>或有其他失信行为的，</w:t>
      </w:r>
      <w:r>
        <w:rPr>
          <w:rFonts w:hint="default" w:ascii="Times New Roman" w:hAnsi="Times New Roman" w:cs="Times New Roman"/>
          <w:color w:val="auto"/>
          <w:sz w:val="21"/>
          <w:szCs w:val="21"/>
          <w:highlight w:val="none"/>
        </w:rPr>
        <w:t>纳入国家税务总局失信名单。</w:t>
      </w:r>
    </w:p>
    <w:p w14:paraId="3F7FF83A">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对于影响恶劣的严重违法失信行为，推送财政部纳入政府采购严重违法失信行为记录名单。</w:t>
      </w:r>
    </w:p>
    <w:p w14:paraId="450D4255">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9.6 如果乙方在本项目实施过程中发生违反网络安全规定行为造成不良后果的，自甲方</w:t>
      </w:r>
      <w:r>
        <w:rPr>
          <w:rFonts w:hint="eastAsia" w:ascii="Times New Roman" w:hAnsi="Times New Roman" w:cs="Times New Roman"/>
          <w:color w:val="auto"/>
          <w:sz w:val="21"/>
          <w:szCs w:val="21"/>
          <w:highlight w:val="none"/>
          <w:lang w:val="en-US" w:eastAsia="zh-CN"/>
        </w:rPr>
        <w:t>主管部门</w:t>
      </w:r>
      <w:r>
        <w:rPr>
          <w:rFonts w:hint="default" w:ascii="Times New Roman" w:hAnsi="Times New Roman" w:cs="Times New Roman"/>
          <w:color w:val="auto"/>
          <w:sz w:val="21"/>
          <w:szCs w:val="21"/>
          <w:highlight w:val="none"/>
          <w:lang w:val="en-US" w:eastAsia="zh-CN"/>
        </w:rPr>
        <w:t>做出认定之日起三年内，税务系统各单位可以拒绝乙方参与税务系统政府采购活动。</w:t>
      </w:r>
    </w:p>
    <w:p w14:paraId="7501A778">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不良后果指造成数据失窃或丢失、敏感信息泄露、主要业务系统瘫痪等网络安全事件。</w:t>
      </w:r>
    </w:p>
    <w:p w14:paraId="6289A292">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 信息化服务商聘用离职税务人员的风险控制</w:t>
      </w:r>
    </w:p>
    <w:p w14:paraId="1F744B41">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9.7.1 信息化服务商是指为税务总局、各省（自治区、直辖市和计划单列市）税务局提供信息化项目承建、运维、咨询、监理服务或参加相关采购活动的单位或个人。</w:t>
      </w:r>
    </w:p>
    <w:p w14:paraId="5C283A56">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9.7.2乙方应建立防止违法违规聘用离职税务人员的风险控制制度。如乙方未建立上述风险控制制度，甲方有权要求乙方限期纠正。</w:t>
      </w:r>
    </w:p>
    <w:p w14:paraId="3F94AC58">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9.7.3本合同履行期间，乙方不得聘用3年内离职的原从事过税收信息化及相关信息系统业务条线的税务人员。原从事过，是指离职前3年内从事过税收信息化工作及相关信息系统业务条线工作。如果乙方有前述违约行为，甲方有权要求乙方承担下列违约责任：</w:t>
      </w:r>
    </w:p>
    <w:p w14:paraId="56489F27">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9.7.3.1要求乙方限期改正并从应付款项中扣除合同总金额的百分之一（1%）作为违约金；</w:t>
      </w:r>
    </w:p>
    <w:p w14:paraId="7CBC6F5C">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9.7.3.2自甲方</w:t>
      </w:r>
      <w:r>
        <w:rPr>
          <w:rFonts w:hint="eastAsia" w:ascii="Times New Roman" w:hAnsi="Times New Roman" w:cs="Times New Roman"/>
          <w:color w:val="auto"/>
          <w:sz w:val="21"/>
          <w:szCs w:val="21"/>
          <w:highlight w:val="none"/>
          <w:lang w:val="en-US" w:eastAsia="zh-CN"/>
        </w:rPr>
        <w:t>主管部门</w:t>
      </w:r>
      <w:r>
        <w:rPr>
          <w:rFonts w:hint="default" w:ascii="Times New Roman" w:hAnsi="Times New Roman" w:cs="Times New Roman"/>
          <w:color w:val="auto"/>
          <w:sz w:val="21"/>
          <w:szCs w:val="21"/>
          <w:highlight w:val="none"/>
          <w:lang w:val="en-US" w:eastAsia="zh-CN"/>
        </w:rPr>
        <w:t>通报之日起三年内，所聘税务人员原单位及下属单位可以拒绝乙方参与信息化项目政府采购活动。</w:t>
      </w:r>
    </w:p>
    <w:p w14:paraId="3DA3EC53">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9.8 乙方在本合同履行期间存在“围猎”甲方税务人员行为的（指以获取不正当利益为目的，采取馈赠礼品礼金、邀请娱乐旅游消费、提供便利条件等非正常交往手段“围猎”相关税务人员及亲属），自甲方</w:t>
      </w:r>
      <w:r>
        <w:rPr>
          <w:rFonts w:hint="eastAsia" w:ascii="Times New Roman" w:hAnsi="Times New Roman" w:cs="Times New Roman"/>
          <w:color w:val="auto"/>
          <w:sz w:val="21"/>
          <w:szCs w:val="21"/>
          <w:highlight w:val="none"/>
          <w:lang w:val="en-US" w:eastAsia="zh-CN"/>
        </w:rPr>
        <w:t>主管部门</w:t>
      </w:r>
      <w:r>
        <w:rPr>
          <w:rFonts w:hint="default" w:ascii="Times New Roman" w:hAnsi="Times New Roman" w:cs="Times New Roman"/>
          <w:color w:val="auto"/>
          <w:sz w:val="21"/>
          <w:szCs w:val="21"/>
          <w:highlight w:val="none"/>
          <w:lang w:val="en-US" w:eastAsia="zh-CN"/>
        </w:rPr>
        <w:t>认定或通报之日起三年内，甲方可以拒绝乙方参与其政府采购活动。</w:t>
      </w:r>
    </w:p>
    <w:p w14:paraId="60F22CEE">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9.9 甲方</w:t>
      </w:r>
      <w:r>
        <w:rPr>
          <w:rFonts w:hint="eastAsia" w:ascii="Times New Roman" w:hAnsi="Times New Roman" w:cs="Times New Roman"/>
          <w:color w:val="auto"/>
          <w:sz w:val="21"/>
          <w:szCs w:val="21"/>
          <w:highlight w:val="none"/>
          <w:lang w:val="en-US" w:eastAsia="zh-CN"/>
        </w:rPr>
        <w:t>主管部门</w:t>
      </w:r>
      <w:r>
        <w:rPr>
          <w:rFonts w:hint="default" w:ascii="Times New Roman" w:hAnsi="Times New Roman" w:cs="Times New Roman"/>
          <w:color w:val="auto"/>
          <w:sz w:val="21"/>
          <w:szCs w:val="21"/>
          <w:highlight w:val="none"/>
          <w:lang w:val="en-US" w:eastAsia="zh-CN"/>
        </w:rPr>
        <w:t>发票电子化改革领导小组办公室认定乙方在本合同履行期间存在失信行为的，自甲方</w:t>
      </w:r>
      <w:r>
        <w:rPr>
          <w:rFonts w:hint="eastAsia" w:ascii="Times New Roman" w:hAnsi="Times New Roman" w:cs="Times New Roman"/>
          <w:color w:val="auto"/>
          <w:sz w:val="21"/>
          <w:szCs w:val="21"/>
          <w:highlight w:val="none"/>
          <w:lang w:val="en-US" w:eastAsia="zh-CN"/>
        </w:rPr>
        <w:t>主管部门</w:t>
      </w:r>
      <w:r>
        <w:rPr>
          <w:rFonts w:hint="default" w:ascii="Times New Roman" w:hAnsi="Times New Roman" w:cs="Times New Roman"/>
          <w:color w:val="auto"/>
          <w:sz w:val="21"/>
          <w:szCs w:val="21"/>
          <w:highlight w:val="none"/>
          <w:lang w:val="en-US" w:eastAsia="zh-CN"/>
        </w:rPr>
        <w:t>发票电子化改革领导小组办公室做出认定并通报之日起三年内，税务系统各单位可以拒绝乙方参与信息化项目政府采购活动。</w:t>
      </w:r>
    </w:p>
    <w:p w14:paraId="3FD0B060">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9.10 对于本协议未约定的、招标（采购）文件（技术部分）中约定的违约处理条款，按招标（采购）文件（技术部分）相关约定执行；对本协议与招标（采购）文件（技术部分）约定不同的违约处理条款，以本协议约定为准。</w:t>
      </w:r>
    </w:p>
    <w:p w14:paraId="61F65D3C">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 不可抗力</w:t>
      </w:r>
    </w:p>
    <w:p w14:paraId="1E1D278F">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 xml:space="preserve"> 本条所述的“不可抗力”系指双方不可预见、不可避免、不可克服的客观情况，但不包括双方的违约或疏忽。这些事件包括但不限于：战争、严重火灾、洪水、台风、地震等。</w:t>
      </w:r>
    </w:p>
    <w:p w14:paraId="7D2F7178">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如果乙方因不可抗力而导致合同实施延误或不能履行合同义务，不应承担误期赔偿或终止合同的责任。</w:t>
      </w:r>
    </w:p>
    <w:p w14:paraId="3162A25E">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14:paraId="23096D08">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14:paraId="31723422">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1</w:t>
      </w:r>
      <w:r>
        <w:rPr>
          <w:rFonts w:hint="default" w:ascii="Times New Roman" w:hAnsi="Times New Roman" w:cs="Times New Roman"/>
          <w:b/>
          <w:color w:val="auto"/>
          <w:sz w:val="21"/>
          <w:szCs w:val="21"/>
          <w:highlight w:val="none"/>
        </w:rPr>
        <w:t>. 争端的解决</w:t>
      </w:r>
    </w:p>
    <w:p w14:paraId="51694D71">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.1 甲乙双方应</w:t>
      </w:r>
      <w:r>
        <w:rPr>
          <w:rFonts w:hint="default" w:ascii="Times New Roman" w:hAnsi="Times New Roman" w:cs="Times New Roman"/>
          <w:color w:val="auto"/>
          <w:sz w:val="21"/>
          <w:szCs w:val="21"/>
          <w:highlight w:val="none"/>
          <w:lang w:eastAsia="zh-CN"/>
        </w:rPr>
        <w:t>首先</w:t>
      </w:r>
      <w:r>
        <w:rPr>
          <w:rFonts w:hint="default" w:ascii="Times New Roman" w:hAnsi="Times New Roman" w:cs="Times New Roman"/>
          <w:color w:val="auto"/>
          <w:sz w:val="21"/>
          <w:szCs w:val="21"/>
          <w:highlight w:val="none"/>
        </w:rPr>
        <w:t>通过友好协商解决在执行本合同中所发生的或与本合同有关的一切争端。如从协商开始</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天内仍不能解决，</w:t>
      </w:r>
      <w:r>
        <w:rPr>
          <w:rFonts w:hint="default" w:ascii="Times New Roman" w:hAnsi="Times New Roman" w:cs="Times New Roman"/>
          <w:color w:val="auto"/>
          <w:sz w:val="21"/>
          <w:szCs w:val="21"/>
          <w:highlight w:val="none"/>
          <w:lang w:eastAsia="zh-CN"/>
        </w:rPr>
        <w:t>可以按合同约定的方式提起仲裁或诉讼</w:t>
      </w:r>
      <w:r>
        <w:rPr>
          <w:rFonts w:hint="default" w:ascii="Times New Roman" w:hAnsi="Times New Roman" w:cs="Times New Roman"/>
          <w:color w:val="auto"/>
          <w:sz w:val="21"/>
          <w:szCs w:val="21"/>
          <w:highlight w:val="none"/>
        </w:rPr>
        <w:t>。</w:t>
      </w:r>
    </w:p>
    <w:p w14:paraId="7B3B4465">
      <w:pPr>
        <w:keepNext w:val="0"/>
        <w:keepLines w:val="0"/>
        <w:pageBreakBefore w:val="0"/>
        <w:widowControl w:val="0"/>
        <w:kinsoku/>
        <w:wordWrap/>
        <w:overflowPunct/>
        <w:bidi w:val="0"/>
        <w:adjustRightInd/>
        <w:snapToGrid/>
        <w:spacing w:line="360" w:lineRule="auto"/>
        <w:ind w:left="239" w:leftChars="114" w:firstLine="210" w:firstLineChars="1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2.1</w:t>
      </w:r>
      <w:r>
        <w:rPr>
          <w:rFonts w:hint="default" w:ascii="Times New Roman" w:hAnsi="Times New Roman" w:cs="Times New Roman"/>
          <w:color w:val="auto"/>
          <w:sz w:val="21"/>
          <w:szCs w:val="21"/>
          <w:highlight w:val="none"/>
        </w:rPr>
        <w:t>仲裁应</w:t>
      </w:r>
      <w:r>
        <w:rPr>
          <w:rFonts w:hint="default" w:ascii="Times New Roman" w:hAnsi="Times New Roman" w:cs="Times New Roman"/>
          <w:color w:val="auto"/>
          <w:sz w:val="21"/>
          <w:szCs w:val="21"/>
          <w:highlight w:val="none"/>
          <w:lang w:eastAsia="zh-CN"/>
        </w:rPr>
        <w:t>向</w:t>
      </w:r>
      <w:r>
        <w:rPr>
          <w:rFonts w:hint="default" w:ascii="Times New Roman" w:hAnsi="Times New Roman" w:cs="Times New Roman"/>
          <w:color w:val="auto"/>
          <w:sz w:val="21"/>
          <w:szCs w:val="21"/>
          <w:highlight w:val="none"/>
        </w:rPr>
        <w:t>甲方所在地或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仲裁委员会申请仲裁。</w:t>
      </w:r>
    </w:p>
    <w:p w14:paraId="1544BD41">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2.2</w:t>
      </w:r>
      <w:r>
        <w:rPr>
          <w:rFonts w:hint="default" w:ascii="Times New Roman" w:hAnsi="Times New Roman" w:cs="Times New Roman"/>
          <w:color w:val="auto"/>
          <w:sz w:val="21"/>
          <w:szCs w:val="21"/>
          <w:highlight w:val="none"/>
        </w:rPr>
        <w:t xml:space="preserve"> 仲裁裁决应为最终裁决，对双方均具有约束力。</w:t>
      </w:r>
    </w:p>
    <w:p w14:paraId="3AFAC8E3">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2.3</w:t>
      </w:r>
      <w:r>
        <w:rPr>
          <w:rFonts w:hint="default" w:ascii="Times New Roman" w:hAnsi="Times New Roman" w:cs="Times New Roman"/>
          <w:color w:val="auto"/>
          <w:sz w:val="21"/>
          <w:szCs w:val="21"/>
          <w:highlight w:val="none"/>
        </w:rPr>
        <w:t xml:space="preserve"> 仲裁费除仲裁机关另有裁决外应由败诉方负担。</w:t>
      </w:r>
    </w:p>
    <w:p w14:paraId="5399EEAA">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2.4</w:t>
      </w:r>
      <w:r>
        <w:rPr>
          <w:rFonts w:hint="default" w:ascii="Times New Roman" w:hAnsi="Times New Roman" w:cs="Times New Roman"/>
          <w:color w:val="auto"/>
          <w:sz w:val="21"/>
          <w:szCs w:val="21"/>
          <w:highlight w:val="none"/>
        </w:rPr>
        <w:t>在仲裁期间，除正在进行仲裁部分外，本合同的其它部分应继续执行。</w:t>
      </w:r>
    </w:p>
    <w:p w14:paraId="7150AF7E">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11.3.1诉讼应向甲方所在地或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val="en-US" w:eastAsia="zh-CN"/>
        </w:rPr>
        <w:t>人民法院提起诉讼。</w:t>
      </w:r>
    </w:p>
    <w:p w14:paraId="71112BD8">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11.3.2诉讼费除人民法院另有判决外，应由败诉方负担。</w:t>
      </w:r>
    </w:p>
    <w:p w14:paraId="4155CF2D">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11.3.3在诉讼期间，除正在进行诉讼部分外，本</w:t>
      </w:r>
      <w:r>
        <w:rPr>
          <w:rFonts w:hint="default" w:ascii="Times New Roman" w:hAnsi="Times New Roman" w:cs="Times New Roman"/>
          <w:color w:val="auto"/>
          <w:sz w:val="21"/>
          <w:szCs w:val="21"/>
          <w:highlight w:val="none"/>
        </w:rPr>
        <w:t>合同的其它部分应继续执行。</w:t>
      </w:r>
    </w:p>
    <w:p w14:paraId="517F4543">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 违约终止合同</w:t>
      </w:r>
    </w:p>
    <w:p w14:paraId="4445BD7C">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14:paraId="716039F4">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 xml:space="preserve">12.1.1 </w:t>
      </w:r>
      <w:r>
        <w:rPr>
          <w:rFonts w:hint="default" w:ascii="Times New Roman" w:hAnsi="Times New Roman" w:cs="Times New Roman"/>
          <w:color w:val="auto"/>
          <w:sz w:val="21"/>
          <w:szCs w:val="21"/>
          <w:highlight w:val="none"/>
          <w:lang w:eastAsia="zh-CN"/>
        </w:rPr>
        <w:t>乙方不履行合同业务或者履行合同义务不符合合同约定；</w:t>
      </w:r>
    </w:p>
    <w:p w14:paraId="04585835">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如果乙方未能在合同规定的期限或甲方同意延长的期限内提供服务；</w:t>
      </w:r>
    </w:p>
    <w:p w14:paraId="08162307">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 xml:space="preserve"> 因乙方人员自身技术能力、经验不足等问题造成甲方发生重大紧急故障，带来重大影响和损失的；</w:t>
      </w:r>
    </w:p>
    <w:p w14:paraId="7683453F">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 xml:space="preserve"> 乙方对重大紧急故障没有及时响应，或不能在规定时间内解决处理故障、恢复正常运行的；</w:t>
      </w:r>
    </w:p>
    <w:p w14:paraId="188F7378">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 xml:space="preserve"> 不能满足本项目技术需求的管理要求和规范，且经多次整改无明显改进的</w:t>
      </w:r>
      <w:r>
        <w:rPr>
          <w:rFonts w:hint="default" w:ascii="Times New Roman" w:hAnsi="Times New Roman" w:cs="Times New Roman"/>
          <w:color w:val="auto"/>
          <w:sz w:val="21"/>
          <w:szCs w:val="21"/>
          <w:highlight w:val="none"/>
          <w:lang w:eastAsia="zh-CN"/>
        </w:rPr>
        <w:t>；</w:t>
      </w:r>
    </w:p>
    <w:p w14:paraId="6105ED56">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 xml:space="preserve"> 在合同服务期内，同一个应用系统在升级完善、运行维护支持服务过程中，出现5次经甲乙双方确认的用户投诉的</w:t>
      </w:r>
      <w:r>
        <w:rPr>
          <w:rFonts w:hint="default" w:ascii="Times New Roman" w:hAnsi="Times New Roman" w:cs="Times New Roman"/>
          <w:color w:val="auto"/>
          <w:sz w:val="21"/>
          <w:szCs w:val="21"/>
          <w:highlight w:val="none"/>
          <w:lang w:eastAsia="zh-CN"/>
        </w:rPr>
        <w:t>；</w:t>
      </w:r>
    </w:p>
    <w:p w14:paraId="5464C4DC">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 xml:space="preserve">12.1.7 </w:t>
      </w:r>
      <w:r>
        <w:rPr>
          <w:rFonts w:hint="default" w:ascii="Times New Roman" w:hAnsi="Times New Roman" w:cs="Times New Roman"/>
          <w:color w:val="auto"/>
          <w:sz w:val="21"/>
          <w:szCs w:val="21"/>
          <w:highlight w:val="none"/>
        </w:rPr>
        <w:t>乙方利用本项目实施过程中所产生的成果（包括发明、发现、可运行系统、源代码及相关技术资料、文档等），另行自行开发本合同业务范围内供纳税人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使用的软件或产品的，或利用</w:t>
      </w:r>
      <w:r>
        <w:rPr>
          <w:rFonts w:hint="default" w:ascii="Times New Roman" w:hAnsi="Times New Roman" w:cs="Times New Roman"/>
          <w:color w:val="auto"/>
          <w:sz w:val="21"/>
          <w:szCs w:val="21"/>
          <w:highlight w:val="none"/>
          <w:lang w:eastAsia="zh-CN"/>
        </w:rPr>
        <w:t>为税务机关提供信息化服务的</w:t>
      </w:r>
      <w:r>
        <w:rPr>
          <w:rFonts w:hint="default" w:ascii="Times New Roman" w:hAnsi="Times New Roman" w:cs="Times New Roman"/>
          <w:color w:val="auto"/>
          <w:sz w:val="21"/>
          <w:szCs w:val="21"/>
          <w:highlight w:val="none"/>
        </w:rPr>
        <w:t>便利</w:t>
      </w:r>
      <w:r>
        <w:rPr>
          <w:rFonts w:hint="default" w:ascii="Times New Roman" w:hAnsi="Times New Roman" w:cs="Times New Roman"/>
          <w:color w:val="auto"/>
          <w:sz w:val="21"/>
          <w:szCs w:val="21"/>
          <w:highlight w:val="none"/>
          <w:lang w:eastAsia="zh-CN"/>
        </w:rPr>
        <w:t>，向纳税人缴费人</w:t>
      </w:r>
      <w:r>
        <w:rPr>
          <w:rFonts w:hint="default" w:ascii="Times New Roman" w:hAnsi="Times New Roman" w:cs="Times New Roman"/>
          <w:color w:val="auto"/>
          <w:sz w:val="21"/>
          <w:szCs w:val="21"/>
          <w:highlight w:val="none"/>
        </w:rPr>
        <w:t>搭车收费或变相收费的，</w:t>
      </w:r>
      <w:r>
        <w:rPr>
          <w:rFonts w:hint="default" w:ascii="Times New Roman" w:hAnsi="Times New Roman" w:cs="Times New Roman"/>
          <w:color w:val="auto"/>
          <w:sz w:val="21"/>
          <w:szCs w:val="21"/>
          <w:highlight w:val="none"/>
          <w:lang w:eastAsia="zh-CN"/>
        </w:rPr>
        <w:t>或有其他失信行为的；</w:t>
      </w:r>
    </w:p>
    <w:p w14:paraId="2FDEA90F">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12.1.8 乙方在本项目实施过程中发生违反网络安全规定行为造成不良后果的。</w:t>
      </w:r>
    </w:p>
    <w:p w14:paraId="7979490F">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 xml:space="preserve"> 乙方提供的服务侵犯甲方、第三方知识产权等合法权益的；</w:t>
      </w:r>
    </w:p>
    <w:p w14:paraId="41B941BF">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 xml:space="preserve"> 乙方或乙方人员造成甲方或第三方经济损失而拒不赔偿的；</w:t>
      </w:r>
    </w:p>
    <w:p w14:paraId="6D9E0AC6">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 xml:space="preserve"> 乙方转让其应履行的合同义务，或未经甲方同意采取分包方式履行合同的；</w:t>
      </w:r>
    </w:p>
    <w:p w14:paraId="1FE96AD7">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乙方有其他严重违约行为的。</w:t>
      </w:r>
    </w:p>
    <w:p w14:paraId="32FAD250">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.2 如果甲方根据上述第1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.1条的规定，终止了全部或部分合同，甲方可以适当的条件和方法购买乙方未能提供的服务，乙方应对甲方购买类似服务所超出的费用负责。同时，乙方应继续执行合同中未终止的部分。</w:t>
      </w:r>
    </w:p>
    <w:p w14:paraId="3CC61B4B">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rPr>
        <w:t>. 破产终止合同</w:t>
      </w:r>
    </w:p>
    <w:p w14:paraId="56CB99B8">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.1 如果乙方破产或无清偿能力，甲方可在任何时候以书面形式通知乙方终止合同而不给乙方补偿。</w:t>
      </w:r>
    </w:p>
    <w:p w14:paraId="0314B04F">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.2该终止合同将不损害或影响甲方已经采取或将要采取的任何行动或补救措施的权力。</w:t>
      </w:r>
    </w:p>
    <w:p w14:paraId="48D39390">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4</w:t>
      </w:r>
      <w:r>
        <w:rPr>
          <w:rFonts w:hint="default" w:ascii="Times New Roman" w:hAnsi="Times New Roman" w:cs="Times New Roman"/>
          <w:b/>
          <w:color w:val="auto"/>
          <w:sz w:val="21"/>
          <w:szCs w:val="21"/>
          <w:highlight w:val="none"/>
        </w:rPr>
        <w:t>. 其他情况的终止合同</w:t>
      </w:r>
    </w:p>
    <w:p w14:paraId="0D8199E6">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.1 乙方在执行合同的过程中发生重大事故或变故，对履行合同有直接影响的，甲方可以提出终止合同而不给予乙方任何补偿。</w:t>
      </w:r>
    </w:p>
    <w:p w14:paraId="36D08E6E">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.2 在服务期内，由于甲方工作计划调整，推广使用新应用系统导致本项目相关服务停止的，甲方可以提出终止合同而不给予乙方任何补偿。</w:t>
      </w:r>
    </w:p>
    <w:p w14:paraId="54CC3C23">
      <w:pPr>
        <w:keepNext w:val="0"/>
        <w:keepLines w:val="0"/>
        <w:pageBreakBefore w:val="0"/>
        <w:widowControl w:val="0"/>
        <w:tabs>
          <w:tab w:val="left" w:pos="70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5</w:t>
      </w:r>
      <w:r>
        <w:rPr>
          <w:rFonts w:hint="default" w:ascii="Times New Roman" w:hAnsi="Times New Roman" w:cs="Times New Roman"/>
          <w:b/>
          <w:color w:val="auto"/>
          <w:sz w:val="21"/>
          <w:szCs w:val="21"/>
          <w:highlight w:val="none"/>
        </w:rPr>
        <w:t>. 合同修改或变更</w:t>
      </w:r>
    </w:p>
    <w:p w14:paraId="2E9BCF40">
      <w:pPr>
        <w:keepNext w:val="0"/>
        <w:keepLines w:val="0"/>
        <w:pageBreakBefore w:val="0"/>
        <w:widowControl w:val="0"/>
        <w:kinsoku/>
        <w:wordWrap/>
        <w:overflowPunct/>
        <w:bidi w:val="0"/>
        <w:adjustRightInd/>
        <w:snapToGrid/>
        <w:spacing w:line="360" w:lineRule="auto"/>
        <w:ind w:firstLine="48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.1 合同如有未尽事宜，须经甲乙双方共同协商，做出补充约定，并签订书面补充合同或变更协议。补充合同或变更协议作为本合同的一部分，与本合同具有同等效力。</w:t>
      </w:r>
    </w:p>
    <w:p w14:paraId="26EB98DD">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.2 除了双方签署书面修改或变更协议，并成为本合同不可分割的一部分的情况之外，本合同的条款不得有任何变化或修改。</w:t>
      </w:r>
    </w:p>
    <w:p w14:paraId="5592FB42">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.3 由于采购人项目统一规划等原因导致本项目停止部分服务的，甲方将启动合同变更程序，与乙方协商变更相关合同条款。</w:t>
      </w:r>
    </w:p>
    <w:p w14:paraId="4D9A83F8">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6</w:t>
      </w:r>
      <w:r>
        <w:rPr>
          <w:rFonts w:hint="default" w:ascii="Times New Roman" w:hAnsi="Times New Roman" w:cs="Times New Roman"/>
          <w:b/>
          <w:color w:val="auto"/>
          <w:sz w:val="21"/>
          <w:szCs w:val="21"/>
          <w:highlight w:val="none"/>
        </w:rPr>
        <w:t>. 转让和分包</w:t>
      </w:r>
    </w:p>
    <w:p w14:paraId="35FA9BE3">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.1 除甲方事先书面同意外，乙方不得部分转让或全部转让其应履行的合同义务。</w:t>
      </w:r>
    </w:p>
    <w:p w14:paraId="28E5137F">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16.2 </w:t>
      </w:r>
      <w:r>
        <w:rPr>
          <w:rFonts w:hint="default" w:ascii="Times New Roman" w:hAnsi="Times New Roman" w:eastAsia="宋体" w:cs="Times New Roman"/>
          <w:color w:val="auto"/>
          <w:sz w:val="21"/>
          <w:szCs w:val="21"/>
          <w:highlight w:val="none"/>
          <w:lang w:val="en-US" w:eastAsia="zh-CN"/>
        </w:rPr>
        <w:t>未经甲方同意，乙方不得采取分包方式履行合同。经甲方同意分包履行合同的，乙方就采购项目及分包项目向甲方负责，分包供应商就分包项目承担责任。</w:t>
      </w:r>
    </w:p>
    <w:p w14:paraId="4BD503B8">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 合同语言</w:t>
      </w:r>
    </w:p>
    <w:p w14:paraId="11660520">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.1 本合同语言为中文。</w:t>
      </w:r>
    </w:p>
    <w:p w14:paraId="18609488">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.2 双方交换的与合同有关的信件和其他文件应用合同语言书写。</w:t>
      </w:r>
    </w:p>
    <w:p w14:paraId="7B578E81">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18</w:t>
      </w:r>
      <w:r>
        <w:rPr>
          <w:rFonts w:hint="default" w:ascii="Times New Roman" w:hAnsi="Times New Roman" w:cs="Times New Roman"/>
          <w:b/>
          <w:color w:val="auto"/>
          <w:sz w:val="21"/>
          <w:szCs w:val="21"/>
          <w:highlight w:val="none"/>
        </w:rPr>
        <w:t>. 适用法律</w:t>
      </w:r>
    </w:p>
    <w:p w14:paraId="036F7FB4">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18</w:t>
      </w:r>
      <w:r>
        <w:rPr>
          <w:rFonts w:hint="default" w:ascii="Times New Roman" w:hAnsi="Times New Roman" w:cs="Times New Roman"/>
          <w:color w:val="auto"/>
          <w:sz w:val="21"/>
          <w:szCs w:val="21"/>
          <w:highlight w:val="none"/>
        </w:rPr>
        <w:t>.1 本合同按照中华人民共和国现行法律进行解释。</w:t>
      </w:r>
    </w:p>
    <w:p w14:paraId="4BA1B71E">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18</w:t>
      </w:r>
      <w:r>
        <w:rPr>
          <w:rFonts w:hint="default" w:ascii="Times New Roman" w:hAnsi="Times New Roman" w:cs="Times New Roman"/>
          <w:color w:val="auto"/>
          <w:sz w:val="21"/>
          <w:szCs w:val="21"/>
          <w:highlight w:val="none"/>
        </w:rPr>
        <w:t>.2 本合同的履行、违约责任和解决争议的方法等适用《中华人民共和国</w:t>
      </w:r>
      <w:r>
        <w:rPr>
          <w:rFonts w:hint="default" w:ascii="Times New Roman" w:hAnsi="Times New Roman" w:cs="Times New Roman"/>
          <w:color w:val="auto"/>
          <w:sz w:val="21"/>
          <w:szCs w:val="21"/>
          <w:highlight w:val="none"/>
          <w:lang w:eastAsia="zh-CN"/>
        </w:rPr>
        <w:t>民法典（合同编）</w:t>
      </w:r>
      <w:r>
        <w:rPr>
          <w:rFonts w:hint="default" w:ascii="Times New Roman" w:hAnsi="Times New Roman" w:cs="Times New Roman"/>
          <w:color w:val="auto"/>
          <w:sz w:val="21"/>
          <w:szCs w:val="21"/>
          <w:highlight w:val="none"/>
        </w:rPr>
        <w:t>》。</w:t>
      </w:r>
    </w:p>
    <w:p w14:paraId="72A0300D">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19</w:t>
      </w:r>
      <w:r>
        <w:rPr>
          <w:rFonts w:hint="default" w:ascii="Times New Roman" w:hAnsi="Times New Roman" w:cs="Times New Roman"/>
          <w:b/>
          <w:color w:val="auto"/>
          <w:sz w:val="21"/>
          <w:szCs w:val="21"/>
          <w:highlight w:val="none"/>
        </w:rPr>
        <w:t>. 税费</w:t>
      </w:r>
    </w:p>
    <w:p w14:paraId="5D04DD8D">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19</w:t>
      </w:r>
      <w:r>
        <w:rPr>
          <w:rFonts w:hint="default" w:ascii="Times New Roman" w:hAnsi="Times New Roman" w:cs="Times New Roman"/>
          <w:color w:val="auto"/>
          <w:sz w:val="21"/>
          <w:szCs w:val="21"/>
          <w:highlight w:val="none"/>
        </w:rPr>
        <w:t>.1 合同服务的所有税费均已包含于合同价中，甲方不再另行支付。</w:t>
      </w:r>
    </w:p>
    <w:p w14:paraId="5ABD05DD">
      <w:pPr>
        <w:keepNext w:val="0"/>
        <w:keepLines w:val="0"/>
        <w:pageBreakBefore w:val="0"/>
        <w:widowControl w:val="0"/>
        <w:tabs>
          <w:tab w:val="left" w:pos="70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20</w:t>
      </w:r>
      <w:r>
        <w:rPr>
          <w:rFonts w:hint="default" w:ascii="Times New Roman" w:hAnsi="Times New Roman" w:cs="Times New Roman"/>
          <w:b/>
          <w:color w:val="auto"/>
          <w:sz w:val="21"/>
          <w:szCs w:val="21"/>
          <w:highlight w:val="none"/>
        </w:rPr>
        <w:t>. 合同生效</w:t>
      </w:r>
    </w:p>
    <w:p w14:paraId="1A9DE36A">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20</w:t>
      </w:r>
      <w:r>
        <w:rPr>
          <w:rFonts w:hint="default" w:ascii="Times New Roman" w:hAnsi="Times New Roman" w:cs="Times New Roman"/>
          <w:color w:val="auto"/>
          <w:sz w:val="21"/>
          <w:szCs w:val="21"/>
          <w:highlight w:val="none"/>
        </w:rPr>
        <w:t>.1 本合同一式</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份，由甲乙双方法定代表人或被授权人签字并盖章后生效。</w:t>
      </w:r>
    </w:p>
    <w:p w14:paraId="17E0550B">
      <w:pPr>
        <w:keepNext w:val="0"/>
        <w:keepLines w:val="0"/>
        <w:pageBreakBefore w:val="0"/>
        <w:widowControl w:val="0"/>
        <w:kinsoku/>
        <w:wordWrap/>
        <w:overflowPunct/>
        <w:bidi w:val="0"/>
        <w:adjustRightInd/>
        <w:snapToGrid/>
        <w:spacing w:line="360" w:lineRule="auto"/>
        <w:textAlignment w:val="auto"/>
        <w:rPr>
          <w:rFonts w:hint="default" w:ascii="Times New Roman" w:hAnsi="Times New Roman" w:cs="Times New Roman"/>
          <w:color w:val="auto"/>
          <w:sz w:val="21"/>
          <w:szCs w:val="21"/>
          <w:highlight w:val="none"/>
        </w:rPr>
        <w:sectPr>
          <w:pgSz w:w="11907" w:h="16839"/>
          <w:pgMar w:top="1440" w:right="1746" w:bottom="1440" w:left="1746" w:header="1148" w:footer="709" w:gutter="0"/>
          <w:pgNumType w:fmt="decimal"/>
          <w:cols w:space="720" w:num="1"/>
          <w:docGrid w:linePitch="360" w:charSpace="0"/>
        </w:sectPr>
      </w:pPr>
    </w:p>
    <w:p w14:paraId="6E4C6D9F">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三</w:t>
      </w:r>
      <w:r>
        <w:rPr>
          <w:rFonts w:hint="eastAsia" w:ascii="宋体" w:hAnsi="宋体" w:cs="宋体"/>
          <w:b/>
          <w:color w:val="auto"/>
          <w:sz w:val="24"/>
          <w:szCs w:val="24"/>
          <w:highlight w:val="none"/>
          <w:lang w:val="en-US" w:eastAsia="zh-CN"/>
        </w:rPr>
        <w:t xml:space="preserve">   招标（采购）文件及投标（响应）文件</w:t>
      </w:r>
      <w:r>
        <w:rPr>
          <w:rFonts w:hint="eastAsia" w:ascii="宋体" w:hAnsi="宋体" w:cs="宋体"/>
          <w:b/>
          <w:color w:val="auto"/>
          <w:sz w:val="24"/>
          <w:szCs w:val="24"/>
          <w:highlight w:val="none"/>
          <w:lang w:eastAsia="zh-CN"/>
        </w:rPr>
        <w:t>（如有必要，可另附）</w:t>
      </w:r>
    </w:p>
    <w:p w14:paraId="31DB2B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szCs w:val="24"/>
          <w:highlight w:val="none"/>
        </w:rPr>
      </w:pPr>
      <w:r>
        <w:rPr>
          <w:rFonts w:hint="eastAsia" w:ascii="宋体" w:hAnsi="宋体" w:cs="宋体"/>
          <w:color w:val="auto"/>
          <w:sz w:val="24"/>
          <w:highlight w:val="none"/>
        </w:rPr>
        <w:br w:type="page"/>
      </w:r>
      <w:r>
        <w:rPr>
          <w:rFonts w:hint="eastAsia" w:ascii="宋体" w:hAnsi="宋体" w:cs="宋体"/>
          <w:b/>
          <w:color w:val="auto"/>
          <w:sz w:val="24"/>
          <w:szCs w:val="24"/>
          <w:highlight w:val="none"/>
          <w:lang w:eastAsia="zh-CN"/>
        </w:rPr>
        <w:t>四</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lang w:eastAsia="zh-CN"/>
        </w:rPr>
        <w:t>报价表（总报价表和分项报价表，如有需要可另附）</w:t>
      </w:r>
    </w:p>
    <w:p w14:paraId="2119BA29">
      <w:pPr>
        <w:rPr>
          <w:color w:val="auto"/>
        </w:rPr>
      </w:pPr>
    </w:p>
    <w:p w14:paraId="3460F547">
      <w:pPr>
        <w:rPr>
          <w:color w:val="auto"/>
          <w:highlight w:val="none"/>
        </w:rPr>
      </w:pPr>
    </w:p>
    <w:p w14:paraId="67E6D64D">
      <w:pPr>
        <w:pStyle w:val="4"/>
        <w:widowControl w:val="0"/>
        <w:spacing w:before="120" w:beforeAutospacing="0" w:after="120" w:afterAutospacing="0" w:line="360" w:lineRule="auto"/>
        <w:ind w:firstLine="480" w:firstLineChars="200"/>
        <w:jc w:val="both"/>
        <w:rPr>
          <w:rFonts w:ascii="仿宋_GB2312" w:hAnsi="仿宋_GB2312" w:eastAsia="仿宋_GB2312" w:cs="仿宋_GB2312"/>
          <w:color w:val="auto"/>
          <w:highlight w:val="none"/>
        </w:rPr>
      </w:pPr>
    </w:p>
    <w:p w14:paraId="20874807">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br w:type="page"/>
      </w:r>
    </w:p>
    <w:p w14:paraId="57E8B996">
      <w:pPr>
        <w:pStyle w:val="30"/>
        <w:snapToGrid w:val="0"/>
        <w:spacing w:before="120" w:after="120" w:line="360" w:lineRule="auto"/>
        <w:rPr>
          <w:rFonts w:hint="eastAsia" w:ascii="仿宋" w:hAnsi="仿宋" w:eastAsia="仿宋" w:cs="仿宋"/>
          <w:color w:val="auto"/>
          <w:highlight w:val="none"/>
        </w:rPr>
      </w:pPr>
      <w:bookmarkStart w:id="437" w:name="_Toc2076"/>
      <w:r>
        <w:rPr>
          <w:rFonts w:hint="eastAsia" w:ascii="仿宋" w:hAnsi="仿宋" w:eastAsia="仿宋" w:cs="仿宋"/>
          <w:color w:val="auto"/>
          <w:highlight w:val="none"/>
        </w:rPr>
        <w:t>附：保密协议</w:t>
      </w:r>
      <w:bookmarkEnd w:id="437"/>
    </w:p>
    <w:p w14:paraId="2AFB00A3">
      <w:pPr>
        <w:spacing w:line="360" w:lineRule="auto"/>
        <w:jc w:val="center"/>
        <w:outlineLvl w:val="0"/>
        <w:rPr>
          <w:rFonts w:hint="eastAsia" w:ascii="仿宋" w:hAnsi="仿宋" w:eastAsia="仿宋" w:cs="仿宋"/>
          <w:b/>
          <w:color w:val="auto"/>
          <w:sz w:val="36"/>
          <w:szCs w:val="36"/>
          <w:highlight w:val="none"/>
        </w:rPr>
      </w:pPr>
      <w:bookmarkStart w:id="438" w:name="_Toc1094"/>
      <w:r>
        <w:rPr>
          <w:rFonts w:hint="eastAsia" w:ascii="仿宋" w:hAnsi="仿宋" w:eastAsia="仿宋" w:cs="仿宋"/>
          <w:b/>
          <w:color w:val="auto"/>
          <w:sz w:val="36"/>
          <w:szCs w:val="36"/>
          <w:highlight w:val="none"/>
        </w:rPr>
        <w:t>信息安全保密协议</w:t>
      </w:r>
      <w:bookmarkEnd w:id="438"/>
    </w:p>
    <w:p w14:paraId="5928217C">
      <w:pPr>
        <w:spacing w:line="360" w:lineRule="auto"/>
        <w:rPr>
          <w:rFonts w:hint="eastAsia" w:ascii="仿宋" w:hAnsi="仿宋" w:eastAsia="仿宋" w:cs="仿宋"/>
          <w:color w:val="auto"/>
          <w:sz w:val="24"/>
          <w:highlight w:val="none"/>
        </w:rPr>
      </w:pPr>
    </w:p>
    <w:p w14:paraId="5FE4B073">
      <w:pPr>
        <w:adjustRightInd/>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甲方：</w:t>
      </w:r>
      <w:r>
        <w:rPr>
          <w:rFonts w:hint="eastAsia" w:ascii="仿宋" w:hAnsi="仿宋" w:eastAsia="仿宋" w:cs="仿宋"/>
          <w:color w:val="auto"/>
          <w:sz w:val="24"/>
          <w:highlight w:val="none"/>
          <w:u w:val="single"/>
        </w:rPr>
        <w:t>国家税务总局浙江省税务局</w:t>
      </w:r>
    </w:p>
    <w:p w14:paraId="21884BBB">
      <w:pPr>
        <w:adjustRightInd/>
        <w:spacing w:line="360" w:lineRule="auto"/>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乙方：</w:t>
      </w:r>
      <w:r>
        <w:rPr>
          <w:rFonts w:hint="eastAsia" w:ascii="仿宋" w:hAnsi="仿宋" w:eastAsia="仿宋" w:cs="仿宋"/>
          <w:color w:val="auto"/>
          <w:sz w:val="24"/>
          <w:highlight w:val="none"/>
          <w:u w:val="single"/>
        </w:rPr>
        <w:t xml:space="preserve">                          </w:t>
      </w:r>
    </w:p>
    <w:p w14:paraId="5AD352D5">
      <w:pPr>
        <w:adjustRightInd/>
        <w:spacing w:line="360" w:lineRule="auto"/>
        <w:ind w:firstLine="480" w:firstLineChars="200"/>
        <w:rPr>
          <w:rFonts w:hint="eastAsia" w:ascii="仿宋" w:hAnsi="仿宋" w:eastAsia="仿宋" w:cs="仿宋"/>
          <w:color w:val="auto"/>
          <w:sz w:val="24"/>
          <w:highlight w:val="none"/>
        </w:rPr>
      </w:pPr>
    </w:p>
    <w:p w14:paraId="028DADAF">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为切实保障</w:t>
      </w:r>
      <w:r>
        <w:rPr>
          <w:rFonts w:hint="eastAsia" w:ascii="仿宋" w:hAnsi="仿宋" w:eastAsia="仿宋" w:cs="仿宋"/>
          <w:color w:val="auto"/>
          <w:sz w:val="24"/>
          <w:highlight w:val="none"/>
          <w:u w:val="single"/>
          <w:lang w:eastAsia="zh-CN"/>
        </w:rPr>
        <w:t>国家税务总局浙江省税务局IDC机房巡检服务项目</w:t>
      </w:r>
      <w:r>
        <w:rPr>
          <w:rFonts w:hint="eastAsia" w:ascii="仿宋" w:hAnsi="仿宋" w:eastAsia="仿宋" w:cs="仿宋"/>
          <w:color w:val="auto"/>
          <w:sz w:val="24"/>
          <w:highlight w:val="none"/>
        </w:rPr>
        <w:t>中涉及的国家秘密、工作秘密安全，根据有关法律、法规之规定，经双方同意，签订如下保密协议：</w:t>
      </w:r>
    </w:p>
    <w:p w14:paraId="2F6100FA">
      <w:pPr>
        <w:adjustRightInd/>
        <w:spacing w:line="360" w:lineRule="auto"/>
        <w:ind w:firstLine="482" w:firstLineChars="200"/>
        <w:rPr>
          <w:rFonts w:hint="eastAsia" w:ascii="仿宋" w:hAnsi="仿宋" w:eastAsia="仿宋" w:cs="仿宋"/>
          <w:b/>
          <w:color w:val="auto"/>
          <w:sz w:val="24"/>
          <w:highlight w:val="none"/>
        </w:rPr>
      </w:pPr>
      <w:bookmarkStart w:id="439" w:name="_Toc30629"/>
      <w:r>
        <w:rPr>
          <w:rFonts w:hint="eastAsia" w:ascii="仿宋" w:hAnsi="仿宋" w:eastAsia="仿宋" w:cs="仿宋"/>
          <w:b/>
          <w:color w:val="auto"/>
          <w:sz w:val="24"/>
          <w:highlight w:val="none"/>
        </w:rPr>
        <w:t>一、保密范围</w:t>
      </w:r>
      <w:bookmarkEnd w:id="439"/>
    </w:p>
    <w:p w14:paraId="48E7388E">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乙方为建设（维护）甲方的“</w:t>
      </w:r>
      <w:r>
        <w:rPr>
          <w:rFonts w:hint="eastAsia" w:ascii="仿宋" w:hAnsi="仿宋" w:eastAsia="仿宋" w:cs="仿宋"/>
          <w:color w:val="auto"/>
          <w:sz w:val="24"/>
          <w:highlight w:val="none"/>
          <w:u w:val="single"/>
          <w:lang w:eastAsia="zh-CN"/>
        </w:rPr>
        <w:t>国家税务总局浙江省税务局IDC机房巡检服务项目</w:t>
      </w:r>
      <w:r>
        <w:rPr>
          <w:rFonts w:hint="eastAsia" w:ascii="仿宋" w:hAnsi="仿宋" w:eastAsia="仿宋" w:cs="仿宋"/>
          <w:color w:val="auto"/>
          <w:sz w:val="24"/>
          <w:highlight w:val="none"/>
        </w:rPr>
        <w:t>”项目而从甲方了解、掌握的国家秘密和工作秘密，包括项目的内容、实际用途、安全保密措施、各类设备技术参数，以及甲方建设的场地环境、硬件、软件、电子信息和其他所有需要保密的资料内容（以上简称专有信息）。</w:t>
      </w:r>
    </w:p>
    <w:p w14:paraId="016D1101">
      <w:pPr>
        <w:adjustRightInd/>
        <w:spacing w:line="360" w:lineRule="auto"/>
        <w:ind w:firstLine="482" w:firstLineChars="200"/>
        <w:rPr>
          <w:rFonts w:hint="eastAsia" w:ascii="仿宋" w:hAnsi="仿宋" w:eastAsia="仿宋" w:cs="仿宋"/>
          <w:b/>
          <w:color w:val="auto"/>
          <w:sz w:val="24"/>
          <w:highlight w:val="none"/>
        </w:rPr>
      </w:pPr>
      <w:bookmarkStart w:id="440" w:name="_Toc25377"/>
      <w:r>
        <w:rPr>
          <w:rFonts w:hint="eastAsia" w:ascii="仿宋" w:hAnsi="仿宋" w:eastAsia="仿宋" w:cs="仿宋"/>
          <w:b/>
          <w:color w:val="auto"/>
          <w:sz w:val="24"/>
          <w:highlight w:val="none"/>
        </w:rPr>
        <w:t>二、保密责任</w:t>
      </w:r>
      <w:bookmarkEnd w:id="440"/>
    </w:p>
    <w:p w14:paraId="196047F2">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1.甲方应加强对乙方及参与本项目工作人员的安全保密监管，及时发现安全保密隐患和问题。乙方应配合甲方对乙方有关人员进行审查、教育培训，及时调整不合适的人员。</w:t>
      </w:r>
    </w:p>
    <w:p w14:paraId="4BE68B69">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2.乙方必须在签订本保密协议后，才可使用甲方提供的有关专有信息，建设（维护）“</w:t>
      </w:r>
      <w:r>
        <w:rPr>
          <w:rFonts w:hint="eastAsia" w:ascii="仿宋" w:hAnsi="仿宋" w:eastAsia="仿宋" w:cs="仿宋"/>
          <w:color w:val="auto"/>
          <w:sz w:val="24"/>
          <w:highlight w:val="none"/>
          <w:u w:val="single"/>
          <w:lang w:eastAsia="zh-CN"/>
        </w:rPr>
        <w:t>国家税务总局浙江省税务局IDC机房巡检服务项目</w:t>
      </w:r>
      <w:r>
        <w:rPr>
          <w:rFonts w:hint="eastAsia" w:ascii="仿宋" w:hAnsi="仿宋" w:eastAsia="仿宋" w:cs="仿宋"/>
          <w:color w:val="auto"/>
          <w:sz w:val="24"/>
          <w:highlight w:val="none"/>
        </w:rPr>
        <w:t>”。</w:t>
      </w:r>
    </w:p>
    <w:p w14:paraId="3EEA740A">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3.乙方同意严格控制甲方的专有信息，保证不向第三方泄露甲方提供的任何专有信息，并对该专有信息的保管提供良好的安全保密环境及措施。</w:t>
      </w:r>
    </w:p>
    <w:p w14:paraId="72F942BC">
      <w:pPr>
        <w:adjustRightInd/>
        <w:spacing w:line="360" w:lineRule="auto"/>
        <w:ind w:firstLine="508" w:firstLineChars="212"/>
        <w:rPr>
          <w:rStyle w:val="970"/>
          <w:rFonts w:hint="eastAsia" w:ascii="仿宋" w:hAnsi="仿宋" w:eastAsia="仿宋" w:cs="仿宋"/>
          <w:color w:val="auto"/>
          <w:highlight w:val="none"/>
        </w:rPr>
      </w:pPr>
      <w:r>
        <w:rPr>
          <w:rFonts w:hint="eastAsia" w:ascii="仿宋" w:hAnsi="仿宋" w:eastAsia="仿宋" w:cs="仿宋"/>
          <w:color w:val="auto"/>
          <w:sz w:val="24"/>
          <w:highlight w:val="none"/>
        </w:rPr>
        <w:t>4.乙方不得将甲方的专有信息用于其它任何目的。除乙方直接参与本项工程的人员之外，不将专有信息透露给其它任何人。乙方及其参与本项工作的人员不得在系统建设中私设“后门”、</w:t>
      </w:r>
      <w:r>
        <w:rPr>
          <w:rStyle w:val="970"/>
          <w:rFonts w:hint="eastAsia" w:ascii="仿宋" w:hAnsi="仿宋" w:eastAsia="仿宋" w:cs="仿宋"/>
          <w:color w:val="auto"/>
          <w:highlight w:val="none"/>
        </w:rPr>
        <w:t>通过互联网进行远程维护等</w:t>
      </w:r>
      <w:r>
        <w:rPr>
          <w:rFonts w:hint="eastAsia" w:ascii="仿宋" w:hAnsi="仿宋" w:eastAsia="仿宋" w:cs="仿宋"/>
          <w:color w:val="auto"/>
          <w:sz w:val="24"/>
          <w:highlight w:val="none"/>
        </w:rPr>
        <w:t>非法操作</w:t>
      </w:r>
      <w:r>
        <w:rPr>
          <w:rStyle w:val="970"/>
          <w:rFonts w:hint="eastAsia" w:ascii="仿宋" w:hAnsi="仿宋" w:eastAsia="仿宋" w:cs="仿宋"/>
          <w:color w:val="auto"/>
          <w:highlight w:val="none"/>
        </w:rPr>
        <w:t>。不得私自使用、查询、复制甲方的资料信息。</w:t>
      </w:r>
    </w:p>
    <w:p w14:paraId="5172C341">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乙方应当告知并采取有效措施要求参与本项工作的人员遵守本协议规定。</w:t>
      </w:r>
    </w:p>
    <w:p w14:paraId="51F33E59">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5.乙方发现保密范围内的有关事项已经泄露或可能泄露时应当及时报告甲方，并立即采取补救措施。</w:t>
      </w:r>
    </w:p>
    <w:p w14:paraId="30001EA3">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6.当甲方以书面形式要求乙方交回专有信息时，乙方应当立即交回所有书面或其他形式的专有信息以及所有描述和概括该专有信息的文件资料，不能以任何形式保留或擅自处理。</w:t>
      </w:r>
    </w:p>
    <w:p w14:paraId="01177AE8">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乙方承诺严格按照GB/T22239-2019《信息安全技术网络安全等级保护基本要求》的标准研发、部署、检测、维护业务信息系统。上线运行的业务系统将向甲方提供代码审计、渗透测试、安全测评等符合性报告，主动做好风险隐患和技术漏洞的修复整改工作，符合网络安全信息系统三级等保要求。</w:t>
      </w:r>
    </w:p>
    <w:p w14:paraId="76488694">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8.乙方承诺不利用提供产品或服务的便利条件非法获取用户数据、非法控制和操作用户设备，无正当理由不中断产品供应或者必要的技术支持服务。</w:t>
      </w:r>
    </w:p>
    <w:p w14:paraId="7E704078">
      <w:pPr>
        <w:adjustRightInd/>
        <w:spacing w:line="360" w:lineRule="auto"/>
        <w:ind w:firstLine="482" w:firstLineChars="200"/>
        <w:rPr>
          <w:rFonts w:hint="eastAsia" w:ascii="仿宋" w:hAnsi="仿宋" w:eastAsia="仿宋" w:cs="仿宋"/>
          <w:b/>
          <w:color w:val="auto"/>
          <w:sz w:val="24"/>
          <w:highlight w:val="none"/>
        </w:rPr>
      </w:pPr>
      <w:bookmarkStart w:id="441" w:name="_Toc6230"/>
      <w:r>
        <w:rPr>
          <w:rFonts w:hint="eastAsia" w:ascii="仿宋" w:hAnsi="仿宋" w:eastAsia="仿宋" w:cs="仿宋"/>
          <w:b/>
          <w:color w:val="auto"/>
          <w:sz w:val="24"/>
          <w:highlight w:val="none"/>
        </w:rPr>
        <w:t>三、违约责任</w:t>
      </w:r>
      <w:bookmarkEnd w:id="441"/>
    </w:p>
    <w:p w14:paraId="5FCABE8B">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乙方或参与本项目的工作人员违反本协议规定，造成泄密事件或经济损失的，乙方应承担有关法律责任，并赔偿相应经济损失。</w:t>
      </w:r>
    </w:p>
    <w:p w14:paraId="0DE14C02">
      <w:pPr>
        <w:adjustRightInd/>
        <w:spacing w:line="360" w:lineRule="auto"/>
        <w:ind w:firstLine="482" w:firstLineChars="200"/>
        <w:rPr>
          <w:rFonts w:hint="eastAsia" w:ascii="仿宋" w:hAnsi="仿宋" w:eastAsia="仿宋" w:cs="仿宋"/>
          <w:b/>
          <w:color w:val="auto"/>
          <w:sz w:val="24"/>
          <w:highlight w:val="none"/>
        </w:rPr>
      </w:pPr>
      <w:bookmarkStart w:id="442" w:name="_Toc30824"/>
      <w:r>
        <w:rPr>
          <w:rFonts w:hint="eastAsia" w:ascii="仿宋" w:hAnsi="仿宋" w:eastAsia="仿宋" w:cs="仿宋"/>
          <w:b/>
          <w:color w:val="auto"/>
          <w:sz w:val="24"/>
          <w:highlight w:val="none"/>
        </w:rPr>
        <w:t>四、保密期限</w:t>
      </w:r>
      <w:bookmarkEnd w:id="442"/>
    </w:p>
    <w:p w14:paraId="00AEE7D6">
      <w:pPr>
        <w:adjustRightInd/>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自协议生效之日起，双方的合作交流都要符合协议的条款和甲方保密主管部门的相关要求。乙方必须履行保密义务，对在项目建设中获知的专有信息进行保密，除非甲方通过书面通知明确说明对本协议所涉及的某项专有信息予以解密或同意共享。保密期限不受项目建设合同有效期限的限制。</w:t>
      </w:r>
      <w:bookmarkStart w:id="443" w:name="_Toc25868"/>
    </w:p>
    <w:p w14:paraId="78E574A4">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五、附则</w:t>
      </w:r>
      <w:bookmarkEnd w:id="443"/>
    </w:p>
    <w:p w14:paraId="5F368916">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1.本协议一式三份，甲乙双方各执一份，甲方保密部门一份。</w:t>
      </w:r>
    </w:p>
    <w:p w14:paraId="27401308">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2.本协议双方签字盖章后生效。</w:t>
      </w:r>
    </w:p>
    <w:p w14:paraId="0E01C8D9">
      <w:pPr>
        <w:adjustRightInd/>
        <w:spacing w:line="360" w:lineRule="auto"/>
        <w:ind w:firstLine="480" w:firstLineChars="200"/>
        <w:rPr>
          <w:rFonts w:hint="eastAsia" w:ascii="仿宋" w:hAnsi="仿宋" w:eastAsia="仿宋" w:cs="仿宋"/>
          <w:color w:val="auto"/>
          <w:sz w:val="24"/>
          <w:highlight w:val="none"/>
        </w:rPr>
      </w:pPr>
    </w:p>
    <w:p w14:paraId="3EE889B5">
      <w:p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甲方代表签字：              　乙方代表签字：</w:t>
      </w:r>
    </w:p>
    <w:p w14:paraId="18645E9E">
      <w:p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　　　　　　　　　　联系电话：</w:t>
      </w:r>
    </w:p>
    <w:p w14:paraId="7B41DBD6">
      <w:p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单位盖章：                    单位盖章:</w:t>
      </w:r>
    </w:p>
    <w:p w14:paraId="61495713">
      <w:p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日    期：</w:t>
      </w:r>
    </w:p>
    <w:p w14:paraId="66544EF0">
      <w:pPr>
        <w:pStyle w:val="5"/>
        <w:rPr>
          <w:b w:val="0"/>
          <w:color w:val="auto"/>
          <w:highlight w:val="none"/>
        </w:rPr>
        <w:sectPr>
          <w:pgSz w:w="11906" w:h="16838"/>
          <w:pgMar w:top="1276" w:right="1418" w:bottom="1247" w:left="1418" w:header="851" w:footer="992" w:gutter="0"/>
          <w:pgNumType w:fmt="decimal"/>
          <w:cols w:space="720" w:num="1"/>
          <w:titlePg/>
          <w:docGrid w:linePitch="312" w:charSpace="0"/>
        </w:sectPr>
      </w:pPr>
    </w:p>
    <w:p w14:paraId="4B80B8AA">
      <w:pPr>
        <w:spacing w:line="360" w:lineRule="auto"/>
        <w:ind w:left="-420" w:leftChars="-200" w:right="-420" w:rightChars="-200" w:firstLine="480" w:firstLineChars="200"/>
        <w:jc w:val="center"/>
        <w:outlineLvl w:val="0"/>
        <w:rPr>
          <w:rFonts w:ascii="仿宋" w:hAnsi="仿宋" w:eastAsia="仿宋"/>
          <w:color w:val="auto"/>
          <w:sz w:val="24"/>
          <w:highlight w:val="none"/>
        </w:rPr>
      </w:pPr>
    </w:p>
    <w:p w14:paraId="6EDE3D7D">
      <w:pPr>
        <w:rPr>
          <w:rFonts w:ascii="仿宋" w:hAnsi="仿宋" w:eastAsia="仿宋" w:cs="仿宋_GB2312"/>
          <w:b/>
          <w:color w:val="auto"/>
          <w:sz w:val="36"/>
          <w:szCs w:val="20"/>
          <w:highlight w:val="none"/>
        </w:rPr>
      </w:pPr>
    </w:p>
    <w:p w14:paraId="147859F6">
      <w:pPr>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435"/>
      <w:r>
        <w:rPr>
          <w:rFonts w:ascii="仿宋" w:hAnsi="仿宋" w:eastAsia="仿宋" w:cs="仿宋_GB2312"/>
          <w:b/>
          <w:color w:val="auto"/>
          <w:sz w:val="36"/>
          <w:szCs w:val="20"/>
          <w:highlight w:val="none"/>
        </w:rPr>
        <w:t xml:space="preserve"> </w:t>
      </w:r>
      <w:bookmarkEnd w:id="436"/>
      <w:r>
        <w:rPr>
          <w:rFonts w:hint="eastAsia" w:ascii="仿宋" w:hAnsi="仿宋" w:eastAsia="仿宋" w:cs="仿宋_GB2312"/>
          <w:b/>
          <w:color w:val="auto"/>
          <w:sz w:val="36"/>
          <w:szCs w:val="20"/>
          <w:highlight w:val="none"/>
        </w:rPr>
        <w:t>应提交的有关格式范例</w:t>
      </w:r>
    </w:p>
    <w:p w14:paraId="26D7DA55">
      <w:pPr>
        <w:spacing w:line="360" w:lineRule="auto"/>
        <w:jc w:val="center"/>
        <w:outlineLvl w:val="0"/>
        <w:rPr>
          <w:rFonts w:ascii="仿宋_GB2312" w:hAnsi="仿宋" w:eastAsia="仿宋_GB2312" w:cs="仿宋_GB2312"/>
          <w:b/>
          <w:color w:val="auto"/>
          <w:kern w:val="0"/>
          <w:sz w:val="36"/>
          <w:szCs w:val="36"/>
          <w:highlight w:val="none"/>
        </w:rPr>
      </w:pPr>
    </w:p>
    <w:p w14:paraId="580E2DE6">
      <w:pPr>
        <w:spacing w:line="360" w:lineRule="auto"/>
        <w:jc w:val="center"/>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14:paraId="19E9E7F5">
      <w:pPr>
        <w:bidi w:val="0"/>
        <w:jc w:val="center"/>
        <w:rPr>
          <w:color w:val="auto"/>
          <w:sz w:val="32"/>
          <w:szCs w:val="32"/>
          <w:highlight w:val="none"/>
        </w:rPr>
      </w:pPr>
      <w:r>
        <w:rPr>
          <w:rFonts w:hint="eastAsia"/>
          <w:color w:val="auto"/>
          <w:sz w:val="32"/>
          <w:szCs w:val="32"/>
          <w:highlight w:val="none"/>
        </w:rPr>
        <w:t>目录</w:t>
      </w:r>
    </w:p>
    <w:p w14:paraId="7C0FCFE5">
      <w:pPr>
        <w:bidi w:val="0"/>
        <w:rPr>
          <w:color w:val="auto"/>
          <w:highlight w:val="none"/>
        </w:rPr>
      </w:pPr>
    </w:p>
    <w:p w14:paraId="3584F28D">
      <w:pPr>
        <w:pStyle w:val="24"/>
        <w:rPr>
          <w:rFonts w:hint="eastAsia" w:ascii="仿宋" w:hAnsi="仿宋" w:eastAsia="仿宋" w:cs="仿宋"/>
          <w:color w:val="auto"/>
          <w:highlight w:val="none"/>
        </w:rPr>
      </w:pPr>
    </w:p>
    <w:p w14:paraId="5C29DED0">
      <w:pPr>
        <w:numPr>
          <w:ilvl w:val="0"/>
          <w:numId w:val="4"/>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符合参加政府采购活动应当具备的一般条件的承诺函……………（页码）</w:t>
      </w:r>
    </w:p>
    <w:p w14:paraId="5BD8CE2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联合协议………………………………………………………………（页码）</w:t>
      </w:r>
    </w:p>
    <w:p w14:paraId="07C9D22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）落实政府采购政策需满足的资格要求………………………………（页码）</w:t>
      </w:r>
    </w:p>
    <w:p w14:paraId="5489B01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）本项目的特定资格要求………………………………………………（页码）</w:t>
      </w:r>
    </w:p>
    <w:p w14:paraId="62A0CC97">
      <w:pPr>
        <w:pStyle w:val="6"/>
        <w:rPr>
          <w:rFonts w:hint="eastAsia" w:ascii="仿宋" w:hAnsi="仿宋" w:eastAsia="仿宋" w:cs="仿宋"/>
          <w:color w:val="auto"/>
          <w:highlight w:val="none"/>
        </w:rPr>
      </w:pPr>
    </w:p>
    <w:p w14:paraId="34619A0A">
      <w:pPr>
        <w:snapToGrid w:val="0"/>
        <w:spacing w:line="360" w:lineRule="auto"/>
        <w:ind w:firstLine="480" w:firstLineChars="200"/>
        <w:rPr>
          <w:rFonts w:hint="eastAsia" w:ascii="仿宋" w:hAnsi="仿宋" w:eastAsia="仿宋" w:cs="仿宋"/>
          <w:color w:val="auto"/>
          <w:sz w:val="24"/>
          <w:highlight w:val="none"/>
        </w:rPr>
      </w:pPr>
    </w:p>
    <w:p w14:paraId="7BFC17F9">
      <w:pPr>
        <w:spacing w:line="360" w:lineRule="auto"/>
        <w:ind w:firstLine="480" w:firstLineChars="200"/>
        <w:rPr>
          <w:rFonts w:hint="eastAsia" w:ascii="仿宋" w:hAnsi="仿宋" w:eastAsia="仿宋" w:cs="仿宋"/>
          <w:color w:val="auto"/>
          <w:sz w:val="24"/>
          <w:highlight w:val="none"/>
        </w:rPr>
      </w:pPr>
    </w:p>
    <w:p w14:paraId="0272D52E">
      <w:pPr>
        <w:snapToGrid w:val="0"/>
        <w:spacing w:line="360" w:lineRule="auto"/>
        <w:ind w:right="480"/>
        <w:jc w:val="both"/>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 符合参加政府采购活动应当具备的一般条件的承诺函</w:t>
      </w:r>
    </w:p>
    <w:p w14:paraId="11C7CFC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1F0B696E">
      <w:pPr>
        <w:snapToGrid w:val="0"/>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】政府采购活动，郑重承诺：</w:t>
      </w:r>
    </w:p>
    <w:p w14:paraId="536D95B8">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347723E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21E82E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272F9C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5F83B1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D8DC68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15C90F2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5E5D16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7AD9411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1AE50B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56AB149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14F86C0E">
      <w:pPr>
        <w:pStyle w:val="24"/>
        <w:rPr>
          <w:rFonts w:hint="eastAsia" w:ascii="仿宋" w:hAnsi="仿宋" w:eastAsia="仿宋" w:cs="仿宋"/>
          <w:color w:val="auto"/>
          <w:sz w:val="24"/>
          <w:highlight w:val="none"/>
        </w:rPr>
      </w:pPr>
    </w:p>
    <w:p w14:paraId="2D315E30">
      <w:pPr>
        <w:rPr>
          <w:rFonts w:hint="eastAsia" w:ascii="仿宋" w:hAnsi="仿宋" w:eastAsia="仿宋" w:cs="仿宋"/>
          <w:color w:val="auto"/>
          <w:highlight w:val="none"/>
        </w:rPr>
      </w:pPr>
    </w:p>
    <w:p w14:paraId="4867CFCC">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94AEE5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w:t>
      </w:r>
    </w:p>
    <w:p w14:paraId="394F1B4F">
      <w:pPr>
        <w:snapToGrid w:val="0"/>
        <w:spacing w:line="360" w:lineRule="auto"/>
        <w:ind w:right="480"/>
        <w:jc w:val="center"/>
        <w:rPr>
          <w:rFonts w:hint="eastAsia" w:ascii="仿宋" w:hAnsi="仿宋" w:eastAsia="仿宋" w:cs="仿宋"/>
          <w:b/>
          <w:color w:val="auto"/>
          <w:kern w:val="0"/>
          <w:sz w:val="32"/>
          <w:szCs w:val="32"/>
          <w:highlight w:val="none"/>
        </w:rPr>
      </w:pPr>
    </w:p>
    <w:p w14:paraId="3E984DE6">
      <w:pPr>
        <w:snapToGrid w:val="0"/>
        <w:spacing w:line="360" w:lineRule="auto"/>
        <w:ind w:right="480"/>
        <w:jc w:val="center"/>
        <w:rPr>
          <w:rFonts w:hint="eastAsia" w:ascii="仿宋" w:hAnsi="仿宋" w:eastAsia="仿宋" w:cs="仿宋"/>
          <w:b/>
          <w:color w:val="auto"/>
          <w:kern w:val="0"/>
          <w:sz w:val="32"/>
          <w:szCs w:val="32"/>
          <w:highlight w:val="none"/>
        </w:rPr>
      </w:pPr>
    </w:p>
    <w:p w14:paraId="7BFC262A">
      <w:pPr>
        <w:rPr>
          <w:rFonts w:hint="eastAsia" w:ascii="仿宋" w:hAnsi="仿宋" w:eastAsia="仿宋" w:cs="仿宋"/>
          <w:color w:val="auto"/>
          <w:highlight w:val="none"/>
        </w:rPr>
      </w:pPr>
    </w:p>
    <w:p w14:paraId="0B6856D8">
      <w:pPr>
        <w:snapToGrid w:val="0"/>
        <w:spacing w:line="360" w:lineRule="auto"/>
        <w:ind w:right="480"/>
        <w:jc w:val="center"/>
        <w:rPr>
          <w:rFonts w:hint="eastAsia" w:ascii="仿宋" w:hAnsi="仿宋" w:eastAsia="仿宋" w:cs="仿宋"/>
          <w:b/>
          <w:color w:val="auto"/>
          <w:kern w:val="0"/>
          <w:sz w:val="32"/>
          <w:szCs w:val="32"/>
          <w:highlight w:val="none"/>
        </w:rPr>
      </w:pPr>
    </w:p>
    <w:p w14:paraId="0BA1128B">
      <w:pPr>
        <w:snapToGrid w:val="0"/>
        <w:spacing w:line="360" w:lineRule="auto"/>
        <w:ind w:right="480"/>
        <w:jc w:val="center"/>
        <w:rPr>
          <w:rFonts w:hint="eastAsia" w:ascii="仿宋" w:hAnsi="仿宋" w:eastAsia="仿宋" w:cs="仿宋"/>
          <w:b/>
          <w:color w:val="auto"/>
          <w:kern w:val="0"/>
          <w:sz w:val="32"/>
          <w:szCs w:val="32"/>
          <w:highlight w:val="none"/>
        </w:rPr>
      </w:pPr>
    </w:p>
    <w:p w14:paraId="2708DFF0">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1BA587C">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二、联合协议（如有）</w:t>
      </w:r>
    </w:p>
    <w:p w14:paraId="36F176E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[以联合体形式投标的，提供联合协议（附件5）；本项目不接受联合体投标或者投标人不以联合体形式投标的，则不需要提供）]</w:t>
      </w:r>
    </w:p>
    <w:p w14:paraId="3BD3672F">
      <w:pPr>
        <w:snapToGrid w:val="0"/>
        <w:spacing w:line="360" w:lineRule="auto"/>
        <w:ind w:right="480"/>
        <w:jc w:val="center"/>
        <w:rPr>
          <w:rFonts w:hint="eastAsia" w:ascii="仿宋" w:hAnsi="仿宋" w:eastAsia="仿宋" w:cs="仿宋"/>
          <w:b/>
          <w:color w:val="auto"/>
          <w:kern w:val="0"/>
          <w:sz w:val="32"/>
          <w:szCs w:val="32"/>
          <w:highlight w:val="none"/>
        </w:rPr>
      </w:pPr>
    </w:p>
    <w:p w14:paraId="70F6524C">
      <w:pPr>
        <w:snapToGrid w:val="0"/>
        <w:spacing w:line="360" w:lineRule="auto"/>
        <w:ind w:right="480"/>
        <w:jc w:val="center"/>
        <w:rPr>
          <w:rFonts w:hint="eastAsia" w:ascii="仿宋" w:hAnsi="仿宋" w:eastAsia="仿宋" w:cs="仿宋"/>
          <w:b/>
          <w:color w:val="auto"/>
          <w:kern w:val="0"/>
          <w:sz w:val="32"/>
          <w:szCs w:val="32"/>
          <w:highlight w:val="none"/>
        </w:rPr>
      </w:pPr>
    </w:p>
    <w:p w14:paraId="3357A7AA">
      <w:pPr>
        <w:snapToGrid w:val="0"/>
        <w:spacing w:line="360" w:lineRule="auto"/>
        <w:ind w:right="480"/>
        <w:jc w:val="center"/>
        <w:rPr>
          <w:rFonts w:hint="eastAsia" w:ascii="仿宋" w:hAnsi="仿宋" w:eastAsia="仿宋" w:cs="仿宋"/>
          <w:b/>
          <w:color w:val="auto"/>
          <w:kern w:val="0"/>
          <w:sz w:val="32"/>
          <w:szCs w:val="32"/>
          <w:highlight w:val="none"/>
        </w:rPr>
      </w:pPr>
    </w:p>
    <w:p w14:paraId="54464DC6">
      <w:pPr>
        <w:snapToGrid w:val="0"/>
        <w:spacing w:line="360" w:lineRule="auto"/>
        <w:ind w:right="480"/>
        <w:jc w:val="center"/>
        <w:rPr>
          <w:rFonts w:hint="eastAsia" w:ascii="仿宋" w:hAnsi="仿宋" w:eastAsia="仿宋" w:cs="仿宋"/>
          <w:b/>
          <w:color w:val="auto"/>
          <w:kern w:val="0"/>
          <w:sz w:val="32"/>
          <w:szCs w:val="32"/>
          <w:highlight w:val="none"/>
        </w:rPr>
      </w:pPr>
    </w:p>
    <w:p w14:paraId="64429EDD">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、落实政府采购政策需满足的资格要求</w:t>
      </w:r>
    </w:p>
    <w:p w14:paraId="1E81D77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6F8B2100">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.专门面向中小企业，服务全部由符合政策要求的中小企业（或小微企业）承接的，提供相应的中小企业声明函</w:t>
      </w:r>
      <w:r>
        <w:rPr>
          <w:rFonts w:hint="eastAsia" w:ascii="仿宋" w:hAnsi="仿宋" w:eastAsia="仿宋" w:cs="仿宋"/>
          <w:color w:val="auto"/>
          <w:sz w:val="24"/>
          <w:highlight w:val="none"/>
          <w:lang w:eastAsia="zh-CN"/>
        </w:rPr>
        <w:t>（监狱企业及残疾人福利性单位视同小型、微型企业）</w:t>
      </w:r>
      <w:r>
        <w:rPr>
          <w:rFonts w:hint="eastAsia" w:ascii="仿宋" w:hAnsi="仿宋" w:eastAsia="仿宋" w:cs="仿宋"/>
          <w:color w:val="auto"/>
          <w:sz w:val="24"/>
          <w:highlight w:val="none"/>
        </w:rPr>
        <w:t xml:space="preserve">（附件7）。 </w:t>
      </w:r>
    </w:p>
    <w:p w14:paraId="1DBB17A2">
      <w:pPr>
        <w:widowControl/>
        <w:spacing w:line="360" w:lineRule="auto"/>
        <w:ind w:firstLine="480"/>
        <w:jc w:val="left"/>
        <w:rPr>
          <w:rFonts w:hint="eastAsia" w:ascii="仿宋" w:hAnsi="仿宋" w:eastAsia="仿宋" w:cs="仿宋"/>
          <w:color w:val="auto"/>
          <w:sz w:val="24"/>
          <w:highlight w:val="none"/>
        </w:rPr>
      </w:pPr>
    </w:p>
    <w:p w14:paraId="6B8A5EA4">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366A1938">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1E174F35">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 xml:space="preserve">视同符合了资格条件，无需再向中小企业分包，无需提供分包意向协议。 </w:t>
      </w:r>
    </w:p>
    <w:p w14:paraId="1DF2DC17">
      <w:pPr>
        <w:widowControl/>
        <w:spacing w:line="360" w:lineRule="auto"/>
        <w:ind w:firstLine="480"/>
        <w:jc w:val="left"/>
        <w:rPr>
          <w:rFonts w:ascii="仿宋_GB2312" w:hAnsi="宋体" w:eastAsia="仿宋_GB2312"/>
          <w:color w:val="auto"/>
          <w:sz w:val="24"/>
          <w:highlight w:val="none"/>
        </w:rPr>
      </w:pPr>
    </w:p>
    <w:p w14:paraId="7F47DE4C">
      <w:pP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sz w:val="24"/>
          <w:highlight w:val="none"/>
        </w:rPr>
        <w:br w:type="page"/>
      </w:r>
    </w:p>
    <w:p w14:paraId="1037E249">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eastAsia="zh-CN"/>
        </w:rPr>
        <w:t>四</w:t>
      </w:r>
      <w:r>
        <w:rPr>
          <w:rFonts w:hint="eastAsia" w:ascii="仿宋_GB2312" w:hAnsi="仿宋" w:eastAsia="仿宋_GB2312" w:cs="仿宋_GB2312"/>
          <w:b/>
          <w:color w:val="auto"/>
          <w:kern w:val="0"/>
          <w:sz w:val="32"/>
          <w:szCs w:val="32"/>
          <w:highlight w:val="none"/>
        </w:rPr>
        <w:t>、本项目的特定资格要求</w:t>
      </w:r>
    </w:p>
    <w:p w14:paraId="63CDA71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25D96585">
      <w:pPr>
        <w:rPr>
          <w:color w:val="auto"/>
          <w:highlight w:val="none"/>
        </w:rPr>
      </w:pPr>
    </w:p>
    <w:p w14:paraId="519B8F28">
      <w:pPr>
        <w:rPr>
          <w:rFonts w:hint="eastAsia" w:ascii="仿宋_GB2312" w:hAnsi="仿宋" w:eastAsia="仿宋_GB2312" w:cs="仿宋_GB2312"/>
          <w:b/>
          <w:color w:val="auto"/>
          <w:kern w:val="0"/>
          <w:sz w:val="36"/>
          <w:szCs w:val="36"/>
          <w:highlight w:val="none"/>
        </w:rPr>
      </w:pPr>
      <w:r>
        <w:rPr>
          <w:rFonts w:ascii="仿宋_GB2312" w:hAnsi="仿宋" w:eastAsia="仿宋_GB2312" w:cs="仿宋_GB2312"/>
          <w:b/>
          <w:color w:val="auto"/>
          <w:kern w:val="0"/>
          <w:sz w:val="32"/>
          <w:szCs w:val="32"/>
          <w:highlight w:val="none"/>
        </w:rPr>
        <w:br w:type="page"/>
      </w:r>
    </w:p>
    <w:p w14:paraId="26A0C42A">
      <w:pPr>
        <w:spacing w:line="360" w:lineRule="auto"/>
        <w:jc w:val="center"/>
        <w:outlineLvl w:val="1"/>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14:paraId="53AD0F09">
      <w:pPr>
        <w:bidi w:val="0"/>
        <w:rPr>
          <w:color w:val="auto"/>
          <w:highlight w:val="none"/>
        </w:rPr>
      </w:pPr>
    </w:p>
    <w:p w14:paraId="5ECDF930">
      <w:pPr>
        <w:bidi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目录</w:t>
      </w:r>
    </w:p>
    <w:p w14:paraId="2A0B13CB">
      <w:pPr>
        <w:numPr>
          <w:ilvl w:val="0"/>
          <w:numId w:val="5"/>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投标函…………………………………………………………………………（页码）</w:t>
      </w:r>
    </w:p>
    <w:p w14:paraId="66B6650C">
      <w:pPr>
        <w:numPr>
          <w:ilvl w:val="0"/>
          <w:numId w:val="5"/>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授权委托书或法定代表人（单位负责人、自然人本人）身份证明………（页码）</w:t>
      </w:r>
    </w:p>
    <w:p w14:paraId="25F0C3A9">
      <w:pPr>
        <w:numPr>
          <w:ilvl w:val="0"/>
          <w:numId w:val="5"/>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分包意向协议…………………………………………………………………（页码）</w:t>
      </w:r>
    </w:p>
    <w:p w14:paraId="4D6C0521">
      <w:pPr>
        <w:numPr>
          <w:ilvl w:val="0"/>
          <w:numId w:val="5"/>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符合性审查资料………………………………………………………………（页码）</w:t>
      </w:r>
    </w:p>
    <w:p w14:paraId="07D358B6">
      <w:pPr>
        <w:numPr>
          <w:ilvl w:val="0"/>
          <w:numId w:val="5"/>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评标标准相应的商务技术资料………………………………………………（页码）</w:t>
      </w:r>
    </w:p>
    <w:p w14:paraId="53BC5A8F">
      <w:pPr>
        <w:numPr>
          <w:ilvl w:val="0"/>
          <w:numId w:val="5"/>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投标标的清单……………………………………………………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………（页码）</w:t>
      </w:r>
    </w:p>
    <w:p w14:paraId="49094103">
      <w:pPr>
        <w:numPr>
          <w:ilvl w:val="0"/>
          <w:numId w:val="5"/>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商务技术偏离表………………………………………………………………（页码）</w:t>
      </w:r>
    </w:p>
    <w:p w14:paraId="07D2F35E">
      <w:pPr>
        <w:numPr>
          <w:ilvl w:val="0"/>
          <w:numId w:val="5"/>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政府采购供应商廉洁自律承诺书</w:t>
      </w:r>
      <w:r>
        <w:rPr>
          <w:rFonts w:hint="eastAsia" w:ascii="仿宋" w:hAnsi="仿宋" w:eastAsia="仿宋" w:cs="仿宋"/>
          <w:color w:val="auto"/>
          <w:sz w:val="24"/>
          <w:szCs w:val="24"/>
          <w:highlight w:val="none"/>
        </w:rPr>
        <w:t>……………………………………………（页码）</w:t>
      </w:r>
    </w:p>
    <w:p w14:paraId="513F2727">
      <w:pPr>
        <w:bidi w:val="0"/>
        <w:rPr>
          <w:color w:val="auto"/>
          <w:highlight w:val="none"/>
          <w:lang w:val="zh-CN"/>
        </w:rPr>
      </w:pPr>
    </w:p>
    <w:p w14:paraId="2BC2074E">
      <w:pPr>
        <w:bidi w:val="0"/>
        <w:rPr>
          <w:color w:val="auto"/>
          <w:highlight w:val="none"/>
          <w:lang w:val="zh-CN"/>
        </w:rPr>
      </w:pPr>
    </w:p>
    <w:p w14:paraId="09AFF58D">
      <w:pP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kern w:val="0"/>
          <w:sz w:val="32"/>
          <w:szCs w:val="32"/>
          <w:highlight w:val="none"/>
          <w:lang w:val="zh-CN"/>
        </w:rPr>
        <w:br w:type="page"/>
      </w:r>
    </w:p>
    <w:p w14:paraId="36D78A66">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14:paraId="0605CF9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7ACA6395">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国家税务总局浙江省税务局IDC机房巡检服务项目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ZJ-2510258</w:t>
      </w:r>
      <w:r>
        <w:rPr>
          <w:rFonts w:hint="eastAsia" w:ascii="仿宋" w:hAnsi="仿宋" w:eastAsia="仿宋" w:cs="仿宋"/>
          <w:color w:val="auto"/>
          <w:sz w:val="24"/>
          <w:highlight w:val="none"/>
        </w:rPr>
        <w:t>】招标的有关活动，并对此项目进行投标。为此：</w:t>
      </w:r>
    </w:p>
    <w:p w14:paraId="097BB98E">
      <w:pPr>
        <w:keepNext w:val="0"/>
        <w:keepLines w:val="0"/>
        <w:pageBreakBefore w:val="0"/>
        <w:widowControl w:val="0"/>
        <w:kinsoku/>
        <w:wordWrap/>
        <w:overflowPunct/>
        <w:topLinePunct w:val="0"/>
        <w:autoSpaceDE/>
        <w:autoSpaceDN/>
        <w:bidi w:val="0"/>
        <w:adjustRightInd w:val="0"/>
        <w:snapToGrid w:val="0"/>
        <w:spacing w:line="360" w:lineRule="exact"/>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457AF342">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6FCB6828">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0E7E53F2">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12AF1B5C">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2.1.2联合协议；（本项目不适用）</w:t>
      </w:r>
    </w:p>
    <w:p w14:paraId="7358A6E5">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2.1.3</w:t>
      </w:r>
      <w:r>
        <w:rPr>
          <w:rFonts w:hint="eastAsia" w:ascii="仿宋" w:hAnsi="仿宋" w:eastAsia="仿宋" w:cs="仿宋"/>
          <w:color w:val="auto"/>
          <w:sz w:val="24"/>
          <w:highlight w:val="none"/>
        </w:rPr>
        <w:t>落实政府采购政策需满足的资格要求；（本项目不适用）</w:t>
      </w:r>
    </w:p>
    <w:p w14:paraId="4DEA1D1D">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本项目的特定资格要求。（本项目不适用）</w:t>
      </w:r>
    </w:p>
    <w:p w14:paraId="74A38A47">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137EA47">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7163F713">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45F2511F">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2.2.3分包意向协议；（本项目不适用）</w:t>
      </w:r>
    </w:p>
    <w:p w14:paraId="7BC21C98">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符合性审查资料；</w:t>
      </w:r>
    </w:p>
    <w:p w14:paraId="210B7F90">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评标标准相应的商务技术资料；</w:t>
      </w:r>
    </w:p>
    <w:p w14:paraId="3E1C3BF8">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投标标的清单</w:t>
      </w:r>
      <w:r>
        <w:rPr>
          <w:rFonts w:hint="eastAsia" w:ascii="仿宋" w:hAnsi="仿宋" w:eastAsia="仿宋" w:cs="仿宋"/>
          <w:color w:val="auto"/>
          <w:sz w:val="24"/>
          <w:highlight w:val="none"/>
          <w:lang w:eastAsia="zh-CN"/>
        </w:rPr>
        <w:t>；</w:t>
      </w:r>
    </w:p>
    <w:p w14:paraId="132D65F3">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2.2.7</w:t>
      </w:r>
      <w:r>
        <w:rPr>
          <w:rFonts w:hint="eastAsia" w:ascii="仿宋" w:hAnsi="仿宋" w:eastAsia="仿宋" w:cs="仿宋"/>
          <w:color w:val="auto"/>
          <w:sz w:val="24"/>
          <w:highlight w:val="none"/>
        </w:rPr>
        <w:t>商务技术偏离表；</w:t>
      </w:r>
    </w:p>
    <w:p w14:paraId="11EEAD5F">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zh-CN"/>
        </w:rPr>
        <w:t>政府采购供应商廉洁自律承诺书；</w:t>
      </w:r>
    </w:p>
    <w:p w14:paraId="32B60F96">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1D66DF9B">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27EFE7D4">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2.3.2中小企业声明函（如有）</w:t>
      </w:r>
      <w:r>
        <w:rPr>
          <w:rFonts w:hint="eastAsia" w:ascii="仿宋" w:hAnsi="仿宋" w:eastAsia="仿宋" w:cs="仿宋"/>
          <w:color w:val="auto"/>
          <w:sz w:val="24"/>
          <w:highlight w:val="none"/>
        </w:rPr>
        <w:t>；</w:t>
      </w:r>
    </w:p>
    <w:p w14:paraId="4E5CB000">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lang w:val="en-US" w:eastAsia="zh-CN"/>
        </w:rPr>
        <w:t>3报价情况说明（如供应商报价低于项目预算50%的，应当提交本文档，详细阐述不影响产品质量或者诚信履约的具体原因）</w:t>
      </w:r>
    </w:p>
    <w:p w14:paraId="18F08A3B">
      <w:pPr>
        <w:keepNext w:val="0"/>
        <w:keepLines w:val="0"/>
        <w:pageBreakBefore w:val="0"/>
        <w:widowControl w:val="0"/>
        <w:kinsoku/>
        <w:wordWrap/>
        <w:overflowPunct/>
        <w:topLinePunct w:val="0"/>
        <w:autoSpaceDE/>
        <w:autoSpaceDN/>
        <w:bidi w:val="0"/>
        <w:adjustRightInd w:val="0"/>
        <w:snapToGrid w:val="0"/>
        <w:spacing w:line="360" w:lineRule="exact"/>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6431760B">
      <w:pPr>
        <w:keepNext w:val="0"/>
        <w:keepLines w:val="0"/>
        <w:pageBreakBefore w:val="0"/>
        <w:widowControl w:val="0"/>
        <w:kinsoku/>
        <w:wordWrap/>
        <w:overflowPunct/>
        <w:topLinePunct w:val="0"/>
        <w:autoSpaceDE/>
        <w:autoSpaceDN/>
        <w:bidi w:val="0"/>
        <w:adjustRightInd w:val="0"/>
        <w:snapToGrid w:val="0"/>
        <w:spacing w:line="360" w:lineRule="exact"/>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15AD24AC">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2A5D7916">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2AC0EFA">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70EA687F">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47C6A2B">
      <w:pPr>
        <w:keepNext w:val="0"/>
        <w:keepLines w:val="0"/>
        <w:pageBreakBefore w:val="0"/>
        <w:widowControl w:val="0"/>
        <w:kinsoku/>
        <w:wordWrap/>
        <w:overflowPunct/>
        <w:topLinePunct w:val="0"/>
        <w:autoSpaceDE/>
        <w:autoSpaceDN/>
        <w:bidi w:val="0"/>
        <w:adjustRightInd w:val="0"/>
        <w:spacing w:line="360" w:lineRule="exact"/>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（如有）。</w:t>
      </w:r>
    </w:p>
    <w:p w14:paraId="4B3D55A8">
      <w:pPr>
        <w:keepNext w:val="0"/>
        <w:keepLines w:val="0"/>
        <w:pageBreakBefore w:val="0"/>
        <w:widowControl w:val="0"/>
        <w:kinsoku/>
        <w:wordWrap/>
        <w:overflowPunct/>
        <w:topLinePunct w:val="0"/>
        <w:autoSpaceDE/>
        <w:autoSpaceDN/>
        <w:bidi w:val="0"/>
        <w:adjustRightInd w:val="0"/>
        <w:snapToGrid w:val="0"/>
        <w:spacing w:line="360" w:lineRule="exact"/>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3097E6A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kern w:val="0"/>
          <w:sz w:val="24"/>
          <w:highlight w:val="none"/>
          <w:u w:val="single"/>
          <w:lang w:val="zh-CN"/>
        </w:rPr>
      </w:pPr>
      <w:r>
        <w:rPr>
          <w:rFonts w:hint="eastAsia" w:ascii="仿宋" w:hAnsi="仿宋" w:eastAsia="仿宋" w:cs="仿宋"/>
          <w:color w:val="auto"/>
          <w:sz w:val="24"/>
          <w:highlight w:val="none"/>
        </w:rPr>
        <w:t xml:space="preserve">     日期：  年   月   日</w:t>
      </w:r>
    </w:p>
    <w:p w14:paraId="6E123F3C">
      <w:pP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14:paraId="4D7EBE83">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14:paraId="203A6798">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14:paraId="525C9BBA">
      <w:pPr>
        <w:snapToGrid w:val="0"/>
        <w:spacing w:line="360" w:lineRule="auto"/>
        <w:ind w:left="0" w:leftChars="0" w:firstLine="0" w:firstLineChars="0"/>
        <w:jc w:val="center"/>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p>
    <w:p w14:paraId="2999655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14:paraId="2931BAA6">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ED159F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日止。</w:t>
      </w:r>
    </w:p>
    <w:p w14:paraId="64EDA86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9E0DB2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5EB38BF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14:paraId="4D62633F">
      <w:pPr>
        <w:snapToGrid w:val="0"/>
        <w:spacing w:line="360" w:lineRule="auto"/>
        <w:rPr>
          <w:rFonts w:hint="eastAsia" w:ascii="仿宋" w:hAnsi="仿宋" w:eastAsia="仿宋" w:cs="仿宋"/>
          <w:color w:val="auto"/>
          <w:sz w:val="24"/>
          <w:highlight w:val="none"/>
        </w:rPr>
      </w:pPr>
    </w:p>
    <w:p w14:paraId="25E24C0D">
      <w:pPr>
        <w:snapToGrid w:val="0"/>
        <w:spacing w:line="360" w:lineRule="auto"/>
        <w:rPr>
          <w:rFonts w:hint="eastAsia" w:ascii="仿宋" w:hAnsi="仿宋" w:eastAsia="仿宋" w:cs="仿宋"/>
          <w:color w:val="auto"/>
          <w:sz w:val="24"/>
          <w:highlight w:val="none"/>
        </w:rPr>
      </w:pPr>
    </w:p>
    <w:p w14:paraId="6E20112B">
      <w:pPr>
        <w:snapToGrid w:val="0"/>
        <w:spacing w:line="360" w:lineRule="auto"/>
        <w:rPr>
          <w:rFonts w:hint="eastAsia" w:ascii="仿宋" w:hAnsi="仿宋" w:eastAsia="仿宋" w:cs="仿宋"/>
          <w:color w:val="auto"/>
          <w:sz w:val="24"/>
          <w:highlight w:val="none"/>
        </w:rPr>
      </w:pPr>
    </w:p>
    <w:p w14:paraId="58AD8B1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6AC85FC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2E95AD1">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701C17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eastAsia="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日止。</w:t>
      </w:r>
    </w:p>
    <w:p w14:paraId="7E33FF3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17A2094">
      <w:pPr>
        <w:jc w:val="center"/>
        <w:rPr>
          <w:rFonts w:hint="eastAsia" w:ascii="仿宋" w:hAnsi="仿宋" w:eastAsia="仿宋" w:cs="仿宋"/>
          <w:b/>
          <w:color w:val="auto"/>
          <w:kern w:val="0"/>
          <w:sz w:val="32"/>
          <w:szCs w:val="32"/>
          <w:highlight w:val="none"/>
        </w:rPr>
      </w:pPr>
    </w:p>
    <w:p w14:paraId="6797E813">
      <w:pPr>
        <w:jc w:val="center"/>
        <w:rPr>
          <w:rFonts w:hint="eastAsia" w:ascii="仿宋" w:hAnsi="仿宋" w:eastAsia="仿宋" w:cs="仿宋"/>
          <w:b/>
          <w:color w:val="auto"/>
          <w:kern w:val="0"/>
          <w:sz w:val="32"/>
          <w:szCs w:val="32"/>
          <w:highlight w:val="none"/>
        </w:rPr>
      </w:pPr>
    </w:p>
    <w:p w14:paraId="01479E28">
      <w:pPr>
        <w:rPr>
          <w:rFonts w:hint="eastAsia" w:ascii="仿宋" w:hAnsi="仿宋" w:eastAsia="仿宋" w:cs="仿宋"/>
          <w:color w:val="auto"/>
          <w:highlight w:val="none"/>
        </w:rPr>
      </w:pPr>
    </w:p>
    <w:p w14:paraId="0C6687E6">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5A88EC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0F15234">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0E65C4A">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14:paraId="7B7C596C">
      <w:pPr>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14:paraId="30C0442D">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14:paraId="40746BC2">
      <w:pPr>
        <w:pStyle w:val="422"/>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503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C40805E">
            <w:pPr>
              <w:pStyle w:val="422"/>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44BE50E">
            <w:pPr>
              <w:pStyle w:val="422"/>
              <w:adjustRightInd w:val="0"/>
              <w:spacing w:line="360" w:lineRule="auto"/>
              <w:rPr>
                <w:rFonts w:hint="eastAsia" w:ascii="仿宋" w:hAnsi="仿宋" w:eastAsia="仿宋" w:cs="仿宋"/>
                <w:bCs/>
                <w:color w:val="auto"/>
                <w:sz w:val="24"/>
                <w:highlight w:val="none"/>
              </w:rPr>
            </w:pPr>
          </w:p>
        </w:tc>
      </w:tr>
    </w:tbl>
    <w:p w14:paraId="7993269F">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681BCE1">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67FE376D">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14:paraId="463AE977">
      <w:pPr>
        <w:jc w:val="center"/>
        <w:rPr>
          <w:rFonts w:ascii="仿宋_GB2312" w:hAnsi="仿宋" w:eastAsia="仿宋_GB2312" w:cs="仿宋_GB2312"/>
          <w:b/>
          <w:color w:val="auto"/>
          <w:kern w:val="0"/>
          <w:sz w:val="32"/>
          <w:szCs w:val="32"/>
          <w:highlight w:val="none"/>
        </w:rPr>
      </w:pPr>
    </w:p>
    <w:p w14:paraId="7C000D65">
      <w:pPr>
        <w:jc w:val="center"/>
        <w:rPr>
          <w:rFonts w:ascii="仿宋_GB2312" w:hAnsi="仿宋" w:eastAsia="仿宋_GB2312" w:cs="仿宋_GB2312"/>
          <w:b/>
          <w:color w:val="auto"/>
          <w:kern w:val="0"/>
          <w:sz w:val="32"/>
          <w:szCs w:val="32"/>
          <w:highlight w:val="none"/>
        </w:rPr>
      </w:pPr>
    </w:p>
    <w:p w14:paraId="07F7AD31">
      <w:pPr>
        <w:jc w:val="center"/>
        <w:rPr>
          <w:rFonts w:ascii="仿宋_GB2312" w:hAnsi="仿宋" w:eastAsia="仿宋_GB2312" w:cs="仿宋_GB2312"/>
          <w:b/>
          <w:color w:val="auto"/>
          <w:kern w:val="0"/>
          <w:sz w:val="32"/>
          <w:szCs w:val="32"/>
          <w:highlight w:val="none"/>
        </w:rPr>
      </w:pPr>
    </w:p>
    <w:p w14:paraId="17C5F4FA">
      <w:pPr>
        <w:jc w:val="center"/>
        <w:rPr>
          <w:rFonts w:ascii="仿宋_GB2312" w:hAnsi="仿宋" w:eastAsia="仿宋_GB2312" w:cs="仿宋_GB2312"/>
          <w:b/>
          <w:color w:val="auto"/>
          <w:kern w:val="0"/>
          <w:sz w:val="32"/>
          <w:szCs w:val="32"/>
          <w:highlight w:val="none"/>
        </w:rPr>
      </w:pPr>
    </w:p>
    <w:p w14:paraId="085D98B3">
      <w:pPr>
        <w:jc w:val="center"/>
        <w:rPr>
          <w:rFonts w:ascii="仿宋_GB2312" w:hAnsi="仿宋" w:eastAsia="仿宋_GB2312" w:cs="仿宋_GB2312"/>
          <w:b/>
          <w:color w:val="auto"/>
          <w:kern w:val="0"/>
          <w:sz w:val="32"/>
          <w:szCs w:val="32"/>
          <w:highlight w:val="none"/>
        </w:rPr>
      </w:pPr>
    </w:p>
    <w:p w14:paraId="3FDE4F81">
      <w:pPr>
        <w:jc w:val="center"/>
        <w:rPr>
          <w:rFonts w:ascii="仿宋_GB2312" w:hAnsi="仿宋" w:eastAsia="仿宋_GB2312" w:cs="仿宋_GB2312"/>
          <w:b/>
          <w:color w:val="auto"/>
          <w:kern w:val="0"/>
          <w:sz w:val="32"/>
          <w:szCs w:val="32"/>
          <w:highlight w:val="none"/>
        </w:rPr>
      </w:pPr>
    </w:p>
    <w:p w14:paraId="06399C3A">
      <w:pPr>
        <w:jc w:val="center"/>
        <w:rPr>
          <w:rFonts w:ascii="仿宋_GB2312" w:hAnsi="仿宋" w:eastAsia="仿宋_GB2312" w:cs="仿宋_GB2312"/>
          <w:b/>
          <w:color w:val="auto"/>
          <w:kern w:val="0"/>
          <w:sz w:val="32"/>
          <w:szCs w:val="32"/>
          <w:highlight w:val="none"/>
        </w:rPr>
      </w:pPr>
    </w:p>
    <w:p w14:paraId="3CB5887D">
      <w:pPr>
        <w:jc w:val="center"/>
        <w:rPr>
          <w:rFonts w:ascii="仿宋_GB2312" w:hAnsi="仿宋" w:eastAsia="仿宋_GB2312" w:cs="仿宋_GB2312"/>
          <w:b/>
          <w:color w:val="auto"/>
          <w:kern w:val="0"/>
          <w:sz w:val="32"/>
          <w:szCs w:val="32"/>
          <w:highlight w:val="none"/>
        </w:rPr>
      </w:pPr>
    </w:p>
    <w:p w14:paraId="049433A1">
      <w:pPr>
        <w:jc w:val="center"/>
        <w:rPr>
          <w:rFonts w:ascii="仿宋_GB2312" w:hAnsi="仿宋" w:eastAsia="仿宋_GB2312" w:cs="仿宋_GB2312"/>
          <w:b/>
          <w:color w:val="auto"/>
          <w:kern w:val="0"/>
          <w:sz w:val="32"/>
          <w:szCs w:val="32"/>
          <w:highlight w:val="none"/>
        </w:rPr>
      </w:pPr>
    </w:p>
    <w:p w14:paraId="48476979">
      <w:pPr>
        <w:jc w:val="center"/>
        <w:rPr>
          <w:rFonts w:ascii="仿宋_GB2312" w:hAnsi="仿宋" w:eastAsia="仿宋_GB2312" w:cs="仿宋_GB2312"/>
          <w:b/>
          <w:color w:val="auto"/>
          <w:kern w:val="0"/>
          <w:sz w:val="32"/>
          <w:szCs w:val="32"/>
          <w:highlight w:val="none"/>
        </w:rPr>
      </w:pPr>
    </w:p>
    <w:p w14:paraId="6717BB73">
      <w:pPr>
        <w:jc w:val="center"/>
        <w:rPr>
          <w:rFonts w:ascii="仿宋_GB2312" w:hAnsi="仿宋" w:eastAsia="仿宋_GB2312" w:cs="仿宋_GB2312"/>
          <w:b/>
          <w:color w:val="auto"/>
          <w:kern w:val="0"/>
          <w:sz w:val="32"/>
          <w:szCs w:val="32"/>
          <w:highlight w:val="none"/>
        </w:rPr>
      </w:pPr>
    </w:p>
    <w:p w14:paraId="1F9A112D">
      <w:pPr>
        <w:jc w:val="center"/>
        <w:rPr>
          <w:rFonts w:ascii="仿宋_GB2312" w:hAnsi="仿宋" w:eastAsia="仿宋_GB2312" w:cs="仿宋_GB2312"/>
          <w:b/>
          <w:color w:val="auto"/>
          <w:kern w:val="0"/>
          <w:sz w:val="32"/>
          <w:szCs w:val="32"/>
          <w:highlight w:val="none"/>
        </w:rPr>
      </w:pPr>
    </w:p>
    <w:p w14:paraId="5F9F9E05">
      <w:pPr>
        <w:jc w:val="center"/>
        <w:rPr>
          <w:rFonts w:ascii="仿宋_GB2312" w:hAnsi="仿宋" w:eastAsia="仿宋_GB2312" w:cs="仿宋_GB2312"/>
          <w:b/>
          <w:color w:val="auto"/>
          <w:kern w:val="0"/>
          <w:sz w:val="32"/>
          <w:szCs w:val="32"/>
          <w:highlight w:val="none"/>
        </w:rPr>
      </w:pPr>
    </w:p>
    <w:p w14:paraId="69A88F95">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14:paraId="326355D5">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三、分包意向协议（如有）</w:t>
      </w:r>
    </w:p>
    <w:p w14:paraId="39C703EB">
      <w:pPr>
        <w:widowControl/>
        <w:spacing w:line="360" w:lineRule="auto"/>
        <w:ind w:firstLine="482" w:firstLineChars="200"/>
        <w:jc w:val="left"/>
        <w:rPr>
          <w:rFonts w:ascii="仿宋_GB2312" w:hAnsi="仿宋" w:eastAsia="仿宋_GB2312" w:cs="仿宋_GB2312"/>
          <w:color w:val="auto"/>
          <w:sz w:val="24"/>
          <w:highlight w:val="none"/>
        </w:rPr>
      </w:pPr>
      <w:r>
        <w:rPr>
          <w:rFonts w:hint="eastAsia" w:ascii="仿宋_GB2312" w:hAnsi="仿宋" w:eastAsia="仿宋_GB2312" w:cs="仿宋_GB2312"/>
          <w:b/>
          <w:color w:val="auto"/>
          <w:sz w:val="24"/>
          <w:highlight w:val="none"/>
        </w:rPr>
        <w:t>[中标后以分包方式履行合同的，提供分包意向协议(附件6)；采购人不同意分包或者投标人中标后不以分包方式履行合同的，则不需要提供。]</w:t>
      </w:r>
    </w:p>
    <w:p w14:paraId="6110B16B">
      <w:pPr>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14:paraId="4E692773">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四、符合性审查资料</w:t>
      </w:r>
    </w:p>
    <w:p w14:paraId="0397E716">
      <w:pPr>
        <w:jc w:val="center"/>
        <w:rPr>
          <w:rFonts w:ascii="仿宋_GB2312" w:hAnsi="仿宋" w:eastAsia="仿宋_GB2312" w:cs="仿宋_GB2312"/>
          <w:b/>
          <w:color w:val="auto"/>
          <w:kern w:val="0"/>
          <w:sz w:val="32"/>
          <w:szCs w:val="32"/>
          <w:highlight w:val="none"/>
        </w:rPr>
      </w:pPr>
    </w:p>
    <w:tbl>
      <w:tblPr>
        <w:tblStyle w:val="55"/>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2E25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033DFDD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245" w:type="dxa"/>
            <w:vAlign w:val="center"/>
          </w:tcPr>
          <w:p w14:paraId="6B68B57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1071E37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672" w:type="dxa"/>
            <w:vAlign w:val="center"/>
          </w:tcPr>
          <w:p w14:paraId="5615D8A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投标文件中的页码位置</w:t>
            </w:r>
          </w:p>
        </w:tc>
      </w:tr>
      <w:tr w14:paraId="44D8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D7D3C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w:t>
            </w:r>
          </w:p>
        </w:tc>
        <w:tc>
          <w:tcPr>
            <w:tcW w:w="4245" w:type="dxa"/>
            <w:vAlign w:val="center"/>
          </w:tcPr>
          <w:p w14:paraId="7DDB06A2">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79BC837">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672" w:type="dxa"/>
            <w:vAlign w:val="center"/>
          </w:tcPr>
          <w:p w14:paraId="3FFB182E">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p>
          <w:p w14:paraId="7B1AA87A">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69CBDEED">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181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FDA5E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2</w:t>
            </w:r>
          </w:p>
        </w:tc>
        <w:tc>
          <w:tcPr>
            <w:tcW w:w="4245" w:type="dxa"/>
            <w:vAlign w:val="center"/>
          </w:tcPr>
          <w:p w14:paraId="2FB69709">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15978427">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672" w:type="dxa"/>
            <w:vAlign w:val="center"/>
          </w:tcPr>
          <w:p w14:paraId="68B9AFD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1F5FC662">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B66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4AEC0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3</w:t>
            </w:r>
          </w:p>
        </w:tc>
        <w:tc>
          <w:tcPr>
            <w:tcW w:w="4245" w:type="dxa"/>
            <w:vAlign w:val="center"/>
          </w:tcPr>
          <w:p w14:paraId="52786F4D">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6D0DD6B0">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672" w:type="dxa"/>
            <w:vAlign w:val="center"/>
          </w:tcPr>
          <w:p w14:paraId="2C6B708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551BFA9C">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0539887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13FB60C">
      <w:pPr>
        <w:jc w:val="center"/>
        <w:rPr>
          <w:rFonts w:ascii="仿宋_GB2312" w:hAnsi="仿宋" w:eastAsia="仿宋_GB2312" w:cs="仿宋_GB2312"/>
          <w:b/>
          <w:color w:val="auto"/>
          <w:kern w:val="0"/>
          <w:sz w:val="32"/>
          <w:szCs w:val="32"/>
          <w:highlight w:val="none"/>
        </w:rPr>
      </w:pPr>
    </w:p>
    <w:p w14:paraId="66F7B036">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14:paraId="0CB55AC8">
      <w:pPr>
        <w:jc w:val="center"/>
        <w:rPr>
          <w:rFonts w:ascii="仿宋_GB2312" w:hAnsi="仿宋" w:eastAsia="仿宋_GB2312" w:cs="仿宋_GB2312"/>
          <w:b/>
          <w:color w:val="auto"/>
          <w:kern w:val="0"/>
          <w:sz w:val="32"/>
          <w:szCs w:val="32"/>
          <w:highlight w:val="none"/>
        </w:rPr>
      </w:pPr>
    </w:p>
    <w:p w14:paraId="476E5798">
      <w:pPr>
        <w:jc w:val="center"/>
        <w:rPr>
          <w:rFonts w:ascii="仿宋_GB2312" w:hAnsi="仿宋" w:eastAsia="仿宋_GB2312" w:cs="仿宋_GB2312"/>
          <w:b/>
          <w:color w:val="auto"/>
          <w:kern w:val="0"/>
          <w:sz w:val="32"/>
          <w:szCs w:val="32"/>
          <w:highlight w:val="none"/>
        </w:rPr>
      </w:pPr>
    </w:p>
    <w:p w14:paraId="7251D01D">
      <w:pPr>
        <w:jc w:val="center"/>
        <w:rPr>
          <w:rFonts w:ascii="仿宋_GB2312" w:hAnsi="仿宋" w:eastAsia="仿宋_GB2312" w:cs="仿宋_GB2312"/>
          <w:b/>
          <w:color w:val="auto"/>
          <w:kern w:val="0"/>
          <w:sz w:val="32"/>
          <w:szCs w:val="32"/>
          <w:highlight w:val="none"/>
        </w:rPr>
      </w:pPr>
    </w:p>
    <w:p w14:paraId="1D290B83">
      <w:pPr>
        <w:jc w:val="center"/>
        <w:rPr>
          <w:rFonts w:ascii="仿宋_GB2312" w:hAnsi="仿宋" w:eastAsia="仿宋_GB2312" w:cs="仿宋_GB2312"/>
          <w:b/>
          <w:color w:val="auto"/>
          <w:kern w:val="0"/>
          <w:sz w:val="32"/>
          <w:szCs w:val="32"/>
          <w:highlight w:val="none"/>
        </w:rPr>
      </w:pPr>
    </w:p>
    <w:p w14:paraId="28A82F3F">
      <w:pPr>
        <w:jc w:val="center"/>
        <w:rPr>
          <w:rFonts w:ascii="仿宋_GB2312" w:hAnsi="仿宋" w:eastAsia="仿宋_GB2312" w:cs="仿宋_GB2312"/>
          <w:b/>
          <w:color w:val="auto"/>
          <w:kern w:val="0"/>
          <w:sz w:val="32"/>
          <w:szCs w:val="32"/>
          <w:highlight w:val="none"/>
        </w:rPr>
      </w:pPr>
    </w:p>
    <w:p w14:paraId="6B320EC5">
      <w:pPr>
        <w:jc w:val="center"/>
        <w:rPr>
          <w:rFonts w:ascii="仿宋_GB2312" w:hAnsi="仿宋" w:eastAsia="仿宋_GB2312" w:cs="仿宋_GB2312"/>
          <w:b/>
          <w:color w:val="auto"/>
          <w:kern w:val="0"/>
          <w:sz w:val="32"/>
          <w:szCs w:val="32"/>
          <w:highlight w:val="none"/>
        </w:rPr>
      </w:pPr>
    </w:p>
    <w:p w14:paraId="24E27038">
      <w:pPr>
        <w:jc w:val="center"/>
        <w:rPr>
          <w:rFonts w:ascii="仿宋_GB2312" w:hAnsi="仿宋" w:eastAsia="仿宋_GB2312" w:cs="仿宋_GB2312"/>
          <w:b/>
          <w:color w:val="auto"/>
          <w:kern w:val="0"/>
          <w:sz w:val="32"/>
          <w:szCs w:val="32"/>
          <w:highlight w:val="none"/>
        </w:rPr>
      </w:pPr>
    </w:p>
    <w:p w14:paraId="4F5CD25B">
      <w:pPr>
        <w:jc w:val="center"/>
        <w:rPr>
          <w:rFonts w:ascii="仿宋_GB2312" w:hAnsi="仿宋" w:eastAsia="仿宋_GB2312" w:cs="仿宋_GB2312"/>
          <w:b/>
          <w:color w:val="auto"/>
          <w:kern w:val="0"/>
          <w:sz w:val="32"/>
          <w:szCs w:val="32"/>
          <w:highlight w:val="none"/>
        </w:rPr>
      </w:pPr>
    </w:p>
    <w:p w14:paraId="7BC8E9F4">
      <w:pPr>
        <w:jc w:val="center"/>
        <w:rPr>
          <w:rFonts w:ascii="仿宋_GB2312" w:hAnsi="仿宋" w:eastAsia="仿宋_GB2312" w:cs="仿宋_GB2312"/>
          <w:b/>
          <w:color w:val="auto"/>
          <w:kern w:val="0"/>
          <w:sz w:val="32"/>
          <w:szCs w:val="32"/>
          <w:highlight w:val="none"/>
        </w:rPr>
      </w:pPr>
    </w:p>
    <w:p w14:paraId="5509E503">
      <w:pPr>
        <w:jc w:val="center"/>
        <w:rPr>
          <w:rFonts w:ascii="仿宋_GB2312" w:hAnsi="仿宋" w:eastAsia="仿宋_GB2312" w:cs="仿宋_GB2312"/>
          <w:b/>
          <w:color w:val="auto"/>
          <w:kern w:val="0"/>
          <w:sz w:val="32"/>
          <w:szCs w:val="32"/>
          <w:highlight w:val="none"/>
        </w:rPr>
      </w:pPr>
    </w:p>
    <w:p w14:paraId="25D43896">
      <w:pPr>
        <w:jc w:val="center"/>
        <w:rPr>
          <w:rFonts w:ascii="仿宋_GB2312" w:hAnsi="仿宋" w:eastAsia="仿宋_GB2312" w:cs="仿宋_GB2312"/>
          <w:b/>
          <w:color w:val="auto"/>
          <w:kern w:val="0"/>
          <w:sz w:val="32"/>
          <w:szCs w:val="32"/>
          <w:highlight w:val="none"/>
        </w:rPr>
      </w:pPr>
    </w:p>
    <w:p w14:paraId="537E2C19">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14:paraId="1CBAFF8E">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五、评标标准相应的商务技术资料</w:t>
      </w:r>
    </w:p>
    <w:p w14:paraId="45C86846">
      <w:pPr>
        <w:snapToGrid w:val="0"/>
        <w:spacing w:line="360" w:lineRule="auto"/>
        <w:jc w:val="left"/>
        <w:rPr>
          <w:rFonts w:hint="eastAsia" w:ascii="仿宋_GB2312" w:hAnsi="仿宋" w:eastAsia="仿宋_GB2312" w:cs="仿宋_GB2312"/>
          <w:b/>
          <w:color w:val="auto"/>
          <w:sz w:val="24"/>
          <w:highlight w:val="none"/>
        </w:rPr>
      </w:pPr>
    </w:p>
    <w:p w14:paraId="496929DD">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14:paraId="2B37A14B">
      <w:pPr>
        <w:jc w:val="center"/>
        <w:rPr>
          <w:rFonts w:ascii="仿宋_GB2312" w:hAnsi="仿宋" w:eastAsia="仿宋_GB2312" w:cs="仿宋_GB2312"/>
          <w:b/>
          <w:color w:val="auto"/>
          <w:kern w:val="0"/>
          <w:sz w:val="32"/>
          <w:szCs w:val="32"/>
          <w:highlight w:val="none"/>
        </w:rPr>
      </w:pPr>
    </w:p>
    <w:p w14:paraId="7C5BCDF8">
      <w:pPr>
        <w:jc w:val="center"/>
        <w:rPr>
          <w:rFonts w:ascii="仿宋_GB2312" w:hAnsi="仿宋" w:eastAsia="仿宋_GB2312" w:cs="仿宋_GB2312"/>
          <w:b/>
          <w:color w:val="auto"/>
          <w:kern w:val="0"/>
          <w:sz w:val="32"/>
          <w:szCs w:val="32"/>
          <w:highlight w:val="none"/>
        </w:rPr>
      </w:pPr>
    </w:p>
    <w:p w14:paraId="2877A9C0">
      <w:pPr>
        <w:jc w:val="center"/>
        <w:rPr>
          <w:rFonts w:ascii="仿宋_GB2312" w:hAnsi="仿宋" w:eastAsia="仿宋_GB2312" w:cs="仿宋_GB2312"/>
          <w:b/>
          <w:color w:val="auto"/>
          <w:kern w:val="0"/>
          <w:sz w:val="32"/>
          <w:szCs w:val="32"/>
          <w:highlight w:val="none"/>
        </w:rPr>
      </w:pPr>
    </w:p>
    <w:p w14:paraId="40FD401B">
      <w:pPr>
        <w:jc w:val="center"/>
        <w:rPr>
          <w:rFonts w:ascii="仿宋_GB2312" w:hAnsi="仿宋" w:eastAsia="仿宋_GB2312" w:cs="仿宋_GB2312"/>
          <w:b/>
          <w:color w:val="auto"/>
          <w:kern w:val="0"/>
          <w:sz w:val="32"/>
          <w:szCs w:val="32"/>
          <w:highlight w:val="none"/>
        </w:rPr>
      </w:pPr>
    </w:p>
    <w:p w14:paraId="569FA407">
      <w:pPr>
        <w:jc w:val="center"/>
        <w:rPr>
          <w:rFonts w:ascii="仿宋_GB2312" w:hAnsi="仿宋" w:eastAsia="仿宋_GB2312" w:cs="仿宋_GB2312"/>
          <w:b/>
          <w:color w:val="auto"/>
          <w:kern w:val="0"/>
          <w:sz w:val="32"/>
          <w:szCs w:val="32"/>
          <w:highlight w:val="none"/>
        </w:rPr>
      </w:pPr>
    </w:p>
    <w:p w14:paraId="25ECC537">
      <w:pPr>
        <w:jc w:val="center"/>
        <w:rPr>
          <w:rFonts w:ascii="仿宋_GB2312" w:hAnsi="仿宋" w:eastAsia="仿宋_GB2312" w:cs="仿宋_GB2312"/>
          <w:b/>
          <w:color w:val="auto"/>
          <w:kern w:val="0"/>
          <w:sz w:val="32"/>
          <w:szCs w:val="32"/>
          <w:highlight w:val="none"/>
        </w:rPr>
      </w:pPr>
    </w:p>
    <w:p w14:paraId="14176A49">
      <w:pPr>
        <w:jc w:val="center"/>
        <w:rPr>
          <w:rFonts w:ascii="仿宋_GB2312" w:hAnsi="仿宋" w:eastAsia="仿宋_GB2312" w:cs="仿宋_GB2312"/>
          <w:b/>
          <w:color w:val="auto"/>
          <w:kern w:val="0"/>
          <w:sz w:val="32"/>
          <w:szCs w:val="32"/>
          <w:highlight w:val="none"/>
        </w:rPr>
      </w:pPr>
    </w:p>
    <w:p w14:paraId="158E925D">
      <w:pPr>
        <w:jc w:val="center"/>
        <w:rPr>
          <w:rFonts w:ascii="仿宋_GB2312" w:hAnsi="仿宋" w:eastAsia="仿宋_GB2312" w:cs="仿宋_GB2312"/>
          <w:b/>
          <w:color w:val="auto"/>
          <w:kern w:val="0"/>
          <w:sz w:val="32"/>
          <w:szCs w:val="32"/>
          <w:highlight w:val="none"/>
        </w:rPr>
      </w:pPr>
    </w:p>
    <w:p w14:paraId="17A51573">
      <w:pPr>
        <w:jc w:val="center"/>
        <w:rPr>
          <w:rFonts w:ascii="仿宋_GB2312" w:hAnsi="仿宋" w:eastAsia="仿宋_GB2312" w:cs="仿宋_GB2312"/>
          <w:b/>
          <w:color w:val="auto"/>
          <w:kern w:val="0"/>
          <w:sz w:val="32"/>
          <w:szCs w:val="32"/>
          <w:highlight w:val="none"/>
        </w:rPr>
      </w:pPr>
    </w:p>
    <w:p w14:paraId="79259001">
      <w:pPr>
        <w:jc w:val="center"/>
        <w:rPr>
          <w:rFonts w:ascii="仿宋_GB2312" w:hAnsi="仿宋" w:eastAsia="仿宋_GB2312" w:cs="仿宋_GB2312"/>
          <w:b/>
          <w:color w:val="auto"/>
          <w:kern w:val="0"/>
          <w:sz w:val="32"/>
          <w:szCs w:val="32"/>
          <w:highlight w:val="none"/>
        </w:rPr>
      </w:pPr>
    </w:p>
    <w:p w14:paraId="5CF06EFB">
      <w:pPr>
        <w:jc w:val="center"/>
        <w:rPr>
          <w:rFonts w:ascii="仿宋_GB2312" w:hAnsi="仿宋" w:eastAsia="仿宋_GB2312" w:cs="仿宋_GB2312"/>
          <w:b/>
          <w:color w:val="auto"/>
          <w:kern w:val="0"/>
          <w:sz w:val="32"/>
          <w:szCs w:val="32"/>
          <w:highlight w:val="none"/>
        </w:rPr>
      </w:pPr>
    </w:p>
    <w:p w14:paraId="297FB26D">
      <w:pPr>
        <w:jc w:val="center"/>
        <w:rPr>
          <w:rFonts w:ascii="仿宋_GB2312" w:hAnsi="仿宋" w:eastAsia="仿宋_GB2312" w:cs="仿宋_GB2312"/>
          <w:b/>
          <w:color w:val="auto"/>
          <w:kern w:val="0"/>
          <w:sz w:val="32"/>
          <w:szCs w:val="32"/>
          <w:highlight w:val="none"/>
        </w:rPr>
      </w:pPr>
    </w:p>
    <w:p w14:paraId="00647FED">
      <w:pPr>
        <w:jc w:val="center"/>
        <w:rPr>
          <w:rFonts w:ascii="仿宋_GB2312" w:hAnsi="仿宋" w:eastAsia="仿宋_GB2312" w:cs="仿宋_GB2312"/>
          <w:b/>
          <w:color w:val="auto"/>
          <w:kern w:val="0"/>
          <w:sz w:val="32"/>
          <w:szCs w:val="32"/>
          <w:highlight w:val="none"/>
        </w:rPr>
      </w:pPr>
    </w:p>
    <w:p w14:paraId="45860F09">
      <w:pPr>
        <w:jc w:val="center"/>
        <w:rPr>
          <w:rFonts w:ascii="仿宋_GB2312" w:hAnsi="仿宋" w:eastAsia="仿宋_GB2312" w:cs="仿宋_GB2312"/>
          <w:b/>
          <w:color w:val="auto"/>
          <w:kern w:val="0"/>
          <w:sz w:val="32"/>
          <w:szCs w:val="32"/>
          <w:highlight w:val="none"/>
        </w:rPr>
      </w:pPr>
    </w:p>
    <w:p w14:paraId="3EED519C">
      <w:pPr>
        <w:jc w:val="center"/>
        <w:rPr>
          <w:rFonts w:ascii="仿宋_GB2312" w:hAnsi="仿宋" w:eastAsia="仿宋_GB2312" w:cs="仿宋_GB2312"/>
          <w:b/>
          <w:color w:val="auto"/>
          <w:kern w:val="0"/>
          <w:sz w:val="32"/>
          <w:szCs w:val="32"/>
          <w:highlight w:val="none"/>
        </w:rPr>
      </w:pPr>
    </w:p>
    <w:p w14:paraId="78F311E1">
      <w:pPr>
        <w:jc w:val="center"/>
        <w:rPr>
          <w:rFonts w:ascii="仿宋_GB2312" w:hAnsi="仿宋" w:eastAsia="仿宋_GB2312" w:cs="仿宋_GB2312"/>
          <w:b/>
          <w:color w:val="auto"/>
          <w:kern w:val="0"/>
          <w:sz w:val="32"/>
          <w:szCs w:val="32"/>
          <w:highlight w:val="none"/>
        </w:rPr>
      </w:pPr>
    </w:p>
    <w:p w14:paraId="70F4566E">
      <w:pPr>
        <w:jc w:val="center"/>
        <w:rPr>
          <w:rFonts w:ascii="仿宋_GB2312" w:hAnsi="仿宋" w:eastAsia="仿宋_GB2312" w:cs="仿宋_GB2312"/>
          <w:b/>
          <w:color w:val="auto"/>
          <w:kern w:val="0"/>
          <w:sz w:val="32"/>
          <w:szCs w:val="32"/>
          <w:highlight w:val="none"/>
        </w:rPr>
      </w:pPr>
    </w:p>
    <w:p w14:paraId="4BDD1EA3">
      <w:pPr>
        <w:jc w:val="center"/>
        <w:rPr>
          <w:rFonts w:ascii="仿宋_GB2312" w:hAnsi="仿宋" w:eastAsia="仿宋_GB2312" w:cs="仿宋_GB2312"/>
          <w:b/>
          <w:color w:val="auto"/>
          <w:kern w:val="0"/>
          <w:sz w:val="32"/>
          <w:szCs w:val="32"/>
          <w:highlight w:val="none"/>
        </w:rPr>
      </w:pPr>
    </w:p>
    <w:p w14:paraId="51687051">
      <w:pPr>
        <w:jc w:val="center"/>
        <w:rPr>
          <w:rFonts w:ascii="仿宋_GB2312" w:hAnsi="仿宋" w:eastAsia="仿宋_GB2312" w:cs="仿宋_GB2312"/>
          <w:b/>
          <w:color w:val="auto"/>
          <w:kern w:val="0"/>
          <w:sz w:val="32"/>
          <w:szCs w:val="32"/>
          <w:highlight w:val="none"/>
        </w:rPr>
      </w:pPr>
    </w:p>
    <w:p w14:paraId="446ED6E3">
      <w:pPr>
        <w:jc w:val="center"/>
        <w:rPr>
          <w:rFonts w:ascii="仿宋_GB2312" w:hAnsi="仿宋" w:eastAsia="仿宋_GB2312" w:cs="仿宋_GB2312"/>
          <w:b/>
          <w:color w:val="auto"/>
          <w:kern w:val="0"/>
          <w:sz w:val="32"/>
          <w:szCs w:val="32"/>
          <w:highlight w:val="none"/>
        </w:rPr>
      </w:pPr>
    </w:p>
    <w:p w14:paraId="0CF4C87F">
      <w:pPr>
        <w:jc w:val="center"/>
        <w:rPr>
          <w:rFonts w:ascii="仿宋_GB2312" w:hAnsi="仿宋" w:eastAsia="仿宋_GB2312" w:cs="仿宋_GB2312"/>
          <w:b/>
          <w:color w:val="auto"/>
          <w:kern w:val="0"/>
          <w:sz w:val="32"/>
          <w:szCs w:val="32"/>
          <w:highlight w:val="none"/>
        </w:rPr>
      </w:pPr>
    </w:p>
    <w:p w14:paraId="58E9D171">
      <w:pPr>
        <w:jc w:val="center"/>
        <w:rPr>
          <w:rFonts w:ascii="仿宋_GB2312" w:hAnsi="仿宋" w:eastAsia="仿宋_GB2312" w:cs="仿宋_GB2312"/>
          <w:b/>
          <w:color w:val="auto"/>
          <w:kern w:val="0"/>
          <w:sz w:val="32"/>
          <w:szCs w:val="32"/>
          <w:highlight w:val="none"/>
        </w:rPr>
      </w:pPr>
    </w:p>
    <w:p w14:paraId="64EF2D1E">
      <w:pPr>
        <w:jc w:val="center"/>
        <w:rPr>
          <w:rFonts w:ascii="仿宋_GB2312" w:hAnsi="仿宋" w:eastAsia="仿宋_GB2312" w:cs="仿宋_GB2312"/>
          <w:b/>
          <w:color w:val="auto"/>
          <w:kern w:val="0"/>
          <w:sz w:val="32"/>
          <w:szCs w:val="32"/>
          <w:highlight w:val="none"/>
        </w:rPr>
      </w:pPr>
    </w:p>
    <w:p w14:paraId="0AF19498">
      <w:pPr>
        <w:jc w:val="center"/>
        <w:rPr>
          <w:rFonts w:ascii="仿宋_GB2312" w:hAnsi="仿宋" w:eastAsia="仿宋_GB2312" w:cs="仿宋_GB2312"/>
          <w:b/>
          <w:color w:val="auto"/>
          <w:kern w:val="0"/>
          <w:sz w:val="32"/>
          <w:szCs w:val="32"/>
          <w:highlight w:val="none"/>
        </w:rPr>
      </w:pPr>
    </w:p>
    <w:p w14:paraId="40019605">
      <w:pPr>
        <w:jc w:val="center"/>
        <w:rPr>
          <w:rFonts w:ascii="仿宋_GB2312" w:hAnsi="仿宋" w:eastAsia="仿宋_GB2312" w:cs="仿宋_GB2312"/>
          <w:b/>
          <w:color w:val="auto"/>
          <w:kern w:val="0"/>
          <w:sz w:val="32"/>
          <w:szCs w:val="32"/>
          <w:highlight w:val="none"/>
        </w:rPr>
      </w:pPr>
    </w:p>
    <w:p w14:paraId="244D9BB8">
      <w:pPr>
        <w:jc w:val="center"/>
        <w:rPr>
          <w:rFonts w:ascii="仿宋_GB2312" w:hAnsi="仿宋" w:eastAsia="仿宋_GB2312" w:cs="仿宋_GB2312"/>
          <w:b/>
          <w:color w:val="auto"/>
          <w:kern w:val="0"/>
          <w:sz w:val="32"/>
          <w:szCs w:val="32"/>
          <w:highlight w:val="none"/>
        </w:rPr>
      </w:pPr>
    </w:p>
    <w:p w14:paraId="7EA936B3">
      <w:pPr>
        <w:jc w:val="center"/>
        <w:rPr>
          <w:rFonts w:ascii="仿宋_GB2312" w:hAnsi="仿宋" w:eastAsia="仿宋_GB2312" w:cs="仿宋_GB2312"/>
          <w:b/>
          <w:color w:val="auto"/>
          <w:kern w:val="0"/>
          <w:sz w:val="32"/>
          <w:szCs w:val="32"/>
          <w:highlight w:val="none"/>
        </w:rPr>
      </w:pPr>
    </w:p>
    <w:p w14:paraId="564078A7">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14:paraId="700834A8">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六、投标标的清单</w:t>
      </w:r>
    </w:p>
    <w:tbl>
      <w:tblPr>
        <w:tblStyle w:val="5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9F4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9C87E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EA2A6A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787AD16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49F46D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BC288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A0077F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7C43E8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备注</w:t>
            </w:r>
            <w:r>
              <w:rPr>
                <w:rFonts w:hint="eastAsia" w:ascii="仿宋" w:hAnsi="仿宋" w:eastAsia="仿宋" w:cs="仿宋"/>
                <w:b/>
                <w:color w:val="auto"/>
                <w:sz w:val="24"/>
                <w:highlight w:val="none"/>
                <w:lang w:eastAsia="zh-CN"/>
              </w:rPr>
              <w:t>（如果有）</w:t>
            </w:r>
          </w:p>
        </w:tc>
      </w:tr>
      <w:tr w14:paraId="7F01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9D8F4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FB373F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A9BF62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7A3B27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D101BA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06A861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C26990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r>
      <w:tr w14:paraId="6A8C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68EB5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26427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6A3392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D4384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48286F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EAD1BA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CE6057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r>
      <w:tr w14:paraId="24F1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28CDC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522728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70C464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9B6175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C11849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07D904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3D0156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r>
    </w:tbl>
    <w:p w14:paraId="7C2CF63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C1B9C49">
      <w:pPr>
        <w:bidi w:val="0"/>
        <w:rPr>
          <w:rFonts w:hint="eastAsia" w:ascii="仿宋" w:hAnsi="仿宋" w:eastAsia="仿宋" w:cs="仿宋"/>
          <w:color w:val="auto"/>
          <w:highlight w:val="none"/>
          <w:lang w:val="zh-CN"/>
        </w:rPr>
      </w:pPr>
    </w:p>
    <w:p w14:paraId="77D04016">
      <w:pPr>
        <w:bidi w:val="0"/>
        <w:rPr>
          <w:rFonts w:hint="eastAsia" w:ascii="仿宋" w:hAnsi="仿宋" w:eastAsia="仿宋" w:cs="仿宋"/>
          <w:color w:val="auto"/>
          <w:highlight w:val="none"/>
          <w:lang w:val="zh-CN"/>
        </w:rPr>
      </w:pPr>
    </w:p>
    <w:p w14:paraId="3E4E5D74">
      <w:pPr>
        <w:bidi w:val="0"/>
        <w:rPr>
          <w:rFonts w:hint="eastAsia" w:ascii="仿宋" w:hAnsi="仿宋" w:eastAsia="仿宋" w:cs="仿宋"/>
          <w:color w:val="auto"/>
          <w:highlight w:val="none"/>
          <w:lang w:val="zh-CN"/>
        </w:rPr>
      </w:pPr>
    </w:p>
    <w:p w14:paraId="66CFE71D">
      <w:pPr>
        <w:bidi w:val="0"/>
        <w:rPr>
          <w:rFonts w:hint="eastAsia" w:ascii="仿宋" w:hAnsi="仿宋" w:eastAsia="仿宋" w:cs="仿宋"/>
          <w:color w:val="auto"/>
          <w:highlight w:val="none"/>
          <w:lang w:val="zh-CN"/>
        </w:rPr>
      </w:pPr>
    </w:p>
    <w:p w14:paraId="32B21BAF">
      <w:pPr>
        <w:bidi w:val="0"/>
        <w:rPr>
          <w:rFonts w:hint="eastAsia" w:ascii="仿宋" w:hAnsi="仿宋" w:eastAsia="仿宋" w:cs="仿宋"/>
          <w:color w:val="auto"/>
          <w:highlight w:val="none"/>
          <w:lang w:val="zh-CN"/>
        </w:rPr>
      </w:pPr>
    </w:p>
    <w:p w14:paraId="7AACFF6B">
      <w:pPr>
        <w:bidi w:val="0"/>
        <w:rPr>
          <w:rFonts w:hint="eastAsia" w:ascii="仿宋" w:hAnsi="仿宋" w:eastAsia="仿宋" w:cs="仿宋"/>
          <w:color w:val="auto"/>
          <w:highlight w:val="none"/>
          <w:lang w:val="zh-CN"/>
        </w:rPr>
      </w:pPr>
    </w:p>
    <w:p w14:paraId="2602E617">
      <w:pPr>
        <w:bidi w:val="0"/>
        <w:rPr>
          <w:rFonts w:hint="eastAsia" w:ascii="仿宋" w:hAnsi="仿宋" w:eastAsia="仿宋" w:cs="仿宋"/>
          <w:color w:val="auto"/>
          <w:highlight w:val="none"/>
          <w:lang w:val="zh-CN"/>
        </w:rPr>
      </w:pPr>
    </w:p>
    <w:p w14:paraId="6018FEEC">
      <w:pPr>
        <w:bidi w:val="0"/>
        <w:rPr>
          <w:rFonts w:hint="eastAsia" w:ascii="仿宋" w:hAnsi="仿宋" w:eastAsia="仿宋" w:cs="仿宋"/>
          <w:color w:val="auto"/>
          <w:highlight w:val="none"/>
          <w:lang w:val="zh-CN"/>
        </w:rPr>
      </w:pPr>
    </w:p>
    <w:p w14:paraId="78A04EF6">
      <w:pPr>
        <w:bidi w:val="0"/>
        <w:rPr>
          <w:rFonts w:hint="eastAsia" w:ascii="仿宋" w:hAnsi="仿宋" w:eastAsia="仿宋" w:cs="仿宋"/>
          <w:color w:val="auto"/>
          <w:highlight w:val="none"/>
          <w:lang w:val="zh-CN"/>
        </w:rPr>
      </w:pPr>
    </w:p>
    <w:p w14:paraId="02224DAB">
      <w:pPr>
        <w:rPr>
          <w:rFonts w:hint="eastAsia" w:ascii="仿宋" w:hAnsi="仿宋" w:eastAsia="仿宋" w:cs="仿宋"/>
          <w:color w:val="auto"/>
          <w:highlight w:val="none"/>
          <w:lang w:val="zh-CN"/>
        </w:rPr>
      </w:pPr>
    </w:p>
    <w:p w14:paraId="7699ABD4">
      <w:pPr>
        <w:snapToGrid w:val="0"/>
        <w:spacing w:line="360" w:lineRule="auto"/>
        <w:jc w:val="center"/>
        <w:outlineLvl w:val="1"/>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七、商务技术偏离表</w:t>
      </w:r>
    </w:p>
    <w:p w14:paraId="06F1EA9A">
      <w:pPr>
        <w:jc w:val="center"/>
        <w:rPr>
          <w:rFonts w:hint="eastAsia" w:ascii="仿宋" w:hAnsi="仿宋" w:eastAsia="仿宋" w:cs="仿宋"/>
          <w:b/>
          <w:bCs/>
          <w:color w:val="auto"/>
          <w:sz w:val="24"/>
          <w:highlight w:val="none"/>
        </w:rPr>
      </w:pPr>
    </w:p>
    <w:tbl>
      <w:tblPr>
        <w:tblStyle w:val="5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B0CA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7C88FB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center"/>
          </w:tcPr>
          <w:p w14:paraId="7DF89E6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center"/>
          </w:tcPr>
          <w:p w14:paraId="1FBA2D8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center"/>
          </w:tcPr>
          <w:p w14:paraId="7DBDA8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5D15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668ECA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center"/>
          </w:tcPr>
          <w:p w14:paraId="421AF01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c>
          <w:tcPr>
            <w:tcW w:w="3546" w:type="dxa"/>
            <w:vAlign w:val="center"/>
          </w:tcPr>
          <w:p w14:paraId="6A916A2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c>
          <w:tcPr>
            <w:tcW w:w="1276" w:type="dxa"/>
            <w:vAlign w:val="center"/>
          </w:tcPr>
          <w:p w14:paraId="301BBC4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r>
      <w:tr w14:paraId="4DEEB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56CEC8B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center"/>
          </w:tcPr>
          <w:p w14:paraId="3132076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c>
          <w:tcPr>
            <w:tcW w:w="3546" w:type="dxa"/>
            <w:vAlign w:val="center"/>
          </w:tcPr>
          <w:p w14:paraId="33D66EB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c>
          <w:tcPr>
            <w:tcW w:w="1276" w:type="dxa"/>
            <w:vAlign w:val="center"/>
          </w:tcPr>
          <w:p w14:paraId="5AC7BE7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r>
      <w:tr w14:paraId="49CE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5DA2F2B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center"/>
          </w:tcPr>
          <w:p w14:paraId="499920A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c>
          <w:tcPr>
            <w:tcW w:w="3546" w:type="dxa"/>
            <w:vAlign w:val="center"/>
          </w:tcPr>
          <w:p w14:paraId="6B0C0E1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c>
          <w:tcPr>
            <w:tcW w:w="1276" w:type="dxa"/>
            <w:vAlign w:val="center"/>
          </w:tcPr>
          <w:p w14:paraId="1E05E4B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r>
    </w:tbl>
    <w:p w14:paraId="1B416578">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1072A7F5">
      <w:pPr>
        <w:jc w:val="center"/>
        <w:rPr>
          <w:rFonts w:hint="eastAsia" w:ascii="仿宋" w:hAnsi="仿宋" w:eastAsia="仿宋" w:cs="仿宋"/>
          <w:b/>
          <w:color w:val="auto"/>
          <w:kern w:val="0"/>
          <w:sz w:val="32"/>
          <w:szCs w:val="32"/>
          <w:highlight w:val="none"/>
        </w:rPr>
      </w:pPr>
    </w:p>
    <w:p w14:paraId="6816A24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2ED55E3">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14:paraId="49773C36">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八、政府采购供应商廉洁自律承诺书</w:t>
      </w:r>
    </w:p>
    <w:p w14:paraId="1E8F1637">
      <w:pPr>
        <w:snapToGrid w:val="0"/>
        <w:spacing w:line="360" w:lineRule="auto"/>
        <w:rPr>
          <w:rFonts w:ascii="仿宋_GB2312" w:hAnsi="仿宋" w:eastAsia="仿宋_GB2312" w:cs="仿宋_GB2312"/>
          <w:color w:val="auto"/>
          <w:sz w:val="24"/>
          <w:highlight w:val="none"/>
        </w:rPr>
      </w:pPr>
    </w:p>
    <w:p w14:paraId="63245B4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14:paraId="0E341AB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5F0362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C4932F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0AD6683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EA9811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44F49B96">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76003EB4">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20F0B88">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113C57A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4D13C485">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48572C7">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B19EF8F">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AB4D4C0">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6DF481D1">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14:paraId="5FD8579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0DC5B26">
      <w:pPr>
        <w:spacing w:line="360" w:lineRule="auto"/>
        <w:ind w:left="4620" w:leftChars="2200"/>
        <w:rPr>
          <w:color w:val="auto"/>
          <w:sz w:val="24"/>
          <w:highlight w:val="none"/>
        </w:rPr>
      </w:pPr>
    </w:p>
    <w:p w14:paraId="479A9BFB">
      <w:pP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br w:type="page"/>
      </w:r>
    </w:p>
    <w:p w14:paraId="2819A38E">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14:paraId="50A56E73">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14:paraId="27480922">
      <w:pPr>
        <w:spacing w:line="360" w:lineRule="auto"/>
        <w:jc w:val="center"/>
        <w:outlineLvl w:val="0"/>
        <w:rPr>
          <w:rFonts w:ascii="仿宋_GB2312" w:hAnsi="仿宋" w:eastAsia="仿宋_GB2312" w:cs="仿宋_GB2312"/>
          <w:b/>
          <w:color w:val="auto"/>
          <w:kern w:val="0"/>
          <w:sz w:val="36"/>
          <w:szCs w:val="36"/>
          <w:highlight w:val="none"/>
        </w:rPr>
      </w:pPr>
    </w:p>
    <w:p w14:paraId="146F658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3D7CCD7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（2）中小企业声明函（如有）……………………………………………………（页码）</w:t>
      </w:r>
    </w:p>
    <w:p w14:paraId="45EF40A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报价情况说明（如供应商报价低于项目预算50%的，应当提交本文档，详细阐述不影响产品质量或者诚信履约的具体原因）…………………………………………（页码）</w:t>
      </w:r>
    </w:p>
    <w:p w14:paraId="5795BF60">
      <w:pPr>
        <w:snapToGrid w:val="0"/>
        <w:spacing w:line="360" w:lineRule="auto"/>
        <w:ind w:right="480"/>
        <w:jc w:val="center"/>
        <w:rPr>
          <w:rFonts w:ascii="仿宋_GB2312" w:hAnsi="仿宋" w:eastAsia="仿宋_GB2312" w:cs="仿宋_GB2312"/>
          <w:b/>
          <w:color w:val="auto"/>
          <w:kern w:val="0"/>
          <w:sz w:val="32"/>
          <w:szCs w:val="32"/>
          <w:highlight w:val="none"/>
        </w:rPr>
      </w:pPr>
    </w:p>
    <w:p w14:paraId="1E921586">
      <w:pPr>
        <w:snapToGrid w:val="0"/>
        <w:spacing w:line="360" w:lineRule="auto"/>
        <w:ind w:right="480"/>
        <w:jc w:val="center"/>
        <w:rPr>
          <w:rFonts w:ascii="仿宋_GB2312" w:hAnsi="仿宋" w:eastAsia="仿宋_GB2312" w:cs="仿宋_GB2312"/>
          <w:b/>
          <w:color w:val="auto"/>
          <w:kern w:val="0"/>
          <w:sz w:val="32"/>
          <w:szCs w:val="32"/>
          <w:highlight w:val="none"/>
        </w:rPr>
      </w:pPr>
    </w:p>
    <w:p w14:paraId="76738976">
      <w:pPr>
        <w:snapToGrid w:val="0"/>
        <w:spacing w:line="360" w:lineRule="auto"/>
        <w:ind w:right="480"/>
        <w:jc w:val="center"/>
        <w:rPr>
          <w:rFonts w:ascii="仿宋_GB2312" w:hAnsi="仿宋" w:eastAsia="仿宋_GB2312" w:cs="仿宋_GB2312"/>
          <w:b/>
          <w:color w:val="auto"/>
          <w:kern w:val="0"/>
          <w:sz w:val="32"/>
          <w:szCs w:val="32"/>
          <w:highlight w:val="none"/>
        </w:rPr>
      </w:pPr>
    </w:p>
    <w:p w14:paraId="55696F2E">
      <w:pPr>
        <w:snapToGrid w:val="0"/>
        <w:spacing w:line="360" w:lineRule="auto"/>
        <w:ind w:right="480"/>
        <w:jc w:val="center"/>
        <w:rPr>
          <w:rFonts w:ascii="仿宋_GB2312" w:hAnsi="仿宋" w:eastAsia="仿宋_GB2312" w:cs="仿宋_GB2312"/>
          <w:b/>
          <w:color w:val="auto"/>
          <w:kern w:val="0"/>
          <w:sz w:val="32"/>
          <w:szCs w:val="32"/>
          <w:highlight w:val="none"/>
        </w:rPr>
      </w:pPr>
    </w:p>
    <w:p w14:paraId="69DC9B12">
      <w:pPr>
        <w:snapToGrid w:val="0"/>
        <w:spacing w:line="360" w:lineRule="auto"/>
        <w:ind w:right="480"/>
        <w:jc w:val="center"/>
        <w:rPr>
          <w:rFonts w:ascii="仿宋_GB2312" w:hAnsi="仿宋" w:eastAsia="仿宋_GB2312" w:cs="仿宋_GB2312"/>
          <w:b/>
          <w:color w:val="auto"/>
          <w:kern w:val="0"/>
          <w:sz w:val="32"/>
          <w:szCs w:val="32"/>
          <w:highlight w:val="none"/>
        </w:rPr>
      </w:pPr>
    </w:p>
    <w:p w14:paraId="1FD91D27">
      <w:pPr>
        <w:snapToGrid w:val="0"/>
        <w:spacing w:line="360" w:lineRule="auto"/>
        <w:ind w:right="480"/>
        <w:jc w:val="center"/>
        <w:rPr>
          <w:rFonts w:ascii="仿宋_GB2312" w:hAnsi="仿宋" w:eastAsia="仿宋_GB2312" w:cs="仿宋_GB2312"/>
          <w:b/>
          <w:color w:val="auto"/>
          <w:kern w:val="0"/>
          <w:sz w:val="32"/>
          <w:szCs w:val="32"/>
          <w:highlight w:val="none"/>
        </w:rPr>
      </w:pPr>
    </w:p>
    <w:p w14:paraId="7F59141A">
      <w:pPr>
        <w:snapToGrid w:val="0"/>
        <w:spacing w:line="360" w:lineRule="auto"/>
        <w:ind w:right="480"/>
        <w:jc w:val="center"/>
        <w:rPr>
          <w:rFonts w:ascii="仿宋_GB2312" w:hAnsi="仿宋" w:eastAsia="仿宋_GB2312" w:cs="仿宋_GB2312"/>
          <w:b/>
          <w:color w:val="auto"/>
          <w:kern w:val="0"/>
          <w:sz w:val="32"/>
          <w:szCs w:val="32"/>
          <w:highlight w:val="none"/>
        </w:rPr>
      </w:pPr>
    </w:p>
    <w:p w14:paraId="65CFEBF4">
      <w:pPr>
        <w:snapToGrid w:val="0"/>
        <w:spacing w:line="360" w:lineRule="auto"/>
        <w:ind w:right="480"/>
        <w:jc w:val="center"/>
        <w:rPr>
          <w:rFonts w:ascii="仿宋_GB2312" w:hAnsi="仿宋" w:eastAsia="仿宋_GB2312" w:cs="仿宋_GB2312"/>
          <w:b/>
          <w:color w:val="auto"/>
          <w:kern w:val="0"/>
          <w:sz w:val="32"/>
          <w:szCs w:val="32"/>
          <w:highlight w:val="none"/>
        </w:rPr>
      </w:pPr>
    </w:p>
    <w:p w14:paraId="374C8820">
      <w:pPr>
        <w:snapToGrid w:val="0"/>
        <w:spacing w:line="360" w:lineRule="auto"/>
        <w:ind w:right="480"/>
        <w:jc w:val="center"/>
        <w:rPr>
          <w:rFonts w:ascii="仿宋_GB2312" w:hAnsi="仿宋" w:eastAsia="仿宋_GB2312" w:cs="仿宋_GB2312"/>
          <w:b/>
          <w:color w:val="auto"/>
          <w:kern w:val="0"/>
          <w:sz w:val="32"/>
          <w:szCs w:val="32"/>
          <w:highlight w:val="none"/>
        </w:rPr>
      </w:pPr>
    </w:p>
    <w:p w14:paraId="0D7415CB">
      <w:pPr>
        <w:snapToGrid w:val="0"/>
        <w:spacing w:line="360" w:lineRule="auto"/>
        <w:ind w:right="480"/>
        <w:jc w:val="center"/>
        <w:rPr>
          <w:rFonts w:ascii="仿宋_GB2312" w:hAnsi="仿宋" w:eastAsia="仿宋_GB2312" w:cs="仿宋_GB2312"/>
          <w:b/>
          <w:color w:val="auto"/>
          <w:kern w:val="0"/>
          <w:sz w:val="32"/>
          <w:szCs w:val="32"/>
          <w:highlight w:val="none"/>
        </w:rPr>
      </w:pPr>
    </w:p>
    <w:p w14:paraId="0647486D">
      <w:pPr>
        <w:snapToGrid w:val="0"/>
        <w:spacing w:line="360" w:lineRule="auto"/>
        <w:ind w:right="480"/>
        <w:jc w:val="center"/>
        <w:rPr>
          <w:rFonts w:ascii="仿宋_GB2312" w:hAnsi="仿宋" w:eastAsia="仿宋_GB2312" w:cs="仿宋_GB2312"/>
          <w:b/>
          <w:color w:val="auto"/>
          <w:kern w:val="0"/>
          <w:sz w:val="32"/>
          <w:szCs w:val="32"/>
          <w:highlight w:val="none"/>
        </w:rPr>
      </w:pPr>
    </w:p>
    <w:p w14:paraId="7251D0F5">
      <w:pPr>
        <w:snapToGrid w:val="0"/>
        <w:spacing w:line="360" w:lineRule="auto"/>
        <w:ind w:right="480"/>
        <w:jc w:val="center"/>
        <w:rPr>
          <w:rFonts w:ascii="仿宋_GB2312" w:hAnsi="仿宋" w:eastAsia="仿宋_GB2312" w:cs="仿宋_GB2312"/>
          <w:b/>
          <w:color w:val="auto"/>
          <w:kern w:val="0"/>
          <w:sz w:val="32"/>
          <w:szCs w:val="32"/>
          <w:highlight w:val="none"/>
        </w:rPr>
      </w:pPr>
    </w:p>
    <w:p w14:paraId="5AC8E81A">
      <w:pPr>
        <w:snapToGrid w:val="0"/>
        <w:spacing w:line="360" w:lineRule="auto"/>
        <w:ind w:right="480"/>
        <w:jc w:val="center"/>
        <w:rPr>
          <w:rFonts w:ascii="仿宋_GB2312" w:hAnsi="仿宋" w:eastAsia="仿宋_GB2312" w:cs="仿宋_GB2312"/>
          <w:b/>
          <w:color w:val="auto"/>
          <w:kern w:val="0"/>
          <w:sz w:val="32"/>
          <w:szCs w:val="32"/>
          <w:highlight w:val="none"/>
        </w:rPr>
      </w:pPr>
    </w:p>
    <w:p w14:paraId="700E1AF0">
      <w:pPr>
        <w:snapToGrid w:val="0"/>
        <w:spacing w:line="360" w:lineRule="auto"/>
        <w:ind w:right="480"/>
        <w:jc w:val="center"/>
        <w:rPr>
          <w:rFonts w:ascii="仿宋_GB2312" w:hAnsi="仿宋" w:eastAsia="仿宋_GB2312" w:cs="仿宋_GB2312"/>
          <w:b/>
          <w:color w:val="auto"/>
          <w:kern w:val="0"/>
          <w:sz w:val="32"/>
          <w:szCs w:val="32"/>
          <w:highlight w:val="none"/>
        </w:rPr>
      </w:pPr>
    </w:p>
    <w:p w14:paraId="7D38B4C0">
      <w:pPr>
        <w:snapToGrid w:val="0"/>
        <w:spacing w:line="360" w:lineRule="auto"/>
        <w:ind w:right="480"/>
        <w:jc w:val="center"/>
        <w:rPr>
          <w:rFonts w:ascii="仿宋_GB2312" w:hAnsi="仿宋" w:eastAsia="仿宋_GB2312" w:cs="仿宋_GB2312"/>
          <w:b/>
          <w:color w:val="auto"/>
          <w:kern w:val="0"/>
          <w:sz w:val="32"/>
          <w:szCs w:val="32"/>
          <w:highlight w:val="none"/>
        </w:rPr>
      </w:pPr>
    </w:p>
    <w:p w14:paraId="6202D1B1">
      <w:pPr>
        <w:pStyle w:val="927"/>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1906" w:h="16838"/>
          <w:pgMar w:top="1276" w:right="1418" w:bottom="1247" w:left="1418" w:header="851" w:footer="992" w:gutter="0"/>
          <w:pgNumType w:fmt="decimal"/>
          <w:cols w:space="720" w:num="1"/>
          <w:titlePg/>
          <w:docGrid w:linePitch="312" w:charSpace="0"/>
        </w:sectPr>
      </w:pPr>
    </w:p>
    <w:p w14:paraId="0319EAF5">
      <w:pPr>
        <w:snapToGrid w:val="0"/>
        <w:spacing w:line="360" w:lineRule="auto"/>
        <w:jc w:val="center"/>
        <w:outlineLvl w:val="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一、开标一览表（报价表）</w:t>
      </w:r>
    </w:p>
    <w:p w14:paraId="68B3D1A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14:paraId="752A72D4">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10BE48E4">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5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08C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5676E7B">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1417" w:type="dxa"/>
            <w:vAlign w:val="center"/>
          </w:tcPr>
          <w:p w14:paraId="5D4F6BC1">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1843" w:type="dxa"/>
            <w:vAlign w:val="center"/>
          </w:tcPr>
          <w:p w14:paraId="210AE26A">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品牌（如果有）</w:t>
            </w:r>
          </w:p>
        </w:tc>
        <w:tc>
          <w:tcPr>
            <w:tcW w:w="3118" w:type="dxa"/>
            <w:vAlign w:val="center"/>
          </w:tcPr>
          <w:p w14:paraId="157F351A">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规格型号（或具体服务）</w:t>
            </w:r>
          </w:p>
        </w:tc>
        <w:tc>
          <w:tcPr>
            <w:tcW w:w="993" w:type="dxa"/>
            <w:vAlign w:val="center"/>
          </w:tcPr>
          <w:p w14:paraId="26BFFBB8">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1559" w:type="dxa"/>
            <w:vAlign w:val="center"/>
          </w:tcPr>
          <w:p w14:paraId="481F192D">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1984" w:type="dxa"/>
            <w:vAlign w:val="center"/>
          </w:tcPr>
          <w:p w14:paraId="40D190DE">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总价</w:t>
            </w:r>
          </w:p>
        </w:tc>
        <w:tc>
          <w:tcPr>
            <w:tcW w:w="3119" w:type="dxa"/>
            <w:vAlign w:val="center"/>
          </w:tcPr>
          <w:p w14:paraId="5897ECFF">
            <w:pPr>
              <w:snapToGrid w:val="0"/>
              <w:spacing w:line="400" w:lineRule="exact"/>
              <w:jc w:val="center"/>
              <w:rPr>
                <w:rFonts w:ascii="仿宋_GB2312" w:hAnsi="仿宋" w:eastAsia="仿宋_GB2312"/>
                <w:b/>
                <w:color w:val="auto"/>
                <w:sz w:val="24"/>
                <w:highlight w:val="none"/>
              </w:rPr>
            </w:pPr>
          </w:p>
          <w:p w14:paraId="785595F8">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服务要求（年限）</w:t>
            </w:r>
          </w:p>
          <w:p w14:paraId="3EB98201">
            <w:pPr>
              <w:snapToGrid w:val="0"/>
              <w:spacing w:line="400" w:lineRule="exact"/>
              <w:jc w:val="center"/>
              <w:rPr>
                <w:rFonts w:ascii="仿宋_GB2312" w:hAnsi="仿宋" w:eastAsia="仿宋_GB2312"/>
                <w:b/>
                <w:color w:val="auto"/>
                <w:sz w:val="24"/>
                <w:highlight w:val="none"/>
              </w:rPr>
            </w:pPr>
          </w:p>
        </w:tc>
      </w:tr>
      <w:tr w14:paraId="51D7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CB16869">
            <w:pPr>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417" w:type="dxa"/>
            <w:vAlign w:val="center"/>
          </w:tcPr>
          <w:p w14:paraId="074092E4">
            <w:pPr>
              <w:snapToGrid w:val="0"/>
              <w:spacing w:line="400" w:lineRule="exact"/>
              <w:jc w:val="center"/>
              <w:rPr>
                <w:rFonts w:ascii="仿宋_GB2312" w:hAnsi="仿宋" w:eastAsia="仿宋_GB2312" w:cs="仿宋_GB2312"/>
                <w:color w:val="auto"/>
                <w:sz w:val="24"/>
                <w:highlight w:val="none"/>
              </w:rPr>
            </w:pPr>
          </w:p>
        </w:tc>
        <w:tc>
          <w:tcPr>
            <w:tcW w:w="1843" w:type="dxa"/>
            <w:vAlign w:val="center"/>
          </w:tcPr>
          <w:p w14:paraId="2FBDCF7E">
            <w:pPr>
              <w:snapToGrid w:val="0"/>
              <w:spacing w:line="400" w:lineRule="exact"/>
              <w:jc w:val="center"/>
              <w:rPr>
                <w:rFonts w:ascii="仿宋_GB2312" w:hAnsi="仿宋" w:eastAsia="仿宋_GB2312" w:cs="仿宋_GB2312"/>
                <w:color w:val="auto"/>
                <w:sz w:val="24"/>
                <w:highlight w:val="none"/>
              </w:rPr>
            </w:pPr>
          </w:p>
        </w:tc>
        <w:tc>
          <w:tcPr>
            <w:tcW w:w="3118" w:type="dxa"/>
            <w:vAlign w:val="center"/>
          </w:tcPr>
          <w:p w14:paraId="4561B675">
            <w:pPr>
              <w:snapToGrid w:val="0"/>
              <w:spacing w:line="400" w:lineRule="exact"/>
              <w:jc w:val="center"/>
              <w:rPr>
                <w:rFonts w:ascii="仿宋_GB2312" w:hAnsi="仿宋" w:eastAsia="仿宋_GB2312" w:cs="仿宋_GB2312"/>
                <w:color w:val="auto"/>
                <w:sz w:val="24"/>
                <w:highlight w:val="none"/>
              </w:rPr>
            </w:pPr>
          </w:p>
        </w:tc>
        <w:tc>
          <w:tcPr>
            <w:tcW w:w="993" w:type="dxa"/>
            <w:vAlign w:val="center"/>
          </w:tcPr>
          <w:p w14:paraId="70B6B3CF">
            <w:pPr>
              <w:snapToGrid w:val="0"/>
              <w:spacing w:line="400" w:lineRule="exact"/>
              <w:jc w:val="center"/>
              <w:rPr>
                <w:rFonts w:ascii="仿宋_GB2312" w:hAnsi="仿宋" w:eastAsia="仿宋_GB2312" w:cs="仿宋_GB2312"/>
                <w:color w:val="auto"/>
                <w:sz w:val="24"/>
                <w:highlight w:val="none"/>
              </w:rPr>
            </w:pPr>
          </w:p>
        </w:tc>
        <w:tc>
          <w:tcPr>
            <w:tcW w:w="1559" w:type="dxa"/>
            <w:vAlign w:val="center"/>
          </w:tcPr>
          <w:p w14:paraId="13BC807F">
            <w:pPr>
              <w:snapToGrid w:val="0"/>
              <w:spacing w:line="400" w:lineRule="exact"/>
              <w:jc w:val="center"/>
              <w:rPr>
                <w:rFonts w:ascii="仿宋_GB2312" w:hAnsi="仿宋" w:eastAsia="仿宋_GB2312" w:cs="仿宋_GB2312"/>
                <w:color w:val="auto"/>
                <w:sz w:val="24"/>
                <w:highlight w:val="none"/>
              </w:rPr>
            </w:pPr>
          </w:p>
        </w:tc>
        <w:tc>
          <w:tcPr>
            <w:tcW w:w="1984" w:type="dxa"/>
            <w:vAlign w:val="center"/>
          </w:tcPr>
          <w:p w14:paraId="2F561E74">
            <w:pPr>
              <w:snapToGrid w:val="0"/>
              <w:spacing w:line="400" w:lineRule="exact"/>
              <w:jc w:val="center"/>
              <w:rPr>
                <w:rFonts w:ascii="仿宋_GB2312" w:hAnsi="仿宋" w:eastAsia="仿宋_GB2312" w:cs="仿宋_GB2312"/>
                <w:color w:val="auto"/>
                <w:sz w:val="24"/>
                <w:highlight w:val="none"/>
              </w:rPr>
            </w:pPr>
          </w:p>
        </w:tc>
        <w:tc>
          <w:tcPr>
            <w:tcW w:w="3119" w:type="dxa"/>
            <w:vAlign w:val="center"/>
          </w:tcPr>
          <w:p w14:paraId="6942DFA9">
            <w:pPr>
              <w:snapToGrid w:val="0"/>
              <w:spacing w:line="400" w:lineRule="exact"/>
              <w:jc w:val="center"/>
              <w:rPr>
                <w:rFonts w:ascii="仿宋_GB2312" w:hAnsi="仿宋" w:eastAsia="仿宋_GB2312" w:cs="仿宋_GB2312"/>
                <w:color w:val="auto"/>
                <w:sz w:val="24"/>
                <w:highlight w:val="none"/>
              </w:rPr>
            </w:pPr>
          </w:p>
        </w:tc>
      </w:tr>
      <w:tr w14:paraId="7EB0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A3A27D5">
            <w:pPr>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417" w:type="dxa"/>
            <w:vAlign w:val="center"/>
          </w:tcPr>
          <w:p w14:paraId="1975BFF6">
            <w:pPr>
              <w:snapToGrid w:val="0"/>
              <w:spacing w:line="400" w:lineRule="exact"/>
              <w:jc w:val="center"/>
              <w:rPr>
                <w:rFonts w:ascii="仿宋_GB2312" w:hAnsi="仿宋" w:eastAsia="仿宋_GB2312" w:cs="仿宋_GB2312"/>
                <w:color w:val="auto"/>
                <w:sz w:val="24"/>
                <w:highlight w:val="none"/>
              </w:rPr>
            </w:pPr>
          </w:p>
        </w:tc>
        <w:tc>
          <w:tcPr>
            <w:tcW w:w="1843" w:type="dxa"/>
            <w:vAlign w:val="center"/>
          </w:tcPr>
          <w:p w14:paraId="4B82EB3A">
            <w:pPr>
              <w:snapToGrid w:val="0"/>
              <w:spacing w:line="400" w:lineRule="exact"/>
              <w:jc w:val="center"/>
              <w:rPr>
                <w:rFonts w:ascii="仿宋_GB2312" w:hAnsi="仿宋" w:eastAsia="仿宋_GB2312" w:cs="仿宋_GB2312"/>
                <w:color w:val="auto"/>
                <w:sz w:val="24"/>
                <w:highlight w:val="none"/>
              </w:rPr>
            </w:pPr>
          </w:p>
        </w:tc>
        <w:tc>
          <w:tcPr>
            <w:tcW w:w="3118" w:type="dxa"/>
            <w:vAlign w:val="center"/>
          </w:tcPr>
          <w:p w14:paraId="464628E6">
            <w:pPr>
              <w:snapToGrid w:val="0"/>
              <w:spacing w:line="400" w:lineRule="exact"/>
              <w:jc w:val="center"/>
              <w:rPr>
                <w:rFonts w:ascii="仿宋_GB2312" w:hAnsi="仿宋" w:eastAsia="仿宋_GB2312" w:cs="仿宋_GB2312"/>
                <w:color w:val="auto"/>
                <w:sz w:val="24"/>
                <w:highlight w:val="none"/>
              </w:rPr>
            </w:pPr>
          </w:p>
        </w:tc>
        <w:tc>
          <w:tcPr>
            <w:tcW w:w="993" w:type="dxa"/>
            <w:vAlign w:val="center"/>
          </w:tcPr>
          <w:p w14:paraId="70CF2B78">
            <w:pPr>
              <w:snapToGrid w:val="0"/>
              <w:spacing w:line="400" w:lineRule="exact"/>
              <w:jc w:val="center"/>
              <w:rPr>
                <w:rFonts w:ascii="仿宋_GB2312" w:hAnsi="仿宋" w:eastAsia="仿宋_GB2312" w:cs="仿宋_GB2312"/>
                <w:color w:val="auto"/>
                <w:sz w:val="24"/>
                <w:highlight w:val="none"/>
              </w:rPr>
            </w:pPr>
          </w:p>
        </w:tc>
        <w:tc>
          <w:tcPr>
            <w:tcW w:w="1559" w:type="dxa"/>
            <w:vAlign w:val="center"/>
          </w:tcPr>
          <w:p w14:paraId="0209EC82">
            <w:pPr>
              <w:snapToGrid w:val="0"/>
              <w:spacing w:line="400" w:lineRule="exact"/>
              <w:jc w:val="center"/>
              <w:rPr>
                <w:rFonts w:ascii="仿宋_GB2312" w:hAnsi="仿宋" w:eastAsia="仿宋_GB2312" w:cs="仿宋_GB2312"/>
                <w:color w:val="auto"/>
                <w:sz w:val="24"/>
                <w:highlight w:val="none"/>
              </w:rPr>
            </w:pPr>
          </w:p>
        </w:tc>
        <w:tc>
          <w:tcPr>
            <w:tcW w:w="1984" w:type="dxa"/>
            <w:vAlign w:val="center"/>
          </w:tcPr>
          <w:p w14:paraId="14D2D06E">
            <w:pPr>
              <w:snapToGrid w:val="0"/>
              <w:spacing w:line="400" w:lineRule="exact"/>
              <w:jc w:val="center"/>
              <w:rPr>
                <w:rFonts w:ascii="仿宋_GB2312" w:hAnsi="仿宋" w:eastAsia="仿宋_GB2312" w:cs="仿宋_GB2312"/>
                <w:color w:val="auto"/>
                <w:sz w:val="24"/>
                <w:highlight w:val="none"/>
              </w:rPr>
            </w:pPr>
          </w:p>
        </w:tc>
        <w:tc>
          <w:tcPr>
            <w:tcW w:w="3119" w:type="dxa"/>
            <w:vAlign w:val="center"/>
          </w:tcPr>
          <w:p w14:paraId="23AD0EEA">
            <w:pPr>
              <w:snapToGrid w:val="0"/>
              <w:spacing w:line="400" w:lineRule="exact"/>
              <w:jc w:val="center"/>
              <w:rPr>
                <w:rFonts w:ascii="仿宋_GB2312" w:hAnsi="仿宋" w:eastAsia="仿宋_GB2312" w:cs="仿宋_GB2312"/>
                <w:color w:val="auto"/>
                <w:sz w:val="24"/>
                <w:highlight w:val="none"/>
              </w:rPr>
            </w:pPr>
          </w:p>
        </w:tc>
      </w:tr>
      <w:tr w14:paraId="22E6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6445687">
            <w:pPr>
              <w:snapToGrid w:val="0"/>
              <w:spacing w:line="400" w:lineRule="exact"/>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1417" w:type="dxa"/>
            <w:vAlign w:val="center"/>
          </w:tcPr>
          <w:p w14:paraId="62F5A8ED">
            <w:pPr>
              <w:snapToGrid w:val="0"/>
              <w:spacing w:line="400" w:lineRule="exact"/>
              <w:jc w:val="center"/>
              <w:rPr>
                <w:rFonts w:ascii="仿宋_GB2312" w:hAnsi="仿宋" w:eastAsia="仿宋_GB2312" w:cs="仿宋_GB2312"/>
                <w:color w:val="auto"/>
                <w:sz w:val="24"/>
                <w:highlight w:val="none"/>
              </w:rPr>
            </w:pPr>
          </w:p>
        </w:tc>
        <w:tc>
          <w:tcPr>
            <w:tcW w:w="1843" w:type="dxa"/>
            <w:vAlign w:val="center"/>
          </w:tcPr>
          <w:p w14:paraId="21DB0435">
            <w:pPr>
              <w:snapToGrid w:val="0"/>
              <w:spacing w:line="400" w:lineRule="exact"/>
              <w:jc w:val="center"/>
              <w:rPr>
                <w:rFonts w:ascii="仿宋_GB2312" w:hAnsi="仿宋" w:eastAsia="仿宋_GB2312" w:cs="仿宋_GB2312"/>
                <w:color w:val="auto"/>
                <w:sz w:val="24"/>
                <w:highlight w:val="none"/>
              </w:rPr>
            </w:pPr>
          </w:p>
        </w:tc>
        <w:tc>
          <w:tcPr>
            <w:tcW w:w="3118" w:type="dxa"/>
            <w:vAlign w:val="center"/>
          </w:tcPr>
          <w:p w14:paraId="363C2494">
            <w:pPr>
              <w:snapToGrid w:val="0"/>
              <w:spacing w:line="400" w:lineRule="exact"/>
              <w:jc w:val="center"/>
              <w:rPr>
                <w:rFonts w:ascii="仿宋_GB2312" w:hAnsi="仿宋" w:eastAsia="仿宋_GB2312" w:cs="仿宋_GB2312"/>
                <w:color w:val="auto"/>
                <w:sz w:val="24"/>
                <w:highlight w:val="none"/>
              </w:rPr>
            </w:pPr>
          </w:p>
        </w:tc>
        <w:tc>
          <w:tcPr>
            <w:tcW w:w="993" w:type="dxa"/>
            <w:vAlign w:val="center"/>
          </w:tcPr>
          <w:p w14:paraId="49894E06">
            <w:pPr>
              <w:snapToGrid w:val="0"/>
              <w:spacing w:line="400" w:lineRule="exact"/>
              <w:jc w:val="center"/>
              <w:rPr>
                <w:rFonts w:ascii="仿宋_GB2312" w:hAnsi="仿宋" w:eastAsia="仿宋_GB2312" w:cs="仿宋_GB2312"/>
                <w:color w:val="auto"/>
                <w:sz w:val="24"/>
                <w:highlight w:val="none"/>
              </w:rPr>
            </w:pPr>
          </w:p>
        </w:tc>
        <w:tc>
          <w:tcPr>
            <w:tcW w:w="1559" w:type="dxa"/>
            <w:vAlign w:val="center"/>
          </w:tcPr>
          <w:p w14:paraId="347156D1">
            <w:pPr>
              <w:snapToGrid w:val="0"/>
              <w:spacing w:line="400" w:lineRule="exact"/>
              <w:jc w:val="center"/>
              <w:rPr>
                <w:rFonts w:ascii="仿宋_GB2312" w:hAnsi="仿宋" w:eastAsia="仿宋_GB2312" w:cs="仿宋_GB2312"/>
                <w:color w:val="auto"/>
                <w:sz w:val="24"/>
                <w:highlight w:val="none"/>
              </w:rPr>
            </w:pPr>
          </w:p>
        </w:tc>
        <w:tc>
          <w:tcPr>
            <w:tcW w:w="1984" w:type="dxa"/>
            <w:vAlign w:val="center"/>
          </w:tcPr>
          <w:p w14:paraId="12B1B418">
            <w:pPr>
              <w:snapToGrid w:val="0"/>
              <w:spacing w:line="400" w:lineRule="exact"/>
              <w:jc w:val="center"/>
              <w:rPr>
                <w:rFonts w:ascii="仿宋_GB2312" w:hAnsi="仿宋" w:eastAsia="仿宋_GB2312" w:cs="仿宋_GB2312"/>
                <w:color w:val="auto"/>
                <w:sz w:val="24"/>
                <w:highlight w:val="none"/>
              </w:rPr>
            </w:pPr>
          </w:p>
        </w:tc>
        <w:tc>
          <w:tcPr>
            <w:tcW w:w="3119" w:type="dxa"/>
            <w:vAlign w:val="center"/>
          </w:tcPr>
          <w:p w14:paraId="50A882D2">
            <w:pPr>
              <w:snapToGrid w:val="0"/>
              <w:spacing w:line="400" w:lineRule="exact"/>
              <w:jc w:val="center"/>
              <w:rPr>
                <w:rFonts w:ascii="仿宋_GB2312" w:hAnsi="仿宋" w:eastAsia="仿宋_GB2312" w:cs="仿宋_GB2312"/>
                <w:color w:val="auto"/>
                <w:sz w:val="24"/>
                <w:highlight w:val="none"/>
              </w:rPr>
            </w:pPr>
          </w:p>
        </w:tc>
      </w:tr>
      <w:tr w14:paraId="7DB6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59691DC">
            <w:pPr>
              <w:snapToGrid w:val="0"/>
              <w:spacing w:line="400" w:lineRule="exact"/>
              <w:jc w:val="center"/>
              <w:rPr>
                <w:rFonts w:ascii="仿宋_GB2312" w:hAnsi="仿宋" w:eastAsia="仿宋_GB2312" w:cs="仿宋_GB2312"/>
                <w:color w:val="auto"/>
                <w:sz w:val="24"/>
                <w:highlight w:val="none"/>
              </w:rPr>
            </w:pPr>
          </w:p>
        </w:tc>
        <w:tc>
          <w:tcPr>
            <w:tcW w:w="1417" w:type="dxa"/>
            <w:vAlign w:val="center"/>
          </w:tcPr>
          <w:p w14:paraId="1AABF9C1">
            <w:pPr>
              <w:snapToGrid w:val="0"/>
              <w:spacing w:line="400" w:lineRule="exact"/>
              <w:jc w:val="center"/>
              <w:rPr>
                <w:rFonts w:ascii="仿宋_GB2312" w:hAnsi="仿宋" w:eastAsia="仿宋_GB2312" w:cs="仿宋_GB2312"/>
                <w:color w:val="auto"/>
                <w:sz w:val="24"/>
                <w:highlight w:val="none"/>
              </w:rPr>
            </w:pPr>
          </w:p>
        </w:tc>
        <w:tc>
          <w:tcPr>
            <w:tcW w:w="1843" w:type="dxa"/>
            <w:vAlign w:val="center"/>
          </w:tcPr>
          <w:p w14:paraId="6E63D8DA">
            <w:pPr>
              <w:snapToGrid w:val="0"/>
              <w:spacing w:line="400" w:lineRule="exact"/>
              <w:jc w:val="center"/>
              <w:rPr>
                <w:rFonts w:ascii="仿宋_GB2312" w:hAnsi="仿宋" w:eastAsia="仿宋_GB2312" w:cs="仿宋_GB2312"/>
                <w:color w:val="auto"/>
                <w:sz w:val="24"/>
                <w:highlight w:val="none"/>
              </w:rPr>
            </w:pPr>
          </w:p>
        </w:tc>
        <w:tc>
          <w:tcPr>
            <w:tcW w:w="3118" w:type="dxa"/>
            <w:vAlign w:val="center"/>
          </w:tcPr>
          <w:p w14:paraId="3B65B9D9">
            <w:pPr>
              <w:snapToGrid w:val="0"/>
              <w:spacing w:line="400" w:lineRule="exact"/>
              <w:jc w:val="center"/>
              <w:rPr>
                <w:rFonts w:ascii="仿宋_GB2312" w:hAnsi="仿宋" w:eastAsia="仿宋_GB2312" w:cs="仿宋_GB2312"/>
                <w:color w:val="auto"/>
                <w:sz w:val="24"/>
                <w:highlight w:val="none"/>
              </w:rPr>
            </w:pPr>
          </w:p>
        </w:tc>
        <w:tc>
          <w:tcPr>
            <w:tcW w:w="993" w:type="dxa"/>
            <w:vAlign w:val="center"/>
          </w:tcPr>
          <w:p w14:paraId="26309F6D">
            <w:pPr>
              <w:snapToGrid w:val="0"/>
              <w:spacing w:line="400" w:lineRule="exact"/>
              <w:jc w:val="center"/>
              <w:rPr>
                <w:rFonts w:ascii="仿宋_GB2312" w:hAnsi="仿宋" w:eastAsia="仿宋_GB2312" w:cs="仿宋_GB2312"/>
                <w:color w:val="auto"/>
                <w:sz w:val="24"/>
                <w:highlight w:val="none"/>
              </w:rPr>
            </w:pPr>
          </w:p>
        </w:tc>
        <w:tc>
          <w:tcPr>
            <w:tcW w:w="1559" w:type="dxa"/>
            <w:vAlign w:val="center"/>
          </w:tcPr>
          <w:p w14:paraId="1F3C8DA3">
            <w:pPr>
              <w:snapToGrid w:val="0"/>
              <w:spacing w:line="400" w:lineRule="exact"/>
              <w:jc w:val="center"/>
              <w:rPr>
                <w:rFonts w:ascii="仿宋_GB2312" w:hAnsi="仿宋" w:eastAsia="仿宋_GB2312" w:cs="仿宋_GB2312"/>
                <w:color w:val="auto"/>
                <w:sz w:val="24"/>
                <w:highlight w:val="none"/>
              </w:rPr>
            </w:pPr>
          </w:p>
        </w:tc>
        <w:tc>
          <w:tcPr>
            <w:tcW w:w="1984" w:type="dxa"/>
            <w:vAlign w:val="center"/>
          </w:tcPr>
          <w:p w14:paraId="26C5CF4F">
            <w:pPr>
              <w:snapToGrid w:val="0"/>
              <w:spacing w:line="400" w:lineRule="exact"/>
              <w:jc w:val="center"/>
              <w:rPr>
                <w:rFonts w:ascii="仿宋_GB2312" w:hAnsi="仿宋" w:eastAsia="仿宋_GB2312" w:cs="仿宋_GB2312"/>
                <w:color w:val="auto"/>
                <w:sz w:val="24"/>
                <w:highlight w:val="none"/>
              </w:rPr>
            </w:pPr>
          </w:p>
        </w:tc>
        <w:tc>
          <w:tcPr>
            <w:tcW w:w="3119" w:type="dxa"/>
            <w:vAlign w:val="center"/>
          </w:tcPr>
          <w:p w14:paraId="6D3F6FE3">
            <w:pPr>
              <w:snapToGrid w:val="0"/>
              <w:spacing w:line="400" w:lineRule="exact"/>
              <w:jc w:val="center"/>
              <w:rPr>
                <w:rFonts w:ascii="仿宋_GB2312" w:hAnsi="仿宋" w:eastAsia="仿宋_GB2312" w:cs="仿宋_GB2312"/>
                <w:color w:val="auto"/>
                <w:sz w:val="24"/>
                <w:highlight w:val="none"/>
              </w:rPr>
            </w:pPr>
          </w:p>
        </w:tc>
      </w:tr>
      <w:tr w14:paraId="744E3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F2BCB87">
            <w:pPr>
              <w:snapToGrid w:val="0"/>
              <w:spacing w:line="400" w:lineRule="exact"/>
              <w:jc w:val="center"/>
              <w:rPr>
                <w:rFonts w:ascii="仿宋_GB2312" w:hAnsi="仿宋" w:eastAsia="仿宋_GB2312" w:cs="仿宋_GB2312"/>
                <w:color w:val="auto"/>
                <w:sz w:val="24"/>
                <w:highlight w:val="none"/>
              </w:rPr>
            </w:pPr>
          </w:p>
        </w:tc>
        <w:tc>
          <w:tcPr>
            <w:tcW w:w="1417" w:type="dxa"/>
            <w:vAlign w:val="center"/>
          </w:tcPr>
          <w:p w14:paraId="74F1C094">
            <w:pPr>
              <w:snapToGrid w:val="0"/>
              <w:spacing w:line="400" w:lineRule="exact"/>
              <w:jc w:val="center"/>
              <w:rPr>
                <w:rFonts w:ascii="仿宋_GB2312" w:hAnsi="仿宋" w:eastAsia="仿宋_GB2312" w:cs="仿宋_GB2312"/>
                <w:color w:val="auto"/>
                <w:sz w:val="24"/>
                <w:highlight w:val="none"/>
              </w:rPr>
            </w:pPr>
          </w:p>
        </w:tc>
        <w:tc>
          <w:tcPr>
            <w:tcW w:w="1843" w:type="dxa"/>
            <w:vAlign w:val="center"/>
          </w:tcPr>
          <w:p w14:paraId="41AE89EE">
            <w:pPr>
              <w:snapToGrid w:val="0"/>
              <w:spacing w:line="400" w:lineRule="exact"/>
              <w:jc w:val="center"/>
              <w:rPr>
                <w:rFonts w:ascii="仿宋_GB2312" w:hAnsi="仿宋" w:eastAsia="仿宋_GB2312" w:cs="仿宋_GB2312"/>
                <w:color w:val="auto"/>
                <w:sz w:val="24"/>
                <w:highlight w:val="none"/>
              </w:rPr>
            </w:pPr>
          </w:p>
        </w:tc>
        <w:tc>
          <w:tcPr>
            <w:tcW w:w="3118" w:type="dxa"/>
            <w:vAlign w:val="center"/>
          </w:tcPr>
          <w:p w14:paraId="79C1AAF9">
            <w:pPr>
              <w:snapToGrid w:val="0"/>
              <w:spacing w:line="400" w:lineRule="exact"/>
              <w:jc w:val="center"/>
              <w:rPr>
                <w:rFonts w:ascii="仿宋_GB2312" w:hAnsi="仿宋" w:eastAsia="仿宋_GB2312" w:cs="仿宋_GB2312"/>
                <w:color w:val="auto"/>
                <w:sz w:val="24"/>
                <w:highlight w:val="none"/>
              </w:rPr>
            </w:pPr>
          </w:p>
        </w:tc>
        <w:tc>
          <w:tcPr>
            <w:tcW w:w="993" w:type="dxa"/>
            <w:vAlign w:val="center"/>
          </w:tcPr>
          <w:p w14:paraId="471C21F0">
            <w:pPr>
              <w:snapToGrid w:val="0"/>
              <w:spacing w:line="400" w:lineRule="exact"/>
              <w:jc w:val="center"/>
              <w:rPr>
                <w:rFonts w:ascii="仿宋_GB2312" w:hAnsi="仿宋" w:eastAsia="仿宋_GB2312" w:cs="仿宋_GB2312"/>
                <w:color w:val="auto"/>
                <w:sz w:val="24"/>
                <w:highlight w:val="none"/>
              </w:rPr>
            </w:pPr>
          </w:p>
        </w:tc>
        <w:tc>
          <w:tcPr>
            <w:tcW w:w="1559" w:type="dxa"/>
            <w:vAlign w:val="center"/>
          </w:tcPr>
          <w:p w14:paraId="03D05BF9">
            <w:pPr>
              <w:snapToGrid w:val="0"/>
              <w:spacing w:line="400" w:lineRule="exact"/>
              <w:jc w:val="center"/>
              <w:rPr>
                <w:rFonts w:ascii="仿宋_GB2312" w:hAnsi="仿宋" w:eastAsia="仿宋_GB2312" w:cs="仿宋_GB2312"/>
                <w:color w:val="auto"/>
                <w:sz w:val="24"/>
                <w:highlight w:val="none"/>
              </w:rPr>
            </w:pPr>
          </w:p>
        </w:tc>
        <w:tc>
          <w:tcPr>
            <w:tcW w:w="1984" w:type="dxa"/>
            <w:vAlign w:val="center"/>
          </w:tcPr>
          <w:p w14:paraId="2E5D3A04">
            <w:pPr>
              <w:snapToGrid w:val="0"/>
              <w:spacing w:line="400" w:lineRule="exact"/>
              <w:jc w:val="center"/>
              <w:rPr>
                <w:rFonts w:ascii="仿宋_GB2312" w:hAnsi="仿宋" w:eastAsia="仿宋_GB2312" w:cs="仿宋_GB2312"/>
                <w:color w:val="auto"/>
                <w:sz w:val="24"/>
                <w:highlight w:val="none"/>
              </w:rPr>
            </w:pPr>
          </w:p>
        </w:tc>
        <w:tc>
          <w:tcPr>
            <w:tcW w:w="3119" w:type="dxa"/>
            <w:vAlign w:val="center"/>
          </w:tcPr>
          <w:p w14:paraId="326100E4">
            <w:pPr>
              <w:snapToGrid w:val="0"/>
              <w:spacing w:line="400" w:lineRule="exact"/>
              <w:jc w:val="center"/>
              <w:rPr>
                <w:rFonts w:ascii="仿宋_GB2312" w:hAnsi="仿宋" w:eastAsia="仿宋_GB2312" w:cs="仿宋_GB2312"/>
                <w:color w:val="auto"/>
                <w:sz w:val="24"/>
                <w:highlight w:val="none"/>
              </w:rPr>
            </w:pPr>
          </w:p>
        </w:tc>
      </w:tr>
      <w:tr w14:paraId="07DB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9FAED3E">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7655" w:type="dxa"/>
            <w:gridSpan w:val="4"/>
            <w:vAlign w:val="center"/>
          </w:tcPr>
          <w:p w14:paraId="5693D659">
            <w:pPr>
              <w:snapToGrid w:val="0"/>
              <w:spacing w:line="400" w:lineRule="exact"/>
              <w:jc w:val="center"/>
              <w:rPr>
                <w:rFonts w:ascii="仿宋_GB2312" w:hAnsi="仿宋" w:eastAsia="仿宋_GB2312" w:cs="仿宋_GB2312"/>
                <w:color w:val="auto"/>
                <w:sz w:val="24"/>
                <w:highlight w:val="none"/>
              </w:rPr>
            </w:pPr>
          </w:p>
        </w:tc>
      </w:tr>
      <w:tr w14:paraId="299A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0A901D3">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投标报价（大写）</w:t>
            </w:r>
          </w:p>
        </w:tc>
        <w:tc>
          <w:tcPr>
            <w:tcW w:w="7655" w:type="dxa"/>
            <w:gridSpan w:val="4"/>
            <w:vAlign w:val="center"/>
          </w:tcPr>
          <w:p w14:paraId="6900A1DD">
            <w:pPr>
              <w:snapToGrid w:val="0"/>
              <w:spacing w:line="400" w:lineRule="exact"/>
              <w:jc w:val="center"/>
              <w:rPr>
                <w:rFonts w:ascii="仿宋_GB2312" w:hAnsi="仿宋" w:eastAsia="仿宋_GB2312" w:cs="仿宋_GB2312"/>
                <w:color w:val="auto"/>
                <w:sz w:val="24"/>
                <w:highlight w:val="none"/>
              </w:rPr>
            </w:pPr>
          </w:p>
        </w:tc>
      </w:tr>
    </w:tbl>
    <w:p w14:paraId="5048C461">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14:paraId="0FB5FEE2">
      <w:pPr>
        <w:keepNext w:val="0"/>
        <w:keepLines w:val="0"/>
        <w:pageBreakBefore w:val="0"/>
        <w:widowControl w:val="0"/>
        <w:kinsoku/>
        <w:wordWrap/>
        <w:overflowPunct/>
        <w:topLinePunct w:val="0"/>
        <w:autoSpaceDE/>
        <w:autoSpaceDN/>
        <w:bidi w:val="0"/>
        <w:adjustRightInd w:val="0"/>
        <w:snapToGrid w:val="0"/>
        <w:spacing w:line="360" w:lineRule="auto"/>
        <w:ind w:left="-2" w:leftChars="-1" w:firstLine="480" w:firstLineChars="200"/>
        <w:textAlignment w:val="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w:t>
      </w:r>
      <w:r>
        <w:rPr>
          <w:rFonts w:hint="eastAsia" w:ascii="仿宋_GB2312" w:hAnsi="仿宋" w:eastAsia="仿宋_GB2312" w:cs="仿宋_GB2312"/>
          <w:color w:val="auto"/>
          <w:kern w:val="0"/>
          <w:sz w:val="24"/>
          <w:highlight w:val="none"/>
          <w:lang w:val="zh-CN"/>
        </w:rPr>
        <w:t>投标人需按本表格式填写，</w:t>
      </w:r>
      <w:r>
        <w:rPr>
          <w:rFonts w:hint="eastAsia" w:ascii="仿宋_GB2312" w:hAnsi="仿宋" w:eastAsia="仿宋_GB2312" w:cs="仿宋_GB2312"/>
          <w:b/>
          <w:bCs/>
          <w:color w:val="auto"/>
          <w:kern w:val="0"/>
          <w:sz w:val="24"/>
          <w:highlight w:val="none"/>
          <w:lang w:val="zh-CN"/>
        </w:rPr>
        <w:t>否则视为投标文件含有采购人不能接受的附加条件，投标无效</w:t>
      </w:r>
      <w:r>
        <w:rPr>
          <w:rFonts w:ascii="仿宋_GB2312" w:hAnsi="仿宋" w:eastAsia="仿宋_GB2312" w:cs="仿宋_GB2312"/>
          <w:color w:val="auto"/>
          <w:kern w:val="0"/>
          <w:sz w:val="24"/>
          <w:highlight w:val="none"/>
          <w:lang w:val="zh-CN"/>
        </w:rPr>
        <w:t>。</w:t>
      </w:r>
    </w:p>
    <w:p w14:paraId="31A475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 w:eastAsia="仿宋_GB2312" w:cs="仿宋_GB2312"/>
          <w:b/>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color w:val="auto"/>
          <w:kern w:val="0"/>
          <w:sz w:val="21"/>
          <w:szCs w:val="21"/>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报价明细表中部分产品、服务单价为零的，视作已包含在总价中。采购内容未包含在《报价一览表》名称栏中，供应商不能作出合理解释的，视为投标文件含有采购人不能接受的附加条件的，响应无效</w:t>
      </w:r>
    </w:p>
    <w:p w14:paraId="10387D8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 w:eastAsia="仿宋_GB2312" w:cs="仿宋_GB2312"/>
          <w:b/>
          <w:bCs/>
          <w:color w:val="auto"/>
          <w:kern w:val="0"/>
          <w:sz w:val="24"/>
          <w:highlight w:val="none"/>
          <w:lang w:val="en-US" w:eastAsia="zh-CN"/>
        </w:rPr>
      </w:pPr>
      <w:r>
        <w:rPr>
          <w:rFonts w:hint="eastAsia" w:ascii="仿宋_GB2312" w:hAnsi="仿宋" w:eastAsia="仿宋_GB2312" w:cs="仿宋_GB2312"/>
          <w:b/>
          <w:bCs/>
          <w:color w:val="auto"/>
          <w:kern w:val="0"/>
          <w:sz w:val="24"/>
          <w:highlight w:val="none"/>
          <w:lang w:val="en-US" w:eastAsia="zh-CN"/>
        </w:rPr>
        <w:t>3、</w:t>
      </w:r>
      <w:r>
        <w:rPr>
          <w:rFonts w:hint="eastAsia" w:ascii="仿宋_GB2312" w:hAnsi="仿宋" w:eastAsia="仿宋_GB2312" w:cs="仿宋_GB2312"/>
          <w:b/>
          <w:bCs/>
          <w:color w:val="auto"/>
          <w:kern w:val="0"/>
          <w:sz w:val="24"/>
          <w:highlight w:val="none"/>
          <w:lang w:val="zh-CN"/>
        </w:rPr>
        <w:t>报价低于项目预算50%的，应当在报价文件中详细阐述不影响产品质量或者诚信履约的具体原因。</w:t>
      </w:r>
    </w:p>
    <w:p w14:paraId="108CB0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4</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14:paraId="632338A3">
      <w:pPr>
        <w:snapToGrid w:val="0"/>
        <w:spacing w:line="360" w:lineRule="auto"/>
        <w:ind w:firstLine="480" w:firstLineChars="200"/>
        <w:jc w:val="left"/>
        <w:rPr>
          <w:rFonts w:hint="eastAsia" w:ascii="仿宋" w:hAnsi="仿宋" w:eastAsia="仿宋" w:cs="仿宋"/>
          <w:color w:val="auto"/>
          <w:kern w:val="0"/>
          <w:sz w:val="24"/>
          <w:highlight w:val="none"/>
          <w:lang w:val="zh-CN"/>
        </w:rPr>
      </w:pPr>
    </w:p>
    <w:p w14:paraId="3ED4BCBC">
      <w:pPr>
        <w:pStyle w:val="828"/>
        <w:ind w:left="0" w:leftChars="0" w:firstLine="643" w:firstLineChars="200"/>
        <w:rPr>
          <w:rFonts w:ascii="仿宋_GB2312" w:hAnsi="仿宋" w:eastAsia="仿宋_GB2312" w:cs="仿宋_GB2312"/>
          <w:color w:val="auto"/>
          <w:sz w:val="32"/>
          <w:szCs w:val="32"/>
          <w:highlight w:val="none"/>
        </w:rPr>
      </w:pPr>
    </w:p>
    <w:p w14:paraId="2DCD43C8">
      <w:pPr>
        <w:pStyle w:val="927"/>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0BDCE09B">
      <w:pPr>
        <w:pStyle w:val="927"/>
        <w:keepNext w:val="0"/>
        <w:pageBreakBefore w:val="0"/>
        <w:tabs>
          <w:tab w:val="clear" w:pos="720"/>
        </w:tabs>
        <w:snapToGrid w:val="0"/>
        <w:spacing w:before="120" w:after="120"/>
        <w:ind w:firstLine="643"/>
        <w:outlineLvl w:val="9"/>
        <w:rPr>
          <w:rFonts w:hint="eastAsia" w:ascii="仿宋_GB2312" w:hAnsi="宋体" w:eastAsia="仿宋_GB2312"/>
          <w:color w:val="auto"/>
          <w:sz w:val="32"/>
          <w:szCs w:val="32"/>
          <w:highlight w:val="none"/>
          <w:lang w:eastAsia="zh-CN"/>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如有</w:t>
      </w:r>
      <w:r>
        <w:rPr>
          <w:rFonts w:hint="eastAsia" w:ascii="仿宋_GB2312" w:hAnsi="宋体" w:eastAsia="仿宋_GB2312"/>
          <w:color w:val="auto"/>
          <w:sz w:val="32"/>
          <w:szCs w:val="32"/>
          <w:highlight w:val="none"/>
          <w:lang w:eastAsia="zh-CN"/>
        </w:rPr>
        <w:t>）</w:t>
      </w:r>
    </w:p>
    <w:p w14:paraId="3C0D296C">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_GB2312" w:hAnsi="仿宋" w:eastAsia="仿宋_GB2312" w:cs="仿宋_GB2312"/>
          <w:b/>
          <w:color w:val="auto"/>
          <w:sz w:val="24"/>
          <w:highlight w:val="none"/>
          <w:lang w:val="en-US" w:eastAsia="zh-CN"/>
        </w:rPr>
        <w:t>7</w:t>
      </w:r>
      <w:r>
        <w:rPr>
          <w:rFonts w:ascii="仿宋_GB2312" w:hAnsi="仿宋" w:eastAsia="仿宋_GB2312" w:cs="仿宋_GB2312"/>
          <w:b/>
          <w:color w:val="auto"/>
          <w:sz w:val="24"/>
          <w:highlight w:val="none"/>
        </w:rPr>
        <w:t>）。</w:t>
      </w:r>
      <w:r>
        <w:rPr>
          <w:rFonts w:hint="eastAsia" w:ascii="仿宋_GB2312" w:hAnsi="仿宋" w:eastAsia="仿宋_GB2312" w:cs="仿宋_GB2312"/>
          <w:b/>
          <w:color w:val="auto"/>
          <w:sz w:val="24"/>
          <w:highlight w:val="none"/>
        </w:rPr>
        <w:t>]</w:t>
      </w:r>
    </w:p>
    <w:p w14:paraId="7217764F">
      <w:pPr>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br w:type="page"/>
      </w:r>
    </w:p>
    <w:p w14:paraId="32887571">
      <w:pPr>
        <w:snapToGrid w:val="0"/>
        <w:spacing w:line="360" w:lineRule="auto"/>
        <w:jc w:val="center"/>
        <w:outlineLvl w:val="1"/>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附件</w:t>
      </w:r>
    </w:p>
    <w:p w14:paraId="350895FA">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14:paraId="5C9CDCD9">
      <w:pPr>
        <w:spacing w:line="360" w:lineRule="auto"/>
        <w:jc w:val="center"/>
        <w:rPr>
          <w:rFonts w:ascii="仿宋_GB2312" w:hAnsi="仿宋" w:eastAsia="仿宋_GB2312"/>
          <w:b/>
          <w:color w:val="auto"/>
          <w:spacing w:val="6"/>
          <w:sz w:val="32"/>
          <w:szCs w:val="32"/>
          <w:highlight w:val="none"/>
        </w:rPr>
      </w:pPr>
      <w:bookmarkStart w:id="444" w:name="OLE_LINK14"/>
      <w:bookmarkStart w:id="445" w:name="OLE_LINK13"/>
      <w:r>
        <w:rPr>
          <w:rFonts w:hint="eastAsia" w:ascii="仿宋_GB2312" w:hAnsi="仿宋" w:eastAsia="仿宋_GB2312"/>
          <w:b/>
          <w:color w:val="auto"/>
          <w:spacing w:val="6"/>
          <w:sz w:val="32"/>
          <w:szCs w:val="32"/>
          <w:highlight w:val="none"/>
        </w:rPr>
        <w:t>残疾人福利性单位声明函</w:t>
      </w:r>
    </w:p>
    <w:bookmarkEnd w:id="444"/>
    <w:bookmarkEnd w:id="445"/>
    <w:p w14:paraId="4735B8EE">
      <w:pPr>
        <w:spacing w:line="360" w:lineRule="auto"/>
        <w:rPr>
          <w:rFonts w:ascii="仿宋_GB2312" w:hAnsi="仿宋" w:eastAsia="仿宋_GB2312"/>
          <w:b/>
          <w:color w:val="auto"/>
          <w:spacing w:val="6"/>
          <w:sz w:val="30"/>
          <w:szCs w:val="30"/>
          <w:highlight w:val="none"/>
        </w:rPr>
      </w:pPr>
    </w:p>
    <w:p w14:paraId="229A3BE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（采购人）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65A09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A291B14">
      <w:pPr>
        <w:spacing w:line="360" w:lineRule="auto"/>
        <w:ind w:firstLine="480" w:firstLineChars="200"/>
        <w:rPr>
          <w:rFonts w:hint="eastAsia" w:ascii="仿宋" w:hAnsi="仿宋" w:eastAsia="仿宋" w:cs="仿宋"/>
          <w:color w:val="auto"/>
          <w:sz w:val="24"/>
          <w:highlight w:val="none"/>
        </w:rPr>
      </w:pPr>
    </w:p>
    <w:p w14:paraId="2B941F3B">
      <w:pPr>
        <w:spacing w:line="360" w:lineRule="auto"/>
        <w:ind w:firstLine="480" w:firstLineChars="200"/>
        <w:rPr>
          <w:rFonts w:hint="eastAsia" w:ascii="仿宋" w:hAnsi="仿宋" w:eastAsia="仿宋" w:cs="仿宋"/>
          <w:color w:val="auto"/>
          <w:sz w:val="24"/>
          <w:highlight w:val="none"/>
        </w:rPr>
      </w:pPr>
    </w:p>
    <w:p w14:paraId="074F85E8">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209F4E2F">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6CF247AD">
      <w:pPr>
        <w:spacing w:line="360" w:lineRule="auto"/>
        <w:ind w:firstLine="480" w:firstLineChars="200"/>
        <w:rPr>
          <w:rFonts w:ascii="仿宋_GB2312" w:hAnsi="仿宋" w:eastAsia="仿宋_GB2312" w:cs="仿宋_GB2312"/>
          <w:color w:val="auto"/>
          <w:sz w:val="24"/>
          <w:highlight w:val="none"/>
        </w:rPr>
      </w:pPr>
    </w:p>
    <w:p w14:paraId="07191A29">
      <w:pPr>
        <w:rPr>
          <w:rFonts w:hint="eastAsia"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br w:type="page"/>
      </w:r>
    </w:p>
    <w:p w14:paraId="4B72FE19">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14:paraId="22153414">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14:paraId="43A49EDF">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59C8C0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CFD74A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1C3517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B138A4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EFC731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EAD269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D86343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26699E9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049E50D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258DF6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90CB35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FBDEE85">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428A6C2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45B8D93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D071EB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1D9A4C1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755CF1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29CBE8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E2A6AA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A9894C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D5B38B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81457D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E6F0E5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5E0DE72">
      <w:pPr>
        <w:spacing w:line="360" w:lineRule="auto"/>
        <w:jc w:val="center"/>
        <w:rPr>
          <w:rFonts w:hint="eastAsia" w:ascii="仿宋" w:hAnsi="仿宋" w:eastAsia="仿宋" w:cs="仿宋"/>
          <w:b/>
          <w:bCs/>
          <w:color w:val="auto"/>
          <w:sz w:val="24"/>
          <w:highlight w:val="none"/>
        </w:rPr>
      </w:pPr>
    </w:p>
    <w:p w14:paraId="7213DF65">
      <w:pPr>
        <w:spacing w:line="360" w:lineRule="auto"/>
        <w:rPr>
          <w:rFonts w:hint="eastAsia" w:ascii="仿宋" w:hAnsi="仿宋" w:eastAsia="仿宋" w:cs="仿宋"/>
          <w:b/>
          <w:color w:val="auto"/>
          <w:sz w:val="24"/>
          <w:highlight w:val="none"/>
        </w:rPr>
      </w:pPr>
    </w:p>
    <w:p w14:paraId="265AC4D4">
      <w:pPr>
        <w:spacing w:line="360" w:lineRule="auto"/>
        <w:rPr>
          <w:rFonts w:hint="eastAsia" w:ascii="仿宋" w:hAnsi="仿宋" w:eastAsia="仿宋" w:cs="仿宋"/>
          <w:b/>
          <w:color w:val="auto"/>
          <w:sz w:val="24"/>
          <w:highlight w:val="none"/>
        </w:rPr>
      </w:pPr>
    </w:p>
    <w:p w14:paraId="252B646F">
      <w:pPr>
        <w:spacing w:line="360" w:lineRule="auto"/>
        <w:rPr>
          <w:rFonts w:hint="eastAsia" w:ascii="仿宋" w:hAnsi="仿宋" w:eastAsia="仿宋" w:cs="仿宋"/>
          <w:b/>
          <w:color w:val="auto"/>
          <w:sz w:val="24"/>
          <w:highlight w:val="none"/>
        </w:rPr>
      </w:pPr>
    </w:p>
    <w:p w14:paraId="557C632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1335D59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3172EC6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31DFC1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FAE4D4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6E18490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69F2AFD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1D70C705">
      <w:pPr>
        <w:widowControl/>
        <w:spacing w:line="360" w:lineRule="auto"/>
        <w:ind w:firstLine="600" w:firstLineChars="200"/>
        <w:jc w:val="left"/>
        <w:rPr>
          <w:rFonts w:hint="eastAsia" w:ascii="仿宋" w:hAnsi="仿宋" w:eastAsia="仿宋" w:cs="仿宋"/>
          <w:color w:val="auto"/>
          <w:sz w:val="30"/>
          <w:szCs w:val="30"/>
          <w:highlight w:val="none"/>
        </w:rPr>
      </w:pPr>
    </w:p>
    <w:p w14:paraId="6426DFD8">
      <w:pPr>
        <w:spacing w:line="360" w:lineRule="auto"/>
        <w:jc w:val="center"/>
        <w:rPr>
          <w:rFonts w:hint="eastAsia" w:ascii="仿宋" w:hAnsi="仿宋" w:eastAsia="仿宋" w:cs="仿宋"/>
          <w:b/>
          <w:color w:val="auto"/>
          <w:spacing w:val="6"/>
          <w:sz w:val="32"/>
          <w:szCs w:val="32"/>
          <w:highlight w:val="none"/>
        </w:rPr>
      </w:pPr>
    </w:p>
    <w:p w14:paraId="438E3F7A">
      <w:pPr>
        <w:spacing w:line="360" w:lineRule="auto"/>
        <w:jc w:val="center"/>
        <w:rPr>
          <w:rFonts w:hint="eastAsia" w:ascii="仿宋" w:hAnsi="仿宋" w:eastAsia="仿宋" w:cs="仿宋"/>
          <w:b/>
          <w:color w:val="auto"/>
          <w:spacing w:val="6"/>
          <w:sz w:val="32"/>
          <w:szCs w:val="32"/>
          <w:highlight w:val="none"/>
        </w:rPr>
      </w:pPr>
    </w:p>
    <w:p w14:paraId="2F3ABAB6">
      <w:pPr>
        <w:spacing w:line="360" w:lineRule="auto"/>
        <w:jc w:val="center"/>
        <w:rPr>
          <w:rFonts w:hint="eastAsia" w:ascii="仿宋" w:hAnsi="仿宋" w:eastAsia="仿宋" w:cs="仿宋"/>
          <w:b/>
          <w:color w:val="auto"/>
          <w:spacing w:val="6"/>
          <w:sz w:val="32"/>
          <w:szCs w:val="32"/>
          <w:highlight w:val="none"/>
        </w:rPr>
      </w:pPr>
    </w:p>
    <w:p w14:paraId="5D3A39BC">
      <w:pPr>
        <w:spacing w:line="360" w:lineRule="auto"/>
        <w:jc w:val="center"/>
        <w:rPr>
          <w:rFonts w:hint="eastAsia" w:ascii="仿宋" w:hAnsi="仿宋" w:eastAsia="仿宋" w:cs="仿宋"/>
          <w:b/>
          <w:color w:val="auto"/>
          <w:spacing w:val="6"/>
          <w:sz w:val="32"/>
          <w:szCs w:val="32"/>
          <w:highlight w:val="none"/>
        </w:rPr>
      </w:pPr>
    </w:p>
    <w:p w14:paraId="599C90FC">
      <w:pPr>
        <w:spacing w:line="360" w:lineRule="auto"/>
        <w:jc w:val="center"/>
        <w:rPr>
          <w:rFonts w:hint="eastAsia" w:ascii="仿宋" w:hAnsi="仿宋" w:eastAsia="仿宋" w:cs="仿宋"/>
          <w:b/>
          <w:color w:val="auto"/>
          <w:spacing w:val="6"/>
          <w:sz w:val="32"/>
          <w:szCs w:val="32"/>
          <w:highlight w:val="none"/>
        </w:rPr>
      </w:pPr>
    </w:p>
    <w:p w14:paraId="5352B2CA">
      <w:pPr>
        <w:spacing w:line="360" w:lineRule="auto"/>
        <w:jc w:val="center"/>
        <w:rPr>
          <w:rFonts w:hint="eastAsia" w:ascii="仿宋" w:hAnsi="仿宋" w:eastAsia="仿宋" w:cs="仿宋"/>
          <w:b/>
          <w:color w:val="auto"/>
          <w:spacing w:val="6"/>
          <w:sz w:val="32"/>
          <w:szCs w:val="32"/>
          <w:highlight w:val="none"/>
        </w:rPr>
      </w:pPr>
    </w:p>
    <w:p w14:paraId="466EDB96">
      <w:pPr>
        <w:spacing w:line="360" w:lineRule="auto"/>
        <w:jc w:val="center"/>
        <w:rPr>
          <w:rFonts w:hint="eastAsia" w:ascii="仿宋" w:hAnsi="仿宋" w:eastAsia="仿宋" w:cs="仿宋"/>
          <w:b/>
          <w:color w:val="auto"/>
          <w:spacing w:val="6"/>
          <w:sz w:val="32"/>
          <w:szCs w:val="32"/>
          <w:highlight w:val="none"/>
        </w:rPr>
      </w:pPr>
    </w:p>
    <w:p w14:paraId="58662B56">
      <w:pPr>
        <w:spacing w:line="360" w:lineRule="auto"/>
        <w:jc w:val="center"/>
        <w:rPr>
          <w:rFonts w:hint="eastAsia" w:ascii="仿宋" w:hAnsi="仿宋" w:eastAsia="仿宋" w:cs="仿宋"/>
          <w:b/>
          <w:color w:val="auto"/>
          <w:spacing w:val="6"/>
          <w:sz w:val="32"/>
          <w:szCs w:val="32"/>
          <w:highlight w:val="none"/>
        </w:rPr>
      </w:pPr>
    </w:p>
    <w:p w14:paraId="6C373674">
      <w:pPr>
        <w:spacing w:line="360" w:lineRule="auto"/>
        <w:jc w:val="center"/>
        <w:rPr>
          <w:rFonts w:hint="eastAsia" w:ascii="仿宋" w:hAnsi="仿宋" w:eastAsia="仿宋" w:cs="仿宋"/>
          <w:b/>
          <w:color w:val="auto"/>
          <w:spacing w:val="6"/>
          <w:sz w:val="32"/>
          <w:szCs w:val="32"/>
          <w:highlight w:val="none"/>
        </w:rPr>
      </w:pPr>
    </w:p>
    <w:p w14:paraId="15E14847">
      <w:pPr>
        <w:spacing w:line="360" w:lineRule="auto"/>
        <w:jc w:val="center"/>
        <w:rPr>
          <w:rFonts w:hint="eastAsia" w:ascii="仿宋" w:hAnsi="仿宋" w:eastAsia="仿宋" w:cs="仿宋"/>
          <w:b/>
          <w:color w:val="auto"/>
          <w:spacing w:val="6"/>
          <w:sz w:val="32"/>
          <w:szCs w:val="32"/>
          <w:highlight w:val="none"/>
        </w:rPr>
      </w:pPr>
    </w:p>
    <w:p w14:paraId="4DAF1BD1">
      <w:pPr>
        <w:spacing w:line="360" w:lineRule="auto"/>
        <w:jc w:val="center"/>
        <w:rPr>
          <w:rFonts w:hint="eastAsia" w:ascii="仿宋" w:hAnsi="仿宋" w:eastAsia="仿宋" w:cs="仿宋"/>
          <w:b/>
          <w:color w:val="auto"/>
          <w:spacing w:val="6"/>
          <w:sz w:val="32"/>
          <w:szCs w:val="32"/>
          <w:highlight w:val="none"/>
        </w:rPr>
      </w:pPr>
    </w:p>
    <w:p w14:paraId="7478DF92">
      <w:pPr>
        <w:spacing w:line="360" w:lineRule="auto"/>
        <w:jc w:val="center"/>
        <w:rPr>
          <w:rFonts w:hint="eastAsia" w:ascii="仿宋" w:hAnsi="仿宋" w:eastAsia="仿宋" w:cs="仿宋"/>
          <w:b/>
          <w:color w:val="auto"/>
          <w:spacing w:val="6"/>
          <w:sz w:val="32"/>
          <w:szCs w:val="32"/>
          <w:highlight w:val="none"/>
        </w:rPr>
      </w:pPr>
    </w:p>
    <w:p w14:paraId="733DB1C2">
      <w:pPr>
        <w:spacing w:line="360" w:lineRule="auto"/>
        <w:jc w:val="left"/>
        <w:rPr>
          <w:rFonts w:hint="eastAsia" w:ascii="仿宋" w:hAnsi="仿宋" w:eastAsia="仿宋" w:cs="仿宋"/>
          <w:b/>
          <w:color w:val="auto"/>
          <w:spacing w:val="6"/>
          <w:sz w:val="32"/>
          <w:szCs w:val="32"/>
          <w:highlight w:val="none"/>
        </w:rPr>
      </w:pPr>
    </w:p>
    <w:p w14:paraId="507C0F37">
      <w:pPr>
        <w:spacing w:line="360" w:lineRule="auto"/>
        <w:jc w:val="left"/>
        <w:rPr>
          <w:rFonts w:hint="eastAsia" w:ascii="仿宋" w:hAnsi="仿宋" w:eastAsia="仿宋" w:cs="仿宋"/>
          <w:b/>
          <w:color w:val="auto"/>
          <w:spacing w:val="6"/>
          <w:sz w:val="32"/>
          <w:szCs w:val="32"/>
          <w:highlight w:val="none"/>
        </w:rPr>
      </w:pPr>
    </w:p>
    <w:p w14:paraId="66563450">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705DC0DF">
      <w:pPr>
        <w:spacing w:line="360" w:lineRule="auto"/>
        <w:jc w:val="center"/>
        <w:rPr>
          <w:rFonts w:hint="eastAsia" w:ascii="仿宋" w:hAnsi="仿宋" w:eastAsia="仿宋" w:cs="仿宋"/>
          <w:b/>
          <w:color w:val="auto"/>
          <w:sz w:val="24"/>
          <w:highlight w:val="none"/>
        </w:rPr>
      </w:pPr>
    </w:p>
    <w:p w14:paraId="21F76D80">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B9E970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F42F39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2AB8B44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5739546">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013790D">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4A5F3D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454226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5C358AF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B5FE50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C925CC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256378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643CFC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51B34D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B1A32D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7DF444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3178C3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FC728B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0411B58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A02A04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9D3349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52667A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3BB58D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99FA2A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7EB88ED">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1D34245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8987A63">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78538A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E72914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088EBE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ED11F7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699FE6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6BDF20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6B742F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6FCA351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1D37C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A34D45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795D7D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174F2AA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E466AB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F300963">
      <w:pPr>
        <w:spacing w:line="360" w:lineRule="auto"/>
        <w:rPr>
          <w:rFonts w:hint="eastAsia" w:ascii="仿宋" w:hAnsi="仿宋" w:eastAsia="仿宋" w:cs="仿宋"/>
          <w:b/>
          <w:color w:val="auto"/>
          <w:sz w:val="24"/>
          <w:highlight w:val="none"/>
        </w:rPr>
      </w:pPr>
    </w:p>
    <w:p w14:paraId="7D23751B">
      <w:pPr>
        <w:spacing w:line="360" w:lineRule="auto"/>
        <w:rPr>
          <w:rFonts w:hint="eastAsia" w:ascii="仿宋" w:hAnsi="仿宋" w:eastAsia="仿宋" w:cs="仿宋"/>
          <w:b/>
          <w:color w:val="auto"/>
          <w:sz w:val="24"/>
          <w:highlight w:val="none"/>
        </w:rPr>
      </w:pPr>
    </w:p>
    <w:p w14:paraId="2077CAD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C6ECB00">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2F34AB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0AA9FE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0F3AB1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0F93C0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7EAF90F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2711CE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0EFF31A9">
      <w:pPr>
        <w:spacing w:line="360" w:lineRule="auto"/>
        <w:rPr>
          <w:rFonts w:hint="eastAsia" w:ascii="仿宋" w:hAnsi="仿宋" w:eastAsia="仿宋" w:cs="仿宋"/>
          <w:b/>
          <w:color w:val="auto"/>
          <w:sz w:val="24"/>
          <w:highlight w:val="none"/>
        </w:rPr>
      </w:pPr>
    </w:p>
    <w:p w14:paraId="3C1BDDBA">
      <w:pPr>
        <w:autoSpaceDE w:val="0"/>
        <w:autoSpaceDN w:val="0"/>
        <w:jc w:val="center"/>
        <w:rPr>
          <w:rFonts w:hint="eastAsia" w:ascii="仿宋" w:hAnsi="仿宋" w:eastAsia="仿宋" w:cs="仿宋"/>
          <w:b/>
          <w:color w:val="auto"/>
          <w:spacing w:val="6"/>
          <w:sz w:val="32"/>
          <w:szCs w:val="32"/>
          <w:highlight w:val="none"/>
        </w:rPr>
      </w:pPr>
    </w:p>
    <w:p w14:paraId="33F57628">
      <w:pPr>
        <w:autoSpaceDE w:val="0"/>
        <w:autoSpaceDN w:val="0"/>
        <w:jc w:val="center"/>
        <w:rPr>
          <w:rFonts w:hint="eastAsia" w:ascii="仿宋" w:hAnsi="仿宋" w:eastAsia="仿宋" w:cs="仿宋"/>
          <w:b/>
          <w:color w:val="auto"/>
          <w:spacing w:val="6"/>
          <w:sz w:val="32"/>
          <w:szCs w:val="32"/>
          <w:highlight w:val="none"/>
        </w:rPr>
      </w:pPr>
    </w:p>
    <w:p w14:paraId="62304D38">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1676C8D4">
      <w:pPr>
        <w:spacing w:line="360" w:lineRule="auto"/>
        <w:rPr>
          <w:rFonts w:hint="eastAsia" w:ascii="仿宋" w:hAnsi="仿宋" w:eastAsia="仿宋" w:cs="仿宋"/>
          <w:color w:val="auto"/>
          <w:sz w:val="24"/>
          <w:highlight w:val="none"/>
          <w:u w:val="single"/>
        </w:rPr>
      </w:pPr>
    </w:p>
    <w:p w14:paraId="1DED1E7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56C2FA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CB11E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3A3BBBFD">
      <w:pPr>
        <w:spacing w:line="360" w:lineRule="auto"/>
        <w:ind w:firstLine="494"/>
        <w:rPr>
          <w:rFonts w:ascii="仿宋" w:hAnsi="仿宋" w:eastAsia="仿宋" w:cs="宋体"/>
          <w:color w:val="auto"/>
          <w:sz w:val="24"/>
          <w:highlight w:val="none"/>
        </w:rPr>
      </w:pPr>
    </w:p>
    <w:p w14:paraId="23B44B15">
      <w:pPr>
        <w:spacing w:line="360" w:lineRule="auto"/>
        <w:ind w:firstLine="494"/>
        <w:rPr>
          <w:rFonts w:ascii="仿宋" w:hAnsi="仿宋" w:eastAsia="仿宋" w:cs="宋体"/>
          <w:color w:val="auto"/>
          <w:sz w:val="24"/>
          <w:highlight w:val="none"/>
        </w:rPr>
      </w:pPr>
    </w:p>
    <w:p w14:paraId="11435106">
      <w:pPr>
        <w:spacing w:line="360" w:lineRule="auto"/>
        <w:ind w:firstLine="494"/>
        <w:rPr>
          <w:rFonts w:ascii="仿宋" w:hAnsi="仿宋" w:eastAsia="仿宋" w:cs="宋体"/>
          <w:color w:val="auto"/>
          <w:sz w:val="24"/>
          <w:highlight w:val="none"/>
        </w:rPr>
      </w:pPr>
    </w:p>
    <w:p w14:paraId="2839E666">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26296002">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年</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月</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日</w:t>
      </w:r>
    </w:p>
    <w:p w14:paraId="3FDAFF1F">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58E82684">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14:paraId="01CE82C9">
      <w:pPr>
        <w:autoSpaceDE w:val="0"/>
        <w:autoSpaceDN w:val="0"/>
        <w:jc w:val="center"/>
        <w:rPr>
          <w:rFonts w:ascii="仿宋" w:hAnsi="仿宋" w:eastAsia="仿宋"/>
          <w:b/>
          <w:color w:val="auto"/>
          <w:spacing w:val="6"/>
          <w:sz w:val="32"/>
          <w:szCs w:val="32"/>
          <w:highlight w:val="none"/>
        </w:rPr>
      </w:pPr>
    </w:p>
    <w:p w14:paraId="63D384E9">
      <w:pPr>
        <w:autoSpaceDE w:val="0"/>
        <w:autoSpaceDN w:val="0"/>
        <w:jc w:val="center"/>
        <w:rPr>
          <w:rFonts w:ascii="仿宋" w:hAnsi="仿宋" w:eastAsia="仿宋"/>
          <w:b/>
          <w:color w:val="auto"/>
          <w:spacing w:val="6"/>
          <w:sz w:val="32"/>
          <w:szCs w:val="32"/>
          <w:highlight w:val="none"/>
        </w:rPr>
      </w:pPr>
    </w:p>
    <w:p w14:paraId="7C12A536">
      <w:pPr>
        <w:autoSpaceDE w:val="0"/>
        <w:autoSpaceDN w:val="0"/>
        <w:jc w:val="center"/>
        <w:rPr>
          <w:rFonts w:ascii="仿宋" w:hAnsi="仿宋" w:eastAsia="仿宋"/>
          <w:b/>
          <w:color w:val="auto"/>
          <w:spacing w:val="6"/>
          <w:sz w:val="32"/>
          <w:szCs w:val="32"/>
          <w:highlight w:val="none"/>
        </w:rPr>
      </w:pPr>
    </w:p>
    <w:p w14:paraId="5727B7D8">
      <w:pPr>
        <w:autoSpaceDE w:val="0"/>
        <w:autoSpaceDN w:val="0"/>
        <w:jc w:val="center"/>
        <w:rPr>
          <w:rFonts w:ascii="仿宋" w:hAnsi="仿宋" w:eastAsia="仿宋"/>
          <w:b/>
          <w:color w:val="auto"/>
          <w:spacing w:val="6"/>
          <w:sz w:val="32"/>
          <w:szCs w:val="32"/>
          <w:highlight w:val="none"/>
        </w:rPr>
      </w:pPr>
    </w:p>
    <w:p w14:paraId="5D391E27">
      <w:pPr>
        <w:autoSpaceDE w:val="0"/>
        <w:autoSpaceDN w:val="0"/>
        <w:jc w:val="center"/>
        <w:rPr>
          <w:rFonts w:ascii="仿宋" w:hAnsi="仿宋" w:eastAsia="仿宋"/>
          <w:b/>
          <w:color w:val="auto"/>
          <w:spacing w:val="6"/>
          <w:sz w:val="32"/>
          <w:szCs w:val="32"/>
          <w:highlight w:val="none"/>
        </w:rPr>
      </w:pPr>
    </w:p>
    <w:p w14:paraId="21CE24B3">
      <w:pPr>
        <w:autoSpaceDE w:val="0"/>
        <w:autoSpaceDN w:val="0"/>
        <w:jc w:val="center"/>
        <w:rPr>
          <w:rFonts w:ascii="仿宋" w:hAnsi="仿宋" w:eastAsia="仿宋"/>
          <w:b/>
          <w:color w:val="auto"/>
          <w:spacing w:val="6"/>
          <w:sz w:val="32"/>
          <w:szCs w:val="32"/>
          <w:highlight w:val="none"/>
        </w:rPr>
      </w:pPr>
    </w:p>
    <w:p w14:paraId="5C0BE10A">
      <w:pPr>
        <w:autoSpaceDE w:val="0"/>
        <w:autoSpaceDN w:val="0"/>
        <w:jc w:val="center"/>
        <w:rPr>
          <w:rFonts w:ascii="仿宋" w:hAnsi="仿宋" w:eastAsia="仿宋"/>
          <w:b/>
          <w:color w:val="auto"/>
          <w:spacing w:val="6"/>
          <w:sz w:val="32"/>
          <w:szCs w:val="32"/>
          <w:highlight w:val="none"/>
        </w:rPr>
      </w:pPr>
    </w:p>
    <w:p w14:paraId="69604178">
      <w:pPr>
        <w:autoSpaceDE w:val="0"/>
        <w:autoSpaceDN w:val="0"/>
        <w:jc w:val="center"/>
        <w:rPr>
          <w:rFonts w:ascii="仿宋" w:hAnsi="仿宋" w:eastAsia="仿宋"/>
          <w:b/>
          <w:color w:val="auto"/>
          <w:spacing w:val="6"/>
          <w:sz w:val="32"/>
          <w:szCs w:val="32"/>
          <w:highlight w:val="none"/>
        </w:rPr>
      </w:pPr>
    </w:p>
    <w:p w14:paraId="3657635B">
      <w:pPr>
        <w:autoSpaceDE w:val="0"/>
        <w:autoSpaceDN w:val="0"/>
        <w:jc w:val="center"/>
        <w:rPr>
          <w:rFonts w:ascii="仿宋" w:hAnsi="仿宋" w:eastAsia="仿宋"/>
          <w:b/>
          <w:color w:val="auto"/>
          <w:spacing w:val="6"/>
          <w:sz w:val="32"/>
          <w:szCs w:val="32"/>
          <w:highlight w:val="none"/>
        </w:rPr>
      </w:pPr>
    </w:p>
    <w:p w14:paraId="7800951B">
      <w:pPr>
        <w:autoSpaceDE w:val="0"/>
        <w:autoSpaceDN w:val="0"/>
        <w:jc w:val="center"/>
        <w:rPr>
          <w:rFonts w:ascii="仿宋" w:hAnsi="仿宋" w:eastAsia="仿宋"/>
          <w:b/>
          <w:color w:val="auto"/>
          <w:spacing w:val="6"/>
          <w:sz w:val="32"/>
          <w:szCs w:val="32"/>
          <w:highlight w:val="none"/>
        </w:rPr>
      </w:pPr>
    </w:p>
    <w:p w14:paraId="31ED03A7">
      <w:pPr>
        <w:autoSpaceDE w:val="0"/>
        <w:autoSpaceDN w:val="0"/>
        <w:jc w:val="center"/>
        <w:rPr>
          <w:rFonts w:ascii="仿宋" w:hAnsi="仿宋" w:eastAsia="仿宋"/>
          <w:b/>
          <w:color w:val="auto"/>
          <w:spacing w:val="6"/>
          <w:sz w:val="32"/>
          <w:szCs w:val="32"/>
          <w:highlight w:val="none"/>
        </w:rPr>
      </w:pPr>
    </w:p>
    <w:p w14:paraId="6343CDB9">
      <w:pPr>
        <w:autoSpaceDE w:val="0"/>
        <w:autoSpaceDN w:val="0"/>
        <w:jc w:val="center"/>
        <w:rPr>
          <w:rFonts w:ascii="仿宋" w:hAnsi="仿宋" w:eastAsia="仿宋"/>
          <w:b/>
          <w:color w:val="auto"/>
          <w:spacing w:val="6"/>
          <w:sz w:val="32"/>
          <w:szCs w:val="32"/>
          <w:highlight w:val="none"/>
        </w:rPr>
      </w:pPr>
    </w:p>
    <w:p w14:paraId="7DE71876">
      <w:pPr>
        <w:autoSpaceDE w:val="0"/>
        <w:autoSpaceDN w:val="0"/>
        <w:jc w:val="center"/>
        <w:rPr>
          <w:rFonts w:hint="eastAsia" w:ascii="仿宋" w:hAnsi="仿宋" w:eastAsia="仿宋"/>
          <w:b/>
          <w:color w:val="auto"/>
          <w:spacing w:val="6"/>
          <w:sz w:val="32"/>
          <w:szCs w:val="32"/>
          <w:highlight w:val="none"/>
        </w:rPr>
      </w:pPr>
    </w:p>
    <w:p w14:paraId="2B8D1AAA">
      <w:pPr>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14:paraId="72CDAE39">
      <w:pPr>
        <w:autoSpaceDE w:val="0"/>
        <w:autoSpaceDN w:val="0"/>
        <w:jc w:val="center"/>
        <w:rPr>
          <w:rFonts w:ascii="宋体" w:hAnsi="宋体" w:cs="宋体"/>
          <w:b/>
          <w:color w:val="auto"/>
          <w:kern w:val="0"/>
          <w:sz w:val="32"/>
          <w:szCs w:val="32"/>
          <w:highlight w:val="none"/>
          <w:lang w:val="zh-CN"/>
        </w:rPr>
      </w:pPr>
      <w:r>
        <w:rPr>
          <w:rFonts w:hint="eastAsia" w:ascii="仿宋" w:hAnsi="仿宋" w:eastAsia="仿宋"/>
          <w:b/>
          <w:bCs/>
          <w:color w:val="auto"/>
          <w:sz w:val="32"/>
          <w:szCs w:val="32"/>
          <w:highlight w:val="none"/>
        </w:rPr>
        <w:t>附件5：</w:t>
      </w:r>
      <w:r>
        <w:rPr>
          <w:rFonts w:hint="eastAsia" w:ascii="仿宋" w:hAnsi="仿宋" w:eastAsia="仿宋"/>
          <w:b/>
          <w:bCs/>
          <w:color w:val="auto"/>
          <w:sz w:val="32"/>
          <w:szCs w:val="32"/>
          <w:highlight w:val="none"/>
          <w:lang w:val="zh-CN"/>
        </w:rPr>
        <w:t>联合协议</w:t>
      </w:r>
    </w:p>
    <w:p w14:paraId="76B86087">
      <w:pPr>
        <w:widowControl/>
        <w:spacing w:line="360" w:lineRule="auto"/>
        <w:ind w:firstLine="482" w:firstLineChars="200"/>
        <w:jc w:val="left"/>
        <w:rPr>
          <w:rFonts w:hint="eastAsia" w:ascii="仿宋" w:hAnsi="仿宋" w:eastAsia="仿宋" w:cs="仿宋"/>
          <w:b/>
          <w:color w:val="auto"/>
          <w:sz w:val="24"/>
          <w:highlight w:val="none"/>
        </w:rPr>
      </w:pPr>
    </w:p>
    <w:p w14:paraId="0084A230">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5F6B9157">
      <w:pPr>
        <w:pStyle w:val="6"/>
        <w:rPr>
          <w:rFonts w:hint="eastAsia"/>
          <w:color w:val="auto"/>
          <w:highlight w:val="none"/>
        </w:rPr>
      </w:pPr>
    </w:p>
    <w:p w14:paraId="4B5933D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29357FD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7790A6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0422EA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670BEFD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C2A88B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351A70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16551C9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61BEB7A4">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46" w:name="_Hlk101131882"/>
      <w:r>
        <w:rPr>
          <w:rFonts w:hint="eastAsia" w:ascii="仿宋" w:hAnsi="仿宋" w:eastAsia="仿宋" w:cs="仿宋"/>
          <w:color w:val="auto"/>
          <w:kern w:val="0"/>
          <w:sz w:val="24"/>
          <w:highlight w:val="none"/>
          <w:u w:val="single"/>
        </w:rPr>
        <w:t>联合体成员X,……</w:t>
      </w:r>
      <w:bookmarkEnd w:id="446"/>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47"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47"/>
      <w:r>
        <w:rPr>
          <w:rFonts w:hint="eastAsia" w:ascii="仿宋" w:hAnsi="仿宋" w:eastAsia="仿宋" w:cs="仿宋"/>
          <w:b/>
          <w:color w:val="auto"/>
          <w:kern w:val="0"/>
          <w:sz w:val="24"/>
          <w:highlight w:val="none"/>
          <w:lang w:val="zh-CN"/>
        </w:rPr>
        <w:t>）</w:t>
      </w:r>
    </w:p>
    <w:p w14:paraId="4E23439B">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48"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48"/>
    </w:p>
    <w:p w14:paraId="772DE1A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7EF40C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3386737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316202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796EDD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154F22A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E96DECF">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81C1867">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CA9B804">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0776C84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02DA0D2">
      <w:pPr>
        <w:autoSpaceDE w:val="0"/>
        <w:autoSpaceDN w:val="0"/>
        <w:jc w:val="center"/>
        <w:rPr>
          <w:rFonts w:hint="eastAsia" w:ascii="仿宋" w:hAnsi="仿宋" w:eastAsia="仿宋" w:cs="仿宋"/>
          <w:b/>
          <w:color w:val="auto"/>
          <w:spacing w:val="6"/>
          <w:sz w:val="32"/>
          <w:szCs w:val="32"/>
          <w:highlight w:val="none"/>
        </w:rPr>
      </w:pPr>
    </w:p>
    <w:p w14:paraId="0AECAC05">
      <w:pPr>
        <w:autoSpaceDE w:val="0"/>
        <w:autoSpaceDN w:val="0"/>
        <w:jc w:val="center"/>
        <w:rPr>
          <w:rFonts w:hint="eastAsia" w:ascii="仿宋" w:hAnsi="仿宋" w:eastAsia="仿宋" w:cs="仿宋"/>
          <w:b/>
          <w:color w:val="auto"/>
          <w:spacing w:val="6"/>
          <w:sz w:val="32"/>
          <w:szCs w:val="32"/>
          <w:highlight w:val="none"/>
        </w:rPr>
      </w:pPr>
    </w:p>
    <w:p w14:paraId="03390891">
      <w:pPr>
        <w:widowControl/>
        <w:adjustRightInd/>
        <w:jc w:val="left"/>
        <w:rPr>
          <w:rFonts w:hint="eastAsia" w:ascii="仿宋" w:hAnsi="仿宋" w:eastAsia="仿宋" w:cs="仿宋"/>
          <w:b/>
          <w:color w:val="auto"/>
          <w:spacing w:val="6"/>
          <w:sz w:val="32"/>
          <w:szCs w:val="32"/>
          <w:highlight w:val="none"/>
        </w:rPr>
      </w:pPr>
    </w:p>
    <w:p w14:paraId="7B095CF1">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AC0D7DD">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4EA3DC07">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A004A31">
      <w:pPr>
        <w:pStyle w:val="6"/>
        <w:rPr>
          <w:rFonts w:hint="eastAsia"/>
          <w:color w:val="auto"/>
          <w:highlight w:val="none"/>
        </w:rPr>
      </w:pPr>
    </w:p>
    <w:p w14:paraId="3574A20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04B52C3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AD07F3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4FB0B6BA">
      <w:pPr>
        <w:pStyle w:val="6"/>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1C28BFA0">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58F47C1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60CE4059">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9563400">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7B1AB0E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10F598B">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28B71CD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1C91AE8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9885FF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5A4B8874">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CB24E09">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1482EF7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9725C3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74849F5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09546D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691D8C72">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5D0CBA8A">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234319B5">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364FBE2">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FC7DF4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E32FFF1">
      <w:pPr>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14:paraId="4D04A21A">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hint="eastAsia" w:ascii="仿宋" w:hAnsi="仿宋" w:eastAsia="仿宋"/>
          <w:b/>
          <w:color w:val="auto"/>
          <w:spacing w:val="6"/>
          <w:sz w:val="32"/>
          <w:szCs w:val="32"/>
          <w:highlight w:val="none"/>
          <w:lang w:val="en-US" w:eastAsia="zh-CN"/>
        </w:rPr>
        <w:t>7</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14:paraId="553E2D06">
      <w:pPr>
        <w:spacing w:line="360" w:lineRule="auto"/>
        <w:jc w:val="center"/>
        <w:rPr>
          <w:rFonts w:ascii="仿宋" w:hAnsi="仿宋" w:eastAsia="仿宋" w:cs="仿宋_GB2312"/>
          <w:color w:val="auto"/>
          <w:sz w:val="24"/>
          <w:highlight w:val="none"/>
          <w:u w:val="single"/>
        </w:rPr>
      </w:pPr>
    </w:p>
    <w:p w14:paraId="224A2BF4">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（服务）</w:t>
      </w:r>
    </w:p>
    <w:p w14:paraId="0B57D10A">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国家税务总局浙江省税务局</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IDC机房巡检服务项目</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750B50FD">
      <w:pPr>
        <w:spacing w:line="360" w:lineRule="auto"/>
        <w:ind w:firstLine="420" w:firstLineChars="200"/>
        <w:jc w:val="left"/>
        <w:rPr>
          <w:rFonts w:hint="eastAsia" w:ascii="仿宋" w:hAnsi="仿宋" w:eastAsia="仿宋" w:cs="仿宋"/>
          <w:color w:val="auto"/>
          <w:sz w:val="24"/>
          <w:highlight w:val="none"/>
        </w:rPr>
      </w:pP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lang w:eastAsia="zh-CN"/>
        </w:rPr>
        <w:t>IDC机房巡检服务</w:t>
      </w:r>
      <w:r>
        <w:rPr>
          <w:rFonts w:hint="eastAsia" w:ascii="仿宋" w:hAnsi="仿宋" w:eastAsia="仿宋" w:cs="仿宋"/>
          <w:color w:val="auto"/>
          <w:sz w:val="24"/>
          <w:highlight w:val="none"/>
        </w:rPr>
        <w:t>，属于</w:t>
      </w:r>
      <w:r>
        <w:rPr>
          <w:rFonts w:hint="eastAsia" w:ascii="仿宋" w:hAnsi="仿宋" w:eastAsia="仿宋" w:cs="仿宋"/>
          <w:color w:val="auto"/>
          <w:kern w:val="0"/>
          <w:sz w:val="24"/>
          <w:highlight w:val="none"/>
          <w:u w:val="single"/>
        </w:rPr>
        <w:t>软件和信息技术服务业</w:t>
      </w:r>
      <w:r>
        <w:rPr>
          <w:rFonts w:hint="eastAsia" w:ascii="仿宋" w:hAnsi="仿宋" w:eastAsia="仿宋" w:cs="仿宋"/>
          <w:color w:val="auto"/>
          <w:kern w:val="0"/>
          <w:sz w:val="24"/>
          <w:highlight w:val="none"/>
        </w:rPr>
        <w:t>行业</w:t>
      </w:r>
      <w:r>
        <w:rPr>
          <w:rFonts w:hint="eastAsia" w:ascii="仿宋" w:hAnsi="仿宋" w:eastAsia="仿宋" w:cs="仿宋"/>
          <w:color w:val="auto"/>
          <w:sz w:val="24"/>
          <w:highlight w:val="none"/>
        </w:rPr>
        <w:t xml:space="preserve">；承接企业为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填写</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val="0"/>
          <w:bCs w:val="0"/>
          <w:color w:val="auto"/>
          <w:sz w:val="24"/>
          <w:highlight w:val="none"/>
          <w:u w:val="single"/>
        </w:rPr>
        <w:t>（</w:t>
      </w:r>
      <w:r>
        <w:rPr>
          <w:rFonts w:hint="eastAsia" w:ascii="仿宋" w:hAnsi="仿宋" w:eastAsia="仿宋" w:cs="仿宋"/>
          <w:b w:val="0"/>
          <w:bCs w:val="0"/>
          <w:color w:val="auto"/>
          <w:sz w:val="24"/>
          <w:highlight w:val="none"/>
          <w:u w:val="single"/>
          <w:lang w:eastAsia="zh-CN"/>
        </w:rPr>
        <w:t>填写</w:t>
      </w:r>
      <w:r>
        <w:rPr>
          <w:rFonts w:hint="eastAsia" w:ascii="仿宋" w:hAnsi="仿宋" w:eastAsia="仿宋" w:cs="仿宋"/>
          <w:b w:val="0"/>
          <w:bCs w:val="0"/>
          <w:color w:val="auto"/>
          <w:sz w:val="24"/>
          <w:highlight w:val="none"/>
          <w:u w:val="single"/>
        </w:rPr>
        <w:t>中型企业、小型企业、微型企业</w:t>
      </w:r>
      <w:r>
        <w:rPr>
          <w:rFonts w:hint="eastAsia" w:ascii="仿宋" w:hAnsi="仿宋" w:eastAsia="仿宋" w:cs="仿宋"/>
          <w:b w:val="0"/>
          <w:bCs w:val="0"/>
          <w:color w:val="auto"/>
          <w:sz w:val="24"/>
          <w:highlight w:val="none"/>
          <w:u w:val="single"/>
          <w:lang w:eastAsia="zh-CN"/>
        </w:rPr>
        <w:t>其中一种</w:t>
      </w:r>
      <w:r>
        <w:rPr>
          <w:rFonts w:hint="eastAsia" w:ascii="仿宋" w:hAnsi="仿宋" w:eastAsia="仿宋" w:cs="仿宋"/>
          <w:b w:val="0"/>
          <w:bCs w:val="0"/>
          <w:color w:val="auto"/>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EDF8A7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701679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5B2DA3E">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0BE9D90">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271F411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r>
        <w:rPr>
          <w:rFonts w:hint="eastAsia" w:ascii="仿宋" w:hAnsi="仿宋" w:eastAsia="仿宋" w:cs="仿宋"/>
          <w:b/>
          <w:bCs/>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p>
    <w:p w14:paraId="194C5080">
      <w:pPr>
        <w:spacing w:line="360" w:lineRule="auto"/>
        <w:ind w:right="420"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1126A37">
      <w:pPr>
        <w:spacing w:line="360" w:lineRule="auto"/>
        <w:ind w:right="420"/>
        <w:rPr>
          <w:rFonts w:ascii="仿宋_GB2312" w:hAnsi="仿宋" w:eastAsia="仿宋_GB2312" w:cs="仿宋_GB2312"/>
          <w:color w:val="auto"/>
          <w:sz w:val="24"/>
          <w:highlight w:val="none"/>
        </w:rPr>
        <w:sectPr>
          <w:headerReference r:id="rId11" w:type="first"/>
          <w:footerReference r:id="rId14" w:type="first"/>
          <w:headerReference r:id="rId10" w:type="default"/>
          <w:footerReference r:id="rId12" w:type="default"/>
          <w:footerReference r:id="rId13" w:type="even"/>
          <w:pgSz w:w="11906" w:h="16838"/>
          <w:pgMar w:top="1276" w:right="1418" w:bottom="1247" w:left="1418" w:header="851" w:footer="992" w:gutter="0"/>
          <w:pgNumType w:fmt="decimal"/>
          <w:cols w:space="720" w:num="1"/>
          <w:titlePg/>
          <w:docGrid w:linePitch="312" w:charSpace="0"/>
        </w:sectPr>
      </w:pPr>
    </w:p>
    <w:p w14:paraId="5C22CB78">
      <w:pPr>
        <w:spacing w:line="360" w:lineRule="auto"/>
        <w:rPr>
          <w:rFonts w:ascii="仿宋" w:hAnsi="仿宋" w:eastAsia="仿宋"/>
          <w:bCs/>
          <w:color w:val="auto"/>
          <w:sz w:val="24"/>
          <w:highlight w:val="none"/>
        </w:rPr>
      </w:pPr>
      <w:r>
        <w:rPr>
          <w:color w:val="auto"/>
          <w:highlight w:val="none"/>
        </w:rPr>
        <w:drawing>
          <wp:inline distT="0" distB="0" distL="0" distR="0">
            <wp:extent cx="8667750" cy="52482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a:srcRect/>
                    <a:stretch>
                      <a:fillRect/>
                    </a:stretch>
                  </pic:blipFill>
                  <pic:spPr>
                    <a:xfrm>
                      <a:off x="0" y="0"/>
                      <a:ext cx="8667750" cy="5248275"/>
                    </a:xfrm>
                    <a:prstGeom prst="rect">
                      <a:avLst/>
                    </a:prstGeom>
                    <a:noFill/>
                    <a:ln w="9525">
                      <a:noFill/>
                      <a:miter lim="800000"/>
                      <a:headEnd/>
                      <a:tailEnd/>
                    </a:ln>
                  </pic:spPr>
                </pic:pic>
              </a:graphicData>
            </a:graphic>
          </wp:inline>
        </w:drawing>
      </w:r>
    </w:p>
    <w:sectPr>
      <w:pgSz w:w="16838" w:h="11906" w:orient="landscape"/>
      <w:pgMar w:top="1418" w:right="1276" w:bottom="1418" w:left="124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4204CAF-0023-4009-8C3A-1A847E254756}"/>
  </w:font>
  <w:font w:name="Arial">
    <w:panose1 w:val="020B0604020202020204"/>
    <w:charset w:val="01"/>
    <w:family w:val="swiss"/>
    <w:pitch w:val="default"/>
    <w:sig w:usb0="E0002EFF" w:usb1="C000785B" w:usb2="00000009" w:usb3="00000000" w:csb0="400001FF" w:csb1="FFFF0000"/>
    <w:embedRegular r:id="rId2" w:fontKey="{71A35C6B-1A61-4B20-9083-A911AC885A7C}"/>
  </w:font>
  <w:font w:name="黑体">
    <w:panose1 w:val="02010609060101010101"/>
    <w:charset w:val="86"/>
    <w:family w:val="auto"/>
    <w:pitch w:val="default"/>
    <w:sig w:usb0="800002BF" w:usb1="38CF7CFA" w:usb2="00000016" w:usb3="00000000" w:csb0="00040001" w:csb1="00000000"/>
    <w:embedRegular r:id="rId3" w:fontKey="{00C5E95B-EAC8-4C25-9531-37E7F05D3F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7B8CD02E-E27E-43AE-9C4A-C44391A8CEAA}"/>
  </w:font>
  <w:font w:name="仿宋">
    <w:panose1 w:val="02010609060101010101"/>
    <w:charset w:val="86"/>
    <w:family w:val="auto"/>
    <w:pitch w:val="default"/>
    <w:sig w:usb0="800002BF" w:usb1="38CF7CFA" w:usb2="00000016" w:usb3="00000000" w:csb0="00040001" w:csb1="00000000"/>
    <w:embedRegular r:id="rId5" w:fontKey="{2ACDFBF0-F6FF-4644-BD56-03332EA0A89D}"/>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6" w:fontKey="{387BE35C-A22B-4CF3-9BE4-7D6812AB193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Futura Bk">
    <w:altName w:val="Segoe Print"/>
    <w:panose1 w:val="00000000000000000000"/>
    <w:charset w:val="00"/>
    <w:family w:val="swiss"/>
    <w:pitch w:val="default"/>
    <w:sig w:usb0="00000000" w:usb1="00000000" w:usb2="00000000" w:usb3="00000000" w:csb0="00000011" w:csb1="00000000"/>
  </w:font>
  <w:font w:name="Helvetica">
    <w:altName w:val="Arial"/>
    <w:panose1 w:val="020B0604020202020204"/>
    <w:charset w:val="00"/>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1FB" w:csb1="00000000"/>
  </w:font>
  <w:font w:name="Arial Narrow">
    <w:panose1 w:val="020B0606020202030204"/>
    <w:charset w:val="00"/>
    <w:family w:val="swiss"/>
    <w:pitch w:val="default"/>
    <w:sig w:usb0="00000287" w:usb1="000008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PingFang SC">
    <w:altName w:val="宋体"/>
    <w:panose1 w:val="00000000000000000000"/>
    <w:charset w:val="86"/>
    <w:family w:val="modern"/>
    <w:pitch w:val="default"/>
    <w:sig w:usb0="00000000" w:usb1="00000000" w:usb2="00000000" w:usb3="00000000" w:csb0="00040001" w:csb1="00000000"/>
  </w:font>
  <w:font w:name="Aldine401 BT">
    <w:altName w:val="Segoe Print"/>
    <w:panose1 w:val="00000000000000000000"/>
    <w:charset w:val="00"/>
    <w:family w:val="roman"/>
    <w:pitch w:val="default"/>
    <w:sig w:usb0="00000000" w:usb1="00000000" w:usb2="00000000" w:usb3="00000000" w:csb0="00000011" w:csb1="00000000"/>
  </w:font>
  <w:font w:name="方正小标宋简体">
    <w:panose1 w:val="03000509000000000000"/>
    <w:charset w:val="86"/>
    <w:family w:val="script"/>
    <w:pitch w:val="default"/>
    <w:sig w:usb0="00000001" w:usb1="080E0000" w:usb2="00000000" w:usb3="00000000" w:csb0="00040000" w:csb1="00000000"/>
    <w:embedRegular r:id="rId7" w:fontKey="{445E9743-7DD2-4597-BC35-20491C460C95}"/>
  </w:font>
  <w:font w:name="Wingdings 2">
    <w:panose1 w:val="05020102010507070707"/>
    <w:charset w:val="02"/>
    <w:family w:val="roman"/>
    <w:pitch w:val="default"/>
    <w:sig w:usb0="00000000" w:usb1="00000000" w:usb2="00000000" w:usb3="00000000" w:csb0="80000000" w:csb1="00000000"/>
    <w:embedRegular r:id="rId8" w:fontKey="{28469886-91D7-4F65-9B6A-982059AEDE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DA2C3">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024C1">
    <w:pPr>
      <w:rPr>
        <w:rFonts w:ascii="仿宋_GB2312" w:eastAsia="仿宋_GB2312"/>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C1B63">
                          <w:pPr>
                            <w:pStyle w:val="3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E4C1B63">
                    <w:pPr>
                      <w:pStyle w:val="3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07356">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D8794">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43D8794">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42DD8">
    <w:pPr>
      <w:pStyle w:val="36"/>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B096D">
                          <w:pPr>
                            <w:pStyle w:val="36"/>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0BB096D">
                    <w:pPr>
                      <w:pStyle w:val="36"/>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8F223">
    <w:pPr>
      <w:pStyle w:val="36"/>
      <w:framePr w:wrap="around" w:vAnchor="text" w:hAnchor="margin" w:xAlign="right" w:y="1"/>
      <w:rPr>
        <w:rStyle w:val="65"/>
      </w:rPr>
    </w:pPr>
    <w:r>
      <w:fldChar w:fldCharType="begin"/>
    </w:r>
    <w:r>
      <w:rPr>
        <w:rStyle w:val="65"/>
      </w:rPr>
      <w:instrText xml:space="preserve">PAGE  </w:instrText>
    </w:r>
    <w:r>
      <w:fldChar w:fldCharType="end"/>
    </w:r>
  </w:p>
  <w:p w14:paraId="5336CAC0">
    <w:pPr>
      <w:pStyle w:val="3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4D2C7">
    <w:pPr>
      <w:pStyle w:val="36"/>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97204">
                          <w:pPr>
                            <w:pStyle w:val="36"/>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6E97204">
                    <w:pPr>
                      <w:pStyle w:val="36"/>
                    </w:pPr>
                    <w:r>
                      <w:fldChar w:fldCharType="begin"/>
                    </w:r>
                    <w:r>
                      <w:instrText xml:space="preserve"> PAGE  \* MERGEFORMAT </w:instrText>
                    </w:r>
                    <w:r>
                      <w:fldChar w:fldCharType="separate"/>
                    </w:r>
                    <w:r>
                      <w:t>88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DE8C5">
    <w:pPr>
      <w:pStyle w:val="37"/>
      <w:pBdr>
        <w:bottom w:val="single" w:color="auto" w:sz="4" w:space="0"/>
      </w:pBdr>
      <w:tabs>
        <w:tab w:val="center" w:pos="4535"/>
        <w:tab w:val="right" w:pos="9070"/>
        <w:tab w:val="clear" w:pos="4153"/>
        <w:tab w:val="clear" w:pos="8306"/>
      </w:tabs>
      <w:jc w:val="right"/>
      <w:rPr>
        <w:rFonts w:ascii="仿宋_GB2312" w:eastAsia="仿宋_GB2312"/>
        <w:b/>
        <w:i/>
        <w:u w:val="single"/>
      </w:rPr>
    </w:pPr>
    <w:r>
      <w:rPr>
        <w:rFonts w:hint="eastAsia"/>
        <w:lang w:eastAsia="zh-CN"/>
      </w:rPr>
      <w:t>国家税务总局浙江省税务局IDC机房巡检服务项目</w:t>
    </w:r>
    <w:r>
      <w:t>招标文</w:t>
    </w:r>
    <w:r>
      <w:rPr>
        <w:rFonts w:hint="eastAsia"/>
      </w:rPr>
      <w:t>件</w:t>
    </w:r>
  </w:p>
  <w:p w14:paraId="7978A385">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7B557">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93969">
    <w:pPr>
      <w:pStyle w:val="3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F8891">
    <w:pPr>
      <w:pStyle w:val="37"/>
      <w:pBdr>
        <w:bottom w:val="single" w:color="auto" w:sz="4" w:space="0"/>
      </w:pBdr>
      <w:tabs>
        <w:tab w:val="center" w:pos="4535"/>
        <w:tab w:val="right" w:pos="9070"/>
        <w:tab w:val="clear" w:pos="4153"/>
        <w:tab w:val="clear" w:pos="8306"/>
      </w:tabs>
      <w:jc w:val="right"/>
    </w:pPr>
    <w:r>
      <w:rPr>
        <w:rFonts w:hint="eastAsia"/>
        <w:lang w:eastAsia="zh-CN"/>
      </w:rPr>
      <w:t>国家税务总局浙江省税务局IDC机房巡检服务项目</w:t>
    </w:r>
    <w:r>
      <w:t>招标文</w:t>
    </w:r>
    <w:r>
      <w:rPr>
        <w:rFonts w:hint="eastAsia"/>
      </w:rPr>
      <w:t>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F9AD6">
    <w:pPr>
      <w:pStyle w:val="37"/>
      <w:pBdr>
        <w:bottom w:val="single" w:color="auto" w:sz="4" w:space="0"/>
      </w:pBdr>
      <w:tabs>
        <w:tab w:val="center" w:pos="4535"/>
        <w:tab w:val="right" w:pos="9070"/>
        <w:tab w:val="clear" w:pos="4153"/>
        <w:tab w:val="clear" w:pos="8306"/>
      </w:tabs>
      <w:jc w:val="right"/>
    </w:pPr>
    <w:r>
      <w:rPr>
        <w:rFonts w:hint="eastAsia"/>
        <w:lang w:eastAsia="zh-CN"/>
      </w:rPr>
      <w:t>国家税务总局浙江省税务局IDC机房巡检服务项目</w:t>
    </w:r>
    <w:r>
      <w:t>招标文</w:t>
    </w:r>
    <w:r>
      <w:rPr>
        <w:rFonts w:hint="eastAsia"/>
      </w:rPr>
      <w:t>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99DB7">
    <w:pPr>
      <w:pStyle w:val="37"/>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1">
    <w:nsid w:val="CDB3996B"/>
    <w:multiLevelType w:val="singleLevel"/>
    <w:tmpl w:val="CDB3996B"/>
    <w:lvl w:ilvl="0" w:tentative="0">
      <w:start w:val="1"/>
      <w:numFmt w:val="decimal"/>
      <w:suff w:val="nothing"/>
      <w:lvlText w:val="%1、"/>
      <w:lvlJc w:val="left"/>
      <w:pPr>
        <w:ind w:left="420" w:firstLine="0"/>
      </w:p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01824C56"/>
    <w:multiLevelType w:val="singleLevel"/>
    <w:tmpl w:val="01824C56"/>
    <w:lvl w:ilvl="0" w:tentative="0">
      <w:start w:val="1"/>
      <w:numFmt w:val="decimal"/>
      <w:suff w:val="nothing"/>
      <w:lvlText w:val="（%1）"/>
      <w:lvlJc w:val="left"/>
    </w:lvl>
  </w:abstractNum>
  <w:abstractNum w:abstractNumId="4">
    <w:nsid w:val="513F8985"/>
    <w:multiLevelType w:val="singleLevel"/>
    <w:tmpl w:val="513F8985"/>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MmM1ZmQzZTY1OTQ0YWIwMDU4ZTRhNGQ1NWM3YjgifQ=="/>
    <w:docVar w:name="KSO_WPS_MARK_KEY" w:val="91c9c22c-89cd-4cd1-9e1d-ed3f7d2a8b6c"/>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4D0"/>
    <w:rsid w:val="000336D4"/>
    <w:rsid w:val="00034FA7"/>
    <w:rsid w:val="00035188"/>
    <w:rsid w:val="0003533D"/>
    <w:rsid w:val="000357E4"/>
    <w:rsid w:val="00035ACA"/>
    <w:rsid w:val="00040447"/>
    <w:rsid w:val="00040494"/>
    <w:rsid w:val="00040B70"/>
    <w:rsid w:val="0004126F"/>
    <w:rsid w:val="00042441"/>
    <w:rsid w:val="00042533"/>
    <w:rsid w:val="00042DBB"/>
    <w:rsid w:val="00042E65"/>
    <w:rsid w:val="0004347C"/>
    <w:rsid w:val="00043907"/>
    <w:rsid w:val="00044F48"/>
    <w:rsid w:val="00047354"/>
    <w:rsid w:val="00047F18"/>
    <w:rsid w:val="00050656"/>
    <w:rsid w:val="00050A19"/>
    <w:rsid w:val="000511B6"/>
    <w:rsid w:val="00051B00"/>
    <w:rsid w:val="00051C72"/>
    <w:rsid w:val="00052192"/>
    <w:rsid w:val="0005238F"/>
    <w:rsid w:val="00052787"/>
    <w:rsid w:val="00052BB8"/>
    <w:rsid w:val="00053619"/>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0CD1"/>
    <w:rsid w:val="00071CD8"/>
    <w:rsid w:val="00071DB2"/>
    <w:rsid w:val="00072AED"/>
    <w:rsid w:val="00072B56"/>
    <w:rsid w:val="00072D2B"/>
    <w:rsid w:val="00072D51"/>
    <w:rsid w:val="000730B1"/>
    <w:rsid w:val="00073860"/>
    <w:rsid w:val="000738EA"/>
    <w:rsid w:val="00074078"/>
    <w:rsid w:val="00074B81"/>
    <w:rsid w:val="00075B15"/>
    <w:rsid w:val="00075D0E"/>
    <w:rsid w:val="00075F6A"/>
    <w:rsid w:val="00076159"/>
    <w:rsid w:val="0007616C"/>
    <w:rsid w:val="000763B5"/>
    <w:rsid w:val="000763F3"/>
    <w:rsid w:val="000766D2"/>
    <w:rsid w:val="00076801"/>
    <w:rsid w:val="00077577"/>
    <w:rsid w:val="00077607"/>
    <w:rsid w:val="00077756"/>
    <w:rsid w:val="00077B7F"/>
    <w:rsid w:val="00077C60"/>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A65"/>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24B"/>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55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39"/>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7AB"/>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9E0"/>
    <w:rsid w:val="0012153F"/>
    <w:rsid w:val="0012159D"/>
    <w:rsid w:val="00121804"/>
    <w:rsid w:val="00121EC9"/>
    <w:rsid w:val="001224FE"/>
    <w:rsid w:val="00122609"/>
    <w:rsid w:val="001231D3"/>
    <w:rsid w:val="001232A7"/>
    <w:rsid w:val="00123F7C"/>
    <w:rsid w:val="0012419E"/>
    <w:rsid w:val="0012450E"/>
    <w:rsid w:val="001248EF"/>
    <w:rsid w:val="00124AC0"/>
    <w:rsid w:val="00124FC4"/>
    <w:rsid w:val="001253AB"/>
    <w:rsid w:val="0012574C"/>
    <w:rsid w:val="001259B8"/>
    <w:rsid w:val="001264B9"/>
    <w:rsid w:val="0012690D"/>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2B6"/>
    <w:rsid w:val="00147EA7"/>
    <w:rsid w:val="001506AB"/>
    <w:rsid w:val="00151820"/>
    <w:rsid w:val="00151B2F"/>
    <w:rsid w:val="001524DC"/>
    <w:rsid w:val="001525E5"/>
    <w:rsid w:val="00153859"/>
    <w:rsid w:val="00153915"/>
    <w:rsid w:val="001539F0"/>
    <w:rsid w:val="00153C63"/>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565"/>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0FBA"/>
    <w:rsid w:val="00191459"/>
    <w:rsid w:val="00191603"/>
    <w:rsid w:val="0019173E"/>
    <w:rsid w:val="0019174E"/>
    <w:rsid w:val="0019196B"/>
    <w:rsid w:val="001923D5"/>
    <w:rsid w:val="001924F9"/>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F34"/>
    <w:rsid w:val="001A3335"/>
    <w:rsid w:val="001A4548"/>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251"/>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325"/>
    <w:rsid w:val="002204BC"/>
    <w:rsid w:val="00220F7B"/>
    <w:rsid w:val="002213CE"/>
    <w:rsid w:val="00221AF7"/>
    <w:rsid w:val="00222494"/>
    <w:rsid w:val="00222775"/>
    <w:rsid w:val="00222A31"/>
    <w:rsid w:val="00222CF6"/>
    <w:rsid w:val="00224037"/>
    <w:rsid w:val="002244E4"/>
    <w:rsid w:val="00224D2A"/>
    <w:rsid w:val="00224D8D"/>
    <w:rsid w:val="0022555A"/>
    <w:rsid w:val="00225FF6"/>
    <w:rsid w:val="00226B71"/>
    <w:rsid w:val="00227214"/>
    <w:rsid w:val="00227DDC"/>
    <w:rsid w:val="0023079F"/>
    <w:rsid w:val="00231135"/>
    <w:rsid w:val="00231B0B"/>
    <w:rsid w:val="00231F40"/>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4AE"/>
    <w:rsid w:val="00255784"/>
    <w:rsid w:val="00255A29"/>
    <w:rsid w:val="0025631F"/>
    <w:rsid w:val="00256986"/>
    <w:rsid w:val="00256D61"/>
    <w:rsid w:val="00256E23"/>
    <w:rsid w:val="00257246"/>
    <w:rsid w:val="00257438"/>
    <w:rsid w:val="0026119C"/>
    <w:rsid w:val="0026195B"/>
    <w:rsid w:val="00261AFE"/>
    <w:rsid w:val="0026212A"/>
    <w:rsid w:val="002621D7"/>
    <w:rsid w:val="00262996"/>
    <w:rsid w:val="00262FE6"/>
    <w:rsid w:val="00263044"/>
    <w:rsid w:val="00263759"/>
    <w:rsid w:val="002638BD"/>
    <w:rsid w:val="0026470B"/>
    <w:rsid w:val="0026486D"/>
    <w:rsid w:val="00264C4B"/>
    <w:rsid w:val="00264ED0"/>
    <w:rsid w:val="00265346"/>
    <w:rsid w:val="00266045"/>
    <w:rsid w:val="002660C3"/>
    <w:rsid w:val="00266C21"/>
    <w:rsid w:val="00266DE1"/>
    <w:rsid w:val="00267A92"/>
    <w:rsid w:val="00267E30"/>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ACB"/>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716"/>
    <w:rsid w:val="002B2906"/>
    <w:rsid w:val="002B2C66"/>
    <w:rsid w:val="002B34E3"/>
    <w:rsid w:val="002B51B6"/>
    <w:rsid w:val="002B5A94"/>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763"/>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3E3"/>
    <w:rsid w:val="003066C6"/>
    <w:rsid w:val="003066FA"/>
    <w:rsid w:val="00306AD6"/>
    <w:rsid w:val="003077F4"/>
    <w:rsid w:val="00307DC7"/>
    <w:rsid w:val="00307FF2"/>
    <w:rsid w:val="00310EDB"/>
    <w:rsid w:val="00311C51"/>
    <w:rsid w:val="00311D56"/>
    <w:rsid w:val="00312016"/>
    <w:rsid w:val="00312203"/>
    <w:rsid w:val="00312340"/>
    <w:rsid w:val="00312DFC"/>
    <w:rsid w:val="0031318C"/>
    <w:rsid w:val="00313C9D"/>
    <w:rsid w:val="0031430C"/>
    <w:rsid w:val="0031479F"/>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175"/>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AA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B0D"/>
    <w:rsid w:val="0035455F"/>
    <w:rsid w:val="00355A37"/>
    <w:rsid w:val="00355D75"/>
    <w:rsid w:val="00355D8F"/>
    <w:rsid w:val="00356A73"/>
    <w:rsid w:val="00356F84"/>
    <w:rsid w:val="00356FF0"/>
    <w:rsid w:val="003577EF"/>
    <w:rsid w:val="00357A60"/>
    <w:rsid w:val="00360304"/>
    <w:rsid w:val="00360A78"/>
    <w:rsid w:val="00361750"/>
    <w:rsid w:val="00363894"/>
    <w:rsid w:val="00363B2A"/>
    <w:rsid w:val="00363BF1"/>
    <w:rsid w:val="0036616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3A74"/>
    <w:rsid w:val="00374677"/>
    <w:rsid w:val="0037510C"/>
    <w:rsid w:val="00375850"/>
    <w:rsid w:val="0037632F"/>
    <w:rsid w:val="00377B26"/>
    <w:rsid w:val="00381014"/>
    <w:rsid w:val="00381604"/>
    <w:rsid w:val="00381C68"/>
    <w:rsid w:val="00381F60"/>
    <w:rsid w:val="00383204"/>
    <w:rsid w:val="00383AB0"/>
    <w:rsid w:val="003847BB"/>
    <w:rsid w:val="00384814"/>
    <w:rsid w:val="00384AB8"/>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1F32"/>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424"/>
    <w:rsid w:val="003B5531"/>
    <w:rsid w:val="003B636A"/>
    <w:rsid w:val="003B69CE"/>
    <w:rsid w:val="003B7403"/>
    <w:rsid w:val="003B7CED"/>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7A3"/>
    <w:rsid w:val="003E3E2F"/>
    <w:rsid w:val="003E4048"/>
    <w:rsid w:val="003E4CE5"/>
    <w:rsid w:val="003E604C"/>
    <w:rsid w:val="003E60DA"/>
    <w:rsid w:val="003E6E00"/>
    <w:rsid w:val="003E7111"/>
    <w:rsid w:val="003E7940"/>
    <w:rsid w:val="003F01BD"/>
    <w:rsid w:val="003F0486"/>
    <w:rsid w:val="003F048E"/>
    <w:rsid w:val="003F09FA"/>
    <w:rsid w:val="003F0AFF"/>
    <w:rsid w:val="003F0D65"/>
    <w:rsid w:val="003F1AA2"/>
    <w:rsid w:val="003F26DC"/>
    <w:rsid w:val="003F42FF"/>
    <w:rsid w:val="003F4B48"/>
    <w:rsid w:val="003F4DDC"/>
    <w:rsid w:val="003F56B8"/>
    <w:rsid w:val="003F5F1A"/>
    <w:rsid w:val="003F6327"/>
    <w:rsid w:val="003F6921"/>
    <w:rsid w:val="003F7425"/>
    <w:rsid w:val="003F765B"/>
    <w:rsid w:val="003F7CB8"/>
    <w:rsid w:val="00400CB4"/>
    <w:rsid w:val="00401386"/>
    <w:rsid w:val="004013E6"/>
    <w:rsid w:val="00401E31"/>
    <w:rsid w:val="00402BBA"/>
    <w:rsid w:val="004035D0"/>
    <w:rsid w:val="0040361D"/>
    <w:rsid w:val="00403795"/>
    <w:rsid w:val="004041FB"/>
    <w:rsid w:val="0040424C"/>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392"/>
    <w:rsid w:val="004126B5"/>
    <w:rsid w:val="00412A0F"/>
    <w:rsid w:val="00414909"/>
    <w:rsid w:val="00415034"/>
    <w:rsid w:val="00415B1A"/>
    <w:rsid w:val="00415DFD"/>
    <w:rsid w:val="00416208"/>
    <w:rsid w:val="0041690F"/>
    <w:rsid w:val="004169D3"/>
    <w:rsid w:val="00416A74"/>
    <w:rsid w:val="00416C2B"/>
    <w:rsid w:val="00416D41"/>
    <w:rsid w:val="00416E70"/>
    <w:rsid w:val="00417264"/>
    <w:rsid w:val="00420FEA"/>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6FD"/>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D0A"/>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F18"/>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2FA0"/>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45"/>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A20"/>
    <w:rsid w:val="004F1CE1"/>
    <w:rsid w:val="004F1F9E"/>
    <w:rsid w:val="004F286A"/>
    <w:rsid w:val="004F2CB6"/>
    <w:rsid w:val="004F2E6E"/>
    <w:rsid w:val="004F3015"/>
    <w:rsid w:val="004F313F"/>
    <w:rsid w:val="004F367F"/>
    <w:rsid w:val="004F3EEF"/>
    <w:rsid w:val="004F43A7"/>
    <w:rsid w:val="004F447B"/>
    <w:rsid w:val="004F4815"/>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5F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1B5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3F"/>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2C1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D30"/>
    <w:rsid w:val="005E5FF0"/>
    <w:rsid w:val="005E642A"/>
    <w:rsid w:val="005E65A7"/>
    <w:rsid w:val="005E721E"/>
    <w:rsid w:val="005F0857"/>
    <w:rsid w:val="005F1396"/>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E42"/>
    <w:rsid w:val="00601F66"/>
    <w:rsid w:val="00602764"/>
    <w:rsid w:val="00602B29"/>
    <w:rsid w:val="00602DAD"/>
    <w:rsid w:val="00603373"/>
    <w:rsid w:val="006036D0"/>
    <w:rsid w:val="00603B1C"/>
    <w:rsid w:val="006042CD"/>
    <w:rsid w:val="00604CC3"/>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47B"/>
    <w:rsid w:val="006416E7"/>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ADD"/>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A7F2D"/>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6E3"/>
    <w:rsid w:val="006B6ED2"/>
    <w:rsid w:val="006B7F74"/>
    <w:rsid w:val="006C0230"/>
    <w:rsid w:val="006C05C7"/>
    <w:rsid w:val="006C25AB"/>
    <w:rsid w:val="006C2DA6"/>
    <w:rsid w:val="006C2E7E"/>
    <w:rsid w:val="006C3581"/>
    <w:rsid w:val="006C39A0"/>
    <w:rsid w:val="006C3EFE"/>
    <w:rsid w:val="006C46C7"/>
    <w:rsid w:val="006C4767"/>
    <w:rsid w:val="006C4A1A"/>
    <w:rsid w:val="006C4D02"/>
    <w:rsid w:val="006C53A4"/>
    <w:rsid w:val="006C54DF"/>
    <w:rsid w:val="006C5D5D"/>
    <w:rsid w:val="006C627E"/>
    <w:rsid w:val="006C6303"/>
    <w:rsid w:val="006C68AA"/>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802"/>
    <w:rsid w:val="006F2F59"/>
    <w:rsid w:val="006F311E"/>
    <w:rsid w:val="006F3442"/>
    <w:rsid w:val="006F36A5"/>
    <w:rsid w:val="006F41F4"/>
    <w:rsid w:val="006F4576"/>
    <w:rsid w:val="006F5813"/>
    <w:rsid w:val="006F59A8"/>
    <w:rsid w:val="006F5A1D"/>
    <w:rsid w:val="006F6D5C"/>
    <w:rsid w:val="006F71A6"/>
    <w:rsid w:val="006F7974"/>
    <w:rsid w:val="006F7C2C"/>
    <w:rsid w:val="006F7FD5"/>
    <w:rsid w:val="00700405"/>
    <w:rsid w:val="00700D18"/>
    <w:rsid w:val="0070168D"/>
    <w:rsid w:val="00701C36"/>
    <w:rsid w:val="00701DDC"/>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2F48"/>
    <w:rsid w:val="00713A6B"/>
    <w:rsid w:val="00713CB5"/>
    <w:rsid w:val="0071499C"/>
    <w:rsid w:val="00714F9D"/>
    <w:rsid w:val="007154D8"/>
    <w:rsid w:val="007154F6"/>
    <w:rsid w:val="00715577"/>
    <w:rsid w:val="0071604D"/>
    <w:rsid w:val="00716C67"/>
    <w:rsid w:val="007170AB"/>
    <w:rsid w:val="0071779C"/>
    <w:rsid w:val="00717808"/>
    <w:rsid w:val="00717843"/>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BF"/>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4B"/>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2F34"/>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08B"/>
    <w:rsid w:val="007A01C3"/>
    <w:rsid w:val="007A0789"/>
    <w:rsid w:val="007A130E"/>
    <w:rsid w:val="007A13E2"/>
    <w:rsid w:val="007A18B1"/>
    <w:rsid w:val="007A1BBD"/>
    <w:rsid w:val="007A1F08"/>
    <w:rsid w:val="007A2555"/>
    <w:rsid w:val="007A25FA"/>
    <w:rsid w:val="007A2DB8"/>
    <w:rsid w:val="007A2FCB"/>
    <w:rsid w:val="007A3520"/>
    <w:rsid w:val="007A3604"/>
    <w:rsid w:val="007A3878"/>
    <w:rsid w:val="007A3D85"/>
    <w:rsid w:val="007A3E0D"/>
    <w:rsid w:val="007A436D"/>
    <w:rsid w:val="007A4F99"/>
    <w:rsid w:val="007A54F6"/>
    <w:rsid w:val="007A55FE"/>
    <w:rsid w:val="007A582C"/>
    <w:rsid w:val="007A5950"/>
    <w:rsid w:val="007A6D91"/>
    <w:rsid w:val="007A7618"/>
    <w:rsid w:val="007B00C9"/>
    <w:rsid w:val="007B02C7"/>
    <w:rsid w:val="007B0306"/>
    <w:rsid w:val="007B08E4"/>
    <w:rsid w:val="007B0D86"/>
    <w:rsid w:val="007B28C3"/>
    <w:rsid w:val="007B2C3D"/>
    <w:rsid w:val="007B3A8E"/>
    <w:rsid w:val="007B3B46"/>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91D"/>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293E"/>
    <w:rsid w:val="007E347E"/>
    <w:rsid w:val="007E41A4"/>
    <w:rsid w:val="007E43E3"/>
    <w:rsid w:val="007E54B8"/>
    <w:rsid w:val="007E5D12"/>
    <w:rsid w:val="007E6420"/>
    <w:rsid w:val="007E677F"/>
    <w:rsid w:val="007E6B25"/>
    <w:rsid w:val="007E6E06"/>
    <w:rsid w:val="007E6F4A"/>
    <w:rsid w:val="007E79CC"/>
    <w:rsid w:val="007F0E4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3BB4"/>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2BA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284"/>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E93"/>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02"/>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6B0"/>
    <w:rsid w:val="008D7247"/>
    <w:rsid w:val="008D7567"/>
    <w:rsid w:val="008E0A5E"/>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9E2"/>
    <w:rsid w:val="008E6109"/>
    <w:rsid w:val="008E6A39"/>
    <w:rsid w:val="008E76BB"/>
    <w:rsid w:val="008F1764"/>
    <w:rsid w:val="008F19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502"/>
    <w:rsid w:val="00903C83"/>
    <w:rsid w:val="00903D77"/>
    <w:rsid w:val="0090408F"/>
    <w:rsid w:val="0090446A"/>
    <w:rsid w:val="00904537"/>
    <w:rsid w:val="00904BF0"/>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48"/>
    <w:rsid w:val="009159C2"/>
    <w:rsid w:val="0091627F"/>
    <w:rsid w:val="00916E45"/>
    <w:rsid w:val="0092077A"/>
    <w:rsid w:val="00920C8C"/>
    <w:rsid w:val="00920DC0"/>
    <w:rsid w:val="009219F3"/>
    <w:rsid w:val="009221CB"/>
    <w:rsid w:val="00922320"/>
    <w:rsid w:val="00923643"/>
    <w:rsid w:val="00923730"/>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39EF"/>
    <w:rsid w:val="009441DB"/>
    <w:rsid w:val="00944834"/>
    <w:rsid w:val="00946128"/>
    <w:rsid w:val="0094633F"/>
    <w:rsid w:val="00947BA5"/>
    <w:rsid w:val="00950805"/>
    <w:rsid w:val="009517E4"/>
    <w:rsid w:val="009518D4"/>
    <w:rsid w:val="009520BC"/>
    <w:rsid w:val="009520E0"/>
    <w:rsid w:val="009521D2"/>
    <w:rsid w:val="00952403"/>
    <w:rsid w:val="00952589"/>
    <w:rsid w:val="00952BD8"/>
    <w:rsid w:val="00953573"/>
    <w:rsid w:val="009537C0"/>
    <w:rsid w:val="00954549"/>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191"/>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937"/>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D66"/>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5F5"/>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B0B"/>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737"/>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FF3"/>
    <w:rsid w:val="009F56C0"/>
    <w:rsid w:val="009F5C76"/>
    <w:rsid w:val="009F6DE2"/>
    <w:rsid w:val="009F713E"/>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94B"/>
    <w:rsid w:val="00A03A7C"/>
    <w:rsid w:val="00A044AA"/>
    <w:rsid w:val="00A0700C"/>
    <w:rsid w:val="00A102F8"/>
    <w:rsid w:val="00A108D5"/>
    <w:rsid w:val="00A10A20"/>
    <w:rsid w:val="00A117D5"/>
    <w:rsid w:val="00A11C11"/>
    <w:rsid w:val="00A12720"/>
    <w:rsid w:val="00A12CD4"/>
    <w:rsid w:val="00A12ED1"/>
    <w:rsid w:val="00A13121"/>
    <w:rsid w:val="00A131F5"/>
    <w:rsid w:val="00A133C1"/>
    <w:rsid w:val="00A13414"/>
    <w:rsid w:val="00A13675"/>
    <w:rsid w:val="00A138B7"/>
    <w:rsid w:val="00A13E6C"/>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B6C"/>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81"/>
    <w:rsid w:val="00A803A6"/>
    <w:rsid w:val="00A8073D"/>
    <w:rsid w:val="00A80D02"/>
    <w:rsid w:val="00A81469"/>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20D"/>
    <w:rsid w:val="00A8733A"/>
    <w:rsid w:val="00A900A7"/>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242"/>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B98"/>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C0E"/>
    <w:rsid w:val="00AF14FC"/>
    <w:rsid w:val="00AF1ED2"/>
    <w:rsid w:val="00AF1F4E"/>
    <w:rsid w:val="00AF2302"/>
    <w:rsid w:val="00AF262A"/>
    <w:rsid w:val="00AF3557"/>
    <w:rsid w:val="00AF3F86"/>
    <w:rsid w:val="00AF4178"/>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B3D"/>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D03"/>
    <w:rsid w:val="00B20760"/>
    <w:rsid w:val="00B2125C"/>
    <w:rsid w:val="00B21676"/>
    <w:rsid w:val="00B219E1"/>
    <w:rsid w:val="00B21ECF"/>
    <w:rsid w:val="00B22150"/>
    <w:rsid w:val="00B226DE"/>
    <w:rsid w:val="00B22FB5"/>
    <w:rsid w:val="00B241D5"/>
    <w:rsid w:val="00B24BE9"/>
    <w:rsid w:val="00B25246"/>
    <w:rsid w:val="00B2551D"/>
    <w:rsid w:val="00B25F8C"/>
    <w:rsid w:val="00B260BE"/>
    <w:rsid w:val="00B26677"/>
    <w:rsid w:val="00B26A96"/>
    <w:rsid w:val="00B274E3"/>
    <w:rsid w:val="00B2765C"/>
    <w:rsid w:val="00B27C4B"/>
    <w:rsid w:val="00B30563"/>
    <w:rsid w:val="00B3069E"/>
    <w:rsid w:val="00B30A76"/>
    <w:rsid w:val="00B30B0D"/>
    <w:rsid w:val="00B31246"/>
    <w:rsid w:val="00B32295"/>
    <w:rsid w:val="00B33AB5"/>
    <w:rsid w:val="00B3412E"/>
    <w:rsid w:val="00B3439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ABA"/>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7F2"/>
    <w:rsid w:val="00B65788"/>
    <w:rsid w:val="00B65844"/>
    <w:rsid w:val="00B66054"/>
    <w:rsid w:val="00B6677F"/>
    <w:rsid w:val="00B66C7A"/>
    <w:rsid w:val="00B672EA"/>
    <w:rsid w:val="00B6747B"/>
    <w:rsid w:val="00B70200"/>
    <w:rsid w:val="00B702D7"/>
    <w:rsid w:val="00B70389"/>
    <w:rsid w:val="00B70E01"/>
    <w:rsid w:val="00B71956"/>
    <w:rsid w:val="00B72CF0"/>
    <w:rsid w:val="00B7380E"/>
    <w:rsid w:val="00B740F6"/>
    <w:rsid w:val="00B74615"/>
    <w:rsid w:val="00B74789"/>
    <w:rsid w:val="00B755B6"/>
    <w:rsid w:val="00B75977"/>
    <w:rsid w:val="00B75A48"/>
    <w:rsid w:val="00B75CC0"/>
    <w:rsid w:val="00B76021"/>
    <w:rsid w:val="00B76299"/>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F4D"/>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CB5"/>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6D0"/>
    <w:rsid w:val="00BB27CC"/>
    <w:rsid w:val="00BB2ACE"/>
    <w:rsid w:val="00BB2E4E"/>
    <w:rsid w:val="00BB2E62"/>
    <w:rsid w:val="00BB36C9"/>
    <w:rsid w:val="00BB3A66"/>
    <w:rsid w:val="00BB40D1"/>
    <w:rsid w:val="00BB4ADA"/>
    <w:rsid w:val="00BB777D"/>
    <w:rsid w:val="00BB7EC0"/>
    <w:rsid w:val="00BB7F88"/>
    <w:rsid w:val="00BC0207"/>
    <w:rsid w:val="00BC089F"/>
    <w:rsid w:val="00BC0A0C"/>
    <w:rsid w:val="00BC0A5A"/>
    <w:rsid w:val="00BC0E64"/>
    <w:rsid w:val="00BC25D1"/>
    <w:rsid w:val="00BC2B15"/>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3A1D"/>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0B2"/>
    <w:rsid w:val="00BF01F3"/>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2F6F"/>
    <w:rsid w:val="00C0378E"/>
    <w:rsid w:val="00C04314"/>
    <w:rsid w:val="00C04B25"/>
    <w:rsid w:val="00C04BD0"/>
    <w:rsid w:val="00C053D4"/>
    <w:rsid w:val="00C05730"/>
    <w:rsid w:val="00C05AF4"/>
    <w:rsid w:val="00C05AFD"/>
    <w:rsid w:val="00C05E97"/>
    <w:rsid w:val="00C0661C"/>
    <w:rsid w:val="00C0675F"/>
    <w:rsid w:val="00C0702A"/>
    <w:rsid w:val="00C0724C"/>
    <w:rsid w:val="00C07C11"/>
    <w:rsid w:val="00C07E10"/>
    <w:rsid w:val="00C10015"/>
    <w:rsid w:val="00C100F6"/>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E9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48F"/>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8F1"/>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45E"/>
    <w:rsid w:val="00C868A7"/>
    <w:rsid w:val="00C86ABA"/>
    <w:rsid w:val="00C86BF7"/>
    <w:rsid w:val="00C87164"/>
    <w:rsid w:val="00C8786A"/>
    <w:rsid w:val="00C87BBA"/>
    <w:rsid w:val="00C87BD0"/>
    <w:rsid w:val="00C905E5"/>
    <w:rsid w:val="00C90754"/>
    <w:rsid w:val="00C90B95"/>
    <w:rsid w:val="00C90BC4"/>
    <w:rsid w:val="00C90CA9"/>
    <w:rsid w:val="00C91802"/>
    <w:rsid w:val="00C9249D"/>
    <w:rsid w:val="00C92E41"/>
    <w:rsid w:val="00C92F62"/>
    <w:rsid w:val="00C93097"/>
    <w:rsid w:val="00C93B40"/>
    <w:rsid w:val="00C93DB5"/>
    <w:rsid w:val="00C94CB9"/>
    <w:rsid w:val="00C95853"/>
    <w:rsid w:val="00C95C2F"/>
    <w:rsid w:val="00C95F87"/>
    <w:rsid w:val="00C96035"/>
    <w:rsid w:val="00C968EF"/>
    <w:rsid w:val="00C972CE"/>
    <w:rsid w:val="00CA01F0"/>
    <w:rsid w:val="00CA0492"/>
    <w:rsid w:val="00CA05B0"/>
    <w:rsid w:val="00CA0632"/>
    <w:rsid w:val="00CA0A04"/>
    <w:rsid w:val="00CA2528"/>
    <w:rsid w:val="00CA3CAB"/>
    <w:rsid w:val="00CA3FC0"/>
    <w:rsid w:val="00CA5685"/>
    <w:rsid w:val="00CA5DCC"/>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CEB"/>
    <w:rsid w:val="00CF7DF5"/>
    <w:rsid w:val="00D001D2"/>
    <w:rsid w:val="00D02A80"/>
    <w:rsid w:val="00D0352D"/>
    <w:rsid w:val="00D04F01"/>
    <w:rsid w:val="00D04F8B"/>
    <w:rsid w:val="00D054EF"/>
    <w:rsid w:val="00D05637"/>
    <w:rsid w:val="00D05BA9"/>
    <w:rsid w:val="00D05EB1"/>
    <w:rsid w:val="00D0650B"/>
    <w:rsid w:val="00D06745"/>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7E8"/>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28F"/>
    <w:rsid w:val="00D815E6"/>
    <w:rsid w:val="00D81A28"/>
    <w:rsid w:val="00D81BDE"/>
    <w:rsid w:val="00D8201D"/>
    <w:rsid w:val="00D82B00"/>
    <w:rsid w:val="00D82B04"/>
    <w:rsid w:val="00D82BE4"/>
    <w:rsid w:val="00D82E05"/>
    <w:rsid w:val="00D83C0D"/>
    <w:rsid w:val="00D83C80"/>
    <w:rsid w:val="00D83F5B"/>
    <w:rsid w:val="00D84061"/>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1B"/>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44"/>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5B77"/>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78"/>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397"/>
    <w:rsid w:val="00E1720B"/>
    <w:rsid w:val="00E17E76"/>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240"/>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652"/>
    <w:rsid w:val="00E519FE"/>
    <w:rsid w:val="00E5206C"/>
    <w:rsid w:val="00E52AAB"/>
    <w:rsid w:val="00E5351C"/>
    <w:rsid w:val="00E5448E"/>
    <w:rsid w:val="00E54E0D"/>
    <w:rsid w:val="00E55247"/>
    <w:rsid w:val="00E558E5"/>
    <w:rsid w:val="00E55B3C"/>
    <w:rsid w:val="00E56795"/>
    <w:rsid w:val="00E57932"/>
    <w:rsid w:val="00E57FDA"/>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05"/>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C94"/>
    <w:rsid w:val="00E97DC6"/>
    <w:rsid w:val="00E97F7A"/>
    <w:rsid w:val="00EA0010"/>
    <w:rsid w:val="00EA0143"/>
    <w:rsid w:val="00EA089B"/>
    <w:rsid w:val="00EA1ACC"/>
    <w:rsid w:val="00EA2E21"/>
    <w:rsid w:val="00EA2EAA"/>
    <w:rsid w:val="00EA380C"/>
    <w:rsid w:val="00EA4DEA"/>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509"/>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E71"/>
    <w:rsid w:val="00EE13DA"/>
    <w:rsid w:val="00EE1595"/>
    <w:rsid w:val="00EE1E71"/>
    <w:rsid w:val="00EE2087"/>
    <w:rsid w:val="00EE20C2"/>
    <w:rsid w:val="00EE2A9D"/>
    <w:rsid w:val="00EE3384"/>
    <w:rsid w:val="00EE499F"/>
    <w:rsid w:val="00EE56E2"/>
    <w:rsid w:val="00EE5FCD"/>
    <w:rsid w:val="00EE63BF"/>
    <w:rsid w:val="00EE6D45"/>
    <w:rsid w:val="00EE6E89"/>
    <w:rsid w:val="00EF0C0A"/>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D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923"/>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084"/>
    <w:rsid w:val="00F33262"/>
    <w:rsid w:val="00F343EE"/>
    <w:rsid w:val="00F353F4"/>
    <w:rsid w:val="00F35494"/>
    <w:rsid w:val="00F35607"/>
    <w:rsid w:val="00F359AB"/>
    <w:rsid w:val="00F35DBA"/>
    <w:rsid w:val="00F3619D"/>
    <w:rsid w:val="00F36DDE"/>
    <w:rsid w:val="00F3722A"/>
    <w:rsid w:val="00F37366"/>
    <w:rsid w:val="00F374EF"/>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797"/>
    <w:rsid w:val="00F62CA8"/>
    <w:rsid w:val="00F62F92"/>
    <w:rsid w:val="00F630B4"/>
    <w:rsid w:val="00F6344B"/>
    <w:rsid w:val="00F635EF"/>
    <w:rsid w:val="00F63BF4"/>
    <w:rsid w:val="00F63C55"/>
    <w:rsid w:val="00F63C60"/>
    <w:rsid w:val="00F64991"/>
    <w:rsid w:val="00F65BA9"/>
    <w:rsid w:val="00F65BC8"/>
    <w:rsid w:val="00F65EEA"/>
    <w:rsid w:val="00F66205"/>
    <w:rsid w:val="00F6630F"/>
    <w:rsid w:val="00F66419"/>
    <w:rsid w:val="00F67079"/>
    <w:rsid w:val="00F67B58"/>
    <w:rsid w:val="00F67C1B"/>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5E2"/>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57C"/>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7F3"/>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3A2"/>
    <w:rsid w:val="00FF2A7B"/>
    <w:rsid w:val="00FF3627"/>
    <w:rsid w:val="00FF3D2B"/>
    <w:rsid w:val="00FF49B4"/>
    <w:rsid w:val="00FF49F4"/>
    <w:rsid w:val="00FF5C6A"/>
    <w:rsid w:val="00FF651D"/>
    <w:rsid w:val="00FF6843"/>
    <w:rsid w:val="00FF6C25"/>
    <w:rsid w:val="010651D9"/>
    <w:rsid w:val="011F6449"/>
    <w:rsid w:val="01236AFB"/>
    <w:rsid w:val="01563449"/>
    <w:rsid w:val="019F7441"/>
    <w:rsid w:val="01B15858"/>
    <w:rsid w:val="01B37585"/>
    <w:rsid w:val="01D55165"/>
    <w:rsid w:val="01DF6BF8"/>
    <w:rsid w:val="01EC2C57"/>
    <w:rsid w:val="026B2E25"/>
    <w:rsid w:val="02824D4D"/>
    <w:rsid w:val="028C6502"/>
    <w:rsid w:val="028E7FF9"/>
    <w:rsid w:val="028F2495"/>
    <w:rsid w:val="02AC6E57"/>
    <w:rsid w:val="02DC4B10"/>
    <w:rsid w:val="02DD76CE"/>
    <w:rsid w:val="02F36323"/>
    <w:rsid w:val="02F5619C"/>
    <w:rsid w:val="0326446A"/>
    <w:rsid w:val="032D5555"/>
    <w:rsid w:val="036634D2"/>
    <w:rsid w:val="036E200B"/>
    <w:rsid w:val="03BA7B3D"/>
    <w:rsid w:val="03DD35E4"/>
    <w:rsid w:val="03F127CD"/>
    <w:rsid w:val="04076900"/>
    <w:rsid w:val="04185926"/>
    <w:rsid w:val="041A5A3B"/>
    <w:rsid w:val="042311BA"/>
    <w:rsid w:val="042B157A"/>
    <w:rsid w:val="048F763B"/>
    <w:rsid w:val="049F330E"/>
    <w:rsid w:val="04A616BB"/>
    <w:rsid w:val="04AA775C"/>
    <w:rsid w:val="04AF1889"/>
    <w:rsid w:val="04F66F48"/>
    <w:rsid w:val="05251E14"/>
    <w:rsid w:val="054E0D40"/>
    <w:rsid w:val="05700CD7"/>
    <w:rsid w:val="057E74F5"/>
    <w:rsid w:val="057F1302"/>
    <w:rsid w:val="05A16594"/>
    <w:rsid w:val="05A7762D"/>
    <w:rsid w:val="060E5941"/>
    <w:rsid w:val="06110FAF"/>
    <w:rsid w:val="06493CA7"/>
    <w:rsid w:val="065A6178"/>
    <w:rsid w:val="066F1CF3"/>
    <w:rsid w:val="06930BB8"/>
    <w:rsid w:val="07245D42"/>
    <w:rsid w:val="07264C62"/>
    <w:rsid w:val="072C70D0"/>
    <w:rsid w:val="074724B3"/>
    <w:rsid w:val="0779354C"/>
    <w:rsid w:val="07B45BF7"/>
    <w:rsid w:val="07FE52DA"/>
    <w:rsid w:val="08061376"/>
    <w:rsid w:val="08452D77"/>
    <w:rsid w:val="086401F8"/>
    <w:rsid w:val="08751CAA"/>
    <w:rsid w:val="087E4C40"/>
    <w:rsid w:val="087F57FC"/>
    <w:rsid w:val="08C843DA"/>
    <w:rsid w:val="08D66AD6"/>
    <w:rsid w:val="08DA33A3"/>
    <w:rsid w:val="08E80F13"/>
    <w:rsid w:val="09335624"/>
    <w:rsid w:val="09411985"/>
    <w:rsid w:val="0944690F"/>
    <w:rsid w:val="09535675"/>
    <w:rsid w:val="095F057D"/>
    <w:rsid w:val="09642282"/>
    <w:rsid w:val="09733572"/>
    <w:rsid w:val="09772C16"/>
    <w:rsid w:val="098353B5"/>
    <w:rsid w:val="09A83C6D"/>
    <w:rsid w:val="09A92330"/>
    <w:rsid w:val="09B06B87"/>
    <w:rsid w:val="09B604B6"/>
    <w:rsid w:val="09C13146"/>
    <w:rsid w:val="09E04166"/>
    <w:rsid w:val="0A1C0718"/>
    <w:rsid w:val="0A264FB4"/>
    <w:rsid w:val="0A2F1A39"/>
    <w:rsid w:val="0A3E7710"/>
    <w:rsid w:val="0A5B7E63"/>
    <w:rsid w:val="0AA374A5"/>
    <w:rsid w:val="0AA5065A"/>
    <w:rsid w:val="0AAB7649"/>
    <w:rsid w:val="0ABC5606"/>
    <w:rsid w:val="0AF37CD8"/>
    <w:rsid w:val="0B0C6E84"/>
    <w:rsid w:val="0B30404E"/>
    <w:rsid w:val="0B4C6C14"/>
    <w:rsid w:val="0B5F1DB6"/>
    <w:rsid w:val="0B631A88"/>
    <w:rsid w:val="0B683D45"/>
    <w:rsid w:val="0B7F3F11"/>
    <w:rsid w:val="0B884417"/>
    <w:rsid w:val="0BA75291"/>
    <w:rsid w:val="0BE34A3F"/>
    <w:rsid w:val="0BF44DFD"/>
    <w:rsid w:val="0BF6188C"/>
    <w:rsid w:val="0BF73C91"/>
    <w:rsid w:val="0BFF4208"/>
    <w:rsid w:val="0C170175"/>
    <w:rsid w:val="0C4A73E4"/>
    <w:rsid w:val="0C571A41"/>
    <w:rsid w:val="0C5C1171"/>
    <w:rsid w:val="0C5E1CBC"/>
    <w:rsid w:val="0C615B50"/>
    <w:rsid w:val="0C650825"/>
    <w:rsid w:val="0C8445DA"/>
    <w:rsid w:val="0C87121B"/>
    <w:rsid w:val="0C8C4DAC"/>
    <w:rsid w:val="0CBA1BD6"/>
    <w:rsid w:val="0CC007F7"/>
    <w:rsid w:val="0CFD604F"/>
    <w:rsid w:val="0CFE707A"/>
    <w:rsid w:val="0D063BDA"/>
    <w:rsid w:val="0D08375F"/>
    <w:rsid w:val="0D184CFB"/>
    <w:rsid w:val="0D3A1F53"/>
    <w:rsid w:val="0D4A7419"/>
    <w:rsid w:val="0D6661C7"/>
    <w:rsid w:val="0D6C66D1"/>
    <w:rsid w:val="0D827401"/>
    <w:rsid w:val="0D84094E"/>
    <w:rsid w:val="0D8A00E9"/>
    <w:rsid w:val="0D8D589E"/>
    <w:rsid w:val="0D9A1C9E"/>
    <w:rsid w:val="0DA01C73"/>
    <w:rsid w:val="0DAA6102"/>
    <w:rsid w:val="0DD63300"/>
    <w:rsid w:val="0DF50604"/>
    <w:rsid w:val="0DF702FE"/>
    <w:rsid w:val="0E060E51"/>
    <w:rsid w:val="0E332694"/>
    <w:rsid w:val="0E5604B2"/>
    <w:rsid w:val="0E566669"/>
    <w:rsid w:val="0E6D5D79"/>
    <w:rsid w:val="0E95470D"/>
    <w:rsid w:val="0E9D0089"/>
    <w:rsid w:val="0EA139E1"/>
    <w:rsid w:val="0EB803EE"/>
    <w:rsid w:val="0EDB7766"/>
    <w:rsid w:val="0EF94D4B"/>
    <w:rsid w:val="0F034513"/>
    <w:rsid w:val="0F4958DC"/>
    <w:rsid w:val="0F515DF7"/>
    <w:rsid w:val="0F596BA8"/>
    <w:rsid w:val="0F6248D2"/>
    <w:rsid w:val="0F693536"/>
    <w:rsid w:val="0F7B0511"/>
    <w:rsid w:val="0F7B76D9"/>
    <w:rsid w:val="0F816ACD"/>
    <w:rsid w:val="0F9832DB"/>
    <w:rsid w:val="0FBF3FD2"/>
    <w:rsid w:val="0FBF7FF3"/>
    <w:rsid w:val="100C0B4A"/>
    <w:rsid w:val="10646583"/>
    <w:rsid w:val="107D4B15"/>
    <w:rsid w:val="1082651A"/>
    <w:rsid w:val="108A3C80"/>
    <w:rsid w:val="10B1336A"/>
    <w:rsid w:val="10C26171"/>
    <w:rsid w:val="10DB57FB"/>
    <w:rsid w:val="10F33360"/>
    <w:rsid w:val="10FC16EA"/>
    <w:rsid w:val="110F1D40"/>
    <w:rsid w:val="11266F33"/>
    <w:rsid w:val="113D18E2"/>
    <w:rsid w:val="11586D0A"/>
    <w:rsid w:val="117F4394"/>
    <w:rsid w:val="118963A1"/>
    <w:rsid w:val="11C6522A"/>
    <w:rsid w:val="11E104CC"/>
    <w:rsid w:val="11E20309"/>
    <w:rsid w:val="12255233"/>
    <w:rsid w:val="122C63ED"/>
    <w:rsid w:val="12530213"/>
    <w:rsid w:val="127723A9"/>
    <w:rsid w:val="12862074"/>
    <w:rsid w:val="12883966"/>
    <w:rsid w:val="129E45B4"/>
    <w:rsid w:val="12D81596"/>
    <w:rsid w:val="12E94387"/>
    <w:rsid w:val="13072A44"/>
    <w:rsid w:val="131F1749"/>
    <w:rsid w:val="135F4BE2"/>
    <w:rsid w:val="139B1A0A"/>
    <w:rsid w:val="139D25C7"/>
    <w:rsid w:val="13BC5100"/>
    <w:rsid w:val="13BF3CE4"/>
    <w:rsid w:val="13C0543A"/>
    <w:rsid w:val="141008D8"/>
    <w:rsid w:val="14125FE6"/>
    <w:rsid w:val="14302FE1"/>
    <w:rsid w:val="145D3E07"/>
    <w:rsid w:val="146D271E"/>
    <w:rsid w:val="14982588"/>
    <w:rsid w:val="149A5AD9"/>
    <w:rsid w:val="14A7619D"/>
    <w:rsid w:val="150536C3"/>
    <w:rsid w:val="150C1963"/>
    <w:rsid w:val="151447A0"/>
    <w:rsid w:val="154A6454"/>
    <w:rsid w:val="156D670B"/>
    <w:rsid w:val="15702B3A"/>
    <w:rsid w:val="15762120"/>
    <w:rsid w:val="158A7C3F"/>
    <w:rsid w:val="15FF4447"/>
    <w:rsid w:val="16A377C0"/>
    <w:rsid w:val="16A8729C"/>
    <w:rsid w:val="16B33777"/>
    <w:rsid w:val="16BC70A7"/>
    <w:rsid w:val="16C6339E"/>
    <w:rsid w:val="17000FF1"/>
    <w:rsid w:val="172F2D79"/>
    <w:rsid w:val="17357CC9"/>
    <w:rsid w:val="17557BEF"/>
    <w:rsid w:val="17845099"/>
    <w:rsid w:val="17967682"/>
    <w:rsid w:val="179E5F3A"/>
    <w:rsid w:val="17D349C1"/>
    <w:rsid w:val="18177852"/>
    <w:rsid w:val="1828039A"/>
    <w:rsid w:val="1830729E"/>
    <w:rsid w:val="18556234"/>
    <w:rsid w:val="1870062C"/>
    <w:rsid w:val="18817102"/>
    <w:rsid w:val="18830A15"/>
    <w:rsid w:val="18852B28"/>
    <w:rsid w:val="188B5321"/>
    <w:rsid w:val="18D47627"/>
    <w:rsid w:val="18ED7187"/>
    <w:rsid w:val="18F728C6"/>
    <w:rsid w:val="190056A7"/>
    <w:rsid w:val="19187DB0"/>
    <w:rsid w:val="191A3096"/>
    <w:rsid w:val="19932372"/>
    <w:rsid w:val="19A20DD5"/>
    <w:rsid w:val="19AE03F1"/>
    <w:rsid w:val="19C92FDD"/>
    <w:rsid w:val="19D1619B"/>
    <w:rsid w:val="19E66E16"/>
    <w:rsid w:val="1A071A03"/>
    <w:rsid w:val="1A1F16AE"/>
    <w:rsid w:val="1A3816AF"/>
    <w:rsid w:val="1A3B5C77"/>
    <w:rsid w:val="1A3C3DCF"/>
    <w:rsid w:val="1A7E012B"/>
    <w:rsid w:val="1A851899"/>
    <w:rsid w:val="1A953C5E"/>
    <w:rsid w:val="1A984BAD"/>
    <w:rsid w:val="1AB15A25"/>
    <w:rsid w:val="1AB8220E"/>
    <w:rsid w:val="1AB91220"/>
    <w:rsid w:val="1ABB3A93"/>
    <w:rsid w:val="1AC03C93"/>
    <w:rsid w:val="1AE4166C"/>
    <w:rsid w:val="1AF06CFB"/>
    <w:rsid w:val="1AF11B8D"/>
    <w:rsid w:val="1B0C4A6E"/>
    <w:rsid w:val="1B11359C"/>
    <w:rsid w:val="1B2A271F"/>
    <w:rsid w:val="1B4743CB"/>
    <w:rsid w:val="1B530544"/>
    <w:rsid w:val="1B583B08"/>
    <w:rsid w:val="1B713184"/>
    <w:rsid w:val="1BA209CF"/>
    <w:rsid w:val="1BB04214"/>
    <w:rsid w:val="1BB4777D"/>
    <w:rsid w:val="1BD75AB8"/>
    <w:rsid w:val="1BEA2B59"/>
    <w:rsid w:val="1C0459C2"/>
    <w:rsid w:val="1C1B3B4A"/>
    <w:rsid w:val="1C88086E"/>
    <w:rsid w:val="1CE67A02"/>
    <w:rsid w:val="1D263C76"/>
    <w:rsid w:val="1D266CE1"/>
    <w:rsid w:val="1D3169AC"/>
    <w:rsid w:val="1D3963AF"/>
    <w:rsid w:val="1D5142C7"/>
    <w:rsid w:val="1D6A673C"/>
    <w:rsid w:val="1D7A45EE"/>
    <w:rsid w:val="1D9247AE"/>
    <w:rsid w:val="1DB45D52"/>
    <w:rsid w:val="1DB567EC"/>
    <w:rsid w:val="1DE972FF"/>
    <w:rsid w:val="1DF51A98"/>
    <w:rsid w:val="1E21179F"/>
    <w:rsid w:val="1E3D060F"/>
    <w:rsid w:val="1E3F7D2E"/>
    <w:rsid w:val="1E4134E4"/>
    <w:rsid w:val="1E49004B"/>
    <w:rsid w:val="1E5062B3"/>
    <w:rsid w:val="1E523514"/>
    <w:rsid w:val="1E714A66"/>
    <w:rsid w:val="1E802593"/>
    <w:rsid w:val="1EA703CC"/>
    <w:rsid w:val="1EB7330C"/>
    <w:rsid w:val="1EBA1146"/>
    <w:rsid w:val="1EE406B7"/>
    <w:rsid w:val="1EE83E29"/>
    <w:rsid w:val="1EFE146F"/>
    <w:rsid w:val="1F0A0FF3"/>
    <w:rsid w:val="1F3C7DAD"/>
    <w:rsid w:val="1F5771FF"/>
    <w:rsid w:val="1F7F60B9"/>
    <w:rsid w:val="1FA0050C"/>
    <w:rsid w:val="1FA46401"/>
    <w:rsid w:val="1FAE2303"/>
    <w:rsid w:val="1FB56DC7"/>
    <w:rsid w:val="1FE868A9"/>
    <w:rsid w:val="20034907"/>
    <w:rsid w:val="20173E4B"/>
    <w:rsid w:val="204E48BC"/>
    <w:rsid w:val="206C39B9"/>
    <w:rsid w:val="208921B3"/>
    <w:rsid w:val="20973DEB"/>
    <w:rsid w:val="20AE0339"/>
    <w:rsid w:val="20B26522"/>
    <w:rsid w:val="20B44310"/>
    <w:rsid w:val="20D75E7F"/>
    <w:rsid w:val="20E16435"/>
    <w:rsid w:val="211116EB"/>
    <w:rsid w:val="211D4710"/>
    <w:rsid w:val="216133FC"/>
    <w:rsid w:val="21676FF7"/>
    <w:rsid w:val="21B94897"/>
    <w:rsid w:val="21D56769"/>
    <w:rsid w:val="21D61F1E"/>
    <w:rsid w:val="21E003A8"/>
    <w:rsid w:val="21E52EF3"/>
    <w:rsid w:val="21FB5D7B"/>
    <w:rsid w:val="220B1C3D"/>
    <w:rsid w:val="221D1D20"/>
    <w:rsid w:val="22334A87"/>
    <w:rsid w:val="224F1BA5"/>
    <w:rsid w:val="22BE6801"/>
    <w:rsid w:val="22C14A45"/>
    <w:rsid w:val="22D44236"/>
    <w:rsid w:val="22D622C7"/>
    <w:rsid w:val="22E85BC9"/>
    <w:rsid w:val="22FF3902"/>
    <w:rsid w:val="233026C4"/>
    <w:rsid w:val="233500BF"/>
    <w:rsid w:val="23377FF7"/>
    <w:rsid w:val="236B425F"/>
    <w:rsid w:val="23836192"/>
    <w:rsid w:val="238D51E5"/>
    <w:rsid w:val="23901F29"/>
    <w:rsid w:val="239C0061"/>
    <w:rsid w:val="23B908A4"/>
    <w:rsid w:val="23DA2D13"/>
    <w:rsid w:val="23E95BEF"/>
    <w:rsid w:val="23FD0064"/>
    <w:rsid w:val="24260CBC"/>
    <w:rsid w:val="245375B0"/>
    <w:rsid w:val="24563E3E"/>
    <w:rsid w:val="24642C0A"/>
    <w:rsid w:val="24B22173"/>
    <w:rsid w:val="24B60145"/>
    <w:rsid w:val="24B95AD9"/>
    <w:rsid w:val="24BE24DA"/>
    <w:rsid w:val="24CF5825"/>
    <w:rsid w:val="24D663E6"/>
    <w:rsid w:val="24D77F2B"/>
    <w:rsid w:val="251C31E3"/>
    <w:rsid w:val="25253C07"/>
    <w:rsid w:val="2569699E"/>
    <w:rsid w:val="258B00E2"/>
    <w:rsid w:val="25A917A6"/>
    <w:rsid w:val="25BE27CC"/>
    <w:rsid w:val="25F74A5C"/>
    <w:rsid w:val="261F3CCA"/>
    <w:rsid w:val="2628662C"/>
    <w:rsid w:val="262D45DE"/>
    <w:rsid w:val="266F2816"/>
    <w:rsid w:val="26A53EF9"/>
    <w:rsid w:val="26A94201"/>
    <w:rsid w:val="26AC274F"/>
    <w:rsid w:val="26CB6B22"/>
    <w:rsid w:val="27044A29"/>
    <w:rsid w:val="271D34C8"/>
    <w:rsid w:val="27521201"/>
    <w:rsid w:val="275935BC"/>
    <w:rsid w:val="276142BF"/>
    <w:rsid w:val="276235F7"/>
    <w:rsid w:val="27783712"/>
    <w:rsid w:val="27907362"/>
    <w:rsid w:val="279818B7"/>
    <w:rsid w:val="27F8367C"/>
    <w:rsid w:val="28056080"/>
    <w:rsid w:val="280E68D2"/>
    <w:rsid w:val="280F3B2C"/>
    <w:rsid w:val="283029D7"/>
    <w:rsid w:val="28333E1D"/>
    <w:rsid w:val="28454BD6"/>
    <w:rsid w:val="28455253"/>
    <w:rsid w:val="28532DF1"/>
    <w:rsid w:val="28551971"/>
    <w:rsid w:val="285B1C53"/>
    <w:rsid w:val="289F7086"/>
    <w:rsid w:val="28C32028"/>
    <w:rsid w:val="28CC490F"/>
    <w:rsid w:val="28DE40AA"/>
    <w:rsid w:val="2901727A"/>
    <w:rsid w:val="29345E77"/>
    <w:rsid w:val="294C65AD"/>
    <w:rsid w:val="29591D17"/>
    <w:rsid w:val="297B340B"/>
    <w:rsid w:val="29806583"/>
    <w:rsid w:val="29860829"/>
    <w:rsid w:val="298B3C4C"/>
    <w:rsid w:val="29B05A93"/>
    <w:rsid w:val="29E90619"/>
    <w:rsid w:val="29F26D24"/>
    <w:rsid w:val="2A15033F"/>
    <w:rsid w:val="2A1662C1"/>
    <w:rsid w:val="2A1C7367"/>
    <w:rsid w:val="2A2815FA"/>
    <w:rsid w:val="2A4E45E1"/>
    <w:rsid w:val="2A557F75"/>
    <w:rsid w:val="2A6D6092"/>
    <w:rsid w:val="2A7A0F46"/>
    <w:rsid w:val="2A7D76B4"/>
    <w:rsid w:val="2A8820F8"/>
    <w:rsid w:val="2AA643B9"/>
    <w:rsid w:val="2ACF5D02"/>
    <w:rsid w:val="2ADD3095"/>
    <w:rsid w:val="2AFA0C1B"/>
    <w:rsid w:val="2B232DAC"/>
    <w:rsid w:val="2B437463"/>
    <w:rsid w:val="2B5350A3"/>
    <w:rsid w:val="2B7807EE"/>
    <w:rsid w:val="2BBF00EC"/>
    <w:rsid w:val="2BC37CFD"/>
    <w:rsid w:val="2BD5237F"/>
    <w:rsid w:val="2BE536CE"/>
    <w:rsid w:val="2BE758D9"/>
    <w:rsid w:val="2C09049E"/>
    <w:rsid w:val="2C0A653C"/>
    <w:rsid w:val="2C191F85"/>
    <w:rsid w:val="2CAE13F8"/>
    <w:rsid w:val="2CE82D6F"/>
    <w:rsid w:val="2CFD7BC7"/>
    <w:rsid w:val="2D343236"/>
    <w:rsid w:val="2DC65BE3"/>
    <w:rsid w:val="2DD15014"/>
    <w:rsid w:val="2DF72DE4"/>
    <w:rsid w:val="2E0220AF"/>
    <w:rsid w:val="2E112C5C"/>
    <w:rsid w:val="2E4571C0"/>
    <w:rsid w:val="2E4B082A"/>
    <w:rsid w:val="2E4B5137"/>
    <w:rsid w:val="2E5D4E86"/>
    <w:rsid w:val="2E5D790B"/>
    <w:rsid w:val="2E9A3C18"/>
    <w:rsid w:val="2E9C0115"/>
    <w:rsid w:val="2EBB0FEE"/>
    <w:rsid w:val="2EC63002"/>
    <w:rsid w:val="2F0A6B38"/>
    <w:rsid w:val="2F38513E"/>
    <w:rsid w:val="2F915EF6"/>
    <w:rsid w:val="2F946CCB"/>
    <w:rsid w:val="2FA31C3F"/>
    <w:rsid w:val="2FB27C17"/>
    <w:rsid w:val="2FBE480E"/>
    <w:rsid w:val="2FC33BA1"/>
    <w:rsid w:val="2FD25781"/>
    <w:rsid w:val="2FD858D0"/>
    <w:rsid w:val="2FE84F99"/>
    <w:rsid w:val="2FFD7934"/>
    <w:rsid w:val="301422BC"/>
    <w:rsid w:val="301B5B64"/>
    <w:rsid w:val="3030139E"/>
    <w:rsid w:val="3062651E"/>
    <w:rsid w:val="30733ACD"/>
    <w:rsid w:val="308C3862"/>
    <w:rsid w:val="309379D8"/>
    <w:rsid w:val="30A270F7"/>
    <w:rsid w:val="30BF0AD4"/>
    <w:rsid w:val="30D67F93"/>
    <w:rsid w:val="30D763AD"/>
    <w:rsid w:val="30DF1478"/>
    <w:rsid w:val="30EC586F"/>
    <w:rsid w:val="31053DEC"/>
    <w:rsid w:val="31143E12"/>
    <w:rsid w:val="315326B8"/>
    <w:rsid w:val="315C42DF"/>
    <w:rsid w:val="31742B56"/>
    <w:rsid w:val="319C6071"/>
    <w:rsid w:val="319F35C1"/>
    <w:rsid w:val="31A727F2"/>
    <w:rsid w:val="31AC537E"/>
    <w:rsid w:val="31E3679B"/>
    <w:rsid w:val="31E732FD"/>
    <w:rsid w:val="322A0160"/>
    <w:rsid w:val="32517576"/>
    <w:rsid w:val="3271788B"/>
    <w:rsid w:val="32901591"/>
    <w:rsid w:val="329E52C3"/>
    <w:rsid w:val="32B04FBF"/>
    <w:rsid w:val="32BE5C2C"/>
    <w:rsid w:val="32E90716"/>
    <w:rsid w:val="32FB6478"/>
    <w:rsid w:val="33102536"/>
    <w:rsid w:val="33263B3F"/>
    <w:rsid w:val="335263B0"/>
    <w:rsid w:val="336963EB"/>
    <w:rsid w:val="33816EEB"/>
    <w:rsid w:val="3388702F"/>
    <w:rsid w:val="33BC6877"/>
    <w:rsid w:val="33EB55CD"/>
    <w:rsid w:val="33EC4C02"/>
    <w:rsid w:val="33F85F41"/>
    <w:rsid w:val="340D2360"/>
    <w:rsid w:val="3410665D"/>
    <w:rsid w:val="34211214"/>
    <w:rsid w:val="342E63AB"/>
    <w:rsid w:val="343520A9"/>
    <w:rsid w:val="344850C2"/>
    <w:rsid w:val="347814D6"/>
    <w:rsid w:val="34950E68"/>
    <w:rsid w:val="34986E94"/>
    <w:rsid w:val="34A02734"/>
    <w:rsid w:val="34AF62C9"/>
    <w:rsid w:val="34CB4388"/>
    <w:rsid w:val="34FA6E12"/>
    <w:rsid w:val="35213875"/>
    <w:rsid w:val="35812566"/>
    <w:rsid w:val="35895BB5"/>
    <w:rsid w:val="358D5588"/>
    <w:rsid w:val="35B31F66"/>
    <w:rsid w:val="35BF235A"/>
    <w:rsid w:val="36393AA7"/>
    <w:rsid w:val="363A3B40"/>
    <w:rsid w:val="365302AE"/>
    <w:rsid w:val="36607A0A"/>
    <w:rsid w:val="366E227C"/>
    <w:rsid w:val="366F2E0D"/>
    <w:rsid w:val="367B6A5C"/>
    <w:rsid w:val="36A74ADA"/>
    <w:rsid w:val="36AD60D5"/>
    <w:rsid w:val="36B224F9"/>
    <w:rsid w:val="36BD11B6"/>
    <w:rsid w:val="36EC0CC9"/>
    <w:rsid w:val="36FE7E85"/>
    <w:rsid w:val="370842CD"/>
    <w:rsid w:val="3733252E"/>
    <w:rsid w:val="373F410B"/>
    <w:rsid w:val="374721C9"/>
    <w:rsid w:val="376A43A1"/>
    <w:rsid w:val="378353EA"/>
    <w:rsid w:val="37B00EE0"/>
    <w:rsid w:val="37D3276D"/>
    <w:rsid w:val="37EE7094"/>
    <w:rsid w:val="38296C89"/>
    <w:rsid w:val="383002EB"/>
    <w:rsid w:val="384C66CB"/>
    <w:rsid w:val="38586797"/>
    <w:rsid w:val="388D27C1"/>
    <w:rsid w:val="38A85F49"/>
    <w:rsid w:val="38BC0149"/>
    <w:rsid w:val="38CA283D"/>
    <w:rsid w:val="38D44413"/>
    <w:rsid w:val="38D87D1C"/>
    <w:rsid w:val="391D35EA"/>
    <w:rsid w:val="39636459"/>
    <w:rsid w:val="396B7F6C"/>
    <w:rsid w:val="39B417A9"/>
    <w:rsid w:val="39C0017B"/>
    <w:rsid w:val="39FC5695"/>
    <w:rsid w:val="3A006D8E"/>
    <w:rsid w:val="3A3651E5"/>
    <w:rsid w:val="3A5A11D0"/>
    <w:rsid w:val="3A6136F1"/>
    <w:rsid w:val="3A744481"/>
    <w:rsid w:val="3A8A1C4F"/>
    <w:rsid w:val="3A8C7BEF"/>
    <w:rsid w:val="3A906246"/>
    <w:rsid w:val="3AA0348E"/>
    <w:rsid w:val="3B0F1694"/>
    <w:rsid w:val="3B2349B7"/>
    <w:rsid w:val="3B616CFF"/>
    <w:rsid w:val="3B6259F6"/>
    <w:rsid w:val="3B976654"/>
    <w:rsid w:val="3BB07244"/>
    <w:rsid w:val="3BB54D17"/>
    <w:rsid w:val="3BC01EFC"/>
    <w:rsid w:val="3BC561FE"/>
    <w:rsid w:val="3BCA786A"/>
    <w:rsid w:val="3BD31E2F"/>
    <w:rsid w:val="3BF15831"/>
    <w:rsid w:val="3BF95755"/>
    <w:rsid w:val="3C105946"/>
    <w:rsid w:val="3C4523F1"/>
    <w:rsid w:val="3C471448"/>
    <w:rsid w:val="3C544463"/>
    <w:rsid w:val="3C5F759A"/>
    <w:rsid w:val="3C6C525A"/>
    <w:rsid w:val="3C7906D5"/>
    <w:rsid w:val="3C7922A5"/>
    <w:rsid w:val="3C7D25A0"/>
    <w:rsid w:val="3C8B2AD6"/>
    <w:rsid w:val="3C944192"/>
    <w:rsid w:val="3C9562F3"/>
    <w:rsid w:val="3CCE23CB"/>
    <w:rsid w:val="3CD17D17"/>
    <w:rsid w:val="3D232B08"/>
    <w:rsid w:val="3D263F64"/>
    <w:rsid w:val="3D3C7F39"/>
    <w:rsid w:val="3D440F09"/>
    <w:rsid w:val="3D4504A0"/>
    <w:rsid w:val="3D6E4A5D"/>
    <w:rsid w:val="3D8734BB"/>
    <w:rsid w:val="3D9A11D4"/>
    <w:rsid w:val="3DA16D89"/>
    <w:rsid w:val="3DA364BE"/>
    <w:rsid w:val="3DA4412F"/>
    <w:rsid w:val="3DE041CB"/>
    <w:rsid w:val="3DF762F8"/>
    <w:rsid w:val="3E0D48F6"/>
    <w:rsid w:val="3E171CB9"/>
    <w:rsid w:val="3E1868B4"/>
    <w:rsid w:val="3E233977"/>
    <w:rsid w:val="3E377251"/>
    <w:rsid w:val="3E42664B"/>
    <w:rsid w:val="3E5A7334"/>
    <w:rsid w:val="3E6B2874"/>
    <w:rsid w:val="3E7B5D6B"/>
    <w:rsid w:val="3E843E66"/>
    <w:rsid w:val="3E8F51FE"/>
    <w:rsid w:val="3E926F87"/>
    <w:rsid w:val="3E9A59DE"/>
    <w:rsid w:val="3EAF4836"/>
    <w:rsid w:val="3EC33DFA"/>
    <w:rsid w:val="3F02101D"/>
    <w:rsid w:val="3F060E16"/>
    <w:rsid w:val="3F1D1096"/>
    <w:rsid w:val="3F2E3FF4"/>
    <w:rsid w:val="3F2F0234"/>
    <w:rsid w:val="3F4429AE"/>
    <w:rsid w:val="3F456198"/>
    <w:rsid w:val="3F5341F4"/>
    <w:rsid w:val="3F6363FE"/>
    <w:rsid w:val="3F756B8F"/>
    <w:rsid w:val="3F95482B"/>
    <w:rsid w:val="3FD63AFD"/>
    <w:rsid w:val="40023CA2"/>
    <w:rsid w:val="4019356B"/>
    <w:rsid w:val="402517AD"/>
    <w:rsid w:val="40402CCB"/>
    <w:rsid w:val="40592157"/>
    <w:rsid w:val="406E1CAE"/>
    <w:rsid w:val="40786BEE"/>
    <w:rsid w:val="407A6AC7"/>
    <w:rsid w:val="40A0133A"/>
    <w:rsid w:val="40A17524"/>
    <w:rsid w:val="40A966B3"/>
    <w:rsid w:val="40C31A53"/>
    <w:rsid w:val="40DE6ABE"/>
    <w:rsid w:val="40FF545D"/>
    <w:rsid w:val="410067C8"/>
    <w:rsid w:val="410B5E2C"/>
    <w:rsid w:val="410F056A"/>
    <w:rsid w:val="412F7EB3"/>
    <w:rsid w:val="413665DA"/>
    <w:rsid w:val="417B24EB"/>
    <w:rsid w:val="418F0D2A"/>
    <w:rsid w:val="41D01505"/>
    <w:rsid w:val="421C3283"/>
    <w:rsid w:val="4220508D"/>
    <w:rsid w:val="42474939"/>
    <w:rsid w:val="424C3C57"/>
    <w:rsid w:val="42613FF3"/>
    <w:rsid w:val="42660D96"/>
    <w:rsid w:val="428667D2"/>
    <w:rsid w:val="428E770C"/>
    <w:rsid w:val="42C6711C"/>
    <w:rsid w:val="42CD1CE0"/>
    <w:rsid w:val="42E1381E"/>
    <w:rsid w:val="42ED6459"/>
    <w:rsid w:val="42FE58DD"/>
    <w:rsid w:val="43174B3D"/>
    <w:rsid w:val="433616D0"/>
    <w:rsid w:val="4343670C"/>
    <w:rsid w:val="434A043B"/>
    <w:rsid w:val="434B790E"/>
    <w:rsid w:val="4360274F"/>
    <w:rsid w:val="438751EB"/>
    <w:rsid w:val="43977AB6"/>
    <w:rsid w:val="43A3342B"/>
    <w:rsid w:val="43C77C27"/>
    <w:rsid w:val="43DE09EE"/>
    <w:rsid w:val="44002FAD"/>
    <w:rsid w:val="440F5251"/>
    <w:rsid w:val="445F0B62"/>
    <w:rsid w:val="44645195"/>
    <w:rsid w:val="449101DD"/>
    <w:rsid w:val="4492209A"/>
    <w:rsid w:val="44DE1391"/>
    <w:rsid w:val="44E4034E"/>
    <w:rsid w:val="44E623E5"/>
    <w:rsid w:val="451B225C"/>
    <w:rsid w:val="451D4EF5"/>
    <w:rsid w:val="452410C9"/>
    <w:rsid w:val="45317DFB"/>
    <w:rsid w:val="453855CF"/>
    <w:rsid w:val="454245ED"/>
    <w:rsid w:val="456D3CE4"/>
    <w:rsid w:val="4579042C"/>
    <w:rsid w:val="457C2402"/>
    <w:rsid w:val="457F0571"/>
    <w:rsid w:val="45851176"/>
    <w:rsid w:val="45C63B94"/>
    <w:rsid w:val="460E7DA5"/>
    <w:rsid w:val="462359FB"/>
    <w:rsid w:val="46422483"/>
    <w:rsid w:val="464B585C"/>
    <w:rsid w:val="4659254A"/>
    <w:rsid w:val="465B0637"/>
    <w:rsid w:val="465E3F0D"/>
    <w:rsid w:val="466A16E6"/>
    <w:rsid w:val="46870DB1"/>
    <w:rsid w:val="4687265B"/>
    <w:rsid w:val="46893F2B"/>
    <w:rsid w:val="46B34549"/>
    <w:rsid w:val="46C4686E"/>
    <w:rsid w:val="47716DCA"/>
    <w:rsid w:val="477B778F"/>
    <w:rsid w:val="478203EC"/>
    <w:rsid w:val="478B2433"/>
    <w:rsid w:val="47B025FA"/>
    <w:rsid w:val="47D976B0"/>
    <w:rsid w:val="47E66FFA"/>
    <w:rsid w:val="4809698F"/>
    <w:rsid w:val="4811697D"/>
    <w:rsid w:val="487A3E25"/>
    <w:rsid w:val="488B5503"/>
    <w:rsid w:val="48937E21"/>
    <w:rsid w:val="489A0361"/>
    <w:rsid w:val="48B94FF3"/>
    <w:rsid w:val="48CE4EBF"/>
    <w:rsid w:val="48E37AAB"/>
    <w:rsid w:val="48E742F5"/>
    <w:rsid w:val="48E94A67"/>
    <w:rsid w:val="48FB45C6"/>
    <w:rsid w:val="48FD4B4C"/>
    <w:rsid w:val="490A68E0"/>
    <w:rsid w:val="491055FE"/>
    <w:rsid w:val="495F5B3E"/>
    <w:rsid w:val="496F77D7"/>
    <w:rsid w:val="4974659B"/>
    <w:rsid w:val="497624B9"/>
    <w:rsid w:val="497654FD"/>
    <w:rsid w:val="49B64211"/>
    <w:rsid w:val="49F6167F"/>
    <w:rsid w:val="49FC4951"/>
    <w:rsid w:val="4A064FA0"/>
    <w:rsid w:val="4A16615C"/>
    <w:rsid w:val="4A221DB6"/>
    <w:rsid w:val="4A4424D7"/>
    <w:rsid w:val="4A526090"/>
    <w:rsid w:val="4A82130D"/>
    <w:rsid w:val="4AB82D0F"/>
    <w:rsid w:val="4AD70209"/>
    <w:rsid w:val="4AEB7664"/>
    <w:rsid w:val="4AFD7C19"/>
    <w:rsid w:val="4B037313"/>
    <w:rsid w:val="4B0567D1"/>
    <w:rsid w:val="4B094133"/>
    <w:rsid w:val="4B236AAE"/>
    <w:rsid w:val="4B26198D"/>
    <w:rsid w:val="4B4107C8"/>
    <w:rsid w:val="4B707271"/>
    <w:rsid w:val="4B753F88"/>
    <w:rsid w:val="4B7D1430"/>
    <w:rsid w:val="4B907811"/>
    <w:rsid w:val="4B9739F7"/>
    <w:rsid w:val="4B9E03BB"/>
    <w:rsid w:val="4BD42F98"/>
    <w:rsid w:val="4BEE2503"/>
    <w:rsid w:val="4BF80CFD"/>
    <w:rsid w:val="4C245A30"/>
    <w:rsid w:val="4CA45D4B"/>
    <w:rsid w:val="4CB6685F"/>
    <w:rsid w:val="4CC367FE"/>
    <w:rsid w:val="4D0147F7"/>
    <w:rsid w:val="4D077F3C"/>
    <w:rsid w:val="4D0B7988"/>
    <w:rsid w:val="4D123355"/>
    <w:rsid w:val="4D2A3B31"/>
    <w:rsid w:val="4D2B3854"/>
    <w:rsid w:val="4D312C52"/>
    <w:rsid w:val="4D3A32CE"/>
    <w:rsid w:val="4D530B87"/>
    <w:rsid w:val="4D55587D"/>
    <w:rsid w:val="4D5B38D6"/>
    <w:rsid w:val="4D5E728F"/>
    <w:rsid w:val="4D794760"/>
    <w:rsid w:val="4D905305"/>
    <w:rsid w:val="4D964A72"/>
    <w:rsid w:val="4D9C1254"/>
    <w:rsid w:val="4DA409CF"/>
    <w:rsid w:val="4DC32E6C"/>
    <w:rsid w:val="4E4C6215"/>
    <w:rsid w:val="4E557B21"/>
    <w:rsid w:val="4E63224C"/>
    <w:rsid w:val="4E793892"/>
    <w:rsid w:val="4E800872"/>
    <w:rsid w:val="4EAD157E"/>
    <w:rsid w:val="4EC569ED"/>
    <w:rsid w:val="4ED50EA1"/>
    <w:rsid w:val="4EEC050C"/>
    <w:rsid w:val="4F104EC3"/>
    <w:rsid w:val="4F2806C9"/>
    <w:rsid w:val="4F47354A"/>
    <w:rsid w:val="4F7B67F9"/>
    <w:rsid w:val="4F911C54"/>
    <w:rsid w:val="4FE625E0"/>
    <w:rsid w:val="50084580"/>
    <w:rsid w:val="50151DD1"/>
    <w:rsid w:val="5021480F"/>
    <w:rsid w:val="50962ECB"/>
    <w:rsid w:val="50A42E38"/>
    <w:rsid w:val="50A4577F"/>
    <w:rsid w:val="50B54ABE"/>
    <w:rsid w:val="50B6619A"/>
    <w:rsid w:val="50B73D1F"/>
    <w:rsid w:val="50BD4E64"/>
    <w:rsid w:val="50BD5BC9"/>
    <w:rsid w:val="50C11EEE"/>
    <w:rsid w:val="50E97CFC"/>
    <w:rsid w:val="50FA4028"/>
    <w:rsid w:val="510D65B7"/>
    <w:rsid w:val="511157AB"/>
    <w:rsid w:val="511A3010"/>
    <w:rsid w:val="5142540C"/>
    <w:rsid w:val="518832C8"/>
    <w:rsid w:val="51980E3F"/>
    <w:rsid w:val="51A0432A"/>
    <w:rsid w:val="51A86090"/>
    <w:rsid w:val="51B7396D"/>
    <w:rsid w:val="51BE1E8B"/>
    <w:rsid w:val="51C86856"/>
    <w:rsid w:val="51C97B74"/>
    <w:rsid w:val="51E14751"/>
    <w:rsid w:val="51F4464E"/>
    <w:rsid w:val="522E4CC3"/>
    <w:rsid w:val="5244713B"/>
    <w:rsid w:val="524E02FF"/>
    <w:rsid w:val="52615633"/>
    <w:rsid w:val="527E6E22"/>
    <w:rsid w:val="528D66C5"/>
    <w:rsid w:val="52977FD4"/>
    <w:rsid w:val="52A25790"/>
    <w:rsid w:val="52A96B6F"/>
    <w:rsid w:val="52B13963"/>
    <w:rsid w:val="52B45975"/>
    <w:rsid w:val="52C7409F"/>
    <w:rsid w:val="52D94AA4"/>
    <w:rsid w:val="52EA3A62"/>
    <w:rsid w:val="52F50BB8"/>
    <w:rsid w:val="53097272"/>
    <w:rsid w:val="53544462"/>
    <w:rsid w:val="5397158E"/>
    <w:rsid w:val="53C20C47"/>
    <w:rsid w:val="53DA77DC"/>
    <w:rsid w:val="54013861"/>
    <w:rsid w:val="54487265"/>
    <w:rsid w:val="544D6070"/>
    <w:rsid w:val="54605E1E"/>
    <w:rsid w:val="54856F80"/>
    <w:rsid w:val="549B5ED8"/>
    <w:rsid w:val="54AF17D0"/>
    <w:rsid w:val="54B3506A"/>
    <w:rsid w:val="54CA0D16"/>
    <w:rsid w:val="54DD4057"/>
    <w:rsid w:val="54E7490F"/>
    <w:rsid w:val="54EF6277"/>
    <w:rsid w:val="550764A4"/>
    <w:rsid w:val="550B2BF6"/>
    <w:rsid w:val="55145AF0"/>
    <w:rsid w:val="55214EB5"/>
    <w:rsid w:val="55364EFD"/>
    <w:rsid w:val="555D4828"/>
    <w:rsid w:val="555F6F41"/>
    <w:rsid w:val="557A4C8B"/>
    <w:rsid w:val="558568C7"/>
    <w:rsid w:val="558931E1"/>
    <w:rsid w:val="55923347"/>
    <w:rsid w:val="55925180"/>
    <w:rsid w:val="55983B1B"/>
    <w:rsid w:val="55A45F6C"/>
    <w:rsid w:val="55A65CA2"/>
    <w:rsid w:val="55A8376B"/>
    <w:rsid w:val="55A92F19"/>
    <w:rsid w:val="55D27867"/>
    <w:rsid w:val="55DC29B6"/>
    <w:rsid w:val="55DD4241"/>
    <w:rsid w:val="561971B1"/>
    <w:rsid w:val="561F1951"/>
    <w:rsid w:val="5632548A"/>
    <w:rsid w:val="563D573E"/>
    <w:rsid w:val="566B6D1E"/>
    <w:rsid w:val="568C2C54"/>
    <w:rsid w:val="56AA48B1"/>
    <w:rsid w:val="56FA0D1F"/>
    <w:rsid w:val="57032A2C"/>
    <w:rsid w:val="570F5219"/>
    <w:rsid w:val="574A05B2"/>
    <w:rsid w:val="575D12B5"/>
    <w:rsid w:val="57610A87"/>
    <w:rsid w:val="577B1140"/>
    <w:rsid w:val="577B7F21"/>
    <w:rsid w:val="577F181B"/>
    <w:rsid w:val="57921984"/>
    <w:rsid w:val="579737F0"/>
    <w:rsid w:val="57A8352A"/>
    <w:rsid w:val="57AB7B30"/>
    <w:rsid w:val="57AF5251"/>
    <w:rsid w:val="57B26373"/>
    <w:rsid w:val="57B63F04"/>
    <w:rsid w:val="57CD20C2"/>
    <w:rsid w:val="57D675AB"/>
    <w:rsid w:val="57D95FDD"/>
    <w:rsid w:val="57E5500E"/>
    <w:rsid w:val="57F65AD2"/>
    <w:rsid w:val="5845093A"/>
    <w:rsid w:val="587406E3"/>
    <w:rsid w:val="58917D2F"/>
    <w:rsid w:val="5894085C"/>
    <w:rsid w:val="58AE4F0C"/>
    <w:rsid w:val="58B85899"/>
    <w:rsid w:val="58E23D0F"/>
    <w:rsid w:val="58E363A9"/>
    <w:rsid w:val="59080896"/>
    <w:rsid w:val="595E1678"/>
    <w:rsid w:val="596B0920"/>
    <w:rsid w:val="596D5BD4"/>
    <w:rsid w:val="597E3DD8"/>
    <w:rsid w:val="59E23158"/>
    <w:rsid w:val="59E53864"/>
    <w:rsid w:val="59F80043"/>
    <w:rsid w:val="5A070EBE"/>
    <w:rsid w:val="5A09252F"/>
    <w:rsid w:val="5A0B2778"/>
    <w:rsid w:val="5A2A7C7B"/>
    <w:rsid w:val="5A3E2560"/>
    <w:rsid w:val="5A5D3B6E"/>
    <w:rsid w:val="5A637A76"/>
    <w:rsid w:val="5A6D33BA"/>
    <w:rsid w:val="5A792B1F"/>
    <w:rsid w:val="5A7C437C"/>
    <w:rsid w:val="5A874767"/>
    <w:rsid w:val="5A99563C"/>
    <w:rsid w:val="5AAD6F28"/>
    <w:rsid w:val="5AD63A24"/>
    <w:rsid w:val="5B2E1A1D"/>
    <w:rsid w:val="5B7B4424"/>
    <w:rsid w:val="5B843A1C"/>
    <w:rsid w:val="5B873E3F"/>
    <w:rsid w:val="5B891EC4"/>
    <w:rsid w:val="5B954CC1"/>
    <w:rsid w:val="5C02690E"/>
    <w:rsid w:val="5C177B3C"/>
    <w:rsid w:val="5C196DA7"/>
    <w:rsid w:val="5C1F1C0F"/>
    <w:rsid w:val="5C2A048C"/>
    <w:rsid w:val="5C3A548D"/>
    <w:rsid w:val="5C80234E"/>
    <w:rsid w:val="5C8A680C"/>
    <w:rsid w:val="5C8A70A2"/>
    <w:rsid w:val="5CAE12C5"/>
    <w:rsid w:val="5CD4361D"/>
    <w:rsid w:val="5D0C4701"/>
    <w:rsid w:val="5D0F0395"/>
    <w:rsid w:val="5D221076"/>
    <w:rsid w:val="5D397964"/>
    <w:rsid w:val="5D5A391C"/>
    <w:rsid w:val="5D5F10C0"/>
    <w:rsid w:val="5D891B7B"/>
    <w:rsid w:val="5DAD38EE"/>
    <w:rsid w:val="5DD144C4"/>
    <w:rsid w:val="5DD61D79"/>
    <w:rsid w:val="5E006862"/>
    <w:rsid w:val="5E0207B9"/>
    <w:rsid w:val="5E022DFE"/>
    <w:rsid w:val="5E06328F"/>
    <w:rsid w:val="5E1834A1"/>
    <w:rsid w:val="5E261785"/>
    <w:rsid w:val="5E4A7017"/>
    <w:rsid w:val="5E552BBA"/>
    <w:rsid w:val="5E572153"/>
    <w:rsid w:val="5E611C10"/>
    <w:rsid w:val="5E817DB0"/>
    <w:rsid w:val="5E896574"/>
    <w:rsid w:val="5E9C6C24"/>
    <w:rsid w:val="5EA701D2"/>
    <w:rsid w:val="5EDB7F5F"/>
    <w:rsid w:val="5EFC7377"/>
    <w:rsid w:val="5F06174D"/>
    <w:rsid w:val="5F315E5A"/>
    <w:rsid w:val="5F3A3602"/>
    <w:rsid w:val="5F6277C6"/>
    <w:rsid w:val="5F664C5B"/>
    <w:rsid w:val="5F6D0B1D"/>
    <w:rsid w:val="5F850159"/>
    <w:rsid w:val="5F8D0B82"/>
    <w:rsid w:val="5F964898"/>
    <w:rsid w:val="5FCC5339"/>
    <w:rsid w:val="5FE34A5B"/>
    <w:rsid w:val="5FFE018B"/>
    <w:rsid w:val="5FFE1E36"/>
    <w:rsid w:val="60232584"/>
    <w:rsid w:val="60451B4C"/>
    <w:rsid w:val="60561859"/>
    <w:rsid w:val="607330CE"/>
    <w:rsid w:val="60825176"/>
    <w:rsid w:val="60962352"/>
    <w:rsid w:val="609F2AC4"/>
    <w:rsid w:val="60A235AF"/>
    <w:rsid w:val="60B1344C"/>
    <w:rsid w:val="60B41824"/>
    <w:rsid w:val="60CB6E24"/>
    <w:rsid w:val="60DF7FBD"/>
    <w:rsid w:val="60FA2EE8"/>
    <w:rsid w:val="61054A27"/>
    <w:rsid w:val="610A52BC"/>
    <w:rsid w:val="611D2366"/>
    <w:rsid w:val="61421856"/>
    <w:rsid w:val="615227C4"/>
    <w:rsid w:val="615670CF"/>
    <w:rsid w:val="615A7958"/>
    <w:rsid w:val="61654E3F"/>
    <w:rsid w:val="616A5529"/>
    <w:rsid w:val="6182292A"/>
    <w:rsid w:val="618D5C6B"/>
    <w:rsid w:val="619F7F92"/>
    <w:rsid w:val="61D403A9"/>
    <w:rsid w:val="61D61C17"/>
    <w:rsid w:val="61F94C26"/>
    <w:rsid w:val="62000E56"/>
    <w:rsid w:val="62125FDE"/>
    <w:rsid w:val="624C69D5"/>
    <w:rsid w:val="624F3E49"/>
    <w:rsid w:val="62632286"/>
    <w:rsid w:val="62782E58"/>
    <w:rsid w:val="62885958"/>
    <w:rsid w:val="62F40B65"/>
    <w:rsid w:val="62FC2CFE"/>
    <w:rsid w:val="63024505"/>
    <w:rsid w:val="63584057"/>
    <w:rsid w:val="635B1DB5"/>
    <w:rsid w:val="63711FED"/>
    <w:rsid w:val="63880DDC"/>
    <w:rsid w:val="638D750D"/>
    <w:rsid w:val="63AC6CC0"/>
    <w:rsid w:val="63E1530A"/>
    <w:rsid w:val="64055776"/>
    <w:rsid w:val="64074D89"/>
    <w:rsid w:val="64151F48"/>
    <w:rsid w:val="64227A28"/>
    <w:rsid w:val="64240056"/>
    <w:rsid w:val="64271FB8"/>
    <w:rsid w:val="643E143A"/>
    <w:rsid w:val="64583316"/>
    <w:rsid w:val="646D5618"/>
    <w:rsid w:val="646F3406"/>
    <w:rsid w:val="64796C8E"/>
    <w:rsid w:val="64891A9D"/>
    <w:rsid w:val="648B6EEF"/>
    <w:rsid w:val="64AA091B"/>
    <w:rsid w:val="64AC670C"/>
    <w:rsid w:val="64C158BF"/>
    <w:rsid w:val="64CE2EAA"/>
    <w:rsid w:val="653C3090"/>
    <w:rsid w:val="655D1847"/>
    <w:rsid w:val="65661CED"/>
    <w:rsid w:val="657D688B"/>
    <w:rsid w:val="65854376"/>
    <w:rsid w:val="658767BE"/>
    <w:rsid w:val="65892531"/>
    <w:rsid w:val="65CF7287"/>
    <w:rsid w:val="66195831"/>
    <w:rsid w:val="661B5EF5"/>
    <w:rsid w:val="662C3C2F"/>
    <w:rsid w:val="662E75B1"/>
    <w:rsid w:val="66342C2E"/>
    <w:rsid w:val="663E784C"/>
    <w:rsid w:val="665C5F32"/>
    <w:rsid w:val="66721502"/>
    <w:rsid w:val="668B6A45"/>
    <w:rsid w:val="66D103A8"/>
    <w:rsid w:val="672F3F24"/>
    <w:rsid w:val="673E055F"/>
    <w:rsid w:val="67551CE3"/>
    <w:rsid w:val="67A22552"/>
    <w:rsid w:val="67AD0B50"/>
    <w:rsid w:val="67B22DCC"/>
    <w:rsid w:val="67BE71AA"/>
    <w:rsid w:val="67C9438E"/>
    <w:rsid w:val="67D71682"/>
    <w:rsid w:val="67D90273"/>
    <w:rsid w:val="67DE5875"/>
    <w:rsid w:val="67E55852"/>
    <w:rsid w:val="67EB1AB4"/>
    <w:rsid w:val="67F4369A"/>
    <w:rsid w:val="67F52CF1"/>
    <w:rsid w:val="67FA1285"/>
    <w:rsid w:val="68143D96"/>
    <w:rsid w:val="6840595D"/>
    <w:rsid w:val="68513C9B"/>
    <w:rsid w:val="68551F4F"/>
    <w:rsid w:val="685D12AC"/>
    <w:rsid w:val="68760762"/>
    <w:rsid w:val="687C10C9"/>
    <w:rsid w:val="68840C16"/>
    <w:rsid w:val="68876EFB"/>
    <w:rsid w:val="68884654"/>
    <w:rsid w:val="688D069B"/>
    <w:rsid w:val="688F5152"/>
    <w:rsid w:val="689B6592"/>
    <w:rsid w:val="689F444F"/>
    <w:rsid w:val="68A33B4B"/>
    <w:rsid w:val="68B96DBB"/>
    <w:rsid w:val="68CA2805"/>
    <w:rsid w:val="68E937A3"/>
    <w:rsid w:val="69024E06"/>
    <w:rsid w:val="692E57B8"/>
    <w:rsid w:val="693E15D3"/>
    <w:rsid w:val="695256CD"/>
    <w:rsid w:val="69627681"/>
    <w:rsid w:val="6977531D"/>
    <w:rsid w:val="69B606F3"/>
    <w:rsid w:val="69CC2BFF"/>
    <w:rsid w:val="69E11704"/>
    <w:rsid w:val="69E22293"/>
    <w:rsid w:val="69FD55B8"/>
    <w:rsid w:val="6A00305C"/>
    <w:rsid w:val="6A0B1C62"/>
    <w:rsid w:val="6A2406C8"/>
    <w:rsid w:val="6A3E39A7"/>
    <w:rsid w:val="6A415844"/>
    <w:rsid w:val="6AA41154"/>
    <w:rsid w:val="6ADE0BD1"/>
    <w:rsid w:val="6AE16982"/>
    <w:rsid w:val="6AE96859"/>
    <w:rsid w:val="6B106E26"/>
    <w:rsid w:val="6B147746"/>
    <w:rsid w:val="6B246C0A"/>
    <w:rsid w:val="6B24787C"/>
    <w:rsid w:val="6B3E1D84"/>
    <w:rsid w:val="6B573233"/>
    <w:rsid w:val="6B5B6274"/>
    <w:rsid w:val="6B916484"/>
    <w:rsid w:val="6B935D53"/>
    <w:rsid w:val="6C027255"/>
    <w:rsid w:val="6C196F71"/>
    <w:rsid w:val="6C226FCB"/>
    <w:rsid w:val="6C31226F"/>
    <w:rsid w:val="6C416227"/>
    <w:rsid w:val="6C552F0B"/>
    <w:rsid w:val="6C5C4BB7"/>
    <w:rsid w:val="6C7360AF"/>
    <w:rsid w:val="6C8C67B7"/>
    <w:rsid w:val="6C8D64A3"/>
    <w:rsid w:val="6C9D2ADA"/>
    <w:rsid w:val="6C9D744C"/>
    <w:rsid w:val="6CE022C1"/>
    <w:rsid w:val="6D167928"/>
    <w:rsid w:val="6D26299B"/>
    <w:rsid w:val="6D4772EC"/>
    <w:rsid w:val="6D4847CA"/>
    <w:rsid w:val="6D9078AF"/>
    <w:rsid w:val="6DAA3FEF"/>
    <w:rsid w:val="6DC0172B"/>
    <w:rsid w:val="6DCB690C"/>
    <w:rsid w:val="6DD369BE"/>
    <w:rsid w:val="6DD41A5B"/>
    <w:rsid w:val="6DF43C2E"/>
    <w:rsid w:val="6DF51CA3"/>
    <w:rsid w:val="6E3F11BA"/>
    <w:rsid w:val="6E4F7879"/>
    <w:rsid w:val="6E54107E"/>
    <w:rsid w:val="6E82467D"/>
    <w:rsid w:val="6E8335BD"/>
    <w:rsid w:val="6E8E12EF"/>
    <w:rsid w:val="6E972936"/>
    <w:rsid w:val="6EBC193D"/>
    <w:rsid w:val="6ED2018D"/>
    <w:rsid w:val="6ED446C5"/>
    <w:rsid w:val="6EDA2F7B"/>
    <w:rsid w:val="6F070D24"/>
    <w:rsid w:val="6F1A6237"/>
    <w:rsid w:val="6F2A7D94"/>
    <w:rsid w:val="6F6570BF"/>
    <w:rsid w:val="6F8331F1"/>
    <w:rsid w:val="6F983994"/>
    <w:rsid w:val="6FAE1A09"/>
    <w:rsid w:val="6FC21A38"/>
    <w:rsid w:val="6FD75BF8"/>
    <w:rsid w:val="701C7C24"/>
    <w:rsid w:val="70296951"/>
    <w:rsid w:val="70410ACD"/>
    <w:rsid w:val="704434CC"/>
    <w:rsid w:val="70460FAF"/>
    <w:rsid w:val="707723D0"/>
    <w:rsid w:val="70E30236"/>
    <w:rsid w:val="70F5661B"/>
    <w:rsid w:val="710250C1"/>
    <w:rsid w:val="7129466B"/>
    <w:rsid w:val="71360107"/>
    <w:rsid w:val="713B688E"/>
    <w:rsid w:val="71C6289D"/>
    <w:rsid w:val="71CB2979"/>
    <w:rsid w:val="71D43752"/>
    <w:rsid w:val="71F1796A"/>
    <w:rsid w:val="72154626"/>
    <w:rsid w:val="72262B5D"/>
    <w:rsid w:val="72283FF7"/>
    <w:rsid w:val="722E7212"/>
    <w:rsid w:val="723A0474"/>
    <w:rsid w:val="72541F53"/>
    <w:rsid w:val="725923E4"/>
    <w:rsid w:val="72760055"/>
    <w:rsid w:val="72864BF7"/>
    <w:rsid w:val="729023FC"/>
    <w:rsid w:val="72B0060B"/>
    <w:rsid w:val="72EC22A8"/>
    <w:rsid w:val="73633FF6"/>
    <w:rsid w:val="738A200A"/>
    <w:rsid w:val="73AD59E0"/>
    <w:rsid w:val="73C0646E"/>
    <w:rsid w:val="73FB4CB6"/>
    <w:rsid w:val="742222F5"/>
    <w:rsid w:val="74476126"/>
    <w:rsid w:val="74672CB3"/>
    <w:rsid w:val="746B721B"/>
    <w:rsid w:val="74706664"/>
    <w:rsid w:val="747F3682"/>
    <w:rsid w:val="74853A32"/>
    <w:rsid w:val="749C4185"/>
    <w:rsid w:val="75067759"/>
    <w:rsid w:val="75137373"/>
    <w:rsid w:val="752961DC"/>
    <w:rsid w:val="752E6DCD"/>
    <w:rsid w:val="753723C8"/>
    <w:rsid w:val="7551380D"/>
    <w:rsid w:val="75600BE5"/>
    <w:rsid w:val="7564475C"/>
    <w:rsid w:val="7583797F"/>
    <w:rsid w:val="75C409C3"/>
    <w:rsid w:val="75D20F1D"/>
    <w:rsid w:val="75DA2C18"/>
    <w:rsid w:val="75F54412"/>
    <w:rsid w:val="761A6C69"/>
    <w:rsid w:val="761D08E0"/>
    <w:rsid w:val="765D347C"/>
    <w:rsid w:val="76604E8E"/>
    <w:rsid w:val="76826699"/>
    <w:rsid w:val="76BB790E"/>
    <w:rsid w:val="76C87133"/>
    <w:rsid w:val="76CD08D5"/>
    <w:rsid w:val="76DB4B92"/>
    <w:rsid w:val="77052AA4"/>
    <w:rsid w:val="77136511"/>
    <w:rsid w:val="771E3606"/>
    <w:rsid w:val="77340A39"/>
    <w:rsid w:val="77351FD0"/>
    <w:rsid w:val="77472422"/>
    <w:rsid w:val="776C7AFE"/>
    <w:rsid w:val="777D6059"/>
    <w:rsid w:val="777F31F2"/>
    <w:rsid w:val="77805DEC"/>
    <w:rsid w:val="77CC407F"/>
    <w:rsid w:val="77D1700D"/>
    <w:rsid w:val="77E872FF"/>
    <w:rsid w:val="77EC04CC"/>
    <w:rsid w:val="783647E4"/>
    <w:rsid w:val="78404BA3"/>
    <w:rsid w:val="78775729"/>
    <w:rsid w:val="789D27E0"/>
    <w:rsid w:val="78A42DB0"/>
    <w:rsid w:val="78A656AB"/>
    <w:rsid w:val="78B2245C"/>
    <w:rsid w:val="78E172CC"/>
    <w:rsid w:val="78E328A8"/>
    <w:rsid w:val="78EA1D1F"/>
    <w:rsid w:val="7904172F"/>
    <w:rsid w:val="79050C3D"/>
    <w:rsid w:val="790F7E27"/>
    <w:rsid w:val="791A69E7"/>
    <w:rsid w:val="792A231A"/>
    <w:rsid w:val="792B3C7D"/>
    <w:rsid w:val="79316829"/>
    <w:rsid w:val="797E66A9"/>
    <w:rsid w:val="79A97383"/>
    <w:rsid w:val="79E11CF2"/>
    <w:rsid w:val="79E27E8B"/>
    <w:rsid w:val="79F850CE"/>
    <w:rsid w:val="79FA7488"/>
    <w:rsid w:val="79FB4AF6"/>
    <w:rsid w:val="79FD443C"/>
    <w:rsid w:val="7A0B4B56"/>
    <w:rsid w:val="7A1D1975"/>
    <w:rsid w:val="7A3E5150"/>
    <w:rsid w:val="7A4670D6"/>
    <w:rsid w:val="7A534B63"/>
    <w:rsid w:val="7A615382"/>
    <w:rsid w:val="7A67303B"/>
    <w:rsid w:val="7AAB1D04"/>
    <w:rsid w:val="7ABA4368"/>
    <w:rsid w:val="7AD05746"/>
    <w:rsid w:val="7AD4093F"/>
    <w:rsid w:val="7B257FFD"/>
    <w:rsid w:val="7B343476"/>
    <w:rsid w:val="7B5A2978"/>
    <w:rsid w:val="7B5A7E4C"/>
    <w:rsid w:val="7B667AF9"/>
    <w:rsid w:val="7B7468F8"/>
    <w:rsid w:val="7BEE0103"/>
    <w:rsid w:val="7C0A0FE4"/>
    <w:rsid w:val="7C254906"/>
    <w:rsid w:val="7C590818"/>
    <w:rsid w:val="7C7C10F6"/>
    <w:rsid w:val="7C853BEA"/>
    <w:rsid w:val="7C881368"/>
    <w:rsid w:val="7CC26420"/>
    <w:rsid w:val="7CE27788"/>
    <w:rsid w:val="7D0C32F1"/>
    <w:rsid w:val="7D0F408D"/>
    <w:rsid w:val="7D2D5568"/>
    <w:rsid w:val="7D491C6C"/>
    <w:rsid w:val="7D5429C0"/>
    <w:rsid w:val="7D597A11"/>
    <w:rsid w:val="7D6E6D43"/>
    <w:rsid w:val="7D7D7EBE"/>
    <w:rsid w:val="7D8C4BD1"/>
    <w:rsid w:val="7DB57A34"/>
    <w:rsid w:val="7DE60973"/>
    <w:rsid w:val="7DEF0916"/>
    <w:rsid w:val="7E1E5218"/>
    <w:rsid w:val="7E9A4E1F"/>
    <w:rsid w:val="7EA7723A"/>
    <w:rsid w:val="7ECF1219"/>
    <w:rsid w:val="7EF56FBB"/>
    <w:rsid w:val="7F0768EB"/>
    <w:rsid w:val="7F143BEC"/>
    <w:rsid w:val="7F6914D0"/>
    <w:rsid w:val="7F715AF2"/>
    <w:rsid w:val="7F886E69"/>
    <w:rsid w:val="7FA23A5C"/>
    <w:rsid w:val="7FF620D6"/>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76"/>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2">
    <w:name w:val="heading 5"/>
    <w:basedOn w:val="3"/>
    <w:next w:val="4"/>
    <w:link w:val="77"/>
    <w:qFormat/>
    <w:uiPriority w:val="9"/>
    <w:pPr>
      <w:keepNext/>
      <w:keepLines/>
      <w:tabs>
        <w:tab w:val="left" w:pos="1008"/>
        <w:tab w:val="left" w:pos="1697"/>
      </w:tabs>
      <w:spacing w:before="280" w:after="290" w:line="376" w:lineRule="auto"/>
      <w:ind w:left="1008" w:hanging="1008"/>
      <w:outlineLvl w:val="4"/>
    </w:pPr>
    <w:rPr>
      <w:b/>
      <w:bCs/>
      <w:sz w:val="28"/>
      <w:szCs w:val="28"/>
    </w:rPr>
  </w:style>
  <w:style w:type="paragraph" w:styleId="9">
    <w:name w:val="heading 6"/>
    <w:basedOn w:val="1"/>
    <w:next w:val="1"/>
    <w:link w:val="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7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4">
    <w:name w:val="Normal (Web)"/>
    <w:basedOn w:val="1"/>
    <w:qFormat/>
    <w:uiPriority w:val="99"/>
    <w:pPr>
      <w:widowControl/>
      <w:spacing w:before="100" w:beforeAutospacing="1" w:after="100" w:afterAutospacing="1"/>
      <w:jc w:val="left"/>
    </w:pPr>
    <w:rPr>
      <w:rFonts w:ascii="宋体" w:hAnsi="宋体"/>
      <w:kern w:val="0"/>
      <w:sz w:val="24"/>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7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8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84"/>
    <w:qFormat/>
    <w:uiPriority w:val="0"/>
    <w:pPr>
      <w:shd w:val="clear" w:color="auto" w:fill="000080"/>
    </w:pPr>
  </w:style>
  <w:style w:type="paragraph" w:styleId="19">
    <w:name w:val="annotation text"/>
    <w:basedOn w:val="1"/>
    <w:link w:val="85"/>
    <w:qFormat/>
    <w:uiPriority w:val="0"/>
    <w:pPr>
      <w:widowControl/>
      <w:jc w:val="left"/>
    </w:pPr>
    <w:rPr>
      <w:kern w:val="0"/>
      <w:sz w:val="24"/>
    </w:rPr>
  </w:style>
  <w:style w:type="paragraph" w:styleId="20">
    <w:name w:val="Salutation"/>
    <w:basedOn w:val="1"/>
    <w:next w:val="1"/>
    <w:link w:val="86"/>
    <w:qFormat/>
    <w:uiPriority w:val="0"/>
    <w:rPr>
      <w:rFonts w:ascii="仿宋_GB2312" w:eastAsia="仿宋_GB2312"/>
      <w:sz w:val="28"/>
      <w:szCs w:val="20"/>
    </w:rPr>
  </w:style>
  <w:style w:type="paragraph" w:styleId="21">
    <w:name w:val="Body Text 3"/>
    <w:basedOn w:val="1"/>
    <w:link w:val="8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7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88"/>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89"/>
    <w:qFormat/>
    <w:uiPriority w:val="0"/>
    <w:pPr>
      <w:widowControl/>
      <w:adjustRightInd/>
      <w:ind w:firstLine="200" w:firstLineChars="200"/>
      <w:jc w:val="left"/>
    </w:pPr>
    <w:rPr>
      <w:rFonts w:ascii="宋体" w:hAnsi="宋体"/>
      <w:i/>
      <w:iCs/>
      <w:kern w:val="0"/>
      <w:sz w:val="24"/>
    </w:rPr>
  </w:style>
  <w:style w:type="paragraph" w:styleId="30">
    <w:name w:val="Plain Text"/>
    <w:basedOn w:val="1"/>
    <w:link w:val="92"/>
    <w:qFormat/>
    <w:uiPriority w:val="0"/>
    <w:rPr>
      <w:rFonts w:ascii="宋体" w:hAnsi="Courier New" w:cs="Arial"/>
      <w:snapToGrid w:val="0"/>
      <w:szCs w:val="21"/>
    </w:rPr>
  </w:style>
  <w:style w:type="paragraph" w:styleId="31">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2">
    <w:name w:val="Date"/>
    <w:basedOn w:val="1"/>
    <w:next w:val="1"/>
    <w:link w:val="94"/>
    <w:qFormat/>
    <w:uiPriority w:val="0"/>
    <w:pPr>
      <w:ind w:left="100" w:leftChars="2500"/>
    </w:pPr>
    <w:rPr>
      <w:rFonts w:ascii="宋体"/>
      <w:sz w:val="24"/>
      <w:szCs w:val="21"/>
      <w:lang w:val="zh-CN"/>
    </w:rPr>
  </w:style>
  <w:style w:type="paragraph" w:styleId="33">
    <w:name w:val="Body Text Indent 2"/>
    <w:basedOn w:val="1"/>
    <w:link w:val="95"/>
    <w:qFormat/>
    <w:uiPriority w:val="0"/>
    <w:pPr>
      <w:spacing w:line="360" w:lineRule="auto"/>
      <w:ind w:firstLine="601"/>
      <w:textAlignment w:val="baseline"/>
    </w:pPr>
    <w:rPr>
      <w:rFonts w:ascii="宋体"/>
      <w:kern w:val="0"/>
      <w:sz w:val="28"/>
      <w:szCs w:val="20"/>
    </w:rPr>
  </w:style>
  <w:style w:type="paragraph" w:styleId="34">
    <w:name w:val="endnote text"/>
    <w:basedOn w:val="1"/>
    <w:link w:val="96"/>
    <w:qFormat/>
    <w:uiPriority w:val="0"/>
    <w:rPr>
      <w:lang w:val="zh-CN"/>
    </w:rPr>
  </w:style>
  <w:style w:type="paragraph" w:styleId="35">
    <w:name w:val="Balloon Text"/>
    <w:basedOn w:val="1"/>
    <w:link w:val="97"/>
    <w:qFormat/>
    <w:uiPriority w:val="0"/>
    <w:rPr>
      <w:sz w:val="18"/>
      <w:szCs w:val="18"/>
    </w:rPr>
  </w:style>
  <w:style w:type="paragraph" w:styleId="36">
    <w:name w:val="footer"/>
    <w:basedOn w:val="1"/>
    <w:link w:val="98"/>
    <w:qFormat/>
    <w:uiPriority w:val="99"/>
    <w:pPr>
      <w:tabs>
        <w:tab w:val="center" w:pos="4153"/>
        <w:tab w:val="right" w:pos="8306"/>
      </w:tabs>
      <w:snapToGrid w:val="0"/>
      <w:jc w:val="left"/>
    </w:pPr>
    <w:rPr>
      <w:sz w:val="18"/>
      <w:szCs w:val="18"/>
    </w:rPr>
  </w:style>
  <w:style w:type="paragraph" w:styleId="37">
    <w:name w:val="header"/>
    <w:basedOn w:val="1"/>
    <w:link w:val="99"/>
    <w:qFormat/>
    <w:uiPriority w:val="99"/>
    <w:pPr>
      <w:pBdr>
        <w:bottom w:val="single" w:color="auto" w:sz="6" w:space="1"/>
      </w:pBdr>
      <w:tabs>
        <w:tab w:val="center" w:pos="4153"/>
        <w:tab w:val="right" w:pos="8306"/>
      </w:tabs>
      <w:snapToGrid w:val="0"/>
      <w:jc w:val="center"/>
    </w:pPr>
    <w:rPr>
      <w:sz w:val="18"/>
      <w:szCs w:val="18"/>
    </w:rPr>
  </w:style>
  <w:style w:type="paragraph" w:styleId="38">
    <w:name w:val="Signature"/>
    <w:basedOn w:val="1"/>
    <w:link w:val="100"/>
    <w:qFormat/>
    <w:uiPriority w:val="0"/>
    <w:pPr>
      <w:spacing w:after="600" w:line="312" w:lineRule="atLeast"/>
      <w:jc w:val="center"/>
      <w:textAlignment w:val="baseline"/>
    </w:pPr>
    <w:rPr>
      <w:rFonts w:eastAsia="仿宋_GB2312"/>
      <w:kern w:val="0"/>
      <w:sz w:val="24"/>
      <w:szCs w:val="20"/>
    </w:rPr>
  </w:style>
  <w:style w:type="paragraph" w:styleId="39">
    <w:name w:val="toc 1"/>
    <w:basedOn w:val="1"/>
    <w:next w:val="1"/>
    <w:qFormat/>
    <w:uiPriority w:val="0"/>
    <w:pPr>
      <w:widowControl/>
      <w:jc w:val="left"/>
    </w:pPr>
    <w:rPr>
      <w:kern w:val="0"/>
      <w:sz w:val="24"/>
    </w:rPr>
  </w:style>
  <w:style w:type="paragraph" w:styleId="40">
    <w:name w:val="index heading"/>
    <w:basedOn w:val="1"/>
    <w:next w:val="41"/>
    <w:qFormat/>
    <w:uiPriority w:val="0"/>
    <w:pPr>
      <w:adjustRightInd/>
      <w:ind w:firstLine="200" w:firstLineChars="200"/>
    </w:pPr>
  </w:style>
  <w:style w:type="paragraph" w:styleId="41">
    <w:name w:val="index 1"/>
    <w:basedOn w:val="1"/>
    <w:next w:val="1"/>
    <w:qFormat/>
    <w:uiPriority w:val="0"/>
    <w:pPr>
      <w:adjustRightInd/>
      <w:spacing w:line="360" w:lineRule="auto"/>
      <w:ind w:firstLine="200" w:firstLineChars="200"/>
      <w:jc w:val="center"/>
    </w:pPr>
    <w:rPr>
      <w:sz w:val="24"/>
      <w:szCs w:val="20"/>
    </w:rPr>
  </w:style>
  <w:style w:type="paragraph" w:styleId="42">
    <w:name w:val="Subtitle"/>
    <w:link w:val="10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3">
    <w:name w:val="List Number 5"/>
    <w:basedOn w:val="1"/>
    <w:qFormat/>
    <w:uiPriority w:val="0"/>
    <w:pPr>
      <w:tabs>
        <w:tab w:val="left" w:pos="902"/>
      </w:tabs>
      <w:adjustRightInd/>
      <w:spacing w:line="400" w:lineRule="exact"/>
      <w:ind w:left="902" w:hanging="420"/>
    </w:pPr>
    <w:rPr>
      <w:sz w:val="24"/>
      <w:szCs w:val="20"/>
    </w:rPr>
  </w:style>
  <w:style w:type="paragraph" w:styleId="44">
    <w:name w:val="List"/>
    <w:basedOn w:val="1"/>
    <w:qFormat/>
    <w:uiPriority w:val="0"/>
    <w:pPr>
      <w:ind w:left="200" w:hanging="200" w:hangingChars="200"/>
    </w:pPr>
  </w:style>
  <w:style w:type="paragraph" w:styleId="45">
    <w:name w:val="footnote text"/>
    <w:basedOn w:val="15"/>
    <w:link w:val="104"/>
    <w:qFormat/>
    <w:uiPriority w:val="0"/>
    <w:pPr>
      <w:adjustRightInd/>
      <w:snapToGrid/>
      <w:spacing w:before="60" w:after="60" w:line="300" w:lineRule="exact"/>
      <w:ind w:firstLine="0"/>
    </w:pPr>
    <w:rPr>
      <w:rFonts w:ascii="Times New Roman"/>
      <w:snapToGrid/>
      <w:color w:val="0000FF"/>
      <w:kern w:val="0"/>
      <w:sz w:val="21"/>
    </w:rPr>
  </w:style>
  <w:style w:type="paragraph" w:styleId="46">
    <w:name w:val="toc 6"/>
    <w:basedOn w:val="1"/>
    <w:next w:val="1"/>
    <w:qFormat/>
    <w:uiPriority w:val="0"/>
    <w:pPr>
      <w:ind w:left="2100" w:leftChars="1000"/>
    </w:pPr>
  </w:style>
  <w:style w:type="paragraph" w:styleId="47">
    <w:name w:val="List 5"/>
    <w:basedOn w:val="1"/>
    <w:qFormat/>
    <w:uiPriority w:val="0"/>
    <w:pPr>
      <w:adjustRightInd/>
      <w:ind w:left="100" w:leftChars="800" w:hanging="200" w:hangingChars="200"/>
    </w:pPr>
  </w:style>
  <w:style w:type="paragraph" w:styleId="48">
    <w:name w:val="Body Text Indent 3"/>
    <w:basedOn w:val="1"/>
    <w:link w:val="106"/>
    <w:qFormat/>
    <w:uiPriority w:val="0"/>
    <w:pPr>
      <w:spacing w:line="360" w:lineRule="auto"/>
      <w:ind w:firstLine="420"/>
    </w:pPr>
    <w:rPr>
      <w:sz w:val="24"/>
      <w:szCs w:val="20"/>
    </w:rPr>
  </w:style>
  <w:style w:type="paragraph" w:styleId="49">
    <w:name w:val="Body Text 2"/>
    <w:basedOn w:val="1"/>
    <w:link w:val="109"/>
    <w:qFormat/>
    <w:uiPriority w:val="0"/>
    <w:pPr>
      <w:spacing w:after="120" w:line="480" w:lineRule="auto"/>
    </w:pPr>
  </w:style>
  <w:style w:type="paragraph" w:styleId="50">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1">
    <w:name w:val="Title"/>
    <w:basedOn w:val="1"/>
    <w:link w:val="111"/>
    <w:qFormat/>
    <w:uiPriority w:val="10"/>
    <w:pPr>
      <w:widowControl/>
      <w:overflowPunct w:val="0"/>
      <w:autoSpaceDE w:val="0"/>
      <w:autoSpaceDN w:val="0"/>
      <w:jc w:val="center"/>
      <w:textAlignment w:val="baseline"/>
    </w:pPr>
    <w:rPr>
      <w:b/>
      <w:kern w:val="0"/>
      <w:sz w:val="24"/>
      <w:szCs w:val="20"/>
      <w:lang w:val="en-GB"/>
    </w:rPr>
  </w:style>
  <w:style w:type="paragraph" w:styleId="52">
    <w:name w:val="annotation subject"/>
    <w:basedOn w:val="19"/>
    <w:next w:val="19"/>
    <w:link w:val="112"/>
    <w:qFormat/>
    <w:uiPriority w:val="0"/>
    <w:rPr>
      <w:b/>
      <w:bCs/>
    </w:rPr>
  </w:style>
  <w:style w:type="paragraph" w:styleId="53">
    <w:name w:val="Body Text First Indent"/>
    <w:basedOn w:val="23"/>
    <w:next w:val="46"/>
    <w:qFormat/>
    <w:uiPriority w:val="0"/>
    <w:pPr>
      <w:ind w:firstLine="420"/>
    </w:pPr>
    <w:rPr>
      <w:rFonts w:hAnsi="Calibri" w:cs="Times New Roman"/>
      <w:snapToGrid/>
      <w:szCs w:val="20"/>
    </w:rPr>
  </w:style>
  <w:style w:type="paragraph" w:styleId="54">
    <w:name w:val="Body Text First Indent 2"/>
    <w:basedOn w:val="24"/>
    <w:next w:val="1"/>
    <w:link w:val="972"/>
    <w:qFormat/>
    <w:uiPriority w:val="0"/>
    <w:pPr>
      <w:ind w:firstLine="420"/>
    </w:pPr>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7">
    <w:name w:val="Table Theme"/>
    <w:basedOn w:val="5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8">
    <w:name w:val="Table Elegant"/>
    <w:basedOn w:val="5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9">
    <w:name w:val="Table Grid 5"/>
    <w:basedOn w:val="5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0">
    <w:name w:val="Table Grid 8"/>
    <w:basedOn w:val="5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1">
    <w:name w:val="Table Professional"/>
    <w:basedOn w:val="5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3">
    <w:name w:val="Strong"/>
    <w:qFormat/>
    <w:uiPriority w:val="22"/>
    <w:rPr>
      <w:b/>
      <w:bCs/>
    </w:rPr>
  </w:style>
  <w:style w:type="character" w:styleId="64">
    <w:name w:val="endnote reference"/>
    <w:qFormat/>
    <w:uiPriority w:val="0"/>
    <w:rPr>
      <w:vertAlign w:val="superscript"/>
    </w:rPr>
  </w:style>
  <w:style w:type="character" w:styleId="65">
    <w:name w:val="page number"/>
    <w:qFormat/>
    <w:uiPriority w:val="0"/>
    <w:rPr>
      <w:rFonts w:ascii="Arial" w:hAnsi="Arial" w:eastAsia="黑体" w:cs="Arial"/>
      <w:snapToGrid w:val="0"/>
      <w:kern w:val="0"/>
      <w:szCs w:val="21"/>
    </w:rPr>
  </w:style>
  <w:style w:type="character" w:styleId="66">
    <w:name w:val="FollowedHyperlink"/>
    <w:basedOn w:val="62"/>
    <w:qFormat/>
    <w:uiPriority w:val="99"/>
    <w:rPr>
      <w:color w:val="800080"/>
      <w:u w:val="single"/>
    </w:rPr>
  </w:style>
  <w:style w:type="character" w:styleId="67">
    <w:name w:val="Emphasis"/>
    <w:qFormat/>
    <w:uiPriority w:val="20"/>
    <w:rPr>
      <w:color w:val="CC0033"/>
    </w:rPr>
  </w:style>
  <w:style w:type="character" w:styleId="68">
    <w:name w:val="line number"/>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正文首行缩进2字符"/>
    <w:qFormat/>
    <w:locked/>
    <w:uiPriority w:val="0"/>
    <w:pPr>
      <w:spacing w:line="360" w:lineRule="auto"/>
      <w:ind w:firstLine="480" w:firstLineChars="200"/>
    </w:pPr>
    <w:rPr>
      <w:rFonts w:ascii="Calibri" w:hAnsi="Calibri" w:eastAsia="宋体" w:cs="Times New Roman"/>
      <w:sz w:val="24"/>
      <w:lang w:val="en-US" w:eastAsia="zh-CN" w:bidi="ar-SA"/>
    </w:rPr>
  </w:style>
  <w:style w:type="character" w:customStyle="1" w:styleId="7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74">
    <w:name w:val="标题 1 Char"/>
    <w:link w:val="5"/>
    <w:qFormat/>
    <w:uiPriority w:val="9"/>
    <w:rPr>
      <w:b/>
      <w:bCs/>
      <w:kern w:val="44"/>
      <w:sz w:val="44"/>
      <w:szCs w:val="44"/>
    </w:rPr>
  </w:style>
  <w:style w:type="character" w:customStyle="1" w:styleId="75">
    <w:name w:val="正文缩进 Char2"/>
    <w:link w:val="15"/>
    <w:qFormat/>
    <w:uiPriority w:val="0"/>
    <w:rPr>
      <w:rFonts w:ascii="宋体" w:eastAsia="宋体"/>
      <w:snapToGrid w:val="0"/>
      <w:color w:val="000000"/>
      <w:kern w:val="28"/>
      <w:sz w:val="28"/>
      <w:lang w:val="en-US" w:eastAsia="zh-CN" w:bidi="ar-SA"/>
    </w:rPr>
  </w:style>
  <w:style w:type="character" w:customStyle="1" w:styleId="76">
    <w:name w:val="标题 4 Char2"/>
    <w:link w:val="8"/>
    <w:qFormat/>
    <w:uiPriority w:val="9"/>
    <w:rPr>
      <w:rFonts w:ascii="Arial" w:hAnsi="Arial" w:eastAsia="黑体"/>
      <w:b/>
      <w:bCs/>
      <w:kern w:val="2"/>
      <w:sz w:val="28"/>
      <w:szCs w:val="28"/>
      <w:lang w:val="zh-CN"/>
    </w:rPr>
  </w:style>
  <w:style w:type="character" w:customStyle="1" w:styleId="77">
    <w:name w:val="标题 5 Char"/>
    <w:link w:val="2"/>
    <w:qFormat/>
    <w:uiPriority w:val="9"/>
    <w:rPr>
      <w:b/>
      <w:bCs/>
      <w:kern w:val="2"/>
      <w:sz w:val="28"/>
      <w:szCs w:val="28"/>
    </w:rPr>
  </w:style>
  <w:style w:type="character" w:customStyle="1" w:styleId="78">
    <w:name w:val="标题 6 Char"/>
    <w:link w:val="9"/>
    <w:qFormat/>
    <w:uiPriority w:val="0"/>
    <w:rPr>
      <w:rFonts w:ascii="Arial" w:hAnsi="Arial" w:eastAsia="黑体"/>
      <w:b/>
      <w:bCs/>
      <w:kern w:val="2"/>
      <w:sz w:val="24"/>
      <w:szCs w:val="24"/>
    </w:rPr>
  </w:style>
  <w:style w:type="character" w:customStyle="1" w:styleId="79">
    <w:name w:val="标题 7 Char"/>
    <w:link w:val="10"/>
    <w:qFormat/>
    <w:uiPriority w:val="0"/>
    <w:rPr>
      <w:b/>
      <w:bCs/>
      <w:kern w:val="2"/>
      <w:sz w:val="24"/>
      <w:szCs w:val="24"/>
    </w:rPr>
  </w:style>
  <w:style w:type="character" w:customStyle="1" w:styleId="80">
    <w:name w:val="标题 8 Char"/>
    <w:link w:val="11"/>
    <w:qFormat/>
    <w:uiPriority w:val="0"/>
    <w:rPr>
      <w:rFonts w:ascii="Arial" w:hAnsi="Arial" w:eastAsia="黑体"/>
      <w:kern w:val="2"/>
      <w:sz w:val="24"/>
      <w:szCs w:val="24"/>
    </w:rPr>
  </w:style>
  <w:style w:type="character" w:customStyle="1" w:styleId="81">
    <w:name w:val="标题 9 Char"/>
    <w:link w:val="12"/>
    <w:qFormat/>
    <w:uiPriority w:val="0"/>
    <w:rPr>
      <w:rFonts w:ascii="Arial" w:hAnsi="Arial" w:eastAsia="黑体"/>
      <w:kern w:val="2"/>
      <w:sz w:val="21"/>
      <w:szCs w:val="21"/>
    </w:rPr>
  </w:style>
  <w:style w:type="paragraph" w:customStyle="1" w:styleId="82">
    <w:name w:val="目录 71"/>
    <w:basedOn w:val="1"/>
    <w:next w:val="1"/>
    <w:qFormat/>
    <w:uiPriority w:val="0"/>
    <w:pPr>
      <w:ind w:left="2520" w:leftChars="1200"/>
    </w:pPr>
  </w:style>
  <w:style w:type="character" w:customStyle="1" w:styleId="83">
    <w:name w:val="题注 Char"/>
    <w:link w:val="16"/>
    <w:qFormat/>
    <w:uiPriority w:val="0"/>
    <w:rPr>
      <w:b/>
      <w:kern w:val="2"/>
      <w:sz w:val="28"/>
    </w:rPr>
  </w:style>
  <w:style w:type="character" w:customStyle="1" w:styleId="84">
    <w:name w:val="文档结构图 Char1"/>
    <w:link w:val="18"/>
    <w:qFormat/>
    <w:uiPriority w:val="0"/>
    <w:rPr>
      <w:kern w:val="2"/>
      <w:sz w:val="21"/>
      <w:szCs w:val="24"/>
      <w:shd w:val="clear" w:color="auto" w:fill="000080"/>
    </w:rPr>
  </w:style>
  <w:style w:type="character" w:customStyle="1" w:styleId="85">
    <w:name w:val="批注文字 Char1"/>
    <w:link w:val="19"/>
    <w:qFormat/>
    <w:uiPriority w:val="0"/>
    <w:rPr>
      <w:kern w:val="2"/>
      <w:sz w:val="21"/>
      <w:szCs w:val="24"/>
    </w:rPr>
  </w:style>
  <w:style w:type="character" w:customStyle="1" w:styleId="86">
    <w:name w:val="称呼 Char"/>
    <w:link w:val="20"/>
    <w:qFormat/>
    <w:uiPriority w:val="0"/>
    <w:rPr>
      <w:rFonts w:ascii="仿宋_GB2312" w:eastAsia="仿宋_GB2312"/>
      <w:kern w:val="2"/>
      <w:sz w:val="28"/>
    </w:rPr>
  </w:style>
  <w:style w:type="character" w:customStyle="1" w:styleId="87">
    <w:name w:val="正文文本 3 Char"/>
    <w:link w:val="21"/>
    <w:qFormat/>
    <w:uiPriority w:val="0"/>
    <w:rPr>
      <w:kern w:val="2"/>
      <w:sz w:val="21"/>
    </w:rPr>
  </w:style>
  <w:style w:type="character" w:customStyle="1" w:styleId="88">
    <w:name w:val="正文文本缩进 Char3"/>
    <w:link w:val="24"/>
    <w:qFormat/>
    <w:uiPriority w:val="0"/>
    <w:rPr>
      <w:rFonts w:ascii="宋体" w:hAnsi="宋体"/>
      <w:kern w:val="2"/>
      <w:sz w:val="24"/>
      <w:szCs w:val="24"/>
    </w:rPr>
  </w:style>
  <w:style w:type="character" w:customStyle="1" w:styleId="89">
    <w:name w:val="HTML 地址 Char"/>
    <w:link w:val="29"/>
    <w:qFormat/>
    <w:uiPriority w:val="0"/>
    <w:rPr>
      <w:rFonts w:ascii="宋体" w:hAnsi="宋体"/>
      <w:i/>
      <w:iCs/>
      <w:sz w:val="24"/>
      <w:szCs w:val="24"/>
    </w:rPr>
  </w:style>
  <w:style w:type="paragraph" w:customStyle="1" w:styleId="90">
    <w:name w:val="目录 51"/>
    <w:basedOn w:val="1"/>
    <w:next w:val="1"/>
    <w:qFormat/>
    <w:uiPriority w:val="0"/>
    <w:pPr>
      <w:ind w:left="1680" w:leftChars="800"/>
    </w:pPr>
  </w:style>
  <w:style w:type="paragraph" w:customStyle="1" w:styleId="91">
    <w:name w:val="目录 31"/>
    <w:basedOn w:val="1"/>
    <w:next w:val="1"/>
    <w:qFormat/>
    <w:uiPriority w:val="0"/>
    <w:pPr>
      <w:tabs>
        <w:tab w:val="right" w:leader="dot" w:pos="8268"/>
      </w:tabs>
      <w:spacing w:line="460" w:lineRule="exact"/>
      <w:ind w:left="840" w:leftChars="400" w:firstLine="482"/>
    </w:pPr>
    <w:rPr>
      <w:rFonts w:ascii="宋体" w:hAnsi="宋体"/>
    </w:rPr>
  </w:style>
  <w:style w:type="character" w:customStyle="1" w:styleId="92">
    <w:name w:val="纯文本 Char"/>
    <w:link w:val="30"/>
    <w:qFormat/>
    <w:uiPriority w:val="0"/>
    <w:rPr>
      <w:rFonts w:ascii="宋体" w:hAnsi="Courier New" w:eastAsia="宋体" w:cs="Arial"/>
      <w:snapToGrid w:val="0"/>
      <w:kern w:val="2"/>
      <w:sz w:val="21"/>
      <w:szCs w:val="21"/>
      <w:lang w:val="en-US" w:eastAsia="zh-CN" w:bidi="ar-SA"/>
    </w:rPr>
  </w:style>
  <w:style w:type="paragraph" w:customStyle="1" w:styleId="93">
    <w:name w:val="目录 81"/>
    <w:basedOn w:val="1"/>
    <w:next w:val="1"/>
    <w:qFormat/>
    <w:uiPriority w:val="0"/>
    <w:pPr>
      <w:ind w:left="2940" w:leftChars="1400"/>
    </w:pPr>
  </w:style>
  <w:style w:type="character" w:customStyle="1" w:styleId="94">
    <w:name w:val="日期 Char"/>
    <w:link w:val="32"/>
    <w:qFormat/>
    <w:uiPriority w:val="0"/>
    <w:rPr>
      <w:rFonts w:ascii="宋体"/>
      <w:kern w:val="2"/>
      <w:sz w:val="24"/>
      <w:szCs w:val="21"/>
      <w:lang w:val="zh-CN"/>
    </w:rPr>
  </w:style>
  <w:style w:type="character" w:customStyle="1" w:styleId="95">
    <w:name w:val="正文文本缩进 2 Char"/>
    <w:link w:val="33"/>
    <w:qFormat/>
    <w:uiPriority w:val="0"/>
    <w:rPr>
      <w:rFonts w:ascii="宋体"/>
      <w:sz w:val="28"/>
    </w:rPr>
  </w:style>
  <w:style w:type="character" w:customStyle="1" w:styleId="96">
    <w:name w:val="尾注文本 Char"/>
    <w:link w:val="34"/>
    <w:qFormat/>
    <w:uiPriority w:val="0"/>
    <w:rPr>
      <w:kern w:val="2"/>
      <w:sz w:val="21"/>
      <w:szCs w:val="24"/>
      <w:lang w:val="zh-CN"/>
    </w:rPr>
  </w:style>
  <w:style w:type="character" w:customStyle="1" w:styleId="97">
    <w:name w:val="批注框文本 Char"/>
    <w:link w:val="35"/>
    <w:qFormat/>
    <w:uiPriority w:val="0"/>
    <w:rPr>
      <w:kern w:val="2"/>
      <w:sz w:val="18"/>
      <w:szCs w:val="18"/>
    </w:rPr>
  </w:style>
  <w:style w:type="character" w:customStyle="1" w:styleId="98">
    <w:name w:val="页脚 Char2"/>
    <w:link w:val="36"/>
    <w:qFormat/>
    <w:locked/>
    <w:uiPriority w:val="99"/>
    <w:rPr>
      <w:kern w:val="2"/>
      <w:sz w:val="18"/>
      <w:szCs w:val="18"/>
    </w:rPr>
  </w:style>
  <w:style w:type="character" w:customStyle="1" w:styleId="99">
    <w:name w:val="页眉 Char2"/>
    <w:link w:val="37"/>
    <w:qFormat/>
    <w:uiPriority w:val="99"/>
    <w:rPr>
      <w:kern w:val="2"/>
      <w:sz w:val="18"/>
      <w:szCs w:val="18"/>
    </w:rPr>
  </w:style>
  <w:style w:type="character" w:customStyle="1" w:styleId="100">
    <w:name w:val="签名 Char"/>
    <w:link w:val="38"/>
    <w:qFormat/>
    <w:uiPriority w:val="0"/>
    <w:rPr>
      <w:rFonts w:eastAsia="仿宋_GB2312"/>
      <w:sz w:val="24"/>
    </w:rPr>
  </w:style>
  <w:style w:type="paragraph" w:customStyle="1" w:styleId="101">
    <w:name w:val="目录 11"/>
    <w:basedOn w:val="1"/>
    <w:next w:val="1"/>
    <w:qFormat/>
    <w:uiPriority w:val="0"/>
  </w:style>
  <w:style w:type="paragraph" w:customStyle="1" w:styleId="102">
    <w:name w:val="目录 41"/>
    <w:basedOn w:val="1"/>
    <w:next w:val="1"/>
    <w:qFormat/>
    <w:uiPriority w:val="0"/>
    <w:pPr>
      <w:ind w:left="1260" w:leftChars="600"/>
    </w:pPr>
  </w:style>
  <w:style w:type="character" w:customStyle="1" w:styleId="103">
    <w:name w:val="副标题 Char"/>
    <w:link w:val="42"/>
    <w:qFormat/>
    <w:uiPriority w:val="0"/>
    <w:rPr>
      <w:rFonts w:ascii="Arial" w:hAnsi="Arial" w:eastAsia="隶书"/>
      <w:b/>
      <w:bCs/>
      <w:kern w:val="28"/>
      <w:sz w:val="44"/>
      <w:szCs w:val="32"/>
      <w:lang w:val="en-US" w:eastAsia="zh-CN" w:bidi="ar-SA"/>
    </w:rPr>
  </w:style>
  <w:style w:type="character" w:customStyle="1" w:styleId="104">
    <w:name w:val="脚注文本 Char"/>
    <w:link w:val="45"/>
    <w:qFormat/>
    <w:uiPriority w:val="0"/>
    <w:rPr>
      <w:color w:val="0000FF"/>
      <w:sz w:val="21"/>
    </w:rPr>
  </w:style>
  <w:style w:type="paragraph" w:customStyle="1" w:styleId="105">
    <w:name w:val="目录 61"/>
    <w:basedOn w:val="1"/>
    <w:next w:val="1"/>
    <w:qFormat/>
    <w:uiPriority w:val="0"/>
    <w:pPr>
      <w:ind w:left="2100" w:leftChars="1000"/>
    </w:pPr>
  </w:style>
  <w:style w:type="character" w:customStyle="1" w:styleId="106">
    <w:name w:val="正文文本缩进 3 Char"/>
    <w:link w:val="48"/>
    <w:qFormat/>
    <w:uiPriority w:val="0"/>
    <w:rPr>
      <w:kern w:val="2"/>
      <w:sz w:val="24"/>
    </w:rPr>
  </w:style>
  <w:style w:type="paragraph" w:customStyle="1" w:styleId="107">
    <w:name w:val="目录 21"/>
    <w:basedOn w:val="1"/>
    <w:next w:val="1"/>
    <w:qFormat/>
    <w:uiPriority w:val="0"/>
    <w:pPr>
      <w:ind w:left="420" w:leftChars="200"/>
    </w:pPr>
  </w:style>
  <w:style w:type="paragraph" w:customStyle="1" w:styleId="108">
    <w:name w:val="目录 91"/>
    <w:basedOn w:val="1"/>
    <w:next w:val="1"/>
    <w:qFormat/>
    <w:uiPriority w:val="0"/>
    <w:pPr>
      <w:ind w:left="3360" w:leftChars="1600"/>
    </w:pPr>
  </w:style>
  <w:style w:type="character" w:customStyle="1" w:styleId="109">
    <w:name w:val="正文文本 2 Char1"/>
    <w:link w:val="49"/>
    <w:qFormat/>
    <w:uiPriority w:val="0"/>
    <w:rPr>
      <w:kern w:val="2"/>
      <w:sz w:val="21"/>
      <w:szCs w:val="24"/>
    </w:rPr>
  </w:style>
  <w:style w:type="character" w:customStyle="1" w:styleId="110">
    <w:name w:val="HTML 预设格式 Char"/>
    <w:link w:val="50"/>
    <w:qFormat/>
    <w:uiPriority w:val="0"/>
    <w:rPr>
      <w:rFonts w:ascii="黑体" w:hAnsi="Courier New" w:eastAsia="黑体"/>
    </w:rPr>
  </w:style>
  <w:style w:type="character" w:customStyle="1" w:styleId="111">
    <w:name w:val="标题 Char2"/>
    <w:link w:val="51"/>
    <w:qFormat/>
    <w:uiPriority w:val="10"/>
    <w:rPr>
      <w:b/>
      <w:sz w:val="24"/>
      <w:lang w:val="en-GB"/>
    </w:rPr>
  </w:style>
  <w:style w:type="character" w:customStyle="1" w:styleId="112">
    <w:name w:val="批注主题 Char1"/>
    <w:link w:val="52"/>
    <w:qFormat/>
    <w:uiPriority w:val="0"/>
    <w:rPr>
      <w:b/>
      <w:bCs/>
      <w:kern w:val="2"/>
      <w:sz w:val="21"/>
      <w:szCs w:val="24"/>
    </w:rPr>
  </w:style>
  <w:style w:type="paragraph" w:customStyle="1" w:styleId="113">
    <w:name w:val="正文文本首行缩进"/>
    <w:basedOn w:val="23"/>
    <w:link w:val="114"/>
    <w:qFormat/>
    <w:uiPriority w:val="0"/>
    <w:pPr>
      <w:ind w:firstLine="420"/>
    </w:pPr>
    <w:rPr>
      <w:rFonts w:hAnsi="Times New Roman" w:cs="Times New Roman"/>
      <w:snapToGrid/>
      <w:szCs w:val="20"/>
    </w:rPr>
  </w:style>
  <w:style w:type="character" w:customStyle="1" w:styleId="114">
    <w:name w:val="正文文本首行缩进 字符"/>
    <w:link w:val="113"/>
    <w:qFormat/>
    <w:uiPriority w:val="0"/>
    <w:rPr>
      <w:rFonts w:ascii="宋体"/>
      <w:kern w:val="2"/>
      <w:sz w:val="24"/>
      <w:lang w:val="zh-CN"/>
    </w:rPr>
  </w:style>
  <w:style w:type="paragraph" w:customStyle="1" w:styleId="115">
    <w:name w:val="正文文本首行缩进 2"/>
    <w:basedOn w:val="24"/>
    <w:link w:val="116"/>
    <w:qFormat/>
    <w:uiPriority w:val="0"/>
    <w:pPr>
      <w:adjustRightInd/>
      <w:spacing w:after="120" w:line="240" w:lineRule="auto"/>
      <w:ind w:left="420" w:leftChars="200" w:firstLine="210"/>
    </w:pPr>
    <w:rPr>
      <w:sz w:val="21"/>
    </w:rPr>
  </w:style>
  <w:style w:type="character" w:customStyle="1" w:styleId="116">
    <w:name w:val="正文文本首行缩进 2 字符"/>
    <w:link w:val="115"/>
    <w:qFormat/>
    <w:uiPriority w:val="0"/>
    <w:rPr>
      <w:rFonts w:ascii="宋体" w:hAnsi="宋体"/>
      <w:kern w:val="2"/>
      <w:sz w:val="21"/>
      <w:szCs w:val="24"/>
    </w:rPr>
  </w:style>
  <w:style w:type="character" w:customStyle="1" w:styleId="117">
    <w:name w:val="访问过的超链接1"/>
    <w:qFormat/>
    <w:uiPriority w:val="99"/>
    <w:rPr>
      <w:rFonts w:ascii="Arial" w:hAnsi="Arial" w:eastAsia="黑体" w:cs="Arial"/>
      <w:snapToGrid w:val="0"/>
      <w:color w:val="000000"/>
      <w:kern w:val="0"/>
      <w:sz w:val="18"/>
      <w:szCs w:val="18"/>
      <w:u w:val="none"/>
    </w:rPr>
  </w:style>
  <w:style w:type="character" w:customStyle="1" w:styleId="118">
    <w:name w:val="正文文本 2 Char"/>
    <w:qFormat/>
    <w:uiPriority w:val="0"/>
    <w:rPr>
      <w:rFonts w:eastAsia="宋体"/>
      <w:kern w:val="2"/>
      <w:sz w:val="21"/>
      <w:szCs w:val="24"/>
      <w:lang w:val="en-US" w:eastAsia="zh-CN" w:bidi="ar-SA"/>
    </w:rPr>
  </w:style>
  <w:style w:type="character" w:customStyle="1" w:styleId="119">
    <w:name w:val="No Spacing Char"/>
    <w:link w:val="120"/>
    <w:qFormat/>
    <w:uiPriority w:val="1"/>
    <w:rPr>
      <w:sz w:val="22"/>
      <w:szCs w:val="22"/>
      <w:lang w:val="en-US" w:eastAsia="zh-CN" w:bidi="ar-SA"/>
    </w:rPr>
  </w:style>
  <w:style w:type="paragraph" w:customStyle="1" w:styleId="120">
    <w:name w:val="无间隔1"/>
    <w:link w:val="119"/>
    <w:qFormat/>
    <w:uiPriority w:val="1"/>
    <w:rPr>
      <w:rFonts w:ascii="Times New Roman" w:hAnsi="Times New Roman" w:eastAsia="宋体" w:cs="Times New Roman"/>
      <w:sz w:val="22"/>
      <w:szCs w:val="22"/>
      <w:lang w:val="en-US" w:eastAsia="zh-CN" w:bidi="ar-SA"/>
    </w:rPr>
  </w:style>
  <w:style w:type="character" w:customStyle="1" w:styleId="121">
    <w:name w:val="Document Map Char"/>
    <w:qFormat/>
    <w:locked/>
    <w:uiPriority w:val="0"/>
    <w:rPr>
      <w:rFonts w:eastAsia="宋体"/>
      <w:kern w:val="2"/>
      <w:sz w:val="21"/>
      <w:szCs w:val="24"/>
      <w:lang w:val="en-US" w:eastAsia="zh-CN" w:bidi="ar-SA"/>
    </w:rPr>
  </w:style>
  <w:style w:type="character" w:customStyle="1" w:styleId="122">
    <w:name w:val="纯文本 Char1"/>
    <w:link w:val="123"/>
    <w:qFormat/>
    <w:uiPriority w:val="0"/>
    <w:rPr>
      <w:rFonts w:ascii="宋体" w:hAnsi="Courier New"/>
    </w:rPr>
  </w:style>
  <w:style w:type="paragraph" w:customStyle="1" w:styleId="123">
    <w:name w:val="纯文本1"/>
    <w:basedOn w:val="1"/>
    <w:link w:val="122"/>
    <w:qFormat/>
    <w:uiPriority w:val="0"/>
    <w:pPr>
      <w:adjustRightInd/>
    </w:pPr>
    <w:rPr>
      <w:rFonts w:ascii="宋体" w:hAnsi="Courier New"/>
      <w:kern w:val="0"/>
      <w:sz w:val="20"/>
      <w:szCs w:val="20"/>
    </w:rPr>
  </w:style>
  <w:style w:type="character" w:customStyle="1" w:styleId="124">
    <w:name w:val="Char Char72"/>
    <w:qFormat/>
    <w:uiPriority w:val="0"/>
    <w:rPr>
      <w:rFonts w:eastAsia="宋体"/>
      <w:kern w:val="2"/>
      <w:sz w:val="21"/>
      <w:szCs w:val="24"/>
      <w:lang w:val="en-US" w:eastAsia="zh-CN" w:bidi="ar-SA"/>
    </w:rPr>
  </w:style>
  <w:style w:type="character" w:customStyle="1" w:styleId="125">
    <w:name w:val="t21"/>
    <w:qFormat/>
    <w:uiPriority w:val="0"/>
    <w:rPr>
      <w:rFonts w:ascii="仿宋_GB2312" w:eastAsia="微软雅黑"/>
      <w:b/>
      <w:kern w:val="2"/>
      <w:sz w:val="23"/>
      <w:szCs w:val="23"/>
      <w:lang w:val="en-US" w:eastAsia="zh-CN" w:bidi="ar-SA"/>
    </w:rPr>
  </w:style>
  <w:style w:type="character" w:customStyle="1" w:styleId="126">
    <w:name w:val="tw4winTerm"/>
    <w:qFormat/>
    <w:uiPriority w:val="0"/>
    <w:rPr>
      <w:color w:val="0000FF"/>
    </w:rPr>
  </w:style>
  <w:style w:type="character" w:customStyle="1" w:styleId="127">
    <w:name w:val="样式7 Char"/>
    <w:qFormat/>
    <w:uiPriority w:val="0"/>
    <w:rPr>
      <w:rFonts w:ascii="仿宋_GB2312" w:hAnsi="仿宋" w:eastAsia="仿宋_GB2312"/>
      <w:b/>
      <w:kern w:val="2"/>
      <w:sz w:val="24"/>
      <w:szCs w:val="24"/>
    </w:rPr>
  </w:style>
  <w:style w:type="character" w:customStyle="1" w:styleId="1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9">
    <w:name w:val="正文缩进 Char3"/>
    <w:qFormat/>
    <w:uiPriority w:val="0"/>
    <w:rPr>
      <w:rFonts w:ascii="宋体" w:eastAsia="宋体"/>
      <w:snapToGrid w:val="0"/>
      <w:color w:val="000000"/>
      <w:kern w:val="28"/>
      <w:sz w:val="28"/>
      <w:lang w:val="en-US" w:eastAsia="zh-CN" w:bidi="ar-SA"/>
    </w:rPr>
  </w:style>
  <w:style w:type="character" w:customStyle="1" w:styleId="130">
    <w:name w:val="Char Char101"/>
    <w:qFormat/>
    <w:uiPriority w:val="6"/>
    <w:rPr>
      <w:rFonts w:ascii="宋体" w:hAnsi="宋体"/>
      <w:kern w:val="2"/>
      <w:sz w:val="21"/>
      <w:szCs w:val="24"/>
      <w:lang w:val="en-US" w:eastAsia="zh-CN"/>
    </w:rPr>
  </w:style>
  <w:style w:type="character" w:customStyle="1" w:styleId="131">
    <w:name w:val="正文文字缩进 2 Char Char"/>
    <w:qFormat/>
    <w:uiPriority w:val="0"/>
    <w:rPr>
      <w:rFonts w:ascii="宋体"/>
      <w:sz w:val="28"/>
    </w:rPr>
  </w:style>
  <w:style w:type="character" w:customStyle="1" w:styleId="132">
    <w:name w:val="Char Char212"/>
    <w:qFormat/>
    <w:uiPriority w:val="0"/>
    <w:rPr>
      <w:rFonts w:eastAsia="宋体"/>
      <w:b/>
      <w:bCs/>
      <w:kern w:val="2"/>
      <w:sz w:val="21"/>
      <w:szCs w:val="24"/>
      <w:lang w:val="en-US" w:eastAsia="zh-CN" w:bidi="ar-SA"/>
    </w:rPr>
  </w:style>
  <w:style w:type="character" w:customStyle="1" w:styleId="133">
    <w:name w:val="正文文本缩进 字符"/>
    <w:qFormat/>
    <w:uiPriority w:val="0"/>
    <w:rPr>
      <w:rFonts w:ascii="Century Gothic" w:hAnsi="Century Gothic" w:eastAsia="Century Gothic"/>
      <w:kern w:val="2"/>
      <w:sz w:val="24"/>
      <w:lang w:val="en-US" w:eastAsia="zh-CN" w:bidi="ar-SA"/>
    </w:rPr>
  </w:style>
  <w:style w:type="character" w:customStyle="1" w:styleId="134">
    <w:name w:val="Char Char13"/>
    <w:qFormat/>
    <w:uiPriority w:val="6"/>
    <w:rPr>
      <w:rFonts w:ascii="宋体" w:hAnsi="宋体"/>
      <w:kern w:val="1"/>
      <w:sz w:val="21"/>
      <w:szCs w:val="24"/>
    </w:rPr>
  </w:style>
  <w:style w:type="character" w:customStyle="1" w:styleId="135">
    <w:name w:val="表格名称[858D7CFB-ED40-4347-BF05-701D383B685F]"/>
    <w:link w:val="136"/>
    <w:qFormat/>
    <w:uiPriority w:val="0"/>
    <w:rPr>
      <w:sz w:val="32"/>
    </w:rPr>
  </w:style>
  <w:style w:type="paragraph" w:customStyle="1" w:styleId="136">
    <w:name w:val="表格名称"/>
    <w:basedOn w:val="6"/>
    <w:link w:val="135"/>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137">
    <w:name w:val="style1"/>
    <w:qFormat/>
    <w:uiPriority w:val="0"/>
    <w:rPr>
      <w:rFonts w:ascii="Arial" w:hAnsi="Arial" w:eastAsia="黑体" w:cs="Arial"/>
      <w:snapToGrid w:val="0"/>
      <w:kern w:val="0"/>
      <w:szCs w:val="21"/>
    </w:rPr>
  </w:style>
  <w:style w:type="character" w:customStyle="1" w:styleId="138">
    <w:name w:val="Char Char19"/>
    <w:qFormat/>
    <w:uiPriority w:val="6"/>
    <w:rPr>
      <w:rFonts w:ascii="宋体" w:hAnsi="宋体"/>
      <w:i/>
      <w:sz w:val="24"/>
      <w:szCs w:val="24"/>
    </w:rPr>
  </w:style>
  <w:style w:type="character" w:customStyle="1" w:styleId="139">
    <w:name w:val="h4 Char"/>
    <w:qFormat/>
    <w:uiPriority w:val="0"/>
    <w:rPr>
      <w:rFonts w:ascii="Arial" w:hAnsi="Arial" w:eastAsia="黑体"/>
      <w:b/>
      <w:bCs/>
      <w:kern w:val="2"/>
      <w:sz w:val="28"/>
      <w:szCs w:val="28"/>
      <w:lang w:val="zh-CN" w:eastAsia="zh-CN" w:bidi="ar-SA"/>
    </w:rPr>
  </w:style>
  <w:style w:type="character" w:customStyle="1" w:styleId="140">
    <w:name w:val="font31"/>
    <w:qFormat/>
    <w:uiPriority w:val="0"/>
    <w:rPr>
      <w:rFonts w:hint="eastAsia" w:ascii="仿宋" w:hAnsi="仿宋" w:eastAsia="仿宋" w:cs="仿宋"/>
      <w:color w:val="000000"/>
      <w:sz w:val="20"/>
      <w:szCs w:val="20"/>
      <w:u w:val="none"/>
    </w:rPr>
  </w:style>
  <w:style w:type="character" w:customStyle="1" w:styleId="141">
    <w:name w:val="冯 Char"/>
    <w:link w:val="142"/>
    <w:qFormat/>
    <w:uiPriority w:val="0"/>
    <w:rPr>
      <w:rFonts w:ascii="宋体" w:hAnsi="宋体"/>
      <w:color w:val="000000"/>
      <w:sz w:val="24"/>
      <w:szCs w:val="24"/>
    </w:rPr>
  </w:style>
  <w:style w:type="paragraph" w:customStyle="1" w:styleId="142">
    <w:name w:val="冯"/>
    <w:basedOn w:val="1"/>
    <w:link w:val="141"/>
    <w:qFormat/>
    <w:uiPriority w:val="0"/>
    <w:pPr>
      <w:widowControl/>
      <w:adjustRightInd/>
      <w:spacing w:line="360" w:lineRule="auto"/>
      <w:ind w:firstLine="480" w:firstLineChars="200"/>
    </w:pPr>
    <w:rPr>
      <w:rFonts w:ascii="宋体" w:hAnsi="宋体"/>
      <w:color w:val="000000"/>
      <w:kern w:val="0"/>
      <w:sz w:val="24"/>
    </w:rPr>
  </w:style>
  <w:style w:type="character" w:customStyle="1" w:styleId="143">
    <w:name w:val="Char Char91"/>
    <w:qFormat/>
    <w:uiPriority w:val="0"/>
    <w:rPr>
      <w:rFonts w:eastAsia="宋体"/>
      <w:kern w:val="2"/>
      <w:sz w:val="18"/>
      <w:szCs w:val="18"/>
      <w:lang w:val="en-US" w:eastAsia="zh-CN" w:bidi="ar-SA"/>
    </w:rPr>
  </w:style>
  <w:style w:type="character" w:customStyle="1" w:styleId="144">
    <w:name w:val="Char Char34"/>
    <w:qFormat/>
    <w:uiPriority w:val="6"/>
    <w:rPr>
      <w:b/>
      <w:kern w:val="1"/>
      <w:sz w:val="28"/>
      <w:szCs w:val="28"/>
    </w:rPr>
  </w:style>
  <w:style w:type="character" w:customStyle="1" w:styleId="145">
    <w:name w:val="Char Char14"/>
    <w:qFormat/>
    <w:uiPriority w:val="6"/>
    <w:rPr>
      <w:rFonts w:ascii="黑体" w:hAnsi="黑体" w:eastAsia="黑体"/>
    </w:rPr>
  </w:style>
  <w:style w:type="character" w:customStyle="1" w:styleId="146">
    <w:name w:val="正文（绿盟科技） Char"/>
    <w:link w:val="147"/>
    <w:qFormat/>
    <w:uiPriority w:val="0"/>
    <w:rPr>
      <w:rFonts w:ascii="Arial" w:hAnsi="Arial"/>
      <w:sz w:val="21"/>
      <w:szCs w:val="21"/>
      <w:lang w:val="en-US" w:eastAsia="zh-CN" w:bidi="ar-SA"/>
    </w:rPr>
  </w:style>
  <w:style w:type="paragraph" w:customStyle="1" w:styleId="147">
    <w:name w:val="正文（绿盟科技）"/>
    <w:link w:val="146"/>
    <w:qFormat/>
    <w:uiPriority w:val="0"/>
    <w:pPr>
      <w:spacing w:line="300" w:lineRule="auto"/>
    </w:pPr>
    <w:rPr>
      <w:rFonts w:ascii="Arial" w:hAnsi="Arial" w:eastAsia="宋体" w:cs="Times New Roman"/>
      <w:sz w:val="21"/>
      <w:szCs w:val="21"/>
      <w:lang w:val="en-US" w:eastAsia="zh-CN" w:bidi="ar-SA"/>
    </w:rPr>
  </w:style>
  <w:style w:type="character" w:customStyle="1" w:styleId="148">
    <w:name w:val="Char Char71"/>
    <w:semiHidden/>
    <w:qFormat/>
    <w:uiPriority w:val="0"/>
    <w:rPr>
      <w:rFonts w:eastAsia="宋体"/>
      <w:kern w:val="2"/>
      <w:sz w:val="21"/>
      <w:szCs w:val="24"/>
      <w:lang w:val="en-US" w:eastAsia="zh-CN" w:bidi="ar-SA"/>
    </w:rPr>
  </w:style>
  <w:style w:type="character" w:customStyle="1" w:styleId="149">
    <w:name w:val="h3 Char"/>
    <w:qFormat/>
    <w:uiPriority w:val="0"/>
    <w:rPr>
      <w:rFonts w:eastAsia="宋体"/>
      <w:b/>
      <w:kern w:val="2"/>
      <w:sz w:val="32"/>
      <w:lang w:val="en-US" w:eastAsia="zh-CN" w:bidi="ar-SA"/>
    </w:rPr>
  </w:style>
  <w:style w:type="character" w:customStyle="1" w:styleId="150">
    <w:name w:val="pt9"/>
    <w:qFormat/>
    <w:uiPriority w:val="0"/>
    <w:rPr>
      <w:rFonts w:ascii="仿宋_GB2312" w:eastAsia="微软雅黑"/>
      <w:b/>
      <w:kern w:val="2"/>
      <w:sz w:val="32"/>
      <w:szCs w:val="32"/>
      <w:lang w:val="en-US" w:eastAsia="zh-CN" w:bidi="ar-SA"/>
    </w:rPr>
  </w:style>
  <w:style w:type="character" w:customStyle="1" w:styleId="151">
    <w:name w:val="Footer-Even Char1"/>
    <w:qFormat/>
    <w:uiPriority w:val="0"/>
    <w:rPr>
      <w:rFonts w:eastAsia="宋体"/>
      <w:kern w:val="2"/>
      <w:sz w:val="18"/>
      <w:szCs w:val="18"/>
      <w:lang w:val="en-US" w:eastAsia="zh-CN" w:bidi="ar-SA"/>
    </w:rPr>
  </w:style>
  <w:style w:type="character" w:customStyle="1" w:styleId="152">
    <w:name w:val="标书表格字体格式 Char"/>
    <w:qFormat/>
    <w:uiPriority w:val="0"/>
    <w:rPr>
      <w:kern w:val="2"/>
      <w:sz w:val="21"/>
      <w:szCs w:val="24"/>
      <w:lang w:bidi="ar-SA"/>
    </w:rPr>
  </w:style>
  <w:style w:type="character" w:customStyle="1" w:styleId="153">
    <w:name w:val="带编号样式 Char"/>
    <w:qFormat/>
    <w:uiPriority w:val="0"/>
    <w:rPr>
      <w:rFonts w:ascii="仿宋_GB2312" w:eastAsia="仿宋_GB2312"/>
      <w:color w:val="000000"/>
      <w:sz w:val="24"/>
      <w:lang w:bidi="ar-SA"/>
    </w:rPr>
  </w:style>
  <w:style w:type="character" w:customStyle="1" w:styleId="154">
    <w:name w:val="样式8 Char"/>
    <w:qFormat/>
    <w:uiPriority w:val="0"/>
    <w:rPr>
      <w:rFonts w:ascii="仿宋_GB2312" w:hAnsi="宋体" w:eastAsia="仿宋_GB2312"/>
      <w:b/>
      <w:bCs/>
      <w:kern w:val="2"/>
      <w:sz w:val="24"/>
      <w:szCs w:val="24"/>
    </w:rPr>
  </w:style>
  <w:style w:type="character" w:customStyle="1" w:styleId="155">
    <w:name w:val="标题 3 Char2"/>
    <w:qFormat/>
    <w:uiPriority w:val="0"/>
    <w:rPr>
      <w:rFonts w:eastAsia="宋体"/>
      <w:b/>
      <w:bCs/>
      <w:kern w:val="2"/>
      <w:sz w:val="32"/>
      <w:szCs w:val="32"/>
      <w:lang w:val="en-US" w:eastAsia="zh-CN" w:bidi="ar-SA"/>
    </w:rPr>
  </w:style>
  <w:style w:type="character" w:customStyle="1" w:styleId="156">
    <w:name w:val="副标题 Char2"/>
    <w:qFormat/>
    <w:uiPriority w:val="0"/>
    <w:rPr>
      <w:rFonts w:ascii="Cambria" w:hAnsi="Cambria" w:eastAsia="宋体" w:cs="Times New Roman"/>
      <w:b/>
      <w:bCs/>
      <w:snapToGrid w:val="0"/>
      <w:kern w:val="28"/>
      <w:sz w:val="32"/>
      <w:szCs w:val="32"/>
    </w:rPr>
  </w:style>
  <w:style w:type="character" w:customStyle="1" w:styleId="157">
    <w:name w:val="正文首行缩进两字 Char"/>
    <w:qFormat/>
    <w:uiPriority w:val="0"/>
    <w:rPr>
      <w:sz w:val="24"/>
      <w:szCs w:val="24"/>
      <w:lang w:val="en-US" w:eastAsia="zh-CN" w:bidi="ar-SA"/>
    </w:rPr>
  </w:style>
  <w:style w:type="character" w:customStyle="1" w:styleId="158">
    <w:name w:val="Comment Text Char"/>
    <w:qFormat/>
    <w:locked/>
    <w:uiPriority w:val="0"/>
    <w:rPr>
      <w:rFonts w:ascii="宋体" w:hAnsi="宋体" w:eastAsia="宋体"/>
      <w:kern w:val="2"/>
      <w:sz w:val="24"/>
      <w:lang w:val="en-US" w:eastAsia="zh-CN" w:bidi="ar-SA"/>
    </w:rPr>
  </w:style>
  <w:style w:type="character" w:customStyle="1" w:styleId="159">
    <w:name w:val="正文文本缩进 Char1"/>
    <w:qFormat/>
    <w:uiPriority w:val="0"/>
    <w:rPr>
      <w:rFonts w:ascii="Calibri" w:hAnsi="Calibri"/>
      <w:sz w:val="28"/>
    </w:rPr>
  </w:style>
  <w:style w:type="character" w:customStyle="1" w:styleId="160">
    <w:name w:val="myp1111"/>
    <w:qFormat/>
    <w:uiPriority w:val="0"/>
    <w:rPr>
      <w:rFonts w:hint="default" w:ascii="ˎ̥" w:hAnsi="ˎ̥"/>
      <w:color w:val="000000"/>
      <w:sz w:val="20"/>
      <w:szCs w:val="20"/>
      <w:u w:val="none"/>
    </w:rPr>
  </w:style>
  <w:style w:type="character" w:customStyle="1" w:styleId="161">
    <w:name w:val="font51"/>
    <w:qFormat/>
    <w:uiPriority w:val="0"/>
    <w:rPr>
      <w:rFonts w:hint="eastAsia" w:ascii="仿宋" w:hAnsi="仿宋" w:eastAsia="仿宋" w:cs="仿宋"/>
      <w:color w:val="000000"/>
      <w:sz w:val="20"/>
      <w:szCs w:val="20"/>
      <w:u w:val="none"/>
    </w:rPr>
  </w:style>
  <w:style w:type="character" w:customStyle="1" w:styleId="162">
    <w:name w:val="批注文字 Char2"/>
    <w:qFormat/>
    <w:uiPriority w:val="99"/>
    <w:rPr>
      <w:rFonts w:ascii="Times New Roman" w:hAnsi="Times New Roman" w:eastAsia="宋体" w:cs="Times New Roman"/>
      <w:snapToGrid w:val="0"/>
      <w:kern w:val="0"/>
      <w:szCs w:val="24"/>
    </w:rPr>
  </w:style>
  <w:style w:type="character" w:customStyle="1" w:styleId="163">
    <w:name w:val="标题 4 字符"/>
    <w:qFormat/>
    <w:uiPriority w:val="9"/>
    <w:rPr>
      <w:rFonts w:ascii="等线 Light" w:hAnsi="等线 Light" w:eastAsia="等线 Light" w:cs="Times New Roman"/>
      <w:b/>
      <w:bCs/>
      <w:snapToGrid w:val="0"/>
      <w:kern w:val="0"/>
      <w:sz w:val="28"/>
      <w:szCs w:val="28"/>
    </w:rPr>
  </w:style>
  <w:style w:type="character" w:customStyle="1" w:styleId="164">
    <w:name w:val="bulletintext1"/>
    <w:qFormat/>
    <w:uiPriority w:val="0"/>
    <w:rPr>
      <w:color w:val="000000"/>
      <w:sz w:val="18"/>
    </w:rPr>
  </w:style>
  <w:style w:type="character" w:customStyle="1" w:styleId="165">
    <w:name w:val="正文文本 Char"/>
    <w:qFormat/>
    <w:uiPriority w:val="0"/>
    <w:rPr>
      <w:rFonts w:eastAsia="宋体"/>
      <w:kern w:val="2"/>
      <w:sz w:val="24"/>
      <w:szCs w:val="24"/>
      <w:lang w:val="en-US" w:eastAsia="zh-CN" w:bidi="ar-SA"/>
    </w:rPr>
  </w:style>
  <w:style w:type="character" w:customStyle="1" w:styleId="166">
    <w:name w:val="apple-converted-space"/>
    <w:qFormat/>
    <w:uiPriority w:val="0"/>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列出段落 Char2"/>
    <w:qFormat/>
    <w:uiPriority w:val="34"/>
    <w:rPr>
      <w:rFonts w:ascii="Calibri" w:hAnsi="Calibri"/>
      <w:kern w:val="2"/>
      <w:sz w:val="28"/>
    </w:rPr>
  </w:style>
  <w:style w:type="character" w:customStyle="1" w:styleId="169">
    <w:name w:val="b11_01b Char"/>
    <w:link w:val="170"/>
    <w:qFormat/>
    <w:uiPriority w:val="0"/>
    <w:rPr>
      <w:rFonts w:ascii="Verdana" w:hAnsi="Verdana"/>
      <w:b/>
      <w:bCs/>
      <w:color w:val="4A82CA"/>
      <w:sz w:val="17"/>
      <w:szCs w:val="17"/>
    </w:rPr>
  </w:style>
  <w:style w:type="paragraph" w:customStyle="1" w:styleId="170">
    <w:name w:val="b11_01b"/>
    <w:basedOn w:val="1"/>
    <w:next w:val="1"/>
    <w:link w:val="16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71">
    <w:name w:val="16"/>
    <w:basedOn w:val="62"/>
    <w:qFormat/>
    <w:uiPriority w:val="0"/>
    <w:rPr>
      <w:rFonts w:hint="eastAsia" w:ascii="宋体" w:hAnsi="宋体" w:eastAsia="宋体"/>
      <w:color w:val="000000"/>
      <w:sz w:val="20"/>
      <w:szCs w:val="20"/>
    </w:rPr>
  </w:style>
  <w:style w:type="character" w:customStyle="1" w:styleId="172">
    <w:name w:val="Char Char11"/>
    <w:qFormat/>
    <w:locked/>
    <w:uiPriority w:val="0"/>
    <w:rPr>
      <w:rFonts w:ascii="宋体" w:hAnsi="宋体" w:eastAsia="宋体"/>
      <w:b/>
      <w:kern w:val="2"/>
      <w:sz w:val="24"/>
      <w:szCs w:val="24"/>
      <w:lang w:val="en-US" w:eastAsia="zh-CN" w:bidi="ar-SA"/>
    </w:rPr>
  </w:style>
  <w:style w:type="character" w:customStyle="1" w:styleId="173">
    <w:name w:val="ksfind_class_select1"/>
    <w:qFormat/>
    <w:uiPriority w:val="0"/>
    <w:rPr>
      <w:color w:val="000000"/>
      <w:shd w:val="clear" w:color="auto" w:fill="EFD200"/>
    </w:rPr>
  </w:style>
  <w:style w:type="character" w:customStyle="1" w:styleId="174">
    <w:name w:val="正文样式 Char"/>
    <w:link w:val="175"/>
    <w:qFormat/>
    <w:uiPriority w:val="0"/>
    <w:rPr>
      <w:rFonts w:ascii="Calibri" w:hAnsi="Calibri"/>
      <w:sz w:val="24"/>
      <w:szCs w:val="24"/>
    </w:rPr>
  </w:style>
  <w:style w:type="paragraph" w:customStyle="1" w:styleId="175">
    <w:name w:val="正文样式"/>
    <w:basedOn w:val="1"/>
    <w:link w:val="174"/>
    <w:qFormat/>
    <w:uiPriority w:val="0"/>
    <w:pPr>
      <w:adjustRightInd/>
      <w:spacing w:line="360" w:lineRule="auto"/>
      <w:ind w:firstLine="480" w:firstLineChars="200"/>
    </w:pPr>
    <w:rPr>
      <w:rFonts w:ascii="Calibri" w:hAnsi="Calibri"/>
      <w:kern w:val="0"/>
      <w:sz w:val="24"/>
    </w:rPr>
  </w:style>
  <w:style w:type="character" w:customStyle="1" w:styleId="176">
    <w:name w:val="标题4-dyf Char"/>
    <w:link w:val="177"/>
    <w:qFormat/>
    <w:uiPriority w:val="0"/>
    <w:rPr>
      <w:rFonts w:ascii="Cambria" w:hAnsi="Cambria"/>
      <w:b/>
      <w:bCs/>
      <w:color w:val="000000"/>
      <w:kern w:val="2"/>
      <w:sz w:val="21"/>
      <w:szCs w:val="21"/>
    </w:rPr>
  </w:style>
  <w:style w:type="paragraph" w:customStyle="1" w:styleId="177">
    <w:name w:val="标题4-dyf"/>
    <w:basedOn w:val="8"/>
    <w:link w:val="17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78">
    <w:name w:val="content"/>
    <w:qFormat/>
    <w:uiPriority w:val="0"/>
  </w:style>
  <w:style w:type="character" w:customStyle="1" w:styleId="179">
    <w:name w:val="标题 Char"/>
    <w:qFormat/>
    <w:uiPriority w:val="0"/>
    <w:rPr>
      <w:rFonts w:eastAsia="宋体"/>
      <w:b/>
      <w:sz w:val="24"/>
      <w:lang w:val="en-GB" w:eastAsia="zh-CN" w:bidi="ar-SA"/>
    </w:rPr>
  </w:style>
  <w:style w:type="character" w:customStyle="1" w:styleId="180">
    <w:name w:val="Char Char5"/>
    <w:qFormat/>
    <w:uiPriority w:val="0"/>
    <w:rPr>
      <w:rFonts w:ascii="宋体" w:hAnsi="Courier New" w:eastAsia="宋体"/>
      <w:kern w:val="2"/>
      <w:sz w:val="21"/>
      <w:lang w:val="en-US" w:eastAsia="zh-CN"/>
    </w:rPr>
  </w:style>
  <w:style w:type="character" w:customStyle="1" w:styleId="181">
    <w:name w:val="Ò³Ã¼ Char Char1"/>
    <w:qFormat/>
    <w:uiPriority w:val="0"/>
    <w:rPr>
      <w:rFonts w:eastAsia="宋体"/>
      <w:kern w:val="2"/>
      <w:sz w:val="18"/>
      <w:szCs w:val="18"/>
      <w:lang w:val="en-US" w:eastAsia="zh-CN" w:bidi="ar-SA"/>
    </w:rPr>
  </w:style>
  <w:style w:type="character" w:customStyle="1" w:styleId="182">
    <w:name w:val="纯文本 Char2"/>
    <w:semiHidden/>
    <w:qFormat/>
    <w:uiPriority w:val="99"/>
    <w:rPr>
      <w:rFonts w:ascii="宋体" w:hAnsi="Courier New" w:eastAsia="宋体" w:cs="Courier New"/>
    </w:rPr>
  </w:style>
  <w:style w:type="character" w:customStyle="1" w:styleId="183">
    <w:name w:val="普通文字 Char1"/>
    <w:qFormat/>
    <w:uiPriority w:val="0"/>
    <w:rPr>
      <w:rFonts w:ascii="宋体" w:hAnsi="Courier New" w:eastAsia="宋体"/>
      <w:kern w:val="2"/>
      <w:sz w:val="21"/>
      <w:lang w:val="en-US" w:eastAsia="zh-CN"/>
    </w:rPr>
  </w:style>
  <w:style w:type="character" w:customStyle="1" w:styleId="18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85">
    <w:name w:val="Default Char"/>
    <w:link w:val="186"/>
    <w:qFormat/>
    <w:uiPriority w:val="0"/>
    <w:rPr>
      <w:rFonts w:ascii="仿宋_GB2312" w:eastAsia="仿宋_GB2312" w:cs="仿宋_GB2312"/>
      <w:color w:val="000000"/>
      <w:sz w:val="24"/>
      <w:szCs w:val="24"/>
      <w:lang w:val="en-US" w:eastAsia="zh-CN" w:bidi="ar-SA"/>
    </w:rPr>
  </w:style>
  <w:style w:type="paragraph" w:customStyle="1" w:styleId="186">
    <w:name w:val="Default"/>
    <w:link w:val="18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87">
    <w:name w:val="Table Text Char"/>
    <w:link w:val="188"/>
    <w:qFormat/>
    <w:uiPriority w:val="0"/>
    <w:rPr>
      <w:sz w:val="24"/>
      <w:szCs w:val="24"/>
    </w:rPr>
  </w:style>
  <w:style w:type="paragraph" w:customStyle="1" w:styleId="188">
    <w:name w:val="Table Text"/>
    <w:basedOn w:val="1"/>
    <w:link w:val="187"/>
    <w:qFormat/>
    <w:uiPriority w:val="0"/>
    <w:pPr>
      <w:widowControl/>
      <w:spacing w:before="60" w:after="60"/>
      <w:jc w:val="left"/>
    </w:pPr>
    <w:rPr>
      <w:kern w:val="0"/>
      <w:sz w:val="24"/>
    </w:rPr>
  </w:style>
  <w:style w:type="character" w:customStyle="1" w:styleId="189">
    <w:name w:val="批注文字 Char"/>
    <w:qFormat/>
    <w:uiPriority w:val="99"/>
    <w:rPr>
      <w:kern w:val="2"/>
      <w:sz w:val="21"/>
      <w:szCs w:val="24"/>
    </w:rPr>
  </w:style>
  <w:style w:type="character" w:customStyle="1" w:styleId="190">
    <w:name w:val="font81"/>
    <w:qFormat/>
    <w:uiPriority w:val="0"/>
    <w:rPr>
      <w:rFonts w:ascii="微软雅黑" w:hAnsi="微软雅黑" w:eastAsia="微软雅黑" w:cs="微软雅黑"/>
      <w:color w:val="000000"/>
      <w:sz w:val="20"/>
      <w:szCs w:val="20"/>
      <w:u w:val="none"/>
    </w:rPr>
  </w:style>
  <w:style w:type="character" w:customStyle="1" w:styleId="191">
    <w:name w:val="blue1"/>
    <w:qFormat/>
    <w:uiPriority w:val="0"/>
    <w:rPr>
      <w:rFonts w:ascii="Arial" w:hAnsi="Arial" w:eastAsia="黑体" w:cs="Arial"/>
      <w:snapToGrid w:val="0"/>
      <w:kern w:val="0"/>
      <w:szCs w:val="21"/>
    </w:rPr>
  </w:style>
  <w:style w:type="character" w:customStyle="1" w:styleId="192">
    <w:name w:val="无间隔 Char"/>
    <w:link w:val="193"/>
    <w:qFormat/>
    <w:uiPriority w:val="99"/>
    <w:rPr>
      <w:kern w:val="2"/>
      <w:sz w:val="21"/>
      <w:szCs w:val="22"/>
    </w:rPr>
  </w:style>
  <w:style w:type="paragraph" w:styleId="193">
    <w:name w:val="No Spacing"/>
    <w:basedOn w:val="1"/>
    <w:link w:val="192"/>
    <w:qFormat/>
    <w:uiPriority w:val="99"/>
    <w:rPr>
      <w:szCs w:val="22"/>
    </w:rPr>
  </w:style>
  <w:style w:type="character" w:customStyle="1" w:styleId="194">
    <w:name w:val="标题 1 字符"/>
    <w:qFormat/>
    <w:uiPriority w:val="9"/>
    <w:rPr>
      <w:rFonts w:ascii="Arial" w:hAnsi="Arial" w:eastAsia="黑体" w:cs="Arial"/>
      <w:b/>
      <w:bCs/>
      <w:snapToGrid w:val="0"/>
      <w:kern w:val="44"/>
      <w:sz w:val="44"/>
      <w:szCs w:val="44"/>
    </w:rPr>
  </w:style>
  <w:style w:type="character" w:customStyle="1" w:styleId="195">
    <w:name w:val="edui-unclickable"/>
    <w:qFormat/>
    <w:uiPriority w:val="0"/>
    <w:rPr>
      <w:color w:val="808080"/>
    </w:rPr>
  </w:style>
  <w:style w:type="character" w:customStyle="1" w:styleId="196">
    <w:name w:val="文档结构图 字符1"/>
    <w:qFormat/>
    <w:uiPriority w:val="0"/>
    <w:rPr>
      <w:rFonts w:ascii="宋体" w:hAnsi="Calibri" w:eastAsia="黑体" w:cs="Arial"/>
      <w:snapToGrid w:val="0"/>
      <w:kern w:val="2"/>
      <w:sz w:val="18"/>
      <w:szCs w:val="18"/>
    </w:rPr>
  </w:style>
  <w:style w:type="character" w:customStyle="1" w:styleId="197">
    <w:name w:val="正文文本缩进 2 Char1"/>
    <w:semiHidden/>
    <w:qFormat/>
    <w:uiPriority w:val="99"/>
    <w:rPr>
      <w:rFonts w:ascii="Times New Roman" w:hAnsi="Times New Roman" w:eastAsia="宋体" w:cs="Times New Roman"/>
      <w:szCs w:val="24"/>
    </w:rPr>
  </w:style>
  <w:style w:type="character" w:customStyle="1" w:styleId="198">
    <w:name w:val="仿宋正文 Char"/>
    <w:link w:val="199"/>
    <w:qFormat/>
    <w:uiPriority w:val="0"/>
    <w:rPr>
      <w:rFonts w:ascii="仿宋_GB2312" w:eastAsia="仿宋_GB2312"/>
      <w:kern w:val="2"/>
      <w:sz w:val="24"/>
      <w:lang w:val="en-US" w:eastAsia="zh-CN" w:bidi="ar-SA"/>
    </w:rPr>
  </w:style>
  <w:style w:type="paragraph" w:customStyle="1" w:styleId="199">
    <w:name w:val="仿宋正文"/>
    <w:basedOn w:val="1"/>
    <w:link w:val="198"/>
    <w:qFormat/>
    <w:uiPriority w:val="0"/>
    <w:pPr>
      <w:adjustRightInd/>
      <w:spacing w:line="360" w:lineRule="auto"/>
      <w:ind w:firstLine="480" w:firstLineChars="200"/>
    </w:pPr>
    <w:rPr>
      <w:rFonts w:ascii="仿宋_GB2312" w:eastAsia="仿宋_GB2312"/>
      <w:sz w:val="24"/>
      <w:szCs w:val="20"/>
    </w:rPr>
  </w:style>
  <w:style w:type="character" w:customStyle="1" w:styleId="200">
    <w:name w:val="哈哈正文 Char Char"/>
    <w:qFormat/>
    <w:uiPriority w:val="0"/>
    <w:rPr>
      <w:rFonts w:ascii="宋体" w:hAnsi="宋体" w:eastAsia="宋体" w:cs="宋体"/>
      <w:kern w:val="2"/>
      <w:sz w:val="24"/>
      <w:lang w:val="en-US" w:eastAsia="zh-CN" w:bidi="ar-SA"/>
    </w:rPr>
  </w:style>
  <w:style w:type="character" w:customStyle="1" w:styleId="201">
    <w:name w:val="标准正文格式 Char"/>
    <w:qFormat/>
    <w:uiPriority w:val="0"/>
    <w:rPr>
      <w:rFonts w:ascii="宋体" w:eastAsia="仿宋_GB2312" w:cs="宋体"/>
      <w:color w:val="000000"/>
      <w:sz w:val="24"/>
      <w:lang w:val="en-US" w:eastAsia="zh-CN" w:bidi="ar-SA"/>
    </w:rPr>
  </w:style>
  <w:style w:type="character" w:customStyle="1" w:styleId="202">
    <w:name w:val="Bold"/>
    <w:qFormat/>
    <w:uiPriority w:val="0"/>
    <w:rPr>
      <w:rFonts w:ascii="Arial" w:hAnsi="Arial" w:eastAsia="黑体" w:cs="Times New Roman"/>
      <w:b/>
      <w:kern w:val="2"/>
      <w:sz w:val="32"/>
      <w:szCs w:val="32"/>
      <w:lang w:val="en-US" w:eastAsia="zh-CN" w:bidi="ar-SA"/>
    </w:rPr>
  </w:style>
  <w:style w:type="character" w:customStyle="1" w:styleId="203">
    <w:name w:val="FA正文 Char Char"/>
    <w:qFormat/>
    <w:uiPriority w:val="0"/>
    <w:rPr>
      <w:rFonts w:hAnsi="宋体"/>
      <w:kern w:val="2"/>
      <w:sz w:val="24"/>
      <w:lang w:bidi="ar-SA"/>
    </w:rPr>
  </w:style>
  <w:style w:type="character" w:customStyle="1" w:styleId="204">
    <w:name w:val="正文 项目2 Char"/>
    <w:qFormat/>
    <w:uiPriority w:val="0"/>
    <w:rPr>
      <w:rFonts w:ascii="仿宋_GB2312" w:hAnsi="仿宋_GB2312" w:eastAsia="仿宋_GB2312"/>
      <w:kern w:val="2"/>
      <w:sz w:val="24"/>
      <w:lang w:bidi="ar-SA"/>
    </w:rPr>
  </w:style>
  <w:style w:type="character" w:customStyle="1" w:styleId="205">
    <w:name w:val="正文 项目 Char"/>
    <w:qFormat/>
    <w:uiPriority w:val="0"/>
    <w:rPr>
      <w:rFonts w:ascii="仿宋_GB2312" w:hAnsi="仿宋_GB2312" w:eastAsia="仿宋_GB2312"/>
      <w:kern w:val="2"/>
      <w:sz w:val="24"/>
      <w:lang w:bidi="ar-SA"/>
    </w:rPr>
  </w:style>
  <w:style w:type="character" w:customStyle="1" w:styleId="206">
    <w:name w:val="Char Char29"/>
    <w:qFormat/>
    <w:uiPriority w:val="6"/>
    <w:rPr>
      <w:rFonts w:ascii="Arial" w:hAnsi="Arial" w:eastAsia="微软雅黑"/>
      <w:b/>
      <w:kern w:val="1"/>
      <w:sz w:val="44"/>
      <w:szCs w:val="32"/>
      <w:lang w:val="en-US" w:eastAsia="zh-CN" w:bidi="ar-SA"/>
    </w:rPr>
  </w:style>
  <w:style w:type="character" w:customStyle="1" w:styleId="207">
    <w:name w:val="未用 Char"/>
    <w:qFormat/>
    <w:uiPriority w:val="0"/>
    <w:rPr>
      <w:rFonts w:ascii="Arial" w:hAnsi="Arial" w:eastAsia="黑体"/>
      <w:kern w:val="2"/>
      <w:sz w:val="21"/>
      <w:szCs w:val="21"/>
      <w:lang w:val="en-US" w:eastAsia="zh-CN" w:bidi="ar-SA"/>
    </w:rPr>
  </w:style>
  <w:style w:type="character" w:customStyle="1" w:styleId="208">
    <w:name w:val="标题 6 Char1"/>
    <w:qFormat/>
    <w:uiPriority w:val="0"/>
    <w:rPr>
      <w:rFonts w:ascii="Arial" w:hAnsi="Arial" w:eastAsia="黑体" w:cs="Times New Roman"/>
      <w:b/>
      <w:sz w:val="24"/>
      <w:szCs w:val="20"/>
      <w:lang w:bidi="ar-SA"/>
    </w:rPr>
  </w:style>
  <w:style w:type="character" w:customStyle="1" w:styleId="209">
    <w:name w:val="列出段落 Char"/>
    <w:qFormat/>
    <w:uiPriority w:val="0"/>
    <w:rPr>
      <w:rFonts w:eastAsia="楷体_GB2312" w:cs="Lucida Sans"/>
      <w:kern w:val="2"/>
      <w:sz w:val="24"/>
      <w:szCs w:val="24"/>
      <w:lang w:val="en-US" w:eastAsia="zh-CN" w:bidi="ar-SA"/>
    </w:rPr>
  </w:style>
  <w:style w:type="character" w:customStyle="1" w:styleId="210">
    <w:name w:val="正文文本 3 Char1"/>
    <w:semiHidden/>
    <w:qFormat/>
    <w:uiPriority w:val="99"/>
    <w:rPr>
      <w:rFonts w:ascii="Times New Roman" w:hAnsi="Times New Roman" w:eastAsia="宋体" w:cs="Times New Roman"/>
      <w:sz w:val="16"/>
      <w:szCs w:val="16"/>
    </w:rPr>
  </w:style>
  <w:style w:type="character" w:customStyle="1" w:styleId="211">
    <w:name w:val="zbggtop11 style5"/>
    <w:qFormat/>
    <w:uiPriority w:val="0"/>
    <w:rPr>
      <w:rFonts w:ascii="Arial" w:hAnsi="Arial" w:eastAsia="黑体" w:cs="Arial"/>
      <w:snapToGrid w:val="0"/>
      <w:kern w:val="0"/>
      <w:szCs w:val="21"/>
    </w:rPr>
  </w:style>
  <w:style w:type="character" w:customStyle="1" w:styleId="212">
    <w:name w:val="此正文 Char"/>
    <w:link w:val="213"/>
    <w:qFormat/>
    <w:uiPriority w:val="0"/>
    <w:rPr>
      <w:kern w:val="2"/>
      <w:sz w:val="24"/>
      <w:szCs w:val="24"/>
    </w:rPr>
  </w:style>
  <w:style w:type="paragraph" w:customStyle="1" w:styleId="213">
    <w:name w:val="此正文"/>
    <w:basedOn w:val="1"/>
    <w:link w:val="212"/>
    <w:qFormat/>
    <w:uiPriority w:val="0"/>
    <w:pPr>
      <w:adjustRightInd/>
      <w:spacing w:line="360" w:lineRule="auto"/>
      <w:ind w:firstLine="200" w:firstLineChars="200"/>
    </w:pPr>
    <w:rPr>
      <w:sz w:val="24"/>
    </w:rPr>
  </w:style>
  <w:style w:type="character" w:customStyle="1" w:styleId="214">
    <w:name w:val="c7 style3"/>
    <w:qFormat/>
    <w:uiPriority w:val="0"/>
  </w:style>
  <w:style w:type="character" w:customStyle="1" w:styleId="215">
    <w:name w:val="15"/>
    <w:qFormat/>
    <w:uiPriority w:val="0"/>
    <w:rPr>
      <w:rFonts w:hint="default" w:ascii="Calibri" w:hAnsi="Calibri"/>
      <w:color w:val="0000FF"/>
      <w:u w:val="single"/>
    </w:rPr>
  </w:style>
  <w:style w:type="character" w:customStyle="1" w:styleId="216">
    <w:name w:val="首行缩进 Char"/>
    <w:qFormat/>
    <w:uiPriority w:val="0"/>
    <w:rPr>
      <w:rFonts w:ascii="宋体" w:eastAsia="宋体"/>
      <w:kern w:val="2"/>
      <w:sz w:val="24"/>
      <w:lang w:val="en-US" w:eastAsia="zh-CN" w:bidi="ar-SA"/>
    </w:rPr>
  </w:style>
  <w:style w:type="character" w:customStyle="1" w:styleId="217">
    <w:name w:val="正文1 Char1"/>
    <w:qFormat/>
    <w:uiPriority w:val="0"/>
    <w:rPr>
      <w:rFonts w:ascii="仿宋_GB2312" w:hAnsi="Courier New" w:eastAsia="仿宋_GB2312"/>
      <w:kern w:val="28"/>
      <w:sz w:val="24"/>
      <w:szCs w:val="24"/>
      <w:lang w:val="en-US" w:eastAsia="zh-CN"/>
    </w:rPr>
  </w:style>
  <w:style w:type="character" w:customStyle="1" w:styleId="218">
    <w:name w:val="Char Char21"/>
    <w:qFormat/>
    <w:uiPriority w:val="6"/>
    <w:rPr>
      <w:rFonts w:ascii="宋体" w:hAnsi="宋体"/>
      <w:kern w:val="1"/>
      <w:sz w:val="24"/>
      <w:szCs w:val="21"/>
      <w:lang w:val="zh-CN"/>
    </w:rPr>
  </w:style>
  <w:style w:type="character" w:customStyle="1" w:styleId="219">
    <w:name w:val="Char Char24"/>
    <w:qFormat/>
    <w:uiPriority w:val="6"/>
    <w:rPr>
      <w:kern w:val="1"/>
      <w:sz w:val="21"/>
    </w:rPr>
  </w:style>
  <w:style w:type="character" w:customStyle="1" w:styleId="220">
    <w:name w:val="正文非缩进 Char3"/>
    <w:qFormat/>
    <w:uiPriority w:val="0"/>
    <w:rPr>
      <w:rFonts w:ascii="宋体" w:eastAsia="宋体"/>
      <w:snapToGrid w:val="0"/>
      <w:color w:val="000000"/>
      <w:kern w:val="28"/>
      <w:sz w:val="28"/>
      <w:lang w:val="en-US" w:eastAsia="zh-CN" w:bidi="ar-SA"/>
    </w:rPr>
  </w:style>
  <w:style w:type="character" w:customStyle="1" w:styleId="221">
    <w:name w:val="md"/>
    <w:qFormat/>
    <w:uiPriority w:val="0"/>
    <w:rPr>
      <w:rFonts w:ascii="Arial" w:hAnsi="Arial" w:eastAsia="黑体" w:cs="Arial"/>
      <w:snapToGrid w:val="0"/>
      <w:kern w:val="0"/>
      <w:szCs w:val="21"/>
    </w:rPr>
  </w:style>
  <w:style w:type="character" w:customStyle="1" w:styleId="222">
    <w:name w:val="标题 3 字符"/>
    <w:qFormat/>
    <w:uiPriority w:val="9"/>
    <w:rPr>
      <w:b/>
      <w:bCs/>
      <w:kern w:val="2"/>
      <w:sz w:val="32"/>
      <w:szCs w:val="32"/>
    </w:rPr>
  </w:style>
  <w:style w:type="character" w:customStyle="1" w:styleId="223">
    <w:name w:val="Item List Char"/>
    <w:link w:val="224"/>
    <w:qFormat/>
    <w:uiPriority w:val="0"/>
    <w:rPr>
      <w:rFonts w:ascii="Arial"/>
      <w:bCs/>
      <w:sz w:val="21"/>
      <w:szCs w:val="21"/>
      <w:lang w:val="en-US" w:eastAsia="zh-CN" w:bidi="ar-SA"/>
    </w:rPr>
  </w:style>
  <w:style w:type="paragraph" w:customStyle="1" w:styleId="224">
    <w:name w:val="Item List"/>
    <w:link w:val="2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25">
    <w:name w:val="H5 Char"/>
    <w:qFormat/>
    <w:uiPriority w:val="0"/>
    <w:rPr>
      <w:b/>
      <w:bCs/>
      <w:kern w:val="2"/>
      <w:sz w:val="28"/>
      <w:szCs w:val="28"/>
    </w:rPr>
  </w:style>
  <w:style w:type="character" w:customStyle="1" w:styleId="226">
    <w:name w:val="Heading 7 Char"/>
    <w:qFormat/>
    <w:locked/>
    <w:uiPriority w:val="0"/>
    <w:rPr>
      <w:rFonts w:ascii="宋体" w:hAnsi="宋体" w:eastAsia="宋体"/>
      <w:b/>
      <w:bCs/>
      <w:kern w:val="2"/>
      <w:sz w:val="24"/>
      <w:szCs w:val="24"/>
      <w:lang w:val="en-US" w:eastAsia="zh-CN" w:bidi="ar-SA"/>
    </w:rPr>
  </w:style>
  <w:style w:type="character" w:customStyle="1" w:styleId="227">
    <w:name w:val="my正文 Char"/>
    <w:link w:val="228"/>
    <w:qFormat/>
    <w:locked/>
    <w:uiPriority w:val="0"/>
    <w:rPr>
      <w:rFonts w:ascii="Tahoma" w:hAnsi="Tahoma"/>
      <w:sz w:val="24"/>
      <w:szCs w:val="24"/>
    </w:rPr>
  </w:style>
  <w:style w:type="paragraph" w:customStyle="1" w:styleId="228">
    <w:name w:val="my正文"/>
    <w:basedOn w:val="1"/>
    <w:link w:val="227"/>
    <w:qFormat/>
    <w:uiPriority w:val="0"/>
    <w:pPr>
      <w:adjustRightInd/>
      <w:spacing w:line="360" w:lineRule="auto"/>
      <w:ind w:firstLine="480" w:firstLineChars="200"/>
    </w:pPr>
    <w:rPr>
      <w:rFonts w:ascii="Tahoma" w:hAnsi="Tahoma"/>
      <w:kern w:val="0"/>
      <w:sz w:val="24"/>
    </w:rPr>
  </w:style>
  <w:style w:type="character" w:customStyle="1" w:styleId="229">
    <w:name w:val="Char Char9"/>
    <w:qFormat/>
    <w:uiPriority w:val="0"/>
    <w:rPr>
      <w:rFonts w:eastAsia="宋体"/>
      <w:kern w:val="2"/>
      <w:sz w:val="18"/>
      <w:szCs w:val="18"/>
      <w:lang w:val="en-US" w:eastAsia="zh-CN" w:bidi="ar-SA"/>
    </w:rPr>
  </w:style>
  <w:style w:type="character" w:customStyle="1" w:styleId="23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231">
    <w:name w:val="question-title2"/>
    <w:qFormat/>
    <w:uiPriority w:val="6"/>
    <w:rPr>
      <w:rFonts w:ascii="Arial" w:hAnsi="Arial" w:eastAsia="黑体" w:cs="Arial"/>
      <w:snapToGrid w:val="0"/>
      <w:kern w:val="0"/>
      <w:szCs w:val="21"/>
    </w:rPr>
  </w:style>
  <w:style w:type="character" w:customStyle="1" w:styleId="232">
    <w:name w:val="tw4winExternal"/>
    <w:qFormat/>
    <w:uiPriority w:val="0"/>
    <w:rPr>
      <w:rFonts w:ascii="Courier New" w:hAnsi="Courier New" w:cs="Courier New"/>
      <w:color w:val="808080"/>
      <w:lang w:val="en-US" w:eastAsia="zh-CN"/>
    </w:rPr>
  </w:style>
  <w:style w:type="character" w:customStyle="1" w:styleId="233">
    <w:name w:val="tw4winInternal"/>
    <w:qFormat/>
    <w:uiPriority w:val="0"/>
    <w:rPr>
      <w:rFonts w:ascii="Courier New" w:hAnsi="Courier New" w:cs="Courier New"/>
      <w:color w:val="FF0000"/>
      <w:lang w:val="en-US" w:eastAsia="zh-CN"/>
    </w:rPr>
  </w:style>
  <w:style w:type="character" w:customStyle="1" w:styleId="234">
    <w:name w:val="Footer-Even Char"/>
    <w:qFormat/>
    <w:uiPriority w:val="0"/>
    <w:rPr>
      <w:rFonts w:eastAsia="宋体"/>
      <w:kern w:val="2"/>
      <w:sz w:val="18"/>
      <w:lang w:val="en-US" w:eastAsia="zh-CN" w:bidi="ar-SA"/>
    </w:rPr>
  </w:style>
  <w:style w:type="character" w:customStyle="1" w:styleId="235">
    <w:name w:val="tw4winPopup"/>
    <w:qFormat/>
    <w:uiPriority w:val="0"/>
    <w:rPr>
      <w:rFonts w:ascii="Courier New" w:hAnsi="Courier New" w:cs="Courier New"/>
      <w:color w:val="008000"/>
      <w:lang w:val="en-US" w:eastAsia="zh-CN"/>
    </w:rPr>
  </w:style>
  <w:style w:type="character" w:customStyle="1" w:styleId="236">
    <w:name w:val="表格 Char Char"/>
    <w:qFormat/>
    <w:uiPriority w:val="0"/>
    <w:rPr>
      <w:rFonts w:ascii="宋体" w:hAnsi="宋体" w:eastAsia="宋体"/>
      <w:lang w:bidi="ar-SA"/>
    </w:rPr>
  </w:style>
  <w:style w:type="character" w:customStyle="1" w:styleId="237">
    <w:name w:val="Font Style82"/>
    <w:qFormat/>
    <w:uiPriority w:val="99"/>
    <w:rPr>
      <w:rFonts w:ascii="宋体" w:eastAsia="宋体" w:cs="宋体"/>
      <w:color w:val="000000"/>
      <w:sz w:val="14"/>
      <w:szCs w:val="14"/>
    </w:rPr>
  </w:style>
  <w:style w:type="character" w:customStyle="1" w:styleId="238">
    <w:name w:val="标题 2 Char"/>
    <w:qFormat/>
    <w:uiPriority w:val="0"/>
    <w:rPr>
      <w:rFonts w:ascii="Arial" w:hAnsi="Arial" w:eastAsia="黑体"/>
      <w:b/>
      <w:kern w:val="2"/>
      <w:sz w:val="32"/>
      <w:lang w:val="en-US" w:eastAsia="zh-CN"/>
    </w:rPr>
  </w:style>
  <w:style w:type="character" w:customStyle="1" w:styleId="239">
    <w:name w:val="style36"/>
    <w:qFormat/>
    <w:uiPriority w:val="0"/>
    <w:rPr>
      <w:rFonts w:ascii="Arial" w:hAnsi="Arial" w:eastAsia="黑体" w:cs="Arial"/>
      <w:snapToGrid w:val="0"/>
      <w:kern w:val="0"/>
      <w:szCs w:val="21"/>
    </w:rPr>
  </w:style>
  <w:style w:type="character" w:customStyle="1" w:styleId="240">
    <w:name w:val="font12gray1"/>
    <w:qFormat/>
    <w:uiPriority w:val="0"/>
    <w:rPr>
      <w:rFonts w:ascii="仿宋_GB2312" w:eastAsia="微软雅黑"/>
      <w:b/>
      <w:spacing w:val="300"/>
      <w:kern w:val="2"/>
      <w:sz w:val="18"/>
      <w:szCs w:val="18"/>
      <w:lang w:val="en-US" w:eastAsia="zh-CN" w:bidi="ar-SA"/>
    </w:rPr>
  </w:style>
  <w:style w:type="character" w:customStyle="1" w:styleId="241">
    <w:name w:val="签名 Char1"/>
    <w:qFormat/>
    <w:uiPriority w:val="0"/>
    <w:rPr>
      <w:rFonts w:ascii="Times New Roman" w:hAnsi="Times New Roman" w:eastAsia="宋体" w:cs="Times New Roman"/>
      <w:szCs w:val="24"/>
    </w:rPr>
  </w:style>
  <w:style w:type="character" w:customStyle="1" w:styleId="242">
    <w:name w:val="文本正文 Char Char"/>
    <w:qFormat/>
    <w:locked/>
    <w:uiPriority w:val="0"/>
    <w:rPr>
      <w:sz w:val="24"/>
      <w:lang w:bidi="ar-SA"/>
    </w:rPr>
  </w:style>
  <w:style w:type="character" w:customStyle="1" w:styleId="243">
    <w:name w:val="dectext1"/>
    <w:qFormat/>
    <w:uiPriority w:val="0"/>
    <w:rPr>
      <w:rFonts w:ascii="宋体" w:hAnsi="宋体" w:eastAsia="宋体"/>
      <w:color w:val="333333"/>
      <w:sz w:val="21"/>
      <w:szCs w:val="21"/>
      <w:u w:val="none"/>
    </w:rPr>
  </w:style>
  <w:style w:type="character" w:customStyle="1" w:styleId="244">
    <w:name w:val="h Char Char1"/>
    <w:qFormat/>
    <w:uiPriority w:val="0"/>
    <w:rPr>
      <w:rFonts w:eastAsia="宋体"/>
      <w:kern w:val="2"/>
      <w:sz w:val="18"/>
      <w:szCs w:val="18"/>
      <w:lang w:val="en-US" w:eastAsia="zh-CN" w:bidi="ar-SA"/>
    </w:rPr>
  </w:style>
  <w:style w:type="character" w:customStyle="1" w:styleId="245">
    <w:name w:val="big1"/>
    <w:qFormat/>
    <w:uiPriority w:val="0"/>
    <w:rPr>
      <w:rFonts w:hint="eastAsia" w:ascii="宋体" w:hAnsi="宋体" w:eastAsia="宋体"/>
      <w:color w:val="333333"/>
      <w:sz w:val="22"/>
      <w:szCs w:val="22"/>
    </w:rPr>
  </w:style>
  <w:style w:type="character" w:customStyle="1" w:styleId="246">
    <w:name w:val="页眉 Char"/>
    <w:qFormat/>
    <w:uiPriority w:val="0"/>
    <w:rPr>
      <w:rFonts w:eastAsia="仿宋_GB2312"/>
      <w:kern w:val="2"/>
      <w:sz w:val="18"/>
      <w:lang w:val="en-US" w:eastAsia="zh-CN"/>
    </w:rPr>
  </w:style>
  <w:style w:type="character" w:customStyle="1" w:styleId="247">
    <w:name w:val="Char Char611"/>
    <w:qFormat/>
    <w:uiPriority w:val="0"/>
    <w:rPr>
      <w:rFonts w:eastAsia="宋体"/>
      <w:kern w:val="2"/>
      <w:sz w:val="21"/>
      <w:szCs w:val="24"/>
      <w:lang w:val="en-US" w:eastAsia="zh-CN" w:bidi="ar-SA"/>
    </w:rPr>
  </w:style>
  <w:style w:type="character" w:customStyle="1" w:styleId="248">
    <w:name w:val="Header Char"/>
    <w:qFormat/>
    <w:locked/>
    <w:uiPriority w:val="0"/>
    <w:rPr>
      <w:rFonts w:eastAsia="宋体"/>
      <w:kern w:val="2"/>
      <w:sz w:val="18"/>
      <w:szCs w:val="18"/>
      <w:lang w:val="en-US" w:eastAsia="zh-CN" w:bidi="ar-SA"/>
    </w:rPr>
  </w:style>
  <w:style w:type="character" w:customStyle="1" w:styleId="249">
    <w:name w:val="px14"/>
    <w:qFormat/>
    <w:uiPriority w:val="0"/>
    <w:rPr>
      <w:rFonts w:ascii="仿宋_GB2312" w:eastAsia="微软雅黑" w:cs="Times New Roman"/>
      <w:b/>
      <w:kern w:val="2"/>
      <w:sz w:val="32"/>
      <w:szCs w:val="32"/>
      <w:lang w:val="en-US" w:eastAsia="zh-CN" w:bidi="ar-SA"/>
    </w:rPr>
  </w:style>
  <w:style w:type="character" w:customStyle="1" w:styleId="250">
    <w:name w:val="solutionfonts"/>
    <w:qFormat/>
    <w:uiPriority w:val="0"/>
  </w:style>
  <w:style w:type="character" w:customStyle="1" w:styleId="251">
    <w:name w:val="正文缩进 Char1"/>
    <w:qFormat/>
    <w:uiPriority w:val="0"/>
    <w:rPr>
      <w:rFonts w:ascii="宋体" w:eastAsia="宋体"/>
      <w:snapToGrid w:val="0"/>
      <w:color w:val="000000"/>
      <w:kern w:val="28"/>
      <w:sz w:val="28"/>
      <w:lang w:val="en-US" w:eastAsia="zh-CN" w:bidi="ar-SA"/>
    </w:rPr>
  </w:style>
  <w:style w:type="character" w:customStyle="1" w:styleId="252">
    <w:name w:val="Char Char25"/>
    <w:qFormat/>
    <w:uiPriority w:val="6"/>
    <w:rPr>
      <w:rFonts w:ascii="宋体" w:hAnsi="宋体"/>
      <w:kern w:val="1"/>
      <w:sz w:val="24"/>
      <w:lang w:val="zh-CN"/>
    </w:rPr>
  </w:style>
  <w:style w:type="character" w:customStyle="1" w:styleId="253">
    <w:name w:val="maywed421"/>
    <w:qFormat/>
    <w:uiPriority w:val="0"/>
    <w:rPr>
      <w:color w:val="366FB6"/>
      <w:u w:val="none"/>
    </w:rPr>
  </w:style>
  <w:style w:type="character" w:customStyle="1" w:styleId="254">
    <w:name w:val="PI Char"/>
    <w:qFormat/>
    <w:uiPriority w:val="0"/>
    <w:rPr>
      <w:rFonts w:ascii="宋体" w:hAnsi="宋体" w:eastAsia="宋体"/>
      <w:kern w:val="2"/>
      <w:sz w:val="24"/>
      <w:szCs w:val="24"/>
      <w:lang w:val="en-US" w:eastAsia="zh-CN" w:bidi="ar-SA"/>
    </w:rPr>
  </w:style>
  <w:style w:type="character" w:customStyle="1" w:styleId="255">
    <w:name w:val="Char Char161"/>
    <w:qFormat/>
    <w:uiPriority w:val="0"/>
    <w:rPr>
      <w:rFonts w:eastAsia="宋体"/>
      <w:b/>
      <w:kern w:val="2"/>
      <w:sz w:val="32"/>
      <w:lang w:val="en-US" w:eastAsia="zh-CN"/>
    </w:rPr>
  </w:style>
  <w:style w:type="character" w:customStyle="1" w:styleId="256">
    <w:name w:val="批注文字 字符"/>
    <w:qFormat/>
    <w:uiPriority w:val="0"/>
    <w:rPr>
      <w:rFonts w:ascii="Arial" w:hAnsi="Arial" w:eastAsia="黑体" w:cs="Arial"/>
      <w:snapToGrid w:val="0"/>
      <w:kern w:val="0"/>
      <w:szCs w:val="21"/>
    </w:rPr>
  </w:style>
  <w:style w:type="character" w:customStyle="1" w:styleId="257">
    <w:name w:val="页脚 Char"/>
    <w:qFormat/>
    <w:uiPriority w:val="0"/>
    <w:rPr>
      <w:rFonts w:eastAsia="仿宋_GB2312"/>
      <w:kern w:val="2"/>
      <w:sz w:val="18"/>
      <w:lang w:val="en-US" w:eastAsia="zh-CN"/>
    </w:rPr>
  </w:style>
  <w:style w:type="character" w:customStyle="1" w:styleId="258">
    <w:name w:val="Char Char411"/>
    <w:qFormat/>
    <w:uiPriority w:val="0"/>
    <w:rPr>
      <w:rFonts w:eastAsia="宋体"/>
      <w:b/>
      <w:sz w:val="24"/>
      <w:lang w:val="en-GB" w:eastAsia="zh-CN" w:bidi="ar-SA"/>
    </w:rPr>
  </w:style>
  <w:style w:type="character" w:customStyle="1" w:styleId="259">
    <w:name w:val="公文正文 Char"/>
    <w:qFormat/>
    <w:uiPriority w:val="0"/>
    <w:rPr>
      <w:rFonts w:ascii="仿宋_GB2312" w:eastAsia="仿宋_GB2312"/>
      <w:kern w:val="2"/>
      <w:sz w:val="24"/>
      <w:szCs w:val="24"/>
      <w:lang w:val="en-US" w:eastAsia="zh-CN" w:bidi="ar-SA"/>
    </w:rPr>
  </w:style>
  <w:style w:type="character" w:customStyle="1" w:styleId="260">
    <w:name w:val="冯广丽 Char"/>
    <w:link w:val="261"/>
    <w:qFormat/>
    <w:uiPriority w:val="0"/>
    <w:rPr>
      <w:rFonts w:ascii="宋体" w:hAnsi="宋体"/>
      <w:kern w:val="2"/>
      <w:sz w:val="24"/>
      <w:szCs w:val="22"/>
    </w:rPr>
  </w:style>
  <w:style w:type="paragraph" w:customStyle="1" w:styleId="261">
    <w:name w:val="冯广丽"/>
    <w:basedOn w:val="1"/>
    <w:link w:val="260"/>
    <w:qFormat/>
    <w:uiPriority w:val="0"/>
    <w:pPr>
      <w:adjustRightInd/>
      <w:spacing w:line="360" w:lineRule="auto"/>
      <w:ind w:firstLine="480" w:firstLineChars="200"/>
    </w:pPr>
    <w:rPr>
      <w:rFonts w:ascii="宋体" w:hAnsi="宋体"/>
      <w:sz w:val="24"/>
      <w:szCs w:val="22"/>
    </w:rPr>
  </w:style>
  <w:style w:type="character" w:customStyle="1" w:styleId="262">
    <w:name w:val="未处理的提及1"/>
    <w:qFormat/>
    <w:uiPriority w:val="0"/>
    <w:rPr>
      <w:color w:val="808080"/>
      <w:shd w:val="clear" w:color="auto" w:fill="E6E6E6"/>
    </w:rPr>
  </w:style>
  <w:style w:type="character" w:customStyle="1" w:styleId="263">
    <w:name w:val="param-name"/>
    <w:qFormat/>
    <w:uiPriority w:val="99"/>
    <w:rPr>
      <w:rFonts w:ascii="Arial" w:hAnsi="Arial" w:eastAsia="黑体" w:cs="Arial"/>
      <w:snapToGrid w:val="0"/>
      <w:kern w:val="0"/>
      <w:szCs w:val="21"/>
    </w:rPr>
  </w:style>
  <w:style w:type="character" w:customStyle="1" w:styleId="264">
    <w:name w:val="页脚 Char1"/>
    <w:qFormat/>
    <w:uiPriority w:val="0"/>
    <w:rPr>
      <w:rFonts w:eastAsia="宋体"/>
      <w:kern w:val="2"/>
      <w:sz w:val="18"/>
      <w:szCs w:val="18"/>
      <w:lang w:val="en-US" w:eastAsia="zh-CN" w:bidi="ar-SA"/>
    </w:rPr>
  </w:style>
  <w:style w:type="character" w:customStyle="1" w:styleId="265">
    <w:name w:val="Char Char81"/>
    <w:qFormat/>
    <w:uiPriority w:val="6"/>
    <w:rPr>
      <w:rFonts w:eastAsia="宋体"/>
      <w:b/>
      <w:sz w:val="24"/>
      <w:lang w:val="en-GB" w:eastAsia="zh-CN"/>
    </w:rPr>
  </w:style>
  <w:style w:type="character" w:customStyle="1" w:styleId="266">
    <w:name w:val="普通文字 Char3"/>
    <w:qFormat/>
    <w:uiPriority w:val="0"/>
    <w:rPr>
      <w:rFonts w:ascii="宋体" w:hAnsi="Courier New" w:eastAsia="宋体"/>
      <w:kern w:val="2"/>
      <w:sz w:val="21"/>
      <w:lang w:val="en-US" w:eastAsia="zh-CN" w:bidi="ar-SA"/>
    </w:rPr>
  </w:style>
  <w:style w:type="character" w:customStyle="1" w:styleId="267">
    <w:name w:val="Char Char4"/>
    <w:qFormat/>
    <w:uiPriority w:val="0"/>
    <w:rPr>
      <w:rFonts w:eastAsia="宋体"/>
      <w:b/>
      <w:sz w:val="24"/>
      <w:lang w:val="en-GB" w:eastAsia="zh-CN" w:bidi="ar-SA"/>
    </w:rPr>
  </w:style>
  <w:style w:type="character" w:customStyle="1" w:styleId="268">
    <w:name w:val="hei16b1"/>
    <w:qFormat/>
    <w:uiPriority w:val="0"/>
    <w:rPr>
      <w:rFonts w:hint="default" w:ascii="Arial" w:hAnsi="Arial" w:cs="Arial"/>
      <w:b/>
      <w:bCs/>
      <w:color w:val="000000"/>
      <w:sz w:val="24"/>
      <w:szCs w:val="24"/>
    </w:rPr>
  </w:style>
  <w:style w:type="character" w:customStyle="1" w:styleId="269">
    <w:name w:val="插图说明 Char"/>
    <w:qFormat/>
    <w:uiPriority w:val="0"/>
    <w:rPr>
      <w:rFonts w:eastAsia="黑体"/>
      <w:sz w:val="24"/>
      <w:lang w:val="en-US" w:eastAsia="zh-CN"/>
    </w:rPr>
  </w:style>
  <w:style w:type="character" w:customStyle="1" w:styleId="270">
    <w:name w:val="Char Char1211"/>
    <w:qFormat/>
    <w:uiPriority w:val="0"/>
    <w:rPr>
      <w:rFonts w:ascii="仿宋_GB2312" w:eastAsia="仿宋_GB2312"/>
      <w:b/>
      <w:bCs/>
      <w:kern w:val="2"/>
      <w:sz w:val="24"/>
      <w:szCs w:val="24"/>
      <w:lang w:val="zh-CN" w:eastAsia="zh-CN" w:bidi="ar-SA"/>
    </w:rPr>
  </w:style>
  <w:style w:type="character" w:customStyle="1" w:styleId="271">
    <w:name w:val="表正文 Char"/>
    <w:qFormat/>
    <w:uiPriority w:val="0"/>
    <w:rPr>
      <w:rFonts w:ascii="宋体" w:eastAsia="宋体"/>
      <w:snapToGrid w:val="0"/>
      <w:color w:val="000000"/>
      <w:kern w:val="28"/>
      <w:sz w:val="28"/>
      <w:lang w:val="en-US" w:eastAsia="zh-CN" w:bidi="ar-SA"/>
    </w:rPr>
  </w:style>
  <w:style w:type="character" w:customStyle="1" w:styleId="272">
    <w:name w:val="正文文本 2 字符"/>
    <w:qFormat/>
    <w:uiPriority w:val="0"/>
    <w:rPr>
      <w:rFonts w:ascii="Arial" w:hAnsi="Arial" w:eastAsia="宋体"/>
      <w:kern w:val="2"/>
      <w:sz w:val="24"/>
      <w:szCs w:val="24"/>
      <w:lang w:val="en-US" w:eastAsia="zh-CN" w:bidi="ar-SA"/>
    </w:rPr>
  </w:style>
  <w:style w:type="character" w:customStyle="1" w:styleId="273">
    <w:name w:val="正文首行缩进 Char Char Char Char Char Char1"/>
    <w:qFormat/>
    <w:uiPriority w:val="0"/>
    <w:rPr>
      <w:rFonts w:ascii="宋体" w:eastAsia="宋体"/>
      <w:kern w:val="2"/>
      <w:sz w:val="24"/>
      <w:szCs w:val="24"/>
      <w:lang w:val="zh-CN" w:bidi="ar-SA"/>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正文 编号 Char"/>
    <w:qFormat/>
    <w:uiPriority w:val="0"/>
    <w:rPr>
      <w:rFonts w:ascii="仿宋_GB2312" w:hAnsi="仿宋_GB2312" w:eastAsia="仿宋_GB2312"/>
      <w:kern w:val="2"/>
      <w:sz w:val="24"/>
      <w:lang w:bidi="ar-SA"/>
    </w:rPr>
  </w:style>
  <w:style w:type="character" w:customStyle="1" w:styleId="276">
    <w:name w:val="Char Char102"/>
    <w:semiHidden/>
    <w:qFormat/>
    <w:uiPriority w:val="0"/>
    <w:rPr>
      <w:rFonts w:ascii="宋体" w:hAnsi="宋体"/>
      <w:kern w:val="2"/>
      <w:sz w:val="21"/>
      <w:szCs w:val="24"/>
      <w:lang w:val="en-US" w:eastAsia="zh-CN"/>
    </w:rPr>
  </w:style>
  <w:style w:type="character" w:customStyle="1" w:styleId="277">
    <w:name w:val="链接"/>
    <w:qFormat/>
    <w:uiPriority w:val="0"/>
    <w:rPr>
      <w:color w:val="0000FF"/>
      <w:sz w:val="21"/>
      <w:szCs w:val="21"/>
      <w:u w:val="single"/>
    </w:rPr>
  </w:style>
  <w:style w:type="character" w:customStyle="1" w:styleId="278">
    <w:name w:val="DO_NOT_TRANSLATE"/>
    <w:qFormat/>
    <w:uiPriority w:val="0"/>
    <w:rPr>
      <w:rFonts w:ascii="Courier New" w:hAnsi="Courier New" w:cs="Courier New"/>
      <w:color w:val="800000"/>
      <w:lang w:val="en-US" w:eastAsia="zh-CN"/>
    </w:rPr>
  </w:style>
  <w:style w:type="character" w:customStyle="1" w:styleId="279">
    <w:name w:val="标准文本 Char Char"/>
    <w:link w:val="280"/>
    <w:qFormat/>
    <w:uiPriority w:val="0"/>
    <w:rPr>
      <w:rFonts w:cs="宋体"/>
      <w:kern w:val="2"/>
      <w:sz w:val="24"/>
    </w:rPr>
  </w:style>
  <w:style w:type="paragraph" w:customStyle="1" w:styleId="280">
    <w:name w:val="标准文本"/>
    <w:basedOn w:val="1"/>
    <w:link w:val="279"/>
    <w:qFormat/>
    <w:uiPriority w:val="0"/>
    <w:pPr>
      <w:adjustRightInd/>
      <w:spacing w:line="360" w:lineRule="auto"/>
      <w:ind w:firstLine="480" w:firstLineChars="200"/>
    </w:pPr>
    <w:rPr>
      <w:sz w:val="24"/>
      <w:szCs w:val="20"/>
    </w:rPr>
  </w:style>
  <w:style w:type="character" w:customStyle="1" w:styleId="281">
    <w:name w:val="dandyren_title1"/>
    <w:qFormat/>
    <w:uiPriority w:val="0"/>
    <w:rPr>
      <w:b/>
      <w:bCs/>
      <w:color w:val="FF6633"/>
      <w:sz w:val="18"/>
      <w:szCs w:val="18"/>
    </w:rPr>
  </w:style>
  <w:style w:type="character" w:customStyle="1" w:styleId="282">
    <w:name w:val="javascript"/>
    <w:qFormat/>
    <w:uiPriority w:val="0"/>
  </w:style>
  <w:style w:type="character" w:customStyle="1" w:styleId="283">
    <w:name w:val="Char Char8"/>
    <w:qFormat/>
    <w:uiPriority w:val="0"/>
    <w:rPr>
      <w:rFonts w:eastAsia="宋体"/>
      <w:b/>
      <w:sz w:val="24"/>
      <w:lang w:val="en-GB" w:eastAsia="zh-CN"/>
    </w:rPr>
  </w:style>
  <w:style w:type="character" w:customStyle="1" w:styleId="284">
    <w:name w:val="正文说明 Char"/>
    <w:link w:val="285"/>
    <w:qFormat/>
    <w:uiPriority w:val="0"/>
    <w:rPr>
      <w:sz w:val="24"/>
      <w:szCs w:val="24"/>
    </w:rPr>
  </w:style>
  <w:style w:type="paragraph" w:customStyle="1" w:styleId="285">
    <w:name w:val="正文说明"/>
    <w:basedOn w:val="1"/>
    <w:link w:val="284"/>
    <w:qFormat/>
    <w:uiPriority w:val="0"/>
    <w:pPr>
      <w:adjustRightInd/>
      <w:spacing w:line="360" w:lineRule="auto"/>
    </w:pPr>
    <w:rPr>
      <w:kern w:val="0"/>
      <w:sz w:val="24"/>
    </w:rPr>
  </w:style>
  <w:style w:type="character" w:customStyle="1" w:styleId="286">
    <w:name w:val="Char Char10"/>
    <w:semiHidden/>
    <w:qFormat/>
    <w:uiPriority w:val="0"/>
    <w:rPr>
      <w:rFonts w:ascii="宋体" w:hAnsi="宋体"/>
      <w:kern w:val="2"/>
      <w:sz w:val="21"/>
      <w:szCs w:val="24"/>
      <w:lang w:val="en-US" w:eastAsia="zh-CN"/>
    </w:rPr>
  </w:style>
  <w:style w:type="character" w:customStyle="1" w:styleId="287">
    <w:name w:val="页眉 字符"/>
    <w:qFormat/>
    <w:uiPriority w:val="99"/>
    <w:rPr>
      <w:kern w:val="2"/>
      <w:sz w:val="18"/>
      <w:szCs w:val="18"/>
    </w:rPr>
  </w:style>
  <w:style w:type="character" w:customStyle="1" w:styleId="288">
    <w:name w:val="tpc_content1"/>
    <w:qFormat/>
    <w:uiPriority w:val="0"/>
    <w:rPr>
      <w:sz w:val="20"/>
      <w:szCs w:val="20"/>
    </w:rPr>
  </w:style>
  <w:style w:type="character" w:customStyle="1" w:styleId="289">
    <w:name w:val="标书正文格式 Char"/>
    <w:qFormat/>
    <w:uiPriority w:val="0"/>
    <w:rPr>
      <w:rFonts w:eastAsia="楷体_GB2312"/>
      <w:kern w:val="2"/>
      <w:sz w:val="24"/>
      <w:szCs w:val="24"/>
      <w:lang w:bidi="ar-SA"/>
    </w:rPr>
  </w:style>
  <w:style w:type="character" w:customStyle="1" w:styleId="290">
    <w:name w:val="hui3"/>
    <w:qFormat/>
    <w:uiPriority w:val="0"/>
    <w:rPr>
      <w:color w:val="333333"/>
    </w:rPr>
  </w:style>
  <w:style w:type="character" w:customStyle="1" w:styleId="291">
    <w:name w:val="Char Char"/>
    <w:qFormat/>
    <w:uiPriority w:val="0"/>
    <w:rPr>
      <w:rFonts w:ascii="宋体" w:hAnsi="Courier New" w:eastAsia="宋体"/>
      <w:kern w:val="2"/>
      <w:sz w:val="21"/>
      <w:lang w:val="en-US" w:eastAsia="zh-CN" w:bidi="ar-SA"/>
    </w:rPr>
  </w:style>
  <w:style w:type="character" w:customStyle="1" w:styleId="292">
    <w:name w:val="方案正文 Char"/>
    <w:qFormat/>
    <w:uiPriority w:val="0"/>
    <w:rPr>
      <w:rFonts w:ascii="仿宋_GB2312" w:eastAsia="仿宋_GB2312"/>
      <w:b/>
      <w:color w:val="000000"/>
      <w:kern w:val="2"/>
      <w:sz w:val="24"/>
      <w:lang w:val="en-US" w:eastAsia="zh-CN" w:bidi="ar-SA"/>
    </w:rPr>
  </w:style>
  <w:style w:type="character" w:customStyle="1" w:styleId="293">
    <w:name w:val="正文首行缩进 Char Char Char Char Char Char"/>
    <w:qFormat/>
    <w:uiPriority w:val="0"/>
    <w:rPr>
      <w:rFonts w:ascii="宋体" w:eastAsia="宋体"/>
      <w:kern w:val="2"/>
      <w:sz w:val="24"/>
      <w:lang w:val="zh-CN" w:bidi="ar-SA"/>
    </w:rPr>
  </w:style>
  <w:style w:type="character" w:customStyle="1" w:styleId="294">
    <w:name w:val="Char Char23"/>
    <w:qFormat/>
    <w:uiPriority w:val="6"/>
    <w:rPr>
      <w:color w:val="0000FF"/>
      <w:sz w:val="21"/>
    </w:rPr>
  </w:style>
  <w:style w:type="character" w:customStyle="1" w:styleId="295">
    <w:name w:val="tw4winError"/>
    <w:qFormat/>
    <w:uiPriority w:val="0"/>
    <w:rPr>
      <w:rFonts w:ascii="Courier New" w:hAnsi="Courier New" w:cs="Courier New"/>
      <w:color w:val="00FF00"/>
      <w:sz w:val="40"/>
      <w:szCs w:val="40"/>
    </w:rPr>
  </w:style>
  <w:style w:type="character" w:customStyle="1" w:styleId="296">
    <w:name w:val="Char Char12"/>
    <w:qFormat/>
    <w:uiPriority w:val="0"/>
    <w:rPr>
      <w:rFonts w:ascii="仿宋_GB2312" w:eastAsia="仿宋_GB2312"/>
      <w:b/>
      <w:bCs/>
      <w:kern w:val="2"/>
      <w:sz w:val="24"/>
      <w:szCs w:val="24"/>
      <w:lang w:val="zh-CN" w:eastAsia="zh-CN" w:bidi="ar-SA"/>
    </w:rPr>
  </w:style>
  <w:style w:type="character" w:customStyle="1" w:styleId="297">
    <w:name w:val="Char Char35"/>
    <w:qFormat/>
    <w:uiPriority w:val="6"/>
    <w:rPr>
      <w:rFonts w:ascii="Arial" w:hAnsi="Arial" w:eastAsia="黑体"/>
      <w:b/>
      <w:kern w:val="1"/>
      <w:sz w:val="28"/>
      <w:szCs w:val="28"/>
      <w:lang w:val="zh-CN"/>
    </w:rPr>
  </w:style>
  <w:style w:type="character" w:customStyle="1" w:styleId="298">
    <w:name w:val="Used by Word for text of Help footnotes Char Char1"/>
    <w:qFormat/>
    <w:uiPriority w:val="0"/>
    <w:rPr>
      <w:color w:val="0000FF"/>
      <w:sz w:val="21"/>
    </w:rPr>
  </w:style>
  <w:style w:type="character" w:customStyle="1" w:styleId="299">
    <w:name w:val="*正文 Char"/>
    <w:link w:val="300"/>
    <w:qFormat/>
    <w:locked/>
    <w:uiPriority w:val="0"/>
    <w:rPr>
      <w:rFonts w:ascii="宋体" w:hAnsi="宋体"/>
      <w:sz w:val="24"/>
    </w:rPr>
  </w:style>
  <w:style w:type="paragraph" w:customStyle="1" w:styleId="300">
    <w:name w:val="*正文"/>
    <w:basedOn w:val="1"/>
    <w:link w:val="299"/>
    <w:qFormat/>
    <w:uiPriority w:val="0"/>
    <w:pPr>
      <w:snapToGrid w:val="0"/>
      <w:spacing w:line="360" w:lineRule="auto"/>
      <w:ind w:firstLine="482"/>
      <w:jc w:val="left"/>
    </w:pPr>
    <w:rPr>
      <w:rFonts w:ascii="宋体" w:hAnsi="宋体"/>
      <w:kern w:val="0"/>
      <w:sz w:val="24"/>
      <w:szCs w:val="20"/>
    </w:rPr>
  </w:style>
  <w:style w:type="character" w:customStyle="1" w:styleId="301">
    <w:name w:val="Char Char41"/>
    <w:qFormat/>
    <w:uiPriority w:val="0"/>
    <w:rPr>
      <w:rFonts w:eastAsia="宋体"/>
      <w:b/>
      <w:sz w:val="24"/>
      <w:lang w:val="en-GB" w:eastAsia="zh-CN" w:bidi="ar-SA"/>
    </w:rPr>
  </w:style>
  <w:style w:type="character" w:customStyle="1" w:styleId="302">
    <w:name w:val="pt141"/>
    <w:qFormat/>
    <w:uiPriority w:val="0"/>
    <w:rPr>
      <w:color w:val="330066"/>
      <w:sz w:val="22"/>
      <w:szCs w:val="22"/>
    </w:rPr>
  </w:style>
  <w:style w:type="character" w:customStyle="1" w:styleId="303">
    <w:name w:val="表名 Char"/>
    <w:qFormat/>
    <w:uiPriority w:val="0"/>
    <w:rPr>
      <w:rFonts w:eastAsia="宋体"/>
      <w:b/>
      <w:bCs/>
      <w:kern w:val="2"/>
      <w:sz w:val="24"/>
      <w:szCs w:val="24"/>
      <w:lang w:val="en-US" w:eastAsia="zh-CN" w:bidi="ar-SA"/>
    </w:rPr>
  </w:style>
  <w:style w:type="character" w:customStyle="1" w:styleId="304">
    <w:name w:val="Heading 1 Char"/>
    <w:qFormat/>
    <w:uiPriority w:val="6"/>
    <w:rPr>
      <w:rFonts w:ascii="Times New Roman" w:hAnsi="Times New Roman" w:eastAsia="黑体" w:cs="Times New Roman"/>
      <w:b/>
      <w:kern w:val="0"/>
      <w:sz w:val="24"/>
      <w:szCs w:val="24"/>
    </w:rPr>
  </w:style>
  <w:style w:type="character" w:customStyle="1" w:styleId="305">
    <w:name w:val="Char Char311"/>
    <w:qFormat/>
    <w:uiPriority w:val="0"/>
    <w:rPr>
      <w:rFonts w:eastAsia="宋体"/>
      <w:kern w:val="2"/>
      <w:sz w:val="21"/>
      <w:szCs w:val="24"/>
      <w:lang w:val="en-US" w:eastAsia="zh-CN" w:bidi="ar-SA"/>
    </w:rPr>
  </w:style>
  <w:style w:type="character" w:customStyle="1" w:styleId="306">
    <w:name w:val="公文正文 Char Char"/>
    <w:link w:val="307"/>
    <w:qFormat/>
    <w:uiPriority w:val="0"/>
    <w:rPr>
      <w:rFonts w:ascii="仿宋_GB2312" w:eastAsia="仿宋_GB2312"/>
      <w:kern w:val="2"/>
      <w:sz w:val="24"/>
      <w:szCs w:val="24"/>
    </w:rPr>
  </w:style>
  <w:style w:type="paragraph" w:customStyle="1" w:styleId="307">
    <w:name w:val="公文正文"/>
    <w:basedOn w:val="1"/>
    <w:link w:val="306"/>
    <w:qFormat/>
    <w:uiPriority w:val="0"/>
    <w:pPr>
      <w:adjustRightInd/>
      <w:spacing w:before="156" w:line="360" w:lineRule="auto"/>
      <w:ind w:firstLine="360" w:firstLineChars="200"/>
    </w:pPr>
    <w:rPr>
      <w:rFonts w:ascii="仿宋_GB2312" w:eastAsia="仿宋_GB2312"/>
      <w:sz w:val="24"/>
    </w:rPr>
  </w:style>
  <w:style w:type="character" w:customStyle="1" w:styleId="308">
    <w:name w:val="Table Text Char1"/>
    <w:qFormat/>
    <w:uiPriority w:val="0"/>
    <w:rPr>
      <w:rFonts w:eastAsia="宋体"/>
      <w:sz w:val="24"/>
      <w:szCs w:val="24"/>
      <w:lang w:val="en-US" w:eastAsia="zh-CN" w:bidi="ar-SA"/>
    </w:rPr>
  </w:style>
  <w:style w:type="character" w:customStyle="1" w:styleId="309">
    <w:name w:val="文档结构图 Char"/>
    <w:qFormat/>
    <w:uiPriority w:val="0"/>
    <w:rPr>
      <w:rFonts w:eastAsia="宋体"/>
      <w:kern w:val="2"/>
      <w:sz w:val="21"/>
      <w:szCs w:val="24"/>
      <w:lang w:val="en-US" w:eastAsia="zh-CN" w:bidi="ar-SA"/>
    </w:rPr>
  </w:style>
  <w:style w:type="character" w:customStyle="1" w:styleId="310">
    <w:name w:val="ca-131"/>
    <w:qFormat/>
    <w:uiPriority w:val="0"/>
    <w:rPr>
      <w:rFonts w:hint="eastAsia" w:ascii="仿宋_GB2312" w:eastAsia="仿宋_GB2312"/>
      <w:b/>
      <w:bCs/>
      <w:color w:val="000000"/>
      <w:spacing w:val="-20"/>
      <w:sz w:val="24"/>
      <w:szCs w:val="24"/>
    </w:rPr>
  </w:style>
  <w:style w:type="character" w:customStyle="1" w:styleId="311">
    <w:name w:val="Ò³Ã¼ Char Char"/>
    <w:qFormat/>
    <w:uiPriority w:val="0"/>
    <w:rPr>
      <w:rFonts w:eastAsia="宋体"/>
      <w:kern w:val="2"/>
      <w:sz w:val="18"/>
      <w:lang w:val="en-US" w:eastAsia="zh-CN" w:bidi="ar-SA"/>
    </w:rPr>
  </w:style>
  <w:style w:type="character" w:customStyle="1" w:styleId="312">
    <w:name w:val="Char Char33"/>
    <w:qFormat/>
    <w:uiPriority w:val="6"/>
    <w:rPr>
      <w:rFonts w:ascii="Arial" w:hAnsi="Arial" w:eastAsia="黑体"/>
      <w:b/>
      <w:kern w:val="1"/>
      <w:sz w:val="24"/>
      <w:szCs w:val="24"/>
    </w:rPr>
  </w:style>
  <w:style w:type="character" w:customStyle="1" w:styleId="313">
    <w:name w:val="message1"/>
    <w:qFormat/>
    <w:uiPriority w:val="0"/>
    <w:rPr>
      <w:rFonts w:hint="default" w:ascii="Tahoma" w:hAnsi="Tahoma" w:cs="Tahoma"/>
      <w:sz w:val="18"/>
      <w:szCs w:val="18"/>
    </w:rPr>
  </w:style>
  <w:style w:type="character" w:customStyle="1" w:styleId="314">
    <w:name w:val="gf正文1 Char"/>
    <w:qFormat/>
    <w:uiPriority w:val="0"/>
    <w:rPr>
      <w:rFonts w:ascii="宋体" w:hAnsi="宋体" w:eastAsia="宋体" w:cs="宋体"/>
      <w:kern w:val="2"/>
      <w:sz w:val="24"/>
      <w:szCs w:val="24"/>
      <w:lang w:val="en-US" w:eastAsia="zh-CN" w:bidi="ar-SA"/>
    </w:rPr>
  </w:style>
  <w:style w:type="character" w:customStyle="1" w:styleId="315">
    <w:name w:val="font21"/>
    <w:basedOn w:val="62"/>
    <w:qFormat/>
    <w:uiPriority w:val="0"/>
    <w:rPr>
      <w:rFonts w:hint="eastAsia" w:ascii="宋体" w:hAnsi="宋体" w:eastAsia="宋体"/>
      <w:kern w:val="2"/>
      <w:sz w:val="28"/>
      <w:szCs w:val="28"/>
      <w:lang w:val="en-US" w:eastAsia="zh-CN" w:bidi="ar-SA"/>
    </w:rPr>
  </w:style>
  <w:style w:type="character" w:customStyle="1" w:styleId="316">
    <w:name w:val="页脚 字符"/>
    <w:qFormat/>
    <w:uiPriority w:val="99"/>
    <w:rPr>
      <w:kern w:val="2"/>
      <w:sz w:val="18"/>
      <w:szCs w:val="18"/>
    </w:rPr>
  </w:style>
  <w:style w:type="character" w:customStyle="1" w:styleId="317">
    <w:name w:val="正文文本缩进 3 Char1"/>
    <w:semiHidden/>
    <w:qFormat/>
    <w:uiPriority w:val="99"/>
    <w:rPr>
      <w:rFonts w:ascii="Times New Roman" w:hAnsi="Times New Roman" w:eastAsia="宋体" w:cs="Times New Roman"/>
      <w:sz w:val="16"/>
      <w:szCs w:val="16"/>
    </w:rPr>
  </w:style>
  <w:style w:type="character" w:customStyle="1" w:styleId="318">
    <w:name w:val="样式 样式 标题 4h4H4Fab-4T5Ref Heading 1rh1Heading sqlsect 1.2.3.... +... Char"/>
    <w:link w:val="319"/>
    <w:qFormat/>
    <w:uiPriority w:val="0"/>
    <w:rPr>
      <w:rFonts w:ascii="微软雅黑" w:hAnsi="微软雅黑" w:eastAsia="微软雅黑"/>
      <w:b/>
      <w:bCs/>
      <w:kern w:val="2"/>
      <w:sz w:val="24"/>
      <w:szCs w:val="28"/>
    </w:rPr>
  </w:style>
  <w:style w:type="paragraph" w:customStyle="1" w:styleId="319">
    <w:name w:val="样式 样式 标题 4h4H4Fab-4T5Ref Heading 1rh1Heading sqlsect 1.2.3.... +..."/>
    <w:basedOn w:val="320"/>
    <w:link w:val="318"/>
    <w:qFormat/>
    <w:uiPriority w:val="0"/>
    <w:pPr>
      <w:tabs>
        <w:tab w:val="left" w:pos="2356"/>
      </w:tabs>
    </w:pPr>
  </w:style>
  <w:style w:type="paragraph" w:customStyle="1" w:styleId="320">
    <w:name w:val="样式 标题 4h4H4Fab-4T5Ref Heading 1rh1Heading sqlsect 1.2.3...."/>
    <w:basedOn w:val="8"/>
    <w:link w:val="3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1">
    <w:name w:val="样式 标题 4h4H4Fab-4T5Ref Heading 1rh1Heading sqlsect 1.2.3.... Char"/>
    <w:link w:val="320"/>
    <w:qFormat/>
    <w:uiPriority w:val="0"/>
    <w:rPr>
      <w:rFonts w:ascii="微软雅黑" w:hAnsi="微软雅黑" w:eastAsia="微软雅黑"/>
      <w:b/>
      <w:bCs/>
      <w:kern w:val="2"/>
      <w:sz w:val="24"/>
      <w:szCs w:val="28"/>
    </w:rPr>
  </w:style>
  <w:style w:type="character" w:customStyle="1" w:styleId="322">
    <w:name w:val="交叉引用"/>
    <w:qFormat/>
    <w:uiPriority w:val="1"/>
    <w:rPr>
      <w:rFonts w:ascii="Arial" w:hAnsi="Arial" w:eastAsia="黑体"/>
      <w:snapToGrid w:val="0"/>
      <w:color w:val="0000FF"/>
      <w:kern w:val="0"/>
      <w:sz w:val="20"/>
      <w:szCs w:val="21"/>
      <w:u w:val="single"/>
      <w:lang w:val="en-US" w:eastAsia="zh-CN"/>
    </w:rPr>
  </w:style>
  <w:style w:type="character" w:customStyle="1" w:styleId="323">
    <w:name w:val="h Char1"/>
    <w:qFormat/>
    <w:uiPriority w:val="0"/>
    <w:rPr>
      <w:sz w:val="18"/>
      <w:szCs w:val="18"/>
    </w:rPr>
  </w:style>
  <w:style w:type="character" w:customStyle="1" w:styleId="324">
    <w:name w:val="gray6"/>
    <w:qFormat/>
    <w:uiPriority w:val="0"/>
    <w:rPr>
      <w:rFonts w:ascii="Arial" w:hAnsi="Arial" w:eastAsia="黑体" w:cs="Arial"/>
      <w:snapToGrid w:val="0"/>
      <w:kern w:val="0"/>
      <w:szCs w:val="21"/>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Char Char27"/>
    <w:qFormat/>
    <w:uiPriority w:val="6"/>
    <w:rPr>
      <w:rFonts w:ascii="宋体" w:hAnsi="宋体" w:eastAsia="宋体"/>
      <w:color w:val="000000"/>
      <w:kern w:val="1"/>
      <w:sz w:val="28"/>
      <w:lang w:val="en-US" w:eastAsia="zh-CN" w:bidi="ar-SA"/>
    </w:rPr>
  </w:style>
  <w:style w:type="character" w:customStyle="1" w:styleId="327">
    <w:name w:val="gf正文1 Char Char"/>
    <w:link w:val="328"/>
    <w:qFormat/>
    <w:uiPriority w:val="0"/>
    <w:rPr>
      <w:rFonts w:ascii="宋体" w:hAnsi="宋体" w:cs="宋体"/>
      <w:kern w:val="2"/>
      <w:sz w:val="24"/>
      <w:szCs w:val="24"/>
    </w:rPr>
  </w:style>
  <w:style w:type="paragraph" w:customStyle="1" w:styleId="328">
    <w:name w:val="gf正文1"/>
    <w:basedOn w:val="1"/>
    <w:link w:val="32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329">
    <w:name w:val="Char Char30"/>
    <w:qFormat/>
    <w:uiPriority w:val="6"/>
    <w:rPr>
      <w:rFonts w:ascii="Arial" w:hAnsi="Arial" w:eastAsia="黑体"/>
      <w:kern w:val="1"/>
      <w:sz w:val="21"/>
      <w:szCs w:val="21"/>
    </w:rPr>
  </w:style>
  <w:style w:type="character" w:customStyle="1" w:styleId="330">
    <w:name w:val="段落 Char Char"/>
    <w:link w:val="331"/>
    <w:qFormat/>
    <w:uiPriority w:val="0"/>
    <w:rPr>
      <w:rFonts w:ascii="宋体" w:hAnsi="宋体"/>
      <w:sz w:val="24"/>
    </w:rPr>
  </w:style>
  <w:style w:type="paragraph" w:customStyle="1" w:styleId="331">
    <w:name w:val="段落"/>
    <w:basedOn w:val="1"/>
    <w:link w:val="330"/>
    <w:qFormat/>
    <w:uiPriority w:val="0"/>
    <w:pPr>
      <w:adjustRightInd/>
      <w:spacing w:line="360" w:lineRule="auto"/>
      <w:ind w:firstLine="480" w:firstLineChars="200"/>
    </w:pPr>
    <w:rPr>
      <w:rFonts w:ascii="宋体" w:hAnsi="宋体"/>
      <w:kern w:val="0"/>
      <w:sz w:val="24"/>
      <w:szCs w:val="20"/>
    </w:rPr>
  </w:style>
  <w:style w:type="character" w:customStyle="1" w:styleId="332">
    <w:name w:val="Char Char31"/>
    <w:qFormat/>
    <w:uiPriority w:val="6"/>
    <w:rPr>
      <w:rFonts w:ascii="Arial" w:hAnsi="Arial" w:eastAsia="黑体"/>
      <w:kern w:val="1"/>
      <w:sz w:val="24"/>
      <w:szCs w:val="24"/>
    </w:rPr>
  </w:style>
  <w:style w:type="character" w:customStyle="1" w:styleId="333">
    <w:name w:val="Balloon Text Char"/>
    <w:qFormat/>
    <w:locked/>
    <w:uiPriority w:val="0"/>
    <w:rPr>
      <w:rFonts w:eastAsia="宋体"/>
      <w:kern w:val="2"/>
      <w:sz w:val="18"/>
      <w:szCs w:val="18"/>
      <w:lang w:val="en-US" w:eastAsia="zh-CN" w:bidi="ar-SA"/>
    </w:rPr>
  </w:style>
  <w:style w:type="character" w:customStyle="1" w:styleId="334">
    <w:name w:val="页脚 字符1"/>
    <w:qFormat/>
    <w:locked/>
    <w:uiPriority w:val="99"/>
    <w:rPr>
      <w:kern w:val="2"/>
      <w:sz w:val="18"/>
      <w:szCs w:val="18"/>
    </w:rPr>
  </w:style>
  <w:style w:type="character" w:customStyle="1" w:styleId="335">
    <w:name w:val="页眉 字符1"/>
    <w:qFormat/>
    <w:uiPriority w:val="99"/>
    <w:rPr>
      <w:kern w:val="2"/>
      <w:sz w:val="18"/>
      <w:szCs w:val="18"/>
    </w:rPr>
  </w:style>
  <w:style w:type="character" w:customStyle="1" w:styleId="336">
    <w:name w:val="正文段 Char"/>
    <w:link w:val="337"/>
    <w:qFormat/>
    <w:uiPriority w:val="0"/>
    <w:rPr>
      <w:sz w:val="24"/>
    </w:rPr>
  </w:style>
  <w:style w:type="paragraph" w:customStyle="1" w:styleId="337">
    <w:name w:val="正文段"/>
    <w:basedOn w:val="1"/>
    <w:link w:val="336"/>
    <w:qFormat/>
    <w:uiPriority w:val="0"/>
    <w:pPr>
      <w:widowControl/>
      <w:snapToGrid w:val="0"/>
      <w:spacing w:afterLines="50"/>
      <w:ind w:firstLine="200" w:firstLineChars="200"/>
    </w:pPr>
    <w:rPr>
      <w:kern w:val="0"/>
      <w:sz w:val="24"/>
      <w:szCs w:val="20"/>
    </w:rPr>
  </w:style>
  <w:style w:type="character" w:customStyle="1" w:styleId="338">
    <w:name w:val="二级标题 Char Char"/>
    <w:qFormat/>
    <w:uiPriority w:val="0"/>
    <w:rPr>
      <w:rFonts w:ascii="宋体" w:hAnsi="宋体" w:eastAsia="宋体"/>
      <w:b/>
      <w:snapToGrid w:val="0"/>
      <w:kern w:val="2"/>
      <w:sz w:val="24"/>
      <w:szCs w:val="24"/>
      <w:lang w:val="en-US" w:eastAsia="zh-CN" w:bidi="ar-SA"/>
    </w:rPr>
  </w:style>
  <w:style w:type="character" w:customStyle="1" w:styleId="339">
    <w:name w:val="edui-clickable2"/>
    <w:qFormat/>
    <w:uiPriority w:val="0"/>
    <w:rPr>
      <w:color w:val="0000FF"/>
      <w:u w:val="single"/>
    </w:rPr>
  </w:style>
  <w:style w:type="character" w:customStyle="1" w:styleId="340">
    <w:name w:val="Char Char2"/>
    <w:qFormat/>
    <w:uiPriority w:val="0"/>
    <w:rPr>
      <w:rFonts w:eastAsia="宋体"/>
      <w:b/>
      <w:bCs/>
      <w:kern w:val="2"/>
      <w:sz w:val="21"/>
      <w:szCs w:val="24"/>
      <w:lang w:val="en-US" w:eastAsia="zh-CN" w:bidi="ar-SA"/>
    </w:rPr>
  </w:style>
  <w:style w:type="character" w:customStyle="1" w:styleId="341">
    <w:name w:val="style91"/>
    <w:qFormat/>
    <w:uiPriority w:val="0"/>
    <w:rPr>
      <w:color w:val="333333"/>
    </w:rPr>
  </w:style>
  <w:style w:type="character" w:customStyle="1" w:styleId="342">
    <w:name w:val="txt"/>
    <w:qFormat/>
    <w:uiPriority w:val="0"/>
    <w:rPr>
      <w:rFonts w:ascii="仿宋_GB2312" w:eastAsia="微软雅黑"/>
      <w:b/>
      <w:kern w:val="2"/>
      <w:sz w:val="32"/>
      <w:szCs w:val="32"/>
      <w:lang w:val="en-US" w:eastAsia="zh-CN" w:bidi="ar-SA"/>
    </w:rPr>
  </w:style>
  <w:style w:type="character" w:customStyle="1" w:styleId="343">
    <w:name w:val="图名 Char"/>
    <w:qFormat/>
    <w:uiPriority w:val="0"/>
    <w:rPr>
      <w:rFonts w:ascii="Arial" w:hAnsi="Arial" w:eastAsia="黑体"/>
      <w:kern w:val="2"/>
      <w:sz w:val="24"/>
      <w:szCs w:val="24"/>
      <w:lang w:val="en-US" w:eastAsia="zh-CN" w:bidi="ar-SA"/>
    </w:rPr>
  </w:style>
  <w:style w:type="character" w:customStyle="1" w:styleId="344">
    <w:name w:val="Char Char32"/>
    <w:qFormat/>
    <w:uiPriority w:val="6"/>
    <w:rPr>
      <w:b/>
      <w:kern w:val="1"/>
      <w:sz w:val="24"/>
      <w:szCs w:val="24"/>
    </w:rPr>
  </w:style>
  <w:style w:type="character" w:customStyle="1" w:styleId="345">
    <w:name w:val="样式2 Char"/>
    <w:qFormat/>
    <w:uiPriority w:val="0"/>
    <w:rPr>
      <w:rFonts w:ascii="仿宋_GB2312" w:hAnsi="仿宋" w:eastAsia="仿宋_GB2312" w:cs="仿宋_GB2312"/>
      <w:b/>
      <w:bCs/>
      <w:sz w:val="32"/>
      <w:szCs w:val="30"/>
      <w:lang w:val="zh-CN"/>
    </w:rPr>
  </w:style>
  <w:style w:type="character" w:customStyle="1" w:styleId="346">
    <w:name w:val="3级 Char"/>
    <w:link w:val="347"/>
    <w:qFormat/>
    <w:uiPriority w:val="0"/>
    <w:rPr>
      <w:rFonts w:ascii="宋体" w:hAnsi="宋体"/>
      <w:b/>
      <w:bCs/>
      <w:snapToGrid/>
      <w:sz w:val="28"/>
    </w:rPr>
  </w:style>
  <w:style w:type="paragraph" w:customStyle="1" w:styleId="347">
    <w:name w:val="3级"/>
    <w:basedOn w:val="348"/>
    <w:link w:val="346"/>
    <w:qFormat/>
    <w:uiPriority w:val="0"/>
    <w:pPr>
      <w:ind w:left="0" w:right="466" w:firstLine="288"/>
    </w:pPr>
    <w:rPr>
      <w:rFonts w:hAnsi="宋体"/>
      <w:snapToGrid/>
    </w:rPr>
  </w:style>
  <w:style w:type="paragraph" w:customStyle="1" w:styleId="348">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49">
    <w:name w:val="Char Char51"/>
    <w:qFormat/>
    <w:uiPriority w:val="0"/>
    <w:rPr>
      <w:rFonts w:ascii="宋体" w:hAnsi="Courier New" w:eastAsia="宋体"/>
      <w:kern w:val="2"/>
      <w:sz w:val="21"/>
      <w:lang w:val="en-US" w:eastAsia="zh-CN"/>
    </w:rPr>
  </w:style>
  <w:style w:type="character" w:customStyle="1" w:styleId="350">
    <w:name w:val="large1"/>
    <w:qFormat/>
    <w:uiPriority w:val="0"/>
    <w:rPr>
      <w:rFonts w:hint="eastAsia" w:ascii="宋体" w:hAnsi="宋体" w:eastAsia="宋体"/>
      <w:sz w:val="21"/>
      <w:szCs w:val="21"/>
    </w:rPr>
  </w:style>
  <w:style w:type="character" w:customStyle="1" w:styleId="351">
    <w:name w:val="apple-style-span"/>
    <w:qFormat/>
    <w:uiPriority w:val="0"/>
    <w:rPr>
      <w:rFonts w:ascii="Arial" w:hAnsi="Arial" w:eastAsia="黑体" w:cs="Arial"/>
      <w:snapToGrid w:val="0"/>
      <w:kern w:val="0"/>
      <w:szCs w:val="21"/>
    </w:rPr>
  </w:style>
  <w:style w:type="character" w:customStyle="1" w:styleId="352">
    <w:name w:val="标书1 Char"/>
    <w:qFormat/>
    <w:uiPriority w:val="0"/>
    <w:rPr>
      <w:rFonts w:eastAsia="宋体"/>
      <w:b/>
      <w:bCs/>
      <w:kern w:val="44"/>
      <w:sz w:val="44"/>
      <w:szCs w:val="44"/>
      <w:lang w:val="en-US" w:eastAsia="zh-CN" w:bidi="ar-SA"/>
    </w:rPr>
  </w:style>
  <w:style w:type="character" w:customStyle="1" w:styleId="353">
    <w:name w:val="标书1 Char1"/>
    <w:qFormat/>
    <w:uiPriority w:val="0"/>
    <w:rPr>
      <w:rFonts w:eastAsia="宋体"/>
      <w:b/>
      <w:bCs/>
      <w:kern w:val="44"/>
      <w:sz w:val="44"/>
      <w:szCs w:val="44"/>
      <w:lang w:val="en-US" w:eastAsia="zh-CN" w:bidi="ar-SA"/>
    </w:rPr>
  </w:style>
  <w:style w:type="character" w:customStyle="1" w:styleId="354">
    <w:name w:val="称呼 Char1"/>
    <w:qFormat/>
    <w:uiPriority w:val="0"/>
    <w:rPr>
      <w:rFonts w:ascii="Times New Roman" w:hAnsi="Times New Roman" w:eastAsia="宋体" w:cs="Times New Roman"/>
      <w:szCs w:val="24"/>
    </w:rPr>
  </w:style>
  <w:style w:type="character" w:customStyle="1" w:styleId="355">
    <w:name w:val="Char Char20"/>
    <w:qFormat/>
    <w:uiPriority w:val="6"/>
    <w:rPr>
      <w:kern w:val="1"/>
      <w:sz w:val="24"/>
    </w:rPr>
  </w:style>
  <w:style w:type="character" w:customStyle="1" w:styleId="356">
    <w:name w:val="正文文本 Char2"/>
    <w:semiHidden/>
    <w:qFormat/>
    <w:uiPriority w:val="99"/>
    <w:rPr>
      <w:rFonts w:ascii="Times New Roman" w:hAnsi="Times New Roman" w:eastAsia="宋体" w:cs="Times New Roman"/>
      <w:snapToGrid w:val="0"/>
      <w:kern w:val="0"/>
      <w:szCs w:val="24"/>
    </w:rPr>
  </w:style>
  <w:style w:type="character" w:customStyle="1" w:styleId="357">
    <w:name w:val="tw4winJump"/>
    <w:qFormat/>
    <w:uiPriority w:val="0"/>
    <w:rPr>
      <w:rFonts w:ascii="Courier New" w:hAnsi="Courier New" w:cs="Courier New"/>
      <w:color w:val="008080"/>
      <w:lang w:val="en-US" w:eastAsia="zh-CN"/>
    </w:rPr>
  </w:style>
  <w:style w:type="character" w:customStyle="1" w:styleId="358">
    <w:name w:val="Char Char52"/>
    <w:qFormat/>
    <w:uiPriority w:val="0"/>
    <w:rPr>
      <w:rFonts w:ascii="宋体" w:hAnsi="Courier New" w:eastAsia="宋体"/>
      <w:kern w:val="2"/>
      <w:sz w:val="21"/>
      <w:lang w:val="en-US" w:eastAsia="zh-CN"/>
    </w:rPr>
  </w:style>
  <w:style w:type="character" w:customStyle="1" w:styleId="359">
    <w:name w:val="样式5 Char"/>
    <w:qFormat/>
    <w:uiPriority w:val="0"/>
    <w:rPr>
      <w:rFonts w:ascii="仿宋_GB2312" w:hAnsi="仿宋" w:eastAsia="仿宋_GB2312"/>
      <w:kern w:val="2"/>
      <w:sz w:val="24"/>
      <w:szCs w:val="24"/>
    </w:rPr>
  </w:style>
  <w:style w:type="character" w:customStyle="1" w:styleId="360">
    <w:name w:val="PI Char1"/>
    <w:qFormat/>
    <w:uiPriority w:val="0"/>
    <w:rPr>
      <w:rFonts w:ascii="宋体" w:hAnsi="宋体"/>
      <w:kern w:val="2"/>
      <w:sz w:val="24"/>
      <w:szCs w:val="24"/>
    </w:rPr>
  </w:style>
  <w:style w:type="character" w:customStyle="1" w:styleId="361">
    <w:name w:val="Char Char312"/>
    <w:qFormat/>
    <w:uiPriority w:val="0"/>
    <w:rPr>
      <w:rFonts w:ascii="Times New Roman" w:hAnsi="Times New Roman" w:eastAsia="宋体" w:cs="Times New Roman"/>
      <w:b/>
      <w:kern w:val="2"/>
      <w:sz w:val="32"/>
      <w:szCs w:val="24"/>
      <w:lang w:val="en-US" w:eastAsia="zh-CN" w:bidi="ar-SA"/>
    </w:rPr>
  </w:style>
  <w:style w:type="character" w:customStyle="1" w:styleId="362">
    <w:name w:val="正文缩进 Char"/>
    <w:qFormat/>
    <w:uiPriority w:val="0"/>
    <w:rPr>
      <w:rFonts w:eastAsia="宋体"/>
      <w:kern w:val="2"/>
      <w:sz w:val="21"/>
      <w:lang w:val="en-US" w:eastAsia="zh-CN"/>
    </w:rPr>
  </w:style>
  <w:style w:type="character" w:customStyle="1" w:styleId="363">
    <w:name w:val="Char Char26"/>
    <w:qFormat/>
    <w:uiPriority w:val="6"/>
    <w:rPr>
      <w:kern w:val="1"/>
      <w:sz w:val="21"/>
      <w:szCs w:val="24"/>
    </w:rPr>
  </w:style>
  <w:style w:type="character" w:customStyle="1" w:styleId="364">
    <w:name w:val="正文首行缩进 Char Char Char Char Char"/>
    <w:qFormat/>
    <w:uiPriority w:val="0"/>
    <w:rPr>
      <w:rFonts w:ascii="宋体"/>
      <w:kern w:val="2"/>
      <w:sz w:val="24"/>
      <w:lang w:val="zh-CN"/>
    </w:rPr>
  </w:style>
  <w:style w:type="character" w:customStyle="1" w:styleId="365">
    <w:name w:val="正文2 Char Char"/>
    <w:link w:val="366"/>
    <w:qFormat/>
    <w:uiPriority w:val="0"/>
    <w:rPr>
      <w:rFonts w:eastAsia="宋体"/>
      <w:kern w:val="2"/>
      <w:sz w:val="24"/>
      <w:lang w:val="en-US" w:eastAsia="zh-CN" w:bidi="ar-SA"/>
    </w:rPr>
  </w:style>
  <w:style w:type="paragraph" w:customStyle="1" w:styleId="366">
    <w:name w:val="正文2"/>
    <w:basedOn w:val="1"/>
    <w:link w:val="365"/>
    <w:qFormat/>
    <w:uiPriority w:val="0"/>
    <w:pPr>
      <w:spacing w:before="156" w:line="360" w:lineRule="auto"/>
      <w:ind w:firstLine="510" w:firstLineChars="200"/>
    </w:pPr>
    <w:rPr>
      <w:sz w:val="24"/>
      <w:szCs w:val="20"/>
    </w:rPr>
  </w:style>
  <w:style w:type="character" w:customStyle="1" w:styleId="367">
    <w:name w:val="font61"/>
    <w:qFormat/>
    <w:uiPriority w:val="0"/>
    <w:rPr>
      <w:rFonts w:hint="eastAsia" w:ascii="仿宋" w:hAnsi="仿宋" w:eastAsia="仿宋" w:cs="仿宋"/>
      <w:color w:val="000000"/>
      <w:sz w:val="20"/>
      <w:szCs w:val="20"/>
      <w:u w:val="none"/>
    </w:rPr>
  </w:style>
  <w:style w:type="character" w:customStyle="1" w:styleId="368">
    <w:name w:val="正文缩进 字符1"/>
    <w:qFormat/>
    <w:uiPriority w:val="0"/>
    <w:rPr>
      <w:rFonts w:ascii="宋体" w:eastAsia="宋体"/>
      <w:snapToGrid w:val="0"/>
      <w:color w:val="000000"/>
      <w:kern w:val="28"/>
      <w:sz w:val="28"/>
      <w:lang w:val="en-US" w:eastAsia="zh-CN" w:bidi="ar-SA"/>
    </w:rPr>
  </w:style>
  <w:style w:type="character" w:customStyle="1" w:styleId="369">
    <w:name w:val="Footer Char"/>
    <w:qFormat/>
    <w:locked/>
    <w:uiPriority w:val="0"/>
    <w:rPr>
      <w:rFonts w:eastAsia="宋体"/>
      <w:kern w:val="2"/>
      <w:sz w:val="18"/>
      <w:lang w:val="en-US" w:eastAsia="zh-CN" w:bidi="ar-SA"/>
    </w:rPr>
  </w:style>
  <w:style w:type="character" w:customStyle="1" w:styleId="37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371">
    <w:name w:val="Used by Word for text of Help footnotes Char Char"/>
    <w:qFormat/>
    <w:uiPriority w:val="0"/>
    <w:rPr>
      <w:rFonts w:ascii="Times New Roman" w:hAnsi="Times New Roman" w:eastAsia="宋体" w:cs="Times New Roman"/>
      <w:sz w:val="20"/>
      <w:szCs w:val="20"/>
    </w:rPr>
  </w:style>
  <w:style w:type="character" w:customStyle="1" w:styleId="372">
    <w:name w:val="副标题 Char1"/>
    <w:qFormat/>
    <w:uiPriority w:val="0"/>
    <w:rPr>
      <w:rFonts w:ascii="Cambria" w:hAnsi="Cambria" w:eastAsia="宋体" w:cs="Times New Roman"/>
      <w:b/>
      <w:bCs/>
      <w:snapToGrid w:val="0"/>
      <w:kern w:val="28"/>
      <w:sz w:val="32"/>
      <w:szCs w:val="32"/>
    </w:rPr>
  </w:style>
  <w:style w:type="character" w:customStyle="1" w:styleId="373">
    <w:name w:val="Char Char17"/>
    <w:qFormat/>
    <w:uiPriority w:val="6"/>
    <w:rPr>
      <w:rFonts w:eastAsia="仿宋_GB2312"/>
      <w:sz w:val="24"/>
    </w:rPr>
  </w:style>
  <w:style w:type="character" w:customStyle="1" w:styleId="374">
    <w:name w:val="普通文字 Char1 Char"/>
    <w:qFormat/>
    <w:uiPriority w:val="0"/>
    <w:rPr>
      <w:rFonts w:ascii="宋体" w:hAnsi="Courier New" w:eastAsia="宋体"/>
      <w:kern w:val="2"/>
      <w:sz w:val="21"/>
      <w:szCs w:val="24"/>
      <w:lang w:val="en-US" w:eastAsia="zh-CN" w:bidi="ar-SA"/>
    </w:rPr>
  </w:style>
  <w:style w:type="character" w:customStyle="1" w:styleId="375">
    <w:name w:val="正文文本缩进 Char2"/>
    <w:qFormat/>
    <w:uiPriority w:val="0"/>
    <w:rPr>
      <w:rFonts w:ascii="Times New Roman" w:hAnsi="Times New Roman" w:eastAsia="宋体" w:cs="Times New Roman"/>
      <w:snapToGrid w:val="0"/>
      <w:kern w:val="0"/>
      <w:szCs w:val="24"/>
    </w:rPr>
  </w:style>
  <w:style w:type="character" w:customStyle="1" w:styleId="376">
    <w:name w:val="Char Char213"/>
    <w:qFormat/>
    <w:uiPriority w:val="0"/>
    <w:rPr>
      <w:rFonts w:eastAsia="Century Gothic"/>
      <w:b/>
      <w:bCs/>
      <w:kern w:val="44"/>
      <w:sz w:val="32"/>
      <w:szCs w:val="44"/>
      <w:lang w:val="en-US" w:eastAsia="zh-CN" w:bidi="ar-SA"/>
    </w:rPr>
  </w:style>
  <w:style w:type="character" w:customStyle="1" w:styleId="37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378">
    <w:name w:val="Char Char18"/>
    <w:qFormat/>
    <w:uiPriority w:val="6"/>
    <w:rPr>
      <w:rFonts w:ascii="宋体" w:hAnsi="宋体"/>
      <w:sz w:val="28"/>
    </w:rPr>
  </w:style>
  <w:style w:type="character" w:customStyle="1" w:styleId="379">
    <w:name w:val="标题 1 Char Char"/>
    <w:qFormat/>
    <w:uiPriority w:val="0"/>
    <w:rPr>
      <w:rFonts w:hint="eastAsia" w:ascii="宋体" w:hAnsi="宋体" w:eastAsia="宋体"/>
      <w:b/>
      <w:spacing w:val="-2"/>
      <w:sz w:val="24"/>
      <w:lang w:val="en-US" w:eastAsia="zh-CN" w:bidi="ar-SA"/>
    </w:rPr>
  </w:style>
  <w:style w:type="character" w:customStyle="1" w:styleId="380">
    <w:name w:val="mdeck"/>
    <w:qFormat/>
    <w:uiPriority w:val="0"/>
    <w:rPr>
      <w:rFonts w:ascii="仿宋_GB2312" w:eastAsia="微软雅黑"/>
      <w:b/>
      <w:kern w:val="2"/>
      <w:sz w:val="32"/>
      <w:szCs w:val="32"/>
      <w:lang w:val="en-US" w:eastAsia="zh-CN" w:bidi="ar-SA"/>
    </w:rPr>
  </w:style>
  <w:style w:type="character" w:customStyle="1" w:styleId="381">
    <w:name w:val="普通文字 Char Char1"/>
    <w:qFormat/>
    <w:uiPriority w:val="0"/>
    <w:rPr>
      <w:rFonts w:ascii="宋体" w:hAnsi="Courier New"/>
      <w:kern w:val="2"/>
      <w:sz w:val="21"/>
    </w:rPr>
  </w:style>
  <w:style w:type="character" w:customStyle="1" w:styleId="382">
    <w:name w:val="Char Char7"/>
    <w:semiHidden/>
    <w:qFormat/>
    <w:uiPriority w:val="0"/>
    <w:rPr>
      <w:rFonts w:eastAsia="宋体"/>
      <w:kern w:val="2"/>
      <w:sz w:val="21"/>
      <w:szCs w:val="24"/>
      <w:lang w:val="en-US" w:eastAsia="zh-CN" w:bidi="ar-SA"/>
    </w:rPr>
  </w:style>
  <w:style w:type="character" w:customStyle="1" w:styleId="383">
    <w:name w:val="unnamed11"/>
    <w:qFormat/>
    <w:uiPriority w:val="0"/>
    <w:rPr>
      <w:sz w:val="20"/>
      <w:szCs w:val="20"/>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h Char Char"/>
    <w:qFormat/>
    <w:uiPriority w:val="0"/>
    <w:rPr>
      <w:rFonts w:eastAsia="宋体"/>
      <w:kern w:val="2"/>
      <w:sz w:val="18"/>
      <w:lang w:val="en-US" w:eastAsia="zh-CN" w:bidi="ar-SA"/>
    </w:rPr>
  </w:style>
  <w:style w:type="character" w:customStyle="1" w:styleId="386">
    <w:name w:val="font11"/>
    <w:basedOn w:val="62"/>
    <w:qFormat/>
    <w:uiPriority w:val="0"/>
    <w:rPr>
      <w:rFonts w:hint="default" w:ascii="Times New Roman" w:hAnsi="Times New Roman" w:cs="Times New Roman"/>
      <w:color w:val="000000"/>
      <w:sz w:val="22"/>
      <w:szCs w:val="22"/>
      <w:u w:val="none"/>
    </w:rPr>
  </w:style>
  <w:style w:type="character" w:customStyle="1" w:styleId="387">
    <w:name w:val="样式3 Char"/>
    <w:qFormat/>
    <w:uiPriority w:val="0"/>
    <w:rPr>
      <w:rFonts w:ascii="仿宋_GB2312" w:hAnsi="仿宋" w:eastAsia="仿宋_GB2312" w:cs="仿宋_GB2312"/>
      <w:b/>
      <w:bCs/>
      <w:sz w:val="32"/>
      <w:szCs w:val="30"/>
      <w:lang w:val="zh-CN"/>
    </w:rPr>
  </w:style>
  <w:style w:type="character" w:customStyle="1" w:styleId="388">
    <w:name w:val="Char Char82"/>
    <w:qFormat/>
    <w:uiPriority w:val="0"/>
    <w:rPr>
      <w:rFonts w:eastAsia="宋体"/>
      <w:b/>
      <w:sz w:val="24"/>
      <w:lang w:val="en-GB" w:eastAsia="zh-CN"/>
    </w:rPr>
  </w:style>
  <w:style w:type="character" w:customStyle="1" w:styleId="389">
    <w:name w:val="编号，小四 Char"/>
    <w:link w:val="390"/>
    <w:qFormat/>
    <w:uiPriority w:val="0"/>
    <w:rPr>
      <w:rFonts w:ascii="Arial" w:hAnsi="Arial"/>
      <w:sz w:val="24"/>
    </w:rPr>
  </w:style>
  <w:style w:type="paragraph" w:customStyle="1" w:styleId="390">
    <w:name w:val="编号，小四"/>
    <w:basedOn w:val="1"/>
    <w:link w:val="389"/>
    <w:qFormat/>
    <w:uiPriority w:val="0"/>
    <w:pPr>
      <w:tabs>
        <w:tab w:val="left" w:pos="432"/>
      </w:tabs>
      <w:adjustRightInd/>
      <w:spacing w:line="360" w:lineRule="auto"/>
      <w:ind w:left="432" w:hanging="432"/>
    </w:pPr>
    <w:rPr>
      <w:rFonts w:ascii="Arial" w:hAnsi="Arial"/>
      <w:kern w:val="0"/>
      <w:sz w:val="24"/>
      <w:szCs w:val="20"/>
    </w:rPr>
  </w:style>
  <w:style w:type="character" w:customStyle="1" w:styleId="391">
    <w:name w:val="脚注文本 Char1"/>
    <w:qFormat/>
    <w:uiPriority w:val="0"/>
    <w:rPr>
      <w:rFonts w:ascii="Times New Roman" w:hAnsi="Times New Roman" w:eastAsia="宋体" w:cs="Times New Roman"/>
      <w:sz w:val="18"/>
      <w:szCs w:val="18"/>
    </w:rPr>
  </w:style>
  <w:style w:type="character" w:customStyle="1" w:styleId="392">
    <w:name w:val="Char Char6"/>
    <w:qFormat/>
    <w:uiPriority w:val="0"/>
    <w:rPr>
      <w:rFonts w:eastAsia="宋体"/>
      <w:kern w:val="2"/>
      <w:sz w:val="21"/>
      <w:szCs w:val="24"/>
      <w:lang w:val="en-US" w:eastAsia="zh-CN" w:bidi="ar-SA"/>
    </w:rPr>
  </w:style>
  <w:style w:type="character" w:customStyle="1" w:styleId="393">
    <w:name w:val="正文非缩进 Char"/>
    <w:qFormat/>
    <w:uiPriority w:val="0"/>
    <w:rPr>
      <w:rFonts w:ascii="宋体" w:eastAsia="宋体"/>
      <w:snapToGrid w:val="0"/>
      <w:color w:val="000000"/>
      <w:kern w:val="28"/>
      <w:sz w:val="28"/>
      <w:lang w:val="en-US" w:eastAsia="zh-CN" w:bidi="ar-SA"/>
    </w:rPr>
  </w:style>
  <w:style w:type="character" w:customStyle="1" w:styleId="394">
    <w:name w:val="font71"/>
    <w:qFormat/>
    <w:uiPriority w:val="0"/>
    <w:rPr>
      <w:rFonts w:hint="eastAsia" w:ascii="宋体" w:hAnsi="宋体" w:eastAsia="宋体" w:cs="宋体"/>
      <w:color w:val="000000"/>
      <w:sz w:val="22"/>
      <w:szCs w:val="22"/>
      <w:u w:val="none"/>
    </w:rPr>
  </w:style>
  <w:style w:type="character" w:customStyle="1" w:styleId="395">
    <w:name w:val="h3 Char1"/>
    <w:qFormat/>
    <w:uiPriority w:val="0"/>
    <w:rPr>
      <w:rFonts w:eastAsia="宋体"/>
      <w:b/>
      <w:bCs/>
      <w:kern w:val="2"/>
      <w:sz w:val="32"/>
      <w:szCs w:val="32"/>
      <w:lang w:bidi="ar-SA"/>
    </w:rPr>
  </w:style>
  <w:style w:type="character" w:customStyle="1" w:styleId="396">
    <w:name w:val="标题 4 Char1"/>
    <w:qFormat/>
    <w:uiPriority w:val="9"/>
    <w:rPr>
      <w:rFonts w:ascii="Cambria" w:hAnsi="Cambria" w:eastAsia="宋体" w:cs="Times New Roman"/>
      <w:b/>
      <w:bCs/>
      <w:kern w:val="2"/>
      <w:sz w:val="28"/>
      <w:szCs w:val="28"/>
    </w:rPr>
  </w:style>
  <w:style w:type="character" w:customStyle="1" w:styleId="397">
    <w:name w:val="unnamed31"/>
    <w:qFormat/>
    <w:uiPriority w:val="0"/>
    <w:rPr>
      <w:rFonts w:ascii="Tahoma" w:hAnsi="Tahoma" w:eastAsia="宋体"/>
      <w:b/>
      <w:kern w:val="2"/>
      <w:sz w:val="24"/>
      <w:szCs w:val="32"/>
      <w:u w:val="none"/>
      <w:lang w:val="en-US" w:eastAsia="zh-CN" w:bidi="ar-SA"/>
    </w:rPr>
  </w:style>
  <w:style w:type="character" w:customStyle="1" w:styleId="398">
    <w:name w:val="font41"/>
    <w:qFormat/>
    <w:uiPriority w:val="0"/>
    <w:rPr>
      <w:rFonts w:hint="eastAsia" w:ascii="仿宋_GB2312" w:eastAsia="仿宋_GB2312" w:cs="仿宋_GB2312"/>
      <w:color w:val="000000"/>
      <w:sz w:val="22"/>
      <w:szCs w:val="22"/>
      <w:u w:val="none"/>
    </w:rPr>
  </w:style>
  <w:style w:type="character" w:customStyle="1" w:styleId="399">
    <w:name w:val="H6 Char"/>
    <w:qFormat/>
    <w:uiPriority w:val="0"/>
    <w:rPr>
      <w:rFonts w:ascii="Arial" w:hAnsi="Arial" w:eastAsia="黑体"/>
      <w:b/>
      <w:bCs/>
      <w:kern w:val="2"/>
      <w:sz w:val="24"/>
      <w:szCs w:val="24"/>
    </w:rPr>
  </w:style>
  <w:style w:type="character" w:customStyle="1" w:styleId="400">
    <w:name w:val="日期 Char1"/>
    <w:semiHidden/>
    <w:qFormat/>
    <w:uiPriority w:val="99"/>
    <w:rPr>
      <w:rFonts w:ascii="Times New Roman" w:hAnsi="Times New Roman" w:eastAsia="宋体" w:cs="Times New Roman"/>
      <w:szCs w:val="24"/>
    </w:rPr>
  </w:style>
  <w:style w:type="character" w:customStyle="1" w:styleId="401">
    <w:name w:val="Char Char37"/>
    <w:qFormat/>
    <w:uiPriority w:val="6"/>
    <w:rPr>
      <w:b/>
      <w:kern w:val="1"/>
      <w:sz w:val="44"/>
      <w:szCs w:val="44"/>
    </w:rPr>
  </w:style>
  <w:style w:type="character" w:customStyle="1" w:styleId="402">
    <w:name w:val="表正文 Char3"/>
    <w:qFormat/>
    <w:uiPriority w:val="0"/>
    <w:rPr>
      <w:rFonts w:eastAsia="宋体"/>
    </w:rPr>
  </w:style>
  <w:style w:type="character" w:customStyle="1" w:styleId="403">
    <w:name w:val="标题 2 Char Char"/>
    <w:qFormat/>
    <w:uiPriority w:val="0"/>
    <w:rPr>
      <w:rFonts w:ascii="楷体_GB2312" w:hAnsi="Arial" w:eastAsia="楷体_GB2312"/>
      <w:b/>
      <w:bCs/>
      <w:kern w:val="2"/>
      <w:sz w:val="24"/>
      <w:szCs w:val="32"/>
      <w:lang w:val="en-US" w:eastAsia="zh-CN" w:bidi="ar-SA"/>
    </w:rPr>
  </w:style>
  <w:style w:type="character" w:customStyle="1" w:styleId="404">
    <w:name w:val="highlight1"/>
    <w:qFormat/>
    <w:uiPriority w:val="0"/>
    <w:rPr>
      <w:rFonts w:ascii="仿宋_GB2312" w:eastAsia="微软雅黑"/>
      <w:b/>
      <w:kern w:val="2"/>
      <w:sz w:val="23"/>
      <w:szCs w:val="23"/>
      <w:lang w:val="en-US" w:eastAsia="zh-CN" w:bidi="ar-SA"/>
    </w:rPr>
  </w:style>
  <w:style w:type="character" w:customStyle="1" w:styleId="405">
    <w:name w:val="Heading 2 Hidden Char"/>
    <w:qFormat/>
    <w:uiPriority w:val="0"/>
    <w:rPr>
      <w:rFonts w:ascii="仿宋_GB2312" w:eastAsia="仿宋_GB2312"/>
      <w:b/>
      <w:bCs/>
      <w:kern w:val="2"/>
      <w:sz w:val="24"/>
      <w:szCs w:val="24"/>
      <w:lang w:val="zh-CN" w:eastAsia="zh-CN" w:bidi="ar-SA"/>
    </w:rPr>
  </w:style>
  <w:style w:type="character" w:customStyle="1" w:styleId="406">
    <w:name w:val="HTML 地址 Char1"/>
    <w:qFormat/>
    <w:uiPriority w:val="0"/>
    <w:rPr>
      <w:rFonts w:ascii="Times New Roman" w:hAnsi="Times New Roman" w:eastAsia="宋体" w:cs="Times New Roman"/>
      <w:i/>
      <w:iCs/>
      <w:szCs w:val="24"/>
    </w:rPr>
  </w:style>
  <w:style w:type="character" w:customStyle="1" w:styleId="407">
    <w:name w:val="正文缩进 字符"/>
    <w:qFormat/>
    <w:uiPriority w:val="0"/>
    <w:rPr>
      <w:rFonts w:ascii="宋体" w:eastAsia="宋体"/>
      <w:snapToGrid w:val="0"/>
      <w:color w:val="000000"/>
      <w:kern w:val="28"/>
      <w:sz w:val="28"/>
      <w:lang w:val="en-US" w:eastAsia="zh-CN" w:bidi="ar-SA"/>
    </w:rPr>
  </w:style>
  <w:style w:type="character" w:customStyle="1" w:styleId="408">
    <w:name w:val="zbggmain style9"/>
    <w:qFormat/>
    <w:uiPriority w:val="0"/>
  </w:style>
  <w:style w:type="character" w:customStyle="1" w:styleId="409">
    <w:name w:val="正文1 Char"/>
    <w:qFormat/>
    <w:uiPriority w:val="0"/>
    <w:rPr>
      <w:rFonts w:ascii="宋体" w:eastAsia="宋体"/>
      <w:snapToGrid w:val="0"/>
      <w:color w:val="000000"/>
      <w:kern w:val="28"/>
      <w:sz w:val="28"/>
      <w:lang w:val="en-US" w:eastAsia="zh-CN" w:bidi="ar-SA"/>
    </w:rPr>
  </w:style>
  <w:style w:type="character" w:customStyle="1" w:styleId="410">
    <w:name w:val="Char Char28"/>
    <w:qFormat/>
    <w:uiPriority w:val="6"/>
    <w:rPr>
      <w:rFonts w:ascii="仿宋_GB2312" w:hAnsi="仿宋_GB2312" w:eastAsia="仿宋_GB2312"/>
      <w:kern w:val="1"/>
      <w:sz w:val="28"/>
    </w:rPr>
  </w:style>
  <w:style w:type="character" w:customStyle="1" w:styleId="411">
    <w:name w:val="Char Char211"/>
    <w:qFormat/>
    <w:uiPriority w:val="0"/>
    <w:rPr>
      <w:rFonts w:eastAsia="宋体"/>
      <w:b/>
      <w:bCs/>
      <w:kern w:val="2"/>
      <w:sz w:val="21"/>
      <w:szCs w:val="24"/>
      <w:lang w:val="en-US" w:eastAsia="zh-CN" w:bidi="ar-SA"/>
    </w:rPr>
  </w:style>
  <w:style w:type="character" w:customStyle="1" w:styleId="412">
    <w:name w:val="font01"/>
    <w:qFormat/>
    <w:uiPriority w:val="0"/>
    <w:rPr>
      <w:rFonts w:hint="eastAsia" w:ascii="微软雅黑" w:hAnsi="微软雅黑" w:eastAsia="微软雅黑" w:cs="微软雅黑"/>
      <w:color w:val="000000"/>
      <w:sz w:val="20"/>
      <w:szCs w:val="20"/>
      <w:u w:val="none"/>
    </w:rPr>
  </w:style>
  <w:style w:type="character" w:customStyle="1" w:styleId="413">
    <w:name w:val="正文文本 字符1"/>
    <w:qFormat/>
    <w:uiPriority w:val="0"/>
    <w:rPr>
      <w:rFonts w:ascii="Calibri" w:hAnsi="Calibri" w:eastAsia="黑体" w:cs="Arial"/>
      <w:snapToGrid w:val="0"/>
      <w:kern w:val="2"/>
      <w:sz w:val="28"/>
      <w:szCs w:val="21"/>
    </w:rPr>
  </w:style>
  <w:style w:type="character" w:customStyle="1" w:styleId="414">
    <w:name w:val="正文（缩进2汉字） Char"/>
    <w:link w:val="415"/>
    <w:qFormat/>
    <w:uiPriority w:val="0"/>
    <w:rPr>
      <w:rFonts w:ascii="宋体"/>
    </w:rPr>
  </w:style>
  <w:style w:type="paragraph" w:customStyle="1" w:styleId="415">
    <w:name w:val="正文（缩进2汉字）"/>
    <w:basedOn w:val="1"/>
    <w:link w:val="41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416">
    <w:name w:val="列表段落 字符"/>
    <w:qFormat/>
    <w:uiPriority w:val="99"/>
  </w:style>
  <w:style w:type="character" w:customStyle="1" w:styleId="417">
    <w:name w:val="Body Text(ch) Char Char"/>
    <w:qFormat/>
    <w:uiPriority w:val="0"/>
    <w:rPr>
      <w:rFonts w:ascii="宋体"/>
      <w:kern w:val="2"/>
      <w:sz w:val="24"/>
      <w:szCs w:val="21"/>
      <w:lang w:val="zh-CN"/>
    </w:rPr>
  </w:style>
  <w:style w:type="character" w:customStyle="1" w:styleId="418">
    <w:name w:val="表正文 Char1"/>
    <w:qFormat/>
    <w:uiPriority w:val="0"/>
    <w:rPr>
      <w:rFonts w:ascii="宋体" w:eastAsia="宋体"/>
      <w:snapToGrid w:val="0"/>
      <w:color w:val="000000"/>
      <w:kern w:val="28"/>
      <w:sz w:val="28"/>
    </w:rPr>
  </w:style>
  <w:style w:type="character" w:customStyle="1" w:styleId="419">
    <w:name w:val="纯文本 字符"/>
    <w:qFormat/>
    <w:uiPriority w:val="0"/>
    <w:rPr>
      <w:rFonts w:ascii="宋体" w:hAnsi="Courier New" w:eastAsia="宋体" w:cs="Arial"/>
      <w:snapToGrid w:val="0"/>
      <w:kern w:val="2"/>
      <w:sz w:val="21"/>
      <w:szCs w:val="21"/>
      <w:lang w:val="en-US" w:eastAsia="zh-CN" w:bidi="ar-SA"/>
    </w:rPr>
  </w:style>
  <w:style w:type="character" w:customStyle="1" w:styleId="420">
    <w:name w:val="样式6 Char"/>
    <w:qFormat/>
    <w:uiPriority w:val="0"/>
    <w:rPr>
      <w:rFonts w:ascii="仿宋_GB2312" w:hAnsi="宋体" w:eastAsia="仿宋_GB2312"/>
      <w:b/>
      <w:bCs/>
      <w:kern w:val="2"/>
      <w:sz w:val="24"/>
      <w:szCs w:val="24"/>
      <w:lang w:val="en-US" w:eastAsia="zh-CN" w:bidi="ar-SA"/>
    </w:rPr>
  </w:style>
  <w:style w:type="character" w:customStyle="1" w:styleId="421">
    <w:name w:val="纯文本 Char_0"/>
    <w:link w:val="422"/>
    <w:qFormat/>
    <w:uiPriority w:val="0"/>
    <w:rPr>
      <w:rFonts w:ascii="宋体" w:hAnsi="Courier New"/>
      <w:kern w:val="2"/>
      <w:sz w:val="21"/>
      <w:szCs w:val="21"/>
      <w:lang w:val="en-US" w:eastAsia="zh-CN"/>
    </w:rPr>
  </w:style>
  <w:style w:type="paragraph" w:customStyle="1" w:styleId="422">
    <w:name w:val="纯文本_0_0"/>
    <w:basedOn w:val="423"/>
    <w:link w:val="421"/>
    <w:qFormat/>
    <w:uiPriority w:val="0"/>
    <w:rPr>
      <w:rFonts w:ascii="宋体" w:hAnsi="Courier New"/>
      <w:szCs w:val="21"/>
    </w:rPr>
  </w:style>
  <w:style w:type="paragraph" w:customStyle="1" w:styleId="42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4">
    <w:name w:val="样式 宋体"/>
    <w:qFormat/>
    <w:uiPriority w:val="0"/>
    <w:rPr>
      <w:rFonts w:ascii="宋体" w:hAnsi="宋体"/>
      <w:sz w:val="24"/>
    </w:rPr>
  </w:style>
  <w:style w:type="character" w:customStyle="1" w:styleId="425">
    <w:name w:val="shadow11"/>
    <w:qFormat/>
    <w:uiPriority w:val="0"/>
    <w:rPr>
      <w:color w:val="000000"/>
      <w:sz w:val="21"/>
    </w:rPr>
  </w:style>
  <w:style w:type="character" w:customStyle="1" w:styleId="426">
    <w:name w:val="Char Char3"/>
    <w:qFormat/>
    <w:uiPriority w:val="0"/>
    <w:rPr>
      <w:rFonts w:eastAsia="宋体"/>
      <w:kern w:val="2"/>
      <w:sz w:val="21"/>
      <w:szCs w:val="24"/>
      <w:lang w:val="en-US" w:eastAsia="zh-CN" w:bidi="ar-SA"/>
    </w:rPr>
  </w:style>
  <w:style w:type="character" w:customStyle="1" w:styleId="427">
    <w:name w:val="Char Char36"/>
    <w:qFormat/>
    <w:uiPriority w:val="6"/>
    <w:rPr>
      <w:rFonts w:ascii="仿宋_GB2312" w:hAnsi="仿宋_GB2312" w:eastAsia="仿宋_GB2312" w:cs="Arial"/>
      <w:b/>
      <w:kern w:val="1"/>
      <w:sz w:val="32"/>
      <w:szCs w:val="32"/>
      <w:lang w:val="zh-CN" w:eastAsia="zh-CN" w:bidi="ar-SA"/>
    </w:rPr>
  </w:style>
  <w:style w:type="character" w:customStyle="1" w:styleId="428">
    <w:name w:val="HTML 预设格式 Char1"/>
    <w:qFormat/>
    <w:uiPriority w:val="0"/>
    <w:rPr>
      <w:rFonts w:ascii="Courier New" w:hAnsi="Courier New" w:eastAsia="宋体" w:cs="Courier New"/>
      <w:sz w:val="20"/>
      <w:szCs w:val="20"/>
    </w:rPr>
  </w:style>
  <w:style w:type="character" w:customStyle="1" w:styleId="429">
    <w:name w:val="列出段落 Char1"/>
    <w:link w:val="430"/>
    <w:qFormat/>
    <w:uiPriority w:val="0"/>
    <w:rPr>
      <w:rFonts w:ascii="Calibri" w:hAnsi="Calibri"/>
      <w:sz w:val="24"/>
      <w:lang w:eastAsia="en-US"/>
    </w:rPr>
  </w:style>
  <w:style w:type="paragraph" w:customStyle="1" w:styleId="430">
    <w:name w:val="列表1"/>
    <w:basedOn w:val="1"/>
    <w:next w:val="431"/>
    <w:link w:val="429"/>
    <w:qFormat/>
    <w:uiPriority w:val="0"/>
    <w:pPr>
      <w:widowControl/>
      <w:adjustRightInd/>
      <w:spacing w:after="200" w:line="360" w:lineRule="auto"/>
      <w:ind w:left="720" w:firstLine="200" w:firstLineChars="200"/>
      <w:jc w:val="left"/>
    </w:pPr>
    <w:rPr>
      <w:rFonts w:ascii="Calibri" w:hAnsi="Calibri"/>
      <w:kern w:val="0"/>
      <w:sz w:val="24"/>
      <w:szCs w:val="20"/>
      <w:lang w:eastAsia="en-US"/>
    </w:rPr>
  </w:style>
  <w:style w:type="paragraph" w:customStyle="1" w:styleId="431">
    <w:name w:val="列表段落"/>
    <w:basedOn w:val="1"/>
    <w:qFormat/>
    <w:uiPriority w:val="34"/>
    <w:pPr>
      <w:spacing w:line="360" w:lineRule="auto"/>
      <w:ind w:firstLine="200" w:firstLineChars="200"/>
    </w:pPr>
    <w:rPr>
      <w:rFonts w:eastAsia="楷体_GB2312" w:cs="Lucida Sans"/>
      <w:sz w:val="24"/>
    </w:rPr>
  </w:style>
  <w:style w:type="character" w:customStyle="1" w:styleId="432">
    <w:name w:val="正文文本缩进 Char"/>
    <w:qFormat/>
    <w:uiPriority w:val="0"/>
    <w:rPr>
      <w:rFonts w:ascii="宋体" w:hAnsi="宋体"/>
      <w:kern w:val="2"/>
      <w:sz w:val="24"/>
      <w:szCs w:val="24"/>
    </w:rPr>
  </w:style>
  <w:style w:type="character" w:customStyle="1" w:styleId="433">
    <w:name w:val="Char Char16"/>
    <w:qFormat/>
    <w:uiPriority w:val="6"/>
    <w:rPr>
      <w:kern w:val="1"/>
      <w:sz w:val="18"/>
      <w:szCs w:val="18"/>
    </w:rPr>
  </w:style>
  <w:style w:type="character" w:customStyle="1" w:styleId="434">
    <w:name w:val="标题 4 Char"/>
    <w:qFormat/>
    <w:uiPriority w:val="0"/>
    <w:rPr>
      <w:rFonts w:ascii="Arial" w:hAnsi="Arial" w:eastAsia="黑体"/>
      <w:b/>
      <w:kern w:val="2"/>
      <w:sz w:val="28"/>
    </w:rPr>
  </w:style>
  <w:style w:type="character" w:customStyle="1" w:styleId="435">
    <w:name w:val="Normal Indent Char Char"/>
    <w:qFormat/>
    <w:uiPriority w:val="0"/>
    <w:rPr>
      <w:rFonts w:eastAsia="宋体"/>
      <w:kern w:val="2"/>
      <w:sz w:val="21"/>
      <w:lang w:val="en-US" w:eastAsia="zh-CN" w:bidi="ar-SA"/>
    </w:rPr>
  </w:style>
  <w:style w:type="character" w:customStyle="1" w:styleId="436">
    <w:name w:val="f141"/>
    <w:qFormat/>
    <w:uiPriority w:val="0"/>
    <w:rPr>
      <w:rFonts w:ascii="Tahoma" w:hAnsi="Tahoma" w:eastAsia="宋体"/>
      <w:b/>
      <w:kern w:val="2"/>
      <w:sz w:val="21"/>
      <w:szCs w:val="21"/>
      <w:lang w:val="en-US" w:eastAsia="zh-CN" w:bidi="ar-SA"/>
    </w:rPr>
  </w:style>
  <w:style w:type="character" w:customStyle="1" w:styleId="437">
    <w:name w:val="标题 Char1"/>
    <w:qFormat/>
    <w:uiPriority w:val="0"/>
    <w:rPr>
      <w:rFonts w:ascii="Cambria" w:hAnsi="Cambria" w:eastAsia="宋体" w:cs="Times New Roman"/>
      <w:b/>
      <w:bCs/>
      <w:sz w:val="32"/>
      <w:szCs w:val="32"/>
      <w:lang w:bidi="ar-SA"/>
    </w:rPr>
  </w:style>
  <w:style w:type="character" w:customStyle="1" w:styleId="438">
    <w:name w:val="Char Char121"/>
    <w:qFormat/>
    <w:uiPriority w:val="6"/>
    <w:rPr>
      <w:rFonts w:ascii="仿宋_GB2312" w:eastAsia="仿宋_GB2312"/>
      <w:b/>
      <w:bCs/>
      <w:kern w:val="2"/>
      <w:sz w:val="24"/>
      <w:szCs w:val="24"/>
      <w:lang w:val="zh-CN" w:eastAsia="zh-CN" w:bidi="ar-SA"/>
    </w:rPr>
  </w:style>
  <w:style w:type="character" w:customStyle="1" w:styleId="439">
    <w:name w:val="myp11"/>
    <w:qFormat/>
    <w:uiPriority w:val="0"/>
    <w:rPr>
      <w:rFonts w:ascii="仿宋_GB2312" w:eastAsia="微软雅黑"/>
      <w:b/>
      <w:kern w:val="2"/>
      <w:sz w:val="32"/>
      <w:szCs w:val="32"/>
      <w:lang w:val="en-US" w:eastAsia="zh-CN" w:bidi="ar-SA"/>
    </w:rPr>
  </w:style>
  <w:style w:type="character" w:customStyle="1" w:styleId="440">
    <w:name w:val="表格非标题文字 Char"/>
    <w:link w:val="441"/>
    <w:qFormat/>
    <w:uiPriority w:val="0"/>
    <w:rPr>
      <w:rFonts w:ascii="Futura Bk" w:hAnsi="Futura Bk"/>
      <w:kern w:val="2"/>
      <w:sz w:val="18"/>
      <w:szCs w:val="21"/>
      <w:lang w:val="en-US" w:eastAsia="zh-CN" w:bidi="ar-SA"/>
    </w:rPr>
  </w:style>
  <w:style w:type="paragraph" w:customStyle="1" w:styleId="441">
    <w:name w:val="表格非标题文字"/>
    <w:link w:val="44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442">
    <w:name w:val="正文首行缩进 2 Char1"/>
    <w:qFormat/>
    <w:uiPriority w:val="0"/>
    <w:rPr>
      <w:rFonts w:ascii="Times New Roman" w:hAnsi="Times New Roman" w:eastAsia="宋体" w:cs="Times New Roman"/>
      <w:kern w:val="2"/>
      <w:sz w:val="24"/>
      <w:szCs w:val="24"/>
    </w:rPr>
  </w:style>
  <w:style w:type="character" w:customStyle="1" w:styleId="443">
    <w:name w:val="5正文 Char"/>
    <w:link w:val="444"/>
    <w:qFormat/>
    <w:uiPriority w:val="0"/>
    <w:rPr>
      <w:rFonts w:ascii="仿宋_GB2312" w:hAnsi="微软雅黑" w:eastAsia="仿宋_GB2312"/>
      <w:sz w:val="28"/>
      <w:szCs w:val="21"/>
    </w:rPr>
  </w:style>
  <w:style w:type="paragraph" w:customStyle="1" w:styleId="444">
    <w:name w:val="5正文"/>
    <w:basedOn w:val="1"/>
    <w:link w:val="44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445">
    <w:name w:val="正文首行缩进 Char1"/>
    <w:qFormat/>
    <w:uiPriority w:val="0"/>
    <w:rPr>
      <w:rFonts w:ascii="宋体" w:hAnsi="Times New Roman" w:eastAsia="宋体" w:cs="Times New Roman"/>
      <w:snapToGrid w:val="0"/>
      <w:kern w:val="2"/>
      <w:sz w:val="24"/>
      <w:szCs w:val="21"/>
      <w:lang w:val="zh-CN"/>
    </w:rPr>
  </w:style>
  <w:style w:type="character" w:customStyle="1" w:styleId="446">
    <w:name w:val="tw4winMark"/>
    <w:qFormat/>
    <w:uiPriority w:val="0"/>
    <w:rPr>
      <w:rFonts w:ascii="Courier New" w:hAnsi="Courier New" w:cs="Courier New"/>
      <w:vanish/>
      <w:color w:val="800080"/>
      <w:sz w:val="24"/>
      <w:szCs w:val="24"/>
      <w:vertAlign w:val="subscript"/>
    </w:rPr>
  </w:style>
  <w:style w:type="character" w:customStyle="1" w:styleId="447">
    <w:name w:val="正文2 Char"/>
    <w:qFormat/>
    <w:uiPriority w:val="0"/>
    <w:rPr>
      <w:rFonts w:eastAsia="宋体"/>
      <w:kern w:val="2"/>
      <w:sz w:val="24"/>
      <w:lang w:val="en-US" w:eastAsia="zh-CN" w:bidi="ar-SA"/>
    </w:rPr>
  </w:style>
  <w:style w:type="character" w:customStyle="1" w:styleId="448">
    <w:name w:val="样式4 Char"/>
    <w:qFormat/>
    <w:uiPriority w:val="0"/>
    <w:rPr>
      <w:rFonts w:ascii="仿宋_GB2312" w:hAnsi="仿宋" w:eastAsia="仿宋_GB2312"/>
      <w:b/>
      <w:kern w:val="2"/>
      <w:sz w:val="32"/>
      <w:szCs w:val="32"/>
      <w:lang w:bidi="ar-SA"/>
    </w:rPr>
  </w:style>
  <w:style w:type="character" w:customStyle="1" w:styleId="449">
    <w:name w:val="hui"/>
    <w:qFormat/>
    <w:uiPriority w:val="0"/>
    <w:rPr>
      <w:rFonts w:ascii="Arial" w:hAnsi="Arial" w:eastAsia="黑体" w:cs="Arial"/>
      <w:snapToGrid w:val="0"/>
      <w:kern w:val="0"/>
      <w:szCs w:val="21"/>
    </w:rPr>
  </w:style>
  <w:style w:type="character" w:customStyle="1" w:styleId="450">
    <w:name w:val="Char Char22"/>
    <w:qFormat/>
    <w:uiPriority w:val="6"/>
    <w:rPr>
      <w:rFonts w:ascii="宋体" w:hAnsi="宋体"/>
      <w:kern w:val="1"/>
      <w:sz w:val="24"/>
      <w:szCs w:val="24"/>
    </w:rPr>
  </w:style>
  <w:style w:type="character" w:customStyle="1" w:styleId="451">
    <w:name w:val="纯文本 Char Char Char"/>
    <w:qFormat/>
    <w:uiPriority w:val="0"/>
    <w:rPr>
      <w:rFonts w:ascii="宋体" w:hAnsi="Courier New" w:eastAsia="宋体"/>
      <w:kern w:val="2"/>
      <w:sz w:val="21"/>
      <w:lang w:val="en-US" w:eastAsia="zh-CN" w:bidi="ar-SA"/>
    </w:rPr>
  </w:style>
  <w:style w:type="character" w:customStyle="1" w:styleId="452">
    <w:name w:val="批注主题 Char"/>
    <w:qFormat/>
    <w:uiPriority w:val="0"/>
    <w:rPr>
      <w:rFonts w:eastAsia="宋体"/>
      <w:b/>
      <w:bCs/>
      <w:kern w:val="2"/>
      <w:sz w:val="21"/>
      <w:szCs w:val="24"/>
      <w:lang w:val="en-US" w:eastAsia="zh-CN" w:bidi="ar-SA"/>
    </w:rPr>
  </w:style>
  <w:style w:type="character" w:customStyle="1" w:styleId="453">
    <w:name w:val="页眉 Char1"/>
    <w:qFormat/>
    <w:uiPriority w:val="0"/>
    <w:rPr>
      <w:rFonts w:eastAsia="宋体"/>
      <w:kern w:val="2"/>
      <w:sz w:val="18"/>
      <w:szCs w:val="18"/>
      <w:lang w:val="en-US" w:eastAsia="zh-CN" w:bidi="ar-SA"/>
    </w:rPr>
  </w:style>
  <w:style w:type="character" w:customStyle="1" w:styleId="454">
    <w:name w:val="U_正文 Char"/>
    <w:link w:val="455"/>
    <w:qFormat/>
    <w:uiPriority w:val="0"/>
    <w:rPr>
      <w:sz w:val="24"/>
      <w:szCs w:val="24"/>
    </w:rPr>
  </w:style>
  <w:style w:type="paragraph" w:customStyle="1" w:styleId="455">
    <w:name w:val="U_正文"/>
    <w:basedOn w:val="1"/>
    <w:link w:val="454"/>
    <w:qFormat/>
    <w:uiPriority w:val="0"/>
    <w:pPr>
      <w:adjustRightInd/>
      <w:spacing w:beforeLines="20" w:afterLines="20" w:line="300" w:lineRule="auto"/>
      <w:ind w:firstLine="200" w:firstLineChars="200"/>
    </w:pPr>
    <w:rPr>
      <w:kern w:val="0"/>
      <w:sz w:val="24"/>
    </w:rPr>
  </w:style>
  <w:style w:type="character" w:customStyle="1" w:styleId="456">
    <w:name w:val="哈哈正文 Char"/>
    <w:link w:val="457"/>
    <w:qFormat/>
    <w:uiPriority w:val="0"/>
    <w:rPr>
      <w:rFonts w:ascii="宋体" w:hAnsi="宋体" w:eastAsia="宋体"/>
      <w:kern w:val="2"/>
      <w:sz w:val="24"/>
      <w:lang w:bidi="ar-SA"/>
    </w:rPr>
  </w:style>
  <w:style w:type="paragraph" w:customStyle="1" w:styleId="457">
    <w:name w:val="哈哈正文"/>
    <w:basedOn w:val="1"/>
    <w:link w:val="456"/>
    <w:qFormat/>
    <w:uiPriority w:val="0"/>
    <w:pPr>
      <w:adjustRightInd/>
      <w:spacing w:line="360" w:lineRule="auto"/>
      <w:ind w:firstLine="200" w:firstLineChars="200"/>
    </w:pPr>
    <w:rPr>
      <w:rFonts w:ascii="宋体" w:hAnsi="宋体"/>
      <w:sz w:val="24"/>
      <w:szCs w:val="20"/>
    </w:rPr>
  </w:style>
  <w:style w:type="character" w:customStyle="1" w:styleId="458">
    <w:name w:val="样式 正文缩进 + 首行缩进:  2 字符 Char Char"/>
    <w:link w:val="459"/>
    <w:qFormat/>
    <w:uiPriority w:val="0"/>
    <w:rPr>
      <w:rFonts w:cs="宋体"/>
      <w:kern w:val="2"/>
      <w:sz w:val="24"/>
    </w:rPr>
  </w:style>
  <w:style w:type="paragraph" w:customStyle="1" w:styleId="459">
    <w:name w:val="样式 正文缩进 + 首行缩进:  2 字符"/>
    <w:basedOn w:val="15"/>
    <w:link w:val="458"/>
    <w:qFormat/>
    <w:uiPriority w:val="0"/>
    <w:pPr>
      <w:widowControl w:val="0"/>
      <w:adjustRightInd/>
      <w:snapToGrid/>
      <w:spacing w:line="360" w:lineRule="auto"/>
      <w:ind w:firstLine="200" w:firstLineChars="200"/>
    </w:pPr>
    <w:rPr>
      <w:rFonts w:ascii="Times New Roman"/>
      <w:snapToGrid/>
      <w:color w:val="auto"/>
      <w:kern w:val="2"/>
      <w:sz w:val="24"/>
    </w:rPr>
  </w:style>
  <w:style w:type="character" w:customStyle="1" w:styleId="460">
    <w:name w:val="Char Char15"/>
    <w:qFormat/>
    <w:uiPriority w:val="6"/>
    <w:rPr>
      <w:rFonts w:ascii="宋体" w:hAnsi="宋体"/>
      <w:kern w:val="1"/>
      <w:sz w:val="21"/>
    </w:rPr>
  </w:style>
  <w:style w:type="character" w:customStyle="1" w:styleId="461">
    <w:name w:val="font91"/>
    <w:qFormat/>
    <w:uiPriority w:val="0"/>
    <w:rPr>
      <w:rFonts w:hint="eastAsia" w:ascii="仿宋" w:hAnsi="仿宋" w:eastAsia="仿宋" w:cs="仿宋"/>
      <w:color w:val="000000"/>
      <w:sz w:val="22"/>
      <w:szCs w:val="22"/>
      <w:u w:val="none"/>
    </w:rPr>
  </w:style>
  <w:style w:type="paragraph" w:customStyle="1" w:styleId="46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3">
    <w:name w:val="Char2 Char Char Char1"/>
    <w:basedOn w:val="1"/>
    <w:qFormat/>
    <w:uiPriority w:val="6"/>
    <w:rPr>
      <w:rFonts w:ascii="仿宋_GB2312" w:eastAsia="仿宋_GB2312"/>
      <w:b/>
      <w:sz w:val="32"/>
      <w:szCs w:val="32"/>
    </w:rPr>
  </w:style>
  <w:style w:type="paragraph" w:customStyle="1" w:styleId="46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65">
    <w:name w:val="Char Char1 Char"/>
    <w:basedOn w:val="1"/>
    <w:qFormat/>
    <w:uiPriority w:val="0"/>
    <w:rPr>
      <w:rFonts w:ascii="仿宋_GB2312" w:eastAsia="仿宋_GB2312"/>
      <w:b/>
      <w:sz w:val="32"/>
      <w:szCs w:val="32"/>
    </w:rPr>
  </w:style>
  <w:style w:type="paragraph" w:customStyle="1" w:styleId="46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467">
    <w:name w:val="Char Char4 Char Char"/>
    <w:basedOn w:val="1"/>
    <w:qFormat/>
    <w:uiPriority w:val="0"/>
    <w:pPr>
      <w:widowControl/>
      <w:adjustRightInd/>
      <w:spacing w:after="160" w:line="240" w:lineRule="exact"/>
      <w:jc w:val="left"/>
    </w:pPr>
  </w:style>
  <w:style w:type="paragraph" w:customStyle="1" w:styleId="46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6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47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7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7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7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7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7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4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78">
    <w:name w:val="Char111"/>
    <w:basedOn w:val="1"/>
    <w:qFormat/>
    <w:uiPriority w:val="0"/>
    <w:rPr>
      <w:rFonts w:ascii="仿宋_GB2312" w:eastAsia="仿宋_GB2312"/>
      <w:b/>
      <w:sz w:val="32"/>
      <w:szCs w:val="32"/>
    </w:rPr>
  </w:style>
  <w:style w:type="paragraph" w:customStyle="1" w:styleId="479">
    <w:name w:val="Char Char1 Char Char1 Char Char1"/>
    <w:basedOn w:val="1"/>
    <w:qFormat/>
    <w:uiPriority w:val="0"/>
    <w:pPr>
      <w:tabs>
        <w:tab w:val="left" w:pos="840"/>
      </w:tabs>
      <w:ind w:left="840" w:hanging="420"/>
    </w:pPr>
    <w:rPr>
      <w:rFonts w:ascii="Tahoma" w:hAnsi="Tahoma"/>
      <w:sz w:val="24"/>
    </w:rPr>
  </w:style>
  <w:style w:type="paragraph" w:customStyle="1" w:styleId="480">
    <w:name w:val="_Style 5"/>
    <w:basedOn w:val="1"/>
    <w:qFormat/>
    <w:uiPriority w:val="34"/>
    <w:pPr>
      <w:adjustRightInd/>
      <w:ind w:firstLine="420" w:firstLineChars="200"/>
    </w:pPr>
    <w:rPr>
      <w:rFonts w:eastAsia="仿宋_GB2312"/>
      <w:sz w:val="28"/>
    </w:rPr>
  </w:style>
  <w:style w:type="paragraph" w:customStyle="1" w:styleId="48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82">
    <w:name w:val="Char Char11 Char Char Char Char Char Char Char Char Char11"/>
    <w:basedOn w:val="1"/>
    <w:qFormat/>
    <w:uiPriority w:val="0"/>
    <w:pPr>
      <w:spacing w:line="360" w:lineRule="auto"/>
    </w:pPr>
    <w:rPr>
      <w:szCs w:val="20"/>
    </w:rPr>
  </w:style>
  <w:style w:type="paragraph" w:customStyle="1" w:styleId="48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4">
    <w:name w:val="Thf"/>
    <w:basedOn w:val="485"/>
    <w:qFormat/>
    <w:uiPriority w:val="0"/>
    <w:pPr>
      <w:ind w:left="0"/>
    </w:pPr>
  </w:style>
  <w:style w:type="paragraph" w:customStyle="1" w:styleId="48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8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48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8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489">
    <w:name w:val="正文 内标 序号标"/>
    <w:basedOn w:val="490"/>
    <w:qFormat/>
    <w:uiPriority w:val="0"/>
    <w:pPr>
      <w:tabs>
        <w:tab w:val="left" w:pos="0"/>
      </w:tabs>
      <w:adjustRightInd/>
      <w:spacing w:before="0"/>
      <w:ind w:firstLine="482"/>
    </w:pPr>
    <w:rPr>
      <w:rFonts w:ascii="微软雅黑" w:hAnsi="微软雅黑"/>
      <w:sz w:val="24"/>
      <w:szCs w:val="24"/>
    </w:rPr>
  </w:style>
  <w:style w:type="paragraph" w:customStyle="1" w:styleId="490">
    <w:name w:val="My正文"/>
    <w:basedOn w:val="1"/>
    <w:qFormat/>
    <w:uiPriority w:val="0"/>
    <w:pPr>
      <w:spacing w:before="120" w:line="360" w:lineRule="auto"/>
      <w:ind w:firstLine="567"/>
    </w:pPr>
    <w:rPr>
      <w:rFonts w:ascii="Arial" w:hAnsi="Arial"/>
      <w:sz w:val="20"/>
      <w:szCs w:val="20"/>
    </w:rPr>
  </w:style>
  <w:style w:type="paragraph" w:customStyle="1" w:styleId="491">
    <w:name w:val="MM Topic 2"/>
    <w:basedOn w:val="6"/>
    <w:qFormat/>
    <w:uiPriority w:val="0"/>
    <w:pPr>
      <w:tabs>
        <w:tab w:val="left" w:pos="1260"/>
      </w:tabs>
      <w:ind w:left="1260" w:hanging="420"/>
    </w:pPr>
    <w:rPr>
      <w:rFonts w:ascii="Arial" w:hAnsi="Arial" w:eastAsia="黑体"/>
      <w:lang w:val="en-US"/>
    </w:rPr>
  </w:style>
  <w:style w:type="paragraph" w:customStyle="1" w:styleId="492">
    <w:name w:val="Char Char Char1 Char1"/>
    <w:basedOn w:val="1"/>
    <w:qFormat/>
    <w:uiPriority w:val="6"/>
    <w:rPr>
      <w:szCs w:val="20"/>
    </w:rPr>
  </w:style>
  <w:style w:type="paragraph" w:customStyle="1" w:styleId="49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9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95">
    <w:name w:val="单元格左对齐"/>
    <w:basedOn w:val="1"/>
    <w:qFormat/>
    <w:uiPriority w:val="0"/>
    <w:pPr>
      <w:adjustRightInd/>
      <w:spacing w:line="360" w:lineRule="auto"/>
    </w:pPr>
    <w:rPr>
      <w:sz w:val="24"/>
    </w:rPr>
  </w:style>
  <w:style w:type="paragraph" w:customStyle="1" w:styleId="49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97">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表格"/>
    <w:basedOn w:val="1"/>
    <w:qFormat/>
    <w:uiPriority w:val="0"/>
    <w:pPr>
      <w:snapToGrid w:val="0"/>
      <w:ind w:firstLine="42" w:firstLineChars="21"/>
    </w:pPr>
    <w:rPr>
      <w:rFonts w:ascii="宋体" w:hAnsi="宋体"/>
      <w:kern w:val="0"/>
      <w:sz w:val="20"/>
      <w:szCs w:val="20"/>
    </w:rPr>
  </w:style>
  <w:style w:type="paragraph" w:customStyle="1" w:styleId="49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00">
    <w:name w:val="_Style 94"/>
    <w:basedOn w:val="1"/>
    <w:next w:val="431"/>
    <w:qFormat/>
    <w:uiPriority w:val="34"/>
    <w:pPr>
      <w:adjustRightInd/>
      <w:spacing w:line="360" w:lineRule="auto"/>
      <w:ind w:firstLine="200" w:firstLineChars="200"/>
    </w:pPr>
    <w:rPr>
      <w:rFonts w:ascii="Calibri" w:hAnsi="Calibri"/>
      <w:sz w:val="28"/>
      <w:szCs w:val="20"/>
    </w:rPr>
  </w:style>
  <w:style w:type="paragraph" w:customStyle="1" w:styleId="501">
    <w:name w:val="三级条标题"/>
    <w:basedOn w:val="502"/>
    <w:next w:val="505"/>
    <w:qFormat/>
    <w:uiPriority w:val="0"/>
    <w:pPr>
      <w:tabs>
        <w:tab w:val="left" w:pos="1260"/>
        <w:tab w:val="left" w:pos="1680"/>
        <w:tab w:val="left" w:pos="2100"/>
        <w:tab w:val="left" w:pos="2520"/>
      </w:tabs>
      <w:ind w:left="2520"/>
      <w:outlineLvl w:val="4"/>
    </w:pPr>
  </w:style>
  <w:style w:type="paragraph" w:customStyle="1" w:styleId="502">
    <w:name w:val="二级条标题"/>
    <w:basedOn w:val="503"/>
    <w:next w:val="505"/>
    <w:qFormat/>
    <w:uiPriority w:val="0"/>
    <w:pPr>
      <w:tabs>
        <w:tab w:val="left" w:pos="1260"/>
        <w:tab w:val="left" w:pos="1680"/>
        <w:tab w:val="left" w:pos="2100"/>
      </w:tabs>
      <w:ind w:left="0"/>
      <w:outlineLvl w:val="3"/>
    </w:pPr>
  </w:style>
  <w:style w:type="paragraph" w:customStyle="1" w:styleId="503">
    <w:name w:val="一级条标题"/>
    <w:basedOn w:val="504"/>
    <w:next w:val="505"/>
    <w:qFormat/>
    <w:uiPriority w:val="0"/>
    <w:pPr>
      <w:tabs>
        <w:tab w:val="left" w:pos="1260"/>
        <w:tab w:val="left" w:pos="1680"/>
      </w:tabs>
      <w:spacing w:beforeLines="0" w:afterLines="0"/>
      <w:ind w:left="1680"/>
      <w:outlineLvl w:val="2"/>
    </w:pPr>
  </w:style>
  <w:style w:type="paragraph" w:customStyle="1" w:styleId="504">
    <w:name w:val="章标题"/>
    <w:next w:val="50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0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06">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07">
    <w:name w:val="样式1 + (中宋体"/>
    <w:basedOn w:val="508"/>
    <w:qFormat/>
    <w:uiPriority w:val="0"/>
    <w:pPr>
      <w:widowControl w:val="0"/>
      <w:tabs>
        <w:tab w:val="left" w:pos="1200"/>
        <w:tab w:val="left" w:pos="1212"/>
        <w:tab w:val="left" w:pos="3888"/>
      </w:tabs>
      <w:adjustRightInd/>
      <w:snapToGrid/>
      <w:spacing w:line="360" w:lineRule="auto"/>
      <w:ind w:left="1200" w:hanging="360" w:firstLineChars="200"/>
      <w:jc w:val="both"/>
    </w:pPr>
    <w:rPr>
      <w:kern w:val="2"/>
      <w:szCs w:val="24"/>
    </w:rPr>
  </w:style>
  <w:style w:type="paragraph" w:customStyle="1" w:styleId="5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0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10">
    <w:name w:val="2级标题"/>
    <w:basedOn w:val="511"/>
    <w:qFormat/>
    <w:uiPriority w:val="0"/>
    <w:pPr>
      <w:jc w:val="left"/>
      <w:outlineLvl w:val="1"/>
    </w:pPr>
    <w:rPr>
      <w:rFonts w:ascii="Times New Roman" w:hAnsi="Times New Roman" w:eastAsia="仿宋"/>
      <w:sz w:val="30"/>
    </w:rPr>
  </w:style>
  <w:style w:type="paragraph" w:customStyle="1" w:styleId="51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512">
    <w:name w:val="Char Char Char Char Char Char Char Char1"/>
    <w:basedOn w:val="1"/>
    <w:qFormat/>
    <w:uiPriority w:val="0"/>
    <w:pPr>
      <w:tabs>
        <w:tab w:val="left" w:pos="360"/>
      </w:tabs>
    </w:pPr>
    <w:rPr>
      <w:sz w:val="24"/>
      <w:szCs w:val="20"/>
    </w:rPr>
  </w:style>
  <w:style w:type="paragraph" w:customStyle="1" w:styleId="513">
    <w:name w:val="0"/>
    <w:basedOn w:val="1"/>
    <w:qFormat/>
    <w:uiPriority w:val="0"/>
    <w:pPr>
      <w:widowControl/>
    </w:pPr>
    <w:rPr>
      <w:kern w:val="0"/>
      <w:sz w:val="24"/>
      <w:szCs w:val="20"/>
    </w:rPr>
  </w:style>
  <w:style w:type="paragraph" w:customStyle="1" w:styleId="5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1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1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17">
    <w:name w:val="Char Char11 Char Char Char1"/>
    <w:basedOn w:val="1"/>
    <w:qFormat/>
    <w:uiPriority w:val="6"/>
    <w:pPr>
      <w:spacing w:line="360" w:lineRule="auto"/>
    </w:pPr>
    <w:rPr>
      <w:szCs w:val="20"/>
    </w:rPr>
  </w:style>
  <w:style w:type="paragraph" w:customStyle="1" w:styleId="518">
    <w:name w:val="数字标题3"/>
    <w:basedOn w:val="7"/>
    <w:next w:val="1"/>
    <w:qFormat/>
    <w:uiPriority w:val="0"/>
    <w:pPr>
      <w:spacing w:line="240" w:lineRule="auto"/>
    </w:pPr>
    <w:rPr>
      <w:sz w:val="28"/>
      <w:szCs w:val="28"/>
    </w:rPr>
  </w:style>
  <w:style w:type="paragraph" w:customStyle="1" w:styleId="51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2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2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22">
    <w:name w:val="Char2"/>
    <w:basedOn w:val="1"/>
    <w:qFormat/>
    <w:uiPriority w:val="0"/>
    <w:rPr>
      <w:rFonts w:ascii="仿宋_GB2312" w:eastAsia="仿宋_GB2312"/>
      <w:b/>
      <w:sz w:val="32"/>
      <w:szCs w:val="32"/>
    </w:rPr>
  </w:style>
  <w:style w:type="paragraph" w:customStyle="1" w:styleId="52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524">
    <w:name w:val="Bulleting First Indent 1"/>
    <w:basedOn w:val="11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527">
    <w:name w:val="Char Char11 Char Char Char Char Char Char Char Char Char1"/>
    <w:basedOn w:val="1"/>
    <w:qFormat/>
    <w:uiPriority w:val="6"/>
    <w:pPr>
      <w:spacing w:line="360" w:lineRule="auto"/>
    </w:pPr>
    <w:rPr>
      <w:szCs w:val="20"/>
    </w:rPr>
  </w:style>
  <w:style w:type="paragraph" w:customStyle="1" w:styleId="52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2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3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31">
    <w:name w:val="带编号样式"/>
    <w:basedOn w:val="532"/>
    <w:qFormat/>
    <w:uiPriority w:val="0"/>
    <w:pPr>
      <w:tabs>
        <w:tab w:val="left" w:pos="840"/>
      </w:tabs>
      <w:snapToGrid w:val="0"/>
      <w:ind w:left="840" w:hanging="420" w:firstLineChars="0"/>
    </w:pPr>
    <w:rPr>
      <w:rFonts w:ascii="仿宋_GB2312" w:eastAsia="仿宋_GB2312"/>
      <w:color w:val="000000"/>
    </w:rPr>
  </w:style>
  <w:style w:type="paragraph" w:customStyle="1" w:styleId="532">
    <w:name w:val="文本正文 Char"/>
    <w:basedOn w:val="1"/>
    <w:qFormat/>
    <w:uiPriority w:val="0"/>
    <w:pPr>
      <w:spacing w:line="360" w:lineRule="auto"/>
      <w:ind w:firstLine="200" w:firstLineChars="200"/>
    </w:pPr>
    <w:rPr>
      <w:kern w:val="0"/>
      <w:sz w:val="24"/>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标题3"/>
    <w:basedOn w:val="7"/>
    <w:next w:val="48"/>
    <w:qFormat/>
    <w:uiPriority w:val="0"/>
    <w:pPr>
      <w:tabs>
        <w:tab w:val="clear" w:pos="900"/>
      </w:tabs>
      <w:spacing w:after="0" w:line="360" w:lineRule="auto"/>
    </w:pPr>
    <w:rPr>
      <w:rFonts w:ascii="仿宋" w:hAnsi="仿宋" w:eastAsia="仿宋" w:cs="仿宋"/>
    </w:rPr>
  </w:style>
  <w:style w:type="paragraph" w:customStyle="1" w:styleId="537">
    <w:name w:val="Blockquote"/>
    <w:basedOn w:val="1"/>
    <w:qFormat/>
    <w:uiPriority w:val="0"/>
    <w:pPr>
      <w:autoSpaceDE w:val="0"/>
      <w:autoSpaceDN w:val="0"/>
      <w:spacing w:before="100" w:after="100"/>
      <w:ind w:left="360" w:right="360"/>
      <w:jc w:val="left"/>
    </w:pPr>
    <w:rPr>
      <w:kern w:val="0"/>
      <w:sz w:val="24"/>
      <w:szCs w:val="20"/>
    </w:rPr>
  </w:style>
  <w:style w:type="paragraph" w:customStyle="1" w:styleId="53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39">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54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4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44">
    <w:name w:val="批注框文本 Char Char"/>
    <w:basedOn w:val="1"/>
    <w:qFormat/>
    <w:uiPriority w:val="0"/>
    <w:pPr>
      <w:adjustRightInd/>
    </w:pPr>
    <w:rPr>
      <w:sz w:val="18"/>
      <w:szCs w:val="20"/>
    </w:rPr>
  </w:style>
  <w:style w:type="paragraph" w:customStyle="1" w:styleId="545">
    <w:name w:val="修订1"/>
    <w:qFormat/>
    <w:uiPriority w:val="3"/>
    <w:rPr>
      <w:rFonts w:ascii="Times New Roman" w:hAnsi="Times New Roman" w:eastAsia="宋体" w:cs="Times New Roman"/>
      <w:color w:val="000000"/>
      <w:kern w:val="1"/>
      <w:sz w:val="21"/>
      <w:lang w:val="en-US" w:eastAsia="zh-CN" w:bidi="ar-SA"/>
    </w:rPr>
  </w:style>
  <w:style w:type="paragraph" w:customStyle="1" w:styleId="5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547">
    <w:name w:val="Char Char Char1 Char"/>
    <w:basedOn w:val="1"/>
    <w:qFormat/>
    <w:uiPriority w:val="0"/>
    <w:rPr>
      <w:szCs w:val="20"/>
    </w:rPr>
  </w:style>
  <w:style w:type="paragraph" w:customStyle="1" w:styleId="54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49">
    <w:name w:val="样式6"/>
    <w:basedOn w:val="30"/>
    <w:qFormat/>
    <w:uiPriority w:val="0"/>
    <w:pPr>
      <w:spacing w:line="460" w:lineRule="exact"/>
      <w:outlineLvl w:val="2"/>
    </w:pPr>
    <w:rPr>
      <w:rFonts w:ascii="仿宋_GB2312" w:hAnsi="宋体" w:eastAsia="仿宋_GB2312"/>
      <w:b/>
      <w:bCs/>
      <w:sz w:val="24"/>
      <w:szCs w:val="24"/>
    </w:rPr>
  </w:style>
  <w:style w:type="paragraph" w:customStyle="1" w:styleId="550">
    <w:name w:val="trademark"/>
    <w:qFormat/>
    <w:uiPriority w:val="0"/>
    <w:pPr>
      <w:spacing w:after="60"/>
    </w:pPr>
    <w:rPr>
      <w:rFonts w:ascii="Futura Bk" w:hAnsi="Futura Bk" w:eastAsia="宋体" w:cs="Times New Roman"/>
      <w:sz w:val="15"/>
      <w:lang w:val="en-US" w:eastAsia="en-US" w:bidi="ar-SA"/>
    </w:rPr>
  </w:style>
  <w:style w:type="paragraph" w:customStyle="1" w:styleId="551">
    <w:name w:val="Char Char Char Char Char Char Char1"/>
    <w:basedOn w:val="1"/>
    <w:qFormat/>
    <w:uiPriority w:val="6"/>
    <w:rPr>
      <w:rFonts w:ascii="仿宋_GB2312" w:eastAsia="仿宋_GB2312"/>
      <w:b/>
      <w:sz w:val="32"/>
      <w:szCs w:val="32"/>
    </w:rPr>
  </w:style>
  <w:style w:type="paragraph" w:customStyle="1" w:styleId="552">
    <w:name w:val="Char5"/>
    <w:basedOn w:val="1"/>
    <w:qFormat/>
    <w:uiPriority w:val="0"/>
    <w:rPr>
      <w:rFonts w:ascii="仿宋_GB2312" w:eastAsia="仿宋_GB2312"/>
      <w:b/>
      <w:sz w:val="32"/>
      <w:szCs w:val="32"/>
    </w:rPr>
  </w:style>
  <w:style w:type="paragraph" w:customStyle="1" w:styleId="55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
    <w:basedOn w:val="1"/>
    <w:qFormat/>
    <w:uiPriority w:val="0"/>
    <w:pPr>
      <w:widowControl/>
      <w:spacing w:after="160" w:line="240" w:lineRule="exact"/>
      <w:jc w:val="left"/>
    </w:pPr>
    <w:rPr>
      <w:rFonts w:eastAsia="仿宋_GB2312"/>
      <w:sz w:val="28"/>
    </w:rPr>
  </w:style>
  <w:style w:type="paragraph" w:customStyle="1" w:styleId="55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5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57">
    <w:name w:val="列表段落1"/>
    <w:basedOn w:val="1"/>
    <w:qFormat/>
    <w:uiPriority w:val="34"/>
    <w:pPr>
      <w:adjustRightInd/>
      <w:ind w:right="238" w:firstLine="420"/>
    </w:pPr>
    <w:rPr>
      <w:rFonts w:ascii="Calibri" w:hAnsi="Calibri"/>
      <w:sz w:val="24"/>
    </w:rPr>
  </w:style>
  <w:style w:type="paragraph" w:customStyle="1" w:styleId="558">
    <w:name w:val="默认段落字体 Para Char"/>
    <w:basedOn w:val="1"/>
    <w:qFormat/>
    <w:uiPriority w:val="0"/>
    <w:rPr>
      <w:rFonts w:ascii="Tahoma" w:hAnsi="Tahoma"/>
      <w:sz w:val="24"/>
      <w:szCs w:val="20"/>
    </w:rPr>
  </w:style>
  <w:style w:type="paragraph" w:customStyle="1" w:styleId="559">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6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6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6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66">
    <w:name w:val="标题五"/>
    <w:basedOn w:val="1"/>
    <w:qFormat/>
    <w:uiPriority w:val="0"/>
    <w:pPr>
      <w:adjustRightInd/>
      <w:spacing w:beforeLines="50" w:line="360" w:lineRule="auto"/>
    </w:pPr>
    <w:rPr>
      <w:b/>
      <w:sz w:val="24"/>
    </w:rPr>
  </w:style>
  <w:style w:type="paragraph" w:customStyle="1" w:styleId="567">
    <w:name w:val="默认段落字体 Para Char Char Char1 Char"/>
    <w:basedOn w:val="1"/>
    <w:qFormat/>
    <w:uiPriority w:val="0"/>
    <w:pPr>
      <w:spacing w:line="240" w:lineRule="atLeast"/>
      <w:ind w:left="420" w:firstLine="420"/>
    </w:pPr>
    <w:rPr>
      <w:sz w:val="24"/>
    </w:rPr>
  </w:style>
  <w:style w:type="paragraph" w:customStyle="1" w:styleId="56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69">
    <w:name w:val="Char3 Char Char Char1"/>
    <w:basedOn w:val="1"/>
    <w:qFormat/>
    <w:uiPriority w:val="6"/>
    <w:pPr>
      <w:widowControl/>
      <w:adjustRightInd/>
      <w:spacing w:after="160" w:line="240" w:lineRule="exact"/>
      <w:jc w:val="left"/>
    </w:pPr>
    <w:rPr>
      <w:szCs w:val="20"/>
    </w:rPr>
  </w:style>
  <w:style w:type="paragraph" w:customStyle="1" w:styleId="57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571">
    <w:name w:val="Char21"/>
    <w:basedOn w:val="1"/>
    <w:qFormat/>
    <w:uiPriority w:val="0"/>
    <w:pPr>
      <w:adjustRightInd/>
      <w:ind w:firstLine="200" w:firstLineChars="200"/>
    </w:pPr>
    <w:rPr>
      <w:rFonts w:ascii="仿宋_GB2312" w:eastAsia="仿宋_GB2312"/>
      <w:b/>
      <w:sz w:val="32"/>
      <w:szCs w:val="32"/>
    </w:rPr>
  </w:style>
  <w:style w:type="paragraph" w:customStyle="1" w:styleId="572">
    <w:name w:val="列出段落2"/>
    <w:basedOn w:val="1"/>
    <w:qFormat/>
    <w:uiPriority w:val="0"/>
    <w:pPr>
      <w:adjustRightInd/>
      <w:ind w:firstLine="420" w:firstLineChars="200"/>
    </w:pPr>
    <w:rPr>
      <w:rFonts w:ascii="宋体" w:hAnsi="宋体"/>
      <w:sz w:val="24"/>
    </w:rPr>
  </w:style>
  <w:style w:type="paragraph" w:customStyle="1" w:styleId="573">
    <w:name w:val="正文（首行缩进2字符）"/>
    <w:basedOn w:val="1"/>
    <w:qFormat/>
    <w:uiPriority w:val="0"/>
    <w:pPr>
      <w:adjustRightInd/>
      <w:spacing w:line="360" w:lineRule="auto"/>
      <w:ind w:firstLine="480" w:firstLineChars="200"/>
    </w:pPr>
    <w:rPr>
      <w:sz w:val="24"/>
      <w:szCs w:val="20"/>
    </w:rPr>
  </w:style>
  <w:style w:type="paragraph" w:customStyle="1" w:styleId="57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75">
    <w:name w:val="列出段落111"/>
    <w:basedOn w:val="1"/>
    <w:qFormat/>
    <w:uiPriority w:val="34"/>
    <w:pPr>
      <w:ind w:firstLine="420" w:firstLineChars="200"/>
    </w:pPr>
  </w:style>
  <w:style w:type="paragraph" w:customStyle="1" w:styleId="57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77">
    <w:name w:val="正文表标题"/>
    <w:next w:val="50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78">
    <w:name w:val="Char Char Char Char Char Char Char Char2"/>
    <w:basedOn w:val="1"/>
    <w:qFormat/>
    <w:uiPriority w:val="0"/>
    <w:pPr>
      <w:tabs>
        <w:tab w:val="left" w:pos="360"/>
      </w:tabs>
    </w:pPr>
    <w:rPr>
      <w:sz w:val="24"/>
      <w:szCs w:val="20"/>
    </w:rPr>
  </w:style>
  <w:style w:type="paragraph" w:customStyle="1" w:styleId="579">
    <w:name w:val="CM14"/>
    <w:basedOn w:val="186"/>
    <w:next w:val="186"/>
    <w:qFormat/>
    <w:uiPriority w:val="0"/>
    <w:pPr>
      <w:spacing w:after="68"/>
    </w:pPr>
    <w:rPr>
      <w:rFonts w:ascii="FHLHE E+ Futura Bk" w:eastAsia="FHLHE E+ Futura Bk" w:cs="Times New Roman"/>
      <w:color w:val="auto"/>
    </w:rPr>
  </w:style>
  <w:style w:type="paragraph" w:customStyle="1" w:styleId="580">
    <w:name w:val="Char6"/>
    <w:basedOn w:val="1"/>
    <w:qFormat/>
    <w:uiPriority w:val="0"/>
    <w:rPr>
      <w:rFonts w:ascii="仿宋_GB2312" w:eastAsia="仿宋_GB2312"/>
      <w:b/>
      <w:sz w:val="32"/>
      <w:szCs w:val="32"/>
    </w:rPr>
  </w:style>
  <w:style w:type="paragraph" w:customStyle="1" w:styleId="58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8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3">
    <w:name w:val="_Style 6"/>
    <w:basedOn w:val="1"/>
    <w:qFormat/>
    <w:uiPriority w:val="34"/>
    <w:pPr>
      <w:adjustRightInd/>
      <w:ind w:firstLine="420" w:firstLineChars="200"/>
    </w:pPr>
    <w:rPr>
      <w:rFonts w:eastAsia="仿宋_GB2312"/>
      <w:sz w:val="28"/>
    </w:rPr>
  </w:style>
  <w:style w:type="paragraph" w:customStyle="1" w:styleId="58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85">
    <w:name w:val="Char Char Char Char Char Char Char Char Char Char Char Char1 Char"/>
    <w:basedOn w:val="1"/>
    <w:qFormat/>
    <w:uiPriority w:val="0"/>
    <w:rPr>
      <w:rFonts w:ascii="Tahoma" w:hAnsi="Tahoma" w:cs="仿宋_GB2312"/>
      <w:sz w:val="24"/>
      <w:szCs w:val="20"/>
    </w:rPr>
  </w:style>
  <w:style w:type="paragraph" w:customStyle="1" w:styleId="586">
    <w:name w:val="Char1 Char Char Char2"/>
    <w:basedOn w:val="1"/>
    <w:qFormat/>
    <w:uiPriority w:val="0"/>
    <w:pPr>
      <w:adjustRightInd/>
      <w:ind w:firstLine="200" w:firstLineChars="200"/>
    </w:pPr>
    <w:rPr>
      <w:rFonts w:ascii="Tahoma" w:hAnsi="Tahoma"/>
      <w:sz w:val="24"/>
      <w:szCs w:val="20"/>
    </w:rPr>
  </w:style>
  <w:style w:type="paragraph" w:customStyle="1" w:styleId="587">
    <w:name w:val="彩色列表 - 强调文字颜色 12"/>
    <w:basedOn w:val="1"/>
    <w:qFormat/>
    <w:uiPriority w:val="0"/>
    <w:pPr>
      <w:adjustRightInd/>
      <w:ind w:firstLine="420" w:firstLineChars="200"/>
    </w:pPr>
    <w:rPr>
      <w:rFonts w:ascii="Calibri" w:hAnsi="Calibri"/>
      <w:szCs w:val="22"/>
    </w:rPr>
  </w:style>
  <w:style w:type="paragraph" w:customStyle="1" w:styleId="58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8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9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91">
    <w:name w:val="默认段落字体 Para Char Char Char Char"/>
    <w:basedOn w:val="1"/>
    <w:qFormat/>
    <w:uiPriority w:val="0"/>
    <w:pPr>
      <w:spacing w:line="360" w:lineRule="auto"/>
    </w:pPr>
    <w:rPr>
      <w:szCs w:val="20"/>
    </w:rPr>
  </w:style>
  <w:style w:type="paragraph" w:customStyle="1" w:styleId="592">
    <w:name w:val="列出段落5"/>
    <w:basedOn w:val="1"/>
    <w:qFormat/>
    <w:uiPriority w:val="0"/>
    <w:pPr>
      <w:spacing w:line="360" w:lineRule="auto"/>
      <w:ind w:firstLine="200" w:firstLineChars="200"/>
    </w:pPr>
    <w:rPr>
      <w:rFonts w:eastAsia="楷体_GB2312" w:cs="Lucida Sans"/>
      <w:sz w:val="24"/>
    </w:rPr>
  </w:style>
  <w:style w:type="paragraph" w:customStyle="1" w:styleId="59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94">
    <w:name w:val="FA正文"/>
    <w:basedOn w:val="1"/>
    <w:qFormat/>
    <w:uiPriority w:val="0"/>
    <w:pPr>
      <w:spacing w:line="360" w:lineRule="auto"/>
      <w:ind w:firstLine="480" w:firstLineChars="200"/>
    </w:pPr>
    <w:rPr>
      <w:rFonts w:hAnsi="宋体"/>
      <w:sz w:val="24"/>
      <w:szCs w:val="20"/>
    </w:rPr>
  </w:style>
  <w:style w:type="paragraph" w:customStyle="1" w:styleId="595">
    <w:name w:val="Char Char1 Char Char Char Char Char Char"/>
    <w:basedOn w:val="1"/>
    <w:qFormat/>
    <w:uiPriority w:val="0"/>
    <w:rPr>
      <w:rFonts w:ascii="仿宋_GB2312" w:eastAsia="仿宋_GB2312"/>
      <w:b/>
      <w:sz w:val="32"/>
      <w:szCs w:val="20"/>
    </w:rPr>
  </w:style>
  <w:style w:type="paragraph" w:customStyle="1" w:styleId="59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9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98">
    <w:name w:val="数字标题1"/>
    <w:basedOn w:val="5"/>
    <w:next w:val="1"/>
    <w:qFormat/>
    <w:uiPriority w:val="0"/>
    <w:pPr>
      <w:tabs>
        <w:tab w:val="left" w:pos="480"/>
      </w:tabs>
      <w:ind w:left="480" w:hanging="480"/>
    </w:pPr>
  </w:style>
  <w:style w:type="paragraph" w:customStyle="1" w:styleId="59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0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60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60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0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606">
    <w:name w:val="Char2 Char Char Char2"/>
    <w:basedOn w:val="1"/>
    <w:qFormat/>
    <w:uiPriority w:val="0"/>
    <w:rPr>
      <w:rFonts w:ascii="仿宋_GB2312" w:eastAsia="仿宋_GB2312"/>
      <w:b/>
      <w:sz w:val="32"/>
      <w:szCs w:val="32"/>
    </w:rPr>
  </w:style>
  <w:style w:type="paragraph" w:customStyle="1" w:styleId="60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611">
    <w:name w:val="_Style 12"/>
    <w:basedOn w:val="18"/>
    <w:qFormat/>
    <w:uiPriority w:val="0"/>
    <w:pPr>
      <w:snapToGrid w:val="0"/>
      <w:spacing w:line="360" w:lineRule="auto"/>
    </w:pPr>
  </w:style>
  <w:style w:type="paragraph" w:customStyle="1" w:styleId="6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1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1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61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61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17">
    <w:name w:val="四级条标题"/>
    <w:basedOn w:val="501"/>
    <w:next w:val="505"/>
    <w:qFormat/>
    <w:uiPriority w:val="0"/>
    <w:pPr>
      <w:tabs>
        <w:tab w:val="left" w:pos="2940"/>
        <w:tab w:val="clear" w:pos="2520"/>
      </w:tabs>
      <w:ind w:left="2940"/>
      <w:outlineLvl w:val="5"/>
    </w:pPr>
  </w:style>
  <w:style w:type="paragraph" w:customStyle="1" w:styleId="618">
    <w:name w:val="_Style 8"/>
    <w:basedOn w:val="1"/>
    <w:qFormat/>
    <w:uiPriority w:val="34"/>
    <w:pPr>
      <w:adjustRightInd/>
      <w:ind w:firstLine="420" w:firstLineChars="200"/>
    </w:pPr>
    <w:rPr>
      <w:rFonts w:eastAsia="仿宋_GB2312"/>
      <w:sz w:val="28"/>
    </w:rPr>
  </w:style>
  <w:style w:type="paragraph" w:customStyle="1" w:styleId="61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62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21">
    <w:name w:val="3级标题"/>
    <w:basedOn w:val="510"/>
    <w:qFormat/>
    <w:uiPriority w:val="0"/>
    <w:pPr>
      <w:outlineLvl w:val="2"/>
    </w:pPr>
  </w:style>
  <w:style w:type="paragraph" w:customStyle="1" w:styleId="622">
    <w:name w:val="Char Char110"/>
    <w:basedOn w:val="1"/>
    <w:qFormat/>
    <w:uiPriority w:val="6"/>
    <w:pPr>
      <w:spacing w:line="360" w:lineRule="auto"/>
    </w:pPr>
    <w:rPr>
      <w:rFonts w:ascii="Tahoma" w:hAnsi="Tahoma"/>
      <w:sz w:val="24"/>
      <w:szCs w:val="20"/>
    </w:rPr>
  </w:style>
  <w:style w:type="paragraph" w:customStyle="1" w:styleId="6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24">
    <w:name w:val="Char Char Char 字元 字元"/>
    <w:basedOn w:val="1"/>
    <w:qFormat/>
    <w:uiPriority w:val="0"/>
    <w:pPr>
      <w:adjustRightInd/>
      <w:spacing w:line="360" w:lineRule="auto"/>
      <w:ind w:firstLine="200" w:firstLineChars="200"/>
    </w:pPr>
    <w:rPr>
      <w:szCs w:val="20"/>
    </w:rPr>
  </w:style>
  <w:style w:type="paragraph" w:customStyle="1" w:styleId="62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62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631">
    <w:name w:val="Char23"/>
    <w:basedOn w:val="1"/>
    <w:qFormat/>
    <w:uiPriority w:val="0"/>
    <w:rPr>
      <w:rFonts w:ascii="仿宋_GB2312" w:eastAsia="仿宋_GB2312"/>
      <w:b/>
      <w:sz w:val="32"/>
      <w:szCs w:val="32"/>
    </w:rPr>
  </w:style>
  <w:style w:type="paragraph" w:customStyle="1" w:styleId="632">
    <w:name w:val="数字标题5"/>
    <w:basedOn w:val="2"/>
    <w:next w:val="1"/>
    <w:qFormat/>
    <w:uiPriority w:val="0"/>
    <w:pPr>
      <w:tabs>
        <w:tab w:val="left" w:pos="1080"/>
      </w:tabs>
      <w:ind w:left="1080" w:hanging="1080"/>
    </w:pPr>
  </w:style>
  <w:style w:type="paragraph" w:customStyle="1" w:styleId="633">
    <w:name w:val="Char19"/>
    <w:basedOn w:val="1"/>
    <w:qFormat/>
    <w:uiPriority w:val="0"/>
    <w:pPr>
      <w:adjustRightInd/>
    </w:pPr>
    <w:rPr>
      <w:szCs w:val="20"/>
    </w:rPr>
  </w:style>
  <w:style w:type="paragraph" w:customStyle="1" w:styleId="634">
    <w:name w:val="MM Topic 5"/>
    <w:basedOn w:val="2"/>
    <w:qFormat/>
    <w:uiPriority w:val="0"/>
    <w:pPr>
      <w:tabs>
        <w:tab w:val="left" w:pos="2520"/>
      </w:tabs>
      <w:adjustRightInd/>
      <w:ind w:left="2520" w:hanging="420"/>
    </w:pPr>
  </w:style>
  <w:style w:type="paragraph" w:customStyle="1" w:styleId="635">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63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637">
    <w:name w:val="Char3"/>
    <w:basedOn w:val="1"/>
    <w:qFormat/>
    <w:uiPriority w:val="0"/>
    <w:pPr>
      <w:adjustRightInd/>
    </w:pPr>
    <w:rPr>
      <w:rFonts w:ascii="仿宋_GB2312" w:eastAsia="仿宋_GB2312"/>
      <w:b/>
      <w:sz w:val="32"/>
      <w:szCs w:val="32"/>
    </w:rPr>
  </w:style>
  <w:style w:type="paragraph" w:customStyle="1" w:styleId="638">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639">
    <w:name w:val="左对齐表格文字"/>
    <w:basedOn w:val="1"/>
    <w:qFormat/>
    <w:uiPriority w:val="0"/>
    <w:pPr>
      <w:adjustRightInd/>
      <w:ind w:firstLine="200" w:firstLineChars="200"/>
      <w:jc w:val="right"/>
    </w:pPr>
  </w:style>
  <w:style w:type="paragraph" w:customStyle="1" w:styleId="640">
    <w:name w:val="Char Char Char Char Char Char Char Char Char Char Char Char1 Char1"/>
    <w:basedOn w:val="1"/>
    <w:qFormat/>
    <w:uiPriority w:val="6"/>
    <w:rPr>
      <w:rFonts w:ascii="Tahoma" w:hAnsi="Tahoma" w:cs="仿宋_GB2312"/>
      <w:sz w:val="24"/>
      <w:szCs w:val="20"/>
    </w:rPr>
  </w:style>
  <w:style w:type="paragraph" w:customStyle="1" w:styleId="64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642">
    <w:name w:val="五级条标题"/>
    <w:basedOn w:val="617"/>
    <w:next w:val="505"/>
    <w:qFormat/>
    <w:uiPriority w:val="0"/>
    <w:pPr>
      <w:tabs>
        <w:tab w:val="left" w:pos="3360"/>
      </w:tabs>
      <w:ind w:left="3360"/>
      <w:outlineLvl w:val="6"/>
    </w:pPr>
  </w:style>
  <w:style w:type="paragraph" w:customStyle="1" w:styleId="64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64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645">
    <w:name w:val="样式 样式2 + 左侧:  1 字符 右侧:  1 字符"/>
    <w:basedOn w:val="646"/>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64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648">
    <w:name w:val="_Style 11"/>
    <w:basedOn w:val="1"/>
    <w:qFormat/>
    <w:uiPriority w:val="34"/>
    <w:pPr>
      <w:adjustRightInd/>
      <w:ind w:firstLine="420" w:firstLineChars="200"/>
    </w:pPr>
    <w:rPr>
      <w:rFonts w:eastAsia="仿宋_GB2312"/>
      <w:sz w:val="28"/>
    </w:rPr>
  </w:style>
  <w:style w:type="paragraph" w:customStyle="1" w:styleId="649">
    <w:name w:val="Char Char Char Char Char Char Char Char Char Char"/>
    <w:basedOn w:val="1"/>
    <w:qFormat/>
    <w:uiPriority w:val="0"/>
    <w:rPr>
      <w:rFonts w:ascii="仿宋_GB2312" w:eastAsia="仿宋_GB2312"/>
      <w:b/>
      <w:sz w:val="32"/>
      <w:szCs w:val="32"/>
    </w:rPr>
  </w:style>
  <w:style w:type="paragraph" w:customStyle="1" w:styleId="650">
    <w:name w:val="正文文字表格居中"/>
    <w:basedOn w:val="1"/>
    <w:next w:val="49"/>
    <w:qFormat/>
    <w:uiPriority w:val="0"/>
    <w:pPr>
      <w:snapToGrid w:val="0"/>
      <w:spacing w:line="360" w:lineRule="auto"/>
    </w:pPr>
    <w:rPr>
      <w:rFonts w:ascii="宋体"/>
      <w:b/>
      <w:sz w:val="24"/>
      <w:szCs w:val="20"/>
    </w:rPr>
  </w:style>
  <w:style w:type="paragraph" w:customStyle="1" w:styleId="65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2">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5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54">
    <w:name w:val="Char Char11 Char Char Char2"/>
    <w:basedOn w:val="1"/>
    <w:qFormat/>
    <w:uiPriority w:val="0"/>
    <w:pPr>
      <w:spacing w:line="360" w:lineRule="auto"/>
    </w:pPr>
    <w:rPr>
      <w:szCs w:val="20"/>
    </w:rPr>
  </w:style>
  <w:style w:type="paragraph" w:customStyle="1" w:styleId="65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65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658">
    <w:name w:val="6级标题"/>
    <w:basedOn w:val="659"/>
    <w:qFormat/>
    <w:uiPriority w:val="0"/>
    <w:pPr>
      <w:keepNext/>
      <w:tabs>
        <w:tab w:val="left" w:pos="360"/>
      </w:tabs>
      <w:outlineLvl w:val="5"/>
    </w:pPr>
  </w:style>
  <w:style w:type="paragraph" w:customStyle="1" w:styleId="659">
    <w:name w:val="5级标题"/>
    <w:basedOn w:val="66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660">
    <w:name w:val="4级标题"/>
    <w:basedOn w:val="43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66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662">
    <w:name w:val="表格 内容"/>
    <w:basedOn w:val="663"/>
    <w:qFormat/>
    <w:uiPriority w:val="0"/>
    <w:rPr>
      <w:b w:val="0"/>
      <w:sz w:val="20"/>
    </w:rPr>
  </w:style>
  <w:style w:type="paragraph" w:customStyle="1" w:styleId="66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6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6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6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68">
    <w:name w:val="文章标题"/>
    <w:next w:val="66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669">
    <w:name w:val="封面公司名"/>
    <w:qFormat/>
    <w:uiPriority w:val="0"/>
    <w:pPr>
      <w:jc w:val="center"/>
    </w:pPr>
    <w:rPr>
      <w:rFonts w:ascii="Arial" w:hAnsi="Arial" w:eastAsia="楷体_GB2312" w:cs="宋体"/>
      <w:bCs/>
      <w:kern w:val="2"/>
      <w:sz w:val="28"/>
      <w:lang w:val="en-US" w:eastAsia="zh-CN" w:bidi="ar-SA"/>
    </w:rPr>
  </w:style>
  <w:style w:type="paragraph" w:customStyle="1" w:styleId="67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71">
    <w:name w:val="Char Char Char Char Char Char Char Char"/>
    <w:basedOn w:val="1"/>
    <w:qFormat/>
    <w:uiPriority w:val="0"/>
    <w:pPr>
      <w:tabs>
        <w:tab w:val="left" w:pos="360"/>
      </w:tabs>
    </w:pPr>
    <w:rPr>
      <w:sz w:val="24"/>
      <w:szCs w:val="20"/>
    </w:rPr>
  </w:style>
  <w:style w:type="paragraph" w:customStyle="1" w:styleId="672">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6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674">
    <w:name w:val="Char3 Char Char Char11"/>
    <w:basedOn w:val="1"/>
    <w:qFormat/>
    <w:uiPriority w:val="0"/>
    <w:pPr>
      <w:widowControl/>
      <w:adjustRightInd/>
      <w:spacing w:after="160" w:line="240" w:lineRule="exact"/>
      <w:jc w:val="left"/>
    </w:pPr>
    <w:rPr>
      <w:szCs w:val="20"/>
    </w:rPr>
  </w:style>
  <w:style w:type="paragraph" w:customStyle="1" w:styleId="6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67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7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78">
    <w:name w:val="表文字"/>
    <w:qFormat/>
    <w:uiPriority w:val="0"/>
    <w:rPr>
      <w:rFonts w:ascii="宋体" w:hAnsi="Times New Roman" w:eastAsia="宋体" w:cs="Times New Roman"/>
      <w:kern w:val="2"/>
      <w:lang w:val="en-US" w:eastAsia="zh-CN" w:bidi="ar-SA"/>
    </w:rPr>
  </w:style>
  <w:style w:type="paragraph" w:customStyle="1" w:styleId="6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80">
    <w:name w:val="Char2 Char Char"/>
    <w:basedOn w:val="1"/>
    <w:qFormat/>
    <w:uiPriority w:val="0"/>
    <w:pPr>
      <w:adjustRightInd/>
    </w:pPr>
    <w:rPr>
      <w:rFonts w:ascii="Tahoma" w:hAnsi="Tahoma"/>
      <w:sz w:val="24"/>
      <w:szCs w:val="20"/>
    </w:rPr>
  </w:style>
  <w:style w:type="paragraph" w:customStyle="1" w:styleId="68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82">
    <w:name w:val="a1"/>
    <w:basedOn w:val="1"/>
    <w:qFormat/>
    <w:uiPriority w:val="0"/>
    <w:pPr>
      <w:widowControl/>
      <w:spacing w:line="300" w:lineRule="atLeast"/>
      <w:jc w:val="left"/>
    </w:pPr>
    <w:rPr>
      <w:rFonts w:ascii="宋体" w:hAnsi="宋体"/>
      <w:kern w:val="0"/>
      <w:sz w:val="18"/>
      <w:szCs w:val="20"/>
    </w:rPr>
  </w:style>
  <w:style w:type="paragraph" w:customStyle="1" w:styleId="68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84">
    <w:name w:val="Char Char1 Char Char Char2"/>
    <w:basedOn w:val="1"/>
    <w:qFormat/>
    <w:uiPriority w:val="0"/>
    <w:rPr>
      <w:rFonts w:ascii="仿宋_GB2312" w:eastAsia="仿宋_GB2312"/>
      <w:b/>
      <w:sz w:val="32"/>
      <w:szCs w:val="32"/>
    </w:rPr>
  </w:style>
  <w:style w:type="paragraph" w:customStyle="1" w:styleId="685">
    <w:name w:val="Char Char Char Char Char Char Char2"/>
    <w:basedOn w:val="1"/>
    <w:qFormat/>
    <w:uiPriority w:val="0"/>
    <w:rPr>
      <w:rFonts w:ascii="仿宋_GB2312" w:eastAsia="仿宋_GB2312"/>
      <w:b/>
      <w:sz w:val="32"/>
      <w:szCs w:val="32"/>
    </w:rPr>
  </w:style>
  <w:style w:type="paragraph" w:customStyle="1" w:styleId="68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8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88">
    <w:name w:val="Char1"/>
    <w:basedOn w:val="1"/>
    <w:qFormat/>
    <w:uiPriority w:val="0"/>
    <w:rPr>
      <w:rFonts w:ascii="仿宋_GB2312" w:eastAsia="仿宋_GB2312"/>
      <w:b/>
      <w:sz w:val="32"/>
      <w:szCs w:val="32"/>
    </w:rPr>
  </w:style>
  <w:style w:type="paragraph" w:customStyle="1" w:styleId="689">
    <w:name w:val="表格标题2"/>
    <w:basedOn w:val="690"/>
    <w:qFormat/>
    <w:uiPriority w:val="0"/>
    <w:rPr>
      <w:b/>
    </w:rPr>
  </w:style>
  <w:style w:type="paragraph" w:customStyle="1" w:styleId="690">
    <w:name w:val="表格内文"/>
    <w:basedOn w:val="1"/>
    <w:qFormat/>
    <w:uiPriority w:val="0"/>
    <w:pPr>
      <w:adjustRightInd/>
      <w:spacing w:line="360" w:lineRule="auto"/>
    </w:pPr>
    <w:rPr>
      <w:rFonts w:ascii="宋体" w:hAnsi="宋体" w:cs="宋体"/>
      <w:color w:val="000000"/>
      <w:szCs w:val="20"/>
    </w:rPr>
  </w:style>
  <w:style w:type="paragraph" w:customStyle="1" w:styleId="691">
    <w:name w:val="样式 左侧:  0.85 厘米"/>
    <w:basedOn w:val="1"/>
    <w:qFormat/>
    <w:uiPriority w:val="2"/>
    <w:pPr>
      <w:adjustRightInd/>
      <w:spacing w:line="360" w:lineRule="auto"/>
    </w:pPr>
    <w:rPr>
      <w:rFonts w:cs="宋体"/>
      <w:sz w:val="24"/>
      <w:szCs w:val="20"/>
    </w:rPr>
  </w:style>
  <w:style w:type="paragraph" w:customStyle="1" w:styleId="692">
    <w:name w:val="正文1"/>
    <w:basedOn w:val="91"/>
    <w:qFormat/>
    <w:uiPriority w:val="0"/>
    <w:pPr>
      <w:ind w:left="0" w:leftChars="0" w:firstLine="480" w:firstLineChars="200"/>
    </w:pPr>
    <w:rPr>
      <w:rFonts w:ascii="仿宋_GB2312" w:hAnsi="Courier New" w:eastAsia="仿宋_GB2312"/>
      <w:kern w:val="28"/>
      <w:sz w:val="24"/>
    </w:rPr>
  </w:style>
  <w:style w:type="paragraph" w:customStyle="1" w:styleId="693">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94">
    <w:name w:val="样式 标题 3H3 + 两端对齐"/>
    <w:basedOn w:val="7"/>
    <w:qFormat/>
    <w:uiPriority w:val="0"/>
    <w:pPr>
      <w:keepLines w:val="0"/>
      <w:spacing w:before="0" w:after="0" w:line="240" w:lineRule="auto"/>
      <w:jc w:val="left"/>
    </w:pPr>
    <w:rPr>
      <w:rFonts w:cs="宋体"/>
      <w:sz w:val="21"/>
      <w:szCs w:val="20"/>
    </w:rPr>
  </w:style>
  <w:style w:type="paragraph" w:customStyle="1" w:styleId="69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98">
    <w:name w:val="Char Char Char Char Char Char Char Char Char Char Char Char1 Char2"/>
    <w:basedOn w:val="1"/>
    <w:qFormat/>
    <w:uiPriority w:val="0"/>
    <w:rPr>
      <w:rFonts w:ascii="Tahoma" w:hAnsi="Tahoma" w:cs="仿宋_GB2312"/>
      <w:sz w:val="24"/>
      <w:szCs w:val="20"/>
    </w:rPr>
  </w:style>
  <w:style w:type="paragraph" w:customStyle="1" w:styleId="69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700">
    <w:name w:val="标书表格字体格式"/>
    <w:next w:val="701"/>
    <w:qFormat/>
    <w:uiPriority w:val="0"/>
    <w:rPr>
      <w:rFonts w:ascii="Times New Roman" w:hAnsi="Times New Roman" w:eastAsia="宋体" w:cs="Times New Roman"/>
      <w:kern w:val="2"/>
      <w:sz w:val="21"/>
      <w:szCs w:val="24"/>
      <w:lang w:val="en-US" w:eastAsia="zh-CN" w:bidi="ar-SA"/>
    </w:rPr>
  </w:style>
  <w:style w:type="paragraph" w:customStyle="1" w:styleId="70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0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7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70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05">
    <w:name w:val="Char1 Char Char Char21"/>
    <w:basedOn w:val="1"/>
    <w:qFormat/>
    <w:uiPriority w:val="0"/>
    <w:rPr>
      <w:rFonts w:ascii="Tahoma" w:hAnsi="Tahoma"/>
      <w:sz w:val="24"/>
      <w:szCs w:val="20"/>
    </w:rPr>
  </w:style>
  <w:style w:type="paragraph" w:customStyle="1" w:styleId="706">
    <w:name w:val="Table Paragraph"/>
    <w:basedOn w:val="1"/>
    <w:qFormat/>
    <w:uiPriority w:val="0"/>
    <w:pPr>
      <w:adjustRightInd/>
      <w:jc w:val="left"/>
    </w:pPr>
    <w:rPr>
      <w:rFonts w:ascii="Calibri" w:hAnsi="Calibri"/>
      <w:kern w:val="0"/>
      <w:sz w:val="22"/>
      <w:szCs w:val="22"/>
      <w:lang w:eastAsia="en-US"/>
    </w:rPr>
  </w:style>
  <w:style w:type="paragraph" w:customStyle="1" w:styleId="70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70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0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71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11">
    <w:name w:val="MM Topic 1"/>
    <w:basedOn w:val="5"/>
    <w:qFormat/>
    <w:uiPriority w:val="0"/>
    <w:pPr>
      <w:tabs>
        <w:tab w:val="left" w:pos="840"/>
      </w:tabs>
      <w:adjustRightInd/>
      <w:ind w:left="840" w:hanging="420"/>
    </w:pPr>
  </w:style>
  <w:style w:type="paragraph" w:customStyle="1" w:styleId="71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71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1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1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16">
    <w:name w:val="MM Topic 4"/>
    <w:basedOn w:val="8"/>
    <w:qFormat/>
    <w:uiPriority w:val="0"/>
    <w:pPr>
      <w:tabs>
        <w:tab w:val="left" w:pos="2100"/>
      </w:tabs>
      <w:adjustRightInd/>
      <w:ind w:left="2100" w:hanging="420"/>
    </w:pPr>
    <w:rPr>
      <w:lang w:val="en-US"/>
    </w:rPr>
  </w:style>
  <w:style w:type="paragraph" w:customStyle="1" w:styleId="717">
    <w:name w:val="标准小四"/>
    <w:basedOn w:val="1"/>
    <w:qFormat/>
    <w:uiPriority w:val="0"/>
    <w:pPr>
      <w:spacing w:line="360" w:lineRule="auto"/>
      <w:ind w:firstLine="480" w:firstLineChars="200"/>
    </w:pPr>
    <w:rPr>
      <w:rFonts w:ascii="Arial" w:hAnsi="Arial"/>
      <w:sz w:val="24"/>
      <w:szCs w:val="21"/>
    </w:rPr>
  </w:style>
  <w:style w:type="paragraph" w:customStyle="1" w:styleId="71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719">
    <w:name w:val="Char Char Char Char"/>
    <w:basedOn w:val="1"/>
    <w:qFormat/>
    <w:uiPriority w:val="0"/>
    <w:rPr>
      <w:rFonts w:ascii="Tahoma" w:hAnsi="Tahoma"/>
      <w:sz w:val="24"/>
      <w:szCs w:val="20"/>
    </w:rPr>
  </w:style>
  <w:style w:type="paragraph" w:customStyle="1" w:styleId="72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72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22">
    <w:name w:val="彩色列表 - 强调文字颜色 11"/>
    <w:basedOn w:val="1"/>
    <w:qFormat/>
    <w:uiPriority w:val="0"/>
    <w:pPr>
      <w:adjustRightInd/>
      <w:ind w:firstLine="420" w:firstLineChars="200"/>
    </w:pPr>
    <w:rPr>
      <w:rFonts w:ascii="Calibri" w:hAnsi="Calibri"/>
      <w:szCs w:val="22"/>
    </w:rPr>
  </w:style>
  <w:style w:type="paragraph" w:customStyle="1" w:styleId="72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724">
    <w:name w:val="Proposals body"/>
    <w:basedOn w:val="1"/>
    <w:next w:val="1"/>
    <w:qFormat/>
    <w:uiPriority w:val="0"/>
    <w:pPr>
      <w:widowControl/>
      <w:spacing w:line="460" w:lineRule="exact"/>
      <w:jc w:val="left"/>
    </w:pPr>
    <w:rPr>
      <w:rFonts w:ascii="仿宋_GB2312" w:eastAsia="仿宋_GB2312"/>
      <w:snapToGrid w:val="0"/>
      <w:kern w:val="0"/>
      <w:sz w:val="24"/>
    </w:rPr>
  </w:style>
  <w:style w:type="paragraph" w:customStyle="1" w:styleId="72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2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8">
    <w:name w:val="文档正文"/>
    <w:basedOn w:val="1"/>
    <w:qFormat/>
    <w:uiPriority w:val="0"/>
    <w:pPr>
      <w:spacing w:line="480" w:lineRule="atLeast"/>
      <w:ind w:firstLine="567"/>
      <w:textAlignment w:val="baseline"/>
    </w:pPr>
    <w:rPr>
      <w:kern w:val="0"/>
      <w:sz w:val="24"/>
      <w:szCs w:val="20"/>
    </w:rPr>
  </w:style>
  <w:style w:type="paragraph" w:customStyle="1" w:styleId="72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30">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33">
    <w:name w:val="Char2 Char Char1"/>
    <w:basedOn w:val="1"/>
    <w:qFormat/>
    <w:uiPriority w:val="6"/>
    <w:pPr>
      <w:adjustRightInd/>
    </w:pPr>
    <w:rPr>
      <w:rFonts w:ascii="Tahoma" w:hAnsi="Tahoma"/>
      <w:sz w:val="24"/>
      <w:szCs w:val="20"/>
    </w:rPr>
  </w:style>
  <w:style w:type="paragraph" w:customStyle="1" w:styleId="734">
    <w:name w:val="List Paragraph1"/>
    <w:basedOn w:val="1"/>
    <w:qFormat/>
    <w:uiPriority w:val="0"/>
    <w:pPr>
      <w:spacing w:line="360" w:lineRule="auto"/>
      <w:ind w:firstLine="200" w:firstLineChars="200"/>
    </w:pPr>
    <w:rPr>
      <w:rFonts w:eastAsia="楷体_GB2312" w:cs="Lucida Sans"/>
      <w:sz w:val="24"/>
    </w:rPr>
  </w:style>
  <w:style w:type="paragraph" w:customStyle="1" w:styleId="7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36">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737">
    <w:name w:val="EB_表格"/>
    <w:basedOn w:val="1"/>
    <w:qFormat/>
    <w:uiPriority w:val="0"/>
    <w:pPr>
      <w:adjustRightInd/>
      <w:spacing w:line="300" w:lineRule="auto"/>
      <w:jc w:val="center"/>
    </w:pPr>
  </w:style>
  <w:style w:type="paragraph" w:customStyle="1" w:styleId="73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3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740">
    <w:name w:val="Char Char1 Char Char Char"/>
    <w:basedOn w:val="1"/>
    <w:qFormat/>
    <w:uiPriority w:val="0"/>
    <w:rPr>
      <w:rFonts w:ascii="仿宋_GB2312" w:eastAsia="仿宋_GB2312"/>
      <w:b/>
      <w:sz w:val="32"/>
      <w:szCs w:val="20"/>
    </w:rPr>
  </w:style>
  <w:style w:type="paragraph" w:customStyle="1" w:styleId="741">
    <w:name w:val="修订3"/>
    <w:qFormat/>
    <w:uiPriority w:val="0"/>
    <w:rPr>
      <w:rFonts w:ascii="Times New Roman" w:hAnsi="Times New Roman" w:eastAsia="宋体" w:cs="Times New Roman"/>
      <w:kern w:val="2"/>
      <w:sz w:val="21"/>
      <w:lang w:val="en-US" w:eastAsia="zh-CN" w:bidi="ar-SA"/>
    </w:rPr>
  </w:style>
  <w:style w:type="paragraph" w:customStyle="1" w:styleId="742">
    <w:name w:val="正文 项目2"/>
    <w:basedOn w:val="613"/>
    <w:qFormat/>
    <w:uiPriority w:val="0"/>
    <w:pPr>
      <w:spacing w:after="0"/>
      <w:ind w:left="900"/>
    </w:pPr>
  </w:style>
  <w:style w:type="paragraph" w:customStyle="1" w:styleId="743">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44">
    <w:name w:val="Char Char1 Char Char Char1"/>
    <w:basedOn w:val="1"/>
    <w:qFormat/>
    <w:uiPriority w:val="6"/>
    <w:rPr>
      <w:rFonts w:ascii="仿宋_GB2312" w:eastAsia="仿宋_GB2312"/>
      <w:b/>
      <w:sz w:val="32"/>
      <w:szCs w:val="20"/>
    </w:rPr>
  </w:style>
  <w:style w:type="paragraph" w:customStyle="1" w:styleId="745">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74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47">
    <w:name w:val="Char1 Char Char Char3"/>
    <w:basedOn w:val="1"/>
    <w:qFormat/>
    <w:uiPriority w:val="0"/>
    <w:pPr>
      <w:adjustRightInd/>
      <w:ind w:firstLine="200" w:firstLineChars="200"/>
    </w:pPr>
    <w:rPr>
      <w:rFonts w:ascii="Tahoma" w:hAnsi="Tahoma"/>
      <w:sz w:val="24"/>
      <w:szCs w:val="20"/>
    </w:rPr>
  </w:style>
  <w:style w:type="paragraph" w:customStyle="1" w:styleId="74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49">
    <w:name w:val="MM Title"/>
    <w:basedOn w:val="5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5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51">
    <w:name w:val="Char Char11 Char Char Char Char Char Char Char Char Char"/>
    <w:basedOn w:val="1"/>
    <w:qFormat/>
    <w:uiPriority w:val="0"/>
    <w:pPr>
      <w:spacing w:line="360" w:lineRule="auto"/>
    </w:pPr>
    <w:rPr>
      <w:szCs w:val="20"/>
    </w:rPr>
  </w:style>
  <w:style w:type="paragraph" w:customStyle="1" w:styleId="752">
    <w:name w:val="U_编号2"/>
    <w:basedOn w:val="1"/>
    <w:qFormat/>
    <w:uiPriority w:val="0"/>
    <w:pPr>
      <w:tabs>
        <w:tab w:val="left" w:pos="785"/>
      </w:tabs>
      <w:adjustRightInd/>
      <w:spacing w:beforeLines="10" w:afterLines="10" w:line="300" w:lineRule="auto"/>
    </w:pPr>
    <w:rPr>
      <w:sz w:val="24"/>
    </w:rPr>
  </w:style>
  <w:style w:type="paragraph" w:customStyle="1" w:styleId="75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5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75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75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5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6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6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62">
    <w:name w:val="Char Char113"/>
    <w:basedOn w:val="1"/>
    <w:qFormat/>
    <w:uiPriority w:val="0"/>
    <w:pPr>
      <w:widowControl/>
      <w:spacing w:after="160" w:line="240" w:lineRule="exact"/>
      <w:jc w:val="left"/>
    </w:pPr>
    <w:rPr>
      <w:rFonts w:eastAsia="仿宋_GB2312"/>
      <w:sz w:val="28"/>
    </w:rPr>
  </w:style>
  <w:style w:type="paragraph" w:customStyle="1" w:styleId="76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64">
    <w:name w:val="加粗正文"/>
    <w:basedOn w:val="1"/>
    <w:qFormat/>
    <w:uiPriority w:val="0"/>
    <w:pPr>
      <w:adjustRightInd/>
      <w:spacing w:beforeLines="50" w:afterLines="50" w:line="360" w:lineRule="auto"/>
      <w:ind w:firstLine="422" w:firstLineChars="200"/>
    </w:pPr>
    <w:rPr>
      <w:b/>
      <w:bCs/>
      <w:szCs w:val="21"/>
    </w:rPr>
  </w:style>
  <w:style w:type="paragraph" w:customStyle="1" w:styleId="765">
    <w:name w:val="Char2 Char Char Char"/>
    <w:basedOn w:val="1"/>
    <w:qFormat/>
    <w:uiPriority w:val="0"/>
    <w:rPr>
      <w:rFonts w:ascii="仿宋_GB2312" w:eastAsia="仿宋_GB2312"/>
      <w:b/>
      <w:sz w:val="32"/>
      <w:szCs w:val="32"/>
    </w:rPr>
  </w:style>
  <w:style w:type="paragraph" w:customStyle="1" w:styleId="76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7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7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69">
    <w:name w:val="封面"/>
    <w:basedOn w:val="1"/>
    <w:qFormat/>
    <w:uiPriority w:val="0"/>
    <w:pPr>
      <w:spacing w:line="360" w:lineRule="atLeast"/>
      <w:jc w:val="right"/>
      <w:textAlignment w:val="baseline"/>
    </w:pPr>
    <w:rPr>
      <w:rFonts w:ascii="Symbol" w:hAnsi="Symbol"/>
      <w:kern w:val="0"/>
      <w:szCs w:val="20"/>
    </w:rPr>
  </w:style>
  <w:style w:type="paragraph" w:customStyle="1" w:styleId="770">
    <w:name w:val="Char Char111"/>
    <w:basedOn w:val="1"/>
    <w:qFormat/>
    <w:uiPriority w:val="0"/>
    <w:pPr>
      <w:spacing w:line="360" w:lineRule="auto"/>
    </w:pPr>
    <w:rPr>
      <w:szCs w:val="20"/>
    </w:rPr>
  </w:style>
  <w:style w:type="paragraph" w:customStyle="1" w:styleId="771">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772">
    <w:name w:val="Char1 Char Char Char4"/>
    <w:basedOn w:val="1"/>
    <w:qFormat/>
    <w:uiPriority w:val="0"/>
    <w:pPr>
      <w:adjustRightInd/>
      <w:ind w:firstLine="200" w:firstLineChars="200"/>
    </w:pPr>
    <w:rPr>
      <w:rFonts w:ascii="Tahoma" w:hAnsi="Tahoma"/>
      <w:sz w:val="24"/>
      <w:szCs w:val="20"/>
    </w:rPr>
  </w:style>
  <w:style w:type="paragraph" w:customStyle="1" w:styleId="77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74">
    <w:name w:val="四号　首行缩进"/>
    <w:basedOn w:val="1"/>
    <w:qFormat/>
    <w:uiPriority w:val="0"/>
    <w:pPr>
      <w:adjustRightInd/>
      <w:spacing w:line="360" w:lineRule="auto"/>
    </w:pPr>
    <w:rPr>
      <w:rFonts w:ascii="宋体" w:hAnsi="宋体"/>
      <w:szCs w:val="20"/>
    </w:rPr>
  </w:style>
  <w:style w:type="paragraph" w:customStyle="1" w:styleId="775">
    <w:name w:val="_标题2"/>
    <w:basedOn w:val="776"/>
    <w:next w:val="776"/>
    <w:qFormat/>
    <w:uiPriority w:val="0"/>
    <w:pPr>
      <w:widowControl w:val="0"/>
      <w:tabs>
        <w:tab w:val="left" w:pos="480"/>
      </w:tabs>
      <w:spacing w:beforeLines="50" w:afterLines="50"/>
      <w:ind w:left="50" w:leftChars="50" w:hanging="420" w:firstLineChars="0"/>
      <w:outlineLvl w:val="1"/>
    </w:pPr>
    <w:rPr>
      <w:b/>
      <w:sz w:val="36"/>
    </w:rPr>
  </w:style>
  <w:style w:type="paragraph" w:customStyle="1" w:styleId="77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778">
    <w:name w:val="Char Char Char1 Char2"/>
    <w:basedOn w:val="1"/>
    <w:qFormat/>
    <w:uiPriority w:val="0"/>
    <w:rPr>
      <w:szCs w:val="20"/>
    </w:rPr>
  </w:style>
  <w:style w:type="paragraph" w:customStyle="1" w:styleId="779">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780">
    <w:name w:val="Char Char1 Char Char Char Char Char Char1"/>
    <w:basedOn w:val="1"/>
    <w:qFormat/>
    <w:uiPriority w:val="0"/>
    <w:rPr>
      <w:rFonts w:ascii="仿宋_GB2312" w:eastAsia="仿宋_GB2312"/>
      <w:b/>
      <w:sz w:val="32"/>
      <w:szCs w:val="20"/>
    </w:rPr>
  </w:style>
  <w:style w:type="paragraph" w:customStyle="1" w:styleId="78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78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8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84">
    <w:name w:val="注释"/>
    <w:basedOn w:val="1"/>
    <w:qFormat/>
    <w:uiPriority w:val="0"/>
    <w:pPr>
      <w:adjustRightInd/>
      <w:spacing w:line="360" w:lineRule="auto"/>
      <w:ind w:firstLine="480"/>
    </w:pPr>
    <w:rPr>
      <w:sz w:val="24"/>
    </w:rPr>
  </w:style>
  <w:style w:type="paragraph" w:customStyle="1" w:styleId="78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8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78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78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91">
    <w:name w:val="纯文本2"/>
    <w:basedOn w:val="1"/>
    <w:qFormat/>
    <w:uiPriority w:val="0"/>
    <w:pPr>
      <w:adjustRightInd/>
      <w:snapToGrid w:val="0"/>
      <w:jc w:val="left"/>
    </w:pPr>
    <w:rPr>
      <w:rFonts w:ascii="Century Gothic" w:hAnsi="楷体_GB2312" w:eastAsia="Century Gothic"/>
      <w:szCs w:val="20"/>
    </w:rPr>
  </w:style>
  <w:style w:type="paragraph" w:customStyle="1" w:styleId="79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9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4">
    <w:name w:val="Bulleted List"/>
    <w:basedOn w:val="1"/>
    <w:qFormat/>
    <w:uiPriority w:val="0"/>
    <w:pPr>
      <w:tabs>
        <w:tab w:val="left" w:pos="1260"/>
      </w:tabs>
      <w:adjustRightInd/>
      <w:ind w:left="1260" w:hanging="420"/>
    </w:pPr>
  </w:style>
  <w:style w:type="paragraph" w:customStyle="1" w:styleId="79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796">
    <w:name w:val="Char"/>
    <w:basedOn w:val="1"/>
    <w:qFormat/>
    <w:uiPriority w:val="0"/>
    <w:rPr>
      <w:rFonts w:ascii="仿宋_GB2312" w:eastAsia="仿宋_GB2312"/>
      <w:b/>
      <w:sz w:val="32"/>
      <w:szCs w:val="32"/>
    </w:rPr>
  </w:style>
  <w:style w:type="paragraph" w:customStyle="1" w:styleId="797">
    <w:name w:val="Char Char Char"/>
    <w:basedOn w:val="1"/>
    <w:qFormat/>
    <w:uiPriority w:val="0"/>
    <w:rPr>
      <w:rFonts w:ascii="Tahoma" w:hAnsi="Tahoma"/>
      <w:sz w:val="24"/>
      <w:szCs w:val="20"/>
    </w:rPr>
  </w:style>
  <w:style w:type="paragraph" w:customStyle="1" w:styleId="79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9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80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801">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80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80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806">
    <w:name w:val="Char Char112"/>
    <w:basedOn w:val="1"/>
    <w:qFormat/>
    <w:uiPriority w:val="6"/>
    <w:pPr>
      <w:widowControl/>
      <w:spacing w:after="160" w:line="240" w:lineRule="exact"/>
      <w:jc w:val="left"/>
    </w:pPr>
    <w:rPr>
      <w:rFonts w:eastAsia="仿宋_GB2312"/>
      <w:sz w:val="28"/>
    </w:rPr>
  </w:style>
  <w:style w:type="paragraph" w:customStyle="1" w:styleId="8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08">
    <w:name w:val="P1"/>
    <w:basedOn w:val="1"/>
    <w:qFormat/>
    <w:uiPriority w:val="0"/>
    <w:pPr>
      <w:adjustRightInd/>
      <w:spacing w:line="288" w:lineRule="auto"/>
      <w:ind w:firstLine="425" w:firstLineChars="200"/>
    </w:pPr>
  </w:style>
  <w:style w:type="paragraph" w:customStyle="1" w:styleId="809">
    <w:name w:val="正文文字 2"/>
    <w:basedOn w:val="186"/>
    <w:next w:val="186"/>
    <w:qFormat/>
    <w:uiPriority w:val="0"/>
    <w:rPr>
      <w:rFonts w:ascii="宋体" w:eastAsia="宋体" w:cs="Times New Roman"/>
      <w:color w:val="auto"/>
    </w:rPr>
  </w:style>
  <w:style w:type="paragraph" w:customStyle="1" w:styleId="81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81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1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813">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81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1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16">
    <w:name w:val="修订2"/>
    <w:qFormat/>
    <w:uiPriority w:val="0"/>
    <w:rPr>
      <w:rFonts w:ascii="Times New Roman" w:hAnsi="Times New Roman" w:eastAsia="宋体" w:cs="Times New Roman"/>
      <w:kern w:val="2"/>
      <w:sz w:val="21"/>
      <w:lang w:val="en-US" w:eastAsia="zh-CN" w:bidi="ar-SA"/>
    </w:rPr>
  </w:style>
  <w:style w:type="paragraph" w:customStyle="1" w:styleId="81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18">
    <w:name w:val="首行缩进"/>
    <w:basedOn w:val="1"/>
    <w:qFormat/>
    <w:uiPriority w:val="0"/>
    <w:pPr>
      <w:spacing w:line="360" w:lineRule="auto"/>
      <w:ind w:firstLine="480" w:firstLineChars="200"/>
    </w:pPr>
    <w:rPr>
      <w:rFonts w:ascii="宋体"/>
      <w:sz w:val="24"/>
      <w:szCs w:val="20"/>
    </w:rPr>
  </w:style>
  <w:style w:type="paragraph" w:customStyle="1" w:styleId="81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82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21">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2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824">
    <w:name w:val="正文（标题三）"/>
    <w:basedOn w:val="1"/>
    <w:qFormat/>
    <w:uiPriority w:val="0"/>
    <w:pPr>
      <w:spacing w:line="360" w:lineRule="auto"/>
      <w:ind w:firstLine="200" w:firstLineChars="200"/>
    </w:pPr>
    <w:rPr>
      <w:sz w:val="24"/>
    </w:rPr>
  </w:style>
  <w:style w:type="paragraph" w:customStyle="1" w:styleId="82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826">
    <w:name w:val="Char Char Char Char Char Char Char Char Char Char2"/>
    <w:basedOn w:val="1"/>
    <w:qFormat/>
    <w:uiPriority w:val="0"/>
    <w:rPr>
      <w:rFonts w:ascii="仿宋_GB2312" w:eastAsia="仿宋_GB2312"/>
      <w:b/>
      <w:sz w:val="32"/>
      <w:szCs w:val="32"/>
    </w:rPr>
  </w:style>
  <w:style w:type="paragraph" w:customStyle="1" w:styleId="82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828">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2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30">
    <w:name w:val="正文 内标"/>
    <w:basedOn w:val="708"/>
    <w:qFormat/>
    <w:uiPriority w:val="0"/>
    <w:pPr>
      <w:tabs>
        <w:tab w:val="left" w:pos="0"/>
      </w:tabs>
      <w:ind w:left="900" w:firstLine="0" w:firstLineChars="0"/>
    </w:pPr>
  </w:style>
  <w:style w:type="paragraph" w:customStyle="1" w:styleId="83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3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3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834">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835">
    <w:name w:val="WW-正文文字缩进 2"/>
    <w:basedOn w:val="1"/>
    <w:qFormat/>
    <w:uiPriority w:val="0"/>
    <w:pPr>
      <w:suppressAutoHyphens/>
      <w:adjustRightInd/>
      <w:ind w:firstLine="420"/>
    </w:pPr>
    <w:rPr>
      <w:kern w:val="1"/>
      <w:szCs w:val="20"/>
    </w:rPr>
  </w:style>
  <w:style w:type="paragraph" w:customStyle="1" w:styleId="836">
    <w:name w:val="Plain Text1"/>
    <w:basedOn w:val="1"/>
    <w:qFormat/>
    <w:uiPriority w:val="7"/>
    <w:pPr>
      <w:adjustRightInd/>
    </w:pPr>
    <w:rPr>
      <w:rFonts w:ascii="宋体" w:hAnsi="Courier New"/>
    </w:rPr>
  </w:style>
  <w:style w:type="paragraph" w:customStyle="1" w:styleId="83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838">
    <w:name w:val="Char1 Char Char Char5"/>
    <w:basedOn w:val="1"/>
    <w:qFormat/>
    <w:uiPriority w:val="0"/>
    <w:pPr>
      <w:adjustRightInd/>
      <w:ind w:firstLine="200" w:firstLineChars="200"/>
    </w:pPr>
    <w:rPr>
      <w:rFonts w:ascii="Tahoma" w:hAnsi="Tahoma"/>
      <w:sz w:val="24"/>
      <w:szCs w:val="20"/>
    </w:rPr>
  </w:style>
  <w:style w:type="paragraph" w:customStyle="1" w:styleId="839">
    <w:name w:val="正文 图"/>
    <w:basedOn w:val="490"/>
    <w:qFormat/>
    <w:uiPriority w:val="0"/>
    <w:pPr>
      <w:adjustRightInd/>
      <w:spacing w:before="0"/>
      <w:ind w:firstLine="0"/>
      <w:jc w:val="center"/>
    </w:pPr>
    <w:rPr>
      <w:rFonts w:ascii="微软雅黑" w:hAnsi="微软雅黑"/>
    </w:rPr>
  </w:style>
  <w:style w:type="paragraph" w:customStyle="1" w:styleId="84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84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84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843">
    <w:name w:val="_Style 1"/>
    <w:basedOn w:val="1"/>
    <w:qFormat/>
    <w:uiPriority w:val="34"/>
    <w:pPr>
      <w:adjustRightInd/>
      <w:ind w:firstLine="420" w:firstLineChars="200"/>
    </w:pPr>
    <w:rPr>
      <w:rFonts w:eastAsia="仿宋_GB2312"/>
      <w:sz w:val="28"/>
    </w:rPr>
  </w:style>
  <w:style w:type="paragraph" w:customStyle="1" w:styleId="8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845">
    <w:name w:val="正文箭头"/>
    <w:basedOn w:val="589"/>
    <w:qFormat/>
    <w:uiPriority w:val="0"/>
  </w:style>
  <w:style w:type="paragraph" w:customStyle="1" w:styleId="8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4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84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849">
    <w:name w:val="样式 正文文本缩进 + 段前: 2 字符"/>
    <w:basedOn w:val="1"/>
    <w:qFormat/>
    <w:uiPriority w:val="0"/>
    <w:pPr>
      <w:adjustRightInd/>
      <w:ind w:left="420" w:leftChars="200"/>
      <w:jc w:val="left"/>
    </w:pPr>
    <w:rPr>
      <w:sz w:val="28"/>
      <w:szCs w:val="20"/>
      <w:lang w:eastAsia="zh-TW"/>
    </w:rPr>
  </w:style>
  <w:style w:type="paragraph" w:customStyle="1" w:styleId="8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51">
    <w:name w:val="表格（小）"/>
    <w:basedOn w:val="1"/>
    <w:qFormat/>
    <w:uiPriority w:val="0"/>
    <w:pPr>
      <w:adjustRightInd/>
      <w:snapToGrid w:val="0"/>
      <w:spacing w:line="300" w:lineRule="auto"/>
    </w:pPr>
    <w:rPr>
      <w:rFonts w:eastAsia="仿宋"/>
      <w:szCs w:val="21"/>
    </w:rPr>
  </w:style>
  <w:style w:type="paragraph" w:customStyle="1" w:styleId="852">
    <w:name w:val="五级无标题条"/>
    <w:basedOn w:val="1"/>
    <w:qFormat/>
    <w:uiPriority w:val="0"/>
    <w:pPr>
      <w:adjustRightInd/>
    </w:pPr>
  </w:style>
  <w:style w:type="paragraph" w:customStyle="1" w:styleId="85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54">
    <w:name w:val="Char1 Char Char Char1"/>
    <w:basedOn w:val="1"/>
    <w:qFormat/>
    <w:uiPriority w:val="0"/>
    <w:pPr>
      <w:adjustRightInd/>
      <w:ind w:firstLine="200" w:firstLineChars="200"/>
    </w:pPr>
    <w:rPr>
      <w:rFonts w:ascii="Tahoma" w:hAnsi="Tahoma"/>
      <w:sz w:val="24"/>
      <w:szCs w:val="20"/>
    </w:rPr>
  </w:style>
  <w:style w:type="paragraph" w:customStyle="1" w:styleId="85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85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5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85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60">
    <w:name w:val="有符号正文"/>
    <w:basedOn w:val="1"/>
    <w:qFormat/>
    <w:uiPriority w:val="0"/>
    <w:pPr>
      <w:adjustRightInd/>
      <w:spacing w:line="400" w:lineRule="exact"/>
      <w:ind w:firstLine="200" w:firstLineChars="200"/>
    </w:pPr>
    <w:rPr>
      <w:rFonts w:ascii="Arial" w:hAnsi="Arial"/>
    </w:rPr>
  </w:style>
  <w:style w:type="paragraph" w:customStyle="1" w:styleId="86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6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864">
    <w:name w:val="默认段落样式"/>
    <w:basedOn w:val="366"/>
    <w:qFormat/>
    <w:uiPriority w:val="0"/>
    <w:pPr>
      <w:spacing w:before="0"/>
      <w:ind w:firstLine="480"/>
      <w:outlineLvl w:val="2"/>
    </w:pPr>
    <w:rPr>
      <w:rFonts w:ascii="仿宋_GB2312" w:hAnsi="宋体" w:eastAsia="仿宋_GB2312"/>
      <w:color w:val="000000"/>
      <w:szCs w:val="24"/>
    </w:rPr>
  </w:style>
  <w:style w:type="paragraph" w:customStyle="1" w:styleId="86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866">
    <w:name w:val="p1"/>
    <w:basedOn w:val="1"/>
    <w:qFormat/>
    <w:uiPriority w:val="0"/>
    <w:pPr>
      <w:widowControl/>
      <w:adjustRightInd/>
      <w:jc w:val="left"/>
    </w:pPr>
    <w:rPr>
      <w:rFonts w:ascii=".PingFang SC" w:eastAsia=".PingFang SC"/>
      <w:color w:val="454545"/>
      <w:kern w:val="0"/>
      <w:sz w:val="18"/>
      <w:szCs w:val="18"/>
    </w:rPr>
  </w:style>
  <w:style w:type="paragraph" w:customStyle="1" w:styleId="86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868">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69">
    <w:name w:val="Char2 Char Char2"/>
    <w:basedOn w:val="1"/>
    <w:qFormat/>
    <w:uiPriority w:val="0"/>
    <w:pPr>
      <w:adjustRightInd/>
    </w:pPr>
    <w:rPr>
      <w:rFonts w:ascii="Tahoma" w:hAnsi="Tahoma"/>
      <w:sz w:val="24"/>
      <w:szCs w:val="20"/>
    </w:rPr>
  </w:style>
  <w:style w:type="paragraph" w:customStyle="1" w:styleId="8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87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872">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87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87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87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87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77">
    <w:name w:val="正文主体"/>
    <w:basedOn w:val="804"/>
    <w:qFormat/>
    <w:uiPriority w:val="0"/>
  </w:style>
  <w:style w:type="paragraph" w:customStyle="1" w:styleId="87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正文1.25"/>
    <w:basedOn w:val="1"/>
    <w:qFormat/>
    <w:uiPriority w:val="0"/>
    <w:pPr>
      <w:adjustRightInd/>
      <w:spacing w:line="300" w:lineRule="auto"/>
      <w:ind w:firstLine="480" w:firstLineChars="200"/>
    </w:pPr>
    <w:rPr>
      <w:sz w:val="24"/>
      <w:szCs w:val="20"/>
    </w:rPr>
  </w:style>
  <w:style w:type="paragraph" w:customStyle="1" w:styleId="881">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88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883">
    <w:name w:val="Char3 Char Char Char"/>
    <w:basedOn w:val="1"/>
    <w:qFormat/>
    <w:uiPriority w:val="0"/>
    <w:pPr>
      <w:widowControl/>
      <w:adjustRightInd/>
      <w:spacing w:after="160" w:line="240" w:lineRule="exact"/>
      <w:jc w:val="left"/>
    </w:pPr>
    <w:rPr>
      <w:szCs w:val="20"/>
    </w:rPr>
  </w:style>
  <w:style w:type="paragraph" w:customStyle="1" w:styleId="8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85">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886">
    <w:name w:val="样式3"/>
    <w:basedOn w:val="646"/>
    <w:qFormat/>
    <w:uiPriority w:val="0"/>
    <w:pPr>
      <w:spacing w:beforeLines="100"/>
      <w:jc w:val="left"/>
    </w:pPr>
  </w:style>
  <w:style w:type="paragraph" w:customStyle="1" w:styleId="88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88">
    <w:name w:val="标题4_自定义"/>
    <w:basedOn w:val="8"/>
    <w:qFormat/>
    <w:uiPriority w:val="0"/>
    <w:pPr>
      <w:adjustRightInd/>
      <w:spacing w:before="0" w:after="0" w:line="360" w:lineRule="auto"/>
    </w:pPr>
    <w:rPr>
      <w:rFonts w:ascii="Verdana" w:eastAsia="Verdana"/>
      <w:sz w:val="21"/>
      <w:lang w:val="en-US"/>
    </w:rPr>
  </w:style>
  <w:style w:type="paragraph" w:customStyle="1" w:styleId="889">
    <w:name w:val="Char Char Char Char11"/>
    <w:basedOn w:val="1"/>
    <w:qFormat/>
    <w:uiPriority w:val="0"/>
    <w:rPr>
      <w:rFonts w:ascii="Tahoma" w:hAnsi="Tahoma"/>
      <w:sz w:val="24"/>
      <w:szCs w:val="20"/>
    </w:rPr>
  </w:style>
  <w:style w:type="paragraph" w:customStyle="1" w:styleId="89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91">
    <w:name w:val="Char Char1101"/>
    <w:basedOn w:val="1"/>
    <w:qFormat/>
    <w:uiPriority w:val="0"/>
    <w:pPr>
      <w:spacing w:line="360" w:lineRule="auto"/>
    </w:pPr>
    <w:rPr>
      <w:rFonts w:ascii="Tahoma" w:hAnsi="Tahoma"/>
      <w:sz w:val="24"/>
      <w:szCs w:val="20"/>
    </w:rPr>
  </w:style>
  <w:style w:type="paragraph" w:customStyle="1" w:styleId="8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89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94">
    <w:name w:val="Char24"/>
    <w:basedOn w:val="1"/>
    <w:qFormat/>
    <w:uiPriority w:val="0"/>
    <w:rPr>
      <w:rFonts w:ascii="仿宋_GB2312" w:eastAsia="仿宋_GB2312"/>
      <w:b/>
      <w:sz w:val="32"/>
      <w:szCs w:val="32"/>
    </w:rPr>
  </w:style>
  <w:style w:type="paragraph" w:customStyle="1" w:styleId="895">
    <w:name w:val="p0"/>
    <w:basedOn w:val="1"/>
    <w:qFormat/>
    <w:uiPriority w:val="0"/>
    <w:pPr>
      <w:widowControl/>
      <w:adjustRightInd/>
    </w:pPr>
    <w:rPr>
      <w:kern w:val="0"/>
      <w:szCs w:val="21"/>
    </w:rPr>
  </w:style>
  <w:style w:type="paragraph" w:customStyle="1" w:styleId="89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897">
    <w:name w:val="Char Char1121"/>
    <w:basedOn w:val="1"/>
    <w:qFormat/>
    <w:uiPriority w:val="0"/>
    <w:pPr>
      <w:spacing w:line="360" w:lineRule="auto"/>
    </w:pPr>
    <w:rPr>
      <w:szCs w:val="20"/>
    </w:rPr>
  </w:style>
  <w:style w:type="paragraph" w:customStyle="1" w:styleId="898">
    <w:name w:val="Char31"/>
    <w:basedOn w:val="1"/>
    <w:qFormat/>
    <w:uiPriority w:val="0"/>
    <w:pPr>
      <w:adjustRightInd/>
    </w:pPr>
    <w:rPr>
      <w:rFonts w:ascii="仿宋_GB2312" w:eastAsia="仿宋_GB2312"/>
      <w:b/>
      <w:sz w:val="32"/>
      <w:szCs w:val="32"/>
    </w:rPr>
  </w:style>
  <w:style w:type="paragraph" w:customStyle="1" w:styleId="89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900">
    <w:name w:val="Body Text 2*"/>
    <w:basedOn w:val="1"/>
    <w:qFormat/>
    <w:uiPriority w:val="6"/>
    <w:pPr>
      <w:widowControl/>
      <w:adjustRightInd/>
      <w:ind w:left="720" w:hanging="720"/>
    </w:pPr>
    <w:rPr>
      <w:color w:val="000000"/>
      <w:kern w:val="0"/>
      <w:sz w:val="24"/>
      <w:szCs w:val="20"/>
      <w:lang w:val="en-GB"/>
    </w:rPr>
  </w:style>
  <w:style w:type="paragraph" w:customStyle="1" w:styleId="901">
    <w:name w:val="表1"/>
    <w:basedOn w:val="1"/>
    <w:qFormat/>
    <w:uiPriority w:val="0"/>
    <w:pPr>
      <w:tabs>
        <w:tab w:val="left" w:pos="703"/>
      </w:tabs>
      <w:adjustRightInd/>
      <w:spacing w:line="360" w:lineRule="auto"/>
      <w:ind w:left="703"/>
      <w:jc w:val="center"/>
    </w:pPr>
  </w:style>
  <w:style w:type="paragraph" w:customStyle="1" w:styleId="90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90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904">
    <w:name w:val="Char Char Char Char Char Char Char"/>
    <w:basedOn w:val="1"/>
    <w:qFormat/>
    <w:uiPriority w:val="0"/>
    <w:rPr>
      <w:rFonts w:ascii="仿宋_GB2312" w:eastAsia="仿宋_GB2312"/>
      <w:b/>
      <w:sz w:val="32"/>
      <w:szCs w:val="32"/>
    </w:rPr>
  </w:style>
  <w:style w:type="paragraph" w:customStyle="1" w:styleId="905">
    <w:name w:val="图中文字"/>
    <w:basedOn w:val="1"/>
    <w:qFormat/>
    <w:uiPriority w:val="0"/>
    <w:pPr>
      <w:snapToGrid w:val="0"/>
      <w:spacing w:line="0" w:lineRule="atLeast"/>
      <w:ind w:firstLine="200" w:firstLineChars="200"/>
      <w:jc w:val="center"/>
    </w:pPr>
    <w:rPr>
      <w:sz w:val="24"/>
      <w:szCs w:val="20"/>
    </w:rPr>
  </w:style>
  <w:style w:type="paragraph" w:customStyle="1" w:styleId="90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90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9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0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910">
    <w:name w:val="MM Empty"/>
    <w:basedOn w:val="1"/>
    <w:qFormat/>
    <w:uiPriority w:val="0"/>
    <w:pPr>
      <w:adjustRightInd/>
    </w:pPr>
  </w:style>
  <w:style w:type="paragraph" w:customStyle="1" w:styleId="911">
    <w:name w:val="正文 首行缩进:  2 字符 Char"/>
    <w:basedOn w:val="1"/>
    <w:qFormat/>
    <w:uiPriority w:val="0"/>
    <w:pPr>
      <w:adjustRightInd/>
      <w:spacing w:line="360" w:lineRule="auto"/>
      <w:ind w:firstLine="480"/>
    </w:pPr>
    <w:rPr>
      <w:rFonts w:cs="宋体"/>
      <w:sz w:val="24"/>
      <w:szCs w:val="20"/>
    </w:rPr>
  </w:style>
  <w:style w:type="paragraph" w:customStyle="1" w:styleId="912">
    <w:name w:val="bullet"/>
    <w:basedOn w:val="1"/>
    <w:qFormat/>
    <w:uiPriority w:val="0"/>
    <w:pPr>
      <w:tabs>
        <w:tab w:val="left" w:pos="840"/>
      </w:tabs>
      <w:adjustRightInd/>
      <w:ind w:left="840" w:hanging="420"/>
    </w:pPr>
  </w:style>
  <w:style w:type="paragraph" w:customStyle="1" w:styleId="913">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14">
    <w:name w:val="Char11"/>
    <w:basedOn w:val="1"/>
    <w:qFormat/>
    <w:uiPriority w:val="0"/>
    <w:pPr>
      <w:tabs>
        <w:tab w:val="left" w:pos="432"/>
      </w:tabs>
      <w:adjustRightInd/>
      <w:spacing w:beforeLines="50" w:afterLines="50"/>
      <w:ind w:left="432" w:hanging="432" w:firstLineChars="200"/>
    </w:pPr>
    <w:rPr>
      <w:sz w:val="24"/>
    </w:rPr>
  </w:style>
  <w:style w:type="paragraph" w:customStyle="1" w:styleId="915">
    <w:name w:val="列表内容"/>
    <w:basedOn w:val="1"/>
    <w:next w:val="1"/>
    <w:qFormat/>
    <w:uiPriority w:val="0"/>
    <w:pPr>
      <w:widowControl/>
      <w:tabs>
        <w:tab w:val="left" w:pos="840"/>
      </w:tabs>
      <w:ind w:left="840" w:hanging="420"/>
      <w:jc w:val="left"/>
    </w:pPr>
    <w:rPr>
      <w:kern w:val="0"/>
      <w:sz w:val="18"/>
    </w:rPr>
  </w:style>
  <w:style w:type="paragraph" w:customStyle="1" w:styleId="9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917">
    <w:name w:val="Char311"/>
    <w:basedOn w:val="1"/>
    <w:qFormat/>
    <w:uiPriority w:val="0"/>
    <w:pPr>
      <w:adjustRightInd/>
      <w:ind w:firstLine="200" w:firstLineChars="200"/>
    </w:pPr>
    <w:rPr>
      <w:rFonts w:ascii="Tahoma" w:hAnsi="Tahoma"/>
      <w:sz w:val="24"/>
      <w:szCs w:val="20"/>
    </w:rPr>
  </w:style>
  <w:style w:type="paragraph" w:customStyle="1" w:styleId="91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2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2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2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923">
    <w:name w:val="默认段落字体 Para Char Char Char Char Char Char Char"/>
    <w:basedOn w:val="1"/>
    <w:qFormat/>
    <w:uiPriority w:val="0"/>
    <w:rPr>
      <w:rFonts w:eastAsia="仿宋_GB2312"/>
      <w:sz w:val="28"/>
      <w:szCs w:val="20"/>
    </w:rPr>
  </w:style>
  <w:style w:type="paragraph" w:customStyle="1" w:styleId="924">
    <w:name w:val="Char Char Char Char Char Char Char Char Char Char1"/>
    <w:basedOn w:val="1"/>
    <w:qFormat/>
    <w:uiPriority w:val="0"/>
    <w:rPr>
      <w:rFonts w:ascii="仿宋_GB2312" w:eastAsia="仿宋_GB2312"/>
      <w:b/>
      <w:sz w:val="32"/>
      <w:szCs w:val="32"/>
    </w:rPr>
  </w:style>
  <w:style w:type="paragraph" w:customStyle="1" w:styleId="925">
    <w:name w:val="样式 正文文本缩进 2 + 仿宋_GB2312 黑色 行距: 1.5 倍行距"/>
    <w:basedOn w:val="33"/>
    <w:qFormat/>
    <w:uiPriority w:val="0"/>
    <w:pPr>
      <w:adjustRightInd/>
      <w:ind w:firstLine="560" w:firstLineChars="200"/>
      <w:textAlignment w:val="auto"/>
    </w:pPr>
    <w:rPr>
      <w:rFonts w:hAnsi="宋体" w:cs="宋体"/>
      <w:color w:val="000000"/>
      <w:kern w:val="2"/>
      <w:sz w:val="24"/>
    </w:rPr>
  </w:style>
  <w:style w:type="paragraph" w:customStyle="1" w:styleId="92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92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92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92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30">
    <w:name w:val="MM Topic 3"/>
    <w:basedOn w:val="7"/>
    <w:qFormat/>
    <w:uiPriority w:val="0"/>
    <w:pPr>
      <w:tabs>
        <w:tab w:val="left" w:pos="1680"/>
      </w:tabs>
      <w:adjustRightInd/>
      <w:ind w:left="1680" w:hanging="420"/>
    </w:pPr>
  </w:style>
  <w:style w:type="paragraph" w:customStyle="1" w:styleId="9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93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3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93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935">
    <w:name w:val="Char Char Char Char Char Char Char Char Char Char Char1 Char"/>
    <w:basedOn w:val="1"/>
    <w:qFormat/>
    <w:uiPriority w:val="0"/>
    <w:pPr>
      <w:adjustRightInd/>
    </w:pPr>
    <w:rPr>
      <w:rFonts w:ascii="Tahoma" w:hAnsi="Tahoma"/>
      <w:sz w:val="24"/>
    </w:rPr>
  </w:style>
  <w:style w:type="paragraph" w:customStyle="1" w:styleId="936">
    <w:name w:val="Char Char11 Char Char Char"/>
    <w:basedOn w:val="1"/>
    <w:qFormat/>
    <w:uiPriority w:val="0"/>
    <w:pPr>
      <w:spacing w:line="360" w:lineRule="auto"/>
    </w:pPr>
    <w:rPr>
      <w:szCs w:val="20"/>
    </w:rPr>
  </w:style>
  <w:style w:type="paragraph" w:customStyle="1" w:styleId="937">
    <w:name w:val="4"/>
    <w:basedOn w:val="1"/>
    <w:next w:val="33"/>
    <w:qFormat/>
    <w:uiPriority w:val="0"/>
    <w:pPr>
      <w:spacing w:after="120" w:line="480" w:lineRule="auto"/>
      <w:ind w:left="420" w:leftChars="200"/>
    </w:pPr>
    <w:rPr>
      <w:sz w:val="24"/>
      <w:szCs w:val="20"/>
    </w:rPr>
  </w:style>
  <w:style w:type="paragraph" w:customStyle="1" w:styleId="93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93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9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94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942">
    <w:name w:val="正文标准"/>
    <w:basedOn w:val="1"/>
    <w:qFormat/>
    <w:uiPriority w:val="0"/>
    <w:pPr>
      <w:adjustRightInd/>
      <w:spacing w:line="360" w:lineRule="auto"/>
      <w:ind w:firstLine="200" w:firstLineChars="200"/>
    </w:pPr>
    <w:rPr>
      <w:rFonts w:ascii="宋体" w:hAnsi="Calibri"/>
      <w:sz w:val="24"/>
    </w:rPr>
  </w:style>
  <w:style w:type="paragraph" w:customStyle="1" w:styleId="9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44">
    <w:name w:val="_Style 947"/>
    <w:basedOn w:val="1"/>
    <w:next w:val="431"/>
    <w:qFormat/>
    <w:uiPriority w:val="34"/>
    <w:pPr>
      <w:adjustRightInd/>
      <w:ind w:firstLine="420" w:firstLineChars="200"/>
    </w:pPr>
  </w:style>
  <w:style w:type="paragraph" w:customStyle="1" w:styleId="9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94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947">
    <w:name w:val="样式7"/>
    <w:basedOn w:val="599"/>
    <w:next w:val="1"/>
    <w:qFormat/>
    <w:uiPriority w:val="0"/>
    <w:pPr>
      <w:spacing w:afterLines="50"/>
      <w:jc w:val="left"/>
      <w:outlineLvl w:val="3"/>
    </w:pPr>
    <w:rPr>
      <w:sz w:val="24"/>
      <w:szCs w:val="24"/>
    </w:rPr>
  </w:style>
  <w:style w:type="paragraph" w:customStyle="1" w:styleId="94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49">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950">
    <w:name w:val="正文21"/>
    <w:basedOn w:val="1"/>
    <w:qFormat/>
    <w:uiPriority w:val="0"/>
    <w:pPr>
      <w:adjustRightInd/>
      <w:spacing w:before="156" w:line="360" w:lineRule="auto"/>
      <w:ind w:firstLine="510" w:firstLineChars="200"/>
    </w:pPr>
    <w:rPr>
      <w:sz w:val="24"/>
      <w:szCs w:val="20"/>
    </w:rPr>
  </w:style>
  <w:style w:type="paragraph" w:customStyle="1" w:styleId="9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52">
    <w:name w:val="单元格居中"/>
    <w:basedOn w:val="1"/>
    <w:qFormat/>
    <w:uiPriority w:val="0"/>
    <w:pPr>
      <w:adjustRightInd/>
      <w:spacing w:line="360" w:lineRule="auto"/>
      <w:jc w:val="center"/>
    </w:pPr>
    <w:rPr>
      <w:sz w:val="24"/>
    </w:rPr>
  </w:style>
  <w:style w:type="paragraph" w:customStyle="1" w:styleId="95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95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95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5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57">
    <w:name w:val="Char Char1 Char Char Char Char Char Char2"/>
    <w:basedOn w:val="1"/>
    <w:qFormat/>
    <w:uiPriority w:val="0"/>
    <w:rPr>
      <w:rFonts w:ascii="仿宋_GB2312" w:eastAsia="仿宋_GB2312"/>
      <w:b/>
      <w:sz w:val="32"/>
      <w:szCs w:val="20"/>
    </w:rPr>
  </w:style>
  <w:style w:type="paragraph" w:customStyle="1" w:styleId="958">
    <w:name w:val="Normal0"/>
    <w:qFormat/>
    <w:uiPriority w:val="0"/>
    <w:rPr>
      <w:rFonts w:ascii="Times New Roman" w:hAnsi="Times New Roman" w:eastAsia="宋体" w:cs="Times New Roman"/>
      <w:lang w:val="en-US" w:eastAsia="en-US" w:bidi="ar-SA"/>
    </w:rPr>
  </w:style>
  <w:style w:type="paragraph" w:customStyle="1" w:styleId="959">
    <w:name w:val="索引 11"/>
    <w:basedOn w:val="1"/>
    <w:next w:val="1"/>
    <w:qFormat/>
    <w:uiPriority w:val="99"/>
    <w:pPr>
      <w:adjustRightInd/>
      <w:spacing w:line="360" w:lineRule="auto"/>
    </w:pPr>
    <w:rPr>
      <w:rFonts w:ascii="仿宋_GB2312" w:eastAsia="仿宋_GB2312"/>
      <w:sz w:val="24"/>
      <w:szCs w:val="20"/>
    </w:rPr>
  </w:style>
  <w:style w:type="paragraph" w:customStyle="1" w:styleId="960">
    <w:name w:val="_正文段落"/>
    <w:basedOn w:val="1"/>
    <w:qFormat/>
    <w:uiPriority w:val="0"/>
    <w:pPr>
      <w:adjustRightInd/>
      <w:ind w:firstLine="560"/>
    </w:pPr>
    <w:rPr>
      <w:rFonts w:ascii="仿宋_GB2312" w:hAnsi="仿宋" w:eastAsia="仿宋_GB2312"/>
      <w:kern w:val="0"/>
      <w:sz w:val="28"/>
      <w:szCs w:val="28"/>
    </w:rPr>
  </w:style>
  <w:style w:type="paragraph" w:customStyle="1" w:styleId="96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table" w:customStyle="1" w:styleId="963">
    <w:name w:val="网格型2"/>
    <w:basedOn w:val="5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6"/>
    <w:basedOn w:val="5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5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1"/>
    <w:basedOn w:val="5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5"/>
    <w:basedOn w:val="5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3"/>
    <w:basedOn w:val="5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9">
    <w:name w:val="征文"/>
    <w:basedOn w:val="1"/>
    <w:next w:val="1"/>
    <w:qFormat/>
    <w:uiPriority w:val="0"/>
    <w:pPr>
      <w:keepNext/>
      <w:spacing w:before="240" w:after="60" w:line="560" w:lineRule="exact"/>
      <w:ind w:firstLine="640" w:firstLineChars="200"/>
      <w:outlineLvl w:val="3"/>
    </w:pPr>
    <w:rPr>
      <w:rFonts w:hint="eastAsia" w:ascii="仿宋" w:hAnsi="仿宋" w:eastAsia="仿宋" w:cs="仿宋"/>
      <w:sz w:val="32"/>
      <w:szCs w:val="32"/>
    </w:rPr>
  </w:style>
  <w:style w:type="character" w:customStyle="1" w:styleId="970">
    <w:name w:val="font_12"/>
    <w:basedOn w:val="62"/>
    <w:qFormat/>
    <w:uiPriority w:val="0"/>
    <w:rPr>
      <w:sz w:val="24"/>
      <w:szCs w:val="24"/>
    </w:rPr>
  </w:style>
  <w:style w:type="paragraph" w:customStyle="1" w:styleId="971">
    <w:name w:val="招标_正文2"/>
    <w:basedOn w:val="1"/>
    <w:next w:val="1"/>
    <w:qFormat/>
    <w:uiPriority w:val="0"/>
    <w:pPr>
      <w:widowControl/>
      <w:spacing w:line="360" w:lineRule="auto"/>
      <w:ind w:firstLine="480" w:firstLineChars="200"/>
      <w:jc w:val="left"/>
    </w:pPr>
    <w:rPr>
      <w:rFonts w:eastAsia="仿宋_GB2312"/>
      <w:sz w:val="24"/>
    </w:rPr>
  </w:style>
  <w:style w:type="character" w:customStyle="1" w:styleId="972">
    <w:name w:val="正文首行缩进 2 Char"/>
    <w:link w:val="54"/>
    <w:qFormat/>
    <w:uiPriority w:val="0"/>
    <w:rPr>
      <w:kern w:val="2"/>
      <w:sz w:val="21"/>
      <w:szCs w:val="24"/>
    </w:rPr>
  </w:style>
  <w:style w:type="paragraph" w:customStyle="1" w:styleId="973">
    <w:name w:val="我的正文"/>
    <w:basedOn w:val="1"/>
    <w:qFormat/>
    <w:uiPriority w:val="0"/>
    <w:pPr>
      <w:widowControl w:val="0"/>
      <w:spacing w:line="560" w:lineRule="exact"/>
      <w:ind w:firstLine="420" w:firstLineChars="200"/>
      <w:jc w:val="both"/>
    </w:pPr>
    <w:rPr>
      <w:rFonts w:eastAsia="仿宋_GB2312" w:cs="Calibri"/>
      <w:sz w:val="32"/>
    </w:rPr>
  </w:style>
  <w:style w:type="paragraph" w:customStyle="1" w:styleId="974">
    <w:name w:val="Normal Indent1"/>
    <w:next w:val="1"/>
    <w:qFormat/>
    <w:uiPriority w:val="0"/>
    <w:pPr>
      <w:spacing w:line="660" w:lineRule="exact"/>
      <w:ind w:firstLine="720" w:firstLineChars="200"/>
    </w:pPr>
    <w:rPr>
      <w:rFonts w:ascii="Calibri" w:hAnsi="Calibri" w:eastAsia="楷体_GB2312" w:cs="Calibri"/>
      <w:sz w:val="36"/>
      <w:szCs w:val="36"/>
      <w:lang w:val="en-US" w:eastAsia="zh-CN" w:bidi="ar-SA"/>
    </w:rPr>
  </w:style>
  <w:style w:type="paragraph" w:customStyle="1" w:styleId="975">
    <w:name w:val="be358f00-9758-446e-aec5-cde8345aeef3"/>
    <w:basedOn w:val="23"/>
    <w:qFormat/>
    <w:uiPriority w:val="0"/>
    <w:pPr>
      <w:spacing w:line="288" w:lineRule="auto"/>
      <w:ind w:firstLine="440"/>
      <w:jc w:val="left"/>
    </w:pPr>
    <w:rPr>
      <w:rFonts w:ascii="微软雅黑" w:hAnsi="微软雅黑" w:eastAsia="微软雅黑"/>
      <w:color w:val="000000"/>
      <w:sz w:val="22"/>
    </w:rPr>
  </w:style>
  <w:style w:type="paragraph" w:customStyle="1" w:styleId="976">
    <w:name w:val="BodyText1I2"/>
    <w:basedOn w:val="977"/>
    <w:qFormat/>
    <w:uiPriority w:val="0"/>
    <w:pPr>
      <w:ind w:left="200" w:firstLine="420" w:firstLineChars="200"/>
    </w:pPr>
    <w:rPr>
      <w:rFonts w:ascii="仿宋_GB2312" w:eastAsia="仿宋_GB2312"/>
    </w:rPr>
  </w:style>
  <w:style w:type="paragraph" w:customStyle="1" w:styleId="977">
    <w:name w:val="BodyTextIndent"/>
    <w:basedOn w:val="1"/>
    <w:qFormat/>
    <w:uiPriority w:val="0"/>
    <w:pPr>
      <w:ind w:firstLine="716" w:firstLineChars="162"/>
      <w:jc w:val="both"/>
      <w:textAlignment w:val="baseline"/>
    </w:pPr>
    <w:rPr>
      <w:rFonts w:ascii="Calibri" w:hAnsi="Calibri"/>
      <w:b/>
      <w:bCs/>
      <w:kern w:val="2"/>
      <w:sz w:val="44"/>
    </w:rPr>
  </w:style>
  <w:style w:type="paragraph" w:styleId="978">
    <w:name w:val="List Paragraph"/>
    <w:basedOn w:val="1"/>
    <w:unhideWhenUsed/>
    <w:qFormat/>
    <w:uiPriority w:val="99"/>
    <w:pPr>
      <w:ind w:firstLine="420" w:firstLineChars="200"/>
    </w:pPr>
  </w:style>
  <w:style w:type="paragraph" w:customStyle="1" w:styleId="979">
    <w:name w:val="MsoNormal"/>
    <w:basedOn w:val="1"/>
    <w:qFormat/>
    <w:uiPriority w:val="0"/>
  </w:style>
  <w:style w:type="table" w:customStyle="1" w:styleId="980">
    <w:name w:val="MsoNormalTable"/>
    <w:basedOn w:val="55"/>
    <w:qFormat/>
    <w:uiPriority w:val="0"/>
  </w:style>
  <w:style w:type="paragraph" w:customStyle="1" w:styleId="981">
    <w:name w:val="MsoBodyTextIndent2"/>
    <w:basedOn w:val="1"/>
    <w:qFormat/>
    <w:uiPriority w:val="0"/>
  </w:style>
  <w:style w:type="table" w:customStyle="1" w:styleId="982">
    <w:name w:val="MsoTableGrid"/>
    <w:basedOn w:val="55"/>
    <w:qFormat/>
    <w:uiPriority w:val="0"/>
  </w:style>
  <w:style w:type="paragraph" w:customStyle="1" w:styleId="983">
    <w:name w:val="17"/>
    <w:basedOn w:val="1"/>
    <w:qFormat/>
    <w:uiPriority w:val="0"/>
  </w:style>
  <w:style w:type="paragraph" w:customStyle="1" w:styleId="984">
    <w:name w:val="MsoCommentText"/>
    <w:basedOn w:val="1"/>
    <w:qFormat/>
    <w:uiPriority w:val="0"/>
  </w:style>
  <w:style w:type="character" w:customStyle="1" w:styleId="985">
    <w:name w:val="18"/>
    <w:basedOn w:val="62"/>
    <w:qFormat/>
    <w:uiPriority w:val="0"/>
  </w:style>
  <w:style w:type="character" w:customStyle="1" w:styleId="986">
    <w:name w:val="15 Character"/>
    <w:basedOn w:val="62"/>
    <w:qFormat/>
    <w:uiPriority w:val="0"/>
  </w:style>
  <w:style w:type="character" w:customStyle="1" w:styleId="987">
    <w:name w:val="19"/>
    <w:basedOn w:val="6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2895</Words>
  <Characters>3318</Characters>
  <Lines>372</Lines>
  <Paragraphs>104</Paragraphs>
  <TotalTime>0</TotalTime>
  <ScaleCrop>false</ScaleCrop>
  <LinksUpToDate>false</LinksUpToDate>
  <CharactersWithSpaces>3649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2022-05-19T08:30:00Z</dcterms:created>
  <dc:creator>admin</dc:creator>
  <cp:lastModifiedBy>陶云龙</cp:lastModifiedBy>
  <cp:lastPrinted>2022-06-30T02:07:00Z</cp:lastPrinted>
  <dcterms:modified xsi:type="dcterms:W3CDTF">2025-01-26T05:33:00Z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45FA4178EB574E72BCCA162FD171C840_13</vt:lpwstr>
  </property>
  <property fmtid="{D5CDD505-2E9C-101B-9397-08002B2CF9AE}" pid="5" name="KSOTemplateDocerSaveRecord">
    <vt:lpwstr>eyJoZGlkIjoiM2MwZmNlY2VmYmQwMDY2NTkwNjNmYWQwYWM4ODY2M2YiLCJ1c2VySWQiOiI4MzQ4MDc4MzYifQ==</vt:lpwstr>
  </property>
</Properties>
</file>