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5C78E">
      <w:pPr>
        <w:spacing w:line="360" w:lineRule="auto"/>
        <w:jc w:val="center"/>
        <w:rPr>
          <w:rFonts w:hint="eastAsia" w:ascii="宋体" w:hAnsi="宋体" w:eastAsia="宋体" w:cs="宋体"/>
          <w:b/>
          <w:color w:val="auto"/>
          <w:sz w:val="24"/>
          <w:highlight w:val="none"/>
        </w:rPr>
      </w:pPr>
    </w:p>
    <w:p w14:paraId="46AD26A8">
      <w:pPr>
        <w:spacing w:line="360" w:lineRule="auto"/>
        <w:jc w:val="center"/>
        <w:rPr>
          <w:rFonts w:hint="eastAsia" w:ascii="宋体" w:hAnsi="宋体" w:eastAsia="宋体" w:cs="宋体"/>
          <w:b/>
          <w:color w:val="auto"/>
          <w:sz w:val="24"/>
          <w:highlight w:val="none"/>
        </w:rPr>
      </w:pPr>
    </w:p>
    <w:p w14:paraId="4E496FE0">
      <w:pPr>
        <w:adjustRightInd/>
        <w:spacing w:line="360" w:lineRule="auto"/>
        <w:jc w:val="center"/>
        <w:rPr>
          <w:rFonts w:hint="eastAsia" w:ascii="宋体" w:hAnsi="宋体" w:eastAsia="宋体" w:cs="宋体"/>
          <w:b/>
          <w:color w:val="auto"/>
          <w:sz w:val="44"/>
          <w:szCs w:val="44"/>
          <w:highlight w:val="none"/>
        </w:rPr>
      </w:pPr>
    </w:p>
    <w:p w14:paraId="7D382F8D">
      <w:pPr>
        <w:adjustRightInd/>
        <w:spacing w:line="360" w:lineRule="auto"/>
        <w:jc w:val="center"/>
        <w:rPr>
          <w:rFonts w:hint="eastAsia" w:ascii="宋体" w:hAnsi="宋体" w:eastAsia="宋体" w:cs="宋体"/>
          <w:b/>
          <w:color w:val="auto"/>
          <w:sz w:val="44"/>
          <w:szCs w:val="44"/>
          <w:highlight w:val="none"/>
        </w:rPr>
      </w:pPr>
    </w:p>
    <w:p w14:paraId="55F7E698">
      <w:pPr>
        <w:adjustRightInd/>
        <w:spacing w:line="360" w:lineRule="auto"/>
        <w:jc w:val="center"/>
        <w:rPr>
          <w:rFonts w:hint="eastAsia" w:ascii="宋体" w:hAnsi="宋体" w:eastAsia="宋体" w:cs="宋体"/>
          <w:b/>
          <w:bCs/>
          <w:color w:val="auto"/>
          <w:w w:val="80"/>
          <w:sz w:val="48"/>
          <w:szCs w:val="48"/>
          <w:highlight w:val="none"/>
          <w:lang w:eastAsia="zh-CN" w:bidi="th-TH"/>
        </w:rPr>
      </w:pPr>
      <w:r>
        <w:rPr>
          <w:rFonts w:hint="eastAsia" w:ascii="宋体" w:hAnsi="宋体" w:eastAsia="宋体" w:cs="宋体"/>
          <w:b/>
          <w:bCs/>
          <w:color w:val="auto"/>
          <w:w w:val="80"/>
          <w:sz w:val="48"/>
          <w:szCs w:val="48"/>
          <w:highlight w:val="none"/>
          <w:lang w:eastAsia="zh-CN" w:bidi="th-TH"/>
        </w:rPr>
        <w:t>浙江省经济和信息化厅</w:t>
      </w:r>
    </w:p>
    <w:p w14:paraId="4924F4AE">
      <w:pPr>
        <w:adjustRightInd/>
        <w:spacing w:line="360" w:lineRule="auto"/>
        <w:jc w:val="center"/>
        <w:rPr>
          <w:rFonts w:hint="eastAsia" w:ascii="宋体" w:hAnsi="宋体" w:eastAsia="宋体" w:cs="宋体"/>
          <w:b/>
          <w:bCs/>
          <w:color w:val="auto"/>
          <w:w w:val="80"/>
          <w:sz w:val="48"/>
          <w:szCs w:val="48"/>
          <w:highlight w:val="none"/>
          <w:lang w:eastAsia="zh-CN" w:bidi="th-TH"/>
        </w:rPr>
      </w:pPr>
      <w:r>
        <w:rPr>
          <w:rFonts w:hint="eastAsia" w:ascii="宋体" w:hAnsi="宋体" w:cs="宋体"/>
          <w:b/>
          <w:bCs/>
          <w:color w:val="auto"/>
          <w:w w:val="80"/>
          <w:sz w:val="48"/>
          <w:szCs w:val="48"/>
          <w:highlight w:val="none"/>
          <w:lang w:eastAsia="zh-CN" w:bidi="th-TH"/>
        </w:rPr>
        <w:t>2024年“未来工厂”认定评估及新模式推广应用项目</w:t>
      </w:r>
    </w:p>
    <w:p w14:paraId="15351D42">
      <w:pPr>
        <w:adjustRightInd/>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（电子交易）</w:t>
      </w:r>
    </w:p>
    <w:p w14:paraId="7DE59163">
      <w:pPr>
        <w:snapToGrid w:val="0"/>
        <w:spacing w:line="360" w:lineRule="auto"/>
        <w:jc w:val="center"/>
        <w:rPr>
          <w:rFonts w:hint="eastAsia" w:ascii="宋体" w:hAnsi="宋体" w:eastAsia="宋体" w:cs="宋体"/>
          <w:b/>
          <w:bCs/>
          <w:color w:val="auto"/>
          <w:sz w:val="30"/>
          <w:szCs w:val="30"/>
          <w:highlight w:val="none"/>
        </w:rPr>
      </w:pPr>
    </w:p>
    <w:p w14:paraId="69707369">
      <w:pPr>
        <w:adjustRightInd/>
        <w:snapToGrid w:val="0"/>
        <w:spacing w:line="360" w:lineRule="auto"/>
        <w:ind w:firstLine="2640" w:firstLineChars="1100"/>
        <w:jc w:val="left"/>
        <w:rPr>
          <w:rFonts w:hint="eastAsia" w:ascii="宋体" w:hAnsi="宋体" w:eastAsia="宋体" w:cs="宋体"/>
          <w:color w:val="auto"/>
          <w:w w:val="80"/>
          <w:sz w:val="30"/>
          <w:szCs w:val="30"/>
          <w:highlight w:val="none"/>
          <w:lang w:eastAsia="zh-CN" w:bidi="th-TH"/>
        </w:rPr>
      </w:pPr>
      <w:r>
        <w:rPr>
          <w:rFonts w:hint="eastAsia" w:ascii="宋体" w:hAnsi="宋体" w:eastAsia="宋体" w:cs="宋体"/>
          <w:color w:val="auto"/>
          <w:w w:val="80"/>
          <w:sz w:val="30"/>
          <w:szCs w:val="30"/>
          <w:highlight w:val="none"/>
          <w:lang w:eastAsia="zh-CN" w:bidi="th-TH"/>
        </w:rPr>
        <w:t>项目编号：ZJ-2422293</w:t>
      </w:r>
    </w:p>
    <w:p w14:paraId="3B157FC3">
      <w:pPr>
        <w:snapToGrid w:val="0"/>
        <w:spacing w:line="360" w:lineRule="auto"/>
        <w:jc w:val="center"/>
        <w:rPr>
          <w:rFonts w:hint="eastAsia" w:ascii="宋体" w:hAnsi="宋体" w:eastAsia="宋体" w:cs="宋体"/>
          <w:color w:val="auto"/>
          <w:sz w:val="30"/>
          <w:szCs w:val="30"/>
          <w:highlight w:val="none"/>
        </w:rPr>
      </w:pPr>
    </w:p>
    <w:p w14:paraId="1488FFA8">
      <w:pPr>
        <w:adjustRightInd/>
        <w:spacing w:line="360" w:lineRule="auto"/>
        <w:rPr>
          <w:rFonts w:hint="eastAsia" w:ascii="宋体" w:hAnsi="宋体" w:eastAsia="宋体" w:cs="宋体"/>
          <w:color w:val="auto"/>
          <w:sz w:val="28"/>
          <w:szCs w:val="20"/>
          <w:highlight w:val="none"/>
        </w:rPr>
      </w:pPr>
    </w:p>
    <w:p w14:paraId="69517401">
      <w:pPr>
        <w:spacing w:line="360" w:lineRule="auto"/>
        <w:jc w:val="center"/>
        <w:rPr>
          <w:rFonts w:hint="eastAsia" w:ascii="宋体" w:hAnsi="宋体" w:eastAsia="宋体" w:cs="宋体"/>
          <w:color w:val="auto"/>
          <w:sz w:val="24"/>
          <w:highlight w:val="none"/>
        </w:rPr>
      </w:pPr>
    </w:p>
    <w:p w14:paraId="203F9047">
      <w:pPr>
        <w:spacing w:line="360" w:lineRule="auto"/>
        <w:jc w:val="center"/>
        <w:rPr>
          <w:rFonts w:hint="eastAsia" w:ascii="宋体" w:hAnsi="宋体" w:eastAsia="宋体" w:cs="宋体"/>
          <w:color w:val="auto"/>
          <w:sz w:val="24"/>
          <w:highlight w:val="none"/>
        </w:rPr>
      </w:pPr>
    </w:p>
    <w:p w14:paraId="2D305918">
      <w:pPr>
        <w:pStyle w:val="182"/>
        <w:widowControl w:val="0"/>
        <w:spacing w:before="0" w:beforeAutospacing="0" w:after="0" w:afterAutospacing="0" w:line="360" w:lineRule="auto"/>
        <w:jc w:val="both"/>
        <w:textAlignment w:val="auto"/>
        <w:rPr>
          <w:rFonts w:hint="eastAsia" w:ascii="宋体" w:hAnsi="宋体" w:eastAsia="宋体" w:cs="宋体"/>
          <w:color w:val="auto"/>
          <w:kern w:val="2"/>
          <w:highlight w:val="none"/>
        </w:rPr>
      </w:pPr>
    </w:p>
    <w:p w14:paraId="0C3D0C00">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                                      </w:t>
      </w:r>
    </w:p>
    <w:tbl>
      <w:tblPr>
        <w:tblStyle w:val="60"/>
        <w:tblW w:w="7158" w:type="dxa"/>
        <w:jc w:val="center"/>
        <w:tblLayout w:type="fixed"/>
        <w:tblCellMar>
          <w:top w:w="0" w:type="dxa"/>
          <w:left w:w="108" w:type="dxa"/>
          <w:bottom w:w="0" w:type="dxa"/>
          <w:right w:w="108" w:type="dxa"/>
        </w:tblCellMar>
      </w:tblPr>
      <w:tblGrid>
        <w:gridCol w:w="2090"/>
        <w:gridCol w:w="530"/>
        <w:gridCol w:w="4538"/>
      </w:tblGrid>
      <w:tr w14:paraId="1704D213">
        <w:tblPrEx>
          <w:tblCellMar>
            <w:top w:w="0" w:type="dxa"/>
            <w:left w:w="108" w:type="dxa"/>
            <w:bottom w:w="0" w:type="dxa"/>
            <w:right w:w="108" w:type="dxa"/>
          </w:tblCellMar>
        </w:tblPrEx>
        <w:trPr>
          <w:trHeight w:val="854" w:hRule="atLeast"/>
          <w:jc w:val="center"/>
        </w:trPr>
        <w:tc>
          <w:tcPr>
            <w:tcW w:w="2090" w:type="dxa"/>
            <w:noWrap w:val="0"/>
            <w:vAlign w:val="center"/>
          </w:tcPr>
          <w:p w14:paraId="78563D83">
            <w:pPr>
              <w:snapToGrid w:val="0"/>
              <w:jc w:val="distribute"/>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lang w:eastAsia="zh-CN"/>
              </w:rPr>
              <w:t>采购计划文号</w:t>
            </w:r>
          </w:p>
        </w:tc>
        <w:tc>
          <w:tcPr>
            <w:tcW w:w="530" w:type="dxa"/>
            <w:noWrap w:val="0"/>
            <w:vAlign w:val="center"/>
          </w:tcPr>
          <w:p w14:paraId="1208F563">
            <w:pPr>
              <w:snapToGrid w:val="0"/>
              <w:jc w:val="distribute"/>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lang w:eastAsia="zh-CN"/>
              </w:rPr>
              <w:t>：</w:t>
            </w:r>
          </w:p>
        </w:tc>
        <w:tc>
          <w:tcPr>
            <w:tcW w:w="4538" w:type="dxa"/>
            <w:noWrap w:val="0"/>
            <w:vAlign w:val="center"/>
          </w:tcPr>
          <w:p w14:paraId="30D4ACCF">
            <w:pPr>
              <w:snapToGrid w:val="0"/>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[2024]55581号</w:t>
            </w:r>
          </w:p>
        </w:tc>
      </w:tr>
      <w:tr w14:paraId="3E89897D">
        <w:tblPrEx>
          <w:tblCellMar>
            <w:top w:w="0" w:type="dxa"/>
            <w:left w:w="108" w:type="dxa"/>
            <w:bottom w:w="0" w:type="dxa"/>
            <w:right w:w="108" w:type="dxa"/>
          </w:tblCellMar>
        </w:tblPrEx>
        <w:trPr>
          <w:trHeight w:val="854" w:hRule="atLeast"/>
          <w:jc w:val="center"/>
        </w:trPr>
        <w:tc>
          <w:tcPr>
            <w:tcW w:w="2090" w:type="dxa"/>
            <w:shd w:val="clear" w:color="auto" w:fill="auto"/>
            <w:noWrap w:val="0"/>
            <w:vAlign w:val="center"/>
          </w:tcPr>
          <w:p w14:paraId="48AB3CF7">
            <w:pPr>
              <w:snapToGrid w:val="0"/>
              <w:jc w:val="distribute"/>
              <w:rPr>
                <w:rFonts w:hint="eastAsia" w:ascii="宋体" w:hAnsi="宋体" w:eastAsia="宋体" w:cs="宋体"/>
                <w:color w:val="auto"/>
                <w:kern w:val="2"/>
                <w:sz w:val="30"/>
                <w:szCs w:val="30"/>
                <w:highlight w:val="none"/>
                <w:lang w:val="en-US" w:eastAsia="zh-CN" w:bidi="ar-SA"/>
              </w:rPr>
            </w:pPr>
            <w:r>
              <w:rPr>
                <w:rFonts w:hint="eastAsia" w:ascii="宋体" w:hAnsi="宋体" w:eastAsia="宋体" w:cs="宋体"/>
                <w:color w:val="auto"/>
                <w:sz w:val="30"/>
                <w:szCs w:val="30"/>
                <w:highlight w:val="none"/>
              </w:rPr>
              <w:t>采购人</w:t>
            </w:r>
          </w:p>
        </w:tc>
        <w:tc>
          <w:tcPr>
            <w:tcW w:w="530" w:type="dxa"/>
            <w:shd w:val="clear" w:color="auto" w:fill="auto"/>
            <w:noWrap w:val="0"/>
            <w:vAlign w:val="center"/>
          </w:tcPr>
          <w:p w14:paraId="72AA085F">
            <w:pPr>
              <w:snapToGrid w:val="0"/>
              <w:jc w:val="distribute"/>
              <w:rPr>
                <w:rFonts w:hint="eastAsia" w:ascii="宋体" w:hAnsi="宋体" w:eastAsia="宋体" w:cs="宋体"/>
                <w:color w:val="auto"/>
                <w:kern w:val="2"/>
                <w:sz w:val="30"/>
                <w:szCs w:val="30"/>
                <w:highlight w:val="none"/>
                <w:lang w:val="en-US" w:eastAsia="zh-CN" w:bidi="ar-SA"/>
              </w:rPr>
            </w:pPr>
            <w:r>
              <w:rPr>
                <w:rFonts w:hint="eastAsia" w:ascii="宋体" w:hAnsi="宋体" w:eastAsia="宋体" w:cs="宋体"/>
                <w:color w:val="auto"/>
                <w:sz w:val="30"/>
                <w:szCs w:val="30"/>
                <w:highlight w:val="none"/>
              </w:rPr>
              <w:t>：</w:t>
            </w:r>
          </w:p>
        </w:tc>
        <w:tc>
          <w:tcPr>
            <w:tcW w:w="4538" w:type="dxa"/>
            <w:shd w:val="clear" w:color="auto" w:fill="auto"/>
            <w:noWrap w:val="0"/>
            <w:vAlign w:val="center"/>
          </w:tcPr>
          <w:p w14:paraId="3D335437">
            <w:pPr>
              <w:snapToGrid w:val="0"/>
              <w:jc w:val="left"/>
              <w:rPr>
                <w:rFonts w:hint="eastAsia" w:ascii="宋体" w:hAnsi="宋体" w:eastAsia="宋体" w:cs="宋体"/>
                <w:color w:val="auto"/>
                <w:kern w:val="2"/>
                <w:sz w:val="30"/>
                <w:szCs w:val="30"/>
                <w:highlight w:val="none"/>
                <w:lang w:val="en-US" w:eastAsia="zh-CN" w:bidi="ar-SA"/>
              </w:rPr>
            </w:pPr>
            <w:r>
              <w:rPr>
                <w:rFonts w:hint="eastAsia" w:ascii="宋体" w:hAnsi="宋体" w:eastAsia="宋体" w:cs="宋体"/>
                <w:color w:val="auto"/>
                <w:sz w:val="30"/>
                <w:szCs w:val="30"/>
                <w:highlight w:val="none"/>
              </w:rPr>
              <w:t>浙江省经济和信息化厅</w:t>
            </w:r>
          </w:p>
        </w:tc>
      </w:tr>
      <w:tr w14:paraId="275AC58B">
        <w:tblPrEx>
          <w:tblCellMar>
            <w:top w:w="0" w:type="dxa"/>
            <w:left w:w="108" w:type="dxa"/>
            <w:bottom w:w="0" w:type="dxa"/>
            <w:right w:w="108" w:type="dxa"/>
          </w:tblCellMar>
        </w:tblPrEx>
        <w:trPr>
          <w:trHeight w:val="854" w:hRule="atLeast"/>
          <w:jc w:val="center"/>
        </w:trPr>
        <w:tc>
          <w:tcPr>
            <w:tcW w:w="2090" w:type="dxa"/>
            <w:noWrap w:val="0"/>
            <w:vAlign w:val="center"/>
          </w:tcPr>
          <w:p w14:paraId="22FCE186">
            <w:pPr>
              <w:snapToGrid w:val="0"/>
              <w:jc w:val="distribute"/>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采购代理机构</w:t>
            </w:r>
          </w:p>
        </w:tc>
        <w:tc>
          <w:tcPr>
            <w:tcW w:w="530" w:type="dxa"/>
            <w:noWrap w:val="0"/>
            <w:vAlign w:val="center"/>
          </w:tcPr>
          <w:p w14:paraId="6F600362">
            <w:pPr>
              <w:snapToGrid w:val="0"/>
              <w:jc w:val="distribute"/>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w:t>
            </w:r>
          </w:p>
        </w:tc>
        <w:tc>
          <w:tcPr>
            <w:tcW w:w="4538" w:type="dxa"/>
            <w:noWrap w:val="0"/>
            <w:vAlign w:val="center"/>
          </w:tcPr>
          <w:p w14:paraId="648EF9C0">
            <w:pPr>
              <w:snapToGrid w:val="0"/>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浙江国际招投标</w:t>
            </w:r>
            <w:r>
              <w:rPr>
                <w:rFonts w:hint="eastAsia" w:ascii="宋体" w:hAnsi="宋体" w:eastAsia="宋体" w:cs="宋体"/>
                <w:color w:val="auto"/>
                <w:sz w:val="30"/>
                <w:szCs w:val="30"/>
                <w:highlight w:val="none"/>
                <w:lang w:eastAsia="zh-CN"/>
              </w:rPr>
              <w:t>有限</w:t>
            </w:r>
            <w:r>
              <w:rPr>
                <w:rFonts w:hint="eastAsia" w:ascii="宋体" w:hAnsi="宋体" w:eastAsia="宋体" w:cs="宋体"/>
                <w:color w:val="auto"/>
                <w:sz w:val="30"/>
                <w:szCs w:val="30"/>
                <w:highlight w:val="none"/>
              </w:rPr>
              <w:t>公司</w:t>
            </w:r>
          </w:p>
        </w:tc>
      </w:tr>
      <w:tr w14:paraId="2DF5B03E">
        <w:tblPrEx>
          <w:tblCellMar>
            <w:top w:w="0" w:type="dxa"/>
            <w:left w:w="108" w:type="dxa"/>
            <w:bottom w:w="0" w:type="dxa"/>
            <w:right w:w="108" w:type="dxa"/>
          </w:tblCellMar>
        </w:tblPrEx>
        <w:trPr>
          <w:trHeight w:val="854" w:hRule="atLeast"/>
          <w:jc w:val="center"/>
        </w:trPr>
        <w:tc>
          <w:tcPr>
            <w:tcW w:w="7158" w:type="dxa"/>
            <w:gridSpan w:val="3"/>
            <w:noWrap w:val="0"/>
            <w:vAlign w:val="bottom"/>
          </w:tcPr>
          <w:p w14:paraId="511320A4">
            <w:pPr>
              <w:snapToGrid w:val="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202</w:t>
            </w:r>
            <w:r>
              <w:rPr>
                <w:rFonts w:hint="eastAsia" w:ascii="宋体" w:hAnsi="宋体" w:eastAsia="宋体" w:cs="宋体"/>
                <w:color w:val="auto"/>
                <w:sz w:val="30"/>
                <w:szCs w:val="30"/>
                <w:highlight w:val="none"/>
                <w:lang w:val="en-US" w:eastAsia="zh-CN"/>
              </w:rPr>
              <w:t>4</w:t>
            </w:r>
            <w:r>
              <w:rPr>
                <w:rFonts w:hint="eastAsia" w:ascii="宋体" w:hAnsi="宋体" w:eastAsia="宋体" w:cs="宋体"/>
                <w:color w:val="auto"/>
                <w:sz w:val="30"/>
                <w:szCs w:val="30"/>
                <w:highlight w:val="none"/>
              </w:rPr>
              <w:t>年</w:t>
            </w:r>
            <w:r>
              <w:rPr>
                <w:rFonts w:hint="eastAsia" w:ascii="宋体" w:hAnsi="宋体" w:eastAsia="宋体" w:cs="宋体"/>
                <w:color w:val="auto"/>
                <w:sz w:val="30"/>
                <w:szCs w:val="30"/>
                <w:highlight w:val="none"/>
                <w:lang w:val="en-US" w:eastAsia="zh-CN"/>
              </w:rPr>
              <w:t>09</w:t>
            </w:r>
            <w:r>
              <w:rPr>
                <w:rFonts w:hint="eastAsia" w:ascii="宋体" w:hAnsi="宋体" w:eastAsia="宋体" w:cs="宋体"/>
                <w:color w:val="auto"/>
                <w:sz w:val="30"/>
                <w:szCs w:val="30"/>
                <w:highlight w:val="none"/>
              </w:rPr>
              <w:t>月</w:t>
            </w:r>
          </w:p>
        </w:tc>
      </w:tr>
    </w:tbl>
    <w:p w14:paraId="6417EA03">
      <w:pPr>
        <w:snapToGrid w:val="0"/>
        <w:spacing w:line="360" w:lineRule="auto"/>
        <w:jc w:val="center"/>
        <w:rPr>
          <w:rFonts w:hint="eastAsia" w:ascii="宋体" w:hAnsi="宋体" w:eastAsia="宋体" w:cs="宋体"/>
          <w:bCs/>
          <w:color w:val="auto"/>
          <w:sz w:val="32"/>
          <w:szCs w:val="32"/>
          <w:highlight w:val="none"/>
        </w:rPr>
      </w:pPr>
    </w:p>
    <w:p w14:paraId="2C5EF90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0190909D">
      <w:pPr>
        <w:tabs>
          <w:tab w:val="left" w:pos="2268"/>
        </w:tabs>
        <w:spacing w:line="360" w:lineRule="auto"/>
        <w:jc w:val="center"/>
        <w:rPr>
          <w:rFonts w:hint="eastAsia" w:ascii="宋体" w:hAnsi="宋体" w:eastAsia="宋体" w:cs="宋体"/>
          <w:color w:val="auto"/>
          <w:sz w:val="24"/>
          <w:highlight w:val="none"/>
        </w:rPr>
      </w:pPr>
    </w:p>
    <w:p w14:paraId="15BCD670">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5DBCE39F">
      <w:pPr>
        <w:spacing w:line="360" w:lineRule="auto"/>
        <w:rPr>
          <w:rFonts w:hint="eastAsia" w:ascii="宋体" w:hAnsi="宋体" w:eastAsia="宋体" w:cs="宋体"/>
          <w:color w:val="auto"/>
          <w:sz w:val="32"/>
          <w:szCs w:val="32"/>
          <w:highlight w:val="none"/>
        </w:rPr>
      </w:pPr>
    </w:p>
    <w:p w14:paraId="1BA34053">
      <w:pPr>
        <w:spacing w:line="360" w:lineRule="auto"/>
        <w:rPr>
          <w:rFonts w:hint="eastAsia" w:ascii="宋体" w:hAnsi="宋体" w:eastAsia="宋体" w:cs="宋体"/>
          <w:color w:val="auto"/>
          <w:sz w:val="32"/>
          <w:szCs w:val="32"/>
          <w:highlight w:val="none"/>
        </w:rPr>
      </w:pPr>
    </w:p>
    <w:p w14:paraId="5B665508">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竞争性磋商公告</w:t>
      </w:r>
    </w:p>
    <w:p w14:paraId="12AA335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竞争性磋商流程</w:t>
      </w:r>
    </w:p>
    <w:p w14:paraId="0F7C3F8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供应商须知</w:t>
      </w:r>
    </w:p>
    <w:p w14:paraId="37E980E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采购需求</w:t>
      </w:r>
    </w:p>
    <w:p w14:paraId="5869E76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评审方法及评审标准</w:t>
      </w:r>
    </w:p>
    <w:p w14:paraId="780B5D8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拟签订的合同文本</w:t>
      </w:r>
    </w:p>
    <w:p w14:paraId="0C77F05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第七部分      应提交的有关格式范例</w:t>
      </w:r>
    </w:p>
    <w:p w14:paraId="70D7E43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第八部分      最后报价格式</w:t>
      </w:r>
    </w:p>
    <w:p w14:paraId="7E71CD11">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0AAAA47D">
      <w:pPr>
        <w:spacing w:line="360" w:lineRule="auto"/>
        <w:ind w:firstLine="549" w:firstLineChars="229"/>
        <w:rPr>
          <w:rFonts w:hint="eastAsia" w:ascii="宋体" w:hAnsi="宋体" w:eastAsia="宋体" w:cs="宋体"/>
          <w:color w:val="auto"/>
          <w:sz w:val="24"/>
          <w:highlight w:val="none"/>
        </w:rPr>
      </w:pPr>
    </w:p>
    <w:p w14:paraId="4DE87A52">
      <w:pPr>
        <w:spacing w:line="360" w:lineRule="auto"/>
        <w:ind w:firstLine="549" w:firstLineChars="229"/>
        <w:rPr>
          <w:rFonts w:hint="eastAsia" w:ascii="宋体" w:hAnsi="宋体" w:eastAsia="宋体" w:cs="宋体"/>
          <w:color w:val="auto"/>
          <w:sz w:val="24"/>
          <w:highlight w:val="none"/>
        </w:rPr>
      </w:pPr>
    </w:p>
    <w:p w14:paraId="6D17E523">
      <w:pPr>
        <w:spacing w:line="360" w:lineRule="auto"/>
        <w:ind w:firstLine="549" w:firstLineChars="229"/>
        <w:rPr>
          <w:rFonts w:hint="eastAsia" w:ascii="宋体" w:hAnsi="宋体" w:eastAsia="宋体" w:cs="宋体"/>
          <w:color w:val="auto"/>
          <w:sz w:val="24"/>
          <w:highlight w:val="none"/>
        </w:rPr>
      </w:pPr>
    </w:p>
    <w:p w14:paraId="12879FA5">
      <w:pPr>
        <w:spacing w:line="360" w:lineRule="auto"/>
        <w:ind w:firstLine="549" w:firstLineChars="229"/>
        <w:rPr>
          <w:rFonts w:hint="eastAsia" w:ascii="宋体" w:hAnsi="宋体" w:eastAsia="宋体" w:cs="宋体"/>
          <w:color w:val="auto"/>
          <w:sz w:val="24"/>
          <w:highlight w:val="none"/>
        </w:rPr>
      </w:pPr>
    </w:p>
    <w:p w14:paraId="13B50BD2">
      <w:pPr>
        <w:spacing w:line="360" w:lineRule="auto"/>
        <w:ind w:firstLine="549" w:firstLineChars="229"/>
        <w:rPr>
          <w:rFonts w:hint="eastAsia" w:ascii="宋体" w:hAnsi="宋体" w:eastAsia="宋体" w:cs="宋体"/>
          <w:color w:val="auto"/>
          <w:sz w:val="24"/>
          <w:highlight w:val="none"/>
        </w:rPr>
      </w:pPr>
    </w:p>
    <w:p w14:paraId="76A2DF2B">
      <w:pPr>
        <w:spacing w:line="360" w:lineRule="auto"/>
        <w:ind w:firstLine="549" w:firstLineChars="229"/>
        <w:rPr>
          <w:rFonts w:hint="eastAsia" w:ascii="宋体" w:hAnsi="宋体" w:eastAsia="宋体" w:cs="宋体"/>
          <w:color w:val="auto"/>
          <w:sz w:val="24"/>
          <w:highlight w:val="none"/>
        </w:rPr>
      </w:pPr>
    </w:p>
    <w:p w14:paraId="79CE1882">
      <w:pPr>
        <w:spacing w:line="360" w:lineRule="auto"/>
        <w:ind w:firstLine="549" w:firstLineChars="229"/>
        <w:rPr>
          <w:rFonts w:hint="eastAsia" w:ascii="宋体" w:hAnsi="宋体" w:eastAsia="宋体" w:cs="宋体"/>
          <w:color w:val="auto"/>
          <w:sz w:val="24"/>
          <w:highlight w:val="none"/>
        </w:rPr>
      </w:pPr>
    </w:p>
    <w:p w14:paraId="311AF022">
      <w:pPr>
        <w:spacing w:line="360" w:lineRule="auto"/>
        <w:ind w:firstLine="549" w:firstLineChars="229"/>
        <w:rPr>
          <w:rFonts w:hint="eastAsia" w:ascii="宋体" w:hAnsi="宋体" w:eastAsia="宋体" w:cs="宋体"/>
          <w:color w:val="auto"/>
          <w:sz w:val="24"/>
          <w:highlight w:val="none"/>
        </w:rPr>
      </w:pPr>
    </w:p>
    <w:p w14:paraId="1471AF1C">
      <w:pPr>
        <w:spacing w:line="360" w:lineRule="auto"/>
        <w:ind w:firstLine="549" w:firstLineChars="229"/>
        <w:rPr>
          <w:rFonts w:hint="eastAsia" w:ascii="宋体" w:hAnsi="宋体" w:eastAsia="宋体" w:cs="宋体"/>
          <w:color w:val="auto"/>
          <w:sz w:val="24"/>
          <w:highlight w:val="none"/>
        </w:rPr>
      </w:pPr>
    </w:p>
    <w:p w14:paraId="45673E0D">
      <w:pPr>
        <w:spacing w:line="360" w:lineRule="auto"/>
        <w:ind w:firstLine="549" w:firstLineChars="229"/>
        <w:rPr>
          <w:rFonts w:hint="eastAsia" w:ascii="宋体" w:hAnsi="宋体" w:eastAsia="宋体" w:cs="宋体"/>
          <w:color w:val="auto"/>
          <w:sz w:val="24"/>
          <w:highlight w:val="none"/>
        </w:rPr>
      </w:pPr>
    </w:p>
    <w:p w14:paraId="21744D4A">
      <w:pPr>
        <w:spacing w:line="360" w:lineRule="auto"/>
        <w:ind w:firstLine="549" w:firstLineChars="229"/>
        <w:rPr>
          <w:rFonts w:hint="eastAsia" w:ascii="宋体" w:hAnsi="宋体" w:eastAsia="宋体" w:cs="宋体"/>
          <w:color w:val="auto"/>
          <w:sz w:val="24"/>
          <w:highlight w:val="none"/>
        </w:rPr>
      </w:pPr>
    </w:p>
    <w:p w14:paraId="16D2A0F9">
      <w:pPr>
        <w:spacing w:line="360" w:lineRule="auto"/>
        <w:ind w:firstLine="549" w:firstLineChars="229"/>
        <w:rPr>
          <w:rFonts w:hint="eastAsia" w:ascii="宋体" w:hAnsi="宋体" w:eastAsia="宋体" w:cs="宋体"/>
          <w:color w:val="auto"/>
          <w:sz w:val="24"/>
          <w:highlight w:val="none"/>
        </w:rPr>
      </w:pPr>
    </w:p>
    <w:p w14:paraId="4AF006C0">
      <w:pPr>
        <w:spacing w:line="360" w:lineRule="auto"/>
        <w:rPr>
          <w:rFonts w:hint="eastAsia" w:ascii="宋体" w:hAnsi="宋体" w:eastAsia="宋体" w:cs="宋体"/>
          <w:color w:val="auto"/>
          <w:sz w:val="24"/>
          <w:highlight w:val="none"/>
        </w:rPr>
      </w:pPr>
    </w:p>
    <w:bookmarkEnd w:id="2"/>
    <w:p w14:paraId="708F0750">
      <w:pPr>
        <w:adjustRightInd/>
        <w:spacing w:line="360" w:lineRule="auto"/>
        <w:jc w:val="center"/>
        <w:outlineLvl w:val="0"/>
        <w:rPr>
          <w:rFonts w:hint="eastAsia" w:ascii="宋体" w:hAnsi="宋体" w:eastAsia="宋体" w:cs="宋体"/>
          <w:b/>
          <w:color w:val="auto"/>
          <w:sz w:val="36"/>
          <w:szCs w:val="20"/>
          <w:highlight w:val="none"/>
        </w:rPr>
        <w:sectPr>
          <w:headerReference r:id="rId4" w:type="first"/>
          <w:headerReference r:id="rId3" w:type="default"/>
          <w:footerReference r:id="rId5" w:type="even"/>
          <w:type w:val="continuous"/>
          <w:pgSz w:w="11906" w:h="16838"/>
          <w:pgMar w:top="1174" w:right="1418" w:bottom="1151" w:left="1418"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bookmarkStart w:id="3" w:name="_Hlt74728647"/>
      <w:bookmarkEnd w:id="3"/>
      <w:bookmarkStart w:id="4" w:name="_Hlt74729822"/>
      <w:bookmarkEnd w:id="4"/>
      <w:bookmarkStart w:id="5" w:name="_Hlt74707423"/>
      <w:bookmarkEnd w:id="5"/>
      <w:bookmarkStart w:id="6" w:name="_Hlt74649545"/>
      <w:bookmarkEnd w:id="6"/>
      <w:bookmarkStart w:id="7" w:name="第二部分"/>
      <w:bookmarkStart w:id="8" w:name="_Toc91899870"/>
      <w:bookmarkStart w:id="9" w:name="_Toc91899871"/>
    </w:p>
    <w:p w14:paraId="2335A3AF">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第一部分  竞争性磋商公告</w:t>
      </w:r>
    </w:p>
    <w:p w14:paraId="7EB06D7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36F56A9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浙江省经济和信息化厅</w:t>
      </w:r>
      <w:r>
        <w:rPr>
          <w:rFonts w:hint="eastAsia" w:ascii="宋体" w:hAnsi="宋体" w:cs="宋体"/>
          <w:color w:val="auto"/>
          <w:sz w:val="24"/>
          <w:highlight w:val="none"/>
          <w:u w:val="single"/>
          <w:lang w:eastAsia="zh-CN"/>
        </w:rPr>
        <w:t>2024年“未来工厂”认定评估及新模式推广应用项目</w:t>
      </w:r>
      <w:r>
        <w:rPr>
          <w:rFonts w:hint="eastAsia" w:ascii="宋体" w:hAnsi="宋体" w:eastAsia="宋体" w:cs="宋体"/>
          <w:color w:val="auto"/>
          <w:sz w:val="24"/>
          <w:highlight w:val="none"/>
        </w:rPr>
        <w:t>的潜在供应商应在</w:t>
      </w:r>
      <w:r>
        <w:rPr>
          <w:rFonts w:hint="eastAsia" w:ascii="宋体" w:hAnsi="宋体" w:eastAsia="宋体" w:cs="宋体"/>
          <w:color w:val="auto"/>
          <w:sz w:val="24"/>
          <w:highlight w:val="none"/>
          <w:u w:val="single"/>
        </w:rPr>
        <w:t>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8"/>
          <w:rFonts w:hint="eastAsia" w:ascii="宋体" w:hAnsi="宋体" w:eastAsia="宋体" w:cs="宋体"/>
          <w:color w:val="auto"/>
          <w:sz w:val="24"/>
          <w:highlight w:val="none"/>
          <w:u w:val="single"/>
        </w:rPr>
        <w:t>https://www.zcygov.cn/</w:t>
      </w:r>
      <w:r>
        <w:rPr>
          <w:rStyle w:val="68"/>
          <w:rFonts w:hint="eastAsia" w:ascii="宋体" w:hAnsi="宋体" w:eastAsia="宋体" w:cs="宋体"/>
          <w:color w:val="auto"/>
          <w:sz w:val="24"/>
          <w:highlight w:val="none"/>
          <w:u w:val="single"/>
        </w:rPr>
        <w:fldChar w:fldCharType="end"/>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获取采购文件，并于</w:t>
      </w:r>
      <w:r>
        <w:rPr>
          <w:rFonts w:hint="eastAsia" w:ascii="宋体" w:hAnsi="宋体" w:eastAsia="宋体" w:cs="宋体"/>
          <w:color w:val="auto"/>
          <w:sz w:val="24"/>
          <w:highlight w:val="none"/>
          <w:u w:val="single"/>
          <w:lang w:eastAsia="zh-CN"/>
        </w:rPr>
        <w:t>2024年</w:t>
      </w:r>
      <w:r>
        <w:rPr>
          <w:rFonts w:hint="eastAsia" w:ascii="宋体" w:hAnsi="宋体" w:cs="宋体"/>
          <w:bCs/>
          <w:color w:val="auto"/>
          <w:sz w:val="24"/>
          <w:highlight w:val="none"/>
          <w:u w:val="single"/>
          <w:lang w:val="en-US" w:eastAsia="zh-CN"/>
        </w:rPr>
        <w:t>09</w:t>
      </w:r>
      <w:r>
        <w:rPr>
          <w:rFonts w:hint="eastAsia" w:ascii="宋体" w:hAnsi="宋体" w:eastAsia="宋体" w:cs="宋体"/>
          <w:bCs/>
          <w:color w:val="auto"/>
          <w:sz w:val="24"/>
          <w:highlight w:val="none"/>
          <w:u w:val="single"/>
        </w:rPr>
        <w:t>月</w:t>
      </w:r>
      <w:r>
        <w:rPr>
          <w:rFonts w:hint="eastAsia" w:ascii="宋体" w:hAnsi="宋体" w:cs="宋体"/>
          <w:bCs/>
          <w:color w:val="auto"/>
          <w:sz w:val="24"/>
          <w:highlight w:val="none"/>
          <w:u w:val="single"/>
          <w:lang w:val="en-US" w:eastAsia="zh-CN"/>
        </w:rPr>
        <w:t>29</w:t>
      </w:r>
      <w:r>
        <w:rPr>
          <w:rFonts w:hint="eastAsia" w:ascii="宋体" w:hAnsi="宋体" w:eastAsia="宋体" w:cs="宋体"/>
          <w:bCs/>
          <w:color w:val="auto"/>
          <w:sz w:val="24"/>
          <w:highlight w:val="none"/>
          <w:u w:val="single"/>
        </w:rPr>
        <w:t>日</w:t>
      </w:r>
      <w:r>
        <w:rPr>
          <w:rFonts w:hint="eastAsia" w:ascii="宋体" w:hAnsi="宋体" w:cs="宋体"/>
          <w:bCs/>
          <w:color w:val="auto"/>
          <w:sz w:val="24"/>
          <w:highlight w:val="none"/>
          <w:u w:val="single"/>
          <w:lang w:val="en-US" w:eastAsia="zh-CN"/>
        </w:rPr>
        <w:t>14</w:t>
      </w:r>
      <w:r>
        <w:rPr>
          <w:rFonts w:hint="eastAsia" w:ascii="宋体" w:hAnsi="宋体" w:eastAsia="宋体" w:cs="宋体"/>
          <w:bCs/>
          <w:color w:val="auto"/>
          <w:sz w:val="24"/>
          <w:highlight w:val="none"/>
          <w:u w:val="single"/>
        </w:rPr>
        <w:t>点</w:t>
      </w:r>
      <w:r>
        <w:rPr>
          <w:rFonts w:hint="eastAsia" w:ascii="宋体" w:hAnsi="宋体" w:cs="宋体"/>
          <w:bCs/>
          <w:color w:val="auto"/>
          <w:sz w:val="24"/>
          <w:highlight w:val="none"/>
          <w:u w:val="single"/>
          <w:lang w:val="en-US" w:eastAsia="zh-CN"/>
        </w:rPr>
        <w:t>30</w:t>
      </w:r>
      <w:r>
        <w:rPr>
          <w:rFonts w:hint="eastAsia" w:ascii="宋体" w:hAnsi="宋体" w:eastAsia="宋体" w:cs="宋体"/>
          <w:bCs/>
          <w:color w:val="auto"/>
          <w:sz w:val="24"/>
          <w:highlight w:val="none"/>
          <w:u w:val="single"/>
        </w:rPr>
        <w:t>分00秒</w:t>
      </w:r>
      <w:r>
        <w:rPr>
          <w:rFonts w:hint="eastAsia" w:ascii="宋体" w:hAnsi="宋体" w:eastAsia="宋体" w:cs="宋体"/>
          <w:bCs/>
          <w:color w:val="auto"/>
          <w:sz w:val="24"/>
          <w:highlight w:val="none"/>
        </w:rPr>
        <w:t>（北京时间）前提交响应文件</w:t>
      </w:r>
      <w:r>
        <w:rPr>
          <w:rFonts w:hint="eastAsia" w:ascii="宋体" w:hAnsi="宋体" w:eastAsia="宋体" w:cs="宋体"/>
          <w:color w:val="auto"/>
          <w:sz w:val="24"/>
          <w:highlight w:val="none"/>
        </w:rPr>
        <w:t>。</w:t>
      </w:r>
    </w:p>
    <w:p w14:paraId="32CF6D4B">
      <w:pPr>
        <w:spacing w:line="360" w:lineRule="auto"/>
        <w:rPr>
          <w:rFonts w:hint="eastAsia" w:ascii="宋体" w:hAnsi="宋体" w:eastAsia="宋体" w:cs="宋体"/>
          <w:color w:val="auto"/>
          <w:sz w:val="24"/>
          <w:highlight w:val="none"/>
        </w:rPr>
      </w:pPr>
    </w:p>
    <w:p w14:paraId="5CEA1B56">
      <w:pPr>
        <w:pStyle w:val="4"/>
        <w:numPr>
          <w:ilvl w:val="0"/>
          <w:numId w:val="0"/>
        </w:numPr>
        <w:tabs>
          <w:tab w:val="left" w:pos="432"/>
        </w:tabs>
        <w:ind w:left="432" w:hanging="432"/>
        <w:rPr>
          <w:rFonts w:hint="eastAsia" w:ascii="宋体" w:hAnsi="宋体" w:eastAsia="宋体" w:cs="宋体"/>
          <w:color w:val="auto"/>
          <w:sz w:val="24"/>
          <w:szCs w:val="24"/>
          <w:highlight w:val="none"/>
        </w:rPr>
      </w:pPr>
      <w:bookmarkStart w:id="10" w:name="_Toc28359089"/>
      <w:bookmarkStart w:id="11" w:name="_Toc35393798"/>
      <w:bookmarkStart w:id="12" w:name="_Toc35393629"/>
      <w:bookmarkStart w:id="13" w:name="_Toc28359012"/>
      <w:r>
        <w:rPr>
          <w:rFonts w:hint="eastAsia" w:ascii="宋体" w:hAnsi="宋体" w:eastAsia="宋体" w:cs="宋体"/>
          <w:color w:val="auto"/>
          <w:sz w:val="24"/>
          <w:szCs w:val="24"/>
          <w:highlight w:val="none"/>
        </w:rPr>
        <w:t>一、项目基本情况</w:t>
      </w:r>
      <w:bookmarkEnd w:id="10"/>
      <w:bookmarkEnd w:id="11"/>
      <w:bookmarkEnd w:id="12"/>
      <w:bookmarkEnd w:id="13"/>
    </w:p>
    <w:p w14:paraId="4F5D0AC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项目编号：ZJ-2422293</w:t>
      </w:r>
    </w:p>
    <w:p w14:paraId="6786D34D">
      <w:pPr>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项目名称：浙江省经济和信息化厅</w:t>
      </w:r>
      <w:r>
        <w:rPr>
          <w:rFonts w:hint="eastAsia" w:ascii="宋体" w:hAnsi="宋体" w:cs="宋体"/>
          <w:color w:val="auto"/>
          <w:sz w:val="24"/>
          <w:highlight w:val="none"/>
          <w:lang w:eastAsia="zh-CN"/>
        </w:rPr>
        <w:t>2024年“未来工厂”认定评估及新模式推广应用项目</w:t>
      </w:r>
    </w:p>
    <w:p w14:paraId="2930066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采购方式：竞争性磋商</w:t>
      </w:r>
    </w:p>
    <w:p w14:paraId="5416DAB6">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预算金额（元）：</w:t>
      </w:r>
      <w:r>
        <w:rPr>
          <w:rFonts w:hint="eastAsia" w:ascii="宋体" w:hAnsi="宋体" w:cs="宋体"/>
          <w:color w:val="auto"/>
          <w:sz w:val="24"/>
          <w:highlight w:val="none"/>
          <w:lang w:val="en-US" w:eastAsia="zh-CN"/>
        </w:rPr>
        <w:t>816200</w:t>
      </w:r>
    </w:p>
    <w:p w14:paraId="77A4437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最高限价（元）：</w:t>
      </w:r>
      <w:r>
        <w:rPr>
          <w:rFonts w:hint="eastAsia" w:ascii="宋体" w:hAnsi="宋体" w:cs="宋体"/>
          <w:color w:val="auto"/>
          <w:sz w:val="24"/>
          <w:highlight w:val="none"/>
          <w:lang w:val="en-US" w:eastAsia="zh-CN"/>
        </w:rPr>
        <w:t>816200</w:t>
      </w:r>
      <w:r>
        <w:rPr>
          <w:rFonts w:hint="eastAsia" w:ascii="宋体" w:hAnsi="宋体" w:eastAsia="宋体" w:cs="宋体"/>
          <w:color w:val="auto"/>
          <w:sz w:val="24"/>
          <w:highlight w:val="none"/>
          <w:lang w:val="en-US" w:eastAsia="zh-CN"/>
        </w:rPr>
        <w:t xml:space="preserve"> </w:t>
      </w:r>
    </w:p>
    <w:p w14:paraId="331F41E4">
      <w:pPr>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color w:val="auto"/>
          <w:sz w:val="24"/>
          <w:highlight w:val="none"/>
        </w:rPr>
        <w:t>采购需求：</w:t>
      </w:r>
    </w:p>
    <w:p w14:paraId="7DE16B00">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 xml:space="preserve">       </w:t>
      </w:r>
    </w:p>
    <w:p w14:paraId="53C38576">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预算金额（元）：</w:t>
      </w:r>
      <w:r>
        <w:rPr>
          <w:rFonts w:hint="eastAsia" w:ascii="宋体" w:hAnsi="宋体" w:cs="宋体"/>
          <w:color w:val="auto"/>
          <w:sz w:val="24"/>
          <w:highlight w:val="none"/>
          <w:lang w:val="en-US" w:eastAsia="zh-CN"/>
        </w:rPr>
        <w:t>816200</w:t>
      </w:r>
    </w:p>
    <w:p w14:paraId="5A8B314C">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单位：项 </w:t>
      </w:r>
    </w:p>
    <w:p w14:paraId="4F9281A0">
      <w:pPr>
        <w:spacing w:line="360" w:lineRule="auto"/>
        <w:ind w:firstLine="723" w:firstLineChars="300"/>
        <w:rPr>
          <w:rFonts w:hint="eastAsia" w:ascii="宋体" w:hAnsi="宋体" w:eastAsia="宋体" w:cs="宋体"/>
          <w:color w:val="auto"/>
          <w:sz w:val="24"/>
          <w:highlight w:val="none"/>
        </w:rPr>
      </w:pPr>
      <w:r>
        <w:rPr>
          <w:rFonts w:hint="eastAsia" w:ascii="宋体" w:hAnsi="宋体" w:eastAsia="宋体" w:cs="宋体"/>
          <w:b/>
          <w:color w:val="auto"/>
          <w:sz w:val="24"/>
          <w:highlight w:val="none"/>
        </w:rPr>
        <w:t>简要规格描述：</w:t>
      </w:r>
      <w:r>
        <w:rPr>
          <w:rFonts w:hint="eastAsia" w:ascii="宋体" w:hAnsi="宋体" w:eastAsia="宋体" w:cs="宋体"/>
          <w:color w:val="auto"/>
          <w:sz w:val="24"/>
          <w:highlight w:val="none"/>
        </w:rPr>
        <w:t>本项目为浙江省经济和信息化厅</w:t>
      </w:r>
      <w:r>
        <w:rPr>
          <w:rFonts w:hint="eastAsia" w:ascii="宋体" w:hAnsi="宋体" w:eastAsia="宋体" w:cs="宋体"/>
          <w:color w:val="auto"/>
          <w:sz w:val="24"/>
          <w:highlight w:val="none"/>
          <w:lang w:val="en-US" w:eastAsia="zh-CN"/>
        </w:rPr>
        <w:t>2024年</w:t>
      </w:r>
      <w:r>
        <w:rPr>
          <w:rFonts w:hint="eastAsia" w:ascii="宋体" w:hAnsi="宋体" w:eastAsia="宋体" w:cs="宋体"/>
          <w:color w:val="auto"/>
          <w:sz w:val="24"/>
          <w:highlight w:val="none"/>
        </w:rPr>
        <w:t>“未来工厂”认定评估及新模式推广应用。详见磋商文件第四部分。供应商可点击本公告下方“浏览采购文件”查看采购需求。</w:t>
      </w:r>
    </w:p>
    <w:p w14:paraId="35A32841">
      <w:pPr>
        <w:spacing w:line="360" w:lineRule="auto"/>
        <w:ind w:firstLine="482" w:firstLineChars="20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合同履约期限</w:t>
      </w:r>
      <w:r>
        <w:rPr>
          <w:rFonts w:hint="eastAsia" w:ascii="宋体" w:hAnsi="宋体" w:eastAsia="宋体" w:cs="宋体"/>
          <w:color w:val="auto"/>
          <w:sz w:val="24"/>
          <w:highlight w:val="none"/>
        </w:rPr>
        <w:t>：</w:t>
      </w:r>
      <w:r>
        <w:rPr>
          <w:rFonts w:hint="eastAsia" w:ascii="宋体" w:hAnsi="宋体" w:eastAsia="宋体" w:cs="宋体"/>
          <w:b w:val="0"/>
          <w:bCs/>
          <w:color w:val="auto"/>
          <w:sz w:val="24"/>
          <w:highlight w:val="none"/>
        </w:rPr>
        <w:t>详见磋商文件</w:t>
      </w:r>
    </w:p>
    <w:p w14:paraId="1EE8CBC5">
      <w:pPr>
        <w:spacing w:line="360" w:lineRule="auto"/>
        <w:ind w:firstLine="482" w:firstLineChars="200"/>
        <w:rPr>
          <w:rFonts w:hint="eastAsia" w:ascii="宋体" w:hAnsi="宋体" w:eastAsia="宋体" w:cs="宋体"/>
          <w:b w:val="0"/>
          <w:bCs w:val="0"/>
          <w:color w:val="auto"/>
          <w:kern w:val="0"/>
          <w:sz w:val="24"/>
          <w:highlight w:val="none"/>
        </w:rPr>
      </w:pPr>
      <w:r>
        <w:rPr>
          <w:rFonts w:hint="eastAsia" w:ascii="宋体" w:hAnsi="宋体" w:eastAsia="宋体" w:cs="宋体"/>
          <w:b/>
          <w:color w:val="auto"/>
          <w:sz w:val="24"/>
          <w:highlight w:val="none"/>
        </w:rPr>
        <w:t>本项目接受联合体</w:t>
      </w:r>
      <w:r>
        <w:rPr>
          <w:rFonts w:hint="eastAsia" w:ascii="宋体" w:hAnsi="宋体" w:eastAsia="宋体" w:cs="宋体"/>
          <w:b/>
          <w:color w:val="auto"/>
          <w:sz w:val="24"/>
          <w:highlight w:val="none"/>
          <w:lang w:eastAsia="zh-CN"/>
        </w:rPr>
        <w:t>磋商：</w:t>
      </w:r>
      <w:sdt>
        <w:sdtPr>
          <w:rPr>
            <w:rFonts w:hint="eastAsia" w:ascii="宋体" w:hAnsi="宋体" w:eastAsia="宋体" w:cs="宋体"/>
            <w:b w:val="0"/>
            <w:bCs w:val="0"/>
            <w:color w:val="auto"/>
            <w:kern w:val="0"/>
            <w:sz w:val="24"/>
            <w:highlight w:val="none"/>
          </w:rPr>
          <w:id w:val="2035453831"/>
          <w14:checkbox>
            <w14:checked w14:val="1"/>
            <w14:checkedState w14:val="00FE" w14:font="Wingdings"/>
            <w14:uncheckedState w14:val="2610" w14:font="MS Gothic"/>
          </w14:checkbox>
        </w:sdtPr>
        <w:sdtEndPr>
          <w:rPr>
            <w:rFonts w:hint="eastAsia" w:ascii="宋体" w:hAnsi="宋体" w:eastAsia="宋体" w:cs="宋体"/>
            <w:b w:val="0"/>
            <w:bCs w:val="0"/>
            <w:color w:val="auto"/>
            <w:kern w:val="0"/>
            <w:sz w:val="24"/>
            <w:highlight w:val="none"/>
          </w:rPr>
        </w:sdtEndPr>
        <w:sdtContent>
          <w:r>
            <w:rPr>
              <w:rFonts w:hint="eastAsia" w:ascii="Wingdings" w:hAnsi="Wingdings" w:eastAsia="宋体" w:cs="宋体"/>
              <w:b w:val="0"/>
              <w:bCs w:val="0"/>
              <w:snapToGrid w:val="0"/>
              <w:color w:val="auto"/>
              <w:kern w:val="0"/>
              <w:sz w:val="24"/>
              <w:szCs w:val="20"/>
              <w:highlight w:val="none"/>
              <w:lang w:val="en-US" w:eastAsia="zh-CN" w:bidi="ar-SA"/>
            </w:rPr>
            <w:t>þ</w:t>
          </w:r>
        </w:sdtContent>
      </w:sdt>
      <w:r>
        <w:rPr>
          <w:rFonts w:hint="eastAsia" w:ascii="宋体" w:hAnsi="宋体" w:eastAsia="宋体" w:cs="宋体"/>
          <w:b w:val="0"/>
          <w:bCs w:val="0"/>
          <w:color w:val="auto"/>
          <w:sz w:val="24"/>
          <w:highlight w:val="none"/>
        </w:rPr>
        <w:t>是，</w:t>
      </w:r>
      <w:sdt>
        <w:sdtPr>
          <w:rPr>
            <w:rFonts w:hint="eastAsia" w:ascii="宋体" w:hAnsi="宋体" w:eastAsia="宋体" w:cs="宋体"/>
            <w:b w:val="0"/>
            <w:bCs w:val="0"/>
            <w:color w:val="auto"/>
            <w:kern w:val="0"/>
            <w:sz w:val="24"/>
            <w:highlight w:val="none"/>
          </w:rPr>
          <w:id w:val="147482214"/>
          <w14:checkbox>
            <w14:checked w14:val="0"/>
            <w14:checkedState w14:val="00FE" w14:font="Wingdings"/>
            <w14:uncheckedState w14:val="2610" w14:font="MS Gothic"/>
          </w14:checkbox>
        </w:sdtPr>
        <w:sdtEndPr>
          <w:rPr>
            <w:rFonts w:hint="eastAsia" w:ascii="宋体" w:hAnsi="宋体" w:eastAsia="宋体" w:cs="宋体"/>
            <w:b w:val="0"/>
            <w:bCs w:val="0"/>
            <w:color w:val="auto"/>
            <w:kern w:val="0"/>
            <w:sz w:val="24"/>
            <w:highlight w:val="none"/>
          </w:rPr>
        </w:sdtEndPr>
        <w:sdtContent>
          <w:r>
            <w:rPr>
              <w:rFonts w:hint="eastAsia" w:ascii="宋体" w:hAnsi="宋体" w:eastAsia="宋体" w:cs="宋体"/>
              <w:b w:val="0"/>
              <w:bCs w:val="0"/>
              <w:color w:val="auto"/>
              <w:kern w:val="0"/>
              <w:sz w:val="24"/>
              <w:highlight w:val="none"/>
            </w:rPr>
            <w:t>☐</w:t>
          </w:r>
        </w:sdtContent>
      </w:sdt>
      <w:r>
        <w:rPr>
          <w:rFonts w:hint="eastAsia" w:ascii="宋体" w:hAnsi="宋体" w:eastAsia="宋体" w:cs="宋体"/>
          <w:b w:val="0"/>
          <w:bCs w:val="0"/>
          <w:color w:val="auto"/>
          <w:sz w:val="24"/>
          <w:highlight w:val="none"/>
        </w:rPr>
        <w:t>否</w:t>
      </w:r>
      <w:r>
        <w:rPr>
          <w:rFonts w:hint="eastAsia" w:ascii="宋体" w:hAnsi="宋体" w:eastAsia="宋体" w:cs="宋体"/>
          <w:b w:val="0"/>
          <w:bCs w:val="0"/>
          <w:color w:val="auto"/>
          <w:kern w:val="0"/>
          <w:sz w:val="24"/>
          <w:highlight w:val="none"/>
        </w:rPr>
        <w:t>。</w:t>
      </w:r>
    </w:p>
    <w:p w14:paraId="7CF35AE8">
      <w:pPr>
        <w:pStyle w:val="23"/>
        <w:rPr>
          <w:rFonts w:hint="eastAsia" w:ascii="宋体" w:hAnsi="宋体" w:eastAsia="宋体" w:cs="宋体"/>
          <w:color w:val="auto"/>
          <w:highlight w:val="none"/>
        </w:rPr>
      </w:pPr>
    </w:p>
    <w:p w14:paraId="787FAD2C">
      <w:pPr>
        <w:pStyle w:val="4"/>
        <w:numPr>
          <w:ilvl w:val="0"/>
          <w:numId w:val="0"/>
        </w:numPr>
        <w:tabs>
          <w:tab w:val="left" w:pos="432"/>
        </w:tabs>
        <w:ind w:left="432" w:hanging="432"/>
        <w:rPr>
          <w:rFonts w:hint="eastAsia" w:ascii="宋体" w:hAnsi="宋体" w:eastAsia="宋体" w:cs="宋体"/>
          <w:color w:val="auto"/>
          <w:sz w:val="24"/>
          <w:szCs w:val="24"/>
          <w:highlight w:val="none"/>
        </w:rPr>
      </w:pPr>
      <w:bookmarkStart w:id="14" w:name="_Toc35393799"/>
      <w:bookmarkStart w:id="15" w:name="_Toc28359090"/>
      <w:bookmarkStart w:id="16" w:name="_Toc28359013"/>
      <w:bookmarkStart w:id="17" w:name="_Toc35393630"/>
      <w:r>
        <w:rPr>
          <w:rFonts w:hint="eastAsia" w:ascii="宋体" w:hAnsi="宋体" w:eastAsia="宋体" w:cs="宋体"/>
          <w:color w:val="auto"/>
          <w:sz w:val="24"/>
          <w:szCs w:val="24"/>
          <w:highlight w:val="none"/>
        </w:rPr>
        <w:t>二、申请人的资格要求：</w:t>
      </w:r>
      <w:bookmarkEnd w:id="14"/>
      <w:bookmarkEnd w:id="15"/>
      <w:bookmarkEnd w:id="16"/>
      <w:bookmarkEnd w:id="17"/>
    </w:p>
    <w:p w14:paraId="7788348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93B562F">
      <w:pPr>
        <w:spacing w:line="360" w:lineRule="auto"/>
        <w:ind w:firstLine="480" w:firstLineChars="200"/>
        <w:rPr>
          <w:rFonts w:hint="eastAsia" w:ascii="宋体" w:hAnsi="宋体" w:eastAsia="宋体" w:cs="宋体"/>
          <w:color w:val="auto"/>
          <w:sz w:val="24"/>
          <w:highlight w:val="none"/>
        </w:rPr>
      </w:pPr>
      <w:bookmarkStart w:id="18" w:name="_Toc28359014"/>
      <w:bookmarkStart w:id="19" w:name="_Toc28359091"/>
      <w:r>
        <w:rPr>
          <w:rFonts w:hint="eastAsia" w:ascii="宋体" w:hAnsi="宋体" w:eastAsia="宋体" w:cs="宋体"/>
          <w:color w:val="auto"/>
          <w:sz w:val="24"/>
          <w:highlight w:val="none"/>
        </w:rPr>
        <w:t>2.以联合体形式响应的，提供联合协议(本项目不接受联合体响应或者供应商不以联合体形式响应的，则不需要提供) ；</w:t>
      </w:r>
    </w:p>
    <w:p w14:paraId="53C6D03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落实政府采购政策需满足的资格要求：</w:t>
      </w:r>
    </w:p>
    <w:p w14:paraId="67141D38">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无（注：不得限制大中型企业与小微企业组成联合体参与响应）；</w:t>
      </w:r>
    </w:p>
    <w:p w14:paraId="4489DDBD">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7521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0CB6A52F">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8046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服务全部由符合政策要求的中小企业承接，提供中小企业声明函；</w:t>
      </w:r>
    </w:p>
    <w:p w14:paraId="27B7ED46">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5763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服务全部由符合政策要求的小微企业承接，提供中小企业声明函；</w:t>
      </w:r>
    </w:p>
    <w:p w14:paraId="44428F69">
      <w:pPr>
        <w:rPr>
          <w:rFonts w:hint="eastAsia" w:ascii="宋体" w:hAnsi="宋体" w:eastAsia="宋体" w:cs="宋体"/>
          <w:color w:val="auto"/>
          <w:highlight w:val="none"/>
        </w:rPr>
      </w:pPr>
    </w:p>
    <w:p w14:paraId="742F687F">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6453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如果供应商本身提供所有标的均由中小企业承接，视同符合了资格条件，无需再与其他中小企业组成联合体参加政府采购活动，无需提供联合协议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25D49BE0">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如果供应商本身提供所有标的均由中小企业承接，视同符合了资格条件，无需再向中小企业分包，无需提供分包意向协议</w:t>
      </w:r>
      <w:r>
        <w:rPr>
          <w:rFonts w:hint="eastAsia" w:ascii="宋体" w:hAnsi="宋体" w:eastAsia="宋体" w:cs="宋体"/>
          <w:color w:val="auto"/>
          <w:spacing w:val="8"/>
          <w:kern w:val="0"/>
          <w:sz w:val="24"/>
          <w:highlight w:val="none"/>
          <w:lang w:eastAsia="zh-CN"/>
        </w:rPr>
        <w:t>。</w:t>
      </w:r>
    </w:p>
    <w:p w14:paraId="50209EAF">
      <w:pPr>
        <w:numPr>
          <w:ilvl w:val="0"/>
          <w:numId w:val="0"/>
        </w:numPr>
        <w:spacing w:line="360" w:lineRule="auto"/>
        <w:rPr>
          <w:rFonts w:hint="eastAsia" w:ascii="宋体" w:hAnsi="宋体" w:eastAsia="宋体" w:cs="宋体"/>
          <w:i/>
          <w:iCs/>
          <w:color w:val="auto"/>
          <w:sz w:val="24"/>
          <w:highlight w:val="none"/>
          <w:u w:val="single"/>
        </w:rPr>
      </w:pPr>
      <w:r>
        <w:rPr>
          <w:rFonts w:hint="eastAsia" w:ascii="宋体" w:hAnsi="宋体" w:eastAsia="宋体" w:cs="宋体"/>
          <w:color w:val="auto"/>
          <w:sz w:val="24"/>
          <w:highlight w:val="none"/>
          <w:lang w:val="en-US" w:eastAsia="zh-CN"/>
        </w:rPr>
        <w:t>4.本项目的特定资格要求：</w:t>
      </w:r>
      <w:sdt>
        <w:sdtPr>
          <w:rPr>
            <w:rFonts w:hint="eastAsia" w:ascii="宋体" w:hAnsi="宋体" w:eastAsia="宋体" w:cs="宋体"/>
            <w:color w:val="auto"/>
            <w:kern w:val="0"/>
            <w:sz w:val="24"/>
            <w:highlight w:val="none"/>
          </w:rPr>
          <w:id w:val="3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无</w:t>
      </w:r>
    </w:p>
    <w:p w14:paraId="4EF6C4BF">
      <w:pPr>
        <w:pStyle w:val="4"/>
        <w:numPr>
          <w:ilvl w:val="0"/>
          <w:numId w:val="0"/>
        </w:numPr>
        <w:tabs>
          <w:tab w:val="left" w:pos="432"/>
        </w:tabs>
        <w:ind w:left="432" w:hanging="432"/>
        <w:rPr>
          <w:rFonts w:hint="eastAsia" w:ascii="宋体" w:hAnsi="宋体" w:eastAsia="宋体" w:cs="宋体"/>
          <w:color w:val="auto"/>
          <w:sz w:val="24"/>
          <w:szCs w:val="24"/>
          <w:highlight w:val="none"/>
        </w:rPr>
      </w:pPr>
      <w:bookmarkStart w:id="20" w:name="_Toc35393800"/>
      <w:bookmarkStart w:id="21" w:name="_Toc35393631"/>
      <w:r>
        <w:rPr>
          <w:rFonts w:hint="eastAsia" w:ascii="宋体" w:hAnsi="宋体" w:eastAsia="宋体" w:cs="宋体"/>
          <w:color w:val="auto"/>
          <w:sz w:val="24"/>
          <w:szCs w:val="24"/>
          <w:highlight w:val="none"/>
        </w:rPr>
        <w:t>三、获取（下载）采购文件</w:t>
      </w:r>
      <w:bookmarkEnd w:id="18"/>
      <w:bookmarkEnd w:id="19"/>
      <w:bookmarkEnd w:id="20"/>
      <w:bookmarkEnd w:id="21"/>
    </w:p>
    <w:p w14:paraId="22670CEF">
      <w:pPr>
        <w:spacing w:line="360" w:lineRule="auto"/>
        <w:ind w:firstLine="54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7"/>
          <w:szCs w:val="27"/>
          <w:highlight w:val="none"/>
        </w:rPr>
        <w:t>/</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none"/>
          <w:lang w:eastAsia="zh-CN"/>
        </w:rPr>
        <w:t>2024年</w:t>
      </w:r>
      <w:r>
        <w:rPr>
          <w:rFonts w:hint="eastAsia" w:ascii="宋体" w:hAnsi="宋体" w:cs="宋体"/>
          <w:bCs/>
          <w:color w:val="auto"/>
          <w:sz w:val="24"/>
          <w:highlight w:val="none"/>
          <w:u w:val="none"/>
          <w:lang w:val="en-US" w:eastAsia="zh-CN"/>
        </w:rPr>
        <w:t>09</w:t>
      </w:r>
      <w:r>
        <w:rPr>
          <w:rFonts w:hint="eastAsia" w:ascii="宋体" w:hAnsi="宋体" w:eastAsia="宋体" w:cs="宋体"/>
          <w:bCs/>
          <w:color w:val="auto"/>
          <w:sz w:val="24"/>
          <w:highlight w:val="none"/>
          <w:u w:val="none"/>
        </w:rPr>
        <w:t>月</w:t>
      </w:r>
      <w:r>
        <w:rPr>
          <w:rFonts w:hint="eastAsia" w:ascii="宋体" w:hAnsi="宋体" w:cs="宋体"/>
          <w:bCs/>
          <w:color w:val="auto"/>
          <w:sz w:val="24"/>
          <w:highlight w:val="none"/>
          <w:u w:val="none"/>
          <w:lang w:val="en-US" w:eastAsia="zh-CN"/>
        </w:rPr>
        <w:t>29</w:t>
      </w:r>
      <w:r>
        <w:rPr>
          <w:rFonts w:hint="eastAsia" w:ascii="宋体" w:hAnsi="宋体" w:eastAsia="宋体" w:cs="宋体"/>
          <w:bCs/>
          <w:color w:val="auto"/>
          <w:sz w:val="24"/>
          <w:highlight w:val="none"/>
          <w:u w:val="non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53436E57">
      <w:pPr>
        <w:spacing w:line="360" w:lineRule="auto"/>
        <w:ind w:firstLine="540"/>
        <w:rPr>
          <w:rFonts w:hint="eastAsia" w:ascii="宋体" w:hAnsi="宋体" w:eastAsia="宋体" w:cs="宋体"/>
          <w:color w:val="auto"/>
          <w:sz w:val="28"/>
          <w:szCs w:val="28"/>
          <w:highlight w:val="none"/>
          <w:u w:val="single"/>
        </w:rPr>
      </w:pPr>
      <w:r>
        <w:rPr>
          <w:rFonts w:hint="eastAsia" w:ascii="宋体" w:hAnsi="宋体" w:eastAsia="宋体" w:cs="宋体"/>
          <w:b/>
          <w:color w:val="auto"/>
          <w:sz w:val="24"/>
          <w:highlight w:val="none"/>
        </w:rPr>
        <w:t>地点（网址）：政采云平台（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8"/>
          <w:rFonts w:hint="eastAsia" w:ascii="宋体" w:hAnsi="宋体" w:eastAsia="宋体" w:cs="宋体"/>
          <w:b/>
          <w:color w:val="auto"/>
          <w:sz w:val="24"/>
          <w:highlight w:val="none"/>
        </w:rPr>
        <w:t>https://www.zcygov.cn/</w:t>
      </w:r>
      <w:r>
        <w:rPr>
          <w:rStyle w:val="68"/>
          <w:rFonts w:hint="eastAsia" w:ascii="宋体" w:hAnsi="宋体" w:eastAsia="宋体" w:cs="宋体"/>
          <w:b/>
          <w:color w:val="auto"/>
          <w:sz w:val="24"/>
          <w:highlight w:val="none"/>
        </w:rPr>
        <w:fldChar w:fldCharType="end"/>
      </w:r>
      <w:r>
        <w:rPr>
          <w:rFonts w:hint="eastAsia" w:ascii="宋体" w:hAnsi="宋体" w:eastAsia="宋体" w:cs="宋体"/>
          <w:b/>
          <w:color w:val="auto"/>
          <w:sz w:val="24"/>
          <w:highlight w:val="none"/>
        </w:rPr>
        <w:t>）</w:t>
      </w:r>
    </w:p>
    <w:p w14:paraId="5C82BC21">
      <w:pPr>
        <w:spacing w:line="360" w:lineRule="auto"/>
        <w:ind w:firstLine="54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供应商登录政采云平台https://www.zcygov.cn/在线申请获取采购文件（进入“项目采购”应用，在获取采购文件菜单中选择项目，申请获取采购文件）</w:t>
      </w:r>
    </w:p>
    <w:p w14:paraId="347EB1A3">
      <w:pPr>
        <w:spacing w:line="360" w:lineRule="auto"/>
        <w:ind w:firstLine="540"/>
        <w:rPr>
          <w:rFonts w:hint="eastAsia" w:ascii="宋体" w:hAnsi="宋体" w:eastAsia="宋体" w:cs="宋体"/>
          <w:color w:val="auto"/>
          <w:sz w:val="28"/>
          <w:szCs w:val="28"/>
          <w:highlight w:val="none"/>
        </w:rPr>
      </w:pPr>
      <w:r>
        <w:rPr>
          <w:rFonts w:hint="eastAsia" w:ascii="宋体" w:hAnsi="宋体" w:eastAsia="宋体" w:cs="宋体"/>
          <w:b/>
          <w:color w:val="auto"/>
          <w:sz w:val="24"/>
          <w:highlight w:val="none"/>
        </w:rPr>
        <w:t>售价：免费。</w:t>
      </w:r>
    </w:p>
    <w:p w14:paraId="462D3CCF">
      <w:pPr>
        <w:pStyle w:val="4"/>
        <w:numPr>
          <w:ilvl w:val="0"/>
          <w:numId w:val="0"/>
        </w:numPr>
        <w:tabs>
          <w:tab w:val="left" w:pos="432"/>
        </w:tabs>
        <w:ind w:left="432" w:hanging="432"/>
        <w:rPr>
          <w:rFonts w:hint="eastAsia" w:ascii="宋体" w:hAnsi="宋体" w:eastAsia="宋体" w:cs="宋体"/>
          <w:color w:val="auto"/>
          <w:sz w:val="24"/>
          <w:szCs w:val="24"/>
          <w:highlight w:val="none"/>
        </w:rPr>
      </w:pPr>
      <w:bookmarkStart w:id="22" w:name="_Toc35393632"/>
      <w:bookmarkStart w:id="23" w:name="_Toc35393801"/>
      <w:bookmarkStart w:id="24" w:name="_Toc28359015"/>
      <w:bookmarkStart w:id="25" w:name="_Toc28359092"/>
      <w:r>
        <w:rPr>
          <w:rFonts w:hint="eastAsia" w:ascii="宋体" w:hAnsi="宋体" w:eastAsia="宋体" w:cs="宋体"/>
          <w:color w:val="auto"/>
          <w:sz w:val="24"/>
          <w:szCs w:val="24"/>
          <w:highlight w:val="none"/>
        </w:rPr>
        <w:t>四、响应文件提交</w:t>
      </w:r>
      <w:bookmarkEnd w:id="22"/>
      <w:bookmarkEnd w:id="23"/>
      <w:bookmarkEnd w:id="24"/>
      <w:bookmarkEnd w:id="25"/>
      <w:r>
        <w:rPr>
          <w:rFonts w:hint="eastAsia" w:ascii="宋体" w:hAnsi="宋体" w:eastAsia="宋体" w:cs="宋体"/>
          <w:color w:val="auto"/>
          <w:sz w:val="24"/>
          <w:szCs w:val="24"/>
          <w:highlight w:val="none"/>
        </w:rPr>
        <w:t>（上传）</w:t>
      </w:r>
    </w:p>
    <w:p w14:paraId="07BE5F4F">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截止时间：</w:t>
      </w:r>
      <w:r>
        <w:rPr>
          <w:rFonts w:hint="eastAsia" w:ascii="宋体" w:hAnsi="宋体" w:eastAsia="宋体" w:cs="宋体"/>
          <w:color w:val="auto"/>
          <w:sz w:val="24"/>
          <w:highlight w:val="none"/>
          <w:u w:val="single"/>
          <w:lang w:eastAsia="zh-CN"/>
        </w:rPr>
        <w:t>2024年</w:t>
      </w:r>
      <w:r>
        <w:rPr>
          <w:rFonts w:hint="eastAsia" w:ascii="宋体" w:hAnsi="宋体" w:cs="宋体"/>
          <w:bCs/>
          <w:color w:val="auto"/>
          <w:sz w:val="24"/>
          <w:highlight w:val="none"/>
          <w:u w:val="single"/>
          <w:lang w:val="en-US" w:eastAsia="zh-CN"/>
        </w:rPr>
        <w:t>09</w:t>
      </w:r>
      <w:r>
        <w:rPr>
          <w:rFonts w:hint="eastAsia" w:ascii="宋体" w:hAnsi="宋体" w:eastAsia="宋体" w:cs="宋体"/>
          <w:bCs/>
          <w:color w:val="auto"/>
          <w:sz w:val="24"/>
          <w:highlight w:val="none"/>
          <w:u w:val="single"/>
        </w:rPr>
        <w:t>月</w:t>
      </w:r>
      <w:r>
        <w:rPr>
          <w:rFonts w:hint="eastAsia" w:ascii="宋体" w:hAnsi="宋体" w:cs="宋体"/>
          <w:bCs/>
          <w:color w:val="auto"/>
          <w:sz w:val="24"/>
          <w:highlight w:val="none"/>
          <w:u w:val="single"/>
          <w:lang w:val="en-US" w:eastAsia="zh-CN"/>
        </w:rPr>
        <w:t>29</w:t>
      </w:r>
      <w:r>
        <w:rPr>
          <w:rFonts w:hint="eastAsia" w:ascii="宋体" w:hAnsi="宋体" w:eastAsia="宋体" w:cs="宋体"/>
          <w:bCs/>
          <w:color w:val="auto"/>
          <w:sz w:val="24"/>
          <w:highlight w:val="none"/>
          <w:u w:val="single"/>
        </w:rPr>
        <w:t>日</w:t>
      </w:r>
      <w:r>
        <w:rPr>
          <w:rFonts w:hint="eastAsia" w:ascii="宋体" w:hAnsi="宋体" w:cs="宋体"/>
          <w:bCs/>
          <w:color w:val="auto"/>
          <w:sz w:val="24"/>
          <w:highlight w:val="none"/>
          <w:u w:val="single"/>
          <w:lang w:val="en-US" w:eastAsia="zh-CN"/>
        </w:rPr>
        <w:t>14</w:t>
      </w:r>
      <w:r>
        <w:rPr>
          <w:rFonts w:hint="eastAsia" w:ascii="宋体" w:hAnsi="宋体" w:eastAsia="宋体" w:cs="宋体"/>
          <w:bCs/>
          <w:color w:val="auto"/>
          <w:sz w:val="24"/>
          <w:highlight w:val="none"/>
          <w:u w:val="single"/>
        </w:rPr>
        <w:t>点</w:t>
      </w:r>
      <w:r>
        <w:rPr>
          <w:rFonts w:hint="eastAsia" w:ascii="宋体" w:hAnsi="宋体" w:cs="宋体"/>
          <w:bCs/>
          <w:color w:val="auto"/>
          <w:sz w:val="24"/>
          <w:highlight w:val="none"/>
          <w:u w:val="single"/>
          <w:lang w:val="en-US" w:eastAsia="zh-CN"/>
        </w:rPr>
        <w:t>30</w:t>
      </w:r>
      <w:r>
        <w:rPr>
          <w:rFonts w:hint="eastAsia" w:ascii="宋体" w:hAnsi="宋体" w:eastAsia="宋体" w:cs="宋体"/>
          <w:bCs/>
          <w:color w:val="auto"/>
          <w:sz w:val="24"/>
          <w:highlight w:val="none"/>
          <w:u w:val="single"/>
        </w:rPr>
        <w:t>分00秒</w:t>
      </w:r>
      <w:r>
        <w:rPr>
          <w:rFonts w:hint="eastAsia" w:ascii="宋体" w:hAnsi="宋体" w:eastAsia="宋体" w:cs="宋体"/>
          <w:bCs/>
          <w:color w:val="auto"/>
          <w:sz w:val="24"/>
          <w:highlight w:val="none"/>
        </w:rPr>
        <w:t>（北京时间）</w:t>
      </w:r>
    </w:p>
    <w:p w14:paraId="70C3B87E">
      <w:pPr>
        <w:spacing w:line="360" w:lineRule="auto"/>
        <w:ind w:firstLine="480" w:firstLineChars="200"/>
        <w:rPr>
          <w:rFonts w:hint="eastAsia" w:ascii="宋体" w:hAnsi="宋体" w:eastAsia="宋体" w:cs="宋体"/>
          <w:b w:val="0"/>
          <w:bCs w:val="0"/>
          <w:color w:val="auto"/>
          <w:sz w:val="24"/>
          <w:highlight w:val="none"/>
          <w:u w:val="single"/>
        </w:rPr>
      </w:pPr>
      <w:r>
        <w:rPr>
          <w:rFonts w:hint="eastAsia" w:ascii="宋体" w:hAnsi="宋体" w:eastAsia="宋体" w:cs="宋体"/>
          <w:b w:val="0"/>
          <w:bCs w:val="0"/>
          <w:color w:val="auto"/>
          <w:sz w:val="24"/>
          <w:highlight w:val="none"/>
        </w:rPr>
        <w:t>地点（网址）：政采云平台（</w:t>
      </w: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HYPERLINK "https://www.zcygov.cn/" </w:instrText>
      </w:r>
      <w:r>
        <w:rPr>
          <w:rFonts w:hint="eastAsia" w:ascii="宋体" w:hAnsi="宋体" w:eastAsia="宋体" w:cs="宋体"/>
          <w:b w:val="0"/>
          <w:bCs w:val="0"/>
          <w:color w:val="auto"/>
          <w:highlight w:val="none"/>
        </w:rPr>
        <w:fldChar w:fldCharType="separate"/>
      </w:r>
      <w:r>
        <w:rPr>
          <w:rStyle w:val="68"/>
          <w:rFonts w:hint="eastAsia" w:ascii="宋体" w:hAnsi="宋体" w:eastAsia="宋体" w:cs="宋体"/>
          <w:b w:val="0"/>
          <w:bCs w:val="0"/>
          <w:color w:val="auto"/>
          <w:kern w:val="2"/>
          <w:sz w:val="24"/>
          <w:szCs w:val="24"/>
          <w:highlight w:val="none"/>
        </w:rPr>
        <w:t>https://www.zcygov.cn/</w:t>
      </w:r>
      <w:r>
        <w:rPr>
          <w:rStyle w:val="68"/>
          <w:rFonts w:hint="eastAsia" w:ascii="宋体" w:hAnsi="宋体" w:eastAsia="宋体" w:cs="宋体"/>
          <w:b w:val="0"/>
          <w:bCs w:val="0"/>
          <w:color w:val="auto"/>
          <w:kern w:val="2"/>
          <w:sz w:val="24"/>
          <w:szCs w:val="24"/>
          <w:highlight w:val="none"/>
        </w:rPr>
        <w:fldChar w:fldCharType="end"/>
      </w:r>
      <w:r>
        <w:rPr>
          <w:rFonts w:hint="eastAsia" w:ascii="宋体" w:hAnsi="宋体" w:eastAsia="宋体" w:cs="宋体"/>
          <w:b w:val="0"/>
          <w:bCs w:val="0"/>
          <w:color w:val="auto"/>
          <w:sz w:val="24"/>
          <w:highlight w:val="none"/>
        </w:rPr>
        <w:t>）。</w:t>
      </w:r>
    </w:p>
    <w:p w14:paraId="1A570206">
      <w:pPr>
        <w:pStyle w:val="4"/>
        <w:numPr>
          <w:ilvl w:val="0"/>
          <w:numId w:val="0"/>
        </w:numPr>
        <w:tabs>
          <w:tab w:val="left" w:pos="432"/>
        </w:tabs>
        <w:ind w:left="432" w:hanging="432"/>
        <w:rPr>
          <w:rFonts w:hint="eastAsia" w:ascii="宋体" w:hAnsi="宋体" w:eastAsia="宋体" w:cs="宋体"/>
          <w:color w:val="auto"/>
          <w:sz w:val="24"/>
          <w:szCs w:val="24"/>
          <w:highlight w:val="none"/>
        </w:rPr>
      </w:pPr>
      <w:bookmarkStart w:id="26" w:name="_Toc28359093"/>
      <w:bookmarkStart w:id="27" w:name="_Toc35393633"/>
      <w:bookmarkStart w:id="28" w:name="_Toc35393802"/>
      <w:bookmarkStart w:id="29" w:name="_Toc28359016"/>
      <w:r>
        <w:rPr>
          <w:rFonts w:hint="eastAsia" w:ascii="宋体" w:hAnsi="宋体" w:eastAsia="宋体" w:cs="宋体"/>
          <w:color w:val="auto"/>
          <w:sz w:val="24"/>
          <w:szCs w:val="24"/>
          <w:highlight w:val="none"/>
        </w:rPr>
        <w:t>五、响应文件开启</w:t>
      </w:r>
      <w:bookmarkEnd w:id="26"/>
      <w:bookmarkEnd w:id="27"/>
      <w:bookmarkEnd w:id="28"/>
      <w:bookmarkEnd w:id="29"/>
    </w:p>
    <w:p w14:paraId="3821C202">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lang w:eastAsia="zh-CN"/>
        </w:rPr>
        <w:t>2024年</w:t>
      </w:r>
      <w:r>
        <w:rPr>
          <w:rFonts w:hint="eastAsia" w:ascii="宋体" w:hAnsi="宋体" w:cs="宋体"/>
          <w:bCs/>
          <w:color w:val="auto"/>
          <w:sz w:val="24"/>
          <w:highlight w:val="none"/>
          <w:u w:val="single"/>
          <w:lang w:val="en-US" w:eastAsia="zh-CN"/>
        </w:rPr>
        <w:t>09</w:t>
      </w:r>
      <w:r>
        <w:rPr>
          <w:rFonts w:hint="eastAsia" w:ascii="宋体" w:hAnsi="宋体" w:eastAsia="宋体" w:cs="宋体"/>
          <w:bCs/>
          <w:color w:val="auto"/>
          <w:sz w:val="24"/>
          <w:highlight w:val="none"/>
          <w:u w:val="single"/>
        </w:rPr>
        <w:t>月</w:t>
      </w:r>
      <w:r>
        <w:rPr>
          <w:rFonts w:hint="eastAsia" w:ascii="宋体" w:hAnsi="宋体" w:cs="宋体"/>
          <w:bCs/>
          <w:color w:val="auto"/>
          <w:sz w:val="24"/>
          <w:highlight w:val="none"/>
          <w:u w:val="single"/>
          <w:lang w:val="en-US" w:eastAsia="zh-CN"/>
        </w:rPr>
        <w:t>29</w:t>
      </w:r>
      <w:r>
        <w:rPr>
          <w:rFonts w:hint="eastAsia" w:ascii="宋体" w:hAnsi="宋体" w:eastAsia="宋体" w:cs="宋体"/>
          <w:bCs/>
          <w:color w:val="auto"/>
          <w:sz w:val="24"/>
          <w:highlight w:val="none"/>
          <w:u w:val="single"/>
        </w:rPr>
        <w:t>日</w:t>
      </w:r>
      <w:r>
        <w:rPr>
          <w:rFonts w:hint="eastAsia" w:ascii="宋体" w:hAnsi="宋体" w:cs="宋体"/>
          <w:bCs/>
          <w:color w:val="auto"/>
          <w:sz w:val="24"/>
          <w:highlight w:val="none"/>
          <w:u w:val="single"/>
          <w:lang w:val="en-US" w:eastAsia="zh-CN"/>
        </w:rPr>
        <w:t>14</w:t>
      </w:r>
      <w:r>
        <w:rPr>
          <w:rFonts w:hint="eastAsia" w:ascii="宋体" w:hAnsi="宋体" w:eastAsia="宋体" w:cs="宋体"/>
          <w:bCs/>
          <w:color w:val="auto"/>
          <w:sz w:val="24"/>
          <w:highlight w:val="none"/>
          <w:u w:val="single"/>
        </w:rPr>
        <w:t>点</w:t>
      </w:r>
      <w:r>
        <w:rPr>
          <w:rFonts w:hint="eastAsia" w:ascii="宋体" w:hAnsi="宋体" w:cs="宋体"/>
          <w:bCs/>
          <w:color w:val="auto"/>
          <w:sz w:val="24"/>
          <w:highlight w:val="none"/>
          <w:u w:val="single"/>
          <w:lang w:val="en-US" w:eastAsia="zh-CN"/>
        </w:rPr>
        <w:t>30</w:t>
      </w:r>
      <w:r>
        <w:rPr>
          <w:rFonts w:hint="eastAsia" w:ascii="宋体" w:hAnsi="宋体" w:eastAsia="宋体" w:cs="宋体"/>
          <w:bCs/>
          <w:color w:val="auto"/>
          <w:sz w:val="24"/>
          <w:highlight w:val="none"/>
          <w:u w:val="single"/>
        </w:rPr>
        <w:t>分00秒</w:t>
      </w:r>
      <w:r>
        <w:rPr>
          <w:rFonts w:hint="eastAsia" w:ascii="宋体" w:hAnsi="宋体" w:eastAsia="宋体" w:cs="宋体"/>
          <w:bCs/>
          <w:color w:val="auto"/>
          <w:sz w:val="24"/>
          <w:highlight w:val="none"/>
        </w:rPr>
        <w:t>（北京时间）</w:t>
      </w:r>
    </w:p>
    <w:p w14:paraId="61481743">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地点（网址）：政采云平台（https://www.zcygov.cn/）。</w:t>
      </w:r>
    </w:p>
    <w:p w14:paraId="7130F79B">
      <w:pPr>
        <w:pStyle w:val="4"/>
        <w:numPr>
          <w:ilvl w:val="0"/>
          <w:numId w:val="0"/>
        </w:numPr>
        <w:tabs>
          <w:tab w:val="left" w:pos="432"/>
        </w:tabs>
        <w:ind w:left="432" w:hanging="432"/>
        <w:rPr>
          <w:rFonts w:hint="eastAsia" w:ascii="宋体" w:hAnsi="宋体" w:eastAsia="宋体" w:cs="宋体"/>
          <w:color w:val="auto"/>
          <w:sz w:val="24"/>
          <w:szCs w:val="24"/>
          <w:highlight w:val="none"/>
        </w:rPr>
      </w:pPr>
      <w:bookmarkStart w:id="30" w:name="_Toc28359017"/>
      <w:bookmarkStart w:id="31" w:name="_Toc35393634"/>
      <w:bookmarkStart w:id="32" w:name="_Toc28359094"/>
      <w:bookmarkStart w:id="33" w:name="_Toc35393803"/>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采购意向公开链接</w:t>
      </w:r>
    </w:p>
    <w:p w14:paraId="23718D47">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fldChar w:fldCharType="begin"/>
      </w:r>
      <w:r>
        <w:rPr>
          <w:rFonts w:hint="eastAsia" w:ascii="宋体" w:hAnsi="宋体" w:eastAsia="宋体" w:cs="宋体"/>
          <w:color w:val="auto"/>
          <w:sz w:val="24"/>
          <w:highlight w:val="none"/>
          <w:lang w:eastAsia="zh-CN"/>
        </w:rPr>
        <w:instrText xml:space="preserve"> HYPERLINK "https://zfcg.czt.zj.gov.cn/site/detail?categoryCode=ZcyAnnouncement&amp;parentId=600007&amp;articleId=fws8nYZFXg6fNcwasCoMDQ==" </w:instrText>
      </w:r>
      <w:r>
        <w:rPr>
          <w:rFonts w:hint="eastAsia" w:ascii="宋体" w:hAnsi="宋体" w:eastAsia="宋体" w:cs="宋体"/>
          <w:color w:val="auto"/>
          <w:sz w:val="24"/>
          <w:highlight w:val="none"/>
          <w:lang w:eastAsia="zh-CN"/>
        </w:rPr>
        <w:fldChar w:fldCharType="separate"/>
      </w:r>
      <w:r>
        <w:rPr>
          <w:rFonts w:hint="eastAsia" w:ascii="宋体" w:hAnsi="宋体" w:eastAsia="宋体" w:cs="宋体"/>
          <w:color w:val="auto"/>
          <w:sz w:val="24"/>
          <w:highlight w:val="none"/>
          <w:lang w:eastAsia="zh-CN"/>
        </w:rPr>
        <w:t>https://zfcg.czt.zj.gov.cn/site/detail?categoryCode=ZcyAnnouncement&amp;parentId=600007&amp;articleId=fws8nYZFXg6fNcwasCoMDQ==</w:t>
      </w:r>
      <w:r>
        <w:rPr>
          <w:rFonts w:hint="eastAsia" w:ascii="宋体" w:hAnsi="宋体" w:eastAsia="宋体" w:cs="宋体"/>
          <w:color w:val="auto"/>
          <w:sz w:val="24"/>
          <w:highlight w:val="none"/>
          <w:lang w:eastAsia="zh-CN"/>
        </w:rPr>
        <w:fldChar w:fldCharType="end"/>
      </w:r>
    </w:p>
    <w:p w14:paraId="72DF0738">
      <w:pPr>
        <w:pStyle w:val="4"/>
        <w:numPr>
          <w:ilvl w:val="0"/>
          <w:numId w:val="0"/>
        </w:numPr>
        <w:tabs>
          <w:tab w:val="left" w:pos="432"/>
        </w:tabs>
        <w:ind w:left="432" w:hanging="43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公告期限</w:t>
      </w:r>
      <w:bookmarkEnd w:id="30"/>
      <w:bookmarkEnd w:id="31"/>
      <w:bookmarkEnd w:id="32"/>
      <w:bookmarkEnd w:id="33"/>
    </w:p>
    <w:p w14:paraId="0F32842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自本公告发布之日起3个工作日。</w:t>
      </w:r>
    </w:p>
    <w:p w14:paraId="13843733">
      <w:pPr>
        <w:pStyle w:val="4"/>
        <w:numPr>
          <w:ilvl w:val="0"/>
          <w:numId w:val="0"/>
        </w:numPr>
        <w:tabs>
          <w:tab w:val="left" w:pos="432"/>
        </w:tabs>
        <w:ind w:left="432" w:hanging="432"/>
        <w:rPr>
          <w:rFonts w:hint="eastAsia" w:ascii="宋体" w:hAnsi="宋体" w:eastAsia="宋体" w:cs="宋体"/>
          <w:color w:val="auto"/>
          <w:sz w:val="24"/>
          <w:szCs w:val="24"/>
          <w:highlight w:val="none"/>
        </w:rPr>
      </w:pPr>
      <w:bookmarkStart w:id="34" w:name="_Toc35393635"/>
      <w:bookmarkStart w:id="35" w:name="_Toc35393804"/>
      <w:r>
        <w:rPr>
          <w:rFonts w:hint="eastAsia" w:ascii="宋体" w:hAnsi="宋体" w:eastAsia="宋体" w:cs="宋体"/>
          <w:color w:val="auto"/>
          <w:sz w:val="24"/>
          <w:szCs w:val="24"/>
          <w:highlight w:val="none"/>
          <w:lang w:eastAsia="zh-CN"/>
        </w:rPr>
        <w:t>八、</w:t>
      </w:r>
      <w:r>
        <w:rPr>
          <w:rFonts w:hint="eastAsia" w:ascii="宋体" w:hAnsi="宋体" w:eastAsia="宋体" w:cs="宋体"/>
          <w:color w:val="auto"/>
          <w:sz w:val="24"/>
          <w:szCs w:val="24"/>
          <w:highlight w:val="none"/>
        </w:rPr>
        <w:t>其他补充事宜</w:t>
      </w:r>
      <w:bookmarkEnd w:id="34"/>
      <w:bookmarkEnd w:id="35"/>
    </w:p>
    <w:p w14:paraId="717E89E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973654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46EFDA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w:t>
      </w:r>
      <w:bookmarkStart w:id="118" w:name="_GoBack"/>
      <w:r>
        <w:rPr>
          <w:rFonts w:hint="eastAsia" w:ascii="宋体" w:hAnsi="宋体" w:eastAsia="宋体" w:cs="宋体"/>
          <w:color w:val="auto"/>
          <w:sz w:val="24"/>
          <w:highlight w:val="none"/>
        </w:rPr>
        <w:t>工作日</w:t>
      </w:r>
      <w:bookmarkEnd w:id="118"/>
      <w:r>
        <w:rPr>
          <w:rFonts w:hint="eastAsia" w:ascii="宋体" w:hAnsi="宋体" w:eastAsia="宋体" w:cs="宋体"/>
          <w:color w:val="auto"/>
          <w:sz w:val="24"/>
          <w:highlight w:val="none"/>
        </w:rPr>
        <w:t>内向同级政府采购监督管理部门投诉。质疑函范本、投诉书范本请到浙江政府采购网下载专区下载。</w:t>
      </w:r>
    </w:p>
    <w:p w14:paraId="0D4E9645">
      <w:pPr>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lang w:val="en-US" w:eastAsia="zh-CN"/>
        </w:rPr>
        <w:t>4</w:t>
      </w:r>
      <w:r>
        <w:rPr>
          <w:rFonts w:hint="eastAsia" w:ascii="宋体" w:hAnsi="宋体" w:eastAsia="宋体" w:cs="宋体"/>
          <w:b/>
          <w:color w:val="auto"/>
          <w:kern w:val="0"/>
          <w:sz w:val="24"/>
          <w:highlight w:val="none"/>
        </w:rPr>
        <w:t>. 其他事项：（1）需要落实的政府采购政策：</w:t>
      </w:r>
      <w:r>
        <w:rPr>
          <w:rFonts w:hint="eastAsia" w:ascii="宋体" w:hAnsi="宋体" w:eastAsia="宋体" w:cs="宋体"/>
          <w:color w:val="auto"/>
          <w:kern w:val="0"/>
          <w:sz w:val="24"/>
          <w:highlight w:val="none"/>
        </w:rPr>
        <w:t>包括节约资源</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保护环境、支持创新、促进中小企业发展等，详见磋商文件第三部分。</w:t>
      </w:r>
      <w:r>
        <w:rPr>
          <w:rFonts w:hint="eastAsia" w:ascii="宋体" w:hAnsi="宋体" w:eastAsia="宋体" w:cs="宋体"/>
          <w:b/>
          <w:color w:val="auto"/>
          <w:kern w:val="0"/>
          <w:sz w:val="24"/>
          <w:szCs w:val="20"/>
          <w:highlight w:val="none"/>
        </w:rPr>
        <w:t>（2）</w:t>
      </w:r>
      <w:r>
        <w:rPr>
          <w:rFonts w:hint="eastAsia" w:ascii="宋体" w:hAnsi="宋体" w:eastAsia="宋体" w:cs="宋体"/>
          <w:b/>
          <w:color w:val="auto"/>
          <w:sz w:val="24"/>
          <w:highlight w:val="none"/>
        </w:rPr>
        <w:t>电子交易的说明: 1）电子交易：</w:t>
      </w:r>
      <w:r>
        <w:rPr>
          <w:rFonts w:hint="eastAsia" w:ascii="宋体" w:hAnsi="宋体" w:eastAsia="宋体" w:cs="宋体"/>
          <w:color w:val="auto"/>
          <w:sz w:val="24"/>
          <w:highlight w:val="none"/>
        </w:rPr>
        <w:t>本项目以数据电文形式，依托“政府采购云平台（www.zcygov.cn）”进行采购活动，不接受纸质响应文件。</w:t>
      </w:r>
      <w:r>
        <w:rPr>
          <w:rFonts w:hint="eastAsia" w:ascii="宋体" w:hAnsi="宋体" w:eastAsia="宋体" w:cs="宋体"/>
          <w:b/>
          <w:color w:val="auto"/>
          <w:sz w:val="24"/>
          <w:highlight w:val="none"/>
        </w:rPr>
        <w:t>2）响应准备：</w:t>
      </w:r>
      <w:r>
        <w:rPr>
          <w:rFonts w:hint="eastAsia" w:ascii="宋体" w:hAnsi="宋体" w:eastAsia="宋体" w:cs="宋体"/>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eastAsia="宋体" w:cs="宋体"/>
          <w:b/>
          <w:color w:val="auto"/>
          <w:sz w:val="24"/>
          <w:highlight w:val="none"/>
        </w:rPr>
        <w:t>3）磋商文件的获取：</w:t>
      </w:r>
      <w:r>
        <w:rPr>
          <w:rFonts w:hint="eastAsia" w:ascii="宋体" w:hAnsi="宋体" w:eastAsia="宋体" w:cs="宋体"/>
          <w:color w:val="auto"/>
          <w:sz w:val="24"/>
          <w:highlight w:val="none"/>
        </w:rPr>
        <w:t>使用账号登录或者使用CA登录政采云平台；进入“项目采购”应用，在获取采购文件菜单中选择项目，获取磋商文件。</w:t>
      </w:r>
      <w:r>
        <w:rPr>
          <w:rFonts w:hint="eastAsia" w:ascii="宋体" w:hAnsi="宋体" w:eastAsia="宋体" w:cs="宋体"/>
          <w:b/>
          <w:color w:val="auto"/>
          <w:sz w:val="24"/>
          <w:highlight w:val="none"/>
        </w:rPr>
        <w:t>4）响应文件的制作：</w:t>
      </w:r>
      <w:r>
        <w:rPr>
          <w:rFonts w:hint="eastAsia" w:ascii="宋体" w:hAnsi="宋体" w:eastAsia="宋体" w:cs="宋体"/>
          <w:color w:val="auto"/>
          <w:sz w:val="24"/>
          <w:highlight w:val="none"/>
        </w:rPr>
        <w:t>在“政采云电子交易客户端”中完成“填写基本信息”、“导入</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”、“标书关联”、“标书检查”、“电子签名”、“生成电子标书”等操作。</w:t>
      </w:r>
      <w:r>
        <w:rPr>
          <w:rFonts w:hint="eastAsia" w:ascii="宋体" w:hAnsi="宋体" w:eastAsia="宋体" w:cs="宋体"/>
          <w:b/>
          <w:color w:val="auto"/>
          <w:sz w:val="24"/>
          <w:highlight w:val="none"/>
        </w:rPr>
        <w:t>5）</w:t>
      </w:r>
      <w:r>
        <w:rPr>
          <w:rFonts w:hint="eastAsia" w:ascii="宋体" w:hAnsi="宋体" w:eastAsia="宋体" w:cs="宋体"/>
          <w:color w:val="auto"/>
          <w:sz w:val="24"/>
          <w:highlight w:val="none"/>
        </w:rPr>
        <w:t>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将依托政采云平台完成本项目的电子交易活动，平台不接受未按本公告约定方式获取磋商文件的供应商进行响应活动；</w:t>
      </w:r>
      <w:r>
        <w:rPr>
          <w:rFonts w:hint="eastAsia" w:ascii="宋体" w:hAnsi="宋体" w:eastAsia="宋体" w:cs="宋体"/>
          <w:b/>
          <w:color w:val="auto"/>
          <w:sz w:val="24"/>
          <w:highlight w:val="none"/>
        </w:rPr>
        <w:t>6）</w:t>
      </w:r>
      <w:r>
        <w:rPr>
          <w:rFonts w:hint="eastAsia" w:ascii="宋体" w:hAnsi="宋体" w:eastAsia="宋体" w:cs="宋体"/>
          <w:color w:val="auto"/>
          <w:sz w:val="24"/>
          <w:highlight w:val="none"/>
        </w:rPr>
        <w:t>对未按上述方式获取磋商文件的供应商对该文件提出的质疑，采购人或采购代理机构将不予处理</w:t>
      </w:r>
      <w:r>
        <w:rPr>
          <w:rFonts w:hint="eastAsia" w:ascii="宋体" w:hAnsi="宋体" w:eastAsia="宋体" w:cs="宋体"/>
          <w:b/>
          <w:color w:val="auto"/>
          <w:sz w:val="24"/>
          <w:highlight w:val="none"/>
        </w:rPr>
        <w:t>；7）</w:t>
      </w:r>
      <w:r>
        <w:rPr>
          <w:rFonts w:hint="eastAsia" w:ascii="宋体" w:hAnsi="宋体" w:eastAsia="宋体" w:cs="宋体"/>
          <w:color w:val="auto"/>
          <w:sz w:val="24"/>
          <w:highlight w:val="none"/>
        </w:rPr>
        <w:t>不提供磋商文件纸质版；</w:t>
      </w:r>
      <w:r>
        <w:rPr>
          <w:rFonts w:hint="eastAsia" w:ascii="宋体" w:hAnsi="宋体" w:eastAsia="宋体" w:cs="宋体"/>
          <w:b/>
          <w:color w:val="auto"/>
          <w:sz w:val="24"/>
          <w:highlight w:val="none"/>
        </w:rPr>
        <w:t>8）响应文件的传输提交：</w:t>
      </w:r>
      <w:r>
        <w:rPr>
          <w:rFonts w:hint="eastAsia" w:ascii="宋体" w:hAnsi="宋体" w:eastAsia="宋体" w:cs="宋体"/>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宋体" w:hAnsi="宋体" w:eastAsia="宋体" w:cs="宋体"/>
          <w:b/>
          <w:color w:val="auto"/>
          <w:sz w:val="24"/>
          <w:highlight w:val="none"/>
        </w:rPr>
        <w:t>9）响应文件的解密：</w:t>
      </w:r>
      <w:r>
        <w:rPr>
          <w:rFonts w:hint="eastAsia" w:ascii="宋体" w:hAnsi="宋体" w:eastAsia="宋体" w:cs="宋体"/>
          <w:color w:val="auto"/>
          <w:sz w:val="24"/>
          <w:highlight w:val="none"/>
        </w:rPr>
        <w:t>供应商按照平台提示和磋商文件的规定在半小时内完成在线解密。通过“政府采购云平台”上传提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宋体" w:hAnsi="宋体" w:eastAsia="宋体" w:cs="宋体"/>
          <w:b/>
          <w:color w:val="auto"/>
          <w:sz w:val="24"/>
          <w:highlight w:val="none"/>
        </w:rPr>
        <w:t>）具体操作指南</w:t>
      </w:r>
      <w:r>
        <w:rPr>
          <w:rFonts w:hint="eastAsia" w:ascii="宋体" w:hAnsi="宋体" w:eastAsia="宋体" w:cs="宋体"/>
          <w:color w:val="auto"/>
          <w:sz w:val="24"/>
          <w:highlight w:val="none"/>
        </w:rPr>
        <w:t>：详见政采云平台“服务中心-帮助文档-项目采购-操作流程-电子招投标-政府采购项目电子交易管理操作指南-供应商”。</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本磋商文件公告期限为本公告发布之日起5个工作日。</w:t>
      </w:r>
    </w:p>
    <w:p w14:paraId="5081D74B">
      <w:pPr>
        <w:spacing w:line="360" w:lineRule="auto"/>
        <w:ind w:firstLine="480" w:firstLineChars="200"/>
        <w:rPr>
          <w:rFonts w:hint="eastAsia" w:ascii="宋体" w:hAnsi="宋体" w:eastAsia="宋体" w:cs="宋体"/>
          <w:color w:val="auto"/>
          <w:sz w:val="24"/>
          <w:highlight w:val="none"/>
        </w:rPr>
      </w:pPr>
    </w:p>
    <w:p w14:paraId="107C57D8">
      <w:pPr>
        <w:pStyle w:val="4"/>
        <w:numPr>
          <w:ilvl w:val="0"/>
          <w:numId w:val="0"/>
        </w:numPr>
        <w:tabs>
          <w:tab w:val="left" w:pos="432"/>
        </w:tabs>
        <w:ind w:left="432" w:hanging="432"/>
        <w:rPr>
          <w:rFonts w:hint="eastAsia" w:ascii="宋体" w:hAnsi="宋体" w:eastAsia="宋体" w:cs="宋体"/>
          <w:color w:val="auto"/>
          <w:sz w:val="24"/>
          <w:szCs w:val="24"/>
          <w:highlight w:val="none"/>
        </w:rPr>
      </w:pPr>
      <w:bookmarkStart w:id="36" w:name="_Toc28359018"/>
      <w:bookmarkStart w:id="37" w:name="_Toc28359095"/>
      <w:bookmarkStart w:id="38" w:name="_Toc35393805"/>
      <w:bookmarkStart w:id="39" w:name="_Toc35393636"/>
      <w:r>
        <w:rPr>
          <w:rFonts w:hint="eastAsia" w:ascii="宋体" w:hAnsi="宋体" w:eastAsia="宋体" w:cs="宋体"/>
          <w:color w:val="auto"/>
          <w:sz w:val="24"/>
          <w:szCs w:val="24"/>
          <w:highlight w:val="none"/>
        </w:rPr>
        <w:t>八、凡对本次采购提出询问</w:t>
      </w:r>
      <w:r>
        <w:rPr>
          <w:rFonts w:hint="eastAsia" w:ascii="宋体" w:hAnsi="宋体" w:eastAsia="宋体" w:cs="宋体"/>
          <w:bCs w:val="0"/>
          <w:color w:val="auto"/>
          <w:sz w:val="24"/>
          <w:szCs w:val="24"/>
          <w:highlight w:val="none"/>
        </w:rPr>
        <w:t>、质疑、投诉</w:t>
      </w:r>
      <w:r>
        <w:rPr>
          <w:rFonts w:hint="eastAsia" w:ascii="宋体" w:hAnsi="宋体" w:eastAsia="宋体" w:cs="宋体"/>
          <w:color w:val="auto"/>
          <w:sz w:val="24"/>
          <w:szCs w:val="24"/>
          <w:highlight w:val="none"/>
        </w:rPr>
        <w:t>，请按以下方式联系</w:t>
      </w:r>
      <w:bookmarkEnd w:id="36"/>
      <w:bookmarkEnd w:id="37"/>
      <w:bookmarkEnd w:id="38"/>
      <w:bookmarkEnd w:id="39"/>
    </w:p>
    <w:p w14:paraId="1F4268D9">
      <w:pPr>
        <w:pStyle w:val="4"/>
        <w:numPr>
          <w:ilvl w:val="0"/>
          <w:numId w:val="0"/>
        </w:numPr>
        <w:tabs>
          <w:tab w:val="left" w:pos="432"/>
        </w:tabs>
        <w:ind w:left="432" w:hanging="432"/>
        <w:rPr>
          <w:rFonts w:hint="eastAsia" w:ascii="宋体" w:hAnsi="宋体" w:eastAsia="宋体" w:cs="宋体"/>
          <w:color w:val="auto"/>
          <w:sz w:val="24"/>
          <w:szCs w:val="24"/>
          <w:highlight w:val="none"/>
        </w:rPr>
      </w:pPr>
      <w:bookmarkStart w:id="40" w:name="_Toc28359096"/>
      <w:bookmarkStart w:id="41" w:name="_Toc35393806"/>
      <w:bookmarkStart w:id="42" w:name="_Toc28359019"/>
      <w:bookmarkStart w:id="43" w:name="_Toc35393637"/>
      <w:r>
        <w:rPr>
          <w:rFonts w:hint="eastAsia" w:ascii="宋体" w:hAnsi="宋体" w:eastAsia="宋体" w:cs="宋体"/>
          <w:color w:val="auto"/>
          <w:sz w:val="24"/>
          <w:szCs w:val="24"/>
          <w:highlight w:val="none"/>
        </w:rPr>
        <w:t>1.采购人信息</w:t>
      </w:r>
      <w:bookmarkEnd w:id="40"/>
      <w:bookmarkEnd w:id="41"/>
      <w:bookmarkEnd w:id="42"/>
      <w:bookmarkEnd w:id="43"/>
      <w:r>
        <w:rPr>
          <w:rFonts w:hint="eastAsia" w:ascii="宋体" w:hAnsi="宋体" w:eastAsia="宋体" w:cs="宋体"/>
          <w:color w:val="auto"/>
          <w:sz w:val="24"/>
          <w:szCs w:val="24"/>
          <w:highlight w:val="none"/>
        </w:rPr>
        <w:t>：</w:t>
      </w:r>
    </w:p>
    <w:p w14:paraId="5F98E4D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名    称：浙江省经济和信息化厅 </w:t>
      </w:r>
    </w:p>
    <w:p w14:paraId="0E7BF3B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址：杭州市西湖区体育场路479号</w:t>
      </w:r>
    </w:p>
    <w:p w14:paraId="69966B04">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传    真：</w:t>
      </w:r>
      <w:r>
        <w:rPr>
          <w:rFonts w:hint="eastAsia" w:ascii="宋体" w:hAnsi="宋体" w:cs="宋体"/>
          <w:color w:val="auto"/>
          <w:sz w:val="24"/>
          <w:highlight w:val="none"/>
          <w:lang w:val="en-US" w:eastAsia="zh-CN"/>
        </w:rPr>
        <w:t>/</w:t>
      </w:r>
    </w:p>
    <w:p w14:paraId="13F668A9">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项目联系人（询问）：</w:t>
      </w:r>
      <w:r>
        <w:rPr>
          <w:rFonts w:hint="eastAsia" w:ascii="宋体" w:hAnsi="宋体" w:cs="宋体"/>
          <w:color w:val="auto"/>
          <w:sz w:val="24"/>
          <w:highlight w:val="none"/>
          <w:lang w:val="en-US" w:eastAsia="zh-CN"/>
        </w:rPr>
        <w:t>艾志成</w:t>
      </w:r>
    </w:p>
    <w:p w14:paraId="6F606F94">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项目联系方式（询问）</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0571-87056459</w:t>
      </w:r>
    </w:p>
    <w:p w14:paraId="7EBE8B24">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质疑联系人：</w:t>
      </w:r>
      <w:r>
        <w:rPr>
          <w:rFonts w:hint="eastAsia" w:ascii="宋体" w:hAnsi="宋体" w:cs="宋体"/>
          <w:color w:val="auto"/>
          <w:sz w:val="24"/>
          <w:highlight w:val="none"/>
          <w:lang w:val="en-US" w:eastAsia="zh-CN"/>
        </w:rPr>
        <w:t>包从开</w:t>
      </w:r>
    </w:p>
    <w:p w14:paraId="258E4F3E">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质疑联系方式：0571-8705</w:t>
      </w:r>
      <w:r>
        <w:rPr>
          <w:rFonts w:hint="eastAsia" w:ascii="宋体" w:hAnsi="宋体" w:cs="宋体"/>
          <w:color w:val="auto"/>
          <w:sz w:val="24"/>
          <w:highlight w:val="none"/>
          <w:lang w:val="en-US" w:eastAsia="zh-CN"/>
        </w:rPr>
        <w:t>8092</w:t>
      </w:r>
    </w:p>
    <w:p w14:paraId="0A224F9F">
      <w:pPr>
        <w:pStyle w:val="4"/>
        <w:numPr>
          <w:ilvl w:val="0"/>
          <w:numId w:val="0"/>
        </w:numPr>
        <w:tabs>
          <w:tab w:val="left" w:pos="432"/>
        </w:tabs>
        <w:ind w:left="432" w:hanging="432"/>
        <w:rPr>
          <w:rFonts w:hint="eastAsia" w:ascii="宋体" w:hAnsi="宋体" w:eastAsia="宋体" w:cs="宋体"/>
          <w:color w:val="auto"/>
          <w:sz w:val="24"/>
          <w:highlight w:val="none"/>
        </w:rPr>
      </w:pPr>
      <w:bookmarkStart w:id="44" w:name="_Toc35393807"/>
      <w:bookmarkStart w:id="45" w:name="_Toc28359097"/>
      <w:bookmarkStart w:id="46" w:name="_Toc28359020"/>
      <w:bookmarkStart w:id="47" w:name="_Toc35393638"/>
      <w:r>
        <w:rPr>
          <w:rFonts w:hint="eastAsia" w:ascii="宋体" w:hAnsi="宋体" w:eastAsia="宋体" w:cs="宋体"/>
          <w:color w:val="auto"/>
          <w:sz w:val="24"/>
          <w:szCs w:val="24"/>
          <w:highlight w:val="none"/>
        </w:rPr>
        <w:t>2.采购代理机构信息</w:t>
      </w:r>
      <w:bookmarkEnd w:id="44"/>
      <w:bookmarkEnd w:id="45"/>
      <w:bookmarkEnd w:id="46"/>
      <w:bookmarkEnd w:id="47"/>
      <w:r>
        <w:rPr>
          <w:rFonts w:hint="eastAsia" w:ascii="宋体" w:hAnsi="宋体" w:eastAsia="宋体" w:cs="宋体"/>
          <w:color w:val="auto"/>
          <w:sz w:val="24"/>
          <w:szCs w:val="24"/>
          <w:highlight w:val="none"/>
        </w:rPr>
        <w:t>：</w:t>
      </w:r>
    </w:p>
    <w:p w14:paraId="7FBCDEFE">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浙江国际招投标有限公司</w:t>
      </w:r>
    </w:p>
    <w:p w14:paraId="37315E5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址：杭州市文三路90号东部软件园1号楼3楼</w:t>
      </w:r>
    </w:p>
    <w:p w14:paraId="0830EE1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w:t>
      </w:r>
      <w:r>
        <w:rPr>
          <w:rFonts w:hint="eastAsia" w:ascii="宋体" w:hAnsi="宋体" w:eastAsia="宋体" w:cs="宋体"/>
          <w:color w:val="auto"/>
          <w:sz w:val="24"/>
          <w:highlight w:val="none"/>
          <w:lang w:val="en-US" w:eastAsia="zh-CN"/>
        </w:rPr>
        <w:t>0571-88473430</w:t>
      </w:r>
      <w:r>
        <w:rPr>
          <w:rFonts w:hint="eastAsia" w:ascii="宋体" w:hAnsi="宋体" w:eastAsia="宋体" w:cs="宋体"/>
          <w:color w:val="auto"/>
          <w:sz w:val="24"/>
          <w:highlight w:val="none"/>
        </w:rPr>
        <w:t xml:space="preserve">             </w:t>
      </w:r>
    </w:p>
    <w:p w14:paraId="7E08C530">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项目联系人（询问）：刘磊、</w:t>
      </w:r>
      <w:r>
        <w:rPr>
          <w:rFonts w:hint="eastAsia" w:ascii="宋体" w:hAnsi="宋体" w:eastAsia="宋体" w:cs="宋体"/>
          <w:color w:val="auto"/>
          <w:sz w:val="24"/>
          <w:highlight w:val="none"/>
          <w:lang w:eastAsia="zh-CN"/>
        </w:rPr>
        <w:t>钱妍</w:t>
      </w:r>
    </w:p>
    <w:p w14:paraId="3BA8CFD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0571-81061809、81061810</w:t>
      </w:r>
      <w:r>
        <w:rPr>
          <w:rFonts w:hint="eastAsia" w:ascii="宋体" w:hAnsi="宋体" w:eastAsia="宋体" w:cs="宋体"/>
          <w:color w:val="auto"/>
          <w:sz w:val="24"/>
          <w:highlight w:val="none"/>
        </w:rPr>
        <w:t xml:space="preserve"> </w:t>
      </w:r>
    </w:p>
    <w:p w14:paraId="0CBA2ED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质疑联系人：王远南             </w:t>
      </w:r>
    </w:p>
    <w:p w14:paraId="06071E7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质疑联系方式：0571-81061811</w:t>
      </w:r>
    </w:p>
    <w:p w14:paraId="28AA387F">
      <w:pPr>
        <w:spacing w:line="360" w:lineRule="auto"/>
        <w:ind w:firstLine="240" w:firstLineChars="100"/>
        <w:rPr>
          <w:rFonts w:hint="eastAsia" w:ascii="宋体" w:hAnsi="宋体" w:eastAsia="宋体" w:cs="宋体"/>
          <w:color w:val="auto"/>
          <w:sz w:val="24"/>
          <w:highlight w:val="none"/>
        </w:rPr>
      </w:pPr>
      <w:bookmarkStart w:id="48" w:name="_Toc35393639"/>
      <w:bookmarkStart w:id="49" w:name="_Toc28359021"/>
      <w:bookmarkStart w:id="50" w:name="_Toc35393808"/>
      <w:bookmarkStart w:id="51" w:name="_Toc28359098"/>
      <w:r>
        <w:rPr>
          <w:rFonts w:hint="eastAsia" w:ascii="宋体" w:hAnsi="宋体" w:eastAsia="宋体" w:cs="宋体"/>
          <w:color w:val="auto"/>
          <w:sz w:val="24"/>
          <w:szCs w:val="24"/>
          <w:highlight w:val="none"/>
        </w:rPr>
        <w:t>3.本项目预算金额未达100万元，由采购人处理采购争议。质疑环节，采购人委托采购代理机构处理的，可由采购代理机构答复。对质疑答复不满意的，向采购人内部设置的采购监督机构反映。</w:t>
      </w:r>
    </w:p>
    <w:bookmarkEnd w:id="48"/>
    <w:bookmarkEnd w:id="49"/>
    <w:bookmarkEnd w:id="50"/>
    <w:bookmarkEnd w:id="51"/>
    <w:p w14:paraId="46FF5249">
      <w:pPr>
        <w:pStyle w:val="31"/>
        <w:spacing w:line="360" w:lineRule="auto"/>
        <w:ind w:firstLine="548" w:firstLineChars="196"/>
        <w:jc w:val="right"/>
        <w:rPr>
          <w:rFonts w:hint="eastAsia" w:ascii="宋体" w:hAnsi="宋体" w:eastAsia="宋体" w:cs="宋体"/>
          <w:color w:val="auto"/>
          <w:sz w:val="28"/>
          <w:szCs w:val="28"/>
          <w:highlight w:val="none"/>
        </w:rPr>
      </w:pPr>
    </w:p>
    <w:p w14:paraId="79FBD58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B2D12A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CA问题联系电话（人工）：汇信CA 400-888-4636；天谷CA 400-087-8198</w:t>
      </w:r>
      <w:r>
        <w:rPr>
          <w:rFonts w:hint="eastAsia" w:ascii="宋体" w:hAnsi="宋体" w:eastAsia="宋体" w:cs="宋体"/>
          <w:color w:val="auto"/>
          <w:sz w:val="18"/>
          <w:szCs w:val="18"/>
          <w:highlight w:val="none"/>
        </w:rPr>
        <w:t>。</w:t>
      </w:r>
    </w:p>
    <w:p w14:paraId="511D6E13">
      <w:pPr>
        <w:pStyle w:val="31"/>
        <w:spacing w:line="360" w:lineRule="auto"/>
        <w:ind w:firstLine="480" w:firstLineChars="200"/>
        <w:rPr>
          <w:rFonts w:hint="eastAsia" w:ascii="宋体" w:hAnsi="宋体" w:eastAsia="宋体" w:cs="宋体"/>
          <w:color w:val="auto"/>
          <w:sz w:val="24"/>
          <w:szCs w:val="24"/>
          <w:highlight w:val="none"/>
        </w:rPr>
      </w:pPr>
    </w:p>
    <w:p w14:paraId="5440DDFA">
      <w:pPr>
        <w:bidi w:val="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81D9635">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6"/>
          <w:szCs w:val="20"/>
          <w:highlight w:val="none"/>
        </w:rPr>
        <w:t>第二部分 竞争性磋商流程</w:t>
      </w:r>
    </w:p>
    <w:p w14:paraId="6C718DEB">
      <w:pPr>
        <w:pStyle w:val="392"/>
        <w:numPr>
          <w:ilvl w:val="0"/>
          <w:numId w:val="6"/>
        </w:numPr>
        <w:tabs>
          <w:tab w:val="left" w:pos="210"/>
          <w:tab w:val="left" w:pos="420"/>
        </w:tabs>
        <w:spacing w:before="0"/>
        <w:ind w:left="340" w:leftChars="0" w:hanging="340" w:firstLineChars="0"/>
        <w:rPr>
          <w:rFonts w:hint="eastAsia" w:ascii="宋体" w:hAnsi="宋体" w:eastAsia="宋体" w:cs="宋体"/>
          <w:b/>
          <w:color w:val="auto"/>
          <w:highlight w:val="none"/>
        </w:rPr>
      </w:pPr>
      <w:r>
        <w:rPr>
          <w:rFonts w:hint="eastAsia" w:ascii="宋体" w:hAnsi="宋体" w:eastAsia="宋体" w:cs="宋体"/>
          <w:b/>
          <w:color w:val="auto"/>
          <w:szCs w:val="24"/>
          <w:highlight w:val="none"/>
        </w:rPr>
        <w:t>征集供应商</w:t>
      </w:r>
    </w:p>
    <w:p w14:paraId="0BBBCFB5">
      <w:pPr>
        <w:pStyle w:val="392"/>
        <w:numPr>
          <w:ilvl w:val="1"/>
          <w:numId w:val="7"/>
        </w:numPr>
        <w:spacing w:before="0"/>
        <w:ind w:left="850" w:leftChars="0" w:hanging="453"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邀请供应商。</w:t>
      </w:r>
    </w:p>
    <w:p w14:paraId="0F1570B6">
      <w:pPr>
        <w:pStyle w:val="392"/>
        <w:numPr>
          <w:ilvl w:val="2"/>
          <w:numId w:val="8"/>
        </w:numPr>
        <w:spacing w:before="0"/>
        <w:ind w:left="408" w:leftChars="0" w:firstLine="392" w:firstLineChars="0"/>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采用公告方式邀请供应商的，</w:t>
      </w:r>
      <w:r>
        <w:rPr>
          <w:rFonts w:hint="eastAsia" w:ascii="宋体" w:hAnsi="宋体" w:eastAsia="宋体" w:cs="宋体"/>
          <w:color w:val="auto"/>
          <w:szCs w:val="24"/>
          <w:highlight w:val="none"/>
        </w:rPr>
        <w:t>由采购人、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在省级以上人民政府财政部门指定的政府采购信息发布媒体上发布磋商公告，邀请符合相应资格条件的供应商参与竞争性磋商采购活动。</w:t>
      </w:r>
    </w:p>
    <w:p w14:paraId="40EBE332">
      <w:pPr>
        <w:pStyle w:val="392"/>
        <w:numPr>
          <w:ilvl w:val="2"/>
          <w:numId w:val="8"/>
        </w:numPr>
        <w:spacing w:before="0"/>
        <w:ind w:left="408" w:leftChars="0" w:firstLine="392" w:firstLineChars="0"/>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采用随机抽取方式邀请供应商的，</w:t>
      </w:r>
      <w:r>
        <w:rPr>
          <w:rFonts w:hint="eastAsia" w:ascii="宋体" w:hAnsi="宋体" w:eastAsia="宋体" w:cs="宋体"/>
          <w:color w:val="auto"/>
          <w:szCs w:val="24"/>
          <w:highlight w:val="none"/>
        </w:rPr>
        <w:t>由采购人、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从省级以上财政部门建立的供应商库中随机抽取不少于3家符合相应资格条件的供应商参与竞争性磋商采购活动。</w:t>
      </w:r>
    </w:p>
    <w:p w14:paraId="24C7A634">
      <w:pPr>
        <w:pStyle w:val="392"/>
        <w:numPr>
          <w:ilvl w:val="2"/>
          <w:numId w:val="8"/>
        </w:numPr>
        <w:spacing w:before="0"/>
        <w:ind w:left="408" w:leftChars="0" w:firstLine="392" w:firstLineChars="0"/>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采用书面推荐方式邀请供应商的，</w:t>
      </w:r>
      <w:r>
        <w:rPr>
          <w:rFonts w:hint="eastAsia" w:ascii="宋体" w:hAnsi="宋体" w:eastAsia="宋体" w:cs="宋体"/>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w:t>
      </w:r>
    </w:p>
    <w:p w14:paraId="7E3D6340">
      <w:pPr>
        <w:pStyle w:val="392"/>
        <w:numPr>
          <w:ilvl w:val="1"/>
          <w:numId w:val="7"/>
        </w:numPr>
        <w:spacing w:before="0"/>
        <w:ind w:left="850" w:leftChars="0" w:hanging="453"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供应商获取磋商文件。</w:t>
      </w:r>
    </w:p>
    <w:p w14:paraId="29B1F3E1">
      <w:pPr>
        <w:pStyle w:val="392"/>
        <w:numPr>
          <w:ilvl w:val="1"/>
          <w:numId w:val="7"/>
        </w:numPr>
        <w:spacing w:before="0"/>
        <w:ind w:left="850" w:leftChars="0" w:hanging="453"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组织现场考察或召开答疑会（如果有）。</w:t>
      </w:r>
    </w:p>
    <w:p w14:paraId="5EA2780D">
      <w:pPr>
        <w:pStyle w:val="392"/>
        <w:numPr>
          <w:ilvl w:val="1"/>
          <w:numId w:val="7"/>
        </w:numPr>
        <w:spacing w:before="0"/>
        <w:ind w:left="850" w:leftChars="0" w:hanging="453"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发布更正（延期）公告，澄清或修改磋商文件（如果有）。</w:t>
      </w:r>
    </w:p>
    <w:p w14:paraId="2D197F1E">
      <w:pPr>
        <w:pStyle w:val="392"/>
        <w:numPr>
          <w:ilvl w:val="1"/>
          <w:numId w:val="7"/>
        </w:numPr>
        <w:spacing w:before="0"/>
        <w:ind w:left="850" w:leftChars="0" w:hanging="453"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供应商按磋商文件要求编制响应文件。</w:t>
      </w:r>
    </w:p>
    <w:p w14:paraId="4BDAB451">
      <w:pPr>
        <w:pStyle w:val="392"/>
        <w:numPr>
          <w:ilvl w:val="0"/>
          <w:numId w:val="0"/>
        </w:numPr>
        <w:spacing w:before="0"/>
        <w:ind w:left="397" w:leftChars="0"/>
        <w:rPr>
          <w:rFonts w:hint="eastAsia" w:ascii="宋体" w:hAnsi="宋体" w:eastAsia="宋体" w:cs="宋体"/>
          <w:color w:val="auto"/>
          <w:szCs w:val="24"/>
          <w:highlight w:val="none"/>
        </w:rPr>
      </w:pPr>
    </w:p>
    <w:p w14:paraId="6389735E">
      <w:pPr>
        <w:pStyle w:val="392"/>
        <w:numPr>
          <w:ilvl w:val="0"/>
          <w:numId w:val="6"/>
        </w:numPr>
        <w:tabs>
          <w:tab w:val="left" w:pos="210"/>
          <w:tab w:val="left" w:pos="420"/>
        </w:tabs>
        <w:spacing w:before="0"/>
        <w:ind w:left="340" w:leftChars="0" w:hanging="34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响应文件开启与信用信息查询</w:t>
      </w:r>
    </w:p>
    <w:p w14:paraId="5BA49960">
      <w:pPr>
        <w:pStyle w:val="392"/>
        <w:numPr>
          <w:ilvl w:val="1"/>
          <w:numId w:val="9"/>
        </w:numPr>
        <w:spacing w:before="0"/>
        <w:ind w:left="10" w:leftChars="0" w:firstLine="387"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供应商依据“提交响应文件的截止时间与地点”通过政采云平台在线提交响应文件。供应商在提交响应文件的截止时间前，可以补充、修改或撤回响应文件。</w:t>
      </w:r>
    </w:p>
    <w:p w14:paraId="1A63DE1A">
      <w:pPr>
        <w:pStyle w:val="392"/>
        <w:numPr>
          <w:ilvl w:val="1"/>
          <w:numId w:val="9"/>
        </w:numPr>
        <w:spacing w:before="0"/>
        <w:ind w:left="10" w:leftChars="0" w:firstLine="387"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将通过“信用中国”网站(</w:t>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"http://www.creditchina.gov.cn"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www.creditchina.gov.cn</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rPr>
        <w:t>)和中国政府采购网(www.ccgp.gov.cn)渠道查询供应商响应截止时间当日的信用记录。</w:t>
      </w:r>
    </w:p>
    <w:p w14:paraId="01EB7B63">
      <w:pPr>
        <w:pStyle w:val="392"/>
        <w:numPr>
          <w:ilvl w:val="0"/>
          <w:numId w:val="0"/>
        </w:numPr>
        <w:spacing w:before="0"/>
        <w:ind w:left="397" w:leftChars="0"/>
        <w:rPr>
          <w:rFonts w:hint="eastAsia" w:ascii="宋体" w:hAnsi="宋体" w:eastAsia="宋体" w:cs="宋体"/>
          <w:color w:val="auto"/>
          <w:szCs w:val="24"/>
          <w:highlight w:val="none"/>
        </w:rPr>
      </w:pPr>
    </w:p>
    <w:p w14:paraId="33C1FB0C">
      <w:pPr>
        <w:pStyle w:val="392"/>
        <w:numPr>
          <w:ilvl w:val="0"/>
          <w:numId w:val="6"/>
        </w:numPr>
        <w:tabs>
          <w:tab w:val="left" w:pos="210"/>
          <w:tab w:val="left" w:pos="420"/>
        </w:tabs>
        <w:spacing w:before="0"/>
        <w:ind w:left="340" w:leftChars="0" w:hanging="34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磋商与评审</w:t>
      </w:r>
    </w:p>
    <w:p w14:paraId="2CA65B3E">
      <w:pPr>
        <w:pStyle w:val="392"/>
        <w:numPr>
          <w:ilvl w:val="1"/>
          <w:numId w:val="10"/>
        </w:numPr>
        <w:spacing w:before="0"/>
        <w:ind w:left="10" w:leftChars="0" w:firstLine="387"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磋商小组签到。</w:t>
      </w:r>
    </w:p>
    <w:p w14:paraId="2C32703B">
      <w:pPr>
        <w:pStyle w:val="392"/>
        <w:numPr>
          <w:ilvl w:val="1"/>
          <w:numId w:val="10"/>
        </w:numPr>
        <w:spacing w:before="0"/>
        <w:ind w:left="10" w:leftChars="0" w:firstLine="387"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宣布有关纪律以及磋商、评审工作程序。</w:t>
      </w:r>
    </w:p>
    <w:p w14:paraId="646C1187">
      <w:pPr>
        <w:pStyle w:val="392"/>
        <w:numPr>
          <w:ilvl w:val="1"/>
          <w:numId w:val="10"/>
        </w:numPr>
        <w:spacing w:before="0"/>
        <w:ind w:left="10" w:leftChars="0" w:firstLine="387"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磋商小组审查确认磋商文件。磋商文件内容违反国家有关强制性规定的，磋商小组应当停止评审并向</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说明情况。</w:t>
      </w:r>
    </w:p>
    <w:p w14:paraId="682A92E0">
      <w:pPr>
        <w:pStyle w:val="392"/>
        <w:numPr>
          <w:ilvl w:val="1"/>
          <w:numId w:val="10"/>
        </w:numPr>
        <w:spacing w:before="0"/>
        <w:ind w:left="10" w:leftChars="0" w:firstLine="387"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磋商小组对供应商的资格进行审查。</w:t>
      </w:r>
    </w:p>
    <w:p w14:paraId="62D83CB4">
      <w:pPr>
        <w:pStyle w:val="392"/>
        <w:numPr>
          <w:ilvl w:val="1"/>
          <w:numId w:val="10"/>
        </w:numPr>
        <w:spacing w:before="0"/>
        <w:ind w:left="10" w:leftChars="0" w:firstLine="387"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磋商小组审查响应文件。</w:t>
      </w:r>
    </w:p>
    <w:p w14:paraId="64F4FEEE">
      <w:pPr>
        <w:pStyle w:val="392"/>
        <w:numPr>
          <w:ilvl w:val="1"/>
          <w:numId w:val="10"/>
        </w:numPr>
        <w:spacing w:before="0"/>
        <w:ind w:left="10" w:leftChars="0" w:firstLine="387"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对于未实质性响应磋商文件的响应文件由磋商小组认定响应无效，并告知该供应商。</w:t>
      </w:r>
    </w:p>
    <w:p w14:paraId="58DCFE8B">
      <w:pPr>
        <w:pStyle w:val="392"/>
        <w:numPr>
          <w:ilvl w:val="1"/>
          <w:numId w:val="10"/>
        </w:numPr>
        <w:spacing w:before="0"/>
        <w:ind w:left="10" w:leftChars="0" w:firstLine="387"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w:t>
      </w:r>
      <w:r>
        <w:rPr>
          <w:rFonts w:hint="eastAsia" w:ascii="宋体" w:hAnsi="宋体" w:eastAsia="宋体" w:cs="宋体"/>
          <w:b/>
          <w:bCs/>
          <w:color w:val="auto"/>
          <w:szCs w:val="24"/>
          <w:highlight w:val="none"/>
        </w:rPr>
        <w:t>不得少于半小时</w:t>
      </w:r>
      <w:r>
        <w:rPr>
          <w:rFonts w:hint="eastAsia" w:ascii="宋体" w:hAnsi="宋体" w:eastAsia="宋体" w:cs="宋体"/>
          <w:color w:val="auto"/>
          <w:szCs w:val="24"/>
          <w:highlight w:val="none"/>
        </w:rPr>
        <w:t>，供应商已经明确表示澄清说明或补正完毕的除外。供应商的澄清、说明或者更正不得超出响应文件的范围或者改变响应文件的实质性内容。</w:t>
      </w:r>
    </w:p>
    <w:p w14:paraId="2761F7D5">
      <w:pPr>
        <w:pStyle w:val="392"/>
        <w:numPr>
          <w:ilvl w:val="1"/>
          <w:numId w:val="10"/>
        </w:numPr>
        <w:spacing w:before="0"/>
        <w:ind w:left="10" w:leftChars="0" w:firstLine="387"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小组与符合要求的供应商进行磋商。磋商小组所有成员按照响应文件解密次序集中与单一供应商分别进行磋商，并给予所有参加磋商的供应商平等的磋商机会。磋商过程中，磋商小组可以根据磋商情况调整轮次。在磋商过程中，磋商小组可以根据磋商文件和磋商情况实质性变动采购需求中的技术、服务要求以及合同草案条款，但不得变动磋商文件中的其他内容</w:t>
      </w:r>
      <w:r>
        <w:rPr>
          <w:rFonts w:hint="eastAsia" w:ascii="宋体" w:hAnsi="宋体" w:eastAsia="宋体" w:cs="宋体"/>
          <w:color w:val="auto"/>
          <w:szCs w:val="24"/>
          <w:highlight w:val="none"/>
          <w:lang w:eastAsia="zh-CN"/>
        </w:rPr>
        <w:t>。</w:t>
      </w:r>
    </w:p>
    <w:p w14:paraId="2E129497">
      <w:pPr>
        <w:pStyle w:val="392"/>
        <w:numPr>
          <w:ilvl w:val="0"/>
          <w:numId w:val="0"/>
        </w:numPr>
        <w:spacing w:before="0"/>
        <w:ind w:firstLine="480" w:firstLineChars="2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磋商形式：</w:t>
      </w:r>
    </w:p>
    <w:p w14:paraId="6D5CA7C5">
      <w:pPr>
        <w:pStyle w:val="392"/>
        <w:numPr>
          <w:ilvl w:val="0"/>
          <w:numId w:val="0"/>
        </w:numPr>
        <w:spacing w:before="0"/>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远程在线视频磋商：</w:t>
      </w:r>
      <w:r>
        <w:rPr>
          <w:rFonts w:hint="eastAsia" w:ascii="宋体" w:hAnsi="宋体" w:eastAsia="宋体" w:cs="宋体"/>
          <w:color w:val="auto"/>
          <w:szCs w:val="24"/>
          <w:highlight w:val="none"/>
        </w:rPr>
        <w:t>磋商时由</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利用政采云平台发起磋商邀请，供应商通过政采云“在线评审室”进行远程视频磋商。供应商使用CA数字证书登陆政采云平台——收到视频评审邀请——点击“视频评审”进入“视频评审系统”——开始远程磋商活动;</w:t>
      </w:r>
    </w:p>
    <w:p w14:paraId="71C4F818">
      <w:pPr>
        <w:pStyle w:val="392"/>
        <w:numPr>
          <w:ilvl w:val="0"/>
          <w:numId w:val="0"/>
        </w:numPr>
        <w:spacing w:before="0"/>
        <w:ind w:firstLine="480" w:firstLineChars="2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远程在线非视频磋商：</w:t>
      </w:r>
      <w:r>
        <w:rPr>
          <w:rFonts w:hint="eastAsia" w:ascii="宋体" w:hAnsi="宋体" w:eastAsia="宋体" w:cs="宋体"/>
          <w:color w:val="auto"/>
          <w:szCs w:val="24"/>
          <w:highlight w:val="none"/>
        </w:rPr>
        <w:t>磋商时由</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利用政采云平台发起磋商邀请，磋商小组在线（以书面形式完成的需扫描上传）将</w:t>
      </w:r>
      <w:r>
        <w:rPr>
          <w:rFonts w:hint="eastAsia" w:ascii="宋体" w:hAnsi="宋体" w:eastAsia="宋体" w:cs="宋体"/>
          <w:color w:val="auto"/>
          <w:szCs w:val="24"/>
          <w:highlight w:val="none"/>
          <w:lang w:eastAsia="zh-CN"/>
        </w:rPr>
        <w:t>磋商问题</w:t>
      </w:r>
      <w:r>
        <w:rPr>
          <w:rFonts w:hint="eastAsia" w:ascii="宋体" w:hAnsi="宋体" w:eastAsia="宋体" w:cs="宋体"/>
          <w:color w:val="auto"/>
          <w:szCs w:val="24"/>
          <w:highlight w:val="none"/>
        </w:rPr>
        <w:t>通知所有参加磋商的供应商</w:t>
      </w:r>
      <w:r>
        <w:rPr>
          <w:rFonts w:hint="eastAsia" w:ascii="宋体" w:hAnsi="宋体" w:eastAsia="宋体" w:cs="宋体"/>
          <w:color w:val="auto"/>
          <w:szCs w:val="24"/>
          <w:highlight w:val="none"/>
          <w:lang w:eastAsia="zh-CN"/>
        </w:rPr>
        <w:t>，供应商按照磋商小组的要求对问题进行答复，并由授权代表签字或者加盖公章后扫描上传（或直接在线加盖电子签章后提交）；</w:t>
      </w:r>
    </w:p>
    <w:p w14:paraId="2EE1D634">
      <w:pPr>
        <w:pStyle w:val="392"/>
        <w:numPr>
          <w:ilvl w:val="0"/>
          <w:numId w:val="0"/>
        </w:numPr>
        <w:spacing w:before="0"/>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评审现场磋商：</w:t>
      </w:r>
      <w:r>
        <w:rPr>
          <w:rFonts w:hint="eastAsia" w:ascii="宋体" w:hAnsi="宋体" w:eastAsia="宋体" w:cs="宋体"/>
          <w:color w:val="auto"/>
          <w:szCs w:val="24"/>
          <w:highlight w:val="none"/>
        </w:rPr>
        <w:t>对于要求到</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现场进行磋商的供应商，</w:t>
      </w:r>
      <w:r>
        <w:rPr>
          <w:rFonts w:hint="eastAsia" w:ascii="宋体" w:hAnsi="宋体" w:eastAsia="宋体" w:cs="宋体"/>
          <w:color w:val="auto"/>
          <w:szCs w:val="24"/>
          <w:highlight w:val="none"/>
          <w:lang w:eastAsia="zh-CN"/>
        </w:rPr>
        <w:t>需</w:t>
      </w:r>
      <w:r>
        <w:rPr>
          <w:rFonts w:hint="eastAsia" w:ascii="宋体" w:hAnsi="宋体" w:eastAsia="宋体" w:cs="宋体"/>
          <w:color w:val="auto"/>
          <w:szCs w:val="24"/>
          <w:highlight w:val="none"/>
        </w:rPr>
        <w:t>在</w:t>
      </w:r>
      <w:r>
        <w:rPr>
          <w:rFonts w:hint="eastAsia" w:ascii="宋体" w:hAnsi="宋体" w:eastAsia="宋体" w:cs="宋体"/>
          <w:color w:val="auto"/>
          <w:szCs w:val="24"/>
          <w:highlight w:val="none"/>
          <w:lang w:eastAsia="zh-CN"/>
        </w:rPr>
        <w:t>采购代理机构指定会议室</w:t>
      </w:r>
      <w:r>
        <w:rPr>
          <w:rFonts w:hint="eastAsia" w:ascii="宋体" w:hAnsi="宋体" w:eastAsia="宋体" w:cs="宋体"/>
          <w:color w:val="auto"/>
          <w:szCs w:val="24"/>
          <w:highlight w:val="none"/>
        </w:rPr>
        <w:t>开展磋商活动</w:t>
      </w:r>
      <w:r>
        <w:rPr>
          <w:rFonts w:hint="eastAsia" w:ascii="宋体" w:hAnsi="宋体" w:eastAsia="宋体" w:cs="宋体"/>
          <w:color w:val="auto"/>
          <w:szCs w:val="24"/>
          <w:highlight w:val="none"/>
          <w:lang w:eastAsia="zh-CN"/>
        </w:rPr>
        <w:t>，磋商小组在现场</w:t>
      </w:r>
      <w:r>
        <w:rPr>
          <w:rFonts w:hint="eastAsia" w:ascii="宋体" w:hAnsi="宋体" w:eastAsia="宋体" w:cs="宋体"/>
          <w:color w:val="auto"/>
          <w:szCs w:val="24"/>
          <w:highlight w:val="none"/>
        </w:rPr>
        <w:t>集中与单一供应商分别进行磋商。</w:t>
      </w:r>
    </w:p>
    <w:p w14:paraId="02C33654">
      <w:pPr>
        <w:pStyle w:val="392"/>
        <w:numPr>
          <w:ilvl w:val="1"/>
          <w:numId w:val="10"/>
        </w:numPr>
        <w:spacing w:before="0"/>
        <w:ind w:left="10" w:leftChars="0" w:firstLine="387"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经磋商确定磋商文件的变动情况。对磋商文件作出的实质性变动是磋商文件的有效组成部分，磋商小组应当及时</w:t>
      </w:r>
      <w:r>
        <w:rPr>
          <w:rFonts w:hint="eastAsia" w:ascii="宋体" w:hAnsi="宋体" w:eastAsia="宋体" w:cs="宋体"/>
          <w:color w:val="auto"/>
          <w:szCs w:val="24"/>
          <w:highlight w:val="none"/>
          <w:lang w:eastAsia="zh-CN"/>
        </w:rPr>
        <w:t>通过政采云平台</w:t>
      </w:r>
      <w:r>
        <w:rPr>
          <w:rFonts w:hint="eastAsia" w:ascii="宋体" w:hAnsi="宋体" w:eastAsia="宋体" w:cs="宋体"/>
          <w:color w:val="auto"/>
          <w:szCs w:val="24"/>
          <w:highlight w:val="none"/>
        </w:rPr>
        <w:t>通知所有参加磋商的供应商。</w:t>
      </w:r>
    </w:p>
    <w:p w14:paraId="33716B10">
      <w:pPr>
        <w:pStyle w:val="392"/>
        <w:numPr>
          <w:ilvl w:val="1"/>
          <w:numId w:val="10"/>
        </w:numPr>
        <w:spacing w:before="0"/>
        <w:ind w:left="10" w:leftChars="0" w:firstLine="387"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3EFF05C8">
      <w:pPr>
        <w:pStyle w:val="392"/>
        <w:numPr>
          <w:ilvl w:val="1"/>
          <w:numId w:val="10"/>
        </w:numPr>
        <w:spacing w:before="0"/>
        <w:ind w:left="10" w:leftChars="0" w:firstLine="387"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磋商小组按照下列方式确定提交最后报价的供应商，有特殊规定的从其规定：</w:t>
      </w:r>
    </w:p>
    <w:p w14:paraId="283A70CF">
      <w:pPr>
        <w:pStyle w:val="39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0961B185">
      <w:pPr>
        <w:pStyle w:val="39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404A9D7C">
      <w:pPr>
        <w:pStyle w:val="392"/>
        <w:numPr>
          <w:ilvl w:val="1"/>
          <w:numId w:val="10"/>
        </w:numPr>
        <w:spacing w:before="0"/>
        <w:ind w:left="10" w:leftChars="0" w:firstLine="387"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确定进入最后报价的供应商在规定时间内提交最后报价。</w:t>
      </w:r>
    </w:p>
    <w:p w14:paraId="63198836">
      <w:pPr>
        <w:pStyle w:val="392"/>
        <w:numPr>
          <w:ilvl w:val="1"/>
          <w:numId w:val="10"/>
        </w:numPr>
        <w:spacing w:before="0"/>
        <w:ind w:left="10" w:leftChars="0" w:firstLine="387"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唱价。</w:t>
      </w:r>
    </w:p>
    <w:p w14:paraId="22105F2A">
      <w:pPr>
        <w:pStyle w:val="392"/>
        <w:numPr>
          <w:ilvl w:val="1"/>
          <w:numId w:val="10"/>
        </w:numPr>
        <w:spacing w:before="0"/>
        <w:ind w:left="10" w:leftChars="0" w:firstLine="387"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由磋商小组根据磋商文件确定的评审办法及评审标准对提交最后报价的供应商的响应文件和最后报价进行综合评分。磋商小组各成员应当独立对每个有效响应的文件进行评价、打分并签名，然后汇总每个供应商每项评分因素的得分。</w:t>
      </w:r>
    </w:p>
    <w:p w14:paraId="641D0030">
      <w:pPr>
        <w:pStyle w:val="392"/>
        <w:numPr>
          <w:ilvl w:val="0"/>
          <w:numId w:val="0"/>
        </w:numPr>
        <w:spacing w:before="0"/>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商务技术部分的得分为</w:t>
      </w:r>
      <w:r>
        <w:rPr>
          <w:rFonts w:hint="eastAsia" w:ascii="宋体" w:hAnsi="宋体" w:eastAsia="宋体" w:cs="宋体"/>
          <w:color w:val="auto"/>
          <w:szCs w:val="24"/>
          <w:highlight w:val="none"/>
          <w:lang w:eastAsia="zh-CN"/>
        </w:rPr>
        <w:t>磋商小组</w:t>
      </w:r>
      <w:r>
        <w:rPr>
          <w:rFonts w:hint="eastAsia" w:ascii="宋体" w:hAnsi="宋体" w:eastAsia="宋体" w:cs="宋体"/>
          <w:color w:val="auto"/>
          <w:szCs w:val="24"/>
          <w:highlight w:val="none"/>
        </w:rPr>
        <w:t>各成员的有效评分的算术平均值。</w:t>
      </w:r>
    </w:p>
    <w:p w14:paraId="66DFB6D4">
      <w:pPr>
        <w:pStyle w:val="392"/>
        <w:numPr>
          <w:ilvl w:val="1"/>
          <w:numId w:val="10"/>
        </w:numPr>
        <w:spacing w:before="0"/>
        <w:ind w:left="10" w:leftChars="0" w:firstLine="387"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评分时保留小数点后1位小数，计算评分值时保留小数点后2位小数。</w:t>
      </w:r>
    </w:p>
    <w:p w14:paraId="5B810B2B">
      <w:pPr>
        <w:pStyle w:val="392"/>
        <w:numPr>
          <w:ilvl w:val="1"/>
          <w:numId w:val="10"/>
        </w:numPr>
        <w:spacing w:before="0"/>
        <w:ind w:left="10" w:leftChars="0" w:firstLine="387"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磋商小组应当根据综合评分情况，按照评审得分由高到低顺序推荐3名以上成交候选供应商，并编写评审报告。</w:t>
      </w:r>
    </w:p>
    <w:p w14:paraId="2C7D9DA0">
      <w:pPr>
        <w:pStyle w:val="392"/>
        <w:numPr>
          <w:ilvl w:val="0"/>
          <w:numId w:val="6"/>
        </w:numPr>
        <w:tabs>
          <w:tab w:val="left" w:pos="210"/>
          <w:tab w:val="left" w:pos="420"/>
        </w:tabs>
        <w:spacing w:before="0"/>
        <w:ind w:left="340" w:leftChars="0" w:hanging="34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成交</w:t>
      </w:r>
    </w:p>
    <w:p w14:paraId="08D2AB3E">
      <w:pPr>
        <w:pStyle w:val="392"/>
        <w:numPr>
          <w:ilvl w:val="1"/>
          <w:numId w:val="11"/>
        </w:numPr>
        <w:spacing w:before="0"/>
        <w:ind w:left="10" w:leftChars="0" w:firstLine="387" w:firstLineChars="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7F7DD89E">
      <w:pPr>
        <w:pStyle w:val="392"/>
        <w:numPr>
          <w:ilvl w:val="1"/>
          <w:numId w:val="11"/>
        </w:numPr>
        <w:spacing w:before="0"/>
        <w:ind w:left="10" w:leftChars="0" w:firstLine="387" w:firstLineChars="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20370496">
      <w:pPr>
        <w:pStyle w:val="392"/>
        <w:numPr>
          <w:ilvl w:val="0"/>
          <w:numId w:val="6"/>
        </w:numPr>
        <w:tabs>
          <w:tab w:val="left" w:pos="210"/>
          <w:tab w:val="left" w:pos="420"/>
        </w:tabs>
        <w:spacing w:before="0"/>
        <w:ind w:left="340" w:leftChars="0" w:hanging="34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合同及履约验收</w:t>
      </w:r>
    </w:p>
    <w:p w14:paraId="2569555B">
      <w:pPr>
        <w:pStyle w:val="392"/>
        <w:numPr>
          <w:ilvl w:val="1"/>
          <w:numId w:val="12"/>
        </w:numPr>
        <w:spacing w:before="0"/>
        <w:ind w:left="10" w:leftChars="0" w:firstLine="387"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采购人与</w:t>
      </w:r>
      <w:r>
        <w:rPr>
          <w:rFonts w:hint="eastAsia" w:ascii="宋体" w:hAnsi="宋体" w:eastAsia="宋体" w:cs="宋体"/>
          <w:color w:val="auto"/>
          <w:szCs w:val="24"/>
          <w:highlight w:val="none"/>
          <w:lang w:eastAsia="zh-CN"/>
        </w:rPr>
        <w:t>成交供应商</w:t>
      </w:r>
      <w:r>
        <w:rPr>
          <w:rFonts w:hint="eastAsia" w:ascii="宋体" w:hAnsi="宋体" w:eastAsia="宋体" w:cs="宋体"/>
          <w:color w:val="auto"/>
          <w:szCs w:val="24"/>
          <w:highlight w:val="none"/>
        </w:rPr>
        <w:t>应当通过电子交易平台在</w:t>
      </w:r>
      <w:r>
        <w:rPr>
          <w:rFonts w:hint="eastAsia" w:ascii="宋体" w:hAnsi="宋体" w:eastAsia="宋体" w:cs="宋体"/>
          <w:color w:val="auto"/>
          <w:szCs w:val="24"/>
          <w:highlight w:val="none"/>
          <w:lang w:eastAsia="zh-CN"/>
        </w:rPr>
        <w:t>成交</w:t>
      </w:r>
      <w:r>
        <w:rPr>
          <w:rFonts w:hint="eastAsia" w:ascii="宋体" w:hAnsi="宋体" w:eastAsia="宋体" w:cs="宋体"/>
          <w:color w:val="auto"/>
          <w:szCs w:val="24"/>
          <w:highlight w:val="none"/>
        </w:rPr>
        <w:t>通知书发出之日起三十日内，按照</w:t>
      </w:r>
      <w:r>
        <w:rPr>
          <w:rFonts w:hint="eastAsia" w:ascii="宋体" w:hAnsi="宋体" w:eastAsia="宋体" w:cs="宋体"/>
          <w:color w:val="auto"/>
          <w:szCs w:val="24"/>
          <w:highlight w:val="none"/>
          <w:lang w:eastAsia="zh-CN"/>
        </w:rPr>
        <w:t>磋商</w:t>
      </w:r>
      <w:r>
        <w:rPr>
          <w:rFonts w:hint="eastAsia" w:ascii="宋体" w:hAnsi="宋体" w:eastAsia="宋体" w:cs="宋体"/>
          <w:color w:val="auto"/>
          <w:szCs w:val="24"/>
          <w:highlight w:val="none"/>
        </w:rPr>
        <w:t>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w:t>
      </w:r>
      <w:r>
        <w:rPr>
          <w:rFonts w:hint="eastAsia" w:ascii="宋体" w:hAnsi="宋体" w:eastAsia="宋体" w:cs="宋体"/>
          <w:color w:val="auto"/>
          <w:szCs w:val="24"/>
          <w:highlight w:val="none"/>
          <w:lang w:eastAsia="zh-CN"/>
        </w:rPr>
        <w:t>成交</w:t>
      </w:r>
      <w:r>
        <w:rPr>
          <w:rFonts w:hint="eastAsia" w:ascii="宋体" w:hAnsi="宋体" w:eastAsia="宋体" w:cs="宋体"/>
          <w:color w:val="auto"/>
          <w:szCs w:val="24"/>
          <w:highlight w:val="none"/>
        </w:rPr>
        <w:t>通知书发出之日起10个工作日内，与</w:t>
      </w:r>
      <w:r>
        <w:rPr>
          <w:rFonts w:hint="eastAsia" w:ascii="宋体" w:hAnsi="宋体" w:eastAsia="宋体" w:cs="宋体"/>
          <w:color w:val="auto"/>
          <w:szCs w:val="24"/>
          <w:highlight w:val="none"/>
          <w:lang w:eastAsia="zh-CN"/>
        </w:rPr>
        <w:t>成交</w:t>
      </w:r>
      <w:r>
        <w:rPr>
          <w:rFonts w:hint="eastAsia" w:ascii="宋体" w:hAnsi="宋体" w:eastAsia="宋体" w:cs="宋体"/>
          <w:color w:val="auto"/>
          <w:szCs w:val="24"/>
          <w:highlight w:val="none"/>
        </w:rPr>
        <w:t>供应商按照</w:t>
      </w:r>
      <w:r>
        <w:rPr>
          <w:rFonts w:hint="eastAsia" w:ascii="宋体" w:hAnsi="宋体" w:eastAsia="宋体" w:cs="宋体"/>
          <w:color w:val="auto"/>
          <w:szCs w:val="24"/>
          <w:highlight w:val="none"/>
          <w:lang w:eastAsia="zh-CN"/>
        </w:rPr>
        <w:t>磋商</w:t>
      </w:r>
      <w:r>
        <w:rPr>
          <w:rFonts w:hint="eastAsia" w:ascii="宋体" w:hAnsi="宋体" w:eastAsia="宋体" w:cs="宋体"/>
          <w:color w:val="auto"/>
          <w:szCs w:val="24"/>
          <w:highlight w:val="none"/>
        </w:rPr>
        <w:t>文件确定的事项签订政府采购合同。</w:t>
      </w:r>
    </w:p>
    <w:p w14:paraId="526E6CF6">
      <w:pPr>
        <w:pStyle w:val="392"/>
        <w:numPr>
          <w:ilvl w:val="1"/>
          <w:numId w:val="12"/>
        </w:numPr>
        <w:spacing w:before="0"/>
        <w:ind w:left="10" w:leftChars="0" w:firstLine="387"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成交供应商缴纳履约保证金（</w:t>
      </w:r>
      <w:r>
        <w:rPr>
          <w:rFonts w:hint="eastAsia" w:ascii="宋体" w:hAnsi="宋体" w:eastAsia="宋体" w:cs="宋体"/>
          <w:color w:val="auto"/>
          <w:kern w:val="0"/>
          <w:highlight w:val="none"/>
        </w:rPr>
        <w:t>拟签订的合同文本要求成交供应商提交履约保证金的，供应商应当以支票、汇票、本票或者金融机构、担保机构出具的保函等非现金形式提交</w:t>
      </w:r>
      <w:r>
        <w:rPr>
          <w:rFonts w:hint="eastAsia" w:ascii="宋体" w:hAnsi="宋体" w:eastAsia="宋体" w:cs="宋体"/>
          <w:color w:val="auto"/>
          <w:highlight w:val="none"/>
        </w:rPr>
        <w:t>。履约保证金的数额不得超过政府采购合同金额的</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%。鼓励和支持供应商以银行、保险公司出具的保函形式提供履约保证金。</w:t>
      </w:r>
      <w:r>
        <w:rPr>
          <w:rFonts w:hint="eastAsia" w:ascii="宋体" w:hAnsi="宋体" w:eastAsia="宋体" w:cs="宋体"/>
          <w:b/>
          <w:color w:val="auto"/>
          <w:highlight w:val="none"/>
        </w:rPr>
        <w:t>采购人不得拒收履约保函</w:t>
      </w:r>
      <w:r>
        <w:rPr>
          <w:rFonts w:hint="eastAsia" w:ascii="宋体" w:hAnsi="宋体" w:eastAsia="宋体" w:cs="宋体"/>
          <w:color w:val="auto"/>
          <w:szCs w:val="24"/>
          <w:highlight w:val="none"/>
          <w:lang w:eastAsia="zh-CN"/>
        </w:rPr>
        <w:t>，项目验收结束后应及时退还，延迟退还的，应当按照合同约定和法律规定承担相应的赔偿责任。</w:t>
      </w:r>
    </w:p>
    <w:p w14:paraId="538224C0">
      <w:pPr>
        <w:pStyle w:val="392"/>
        <w:numPr>
          <w:ilvl w:val="1"/>
          <w:numId w:val="12"/>
        </w:numPr>
        <w:spacing w:before="0"/>
        <w:ind w:left="10" w:leftChars="0" w:firstLine="387" w:firstLineChars="0"/>
        <w:rPr>
          <w:rFonts w:hint="eastAsia" w:ascii="宋体" w:hAnsi="宋体" w:eastAsia="宋体" w:cs="宋体"/>
          <w:color w:val="auto"/>
          <w:szCs w:val="24"/>
          <w:highlight w:val="none"/>
          <w:lang w:val="zh-CN" w:eastAsia="zh-CN"/>
        </w:rPr>
      </w:pPr>
      <w:r>
        <w:rPr>
          <w:rFonts w:hint="eastAsia" w:ascii="宋体" w:hAnsi="宋体" w:eastAsia="宋体" w:cs="宋体"/>
          <w:color w:val="auto"/>
          <w:szCs w:val="24"/>
          <w:highlight w:val="none"/>
          <w:lang w:val="zh-CN" w:eastAsia="zh-CN"/>
        </w:rPr>
        <w:t>供应商</w:t>
      </w:r>
      <w:r>
        <w:rPr>
          <w:rFonts w:hint="eastAsia" w:ascii="宋体" w:hAnsi="宋体" w:eastAsia="宋体" w:cs="宋体"/>
          <w:color w:val="auto"/>
          <w:szCs w:val="24"/>
          <w:highlight w:val="none"/>
          <w:lang w:val="en-US" w:eastAsia="zh-CN"/>
        </w:rPr>
        <w:t>可</w:t>
      </w:r>
      <w:r>
        <w:rPr>
          <w:rFonts w:hint="eastAsia" w:ascii="宋体" w:hAnsi="宋体" w:eastAsia="宋体" w:cs="宋体"/>
          <w:color w:val="auto"/>
          <w:szCs w:val="24"/>
          <w:highlight w:val="none"/>
          <w:lang w:val="zh-CN" w:eastAsia="zh-CN"/>
        </w:rPr>
        <w:t>登录政采云平台-【金融服务】—【我的项目】—【已备案合同】以保函形式提供：</w:t>
      </w:r>
    </w:p>
    <w:p w14:paraId="4217FD24">
      <w:pPr>
        <w:numPr>
          <w:ilvl w:val="2"/>
          <w:numId w:val="13"/>
        </w:numPr>
        <w:tabs>
          <w:tab w:val="left" w:pos="210"/>
        </w:tabs>
        <w:snapToGrid w:val="0"/>
        <w:spacing w:line="360" w:lineRule="auto"/>
        <w:ind w:left="850" w:leftChars="0" w:hanging="430" w:firstLineChars="0"/>
        <w:jc w:val="left"/>
        <w:outlineLvl w:val="3"/>
        <w:rPr>
          <w:rFonts w:hint="eastAsia" w:ascii="宋体" w:hAnsi="宋体" w:eastAsia="宋体" w:cs="宋体"/>
          <w:b w:val="0"/>
          <w:bCs/>
          <w:color w:val="auto"/>
          <w:sz w:val="24"/>
          <w:highlight w:val="none"/>
          <w:lang w:val="zh-CN" w:eastAsia="zh-CN"/>
        </w:rPr>
      </w:pPr>
      <w:r>
        <w:rPr>
          <w:rFonts w:hint="eastAsia" w:ascii="宋体" w:hAnsi="宋体" w:eastAsia="宋体" w:cs="宋体"/>
          <w:b w:val="0"/>
          <w:bCs/>
          <w:color w:val="auto"/>
          <w:sz w:val="24"/>
          <w:highlight w:val="none"/>
          <w:lang w:val="zh-CN" w:eastAsia="zh-CN"/>
        </w:rPr>
        <w:t>供应商在合同列表选择需要投保的合同，点击【保函推荐】。</w:t>
      </w:r>
    </w:p>
    <w:p w14:paraId="7B336F0D">
      <w:pPr>
        <w:numPr>
          <w:ilvl w:val="2"/>
          <w:numId w:val="13"/>
        </w:numPr>
        <w:tabs>
          <w:tab w:val="left" w:pos="210"/>
        </w:tabs>
        <w:snapToGrid w:val="0"/>
        <w:spacing w:line="360" w:lineRule="auto"/>
        <w:ind w:left="850" w:leftChars="0" w:hanging="430" w:firstLineChars="0"/>
        <w:jc w:val="left"/>
        <w:outlineLvl w:val="3"/>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zh-CN" w:eastAsia="zh-CN"/>
        </w:rPr>
        <w:t>在弹框里查看推荐的保函产品，供应商自行选择保函产品，点击【立即申请】。</w:t>
      </w:r>
    </w:p>
    <w:p w14:paraId="2614FECB">
      <w:pPr>
        <w:pStyle w:val="392"/>
        <w:numPr>
          <w:ilvl w:val="1"/>
          <w:numId w:val="12"/>
        </w:numPr>
        <w:spacing w:before="0"/>
        <w:ind w:left="10" w:leftChars="0" w:firstLine="387" w:firstLineChars="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zh-CN" w:eastAsia="zh-CN"/>
        </w:rPr>
        <w:t>在弹框里填写保函申请信息。具体步骤：选择产品—填写供应商信息—选择交成项目—确认信息—等待保险/保函受理—确认保单—支付保费—成功出单。政采云金融专线400-903-9583。</w:t>
      </w:r>
    </w:p>
    <w:p w14:paraId="6A346880">
      <w:pPr>
        <w:pStyle w:val="392"/>
        <w:numPr>
          <w:ilvl w:val="1"/>
          <w:numId w:val="12"/>
        </w:numPr>
        <w:spacing w:before="0"/>
        <w:ind w:left="10" w:leftChars="0" w:firstLine="387"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合同履约。</w:t>
      </w:r>
    </w:p>
    <w:p w14:paraId="0C8AA2E5">
      <w:pPr>
        <w:pStyle w:val="392"/>
        <w:numPr>
          <w:ilvl w:val="1"/>
          <w:numId w:val="12"/>
        </w:numPr>
        <w:spacing w:before="0"/>
        <w:ind w:left="10" w:leftChars="0" w:firstLine="387"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采购人组织验收。</w:t>
      </w:r>
    </w:p>
    <w:p w14:paraId="08002EC7">
      <w:pPr>
        <w:pStyle w:val="392"/>
        <w:numPr>
          <w:ilvl w:val="0"/>
          <w:numId w:val="6"/>
        </w:numPr>
        <w:tabs>
          <w:tab w:val="left" w:pos="210"/>
          <w:tab w:val="left" w:pos="420"/>
        </w:tabs>
        <w:spacing w:before="0"/>
        <w:ind w:left="340" w:leftChars="0" w:hanging="34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竞争性磋商流程图</w:t>
      </w:r>
    </w:p>
    <w:p w14:paraId="363E1CCE">
      <w:pPr>
        <w:rPr>
          <w:rFonts w:hint="eastAsia" w:ascii="宋体" w:hAnsi="宋体" w:eastAsia="宋体" w:cs="宋体"/>
          <w:b/>
          <w:color w:val="auto"/>
          <w:highlight w:val="none"/>
        </w:rPr>
      </w:pPr>
      <w:r>
        <w:rPr>
          <w:rFonts w:hint="eastAsia" w:ascii="宋体" w:hAnsi="宋体" w:eastAsia="宋体" w:cs="宋体"/>
          <w:b/>
          <w:color w:val="auto"/>
          <w:highlight w:val="none"/>
        </w:rPr>
        <w:drawing>
          <wp:inline distT="0" distB="0" distL="114300" distR="114300">
            <wp:extent cx="5758180" cy="2297430"/>
            <wp:effectExtent l="0" t="0" r="13970" b="7620"/>
            <wp:docPr id="1" name="ECB019B1-382A-4266-B25C-5B523AA43C14-1" descr="C:/Users/Administrator/AppData/Local/Temp/wps.MhaujC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C:/Users/Administrator/AppData/Local/Temp/wps.MhaujCwps"/>
                    <pic:cNvPicPr>
                      <a:picLocks noChangeAspect="1"/>
                    </pic:cNvPicPr>
                  </pic:nvPicPr>
                  <pic:blipFill>
                    <a:blip r:embed="rId9"/>
                    <a:stretch>
                      <a:fillRect/>
                    </a:stretch>
                  </pic:blipFill>
                  <pic:spPr>
                    <a:xfrm>
                      <a:off x="0" y="0"/>
                      <a:ext cx="5758180" cy="2297430"/>
                    </a:xfrm>
                    <a:prstGeom prst="rect">
                      <a:avLst/>
                    </a:prstGeom>
                  </pic:spPr>
                </pic:pic>
              </a:graphicData>
            </a:graphic>
          </wp:inline>
        </w:drawing>
      </w:r>
      <w:r>
        <w:rPr>
          <w:rFonts w:hint="eastAsia" w:ascii="宋体" w:hAnsi="宋体" w:eastAsia="宋体" w:cs="宋体"/>
          <w:b/>
          <w:color w:val="auto"/>
          <w:highlight w:val="none"/>
        </w:rPr>
        <w:br w:type="page"/>
      </w:r>
    </w:p>
    <w:p w14:paraId="55A14BDD">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第三部分</w:t>
      </w:r>
      <w:bookmarkEnd w:id="7"/>
      <w:r>
        <w:rPr>
          <w:rFonts w:hint="eastAsia" w:ascii="宋体" w:hAnsi="宋体" w:eastAsia="宋体" w:cs="宋体"/>
          <w:b/>
          <w:color w:val="auto"/>
          <w:sz w:val="36"/>
          <w:szCs w:val="20"/>
          <w:highlight w:val="none"/>
        </w:rPr>
        <w:t xml:space="preserve">  </w:t>
      </w:r>
      <w:r>
        <w:rPr>
          <w:rFonts w:hint="eastAsia" w:ascii="宋体" w:hAnsi="宋体" w:eastAsia="宋体" w:cs="宋体"/>
          <w:b/>
          <w:color w:val="auto"/>
          <w:sz w:val="36"/>
          <w:highlight w:val="none"/>
        </w:rPr>
        <w:t>供应商须知</w:t>
      </w:r>
      <w:bookmarkEnd w:id="8"/>
    </w:p>
    <w:p w14:paraId="7EF75E96">
      <w:pPr>
        <w:adjustRightInd/>
        <w:spacing w:line="360" w:lineRule="auto"/>
        <w:ind w:left="0" w:leftChars="0" w:firstLine="0" w:firstLineChars="0"/>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一、前附表</w:t>
      </w:r>
    </w:p>
    <w:tbl>
      <w:tblPr>
        <w:tblStyle w:val="60"/>
        <w:tblW w:w="9139"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2"/>
        <w:gridCol w:w="2209"/>
        <w:gridCol w:w="6258"/>
      </w:tblGrid>
      <w:tr w14:paraId="173003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72" w:type="dxa"/>
            <w:tcBorders>
              <w:tl2br w:val="nil"/>
              <w:tr2bl w:val="nil"/>
            </w:tcBorders>
            <w:vAlign w:val="center"/>
          </w:tcPr>
          <w:p w14:paraId="66ACFD5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209" w:type="dxa"/>
            <w:tcBorders>
              <w:tl2br w:val="nil"/>
              <w:tr2bl w:val="nil"/>
            </w:tcBorders>
            <w:vAlign w:val="center"/>
          </w:tcPr>
          <w:p w14:paraId="671C57B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258" w:type="dxa"/>
            <w:tcBorders>
              <w:tl2br w:val="nil"/>
              <w:tr2bl w:val="nil"/>
            </w:tcBorders>
            <w:vAlign w:val="center"/>
          </w:tcPr>
          <w:p w14:paraId="2C475F8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4AA631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72" w:type="dxa"/>
            <w:tcBorders>
              <w:tl2br w:val="nil"/>
              <w:tr2bl w:val="nil"/>
            </w:tcBorders>
            <w:vAlign w:val="center"/>
          </w:tcPr>
          <w:p w14:paraId="1707B41E">
            <w:pPr>
              <w:keepNext w:val="0"/>
              <w:keepLines w:val="0"/>
              <w:pageBreakBefore w:val="0"/>
              <w:widowControl w:val="0"/>
              <w:numPr>
                <w:ilvl w:val="0"/>
                <w:numId w:val="14"/>
              </w:numPr>
              <w:tabs>
                <w:tab w:val="left" w:pos="0"/>
                <w:tab w:val="center" w:pos="368"/>
                <w:tab w:val="clear" w:pos="42"/>
              </w:tabs>
              <w:kinsoku/>
              <w:wordWrap/>
              <w:overflowPunct/>
              <w:topLinePunct w:val="0"/>
              <w:autoSpaceDE/>
              <w:autoSpaceDN/>
              <w:bidi w:val="0"/>
              <w:adjustRightInd w:val="0"/>
              <w:snapToGrid w:val="0"/>
              <w:spacing w:line="400" w:lineRule="exact"/>
              <w:ind w:left="210" w:leftChars="0" w:right="105" w:rightChars="50" w:firstLine="0" w:firstLineChars="0"/>
              <w:jc w:val="center"/>
              <w:textAlignment w:val="auto"/>
              <w:rPr>
                <w:rFonts w:hint="eastAsia" w:ascii="宋体" w:hAnsi="宋体" w:eastAsia="宋体" w:cs="宋体"/>
                <w:color w:val="auto"/>
                <w:sz w:val="24"/>
                <w:highlight w:val="none"/>
              </w:rPr>
            </w:pPr>
          </w:p>
        </w:tc>
        <w:tc>
          <w:tcPr>
            <w:tcW w:w="2209" w:type="dxa"/>
            <w:tcBorders>
              <w:tl2br w:val="nil"/>
              <w:tr2bl w:val="nil"/>
            </w:tcBorders>
            <w:vAlign w:val="center"/>
          </w:tcPr>
          <w:p w14:paraId="3D8898E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项目属性</w:t>
            </w:r>
          </w:p>
        </w:tc>
        <w:tc>
          <w:tcPr>
            <w:tcW w:w="6258" w:type="dxa"/>
            <w:tcBorders>
              <w:tl2br w:val="nil"/>
              <w:tr2bl w:val="nil"/>
            </w:tcBorders>
            <w:vAlign w:val="center"/>
          </w:tcPr>
          <w:p w14:paraId="51904E51">
            <w:pPr>
              <w:pStyle w:val="31"/>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sz w:val="24"/>
                <w:highlight w:val="none"/>
                <w:lang w:val="en-US" w:eastAsia="zh-CN"/>
              </w:rPr>
              <w:t>服务类</w:t>
            </w:r>
          </w:p>
        </w:tc>
      </w:tr>
      <w:tr w14:paraId="2BD3B8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253" w:hRule="atLeast"/>
        </w:trPr>
        <w:tc>
          <w:tcPr>
            <w:tcW w:w="672" w:type="dxa"/>
            <w:tcBorders>
              <w:tl2br w:val="nil"/>
              <w:tr2bl w:val="nil"/>
            </w:tcBorders>
            <w:vAlign w:val="center"/>
          </w:tcPr>
          <w:p w14:paraId="529F57A9">
            <w:pPr>
              <w:keepNext w:val="0"/>
              <w:keepLines w:val="0"/>
              <w:pageBreakBefore w:val="0"/>
              <w:widowControl w:val="0"/>
              <w:numPr>
                <w:ilvl w:val="0"/>
                <w:numId w:val="14"/>
              </w:numPr>
              <w:tabs>
                <w:tab w:val="left" w:pos="0"/>
                <w:tab w:val="center" w:pos="368"/>
                <w:tab w:val="clear" w:pos="42"/>
              </w:tabs>
              <w:kinsoku/>
              <w:wordWrap/>
              <w:overflowPunct/>
              <w:topLinePunct w:val="0"/>
              <w:autoSpaceDE/>
              <w:autoSpaceDN/>
              <w:bidi w:val="0"/>
              <w:adjustRightInd w:val="0"/>
              <w:snapToGrid w:val="0"/>
              <w:spacing w:line="400" w:lineRule="exact"/>
              <w:ind w:left="210" w:leftChars="0" w:right="105" w:rightChars="50" w:firstLine="0" w:firstLineChars="0"/>
              <w:jc w:val="center"/>
              <w:textAlignment w:val="auto"/>
              <w:rPr>
                <w:rFonts w:hint="eastAsia" w:ascii="宋体" w:hAnsi="宋体" w:eastAsia="宋体" w:cs="宋体"/>
                <w:color w:val="auto"/>
                <w:sz w:val="24"/>
                <w:highlight w:val="none"/>
              </w:rPr>
            </w:pPr>
          </w:p>
        </w:tc>
        <w:tc>
          <w:tcPr>
            <w:tcW w:w="2209" w:type="dxa"/>
            <w:tcBorders>
              <w:tl2br w:val="nil"/>
              <w:tr2bl w:val="nil"/>
            </w:tcBorders>
            <w:vAlign w:val="center"/>
          </w:tcPr>
          <w:p w14:paraId="7FFEF4E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采购标的对应的中小企业划分标准所属行业</w:t>
            </w:r>
          </w:p>
        </w:tc>
        <w:tc>
          <w:tcPr>
            <w:tcW w:w="6258" w:type="dxa"/>
            <w:tcBorders>
              <w:tl2br w:val="nil"/>
              <w:tr2bl w:val="nil"/>
            </w:tcBorders>
            <w:vAlign w:val="center"/>
          </w:tcPr>
          <w:p w14:paraId="75934BEF">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jc w:val="both"/>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rPr>
              <w:t>采购标的：</w:t>
            </w:r>
            <w:r>
              <w:rPr>
                <w:rFonts w:hint="eastAsia" w:ascii="宋体" w:hAnsi="宋体" w:eastAsia="宋体" w:cs="宋体"/>
                <w:color w:val="auto"/>
                <w:sz w:val="24"/>
                <w:szCs w:val="24"/>
                <w:highlight w:val="none"/>
                <w:u w:val="single"/>
              </w:rPr>
              <w:t>未来工厂”认定评估及新模式推广应用项目</w:t>
            </w:r>
            <w:r>
              <w:rPr>
                <w:rFonts w:hint="eastAsia" w:ascii="宋体" w:hAnsi="宋体" w:eastAsia="宋体" w:cs="宋体"/>
                <w:color w:val="auto"/>
                <w:sz w:val="24"/>
                <w:szCs w:val="24"/>
                <w:highlight w:val="none"/>
              </w:rPr>
              <w:t>，所属行业：</w:t>
            </w:r>
            <w:r>
              <w:rPr>
                <w:rFonts w:hint="eastAsia" w:ascii="宋体" w:hAnsi="宋体" w:eastAsia="宋体" w:cs="宋体"/>
                <w:color w:val="auto"/>
                <w:sz w:val="24"/>
                <w:szCs w:val="24"/>
                <w:highlight w:val="none"/>
                <w:u w:val="single"/>
                <w:lang w:val="en-US" w:eastAsia="zh-CN"/>
              </w:rPr>
              <w:t>其他未列明行业</w:t>
            </w:r>
            <w:r>
              <w:rPr>
                <w:rFonts w:hint="eastAsia" w:ascii="宋体" w:hAnsi="宋体" w:eastAsia="宋体" w:cs="宋体"/>
                <w:color w:val="auto"/>
                <w:sz w:val="24"/>
                <w:szCs w:val="24"/>
                <w:highlight w:val="none"/>
              </w:rPr>
              <w:t>；</w:t>
            </w:r>
          </w:p>
        </w:tc>
      </w:tr>
      <w:tr w14:paraId="3FB24C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170" w:hRule="atLeast"/>
        </w:trPr>
        <w:tc>
          <w:tcPr>
            <w:tcW w:w="672" w:type="dxa"/>
            <w:tcBorders>
              <w:tl2br w:val="nil"/>
              <w:tr2bl w:val="nil"/>
            </w:tcBorders>
            <w:vAlign w:val="center"/>
          </w:tcPr>
          <w:p w14:paraId="513F0F19">
            <w:pPr>
              <w:keepNext w:val="0"/>
              <w:keepLines w:val="0"/>
              <w:pageBreakBefore w:val="0"/>
              <w:widowControl w:val="0"/>
              <w:numPr>
                <w:ilvl w:val="0"/>
                <w:numId w:val="14"/>
              </w:numPr>
              <w:tabs>
                <w:tab w:val="left" w:pos="0"/>
                <w:tab w:val="center" w:pos="368"/>
                <w:tab w:val="clear" w:pos="42"/>
              </w:tabs>
              <w:kinsoku/>
              <w:wordWrap/>
              <w:overflowPunct/>
              <w:topLinePunct w:val="0"/>
              <w:autoSpaceDE/>
              <w:autoSpaceDN/>
              <w:bidi w:val="0"/>
              <w:adjustRightInd w:val="0"/>
              <w:snapToGrid w:val="0"/>
              <w:spacing w:line="400" w:lineRule="exact"/>
              <w:ind w:left="210" w:leftChars="0" w:right="105" w:rightChars="50" w:firstLine="0" w:firstLineChars="0"/>
              <w:jc w:val="center"/>
              <w:textAlignment w:val="auto"/>
              <w:rPr>
                <w:rFonts w:hint="eastAsia" w:ascii="宋体" w:hAnsi="宋体" w:eastAsia="宋体" w:cs="宋体"/>
                <w:color w:val="auto"/>
                <w:sz w:val="24"/>
                <w:highlight w:val="none"/>
              </w:rPr>
            </w:pPr>
          </w:p>
        </w:tc>
        <w:tc>
          <w:tcPr>
            <w:tcW w:w="2209" w:type="dxa"/>
            <w:tcBorders>
              <w:tl2br w:val="nil"/>
              <w:tr2bl w:val="nil"/>
            </w:tcBorders>
            <w:vAlign w:val="center"/>
          </w:tcPr>
          <w:p w14:paraId="4987FA5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是否允许采购进口产品</w:t>
            </w:r>
          </w:p>
        </w:tc>
        <w:tc>
          <w:tcPr>
            <w:tcW w:w="6258" w:type="dxa"/>
            <w:tcBorders>
              <w:tl2br w:val="nil"/>
              <w:tr2bl w:val="nil"/>
            </w:tcBorders>
            <w:vAlign w:val="center"/>
          </w:tcPr>
          <w:p w14:paraId="7219EB0D">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47467448"/>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本项目不允许采购进口产品。</w:t>
            </w:r>
          </w:p>
          <w:p w14:paraId="1C8CBA3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2"/>
                <w:sz w:val="21"/>
                <w:szCs w:val="24"/>
                <w:highlight w:val="none"/>
                <w:lang w:val="en-US" w:eastAsia="zh-CN" w:bidi="ar-SA"/>
              </w:rPr>
            </w:pPr>
            <w:sdt>
              <w:sdtPr>
                <w:rPr>
                  <w:rFonts w:hint="eastAsia" w:ascii="宋体" w:hAnsi="宋体" w:eastAsia="宋体" w:cs="宋体"/>
                  <w:color w:val="auto"/>
                  <w:kern w:val="0"/>
                  <w:sz w:val="24"/>
                  <w:highlight w:val="none"/>
                </w:rPr>
                <w:id w:val="14746188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11450F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260" w:hRule="atLeast"/>
        </w:trPr>
        <w:tc>
          <w:tcPr>
            <w:tcW w:w="672" w:type="dxa"/>
            <w:tcBorders>
              <w:tl2br w:val="nil"/>
              <w:tr2bl w:val="nil"/>
            </w:tcBorders>
            <w:vAlign w:val="center"/>
          </w:tcPr>
          <w:p w14:paraId="3EA45F26">
            <w:pPr>
              <w:keepNext w:val="0"/>
              <w:keepLines w:val="0"/>
              <w:pageBreakBefore w:val="0"/>
              <w:widowControl w:val="0"/>
              <w:numPr>
                <w:ilvl w:val="0"/>
                <w:numId w:val="14"/>
              </w:numPr>
              <w:tabs>
                <w:tab w:val="left" w:pos="0"/>
                <w:tab w:val="center" w:pos="368"/>
                <w:tab w:val="clear" w:pos="42"/>
              </w:tabs>
              <w:kinsoku/>
              <w:wordWrap/>
              <w:overflowPunct/>
              <w:topLinePunct w:val="0"/>
              <w:autoSpaceDE/>
              <w:autoSpaceDN/>
              <w:bidi w:val="0"/>
              <w:adjustRightInd w:val="0"/>
              <w:snapToGrid w:val="0"/>
              <w:spacing w:line="400" w:lineRule="exact"/>
              <w:ind w:left="210" w:leftChars="0" w:right="105" w:rightChars="50" w:firstLine="0" w:firstLineChars="0"/>
              <w:jc w:val="center"/>
              <w:textAlignment w:val="auto"/>
              <w:rPr>
                <w:rFonts w:hint="eastAsia" w:ascii="宋体" w:hAnsi="宋体" w:eastAsia="宋体" w:cs="宋体"/>
                <w:color w:val="auto"/>
                <w:sz w:val="24"/>
                <w:highlight w:val="none"/>
              </w:rPr>
            </w:pPr>
          </w:p>
        </w:tc>
        <w:tc>
          <w:tcPr>
            <w:tcW w:w="2209" w:type="dxa"/>
            <w:tcBorders>
              <w:tl2br w:val="nil"/>
              <w:tr2bl w:val="nil"/>
            </w:tcBorders>
            <w:vAlign w:val="center"/>
          </w:tcPr>
          <w:p w14:paraId="2ED75FC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分包</w:t>
            </w:r>
          </w:p>
        </w:tc>
        <w:tc>
          <w:tcPr>
            <w:tcW w:w="6258" w:type="dxa"/>
            <w:tcBorders>
              <w:tl2br w:val="nil"/>
              <w:tr2bl w:val="nil"/>
            </w:tcBorders>
            <w:vAlign w:val="center"/>
          </w:tcPr>
          <w:p w14:paraId="2B34E7C5">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147460019"/>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szCs w:val="24"/>
                <w:highlight w:val="none"/>
              </w:rPr>
              <w:t xml:space="preserve"> A同意将非主体、非关键性的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工作分包。</w:t>
            </w:r>
          </w:p>
          <w:p w14:paraId="61420DF8">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147466396"/>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lang w:val="en-US" w:eastAsia="zh-CN"/>
                  </w:rPr>
                  <w:t>☐</w:t>
                </w:r>
              </w:sdtContent>
            </w:sdt>
            <w:r>
              <w:rPr>
                <w:rFonts w:hint="eastAsia" w:ascii="宋体" w:hAnsi="宋体" w:eastAsia="宋体" w:cs="宋体"/>
                <w:color w:val="auto"/>
                <w:sz w:val="24"/>
                <w:szCs w:val="24"/>
                <w:highlight w:val="none"/>
              </w:rPr>
              <w:t xml:space="preserve"> B不同意分包。</w:t>
            </w:r>
          </w:p>
          <w:p w14:paraId="4585EB0B">
            <w:pPr>
              <w:pStyle w:val="59"/>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kern w:val="0"/>
                <w:sz w:val="24"/>
                <w:szCs w:val="24"/>
                <w:highlight w:val="none"/>
                <w:lang w:val="en-US" w:eastAsia="zh-CN" w:bidi="ar-SA"/>
              </w:rPr>
              <w:t>注：不得限制大中型企业向小微企业合理分包。</w:t>
            </w:r>
          </w:p>
        </w:tc>
      </w:tr>
      <w:tr w14:paraId="082915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253" w:hRule="atLeast"/>
        </w:trPr>
        <w:tc>
          <w:tcPr>
            <w:tcW w:w="672" w:type="dxa"/>
            <w:tcBorders>
              <w:tl2br w:val="nil"/>
              <w:tr2bl w:val="nil"/>
            </w:tcBorders>
            <w:vAlign w:val="center"/>
          </w:tcPr>
          <w:p w14:paraId="36809CD3">
            <w:pPr>
              <w:keepNext w:val="0"/>
              <w:keepLines w:val="0"/>
              <w:pageBreakBefore w:val="0"/>
              <w:widowControl w:val="0"/>
              <w:numPr>
                <w:ilvl w:val="0"/>
                <w:numId w:val="14"/>
              </w:numPr>
              <w:tabs>
                <w:tab w:val="left" w:pos="0"/>
                <w:tab w:val="center" w:pos="368"/>
                <w:tab w:val="clear" w:pos="42"/>
              </w:tabs>
              <w:kinsoku/>
              <w:wordWrap/>
              <w:overflowPunct/>
              <w:topLinePunct w:val="0"/>
              <w:autoSpaceDE/>
              <w:autoSpaceDN/>
              <w:bidi w:val="0"/>
              <w:adjustRightInd w:val="0"/>
              <w:snapToGrid w:val="0"/>
              <w:spacing w:line="400" w:lineRule="exact"/>
              <w:ind w:left="210" w:leftChars="0" w:right="105" w:rightChars="50" w:firstLine="0" w:firstLineChars="0"/>
              <w:jc w:val="center"/>
              <w:textAlignment w:val="auto"/>
              <w:rPr>
                <w:rFonts w:hint="eastAsia" w:ascii="宋体" w:hAnsi="宋体" w:eastAsia="宋体" w:cs="宋体"/>
                <w:color w:val="auto"/>
                <w:sz w:val="24"/>
                <w:highlight w:val="none"/>
              </w:rPr>
            </w:pPr>
          </w:p>
        </w:tc>
        <w:tc>
          <w:tcPr>
            <w:tcW w:w="2209" w:type="dxa"/>
            <w:tcBorders>
              <w:tl2br w:val="nil"/>
              <w:tr2bl w:val="nil"/>
            </w:tcBorders>
            <w:vAlign w:val="center"/>
          </w:tcPr>
          <w:p w14:paraId="1FF9605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响应文件开启前答疑会或现场考察</w:t>
            </w:r>
          </w:p>
        </w:tc>
        <w:tc>
          <w:tcPr>
            <w:tcW w:w="6258" w:type="dxa"/>
            <w:tcBorders>
              <w:tl2br w:val="nil"/>
              <w:tr2bl w:val="nil"/>
            </w:tcBorders>
            <w:vAlign w:val="center"/>
          </w:tcPr>
          <w:p w14:paraId="506454C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6212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7B426C69">
            <w:pPr>
              <w:pStyle w:val="31"/>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kern w:val="2"/>
                <w:sz w:val="24"/>
                <w:szCs w:val="20"/>
                <w:highlight w:val="none"/>
                <w:lang w:val="en-US" w:eastAsia="zh-CN" w:bidi="ar-SA"/>
              </w:rPr>
            </w:pPr>
            <w:sdt>
              <w:sdtPr>
                <w:rPr>
                  <w:rFonts w:hint="eastAsia" w:ascii="宋体" w:hAnsi="宋体" w:eastAsia="宋体" w:cs="宋体"/>
                  <w:color w:val="auto"/>
                  <w:kern w:val="0"/>
                  <w:sz w:val="24"/>
                  <w:highlight w:val="none"/>
                </w:rPr>
                <w:id w:val="14746060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41696B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643" w:hRule="atLeast"/>
        </w:trPr>
        <w:tc>
          <w:tcPr>
            <w:tcW w:w="672" w:type="dxa"/>
            <w:tcBorders>
              <w:tl2br w:val="nil"/>
              <w:tr2bl w:val="nil"/>
            </w:tcBorders>
            <w:vAlign w:val="center"/>
          </w:tcPr>
          <w:p w14:paraId="4313EB0F">
            <w:pPr>
              <w:keepNext w:val="0"/>
              <w:keepLines w:val="0"/>
              <w:pageBreakBefore w:val="0"/>
              <w:widowControl w:val="0"/>
              <w:numPr>
                <w:ilvl w:val="0"/>
                <w:numId w:val="14"/>
              </w:numPr>
              <w:tabs>
                <w:tab w:val="left" w:pos="0"/>
                <w:tab w:val="center" w:pos="368"/>
                <w:tab w:val="clear" w:pos="42"/>
              </w:tabs>
              <w:kinsoku/>
              <w:wordWrap/>
              <w:overflowPunct/>
              <w:topLinePunct w:val="0"/>
              <w:autoSpaceDE/>
              <w:autoSpaceDN/>
              <w:bidi w:val="0"/>
              <w:adjustRightInd w:val="0"/>
              <w:snapToGrid w:val="0"/>
              <w:spacing w:line="400" w:lineRule="exact"/>
              <w:ind w:left="210" w:leftChars="0" w:right="105" w:rightChars="50" w:firstLine="0" w:firstLineChars="0"/>
              <w:jc w:val="center"/>
              <w:textAlignment w:val="auto"/>
              <w:rPr>
                <w:rFonts w:hint="eastAsia" w:ascii="宋体" w:hAnsi="宋体" w:eastAsia="宋体" w:cs="宋体"/>
                <w:color w:val="auto"/>
                <w:sz w:val="24"/>
                <w:highlight w:val="none"/>
              </w:rPr>
            </w:pPr>
          </w:p>
        </w:tc>
        <w:tc>
          <w:tcPr>
            <w:tcW w:w="2209" w:type="dxa"/>
            <w:tcBorders>
              <w:tl2br w:val="nil"/>
              <w:tr2bl w:val="nil"/>
            </w:tcBorders>
            <w:vAlign w:val="center"/>
          </w:tcPr>
          <w:p w14:paraId="1E62080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履约保证金</w:t>
            </w:r>
          </w:p>
        </w:tc>
        <w:tc>
          <w:tcPr>
            <w:tcW w:w="6258" w:type="dxa"/>
            <w:tcBorders>
              <w:tl2br w:val="nil"/>
              <w:tr2bl w:val="nil"/>
            </w:tcBorders>
            <w:vAlign w:val="center"/>
          </w:tcPr>
          <w:p w14:paraId="1DED71E7">
            <w:pPr>
              <w:pStyle w:val="31"/>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宋体" w:hAnsi="宋体" w:eastAsia="宋体" w:cs="宋体"/>
                <w:color w:val="auto"/>
                <w:kern w:val="0"/>
                <w:sz w:val="24"/>
                <w:highlight w:val="none"/>
                <w:lang w:val="en-US" w:eastAsia="zh-CN"/>
              </w:rPr>
            </w:pPr>
            <w:r>
              <w:rPr>
                <w:rFonts w:hint="eastAsia" w:hAnsi="宋体" w:cs="宋体"/>
                <w:color w:val="auto"/>
                <w:kern w:val="0"/>
                <w:sz w:val="24"/>
                <w:highlight w:val="none"/>
                <w:lang w:val="en-US" w:eastAsia="zh-CN"/>
              </w:rPr>
              <w:t>本项目不收取履约保证金</w:t>
            </w:r>
          </w:p>
        </w:tc>
      </w:tr>
      <w:tr w14:paraId="1606D9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1592" w:hRule="atLeast"/>
        </w:trPr>
        <w:tc>
          <w:tcPr>
            <w:tcW w:w="672" w:type="dxa"/>
            <w:tcBorders>
              <w:tl2br w:val="nil"/>
              <w:tr2bl w:val="nil"/>
            </w:tcBorders>
            <w:vAlign w:val="center"/>
          </w:tcPr>
          <w:p w14:paraId="68EB2FBC">
            <w:pPr>
              <w:keepNext w:val="0"/>
              <w:keepLines w:val="0"/>
              <w:pageBreakBefore w:val="0"/>
              <w:widowControl w:val="0"/>
              <w:numPr>
                <w:ilvl w:val="0"/>
                <w:numId w:val="14"/>
              </w:numPr>
              <w:tabs>
                <w:tab w:val="left" w:pos="0"/>
                <w:tab w:val="center" w:pos="368"/>
                <w:tab w:val="clear" w:pos="42"/>
              </w:tabs>
              <w:kinsoku/>
              <w:wordWrap/>
              <w:overflowPunct/>
              <w:topLinePunct w:val="0"/>
              <w:autoSpaceDE/>
              <w:autoSpaceDN/>
              <w:bidi w:val="0"/>
              <w:adjustRightInd w:val="0"/>
              <w:snapToGrid w:val="0"/>
              <w:spacing w:line="400" w:lineRule="exact"/>
              <w:ind w:left="210" w:leftChars="0" w:right="105" w:rightChars="50" w:firstLine="0" w:firstLineChars="0"/>
              <w:jc w:val="center"/>
              <w:textAlignment w:val="auto"/>
              <w:rPr>
                <w:rFonts w:hint="eastAsia" w:ascii="宋体" w:hAnsi="宋体" w:eastAsia="宋体" w:cs="宋体"/>
                <w:color w:val="auto"/>
                <w:sz w:val="24"/>
                <w:highlight w:val="none"/>
              </w:rPr>
            </w:pPr>
          </w:p>
        </w:tc>
        <w:tc>
          <w:tcPr>
            <w:tcW w:w="2209" w:type="dxa"/>
            <w:tcBorders>
              <w:tl2br w:val="nil"/>
              <w:tr2bl w:val="nil"/>
            </w:tcBorders>
            <w:vAlign w:val="center"/>
          </w:tcPr>
          <w:p w14:paraId="0F65CFE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258" w:type="dxa"/>
            <w:tcBorders>
              <w:tl2br w:val="nil"/>
              <w:tr2bl w:val="nil"/>
            </w:tcBorders>
            <w:vAlign w:val="center"/>
          </w:tcPr>
          <w:p w14:paraId="2B2C0561">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147466640"/>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szCs w:val="24"/>
                <w:highlight w:val="none"/>
              </w:rPr>
              <w:t>A不组织。</w:t>
            </w:r>
          </w:p>
          <w:p w14:paraId="6B7525D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t>☐</w:t>
                </w:r>
              </w:sdtContent>
            </w:sdt>
            <w:r>
              <w:rPr>
                <w:rFonts w:hint="eastAsia" w:ascii="宋体" w:hAnsi="宋体" w:eastAsia="宋体" w:cs="宋体"/>
                <w:color w:val="auto"/>
                <w:sz w:val="24"/>
                <w:szCs w:val="24"/>
                <w:highlight w:val="none"/>
              </w:rPr>
              <w:t>B组织。</w:t>
            </w:r>
          </w:p>
          <w:p w14:paraId="3362A77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w:t>
            </w:r>
            <w:r>
              <w:rPr>
                <w:rFonts w:hint="eastAsia" w:ascii="宋体" w:hAnsi="宋体" w:eastAsia="宋体" w:cs="宋体"/>
                <w:color w:val="auto"/>
                <w:sz w:val="24"/>
                <w:szCs w:val="24"/>
                <w:highlight w:val="none"/>
                <w:lang w:eastAsia="zh-CN"/>
              </w:rPr>
              <w:t>磋商过程中</w:t>
            </w:r>
            <w:r>
              <w:rPr>
                <w:rFonts w:hint="eastAsia" w:ascii="宋体" w:hAnsi="宋体" w:eastAsia="宋体" w:cs="宋体"/>
                <w:color w:val="auto"/>
                <w:sz w:val="24"/>
                <w:szCs w:val="24"/>
                <w:highlight w:val="none"/>
              </w:rPr>
              <w:t>安排每个</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进行方案讲解演示。每个</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时间不超过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分钟，讲解次序以</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文件解密时间先后次序为准，讲解演示人员不超过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人。讲解演示结束后按要求解答</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提问。</w:t>
            </w:r>
          </w:p>
          <w:p w14:paraId="12350C8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（2）方案讲解演示可选择以下其中一种方式：</w:t>
            </w:r>
          </w:p>
          <w:p w14:paraId="0D941D8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□方式一：政采云平台在线讲解演示。政采云平台在线讲解需</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根据政采云平台操作要求做好准备工作，提前完善软硬件配置环境。</w:t>
            </w:r>
          </w:p>
          <w:p w14:paraId="4BE26D6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□方式二：</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现场讲解演示。现场讲解地点为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，讲解演示所用电脑等设备由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自备。现场讲解演示人员进场时提供讲解人员名单（加盖公章或授权代表签名）及身份证明，否则不得讲解演示。</w:t>
            </w:r>
          </w:p>
          <w:p w14:paraId="1D2F75B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方式三：采用“不见面”形式演示。供应商在磋商截止时间前，递交自行录制的“音视频文件”，磋商小组在评审现场对其进行播放并以此作为与方案演示有关评审内容的评分依据。各供应商递交的音视频文件光盘或U盘中应有确保文件正常打开的播放器。</w:t>
            </w:r>
          </w:p>
          <w:p w14:paraId="424E78B5">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highlight w:val="none"/>
                <w:lang w:eastAsia="en-US"/>
              </w:rPr>
            </w:pPr>
            <w:r>
              <w:rPr>
                <w:rFonts w:hint="eastAsia" w:ascii="宋体" w:hAnsi="宋体" w:eastAsia="宋体" w:cs="宋体"/>
                <w:color w:val="auto"/>
                <w:sz w:val="24"/>
                <w:szCs w:val="24"/>
                <w:highlight w:val="none"/>
                <w:lang w:val="en-US" w:eastAsia="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4ACE02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337" w:hRule="atLeast"/>
        </w:trPr>
        <w:tc>
          <w:tcPr>
            <w:tcW w:w="672" w:type="dxa"/>
            <w:vMerge w:val="restart"/>
            <w:tcBorders>
              <w:tl2br w:val="nil"/>
              <w:tr2bl w:val="nil"/>
            </w:tcBorders>
            <w:vAlign w:val="center"/>
          </w:tcPr>
          <w:p w14:paraId="2B468967">
            <w:pPr>
              <w:keepNext w:val="0"/>
              <w:keepLines w:val="0"/>
              <w:pageBreakBefore w:val="0"/>
              <w:widowControl w:val="0"/>
              <w:numPr>
                <w:ilvl w:val="0"/>
                <w:numId w:val="14"/>
              </w:numPr>
              <w:tabs>
                <w:tab w:val="left" w:pos="0"/>
                <w:tab w:val="center" w:pos="368"/>
                <w:tab w:val="clear" w:pos="42"/>
              </w:tabs>
              <w:kinsoku/>
              <w:wordWrap/>
              <w:overflowPunct/>
              <w:topLinePunct w:val="0"/>
              <w:autoSpaceDE/>
              <w:autoSpaceDN/>
              <w:bidi w:val="0"/>
              <w:adjustRightInd w:val="0"/>
              <w:snapToGrid w:val="0"/>
              <w:spacing w:line="400" w:lineRule="exact"/>
              <w:ind w:left="210" w:leftChars="0" w:right="105" w:rightChars="50" w:firstLine="0" w:firstLineChars="0"/>
              <w:jc w:val="center"/>
              <w:textAlignment w:val="auto"/>
              <w:rPr>
                <w:rFonts w:hint="eastAsia" w:ascii="宋体" w:hAnsi="宋体" w:eastAsia="宋体" w:cs="宋体"/>
                <w:color w:val="auto"/>
                <w:sz w:val="24"/>
                <w:highlight w:val="none"/>
              </w:rPr>
            </w:pPr>
          </w:p>
        </w:tc>
        <w:tc>
          <w:tcPr>
            <w:tcW w:w="2209" w:type="dxa"/>
            <w:vMerge w:val="restart"/>
            <w:tcBorders>
              <w:tl2br w:val="nil"/>
              <w:tr2bl w:val="nil"/>
            </w:tcBorders>
            <w:vAlign w:val="center"/>
          </w:tcPr>
          <w:p w14:paraId="0294BE3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供应商应当提供的</w:t>
            </w:r>
            <w:r>
              <w:rPr>
                <w:rFonts w:hint="eastAsia" w:ascii="宋体" w:hAnsi="宋体" w:eastAsia="宋体" w:cs="宋体"/>
                <w:b/>
                <w:color w:val="auto"/>
                <w:sz w:val="24"/>
                <w:highlight w:val="none"/>
                <w:lang w:eastAsia="zh-CN"/>
              </w:rPr>
              <w:t>资格、资信</w:t>
            </w:r>
            <w:r>
              <w:rPr>
                <w:rFonts w:hint="eastAsia" w:ascii="宋体" w:hAnsi="宋体" w:eastAsia="宋体" w:cs="宋体"/>
                <w:b/>
                <w:color w:val="auto"/>
                <w:sz w:val="24"/>
                <w:highlight w:val="none"/>
              </w:rPr>
              <w:t>证明</w:t>
            </w:r>
            <w:r>
              <w:rPr>
                <w:rFonts w:hint="eastAsia" w:ascii="宋体" w:hAnsi="宋体" w:eastAsia="宋体" w:cs="宋体"/>
                <w:b/>
                <w:color w:val="auto"/>
                <w:sz w:val="24"/>
                <w:highlight w:val="none"/>
                <w:lang w:eastAsia="zh-CN"/>
              </w:rPr>
              <w:t>文件</w:t>
            </w:r>
          </w:p>
        </w:tc>
        <w:tc>
          <w:tcPr>
            <w:tcW w:w="6258" w:type="dxa"/>
            <w:tcBorders>
              <w:tl2br w:val="nil"/>
              <w:tr2bl w:val="nil"/>
            </w:tcBorders>
            <w:vAlign w:val="center"/>
          </w:tcPr>
          <w:p w14:paraId="065CCA0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（1）资格证明文件：见磋商文件第三部分“六、响应文件的编制 2.1资格文件”。</w:t>
            </w:r>
          </w:p>
          <w:p w14:paraId="6AABF2B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4"/>
                <w:highlight w:val="none"/>
              </w:rPr>
              <w:t>▲</w:t>
            </w:r>
            <w:r>
              <w:rPr>
                <w:rFonts w:hint="eastAsia" w:ascii="宋体" w:hAnsi="宋体" w:eastAsia="宋体" w:cs="宋体"/>
                <w:b/>
                <w:bCs/>
                <w:color w:val="auto"/>
                <w:kern w:val="0"/>
                <w:sz w:val="24"/>
                <w:highlight w:val="none"/>
                <w:lang w:val="zh-CN"/>
              </w:rPr>
              <w:t>供应商未提供有效的资格证明文件的，视为供应</w:t>
            </w:r>
            <w:r>
              <w:rPr>
                <w:rFonts w:hint="eastAsia" w:ascii="宋体" w:hAnsi="宋体" w:eastAsia="宋体" w:cs="宋体"/>
                <w:b/>
                <w:bCs/>
                <w:color w:val="auto"/>
                <w:sz w:val="24"/>
                <w:highlight w:val="none"/>
              </w:rPr>
              <w:t>商不具备磋商文件中规定的资格要求，响应无效</w:t>
            </w:r>
            <w:r>
              <w:rPr>
                <w:rFonts w:hint="eastAsia" w:ascii="宋体" w:hAnsi="宋体" w:eastAsia="宋体" w:cs="宋体"/>
                <w:b/>
                <w:bCs/>
                <w:color w:val="auto"/>
                <w:kern w:val="0"/>
                <w:sz w:val="24"/>
                <w:highlight w:val="none"/>
                <w:lang w:val="zh-CN"/>
              </w:rPr>
              <w:t>。</w:t>
            </w:r>
          </w:p>
        </w:tc>
      </w:tr>
      <w:tr w14:paraId="477D4B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108" w:hRule="atLeast"/>
        </w:trPr>
        <w:tc>
          <w:tcPr>
            <w:tcW w:w="672" w:type="dxa"/>
            <w:vMerge w:val="continue"/>
            <w:tcBorders>
              <w:tl2br w:val="nil"/>
              <w:tr2bl w:val="nil"/>
            </w:tcBorders>
            <w:vAlign w:val="center"/>
          </w:tcPr>
          <w:p w14:paraId="6EEBE93A">
            <w:pPr>
              <w:keepNext w:val="0"/>
              <w:keepLines w:val="0"/>
              <w:pageBreakBefore w:val="0"/>
              <w:widowControl w:val="0"/>
              <w:numPr>
                <w:ilvl w:val="0"/>
                <w:numId w:val="0"/>
              </w:numPr>
              <w:tabs>
                <w:tab w:val="left" w:pos="0"/>
                <w:tab w:val="center" w:pos="368"/>
              </w:tabs>
              <w:kinsoku/>
              <w:wordWrap/>
              <w:overflowPunct/>
              <w:topLinePunct w:val="0"/>
              <w:autoSpaceDE/>
              <w:autoSpaceDN/>
              <w:bidi w:val="0"/>
              <w:adjustRightInd w:val="0"/>
              <w:snapToGrid w:val="0"/>
              <w:spacing w:line="400" w:lineRule="exact"/>
              <w:ind w:left="210" w:leftChars="0" w:right="105" w:rightChars="50"/>
              <w:jc w:val="both"/>
              <w:textAlignment w:val="auto"/>
              <w:rPr>
                <w:rFonts w:hint="eastAsia" w:ascii="宋体" w:hAnsi="宋体" w:eastAsia="宋体" w:cs="宋体"/>
                <w:color w:val="auto"/>
                <w:sz w:val="24"/>
                <w:highlight w:val="none"/>
              </w:rPr>
            </w:pPr>
          </w:p>
        </w:tc>
        <w:tc>
          <w:tcPr>
            <w:tcW w:w="2209" w:type="dxa"/>
            <w:vMerge w:val="continue"/>
            <w:tcBorders>
              <w:tl2br w:val="nil"/>
              <w:tr2bl w:val="nil"/>
            </w:tcBorders>
            <w:vAlign w:val="center"/>
          </w:tcPr>
          <w:p w14:paraId="05833D5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kern w:val="2"/>
                <w:sz w:val="24"/>
                <w:szCs w:val="24"/>
                <w:highlight w:val="none"/>
                <w:lang w:val="en-US" w:eastAsia="zh-CN" w:bidi="ar-SA"/>
              </w:rPr>
            </w:pPr>
          </w:p>
        </w:tc>
        <w:tc>
          <w:tcPr>
            <w:tcW w:w="6258" w:type="dxa"/>
            <w:tcBorders>
              <w:tl2br w:val="nil"/>
              <w:tr2bl w:val="nil"/>
            </w:tcBorders>
            <w:vAlign w:val="center"/>
          </w:tcPr>
          <w:p w14:paraId="1A64C19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4"/>
                <w:highlight w:val="none"/>
              </w:rPr>
              <w:t>（2）资信证明文件：根据</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文件第</w:t>
            </w:r>
            <w:r>
              <w:rPr>
                <w:rFonts w:hint="eastAsia" w:ascii="宋体" w:hAnsi="宋体" w:eastAsia="宋体" w:cs="宋体"/>
                <w:color w:val="auto"/>
                <w:sz w:val="24"/>
                <w:highlight w:val="none"/>
                <w:lang w:eastAsia="zh-CN"/>
              </w:rPr>
              <w:t>五</w:t>
            </w:r>
            <w:r>
              <w:rPr>
                <w:rFonts w:hint="eastAsia" w:ascii="宋体" w:hAnsi="宋体" w:eastAsia="宋体" w:cs="宋体"/>
                <w:color w:val="auto"/>
                <w:sz w:val="24"/>
                <w:highlight w:val="none"/>
              </w:rPr>
              <w:t>部分评标标准提供。</w:t>
            </w:r>
          </w:p>
        </w:tc>
      </w:tr>
      <w:tr w14:paraId="098782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1173" w:hRule="atLeast"/>
        </w:trPr>
        <w:tc>
          <w:tcPr>
            <w:tcW w:w="672" w:type="dxa"/>
            <w:tcBorders>
              <w:tl2br w:val="nil"/>
              <w:tr2bl w:val="nil"/>
            </w:tcBorders>
            <w:vAlign w:val="center"/>
          </w:tcPr>
          <w:p w14:paraId="6172D1B2">
            <w:pPr>
              <w:keepNext w:val="0"/>
              <w:keepLines w:val="0"/>
              <w:pageBreakBefore w:val="0"/>
              <w:widowControl w:val="0"/>
              <w:numPr>
                <w:ilvl w:val="0"/>
                <w:numId w:val="14"/>
              </w:numPr>
              <w:tabs>
                <w:tab w:val="left" w:pos="0"/>
                <w:tab w:val="center" w:pos="368"/>
                <w:tab w:val="clear" w:pos="42"/>
              </w:tabs>
              <w:kinsoku/>
              <w:wordWrap/>
              <w:overflowPunct/>
              <w:topLinePunct w:val="0"/>
              <w:autoSpaceDE/>
              <w:autoSpaceDN/>
              <w:bidi w:val="0"/>
              <w:adjustRightInd w:val="0"/>
              <w:snapToGrid w:val="0"/>
              <w:spacing w:line="400" w:lineRule="exact"/>
              <w:ind w:left="210" w:leftChars="0" w:right="105" w:rightChars="50" w:firstLine="0" w:firstLineChars="0"/>
              <w:jc w:val="center"/>
              <w:textAlignment w:val="auto"/>
              <w:rPr>
                <w:rFonts w:hint="eastAsia" w:ascii="宋体" w:hAnsi="宋体" w:eastAsia="宋体" w:cs="宋体"/>
                <w:color w:val="auto"/>
                <w:sz w:val="24"/>
                <w:highlight w:val="none"/>
              </w:rPr>
            </w:pPr>
          </w:p>
        </w:tc>
        <w:tc>
          <w:tcPr>
            <w:tcW w:w="2209" w:type="dxa"/>
            <w:tcBorders>
              <w:tl2br w:val="nil"/>
              <w:tr2bl w:val="nil"/>
            </w:tcBorders>
            <w:vAlign w:val="center"/>
          </w:tcPr>
          <w:p w14:paraId="2FB2981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最后报价要求</w:t>
            </w:r>
          </w:p>
        </w:tc>
        <w:tc>
          <w:tcPr>
            <w:tcW w:w="6258" w:type="dxa"/>
            <w:tcBorders>
              <w:tl2br w:val="nil"/>
              <w:tr2bl w:val="nil"/>
            </w:tcBorders>
            <w:vAlign w:val="center"/>
          </w:tcPr>
          <w:p w14:paraId="69798A2E">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有关本项目实施所需的</w:t>
            </w:r>
            <w:r>
              <w:rPr>
                <w:rFonts w:hint="eastAsia" w:ascii="宋体" w:hAnsi="宋体" w:eastAsia="宋体" w:cs="宋体"/>
                <w:color w:val="auto"/>
                <w:sz w:val="24"/>
                <w:highlight w:val="none"/>
              </w:rPr>
              <w:t>全部</w:t>
            </w:r>
            <w:r>
              <w:rPr>
                <w:rFonts w:hint="eastAsia" w:ascii="宋体" w:hAnsi="宋体" w:eastAsia="宋体" w:cs="宋体"/>
                <w:color w:val="auto"/>
                <w:kern w:val="0"/>
                <w:sz w:val="24"/>
                <w:highlight w:val="none"/>
                <w:lang w:val="zh-CN"/>
              </w:rPr>
              <w:t>费用（含税费）均计入最后报价。</w:t>
            </w:r>
            <w:r>
              <w:rPr>
                <w:rFonts w:hint="eastAsia" w:ascii="宋体" w:hAnsi="宋体" w:eastAsia="宋体" w:cs="宋体"/>
                <w:color w:val="auto"/>
                <w:sz w:val="24"/>
                <w:highlight w:val="none"/>
              </w:rPr>
              <w:t>《最后报价一览表》是报价的唯一载体</w:t>
            </w:r>
            <w:r>
              <w:rPr>
                <w:rFonts w:hint="eastAsia" w:ascii="宋体" w:hAnsi="宋体" w:eastAsia="宋体" w:cs="宋体"/>
                <w:color w:val="auto"/>
                <w:kern w:val="0"/>
                <w:sz w:val="24"/>
                <w:highlight w:val="none"/>
                <w:lang w:val="zh-CN"/>
              </w:rPr>
              <w:t>。响应文件中价格全部采用人民币报价。磋商文件未列明，而供应商认为必需的费用也需列入最后报价。</w:t>
            </w:r>
            <w:r>
              <w:rPr>
                <w:rFonts w:hint="eastAsia" w:ascii="宋体" w:hAnsi="宋体" w:eastAsia="宋体" w:cs="宋体"/>
                <w:b/>
                <w:color w:val="auto"/>
                <w:kern w:val="0"/>
                <w:sz w:val="24"/>
                <w:highlight w:val="none"/>
                <w:lang w:val="zh-CN"/>
              </w:rPr>
              <w:t>提醒：验收时检测费用由采购人承担，不包含在最后报价中。</w:t>
            </w:r>
          </w:p>
          <w:p w14:paraId="2692F431">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最后报价出现下列情形的，响应无效：</w:t>
            </w:r>
          </w:p>
          <w:p w14:paraId="08D59F5F">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lang w:val="en-US" w:eastAsia="zh-CN"/>
              </w:rPr>
              <w:t>1）</w:t>
            </w:r>
            <w:r>
              <w:rPr>
                <w:rFonts w:hint="eastAsia" w:ascii="宋体" w:hAnsi="宋体" w:eastAsia="宋体" w:cs="宋体"/>
                <w:b/>
                <w:color w:val="auto"/>
                <w:kern w:val="0"/>
                <w:sz w:val="24"/>
                <w:highlight w:val="none"/>
                <w:lang w:val="zh-CN"/>
              </w:rPr>
              <w:t>出现不是唯一的、有选择性最后报价的；</w:t>
            </w:r>
          </w:p>
          <w:p w14:paraId="4FDA6710">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kern w:val="0"/>
                <w:sz w:val="24"/>
                <w:highlight w:val="none"/>
                <w:lang w:val="zh-CN"/>
              </w:rPr>
            </w:pP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最后报价高于本项目采购预算的;</w:t>
            </w:r>
          </w:p>
          <w:p w14:paraId="7CFA2B74">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最后</w:t>
            </w:r>
            <w:r>
              <w:rPr>
                <w:rFonts w:hint="eastAsia" w:ascii="宋体" w:hAnsi="宋体" w:eastAsia="宋体" w:cs="宋体"/>
                <w:b/>
                <w:color w:val="auto"/>
                <w:kern w:val="0"/>
                <w:sz w:val="24"/>
                <w:highlight w:val="none"/>
              </w:rPr>
              <w:t>报价明显低于其他供应商的最后报价，有可能影响产品质量或者不能诚信履约，且未能按要求提供书面说明或者提交相关证明材料，不能证明其报价合理性的</w:t>
            </w:r>
            <w:r>
              <w:rPr>
                <w:rFonts w:hint="eastAsia" w:ascii="宋体" w:hAnsi="宋体" w:eastAsia="宋体" w:cs="宋体"/>
                <w:b/>
                <w:color w:val="auto"/>
                <w:sz w:val="24"/>
                <w:szCs w:val="21"/>
                <w:highlight w:val="none"/>
              </w:rPr>
              <w:t>;</w:t>
            </w:r>
          </w:p>
          <w:p w14:paraId="183E298D">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4"/>
                <w:szCs w:val="21"/>
                <w:highlight w:val="none"/>
              </w:rPr>
            </w:pP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《最后报价一览表》填写不完整或字迹不能辨认或有漏项的；</w:t>
            </w:r>
          </w:p>
          <w:p w14:paraId="4C5E0008">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kern w:val="0"/>
                <w:sz w:val="24"/>
                <w:highlight w:val="none"/>
                <w:lang w:eastAsia="zh-CN"/>
              </w:rPr>
              <w:t>（</w:t>
            </w:r>
            <w:r>
              <w:rPr>
                <w:rFonts w:hint="eastAsia" w:ascii="宋体" w:hAnsi="宋体" w:eastAsia="宋体" w:cs="宋体"/>
                <w:b/>
                <w:color w:val="auto"/>
                <w:kern w:val="0"/>
                <w:sz w:val="24"/>
                <w:highlight w:val="none"/>
                <w:lang w:val="en-US" w:eastAsia="zh-CN"/>
              </w:rPr>
              <w:t>5）</w:t>
            </w:r>
            <w:r>
              <w:rPr>
                <w:rFonts w:hint="eastAsia" w:ascii="宋体" w:hAnsi="宋体" w:eastAsia="宋体" w:cs="宋体"/>
                <w:b/>
                <w:color w:val="auto"/>
                <w:kern w:val="0"/>
                <w:sz w:val="24"/>
                <w:highlight w:val="none"/>
              </w:rPr>
              <w:t>供应商对根据修正原则修正后的报价不确认的</w:t>
            </w:r>
            <w:r>
              <w:rPr>
                <w:rFonts w:hint="eastAsia" w:ascii="宋体" w:hAnsi="宋体" w:eastAsia="宋体" w:cs="宋体"/>
                <w:b/>
                <w:color w:val="auto"/>
                <w:sz w:val="24"/>
                <w:highlight w:val="none"/>
              </w:rPr>
              <w:t>。</w:t>
            </w:r>
          </w:p>
        </w:tc>
      </w:tr>
      <w:tr w14:paraId="62C43E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337" w:hRule="atLeast"/>
        </w:trPr>
        <w:tc>
          <w:tcPr>
            <w:tcW w:w="672" w:type="dxa"/>
            <w:tcBorders>
              <w:tl2br w:val="nil"/>
              <w:tr2bl w:val="nil"/>
            </w:tcBorders>
            <w:vAlign w:val="center"/>
          </w:tcPr>
          <w:p w14:paraId="07BBFA72">
            <w:pPr>
              <w:keepNext w:val="0"/>
              <w:keepLines w:val="0"/>
              <w:pageBreakBefore w:val="0"/>
              <w:widowControl w:val="0"/>
              <w:numPr>
                <w:ilvl w:val="0"/>
                <w:numId w:val="14"/>
              </w:numPr>
              <w:tabs>
                <w:tab w:val="left" w:pos="0"/>
                <w:tab w:val="center" w:pos="368"/>
                <w:tab w:val="clear" w:pos="42"/>
              </w:tabs>
              <w:kinsoku/>
              <w:wordWrap/>
              <w:overflowPunct/>
              <w:topLinePunct w:val="0"/>
              <w:autoSpaceDE/>
              <w:autoSpaceDN/>
              <w:bidi w:val="0"/>
              <w:adjustRightInd w:val="0"/>
              <w:snapToGrid w:val="0"/>
              <w:spacing w:line="400" w:lineRule="exact"/>
              <w:ind w:left="210" w:leftChars="0" w:right="105" w:rightChars="50" w:firstLine="0" w:firstLineChars="0"/>
              <w:jc w:val="center"/>
              <w:textAlignment w:val="auto"/>
              <w:rPr>
                <w:rFonts w:hint="eastAsia" w:ascii="宋体" w:hAnsi="宋体" w:eastAsia="宋体" w:cs="宋体"/>
                <w:color w:val="auto"/>
                <w:sz w:val="24"/>
                <w:highlight w:val="none"/>
              </w:rPr>
            </w:pPr>
          </w:p>
        </w:tc>
        <w:tc>
          <w:tcPr>
            <w:tcW w:w="2209" w:type="dxa"/>
            <w:tcBorders>
              <w:tl2br w:val="nil"/>
              <w:tr2bl w:val="nil"/>
            </w:tcBorders>
            <w:vAlign w:val="center"/>
          </w:tcPr>
          <w:p w14:paraId="5749F55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258" w:type="dxa"/>
            <w:tcBorders>
              <w:tl2br w:val="nil"/>
              <w:tr2bl w:val="nil"/>
            </w:tcBorders>
            <w:vAlign w:val="center"/>
          </w:tcPr>
          <w:p w14:paraId="6466658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kern w:val="28"/>
                <w:sz w:val="24"/>
                <w:highlight w:val="none"/>
              </w:rPr>
              <w:t>供应商</w:t>
            </w:r>
            <w:r>
              <w:rPr>
                <w:rFonts w:hint="eastAsia" w:ascii="宋体" w:hAnsi="宋体" w:eastAsia="宋体" w:cs="宋体"/>
                <w:snapToGrid w:val="0"/>
                <w:color w:val="auto"/>
                <w:kern w:val="28"/>
                <w:sz w:val="24"/>
                <w:highlight w:val="none"/>
                <w:lang w:eastAsia="zh-CN"/>
              </w:rPr>
              <w:t>成交</w:t>
            </w:r>
            <w:r>
              <w:rPr>
                <w:rFonts w:hint="eastAsia" w:ascii="宋体" w:hAnsi="宋体" w:eastAsia="宋体" w:cs="宋体"/>
                <w:snapToGrid w:val="0"/>
                <w:color w:val="auto"/>
                <w:kern w:val="28"/>
                <w:sz w:val="24"/>
                <w:highlight w:val="none"/>
              </w:rPr>
              <w:t>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69BD0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90" w:hRule="atLeast"/>
        </w:trPr>
        <w:tc>
          <w:tcPr>
            <w:tcW w:w="672" w:type="dxa"/>
            <w:tcBorders>
              <w:tl2br w:val="nil"/>
              <w:tr2bl w:val="nil"/>
            </w:tcBorders>
            <w:vAlign w:val="center"/>
          </w:tcPr>
          <w:p w14:paraId="0BD1044F">
            <w:pPr>
              <w:keepNext w:val="0"/>
              <w:keepLines w:val="0"/>
              <w:pageBreakBefore w:val="0"/>
              <w:widowControl w:val="0"/>
              <w:numPr>
                <w:ilvl w:val="0"/>
                <w:numId w:val="14"/>
              </w:numPr>
              <w:tabs>
                <w:tab w:val="left" w:pos="0"/>
                <w:tab w:val="center" w:pos="368"/>
                <w:tab w:val="clear" w:pos="42"/>
              </w:tabs>
              <w:kinsoku/>
              <w:wordWrap/>
              <w:overflowPunct/>
              <w:topLinePunct w:val="0"/>
              <w:autoSpaceDE/>
              <w:autoSpaceDN/>
              <w:bidi w:val="0"/>
              <w:adjustRightInd w:val="0"/>
              <w:snapToGrid w:val="0"/>
              <w:spacing w:line="400" w:lineRule="exact"/>
              <w:ind w:left="210" w:leftChars="0" w:right="105" w:rightChars="50" w:firstLine="0" w:firstLineChars="0"/>
              <w:jc w:val="center"/>
              <w:textAlignment w:val="auto"/>
              <w:rPr>
                <w:rFonts w:hint="eastAsia" w:ascii="宋体" w:hAnsi="宋体" w:eastAsia="宋体" w:cs="宋体"/>
                <w:color w:val="auto"/>
                <w:sz w:val="24"/>
                <w:highlight w:val="none"/>
              </w:rPr>
            </w:pPr>
          </w:p>
        </w:tc>
        <w:tc>
          <w:tcPr>
            <w:tcW w:w="2209" w:type="dxa"/>
            <w:tcBorders>
              <w:tl2br w:val="nil"/>
              <w:tr2bl w:val="nil"/>
            </w:tcBorders>
            <w:vAlign w:val="center"/>
          </w:tcPr>
          <w:p w14:paraId="1C5C91F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备份</w:t>
            </w: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 xml:space="preserve">文件送达地点和签收人员 </w:t>
            </w:r>
          </w:p>
        </w:tc>
        <w:tc>
          <w:tcPr>
            <w:tcW w:w="6258" w:type="dxa"/>
            <w:tcBorders>
              <w:tl2br w:val="nil"/>
              <w:tr2bl w:val="nil"/>
            </w:tcBorders>
            <w:vAlign w:val="center"/>
          </w:tcPr>
          <w:p w14:paraId="1F4D918F">
            <w:pPr>
              <w:pStyle w:val="31"/>
              <w:spacing w:before="48" w:beforeLines="20" w:after="48" w:afterLines="20" w:line="360" w:lineRule="auto"/>
              <w:ind w:left="42" w:leftChars="20" w:right="42" w:rightChars="20"/>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备份投标文件送达地点：杭州市文三路90号东部软件园1号楼3楼303室；</w:t>
            </w:r>
          </w:p>
          <w:p w14:paraId="4EF0CD1A">
            <w:pPr>
              <w:pStyle w:val="31"/>
              <w:spacing w:before="48" w:beforeLines="20" w:after="48" w:afterLines="20" w:line="360" w:lineRule="auto"/>
              <w:ind w:left="42" w:leftChars="20" w:right="42" w:rightChars="20"/>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备份投标文件签收联系人：钱妍；联系电话： 0571-81061810 。</w:t>
            </w:r>
          </w:p>
          <w:p w14:paraId="61EF5D2D">
            <w:pPr>
              <w:pStyle w:val="31"/>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28"/>
                <w:sz w:val="24"/>
                <w:szCs w:val="20"/>
                <w:highlight w:val="none"/>
                <w:lang w:val="en-US" w:eastAsia="zh-CN" w:bidi="ar-SA"/>
              </w:rPr>
            </w:pP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提交备份</w:t>
            </w:r>
            <w:r>
              <w:rPr>
                <w:rFonts w:hint="eastAsia" w:ascii="宋体" w:hAnsi="宋体" w:eastAsia="宋体" w:cs="宋体"/>
                <w:b/>
                <w:color w:val="auto"/>
                <w:sz w:val="24"/>
                <w:szCs w:val="24"/>
                <w:highlight w:val="none"/>
                <w:lang w:eastAsia="zh-CN"/>
              </w:rPr>
              <w:t>响应</w:t>
            </w:r>
            <w:r>
              <w:rPr>
                <w:rFonts w:hint="eastAsia" w:ascii="宋体" w:hAnsi="宋体" w:eastAsia="宋体" w:cs="宋体"/>
                <w:b/>
                <w:color w:val="auto"/>
                <w:sz w:val="24"/>
                <w:szCs w:val="24"/>
                <w:highlight w:val="none"/>
              </w:rPr>
              <w:t>文件。</w:t>
            </w:r>
          </w:p>
        </w:tc>
      </w:tr>
      <w:tr w14:paraId="4BC669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1674" w:hRule="atLeast"/>
        </w:trPr>
        <w:tc>
          <w:tcPr>
            <w:tcW w:w="672" w:type="dxa"/>
            <w:tcBorders>
              <w:tl2br w:val="nil"/>
              <w:tr2bl w:val="nil"/>
            </w:tcBorders>
            <w:vAlign w:val="center"/>
          </w:tcPr>
          <w:p w14:paraId="5A3E966A">
            <w:pPr>
              <w:keepNext w:val="0"/>
              <w:keepLines w:val="0"/>
              <w:pageBreakBefore w:val="0"/>
              <w:widowControl w:val="0"/>
              <w:numPr>
                <w:ilvl w:val="0"/>
                <w:numId w:val="14"/>
              </w:numPr>
              <w:tabs>
                <w:tab w:val="left" w:pos="0"/>
                <w:tab w:val="center" w:pos="368"/>
                <w:tab w:val="clear" w:pos="42"/>
              </w:tabs>
              <w:kinsoku/>
              <w:wordWrap/>
              <w:overflowPunct/>
              <w:topLinePunct w:val="0"/>
              <w:autoSpaceDE/>
              <w:autoSpaceDN/>
              <w:bidi w:val="0"/>
              <w:adjustRightInd w:val="0"/>
              <w:snapToGrid w:val="0"/>
              <w:spacing w:line="400" w:lineRule="exact"/>
              <w:ind w:left="210" w:leftChars="0" w:right="105" w:rightChars="50" w:firstLine="0" w:firstLineChars="0"/>
              <w:jc w:val="center"/>
              <w:textAlignment w:val="auto"/>
              <w:rPr>
                <w:rFonts w:hint="eastAsia" w:ascii="宋体" w:hAnsi="宋体" w:eastAsia="宋体" w:cs="宋体"/>
                <w:color w:val="auto"/>
                <w:sz w:val="24"/>
                <w:highlight w:val="none"/>
              </w:rPr>
            </w:pPr>
          </w:p>
        </w:tc>
        <w:tc>
          <w:tcPr>
            <w:tcW w:w="2209" w:type="dxa"/>
            <w:tcBorders>
              <w:tl2br w:val="nil"/>
              <w:tr2bl w:val="nil"/>
            </w:tcBorders>
            <w:vAlign w:val="center"/>
          </w:tcPr>
          <w:p w14:paraId="431C6B8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采购代理服务费</w:t>
            </w:r>
          </w:p>
        </w:tc>
        <w:tc>
          <w:tcPr>
            <w:tcW w:w="6258" w:type="dxa"/>
            <w:tcBorders>
              <w:tl2br w:val="nil"/>
              <w:tr2bl w:val="nil"/>
            </w:tcBorders>
            <w:vAlign w:val="center"/>
          </w:tcPr>
          <w:p w14:paraId="26685C5B">
            <w:pPr>
              <w:pStyle w:val="31"/>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28"/>
                <w:sz w:val="24"/>
                <w:szCs w:val="24"/>
                <w:highlight w:val="none"/>
                <w:lang w:val="en-US" w:eastAsia="zh-CN"/>
              </w:rPr>
            </w:pPr>
            <w:r>
              <w:rPr>
                <w:rFonts w:hint="eastAsia" w:ascii="宋体" w:hAnsi="宋体" w:eastAsia="宋体" w:cs="宋体"/>
                <w:color w:val="auto"/>
                <w:kern w:val="28"/>
                <w:sz w:val="24"/>
                <w:szCs w:val="24"/>
                <w:highlight w:val="none"/>
                <w:lang w:val="en-US" w:eastAsia="zh-CN"/>
              </w:rPr>
              <w:t>本项目的采购代理服务费由成交供应商支付。</w:t>
            </w:r>
          </w:p>
          <w:p w14:paraId="5A6B5499">
            <w:pPr>
              <w:pStyle w:val="31"/>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28"/>
                <w:sz w:val="24"/>
                <w:szCs w:val="24"/>
                <w:highlight w:val="none"/>
                <w:lang w:val="en-US" w:eastAsia="zh-CN"/>
              </w:rPr>
            </w:pPr>
            <w:r>
              <w:rPr>
                <w:rFonts w:hint="eastAsia" w:ascii="宋体" w:hAnsi="宋体" w:eastAsia="宋体" w:cs="宋体"/>
                <w:color w:val="auto"/>
                <w:kern w:val="28"/>
                <w:sz w:val="24"/>
                <w:szCs w:val="24"/>
                <w:highlight w:val="none"/>
                <w:lang w:val="en-US" w:eastAsia="zh-CN"/>
              </w:rPr>
              <w:t>计费标准：</w:t>
            </w:r>
          </w:p>
          <w:p w14:paraId="11E1E20B">
            <w:pPr>
              <w:pStyle w:val="31"/>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28"/>
                <w:sz w:val="24"/>
                <w:szCs w:val="24"/>
                <w:highlight w:val="none"/>
                <w:lang w:val="en-US" w:eastAsia="zh-CN"/>
              </w:rPr>
            </w:pPr>
            <w:r>
              <w:rPr>
                <w:rFonts w:hint="eastAsia" w:ascii="宋体" w:hAnsi="宋体" w:eastAsia="宋体" w:cs="宋体"/>
                <w:color w:val="auto"/>
                <w:kern w:val="28"/>
                <w:sz w:val="24"/>
                <w:szCs w:val="24"/>
                <w:highlight w:val="none"/>
                <w:lang w:val="en-US" w:eastAsia="zh-CN"/>
              </w:rPr>
              <w:t>本项目采购代理服务费用按照《招标代理服务收费管理暂行办法》(计价格【2002】1980号)及《发改办价格［2003］857号》文件中服务类收费标准的80%计算，以成交金额为计费基数，按差额定率累进法计算，分段费率具体如下：</w:t>
            </w:r>
          </w:p>
          <w:tbl>
            <w:tblPr>
              <w:tblStyle w:val="60"/>
              <w:tblW w:w="5139" w:type="dxa"/>
              <w:tblInd w:w="35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3154"/>
              <w:gridCol w:w="1985"/>
            </w:tblGrid>
            <w:tr w14:paraId="4FC3BA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12" w:hRule="atLeast"/>
              </w:trPr>
              <w:tc>
                <w:tcPr>
                  <w:tcW w:w="3154" w:type="dxa"/>
                  <w:vMerge w:val="restart"/>
                  <w:noWrap w:val="0"/>
                  <w:tcMar>
                    <w:top w:w="0" w:type="dxa"/>
                    <w:left w:w="108" w:type="dxa"/>
                    <w:bottom w:w="0" w:type="dxa"/>
                    <w:right w:w="108" w:type="dxa"/>
                  </w:tcMar>
                  <w:vAlign w:val="center"/>
                </w:tcPr>
                <w:p w14:paraId="61A0FD7C">
                  <w:pPr>
                    <w:pStyle w:val="23"/>
                    <w:spacing w:line="240" w:lineRule="auto"/>
                    <w:ind w:left="0" w:leftChars="0" w:firstLine="0" w:firstLineChars="0"/>
                    <w:jc w:val="center"/>
                    <w:rPr>
                      <w:rFonts w:hint="eastAsia" w:ascii="宋体" w:hAnsi="宋体" w:eastAsia="宋体" w:cs="宋体"/>
                      <w:color w:val="auto"/>
                      <w:kern w:val="28"/>
                      <w:sz w:val="24"/>
                      <w:szCs w:val="24"/>
                      <w:highlight w:val="none"/>
                      <w:lang w:val="en-US" w:eastAsia="zh-CN" w:bidi="ar-SA"/>
                    </w:rPr>
                  </w:pPr>
                  <w:r>
                    <w:rPr>
                      <w:rFonts w:hint="eastAsia" w:ascii="宋体" w:hAnsi="宋体" w:eastAsia="宋体" w:cs="宋体"/>
                      <w:color w:val="auto"/>
                      <w:kern w:val="28"/>
                      <w:sz w:val="24"/>
                      <w:szCs w:val="24"/>
                      <w:highlight w:val="none"/>
                      <w:lang w:val="en-US" w:eastAsia="zh-CN" w:bidi="ar-SA"/>
                    </w:rPr>
                    <w:t>中标金额（万元）</w:t>
                  </w:r>
                </w:p>
              </w:tc>
              <w:tc>
                <w:tcPr>
                  <w:tcW w:w="1985" w:type="dxa"/>
                  <w:vMerge w:val="restart"/>
                  <w:noWrap w:val="0"/>
                  <w:vAlign w:val="center"/>
                </w:tcPr>
                <w:p w14:paraId="5297E0BE">
                  <w:pPr>
                    <w:pStyle w:val="23"/>
                    <w:spacing w:line="240" w:lineRule="auto"/>
                    <w:ind w:left="0" w:leftChars="0" w:firstLine="0" w:firstLineChars="0"/>
                    <w:jc w:val="center"/>
                    <w:rPr>
                      <w:rFonts w:hint="eastAsia" w:ascii="宋体" w:hAnsi="宋体" w:eastAsia="宋体" w:cs="宋体"/>
                      <w:color w:val="auto"/>
                      <w:kern w:val="28"/>
                      <w:sz w:val="24"/>
                      <w:szCs w:val="24"/>
                      <w:highlight w:val="none"/>
                      <w:lang w:val="en-US" w:eastAsia="zh-CN" w:bidi="ar-SA"/>
                    </w:rPr>
                  </w:pPr>
                  <w:r>
                    <w:rPr>
                      <w:rFonts w:hint="eastAsia" w:ascii="宋体" w:hAnsi="宋体" w:eastAsia="宋体" w:cs="宋体"/>
                      <w:color w:val="auto"/>
                      <w:kern w:val="28"/>
                      <w:sz w:val="24"/>
                      <w:szCs w:val="24"/>
                      <w:highlight w:val="none"/>
                      <w:lang w:val="en-US" w:eastAsia="zh-CN" w:bidi="ar-SA"/>
                    </w:rPr>
                    <w:t>分段费率</w:t>
                  </w:r>
                </w:p>
              </w:tc>
            </w:tr>
            <w:tr w14:paraId="1F6321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12" w:hRule="atLeast"/>
              </w:trPr>
              <w:tc>
                <w:tcPr>
                  <w:tcW w:w="3154" w:type="dxa"/>
                  <w:vMerge w:val="continue"/>
                  <w:noWrap w:val="0"/>
                  <w:vAlign w:val="center"/>
                </w:tcPr>
                <w:p w14:paraId="44A4BAAE">
                  <w:pPr>
                    <w:pStyle w:val="23"/>
                    <w:spacing w:line="240" w:lineRule="auto"/>
                    <w:ind w:firstLine="480" w:firstLineChars="200"/>
                    <w:jc w:val="center"/>
                    <w:rPr>
                      <w:rFonts w:hint="eastAsia" w:ascii="宋体" w:hAnsi="宋体" w:eastAsia="宋体" w:cs="宋体"/>
                      <w:color w:val="auto"/>
                      <w:kern w:val="28"/>
                      <w:sz w:val="24"/>
                      <w:szCs w:val="24"/>
                      <w:highlight w:val="none"/>
                      <w:lang w:val="en-US" w:eastAsia="zh-CN" w:bidi="ar-SA"/>
                    </w:rPr>
                  </w:pPr>
                </w:p>
              </w:tc>
              <w:tc>
                <w:tcPr>
                  <w:tcW w:w="1985" w:type="dxa"/>
                  <w:vMerge w:val="continue"/>
                  <w:noWrap w:val="0"/>
                  <w:vAlign w:val="center"/>
                </w:tcPr>
                <w:p w14:paraId="5010F0F0">
                  <w:pPr>
                    <w:pStyle w:val="23"/>
                    <w:spacing w:line="240" w:lineRule="auto"/>
                    <w:ind w:firstLine="480" w:firstLineChars="200"/>
                    <w:jc w:val="center"/>
                    <w:rPr>
                      <w:rFonts w:hint="eastAsia" w:ascii="宋体" w:hAnsi="宋体" w:eastAsia="宋体" w:cs="宋体"/>
                      <w:color w:val="auto"/>
                      <w:kern w:val="28"/>
                      <w:sz w:val="24"/>
                      <w:szCs w:val="24"/>
                      <w:highlight w:val="none"/>
                      <w:lang w:val="en-US" w:eastAsia="zh-CN" w:bidi="ar-SA"/>
                    </w:rPr>
                  </w:pPr>
                </w:p>
              </w:tc>
            </w:tr>
            <w:tr w14:paraId="4564E8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64" w:hRule="atLeast"/>
              </w:trPr>
              <w:tc>
                <w:tcPr>
                  <w:tcW w:w="3154" w:type="dxa"/>
                  <w:noWrap w:val="0"/>
                  <w:tcMar>
                    <w:top w:w="0" w:type="dxa"/>
                    <w:left w:w="108" w:type="dxa"/>
                    <w:bottom w:w="0" w:type="dxa"/>
                    <w:right w:w="108" w:type="dxa"/>
                  </w:tcMar>
                  <w:vAlign w:val="center"/>
                </w:tcPr>
                <w:p w14:paraId="0C1CD3DD">
                  <w:pPr>
                    <w:pStyle w:val="23"/>
                    <w:spacing w:line="240" w:lineRule="auto"/>
                    <w:ind w:left="0" w:leftChars="0" w:firstLine="0" w:firstLineChars="0"/>
                    <w:jc w:val="center"/>
                    <w:rPr>
                      <w:rFonts w:hint="eastAsia" w:ascii="宋体" w:hAnsi="宋体" w:eastAsia="宋体" w:cs="宋体"/>
                      <w:color w:val="auto"/>
                      <w:kern w:val="28"/>
                      <w:sz w:val="24"/>
                      <w:szCs w:val="24"/>
                      <w:highlight w:val="none"/>
                      <w:lang w:val="en-US" w:eastAsia="zh-CN" w:bidi="ar-SA"/>
                    </w:rPr>
                  </w:pPr>
                  <w:r>
                    <w:rPr>
                      <w:rFonts w:hint="eastAsia" w:ascii="宋体" w:hAnsi="宋体" w:eastAsia="宋体" w:cs="宋体"/>
                      <w:color w:val="auto"/>
                      <w:kern w:val="28"/>
                      <w:sz w:val="24"/>
                      <w:szCs w:val="24"/>
                      <w:highlight w:val="none"/>
                      <w:lang w:val="en-US" w:eastAsia="zh-CN" w:bidi="ar-SA"/>
                    </w:rPr>
                    <w:t>100以下</w:t>
                  </w:r>
                </w:p>
              </w:tc>
              <w:tc>
                <w:tcPr>
                  <w:tcW w:w="1985" w:type="dxa"/>
                  <w:noWrap w:val="0"/>
                  <w:vAlign w:val="top"/>
                </w:tcPr>
                <w:p w14:paraId="17E608D4">
                  <w:pPr>
                    <w:adjustRightInd w:val="0"/>
                    <w:snapToGrid w:val="0"/>
                    <w:spacing w:line="336" w:lineRule="auto"/>
                    <w:jc w:val="center"/>
                    <w:rPr>
                      <w:rFonts w:hint="eastAsia" w:ascii="宋体" w:hAnsi="宋体" w:eastAsia="宋体" w:cs="宋体"/>
                      <w:color w:val="auto"/>
                      <w:kern w:val="28"/>
                      <w:sz w:val="24"/>
                      <w:szCs w:val="24"/>
                      <w:highlight w:val="none"/>
                      <w:lang w:val="en-US" w:eastAsia="zh-CN" w:bidi="ar-SA"/>
                    </w:rPr>
                  </w:pPr>
                  <w:r>
                    <w:rPr>
                      <w:rFonts w:hint="eastAsia" w:ascii="宋体" w:hAnsi="宋体" w:eastAsia="宋体" w:cs="宋体"/>
                      <w:color w:val="auto"/>
                      <w:kern w:val="28"/>
                      <w:sz w:val="24"/>
                      <w:szCs w:val="24"/>
                      <w:highlight w:val="none"/>
                      <w:lang w:val="en-US" w:eastAsia="zh-CN" w:bidi="ar-SA"/>
                    </w:rPr>
                    <w:t>1.2%</w:t>
                  </w:r>
                </w:p>
              </w:tc>
            </w:tr>
            <w:tr w14:paraId="53AB62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72" w:hRule="atLeast"/>
              </w:trPr>
              <w:tc>
                <w:tcPr>
                  <w:tcW w:w="3154" w:type="dxa"/>
                  <w:noWrap w:val="0"/>
                  <w:tcMar>
                    <w:top w:w="0" w:type="dxa"/>
                    <w:left w:w="108" w:type="dxa"/>
                    <w:bottom w:w="0" w:type="dxa"/>
                    <w:right w:w="108" w:type="dxa"/>
                  </w:tcMar>
                  <w:vAlign w:val="center"/>
                </w:tcPr>
                <w:p w14:paraId="256D7EE3">
                  <w:pPr>
                    <w:pStyle w:val="23"/>
                    <w:spacing w:line="240" w:lineRule="auto"/>
                    <w:ind w:left="0" w:leftChars="0" w:firstLine="0" w:firstLineChars="0"/>
                    <w:jc w:val="center"/>
                    <w:rPr>
                      <w:rFonts w:hint="eastAsia" w:ascii="宋体" w:hAnsi="宋体" w:eastAsia="宋体" w:cs="宋体"/>
                      <w:color w:val="auto"/>
                      <w:kern w:val="28"/>
                      <w:sz w:val="24"/>
                      <w:szCs w:val="24"/>
                      <w:highlight w:val="none"/>
                      <w:lang w:val="en-US" w:eastAsia="zh-CN" w:bidi="ar-SA"/>
                    </w:rPr>
                  </w:pPr>
                  <w:r>
                    <w:rPr>
                      <w:rFonts w:hint="eastAsia" w:ascii="宋体" w:hAnsi="宋体" w:eastAsia="宋体" w:cs="宋体"/>
                      <w:color w:val="auto"/>
                      <w:kern w:val="28"/>
                      <w:sz w:val="24"/>
                      <w:szCs w:val="24"/>
                      <w:highlight w:val="none"/>
                      <w:lang w:val="en-US" w:eastAsia="zh-CN" w:bidi="ar-SA"/>
                    </w:rPr>
                    <w:t>100（含）-500</w:t>
                  </w:r>
                </w:p>
              </w:tc>
              <w:tc>
                <w:tcPr>
                  <w:tcW w:w="1985" w:type="dxa"/>
                  <w:noWrap w:val="0"/>
                  <w:vAlign w:val="top"/>
                </w:tcPr>
                <w:p w14:paraId="0963D960">
                  <w:pPr>
                    <w:adjustRightInd w:val="0"/>
                    <w:snapToGrid w:val="0"/>
                    <w:spacing w:line="336" w:lineRule="auto"/>
                    <w:jc w:val="center"/>
                    <w:rPr>
                      <w:rFonts w:hint="eastAsia" w:ascii="宋体" w:hAnsi="宋体" w:eastAsia="宋体" w:cs="宋体"/>
                      <w:color w:val="auto"/>
                      <w:kern w:val="28"/>
                      <w:sz w:val="24"/>
                      <w:szCs w:val="24"/>
                      <w:highlight w:val="none"/>
                      <w:lang w:val="en-US" w:eastAsia="zh-CN" w:bidi="ar-SA"/>
                    </w:rPr>
                  </w:pPr>
                  <w:r>
                    <w:rPr>
                      <w:rFonts w:hint="eastAsia" w:ascii="宋体" w:hAnsi="宋体" w:eastAsia="宋体" w:cs="宋体"/>
                      <w:color w:val="auto"/>
                      <w:kern w:val="28"/>
                      <w:sz w:val="24"/>
                      <w:szCs w:val="24"/>
                      <w:highlight w:val="none"/>
                      <w:lang w:val="en-US" w:eastAsia="zh-CN" w:bidi="ar-SA"/>
                    </w:rPr>
                    <w:t>0.64%</w:t>
                  </w:r>
                </w:p>
              </w:tc>
            </w:tr>
          </w:tbl>
          <w:p w14:paraId="64D0CF08">
            <w:pPr>
              <w:pStyle w:val="31"/>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28"/>
                <w:sz w:val="24"/>
                <w:szCs w:val="24"/>
                <w:highlight w:val="none"/>
                <w:lang w:val="en-US" w:eastAsia="zh-CN"/>
              </w:rPr>
            </w:pPr>
            <w:r>
              <w:rPr>
                <w:rFonts w:hint="eastAsia" w:ascii="宋体" w:hAnsi="宋体" w:eastAsia="宋体" w:cs="宋体"/>
                <w:color w:val="auto"/>
                <w:kern w:val="28"/>
                <w:sz w:val="24"/>
                <w:szCs w:val="24"/>
                <w:highlight w:val="none"/>
                <w:lang w:val="en-US" w:eastAsia="zh-CN"/>
              </w:rPr>
              <w:t>3.其他约定：单个项目或标项按以上约定的收费标准计算代理服务费不足人民币5000元时，按人民币5000元计取。</w:t>
            </w:r>
          </w:p>
          <w:p w14:paraId="4E8D5F27">
            <w:pPr>
              <w:pStyle w:val="31"/>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结算方式及时间为：</w:t>
            </w:r>
          </w:p>
          <w:p w14:paraId="1CEA6EE1">
            <w:pPr>
              <w:pStyle w:val="31"/>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付款账号：</w:t>
            </w:r>
          </w:p>
          <w:p w14:paraId="444AA22A">
            <w:pPr>
              <w:pStyle w:val="31"/>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28"/>
                <w:sz w:val="24"/>
                <w:szCs w:val="24"/>
                <w:highlight w:val="none"/>
                <w:lang w:val="en-US" w:eastAsia="zh-CN"/>
              </w:rPr>
            </w:pPr>
            <w:r>
              <w:rPr>
                <w:rFonts w:hint="eastAsia" w:ascii="宋体" w:hAnsi="宋体" w:eastAsia="宋体" w:cs="宋体"/>
                <w:color w:val="auto"/>
                <w:kern w:val="28"/>
                <w:sz w:val="24"/>
                <w:szCs w:val="24"/>
                <w:highlight w:val="none"/>
              </w:rPr>
              <w:t>账户名称</w:t>
            </w:r>
            <w:r>
              <w:rPr>
                <w:rFonts w:hint="eastAsia" w:ascii="宋体" w:hAnsi="宋体" w:eastAsia="宋体" w:cs="宋体"/>
                <w:color w:val="auto"/>
                <w:kern w:val="28"/>
                <w:sz w:val="24"/>
                <w:szCs w:val="24"/>
                <w:highlight w:val="none"/>
                <w:lang w:val="en-US" w:eastAsia="zh-CN"/>
              </w:rPr>
              <w:t xml:space="preserve">：浙江国际招投标有限公司 </w:t>
            </w:r>
          </w:p>
          <w:p w14:paraId="2CA47AE3">
            <w:pPr>
              <w:pStyle w:val="31"/>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28"/>
                <w:sz w:val="24"/>
                <w:szCs w:val="24"/>
                <w:highlight w:val="none"/>
                <w:lang w:val="en-US" w:eastAsia="zh-CN"/>
              </w:rPr>
            </w:pPr>
            <w:r>
              <w:rPr>
                <w:rFonts w:hint="eastAsia" w:ascii="宋体" w:hAnsi="宋体" w:eastAsia="宋体" w:cs="宋体"/>
                <w:color w:val="auto"/>
                <w:kern w:val="28"/>
                <w:sz w:val="24"/>
                <w:szCs w:val="24"/>
                <w:highlight w:val="none"/>
                <w:lang w:val="en-US" w:eastAsia="zh-CN"/>
              </w:rPr>
              <w:t>开户银行：工商银行杭州武林支行</w:t>
            </w:r>
          </w:p>
          <w:p w14:paraId="5CE93A15">
            <w:pPr>
              <w:pStyle w:val="31"/>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8"/>
                <w:sz w:val="24"/>
                <w:szCs w:val="24"/>
                <w:highlight w:val="none"/>
                <w:lang w:val="en-US" w:eastAsia="zh-CN"/>
              </w:rPr>
              <w:t>账号：1202021209906782015</w:t>
            </w:r>
            <w:r>
              <w:rPr>
                <w:rFonts w:hint="eastAsia" w:ascii="宋体" w:hAnsi="宋体" w:eastAsia="宋体" w:cs="宋体"/>
                <w:color w:val="auto"/>
                <w:kern w:val="28"/>
                <w:sz w:val="24"/>
                <w:szCs w:val="24"/>
                <w:highlight w:val="none"/>
                <w:lang w:val="en-US" w:eastAsia="zh-CN"/>
              </w:rPr>
              <w:br w:type="textWrapping"/>
            </w:r>
            <w:r>
              <w:rPr>
                <w:rFonts w:hint="eastAsia" w:ascii="宋体" w:hAnsi="宋体" w:eastAsia="宋体" w:cs="宋体"/>
                <w:color w:val="auto"/>
                <w:kern w:val="28"/>
                <w:sz w:val="24"/>
                <w:szCs w:val="24"/>
                <w:highlight w:val="none"/>
                <w:lang w:val="en-US" w:eastAsia="zh-CN"/>
              </w:rPr>
              <w:t>说明：中标、成交供应商放弃中标、成交资格导致重新采购的，应当承担支付代理费和专家评审费等费用在内的赔偿责任。</w:t>
            </w:r>
          </w:p>
        </w:tc>
      </w:tr>
      <w:tr w14:paraId="40F979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88" w:hRule="atLeast"/>
        </w:trPr>
        <w:tc>
          <w:tcPr>
            <w:tcW w:w="672" w:type="dxa"/>
            <w:vMerge w:val="restart"/>
            <w:tcBorders>
              <w:tl2br w:val="nil"/>
              <w:tr2bl w:val="nil"/>
            </w:tcBorders>
            <w:vAlign w:val="center"/>
          </w:tcPr>
          <w:p w14:paraId="65065A25">
            <w:pPr>
              <w:keepNext w:val="0"/>
              <w:keepLines w:val="0"/>
              <w:pageBreakBefore w:val="0"/>
              <w:widowControl w:val="0"/>
              <w:numPr>
                <w:ilvl w:val="0"/>
                <w:numId w:val="14"/>
              </w:numPr>
              <w:tabs>
                <w:tab w:val="left" w:pos="0"/>
                <w:tab w:val="center" w:pos="368"/>
                <w:tab w:val="clear" w:pos="42"/>
              </w:tabs>
              <w:kinsoku/>
              <w:wordWrap/>
              <w:overflowPunct/>
              <w:topLinePunct w:val="0"/>
              <w:autoSpaceDE/>
              <w:autoSpaceDN/>
              <w:bidi w:val="0"/>
              <w:adjustRightInd w:val="0"/>
              <w:snapToGrid w:val="0"/>
              <w:spacing w:line="400" w:lineRule="exact"/>
              <w:ind w:left="210" w:leftChars="0" w:right="105" w:rightChars="50" w:firstLine="0" w:firstLineChars="0"/>
              <w:jc w:val="center"/>
              <w:textAlignment w:val="auto"/>
              <w:rPr>
                <w:rFonts w:hint="eastAsia" w:ascii="宋体" w:hAnsi="宋体" w:eastAsia="宋体" w:cs="宋体"/>
                <w:color w:val="auto"/>
                <w:sz w:val="24"/>
                <w:highlight w:val="none"/>
              </w:rPr>
            </w:pPr>
          </w:p>
        </w:tc>
        <w:tc>
          <w:tcPr>
            <w:tcW w:w="2209" w:type="dxa"/>
            <w:vMerge w:val="restart"/>
            <w:tcBorders>
              <w:tl2br w:val="nil"/>
              <w:tr2bl w:val="nil"/>
            </w:tcBorders>
            <w:vAlign w:val="center"/>
          </w:tcPr>
          <w:p w14:paraId="5B0CE5B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lang w:eastAsia="zh-CN"/>
              </w:rPr>
              <w:t>联合体投标说明</w:t>
            </w:r>
          </w:p>
          <w:p w14:paraId="09F7A3E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p>
        </w:tc>
        <w:tc>
          <w:tcPr>
            <w:tcW w:w="6258" w:type="dxa"/>
            <w:tcBorders>
              <w:tl2br w:val="nil"/>
              <w:tr2bl w:val="nil"/>
            </w:tcBorders>
            <w:vAlign w:val="center"/>
          </w:tcPr>
          <w:p w14:paraId="7DD6944F">
            <w:pPr>
              <w:pStyle w:val="31"/>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28"/>
                <w:sz w:val="24"/>
                <w:szCs w:val="24"/>
                <w:highlight w:val="none"/>
                <w:lang w:val="en-US" w:eastAsia="zh-CN"/>
              </w:rPr>
            </w:pPr>
            <w:r>
              <w:rPr>
                <w:rFonts w:hint="eastAsia" w:ascii="宋体" w:hAnsi="宋体" w:eastAsia="宋体" w:cs="宋体"/>
                <w:color w:val="auto"/>
                <w:kern w:val="28"/>
                <w:sz w:val="24"/>
                <w:szCs w:val="24"/>
                <w:highlight w:val="none"/>
                <w:lang w:val="en-US" w:eastAsia="zh-CN"/>
              </w:rPr>
              <w:t>业绩证明材料</w:t>
            </w:r>
          </w:p>
          <w:p w14:paraId="05B622AD">
            <w:pPr>
              <w:pStyle w:val="31"/>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28"/>
                <w:sz w:val="24"/>
                <w:szCs w:val="24"/>
                <w:highlight w:val="none"/>
                <w:lang w:val="en-US" w:eastAsia="zh-CN"/>
              </w:rPr>
            </w:pPr>
            <w:r>
              <w:rPr>
                <w:rFonts w:hint="eastAsia" w:ascii="宋体" w:hAnsi="宋体" w:eastAsia="宋体" w:cs="宋体"/>
                <w:color w:val="auto"/>
                <w:kern w:val="28"/>
                <w:sz w:val="24"/>
                <w:szCs w:val="24"/>
                <w:highlight w:val="none"/>
                <w:lang w:val="en-US" w:eastAsia="zh-CN"/>
              </w:rPr>
              <w:t>☐联合体投标的，按联合体协议约定的分工内容出具相应的业绩证明材料。承担相同工作的各方或工作内容存在部分相同的，业绩数量以提供材料较少的一方为准。</w:t>
            </w:r>
          </w:p>
          <w:p w14:paraId="0DE0F606">
            <w:pPr>
              <w:pStyle w:val="31"/>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28"/>
                <w:sz w:val="24"/>
                <w:szCs w:val="24"/>
                <w:highlight w:val="none"/>
                <w:lang w:val="en-US" w:eastAsia="zh-CN"/>
              </w:rPr>
            </w:pPr>
            <w:sdt>
              <w:sdtPr>
                <w:rPr>
                  <w:rFonts w:hint="eastAsia" w:ascii="宋体" w:hAnsi="宋体" w:eastAsia="宋体" w:cs="宋体"/>
                  <w:color w:val="auto"/>
                  <w:sz w:val="24"/>
                  <w:szCs w:val="24"/>
                  <w:highlight w:val="none"/>
                </w:rPr>
                <w:id w:val="147470629"/>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kern w:val="28"/>
                <w:sz w:val="24"/>
                <w:szCs w:val="24"/>
                <w:highlight w:val="none"/>
                <w:lang w:val="en-US" w:eastAsia="zh-CN"/>
              </w:rPr>
              <w:t>联合体投标的，由联合体牵头方出具相应的业绩证明材料。</w:t>
            </w:r>
          </w:p>
          <w:p w14:paraId="03A529F9">
            <w:pPr>
              <w:pStyle w:val="31"/>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28"/>
                <w:sz w:val="24"/>
                <w:szCs w:val="24"/>
                <w:highlight w:val="none"/>
                <w:lang w:val="en-US" w:eastAsia="zh-CN" w:bidi="ar-SA"/>
              </w:rPr>
            </w:pPr>
            <w:r>
              <w:rPr>
                <w:rFonts w:hint="eastAsia" w:ascii="宋体" w:hAnsi="宋体" w:eastAsia="宋体" w:cs="宋体"/>
                <w:color w:val="auto"/>
                <w:kern w:val="28"/>
                <w:sz w:val="24"/>
                <w:szCs w:val="24"/>
                <w:highlight w:val="none"/>
                <w:lang w:val="en-US" w:eastAsia="zh-CN"/>
              </w:rPr>
              <w:t>☐其他规定：</w:t>
            </w:r>
            <w:r>
              <w:rPr>
                <w:rFonts w:hint="eastAsia" w:ascii="宋体" w:hAnsi="宋体" w:eastAsia="宋体" w:cs="宋体"/>
                <w:color w:val="auto"/>
                <w:kern w:val="28"/>
                <w:sz w:val="24"/>
                <w:szCs w:val="24"/>
                <w:highlight w:val="none"/>
                <w:u w:val="single"/>
                <w:lang w:val="en-US" w:eastAsia="zh-CN"/>
              </w:rPr>
              <w:t xml:space="preserve">                 </w:t>
            </w:r>
          </w:p>
        </w:tc>
      </w:tr>
      <w:tr w14:paraId="1FBD0E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88" w:hRule="atLeast"/>
        </w:trPr>
        <w:tc>
          <w:tcPr>
            <w:tcW w:w="672" w:type="dxa"/>
            <w:vMerge w:val="continue"/>
            <w:tcBorders>
              <w:tl2br w:val="nil"/>
              <w:tr2bl w:val="nil"/>
            </w:tcBorders>
            <w:vAlign w:val="center"/>
          </w:tcPr>
          <w:p w14:paraId="75811ED8">
            <w:pPr>
              <w:keepNext w:val="0"/>
              <w:keepLines w:val="0"/>
              <w:pageBreakBefore w:val="0"/>
              <w:widowControl w:val="0"/>
              <w:tabs>
                <w:tab w:val="left" w:pos="0"/>
                <w:tab w:val="center" w:pos="368"/>
              </w:tabs>
              <w:kinsoku/>
              <w:wordWrap/>
              <w:overflowPunct/>
              <w:topLinePunct w:val="0"/>
              <w:autoSpaceDE/>
              <w:autoSpaceDN/>
              <w:bidi w:val="0"/>
              <w:adjustRightInd w:val="0"/>
              <w:snapToGrid w:val="0"/>
              <w:spacing w:line="400" w:lineRule="exact"/>
              <w:ind w:left="210" w:leftChars="0" w:right="105" w:rightChars="50" w:firstLine="0" w:firstLineChars="0"/>
              <w:jc w:val="center"/>
              <w:textAlignment w:val="auto"/>
              <w:rPr>
                <w:rFonts w:hint="eastAsia" w:ascii="宋体" w:hAnsi="宋体" w:eastAsia="宋体" w:cs="宋体"/>
                <w:color w:val="auto"/>
                <w:sz w:val="24"/>
                <w:highlight w:val="none"/>
              </w:rPr>
            </w:pPr>
          </w:p>
        </w:tc>
        <w:tc>
          <w:tcPr>
            <w:tcW w:w="2209" w:type="dxa"/>
            <w:vMerge w:val="continue"/>
            <w:tcBorders>
              <w:tl2br w:val="nil"/>
              <w:tr2bl w:val="nil"/>
            </w:tcBorders>
            <w:vAlign w:val="center"/>
          </w:tcPr>
          <w:p w14:paraId="6156A79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p>
        </w:tc>
        <w:tc>
          <w:tcPr>
            <w:tcW w:w="6258" w:type="dxa"/>
            <w:tcBorders>
              <w:tl2br w:val="nil"/>
              <w:tr2bl w:val="nil"/>
            </w:tcBorders>
            <w:vAlign w:val="center"/>
          </w:tcPr>
          <w:p w14:paraId="765BF866">
            <w:pPr>
              <w:pStyle w:val="31"/>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28"/>
                <w:sz w:val="24"/>
                <w:szCs w:val="24"/>
                <w:highlight w:val="none"/>
                <w:lang w:val="en-US" w:eastAsia="zh-CN"/>
              </w:rPr>
            </w:pPr>
            <w:r>
              <w:rPr>
                <w:rFonts w:hint="eastAsia" w:ascii="宋体" w:hAnsi="宋体" w:eastAsia="宋体" w:cs="宋体"/>
                <w:color w:val="auto"/>
                <w:kern w:val="28"/>
                <w:sz w:val="24"/>
                <w:szCs w:val="24"/>
                <w:highlight w:val="none"/>
                <w:lang w:val="en-US" w:eastAsia="zh-CN"/>
              </w:rPr>
              <w:t>其他资信证明材料</w:t>
            </w:r>
          </w:p>
          <w:p w14:paraId="14CE17AD">
            <w:pPr>
              <w:pStyle w:val="31"/>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28"/>
                <w:sz w:val="24"/>
                <w:szCs w:val="24"/>
                <w:highlight w:val="none"/>
                <w:lang w:val="en-US" w:eastAsia="zh-CN"/>
              </w:rPr>
            </w:pPr>
            <w:r>
              <w:rPr>
                <w:rFonts w:hint="eastAsia" w:ascii="宋体" w:hAnsi="宋体" w:eastAsia="宋体" w:cs="宋体"/>
                <w:color w:val="auto"/>
                <w:kern w:val="28"/>
                <w:sz w:val="24"/>
                <w:szCs w:val="24"/>
                <w:highlight w:val="none"/>
                <w:lang w:val="en-US" w:eastAsia="zh-CN"/>
              </w:rPr>
              <w:t>☐联合体投标的，联合体各方均需按磋商文件第五部分评标标准要求提供资信证明文件，否则视为不符合相关要求。</w:t>
            </w:r>
          </w:p>
          <w:p w14:paraId="29702B3A">
            <w:pPr>
              <w:pStyle w:val="31"/>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28"/>
                <w:sz w:val="24"/>
                <w:szCs w:val="24"/>
                <w:highlight w:val="none"/>
                <w:lang w:val="en-US" w:eastAsia="zh-CN"/>
              </w:rPr>
            </w:pPr>
            <w:sdt>
              <w:sdtPr>
                <w:rPr>
                  <w:rFonts w:hint="eastAsia" w:ascii="宋体" w:hAnsi="宋体" w:eastAsia="宋体" w:cs="宋体"/>
                  <w:color w:val="auto"/>
                  <w:sz w:val="24"/>
                  <w:szCs w:val="24"/>
                  <w:highlight w:val="none"/>
                </w:rPr>
                <w:id w:val="147464536"/>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kern w:val="28"/>
                <w:sz w:val="24"/>
                <w:szCs w:val="24"/>
                <w:highlight w:val="none"/>
                <w:lang w:val="en-US" w:eastAsia="zh-CN"/>
              </w:rPr>
              <w:t>联合体投标的，联合体牵头方或者联合体成员根据分工按磋商文件第五部分评标标准要求提供资信证明文件的，视为符合了相关要求。</w:t>
            </w:r>
          </w:p>
          <w:p w14:paraId="6FDEE5C7">
            <w:pPr>
              <w:pStyle w:val="31"/>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28"/>
                <w:sz w:val="24"/>
                <w:szCs w:val="24"/>
                <w:highlight w:val="none"/>
                <w:lang w:val="en-US" w:eastAsia="zh-CN" w:bidi="ar-SA"/>
              </w:rPr>
            </w:pPr>
            <w:r>
              <w:rPr>
                <w:rFonts w:hint="eastAsia" w:ascii="宋体" w:hAnsi="宋体" w:eastAsia="宋体" w:cs="宋体"/>
                <w:color w:val="auto"/>
                <w:kern w:val="28"/>
                <w:sz w:val="24"/>
                <w:szCs w:val="24"/>
                <w:highlight w:val="none"/>
                <w:lang w:val="en-US" w:eastAsia="zh-CN"/>
              </w:rPr>
              <w:t>☐其他规定：</w:t>
            </w:r>
            <w:r>
              <w:rPr>
                <w:rFonts w:hint="eastAsia" w:ascii="宋体" w:hAnsi="宋体" w:eastAsia="宋体" w:cs="宋体"/>
                <w:color w:val="auto"/>
                <w:kern w:val="28"/>
                <w:sz w:val="24"/>
                <w:szCs w:val="24"/>
                <w:highlight w:val="none"/>
                <w:u w:val="single"/>
                <w:lang w:val="en-US" w:eastAsia="zh-CN"/>
              </w:rPr>
              <w:t xml:space="preserve">                 </w:t>
            </w:r>
          </w:p>
        </w:tc>
      </w:tr>
      <w:tr w14:paraId="618695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176" w:hRule="atLeast"/>
        </w:trPr>
        <w:tc>
          <w:tcPr>
            <w:tcW w:w="672" w:type="dxa"/>
            <w:tcBorders>
              <w:tl2br w:val="nil"/>
              <w:tr2bl w:val="nil"/>
            </w:tcBorders>
            <w:vAlign w:val="center"/>
          </w:tcPr>
          <w:p w14:paraId="320C09D1">
            <w:pPr>
              <w:keepNext w:val="0"/>
              <w:keepLines w:val="0"/>
              <w:pageBreakBefore w:val="0"/>
              <w:widowControl w:val="0"/>
              <w:numPr>
                <w:ilvl w:val="0"/>
                <w:numId w:val="14"/>
              </w:numPr>
              <w:tabs>
                <w:tab w:val="left" w:pos="0"/>
                <w:tab w:val="center" w:pos="368"/>
                <w:tab w:val="clear" w:pos="42"/>
              </w:tabs>
              <w:kinsoku/>
              <w:wordWrap/>
              <w:overflowPunct/>
              <w:topLinePunct w:val="0"/>
              <w:autoSpaceDE/>
              <w:autoSpaceDN/>
              <w:bidi w:val="0"/>
              <w:adjustRightInd w:val="0"/>
              <w:snapToGrid w:val="0"/>
              <w:spacing w:line="400" w:lineRule="exact"/>
              <w:ind w:left="210" w:leftChars="0" w:right="105" w:rightChars="50" w:firstLine="0" w:firstLineChars="0"/>
              <w:jc w:val="center"/>
              <w:textAlignment w:val="auto"/>
              <w:rPr>
                <w:rFonts w:hint="eastAsia" w:ascii="宋体" w:hAnsi="宋体" w:eastAsia="宋体" w:cs="宋体"/>
                <w:color w:val="auto"/>
                <w:sz w:val="24"/>
                <w:highlight w:val="none"/>
              </w:rPr>
            </w:pPr>
          </w:p>
        </w:tc>
        <w:tc>
          <w:tcPr>
            <w:tcW w:w="2209" w:type="dxa"/>
            <w:tcBorders>
              <w:tl2br w:val="nil"/>
              <w:tr2bl w:val="nil"/>
            </w:tcBorders>
            <w:vAlign w:val="center"/>
          </w:tcPr>
          <w:p w14:paraId="38C0D8F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特别说明</w:t>
            </w:r>
          </w:p>
        </w:tc>
        <w:tc>
          <w:tcPr>
            <w:tcW w:w="6258" w:type="dxa"/>
            <w:tcBorders>
              <w:tl2br w:val="nil"/>
              <w:tr2bl w:val="nil"/>
            </w:tcBorders>
            <w:vAlign w:val="center"/>
          </w:tcPr>
          <w:p w14:paraId="3741BE2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napToGrid w:val="0"/>
                <w:color w:val="auto"/>
                <w:kern w:val="28"/>
                <w:sz w:val="24"/>
                <w:highlight w:val="none"/>
                <w:u w:val="single"/>
                <w:lang w:val="en-US" w:eastAsia="zh-CN"/>
              </w:rPr>
            </w:pPr>
            <w:r>
              <w:rPr>
                <w:rFonts w:hint="eastAsia" w:ascii="宋体" w:hAnsi="宋体" w:eastAsia="宋体" w:cs="宋体"/>
                <w:snapToGrid w:val="0"/>
                <w:color w:val="auto"/>
                <w:kern w:val="28"/>
                <w:sz w:val="24"/>
                <w:highlight w:val="none"/>
                <w:lang w:eastAsia="zh-CN"/>
              </w:rPr>
              <w:t>□有，</w:t>
            </w:r>
            <w:r>
              <w:rPr>
                <w:rFonts w:hint="eastAsia" w:ascii="宋体" w:hAnsi="宋体" w:eastAsia="宋体" w:cs="宋体"/>
                <w:snapToGrid w:val="0"/>
                <w:color w:val="auto"/>
                <w:kern w:val="28"/>
                <w:sz w:val="24"/>
                <w:highlight w:val="none"/>
                <w:u w:val="single"/>
                <w:lang w:val="en-US" w:eastAsia="zh-CN"/>
              </w:rPr>
              <w:t xml:space="preserve">                    </w:t>
            </w:r>
          </w:p>
          <w:p w14:paraId="0F3AC2E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napToGrid w:val="0"/>
                <w:color w:val="auto"/>
                <w:kern w:val="28"/>
                <w:sz w:val="24"/>
                <w:szCs w:val="24"/>
                <w:highlight w:val="none"/>
                <w:lang w:val="en-US" w:eastAsia="zh-CN" w:bidi="ar-SA"/>
              </w:rPr>
            </w:pPr>
            <w:sdt>
              <w:sdtPr>
                <w:rPr>
                  <w:rFonts w:hint="eastAsia" w:ascii="宋体" w:hAnsi="宋体" w:eastAsia="宋体" w:cs="宋体"/>
                  <w:color w:val="auto"/>
                  <w:sz w:val="24"/>
                  <w:szCs w:val="24"/>
                  <w:highlight w:val="none"/>
                </w:rPr>
                <w:id w:val="147458989"/>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snapToGrid w:val="0"/>
                <w:color w:val="auto"/>
                <w:kern w:val="28"/>
                <w:sz w:val="24"/>
                <w:highlight w:val="none"/>
              </w:rPr>
              <w:t>无</w:t>
            </w:r>
            <w:r>
              <w:rPr>
                <w:rFonts w:hint="eastAsia" w:ascii="宋体" w:hAnsi="宋体" w:eastAsia="宋体" w:cs="宋体"/>
                <w:b/>
                <w:color w:val="auto"/>
                <w:kern w:val="0"/>
                <w:sz w:val="24"/>
                <w:highlight w:val="none"/>
              </w:rPr>
              <w:t>。</w:t>
            </w:r>
          </w:p>
        </w:tc>
      </w:tr>
    </w:tbl>
    <w:p w14:paraId="2DEEA997">
      <w:pPr>
        <w:bidi w:val="0"/>
        <w:rPr>
          <w:rFonts w:hint="eastAsia" w:ascii="宋体" w:hAnsi="宋体" w:eastAsia="宋体" w:cs="宋体"/>
          <w:color w:val="auto"/>
          <w:highlight w:val="none"/>
        </w:rPr>
      </w:pPr>
    </w:p>
    <w:p w14:paraId="607E11BF">
      <w:pP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p w14:paraId="004849A9">
      <w:pPr>
        <w:adjustRightInd/>
        <w:spacing w:line="360" w:lineRule="auto"/>
        <w:ind w:left="0" w:leftChars="0" w:firstLine="0" w:firstLineChars="0"/>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二、总则</w:t>
      </w:r>
    </w:p>
    <w:p w14:paraId="1818981F">
      <w:pPr>
        <w:numPr>
          <w:ilvl w:val="0"/>
          <w:numId w:val="15"/>
        </w:numPr>
        <w:snapToGrid w:val="0"/>
        <w:spacing w:line="360" w:lineRule="auto"/>
        <w:ind w:left="71" w:leftChars="0" w:hanging="45" w:firstLineChars="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适用范围</w:t>
      </w:r>
    </w:p>
    <w:p w14:paraId="7BF019C0">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本磋商文件适用于该项目的邀请、响应、开启响应文件、信用信息查询、资格性审查、评审、成交、合同、验收等行为（法律、法规另有规定的，从其规定）。</w:t>
      </w:r>
    </w:p>
    <w:p w14:paraId="0D704CEE">
      <w:pPr>
        <w:numPr>
          <w:ilvl w:val="0"/>
          <w:numId w:val="15"/>
        </w:numPr>
        <w:snapToGrid w:val="0"/>
        <w:spacing w:line="360" w:lineRule="auto"/>
        <w:ind w:left="71" w:leftChars="0" w:hanging="45" w:firstLineChars="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定义</w:t>
      </w:r>
    </w:p>
    <w:p w14:paraId="2E9F331E">
      <w:pPr>
        <w:numPr>
          <w:ilvl w:val="1"/>
          <w:numId w:val="16"/>
        </w:numPr>
        <w:spacing w:line="360" w:lineRule="auto"/>
        <w:ind w:left="10" w:leftChars="0" w:firstLine="387"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“采购人”系指磋商邀请公告中载明的本项目的采购人。</w:t>
      </w:r>
    </w:p>
    <w:p w14:paraId="2024C85B">
      <w:pPr>
        <w:numPr>
          <w:ilvl w:val="1"/>
          <w:numId w:val="16"/>
        </w:numPr>
        <w:spacing w:line="360" w:lineRule="auto"/>
        <w:ind w:left="10" w:leftChars="0" w:firstLine="387"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”系指磋商邀请公告中载明的本项目的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00BF30B6">
      <w:pPr>
        <w:numPr>
          <w:ilvl w:val="1"/>
          <w:numId w:val="16"/>
        </w:numPr>
        <w:spacing w:line="360" w:lineRule="auto"/>
        <w:ind w:left="10" w:leftChars="0" w:firstLine="387"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“供应商”系指响应磋商、参加本次竞争的法人、其他组织或自然人。</w:t>
      </w:r>
    </w:p>
    <w:p w14:paraId="1D9EE772">
      <w:pPr>
        <w:numPr>
          <w:ilvl w:val="1"/>
          <w:numId w:val="16"/>
        </w:numPr>
        <w:spacing w:line="360" w:lineRule="auto"/>
        <w:ind w:left="10" w:leftChars="0" w:firstLine="387"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“负责人”系指法人企业的法定负责人，或其他组织为法律、行政法规规定代表单位行使职权的主要负责人，或自然人本人。</w:t>
      </w:r>
    </w:p>
    <w:p w14:paraId="272B3BAF">
      <w:pPr>
        <w:numPr>
          <w:ilvl w:val="1"/>
          <w:numId w:val="16"/>
        </w:numPr>
        <w:spacing w:line="360" w:lineRule="auto"/>
        <w:ind w:left="10" w:leftChars="0" w:firstLine="387"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“成交人”系指经评审确定的成交供应商。</w:t>
      </w:r>
    </w:p>
    <w:p w14:paraId="2F245E38">
      <w:pPr>
        <w:numPr>
          <w:ilvl w:val="1"/>
          <w:numId w:val="16"/>
        </w:numPr>
        <w:spacing w:line="360" w:lineRule="auto"/>
        <w:ind w:left="10" w:leftChars="0" w:firstLine="387"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“响应文件”系指供应商提交的商务技术文件。供应商提交最后报价后，最后报价是供应商响应文件的有效组成部分。</w:t>
      </w:r>
    </w:p>
    <w:p w14:paraId="7ACB5DD7">
      <w:pPr>
        <w:numPr>
          <w:ilvl w:val="1"/>
          <w:numId w:val="16"/>
        </w:numPr>
        <w:spacing w:line="360" w:lineRule="auto"/>
        <w:ind w:left="10" w:leftChars="0" w:firstLine="387"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“电子交易平台”是指本项目政府采购活动所依托的政府采购云平台（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8"/>
          <w:rFonts w:hint="eastAsia" w:ascii="宋体" w:hAnsi="宋体" w:eastAsia="宋体" w:cs="宋体"/>
          <w:snapToGrid/>
          <w:color w:val="auto"/>
          <w:kern w:val="2"/>
          <w:sz w:val="24"/>
          <w:szCs w:val="24"/>
          <w:highlight w:val="none"/>
        </w:rPr>
        <w:t>https://www.zcygov.cn/</w:t>
      </w:r>
      <w:r>
        <w:rPr>
          <w:rStyle w:val="68"/>
          <w:rFonts w:hint="eastAsia" w:ascii="宋体" w:hAnsi="宋体" w:eastAsia="宋体" w:cs="宋体"/>
          <w:snapToGrid/>
          <w:color w:val="auto"/>
          <w:kern w:val="2"/>
          <w:sz w:val="24"/>
          <w:szCs w:val="24"/>
          <w:highlight w:val="none"/>
        </w:rPr>
        <w:fldChar w:fldCharType="end"/>
      </w:r>
      <w:r>
        <w:rPr>
          <w:rFonts w:hint="eastAsia" w:ascii="宋体" w:hAnsi="宋体" w:eastAsia="宋体" w:cs="宋体"/>
          <w:color w:val="auto"/>
          <w:sz w:val="24"/>
          <w:highlight w:val="none"/>
        </w:rPr>
        <w:t>）。</w:t>
      </w:r>
    </w:p>
    <w:p w14:paraId="166943B9">
      <w:pPr>
        <w:numPr>
          <w:ilvl w:val="1"/>
          <w:numId w:val="16"/>
        </w:numPr>
        <w:spacing w:line="360" w:lineRule="auto"/>
        <w:ind w:left="10" w:leftChars="0" w:firstLine="387"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p>
    <w:p w14:paraId="1FE26427">
      <w:pPr>
        <w:numPr>
          <w:ilvl w:val="1"/>
          <w:numId w:val="16"/>
        </w:numPr>
        <w:spacing w:line="360" w:lineRule="auto"/>
        <w:ind w:left="10" w:leftChars="0" w:firstLine="387"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“书面形式”包括数据电文形式与纸质形式。数据电文形式与纸质形式的采购活动具有同等法律效力。</w:t>
      </w:r>
    </w:p>
    <w:p w14:paraId="2887855D">
      <w:pPr>
        <w:numPr>
          <w:ilvl w:val="1"/>
          <w:numId w:val="16"/>
        </w:numPr>
        <w:spacing w:line="360" w:lineRule="auto"/>
        <w:ind w:left="10" w:leftChars="0" w:firstLine="387" w:firstLineChars="0"/>
        <w:rPr>
          <w:rFonts w:hint="eastAsia" w:ascii="宋体" w:hAnsi="宋体" w:eastAsia="宋体" w:cs="宋体"/>
          <w:color w:val="auto"/>
          <w:highlight w:val="none"/>
          <w:lang w:eastAsia="zh-CN"/>
        </w:rPr>
      </w:pPr>
      <w:r>
        <w:rPr>
          <w:rFonts w:hint="eastAsia" w:ascii="宋体" w:hAnsi="宋体" w:eastAsia="宋体" w:cs="宋体"/>
          <w:b/>
          <w:bCs/>
          <w:color w:val="auto"/>
          <w:sz w:val="24"/>
          <w:highlight w:val="none"/>
        </w:rPr>
        <w:t>“▲” 系指实质性要求条款，“※”系指磋商过程中可能实质性变动的内容</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w:t>
      </w:r>
      <w:sdt>
        <w:sdtPr>
          <w:rPr>
            <w:rFonts w:hint="eastAsia" w:ascii="宋体" w:hAnsi="宋体" w:eastAsia="宋体" w:cs="宋体"/>
            <w:b/>
            <w:bCs/>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b/>
            <w:bCs/>
            <w:color w:val="auto"/>
            <w:kern w:val="0"/>
            <w:sz w:val="24"/>
            <w:highlight w:val="none"/>
          </w:rPr>
        </w:sdtEndPr>
        <w:sdtContent>
          <w:r>
            <w:rPr>
              <w:rFonts w:hint="eastAsia" w:ascii="Wingdings" w:hAnsi="Wingdings" w:eastAsia="宋体" w:cs="宋体"/>
              <w:b/>
              <w:bCs/>
              <w:color w:val="auto"/>
              <w:kern w:val="0"/>
              <w:sz w:val="24"/>
              <w:szCs w:val="24"/>
              <w:highlight w:val="none"/>
              <w:lang w:val="en-US" w:eastAsia="zh-CN" w:bidi="ar-SA"/>
            </w:rPr>
            <w:t>þ</w:t>
          </w:r>
        </w:sdtContent>
      </w:sdt>
      <w:r>
        <w:rPr>
          <w:rFonts w:hint="eastAsia" w:ascii="宋体" w:hAnsi="宋体" w:eastAsia="宋体" w:cs="宋体"/>
          <w:b/>
          <w:bCs/>
          <w:color w:val="auto"/>
          <w:sz w:val="24"/>
          <w:highlight w:val="none"/>
        </w:rPr>
        <w:t>” 系指适用本项目的要求，“</w:t>
      </w:r>
      <w:sdt>
        <w:sdtPr>
          <w:rPr>
            <w:rFonts w:hint="eastAsia" w:ascii="宋体" w:hAnsi="宋体" w:eastAsia="宋体" w:cs="宋体"/>
            <w:b/>
            <w:bCs/>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b/>
            <w:bCs/>
            <w:color w:val="auto"/>
            <w:kern w:val="0"/>
            <w:sz w:val="24"/>
            <w:highlight w:val="none"/>
          </w:rPr>
        </w:sdtEndPr>
        <w:sdtContent>
          <w:r>
            <w:rPr>
              <w:rFonts w:hint="eastAsia" w:ascii="宋体" w:hAnsi="宋体" w:eastAsia="宋体" w:cs="宋体"/>
              <w:b/>
              <w:bCs/>
              <w:color w:val="auto"/>
              <w:kern w:val="0"/>
              <w:sz w:val="24"/>
              <w:highlight w:val="none"/>
            </w:rPr>
            <w:t>☐</w:t>
          </w:r>
        </w:sdtContent>
      </w:sdt>
      <w:r>
        <w:rPr>
          <w:rFonts w:hint="eastAsia" w:ascii="宋体" w:hAnsi="宋体" w:eastAsia="宋体" w:cs="宋体"/>
          <w:b/>
          <w:bCs/>
          <w:color w:val="auto"/>
          <w:sz w:val="24"/>
          <w:highlight w:val="none"/>
        </w:rPr>
        <w:t>” 系指不适用本项目的要求。</w:t>
      </w:r>
    </w:p>
    <w:p w14:paraId="174CB70B">
      <w:pPr>
        <w:numPr>
          <w:ilvl w:val="0"/>
          <w:numId w:val="15"/>
        </w:numPr>
        <w:snapToGrid w:val="0"/>
        <w:spacing w:line="360" w:lineRule="auto"/>
        <w:ind w:left="71" w:leftChars="0" w:hanging="45" w:firstLineChars="0"/>
        <w:jc w:val="left"/>
        <w:outlineLvl w:val="1"/>
        <w:rPr>
          <w:rFonts w:hint="eastAsia" w:ascii="宋体" w:hAnsi="宋体" w:eastAsia="宋体" w:cs="宋体"/>
          <w:color w:val="auto"/>
          <w:sz w:val="24"/>
          <w:highlight w:val="none"/>
        </w:rPr>
      </w:pPr>
      <w:r>
        <w:rPr>
          <w:rFonts w:hint="eastAsia" w:ascii="宋体" w:hAnsi="宋体" w:eastAsia="宋体" w:cs="宋体"/>
          <w:b/>
          <w:color w:val="auto"/>
          <w:sz w:val="24"/>
          <w:highlight w:val="none"/>
        </w:rPr>
        <w:t>响应有效期</w:t>
      </w:r>
    </w:p>
    <w:p w14:paraId="7DAD0265">
      <w:pPr>
        <w:numPr>
          <w:ilvl w:val="0"/>
          <w:numId w:val="0"/>
        </w:numPr>
        <w:spacing w:line="360" w:lineRule="auto"/>
        <w:ind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▲3.1响应有效期为从提交响应文件的截止之日起90天。供应商的响应文件中承诺的响应有效期少于磋商文件中载明的磋商有效期的，响应无效。</w:t>
      </w:r>
    </w:p>
    <w:p w14:paraId="2C90193B">
      <w:pPr>
        <w:numPr>
          <w:ilvl w:val="0"/>
          <w:numId w:val="0"/>
        </w:numPr>
        <w:spacing w:line="360" w:lineRule="auto"/>
        <w:ind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3.2响应文件合格提交后，自响应截止日期起，在响应有效期内有效。</w:t>
      </w:r>
    </w:p>
    <w:p w14:paraId="48FA027C">
      <w:pPr>
        <w:numPr>
          <w:ilvl w:val="0"/>
          <w:numId w:val="0"/>
        </w:numPr>
        <w:spacing w:line="360" w:lineRule="auto"/>
        <w:ind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3.3在原定响应有效期满之前，如果出现特殊情况，采购</w:t>
      </w:r>
      <w:r>
        <w:rPr>
          <w:rFonts w:hint="eastAsia" w:ascii="宋体" w:hAnsi="宋体" w:eastAsia="宋体" w:cs="宋体"/>
          <w:color w:val="auto"/>
          <w:sz w:val="24"/>
          <w:highlight w:val="none"/>
          <w:lang w:eastAsia="zh-CN"/>
        </w:rPr>
        <w:t>代理</w:t>
      </w:r>
      <w:r>
        <w:rPr>
          <w:rFonts w:hint="eastAsia" w:ascii="宋体" w:hAnsi="宋体" w:eastAsia="宋体" w:cs="宋体"/>
          <w:color w:val="auto"/>
          <w:sz w:val="24"/>
          <w:highlight w:val="none"/>
        </w:rPr>
        <w:t>机构可以以书面形式通知供应商延长响应有效期。供应商同意延长的，不得要求或被允许修改其响应文件;供应商拒绝延长的，其响应无效。拒绝延长磋商有效期的供应商不得再参与该项目后续采购活动。</w:t>
      </w:r>
    </w:p>
    <w:p w14:paraId="40F5924C">
      <w:pPr>
        <w:numPr>
          <w:ilvl w:val="0"/>
          <w:numId w:val="15"/>
        </w:numPr>
        <w:snapToGrid w:val="0"/>
        <w:spacing w:line="360" w:lineRule="auto"/>
        <w:ind w:left="71" w:leftChars="0" w:hanging="45" w:firstLineChars="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响应费用</w:t>
      </w:r>
    </w:p>
    <w:p w14:paraId="663B8CCB">
      <w:pPr>
        <w:numPr>
          <w:ilvl w:val="0"/>
          <w:numId w:val="0"/>
        </w:numPr>
        <w:spacing w:line="360" w:lineRule="auto"/>
        <w:ind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供应商需自行承担涉及响应的一切费用。</w:t>
      </w:r>
    </w:p>
    <w:p w14:paraId="31F65941">
      <w:pPr>
        <w:pStyle w:val="59"/>
        <w:rPr>
          <w:rFonts w:hint="eastAsia" w:ascii="宋体" w:hAnsi="宋体" w:eastAsia="宋体" w:cs="宋体"/>
          <w:color w:val="auto"/>
          <w:highlight w:val="none"/>
        </w:rPr>
      </w:pPr>
    </w:p>
    <w:p w14:paraId="2D108F52">
      <w:pPr>
        <w:adjustRightInd/>
        <w:spacing w:line="360" w:lineRule="auto"/>
        <w:ind w:left="0" w:leftChars="0" w:firstLine="0" w:firstLineChars="0"/>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三、需要落实的政府采购政策</w:t>
      </w:r>
    </w:p>
    <w:p w14:paraId="32BE07D0">
      <w:pPr>
        <w:pStyle w:val="39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1.是否允许采购进口产品要求</w:t>
      </w:r>
    </w:p>
    <w:p w14:paraId="26BFDBE0">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7F3090D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2.支持绿色发展</w:t>
      </w:r>
    </w:p>
    <w:p w14:paraId="23A71B8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p>
    <w:p w14:paraId="23B9E5DD">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5D734E5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5F1B234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58DF46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1923C39">
      <w:pPr>
        <w:pStyle w:val="31"/>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3.支持中小企业发展。</w:t>
      </w:r>
    </w:p>
    <w:p w14:paraId="4801015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9F42F5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303D495C">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3.2</w:t>
      </w:r>
      <w:r>
        <w:rPr>
          <w:rFonts w:hint="eastAsia" w:ascii="宋体" w:hAnsi="宋体" w:eastAsia="宋体" w:cs="宋体"/>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4BB5E94D">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6D559ED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3.3对于未预留份额专门面向中小企业的政府采购服务项目，以及预留份额政府采购服务项目中的非预留部分标项，对小型和微型企业的最后报价给予</w:t>
      </w:r>
      <w:r>
        <w:rPr>
          <w:rFonts w:hint="eastAsia" w:ascii="宋体" w:hAnsi="宋体" w:eastAsia="宋体" w:cs="宋体"/>
          <w:b/>
          <w:bCs/>
          <w:color w:val="auto"/>
          <w:sz w:val="24"/>
          <w:highlight w:val="none"/>
        </w:rPr>
        <w:t>10%</w:t>
      </w:r>
      <w:r>
        <w:rPr>
          <w:rFonts w:hint="eastAsia" w:ascii="宋体" w:hAnsi="宋体" w:eastAsia="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w:t>
      </w:r>
      <w:r>
        <w:rPr>
          <w:rFonts w:hint="eastAsia" w:ascii="宋体" w:hAnsi="宋体" w:eastAsia="宋体" w:cs="宋体"/>
          <w:b/>
          <w:bCs/>
          <w:color w:val="auto"/>
          <w:sz w:val="24"/>
          <w:highlight w:val="none"/>
        </w:rPr>
        <w:t>4%</w:t>
      </w:r>
      <w:r>
        <w:rPr>
          <w:rFonts w:hint="eastAsia" w:ascii="宋体" w:hAnsi="宋体" w:eastAsia="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E48CF8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3.4符合《关于促进残疾人就业政府采购政策的通知》（财库〔2017〕141号）规定的条件并提供《残疾人福利性单位声明函》（附件3）的残疾人福利性单位视同小型、微型企业；</w:t>
      </w:r>
    </w:p>
    <w:p w14:paraId="5EAAB5E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4E6F00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45A507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3.7中小企业享受扶持政策获得政府采购合同的，小微企业不得将合同分包给大中型企业，中型企业不得将合同分包给大型企业。</w:t>
      </w:r>
    </w:p>
    <w:p w14:paraId="2E0564C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w:t>
      </w:r>
      <w:r>
        <w:rPr>
          <w:rFonts w:hint="eastAsia" w:ascii="宋体" w:hAnsi="宋体" w:eastAsia="宋体" w:cs="宋体"/>
          <w:b/>
          <w:bCs/>
          <w:color w:val="auto"/>
          <w:sz w:val="24"/>
          <w:highlight w:val="none"/>
        </w:rPr>
        <w:t>支持创新发展</w:t>
      </w:r>
    </w:p>
    <w:p w14:paraId="4477937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 采购人优先采购被认定为首台套产品和“制造精品”的自主创新产品。</w:t>
      </w:r>
    </w:p>
    <w:p w14:paraId="0577650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8BD43E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5.平等对待内外资企业和符合条件的破产重整企业</w:t>
      </w:r>
    </w:p>
    <w:p w14:paraId="56491A2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p>
    <w:p w14:paraId="246CE869">
      <w:pPr>
        <w:pStyle w:val="59"/>
        <w:rPr>
          <w:rFonts w:hint="eastAsia" w:ascii="宋体" w:hAnsi="宋体" w:eastAsia="宋体" w:cs="宋体"/>
          <w:color w:val="auto"/>
          <w:sz w:val="24"/>
          <w:highlight w:val="none"/>
        </w:rPr>
      </w:pPr>
    </w:p>
    <w:p w14:paraId="45BE2E26">
      <w:pPr>
        <w:adjustRightInd/>
        <w:spacing w:line="360" w:lineRule="auto"/>
        <w:ind w:left="0" w:leftChars="0" w:firstLine="0" w:firstLineChars="0"/>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四、询问、质疑与投诉</w:t>
      </w:r>
    </w:p>
    <w:p w14:paraId="57F04F46">
      <w:pPr>
        <w:pStyle w:val="31"/>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1.在线询问、质疑、投诉</w:t>
      </w:r>
    </w:p>
    <w:p w14:paraId="6335888F">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8DD6AD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2.供应商询问</w:t>
      </w:r>
    </w:p>
    <w:p w14:paraId="4372FC67">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FC6AFA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3.供应商质疑</w:t>
      </w:r>
    </w:p>
    <w:p w14:paraId="0AD1833B">
      <w:pPr>
        <w:pStyle w:val="31"/>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val="zh-CN"/>
        </w:rPr>
        <w:t>3</w:t>
      </w:r>
      <w:r>
        <w:rPr>
          <w:rFonts w:hint="eastAsia" w:ascii="宋体" w:hAnsi="宋体" w:eastAsia="宋体" w:cs="宋体"/>
          <w:b/>
          <w:color w:val="auto"/>
          <w:sz w:val="24"/>
          <w:highlight w:val="none"/>
        </w:rPr>
        <w:t>.1质疑提出时效</w:t>
      </w:r>
    </w:p>
    <w:p w14:paraId="0647B102">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3.1.1提出质疑的供应商应当是参与所质疑项目采购活动的供应商。潜在供应商已依法获取其可质疑的采购文件的，可以对该文件提出质疑。</w:t>
      </w:r>
    </w:p>
    <w:p w14:paraId="30FEABB5">
      <w:pPr>
        <w:pStyle w:val="31"/>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val="zh-CN"/>
        </w:rPr>
        <w:t>3</w:t>
      </w:r>
      <w:r>
        <w:rPr>
          <w:rFonts w:hint="eastAsia" w:ascii="宋体" w:hAnsi="宋体" w:eastAsia="宋体" w:cs="宋体"/>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r>
        <w:rPr>
          <w:rFonts w:hint="eastAsia" w:hAnsi="宋体" w:cs="宋体"/>
          <w:color w:val="auto"/>
          <w:sz w:val="24"/>
          <w:highlight w:val="none"/>
          <w:lang w:eastAsia="zh-CN"/>
        </w:rPr>
        <w:t>。</w:t>
      </w:r>
    </w:p>
    <w:p w14:paraId="353175BF">
      <w:pPr>
        <w:pStyle w:val="15"/>
        <w:spacing w:line="360" w:lineRule="auto"/>
        <w:ind w:firstLine="434" w:firstLineChars="181"/>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69982FE4">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3.1.2.2对采购过程提出质疑的，质疑期限为各采购程序环节结束之日起计算。</w:t>
      </w:r>
    </w:p>
    <w:p w14:paraId="43C18931">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3.1.2.3对采购结果提出质疑的，质疑期限自采购结果公告期限届满之日起计算。</w:t>
      </w:r>
    </w:p>
    <w:p w14:paraId="11311772">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3.1.2.4对同一采购程序环节的质疑，供应商须一次性提出。</w:t>
      </w:r>
    </w:p>
    <w:p w14:paraId="11A5992B">
      <w:pPr>
        <w:pStyle w:val="31"/>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3.2质疑答复</w:t>
      </w:r>
    </w:p>
    <w:p w14:paraId="2D1C6A57">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3.2.1采购人负责供应商质疑答复。采购人委托采购代理机构采购的，采购代理机构对委托授权范围内质疑事项作出答复。委托授权范围应当在采购代理协议中明确。</w:t>
      </w:r>
    </w:p>
    <w:p w14:paraId="2D75FD87">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3.2.2</w:t>
      </w:r>
      <w:r>
        <w:rPr>
          <w:rFonts w:hint="eastAsia" w:ascii="宋体" w:hAnsi="宋体" w:eastAsia="宋体" w:cs="宋体"/>
          <w:color w:val="auto"/>
          <w:sz w:val="24"/>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r>
        <w:rPr>
          <w:rFonts w:hint="eastAsia" w:ascii="宋体" w:hAnsi="宋体" w:eastAsia="宋体" w:cs="宋体"/>
          <w:color w:val="auto"/>
          <w:sz w:val="24"/>
          <w:highlight w:val="none"/>
          <w:lang w:eastAsia="zh-CN"/>
        </w:rPr>
        <w:t>。</w:t>
      </w:r>
    </w:p>
    <w:p w14:paraId="540D4AE6">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2.3询问或者质疑事项可能影响采购结果的，采购人应当暂停签订合同，已经签订合同的，应当中止履行合同。</w:t>
      </w:r>
    </w:p>
    <w:p w14:paraId="53B2FF86">
      <w:pPr>
        <w:pStyle w:val="31"/>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lang w:val="zh-CN"/>
        </w:rPr>
        <w:t>3.3质疑函</w:t>
      </w:r>
    </w:p>
    <w:p w14:paraId="13550026">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3.3.1供应商提出质疑应当提交质疑函和必要的证明材料。质疑函应当包括下列内容：</w:t>
      </w:r>
    </w:p>
    <w:p w14:paraId="05F864A5">
      <w:pPr>
        <w:pStyle w:val="31"/>
        <w:numPr>
          <w:ilvl w:val="0"/>
          <w:numId w:val="17"/>
        </w:numPr>
        <w:tabs>
          <w:tab w:val="left" w:pos="426"/>
        </w:tabs>
        <w:spacing w:line="360" w:lineRule="auto"/>
        <w:ind w:left="425" w:leftChars="0" w:hanging="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供应商的姓名或者名称、地址、邮编、联系人及联系电话；</w:t>
      </w:r>
    </w:p>
    <w:p w14:paraId="41B215C8">
      <w:pPr>
        <w:pStyle w:val="31"/>
        <w:numPr>
          <w:ilvl w:val="0"/>
          <w:numId w:val="17"/>
        </w:numPr>
        <w:tabs>
          <w:tab w:val="left" w:pos="426"/>
        </w:tabs>
        <w:spacing w:line="360" w:lineRule="auto"/>
        <w:ind w:left="425" w:leftChars="0" w:hanging="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质疑项目的名称、编号；</w:t>
      </w:r>
    </w:p>
    <w:p w14:paraId="334C6E1E">
      <w:pPr>
        <w:pStyle w:val="31"/>
        <w:numPr>
          <w:ilvl w:val="0"/>
          <w:numId w:val="17"/>
        </w:numPr>
        <w:tabs>
          <w:tab w:val="left" w:pos="426"/>
        </w:tabs>
        <w:spacing w:line="360" w:lineRule="auto"/>
        <w:ind w:left="425" w:leftChars="0" w:hanging="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具体、明确的质疑事项和与质疑事项相关的请求；</w:t>
      </w:r>
    </w:p>
    <w:p w14:paraId="084CC0E3">
      <w:pPr>
        <w:pStyle w:val="31"/>
        <w:numPr>
          <w:ilvl w:val="0"/>
          <w:numId w:val="17"/>
        </w:numPr>
        <w:tabs>
          <w:tab w:val="left" w:pos="426"/>
        </w:tabs>
        <w:spacing w:line="360" w:lineRule="auto"/>
        <w:ind w:left="425" w:leftChars="0" w:hanging="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p>
    <w:p w14:paraId="7029CC2A">
      <w:pPr>
        <w:pStyle w:val="31"/>
        <w:numPr>
          <w:ilvl w:val="0"/>
          <w:numId w:val="17"/>
        </w:numPr>
        <w:tabs>
          <w:tab w:val="left" w:pos="426"/>
        </w:tabs>
        <w:spacing w:line="360" w:lineRule="auto"/>
        <w:ind w:left="425" w:leftChars="0" w:hanging="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必要的法律依据；</w:t>
      </w:r>
    </w:p>
    <w:p w14:paraId="70130BF6">
      <w:pPr>
        <w:pStyle w:val="31"/>
        <w:numPr>
          <w:ilvl w:val="0"/>
          <w:numId w:val="17"/>
        </w:numPr>
        <w:tabs>
          <w:tab w:val="left" w:pos="426"/>
        </w:tabs>
        <w:spacing w:line="360" w:lineRule="auto"/>
        <w:ind w:left="425" w:leftChars="0" w:hanging="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提出质疑的日期。</w:t>
      </w:r>
    </w:p>
    <w:p w14:paraId="0A5559B6">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7B64D77B">
      <w:pPr>
        <w:pStyle w:val="31"/>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质疑函范本及制作说明详见附件1。</w:t>
      </w:r>
    </w:p>
    <w:p w14:paraId="5D90F1D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4.供应商投诉</w:t>
      </w:r>
    </w:p>
    <w:p w14:paraId="19925EE6">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4.1质疑供应商对采购人、采购</w:t>
      </w:r>
      <w:r>
        <w:rPr>
          <w:rFonts w:hint="eastAsia" w:ascii="宋体" w:hAnsi="宋体" w:eastAsia="宋体" w:cs="宋体"/>
          <w:color w:val="auto"/>
          <w:sz w:val="24"/>
          <w:highlight w:val="none"/>
          <w:lang w:eastAsia="zh-CN"/>
        </w:rPr>
        <w:t>代理</w:t>
      </w:r>
      <w:r>
        <w:rPr>
          <w:rFonts w:hint="eastAsia" w:ascii="宋体" w:hAnsi="宋体" w:eastAsia="宋体" w:cs="宋体"/>
          <w:color w:val="auto"/>
          <w:sz w:val="24"/>
          <w:highlight w:val="none"/>
        </w:rPr>
        <w:t>机构的答复不满意或者采购人、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未在规定的时间内作出答复的，可以在答复期满后十五个工作日内向同级政府采购监督管理部门提出投诉。</w:t>
      </w:r>
    </w:p>
    <w:p w14:paraId="66EA65E1">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4.2供应商投诉的事项不得超出已质疑事项的范围，基于质疑答复内容提出的投诉事项除外。</w:t>
      </w:r>
    </w:p>
    <w:p w14:paraId="30F960C4">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4.3供应商投诉应当有明确的请求和必要的证明材料。</w:t>
      </w:r>
    </w:p>
    <w:p w14:paraId="3DABBE04">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4.4以联合体形式参加政府采购活动的，其投诉应当由组成联合体的所有供应商共同提出。</w:t>
      </w:r>
    </w:p>
    <w:p w14:paraId="5007978F">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4.5浙江省本级、杭州市本级、拱墅区、富阳区政府采购项目投诉材料可寄送浙江省政府采购行政裁决服务中心（杭州），地址：杭州市上城区四季青街道新业路市民之家G03办公室，收件人：朱女士，电话：15121014815。</w:t>
      </w:r>
    </w:p>
    <w:p w14:paraId="6A757850">
      <w:pPr>
        <w:pStyle w:val="31"/>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投诉书范本及制作说明详见附件2。</w:t>
      </w:r>
    </w:p>
    <w:p w14:paraId="6B8CCB82">
      <w:pPr>
        <w:pStyle w:val="61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highlight w:val="none"/>
        </w:rPr>
      </w:pPr>
    </w:p>
    <w:p w14:paraId="10230F88">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lang w:eastAsia="zh-CN"/>
        </w:rPr>
        <w:t>五</w:t>
      </w:r>
      <w:r>
        <w:rPr>
          <w:rFonts w:hint="eastAsia" w:ascii="宋体" w:hAnsi="宋体" w:eastAsia="宋体" w:cs="宋体"/>
          <w:b/>
          <w:color w:val="auto"/>
          <w:sz w:val="32"/>
          <w:szCs w:val="20"/>
          <w:highlight w:val="none"/>
        </w:rPr>
        <w:t>、磋商文件</w:t>
      </w:r>
      <w:r>
        <w:rPr>
          <w:rFonts w:hint="eastAsia" w:ascii="宋体" w:hAnsi="宋体" w:eastAsia="宋体" w:cs="宋体"/>
          <w:b/>
          <w:color w:val="auto"/>
          <w:sz w:val="32"/>
          <w:szCs w:val="20"/>
          <w:highlight w:val="none"/>
          <w:lang w:eastAsia="zh-CN"/>
        </w:rPr>
        <w:t>的</w:t>
      </w:r>
      <w:r>
        <w:rPr>
          <w:rFonts w:hint="eastAsia" w:ascii="宋体" w:hAnsi="宋体" w:eastAsia="宋体" w:cs="宋体"/>
          <w:b/>
          <w:color w:val="auto"/>
          <w:sz w:val="32"/>
          <w:szCs w:val="20"/>
          <w:highlight w:val="none"/>
        </w:rPr>
        <w:t>构成、修改、解释</w:t>
      </w:r>
    </w:p>
    <w:p w14:paraId="3548464E">
      <w:pPr>
        <w:numPr>
          <w:ilvl w:val="0"/>
          <w:numId w:val="0"/>
        </w:numPr>
        <w:snapToGrid w:val="0"/>
        <w:spacing w:line="360" w:lineRule="auto"/>
        <w:ind w:left="26" w:leftChars="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磋商文件的构成</w:t>
      </w:r>
    </w:p>
    <w:p w14:paraId="07581533">
      <w:pPr>
        <w:pStyle w:val="31"/>
        <w:numPr>
          <w:ilvl w:val="0"/>
          <w:numId w:val="0"/>
        </w:numPr>
        <w:spacing w:line="360" w:lineRule="auto"/>
        <w:ind w:left="397"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磋商文件包括下列文件及附件</w:t>
      </w:r>
    </w:p>
    <w:p w14:paraId="02E1CC40">
      <w:pPr>
        <w:pStyle w:val="31"/>
        <w:numPr>
          <w:ilvl w:val="0"/>
          <w:numId w:val="18"/>
        </w:numPr>
        <w:spacing w:line="360" w:lineRule="auto"/>
        <w:ind w:left="80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供应商邀请</w:t>
      </w:r>
    </w:p>
    <w:p w14:paraId="29E958A2">
      <w:pPr>
        <w:pStyle w:val="31"/>
        <w:numPr>
          <w:ilvl w:val="0"/>
          <w:numId w:val="18"/>
        </w:numPr>
        <w:spacing w:line="360" w:lineRule="auto"/>
        <w:ind w:left="80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竞争性磋商流程</w:t>
      </w:r>
    </w:p>
    <w:p w14:paraId="49D5736A">
      <w:pPr>
        <w:pStyle w:val="31"/>
        <w:numPr>
          <w:ilvl w:val="0"/>
          <w:numId w:val="18"/>
        </w:numPr>
        <w:spacing w:line="360" w:lineRule="auto"/>
        <w:ind w:left="80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供应商须知</w:t>
      </w:r>
    </w:p>
    <w:p w14:paraId="602D793B">
      <w:pPr>
        <w:pStyle w:val="31"/>
        <w:numPr>
          <w:ilvl w:val="0"/>
          <w:numId w:val="18"/>
        </w:numPr>
        <w:spacing w:line="360" w:lineRule="auto"/>
        <w:ind w:left="80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p w14:paraId="04D00AE9">
      <w:pPr>
        <w:pStyle w:val="31"/>
        <w:numPr>
          <w:ilvl w:val="0"/>
          <w:numId w:val="18"/>
        </w:numPr>
        <w:spacing w:line="360" w:lineRule="auto"/>
        <w:ind w:left="80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评审方法及评审标准</w:t>
      </w:r>
    </w:p>
    <w:p w14:paraId="300E7817">
      <w:pPr>
        <w:pStyle w:val="31"/>
        <w:numPr>
          <w:ilvl w:val="0"/>
          <w:numId w:val="18"/>
        </w:numPr>
        <w:spacing w:line="360" w:lineRule="auto"/>
        <w:ind w:left="80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拟签订的合同文本</w:t>
      </w:r>
    </w:p>
    <w:p w14:paraId="7172DC0A">
      <w:pPr>
        <w:pStyle w:val="31"/>
        <w:numPr>
          <w:ilvl w:val="0"/>
          <w:numId w:val="18"/>
        </w:numPr>
        <w:spacing w:line="360" w:lineRule="auto"/>
        <w:ind w:left="80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应提交的有关格式范例</w:t>
      </w:r>
    </w:p>
    <w:p w14:paraId="1BE72A8B">
      <w:pPr>
        <w:pStyle w:val="31"/>
        <w:numPr>
          <w:ilvl w:val="0"/>
          <w:numId w:val="18"/>
        </w:numPr>
        <w:spacing w:line="360" w:lineRule="auto"/>
        <w:ind w:left="80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最后报价格式</w:t>
      </w:r>
    </w:p>
    <w:p w14:paraId="2C4900A2">
      <w:pPr>
        <w:pStyle w:val="31"/>
        <w:numPr>
          <w:ilvl w:val="0"/>
          <w:numId w:val="0"/>
        </w:numPr>
        <w:spacing w:line="360" w:lineRule="auto"/>
        <w:ind w:left="397"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1.2与本项目有关的澄清或者修改的内容为磋商文件的组成部分。</w:t>
      </w:r>
    </w:p>
    <w:p w14:paraId="2D722DB5">
      <w:pPr>
        <w:numPr>
          <w:ilvl w:val="0"/>
          <w:numId w:val="0"/>
        </w:numPr>
        <w:snapToGrid w:val="0"/>
        <w:spacing w:line="360" w:lineRule="auto"/>
        <w:ind w:left="26" w:leftChars="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磋商文件的澄清、修改</w:t>
      </w:r>
    </w:p>
    <w:p w14:paraId="1BB58B5F">
      <w:pPr>
        <w:pStyle w:val="392"/>
        <w:numPr>
          <w:ilvl w:val="0"/>
          <w:numId w:val="0"/>
        </w:numPr>
        <w:snapToGrid w:val="0"/>
        <w:spacing w:before="0"/>
        <w:ind w:left="17" w:leftChars="0" w:firstLine="379" w:firstLineChars="158"/>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2.1</w:t>
      </w:r>
      <w:r>
        <w:rPr>
          <w:rFonts w:hint="eastAsia" w:ascii="宋体" w:hAnsi="宋体" w:eastAsia="宋体" w:cs="宋体"/>
          <w:color w:val="auto"/>
          <w:highlight w:val="none"/>
        </w:rPr>
        <w:t>已获取磋商文件的潜在供应商，若有问题需要澄清，应于提交首次响应文件截止时间前，以书面形式向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69549D9D">
      <w:pPr>
        <w:pStyle w:val="392"/>
        <w:numPr>
          <w:ilvl w:val="0"/>
          <w:numId w:val="0"/>
        </w:numPr>
        <w:snapToGrid w:val="0"/>
        <w:spacing w:before="0"/>
        <w:ind w:left="17" w:leftChars="0" w:firstLine="379" w:firstLineChars="158"/>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2.2</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如对已发出的磋商文件进行必要澄清或者修改的，将在发布磋商邀请公告的网站上发布更正（延期）公告，同时视情况延长提交首次响应文件截止时间和响应文件开启时间。该澄清或者修改的内容为磋商文件的组成部分。</w:t>
      </w:r>
    </w:p>
    <w:p w14:paraId="062B9A2F">
      <w:pPr>
        <w:pStyle w:val="392"/>
        <w:numPr>
          <w:ilvl w:val="0"/>
          <w:numId w:val="0"/>
        </w:numPr>
        <w:snapToGrid w:val="0"/>
        <w:spacing w:before="0"/>
        <w:ind w:left="17" w:leftChars="0" w:firstLine="379" w:firstLineChars="158"/>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2.3</w:t>
      </w:r>
      <w:r>
        <w:rPr>
          <w:rFonts w:hint="eastAsia" w:ascii="宋体" w:hAnsi="宋体" w:eastAsia="宋体" w:cs="宋体"/>
          <w:color w:val="auto"/>
          <w:highlight w:val="none"/>
        </w:rPr>
        <w:t>澄清或者修改的内容可能影响响应文件编制的，采购人、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应当在提交首次响应文件截止时间至少5日前，通知所有获取磋商文件的供应商；不足5日的，采购人、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应当顺延提交首次响应文件截止时间。</w:t>
      </w:r>
    </w:p>
    <w:p w14:paraId="1787B179">
      <w:pPr>
        <w:pStyle w:val="392"/>
        <w:snapToGrid w:val="0"/>
        <w:spacing w:before="0"/>
        <w:ind w:firstLine="482"/>
        <w:rPr>
          <w:rFonts w:hint="eastAsia" w:ascii="宋体" w:hAnsi="宋体" w:eastAsia="宋体" w:cs="宋体"/>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szCs w:val="21"/>
          <w:highlight w:val="none"/>
        </w:rPr>
        <w:t>响应文件未按磋商文件的澄清、修改的内容编制，又不符合实质性要求的，响应无效。</w:t>
      </w:r>
    </w:p>
    <w:p w14:paraId="41175D75">
      <w:pPr>
        <w:pStyle w:val="22"/>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3CDEAF16">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lang w:eastAsia="zh-CN"/>
        </w:rPr>
        <w:t>六</w:t>
      </w:r>
      <w:r>
        <w:rPr>
          <w:rFonts w:hint="eastAsia" w:ascii="宋体" w:hAnsi="宋体" w:eastAsia="宋体" w:cs="宋体"/>
          <w:b/>
          <w:color w:val="auto"/>
          <w:sz w:val="32"/>
          <w:szCs w:val="20"/>
          <w:highlight w:val="none"/>
        </w:rPr>
        <w:t>、响应文件的编制</w:t>
      </w:r>
    </w:p>
    <w:p w14:paraId="657F889C">
      <w:pPr>
        <w:numPr>
          <w:ilvl w:val="0"/>
          <w:numId w:val="0"/>
        </w:numPr>
        <w:snapToGrid w:val="0"/>
        <w:spacing w:line="360" w:lineRule="auto"/>
        <w:ind w:left="26" w:leftChars="0"/>
        <w:jc w:val="left"/>
        <w:outlineLvl w:val="1"/>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lang w:eastAsia="zh-CN"/>
        </w:rPr>
        <w:t>响应文件的语言</w:t>
      </w:r>
    </w:p>
    <w:p w14:paraId="54831876">
      <w:pPr>
        <w:pStyle w:val="31"/>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响应文件及供应商与采购有关的来往通知、函件和文件均应使用中文。</w:t>
      </w:r>
    </w:p>
    <w:p w14:paraId="63C21BEC">
      <w:pPr>
        <w:numPr>
          <w:ilvl w:val="0"/>
          <w:numId w:val="0"/>
        </w:numPr>
        <w:snapToGrid w:val="0"/>
        <w:spacing w:line="360" w:lineRule="auto"/>
        <w:ind w:left="26" w:leftChars="0"/>
        <w:jc w:val="left"/>
        <w:outlineLvl w:val="1"/>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lang w:eastAsia="zh-CN"/>
        </w:rPr>
        <w:t>响应文件的组成</w:t>
      </w:r>
    </w:p>
    <w:p w14:paraId="3581AED2">
      <w:pPr>
        <w:pStyle w:val="31"/>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响应文件应当包括以下主要内容：</w:t>
      </w:r>
    </w:p>
    <w:p w14:paraId="04587E34">
      <w:pPr>
        <w:numPr>
          <w:ilvl w:val="1"/>
          <w:numId w:val="19"/>
        </w:numPr>
        <w:snapToGrid w:val="0"/>
        <w:spacing w:line="360" w:lineRule="auto"/>
        <w:ind w:left="850" w:leftChars="0" w:hanging="453" w:firstLineChars="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资格文件：</w:t>
      </w:r>
    </w:p>
    <w:p w14:paraId="3ED177CE">
      <w:pPr>
        <w:numPr>
          <w:ilvl w:val="0"/>
          <w:numId w:val="20"/>
        </w:numPr>
        <w:snapToGrid w:val="0"/>
        <w:spacing w:line="360" w:lineRule="auto"/>
        <w:ind w:left="1508" w:leftChars="0" w:hanging="708"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符合参加政府采购活动应当具备的一般条件的承诺函；</w:t>
      </w:r>
    </w:p>
    <w:p w14:paraId="557A3AD6">
      <w:pPr>
        <w:numPr>
          <w:ilvl w:val="0"/>
          <w:numId w:val="20"/>
        </w:numPr>
        <w:snapToGrid w:val="0"/>
        <w:spacing w:line="360" w:lineRule="auto"/>
        <w:ind w:left="1508" w:leftChars="0" w:hanging="708"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联合协议（如果有）</w:t>
      </w:r>
      <w:r>
        <w:rPr>
          <w:rFonts w:hint="eastAsia" w:ascii="宋体" w:hAnsi="宋体" w:eastAsia="宋体" w:cs="宋体"/>
          <w:color w:val="auto"/>
          <w:sz w:val="24"/>
          <w:highlight w:val="none"/>
          <w:lang w:eastAsia="zh-CN"/>
        </w:rPr>
        <w:t>；</w:t>
      </w:r>
    </w:p>
    <w:p w14:paraId="53B77B80">
      <w:pPr>
        <w:numPr>
          <w:ilvl w:val="0"/>
          <w:numId w:val="20"/>
        </w:numPr>
        <w:snapToGrid w:val="0"/>
        <w:spacing w:line="360" w:lineRule="auto"/>
        <w:ind w:left="1508" w:leftChars="0" w:hanging="708"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落实政府采购政策需满足的资格要求</w:t>
      </w:r>
      <w:r>
        <w:rPr>
          <w:rFonts w:hint="eastAsia" w:ascii="宋体" w:hAnsi="宋体" w:eastAsia="宋体" w:cs="宋体"/>
          <w:color w:val="auto"/>
          <w:sz w:val="24"/>
          <w:highlight w:val="none"/>
          <w:lang w:eastAsia="zh-CN"/>
        </w:rPr>
        <w:t>：无</w:t>
      </w:r>
      <w:r>
        <w:rPr>
          <w:rFonts w:hint="eastAsia" w:ascii="宋体" w:hAnsi="宋体" w:eastAsia="宋体" w:cs="宋体"/>
          <w:color w:val="auto"/>
          <w:sz w:val="24"/>
          <w:highlight w:val="none"/>
        </w:rPr>
        <w:t>；</w:t>
      </w:r>
    </w:p>
    <w:p w14:paraId="6F26B7B4">
      <w:pPr>
        <w:numPr>
          <w:ilvl w:val="0"/>
          <w:numId w:val="20"/>
        </w:numPr>
        <w:snapToGrid w:val="0"/>
        <w:spacing w:line="360" w:lineRule="auto"/>
        <w:ind w:left="1508" w:leftChars="0" w:hanging="708"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本项目的特定资格要求</w:t>
      </w:r>
      <w:r>
        <w:rPr>
          <w:rFonts w:hint="eastAsia" w:ascii="宋体" w:hAnsi="宋体" w:eastAsia="宋体" w:cs="宋体"/>
          <w:color w:val="auto"/>
          <w:sz w:val="24"/>
          <w:highlight w:val="none"/>
          <w:lang w:eastAsia="zh-CN"/>
        </w:rPr>
        <w:t>：无</w:t>
      </w:r>
      <w:r>
        <w:rPr>
          <w:rFonts w:hint="eastAsia" w:ascii="宋体" w:hAnsi="宋体" w:eastAsia="宋体" w:cs="宋体"/>
          <w:color w:val="auto"/>
          <w:sz w:val="24"/>
          <w:highlight w:val="none"/>
        </w:rPr>
        <w:t>。</w:t>
      </w:r>
    </w:p>
    <w:p w14:paraId="44BD2982">
      <w:pPr>
        <w:numPr>
          <w:ilvl w:val="1"/>
          <w:numId w:val="19"/>
        </w:numPr>
        <w:snapToGrid w:val="0"/>
        <w:spacing w:line="360" w:lineRule="auto"/>
        <w:ind w:left="850" w:leftChars="0" w:hanging="453" w:firstLineChars="0"/>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rPr>
        <w:t>商务技术</w:t>
      </w:r>
      <w:r>
        <w:rPr>
          <w:rFonts w:hint="eastAsia" w:ascii="宋体" w:hAnsi="宋体" w:eastAsia="宋体" w:cs="宋体"/>
          <w:b/>
          <w:color w:val="auto"/>
          <w:sz w:val="24"/>
          <w:highlight w:val="none"/>
          <w:lang w:val="zh-CN"/>
        </w:rPr>
        <w:t>文件：</w:t>
      </w:r>
    </w:p>
    <w:p w14:paraId="559877E6">
      <w:pPr>
        <w:numPr>
          <w:ilvl w:val="0"/>
          <w:numId w:val="21"/>
        </w:numPr>
        <w:snapToGrid w:val="0"/>
        <w:spacing w:line="360" w:lineRule="auto"/>
        <w:ind w:left="425" w:leftChars="0" w:firstLine="215"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函；</w:t>
      </w:r>
      <w:r>
        <w:rPr>
          <w:rFonts w:hint="eastAsia" w:ascii="宋体" w:hAnsi="宋体" w:eastAsia="宋体" w:cs="宋体"/>
          <w:color w:val="auto"/>
          <w:sz w:val="24"/>
          <w:highlight w:val="none"/>
          <w:lang w:val="zh-CN"/>
        </w:rPr>
        <w:t xml:space="preserve"> </w:t>
      </w:r>
    </w:p>
    <w:p w14:paraId="25B612D3">
      <w:pPr>
        <w:numPr>
          <w:ilvl w:val="0"/>
          <w:numId w:val="21"/>
        </w:numPr>
        <w:snapToGrid w:val="0"/>
        <w:spacing w:line="360" w:lineRule="auto"/>
        <w:ind w:left="425" w:leftChars="0" w:firstLine="215"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授权委托书或法定代表人（单位负责人、自然人本人）身份证明；</w:t>
      </w:r>
    </w:p>
    <w:p w14:paraId="2C7BAC47">
      <w:pPr>
        <w:numPr>
          <w:ilvl w:val="0"/>
          <w:numId w:val="21"/>
        </w:numPr>
        <w:snapToGrid w:val="0"/>
        <w:spacing w:line="360" w:lineRule="auto"/>
        <w:ind w:left="425" w:leftChars="0" w:firstLine="215"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分包意向协议；</w:t>
      </w:r>
      <w:r>
        <w:rPr>
          <w:rFonts w:hint="eastAsia" w:ascii="宋体" w:hAnsi="宋体" w:eastAsia="宋体" w:cs="宋体"/>
          <w:b w:val="0"/>
          <w:bCs/>
          <w:color w:val="auto"/>
          <w:sz w:val="24"/>
          <w:highlight w:val="none"/>
          <w:lang w:eastAsia="zh-CN"/>
        </w:rPr>
        <w:t>（如果有）</w:t>
      </w:r>
    </w:p>
    <w:p w14:paraId="12E3BA2A">
      <w:pPr>
        <w:numPr>
          <w:ilvl w:val="0"/>
          <w:numId w:val="21"/>
        </w:numPr>
        <w:snapToGrid w:val="0"/>
        <w:spacing w:line="360" w:lineRule="auto"/>
        <w:ind w:left="425" w:leftChars="0" w:firstLine="215"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符合性审查资料；</w:t>
      </w:r>
    </w:p>
    <w:p w14:paraId="4B83F952">
      <w:pPr>
        <w:numPr>
          <w:ilvl w:val="0"/>
          <w:numId w:val="21"/>
        </w:numPr>
        <w:snapToGrid w:val="0"/>
        <w:spacing w:line="360" w:lineRule="auto"/>
        <w:ind w:left="425" w:leftChars="0" w:firstLine="215"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评标标准相应的商务技术资料；</w:t>
      </w:r>
    </w:p>
    <w:p w14:paraId="42DEDF43">
      <w:pPr>
        <w:numPr>
          <w:ilvl w:val="0"/>
          <w:numId w:val="21"/>
        </w:numPr>
        <w:snapToGrid w:val="0"/>
        <w:spacing w:line="360" w:lineRule="auto"/>
        <w:ind w:left="425" w:leftChars="0" w:firstLine="215"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标的清单；</w:t>
      </w:r>
    </w:p>
    <w:p w14:paraId="7601EA85">
      <w:pPr>
        <w:numPr>
          <w:ilvl w:val="0"/>
          <w:numId w:val="21"/>
        </w:numPr>
        <w:snapToGrid w:val="0"/>
        <w:spacing w:line="360" w:lineRule="auto"/>
        <w:ind w:left="425" w:leftChars="0" w:firstLine="215"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商务技术偏离表；</w:t>
      </w:r>
    </w:p>
    <w:p w14:paraId="34EAEFAC">
      <w:pPr>
        <w:numPr>
          <w:ilvl w:val="0"/>
          <w:numId w:val="21"/>
        </w:numPr>
        <w:snapToGrid w:val="0"/>
        <w:spacing w:line="360" w:lineRule="auto"/>
        <w:ind w:left="425" w:leftChars="0" w:firstLine="215"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政府采购供应商廉洁自律承诺书。</w:t>
      </w:r>
    </w:p>
    <w:p w14:paraId="1B9B8599">
      <w:pPr>
        <w:numPr>
          <w:ilvl w:val="1"/>
          <w:numId w:val="19"/>
        </w:numPr>
        <w:snapToGrid w:val="0"/>
        <w:spacing w:line="360" w:lineRule="auto"/>
        <w:ind w:left="850" w:leftChars="0" w:hanging="453" w:firstLineChars="0"/>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 xml:space="preserve">报价文件： </w:t>
      </w:r>
    </w:p>
    <w:p w14:paraId="2BD2CEA9">
      <w:pPr>
        <w:numPr>
          <w:ilvl w:val="0"/>
          <w:numId w:val="22"/>
        </w:numPr>
        <w:snapToGrid w:val="0"/>
        <w:spacing w:line="360" w:lineRule="auto"/>
        <w:ind w:left="425" w:leftChars="0" w:firstLine="215" w:firstLineChars="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eastAsia="zh-CN"/>
        </w:rPr>
        <w:t>初始报价一览表</w:t>
      </w:r>
      <w:r>
        <w:rPr>
          <w:rFonts w:hint="eastAsia" w:ascii="宋体" w:hAnsi="宋体" w:eastAsia="宋体" w:cs="宋体"/>
          <w:i w:val="0"/>
          <w:iCs w:val="0"/>
          <w:color w:val="auto"/>
          <w:sz w:val="24"/>
          <w:highlight w:val="none"/>
        </w:rPr>
        <w:t>；</w:t>
      </w:r>
    </w:p>
    <w:p w14:paraId="21512854">
      <w:pPr>
        <w:numPr>
          <w:ilvl w:val="0"/>
          <w:numId w:val="22"/>
        </w:numPr>
        <w:snapToGrid w:val="0"/>
        <w:spacing w:line="360" w:lineRule="auto"/>
        <w:ind w:left="425" w:leftChars="0" w:firstLine="215" w:firstLineChars="0"/>
        <w:rPr>
          <w:rFonts w:hint="eastAsia" w:ascii="宋体" w:hAnsi="宋体" w:eastAsia="宋体" w:cs="宋体"/>
          <w:i/>
          <w:iCs/>
          <w:color w:val="auto"/>
          <w:sz w:val="24"/>
          <w:highlight w:val="none"/>
          <w:lang w:eastAsia="zh-CN"/>
        </w:rPr>
      </w:pPr>
      <w:r>
        <w:rPr>
          <w:rFonts w:hint="eastAsia" w:ascii="宋体" w:hAnsi="宋体" w:eastAsia="宋体" w:cs="宋体"/>
          <w:i w:val="0"/>
          <w:iCs w:val="0"/>
          <w:color w:val="auto"/>
          <w:sz w:val="24"/>
          <w:highlight w:val="none"/>
          <w:lang w:eastAsia="zh-CN"/>
        </w:rPr>
        <w:t>中小企业声明函（如果有）。</w:t>
      </w:r>
    </w:p>
    <w:p w14:paraId="0BDC2FD4">
      <w:pPr>
        <w:spacing w:line="360" w:lineRule="auto"/>
        <w:ind w:firstLine="420" w:firstLineChars="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文件含有采购人不能接受的附加条件的，</w:t>
      </w:r>
      <w:r>
        <w:rPr>
          <w:rFonts w:hint="eastAsia" w:ascii="宋体" w:hAnsi="宋体" w:eastAsia="宋体" w:cs="宋体"/>
          <w:b/>
          <w:color w:val="auto"/>
          <w:sz w:val="24"/>
          <w:highlight w:val="none"/>
          <w:lang w:eastAsia="zh-CN"/>
        </w:rPr>
        <w:t>磋商</w:t>
      </w:r>
      <w:r>
        <w:rPr>
          <w:rFonts w:hint="eastAsia" w:ascii="宋体" w:hAnsi="宋体" w:eastAsia="宋体" w:cs="宋体"/>
          <w:b/>
          <w:color w:val="auto"/>
          <w:sz w:val="24"/>
          <w:highlight w:val="none"/>
        </w:rPr>
        <w:t>无效；</w:t>
      </w:r>
    </w:p>
    <w:p w14:paraId="4B63FFD8">
      <w:pPr>
        <w:spacing w:line="360" w:lineRule="auto"/>
        <w:ind w:firstLine="420" w:firstLineChars="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提供虚假材料</w:t>
      </w: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的，</w:t>
      </w:r>
      <w:r>
        <w:rPr>
          <w:rFonts w:hint="eastAsia" w:ascii="宋体" w:hAnsi="宋体" w:eastAsia="宋体" w:cs="宋体"/>
          <w:b/>
          <w:color w:val="auto"/>
          <w:sz w:val="24"/>
          <w:highlight w:val="none"/>
          <w:lang w:eastAsia="zh-CN"/>
        </w:rPr>
        <w:t>磋商</w:t>
      </w:r>
      <w:r>
        <w:rPr>
          <w:rFonts w:hint="eastAsia" w:ascii="宋体" w:hAnsi="宋体" w:eastAsia="宋体" w:cs="宋体"/>
          <w:b/>
          <w:color w:val="auto"/>
          <w:sz w:val="24"/>
          <w:highlight w:val="none"/>
        </w:rPr>
        <w:t>无效。</w:t>
      </w:r>
    </w:p>
    <w:p w14:paraId="45D0F3F9">
      <w:pPr>
        <w:pStyle w:val="22"/>
        <w:rPr>
          <w:rFonts w:hint="eastAsia" w:ascii="宋体" w:hAnsi="宋体" w:eastAsia="宋体" w:cs="宋体"/>
          <w:color w:val="auto"/>
          <w:highlight w:val="none"/>
        </w:rPr>
      </w:pPr>
    </w:p>
    <w:p w14:paraId="1940F321">
      <w:pPr>
        <w:numPr>
          <w:ilvl w:val="0"/>
          <w:numId w:val="0"/>
        </w:numPr>
        <w:snapToGrid w:val="0"/>
        <w:spacing w:line="360" w:lineRule="auto"/>
        <w:ind w:left="26" w:leftChars="0"/>
        <w:jc w:val="left"/>
        <w:outlineLvl w:val="1"/>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lang w:eastAsia="zh-CN"/>
        </w:rPr>
        <w:t>响应文件的编制和签署</w:t>
      </w:r>
    </w:p>
    <w:p w14:paraId="09A19128">
      <w:pPr>
        <w:numPr>
          <w:ilvl w:val="0"/>
          <w:numId w:val="0"/>
        </w:numPr>
        <w:spacing w:line="360" w:lineRule="auto"/>
        <w:ind w:left="0" w:leftChars="0" w:firstLine="420" w:firstLineChars="175"/>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en-US" w:eastAsia="zh-CN"/>
        </w:rPr>
        <w:t>3.1</w:t>
      </w:r>
      <w:r>
        <w:rPr>
          <w:rFonts w:hint="eastAsia" w:ascii="宋体" w:hAnsi="宋体" w:eastAsia="宋体" w:cs="宋体"/>
          <w:color w:val="auto"/>
          <w:kern w:val="0"/>
          <w:sz w:val="24"/>
          <w:highlight w:val="none"/>
          <w:lang w:val="zh-CN"/>
        </w:rPr>
        <w:t>响应文件分为资格文件、商务技术文件、报价文件三部分。各供应商在编制响应文件时请按照磋商文件第七部分规定的格式进行，混乱的编排导致响应文件被误读或磋商小组查找不到有效文件是供应商的风险。</w:t>
      </w:r>
    </w:p>
    <w:p w14:paraId="0B29F0B4">
      <w:pPr>
        <w:numPr>
          <w:ilvl w:val="0"/>
          <w:numId w:val="0"/>
        </w:numPr>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3.2</w:t>
      </w:r>
      <w:r>
        <w:rPr>
          <w:rFonts w:hint="eastAsia" w:ascii="宋体" w:hAnsi="宋体" w:eastAsia="宋体" w:cs="宋体"/>
          <w:color w:val="auto"/>
          <w:kern w:val="0"/>
          <w:sz w:val="24"/>
          <w:highlight w:val="none"/>
          <w:lang w:val="zh-CN"/>
        </w:rPr>
        <w:t>供应商进行电子交易应安装客户端软件—“政采云电子交易客户端”，并按照磋商文件和电子交易平台的要求编制并加密响应文件。供应商未按规定加密的响应文件，电子交易平台将拒收并提示。</w:t>
      </w:r>
    </w:p>
    <w:p w14:paraId="70F5FAB6">
      <w:pPr>
        <w:numPr>
          <w:ilvl w:val="0"/>
          <w:numId w:val="0"/>
        </w:numPr>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3.3</w:t>
      </w:r>
      <w:r>
        <w:rPr>
          <w:rFonts w:hint="eastAsia" w:ascii="宋体" w:hAnsi="宋体" w:eastAsia="宋体" w:cs="宋体"/>
          <w:color w:val="auto"/>
          <w:kern w:val="0"/>
          <w:sz w:val="24"/>
          <w:highlight w:val="none"/>
          <w:lang w:val="zh-CN"/>
        </w:rPr>
        <w:t>使用“政采云电子交易客户端”需要提前申领CA数字证书，申领流程请自行前往“浙江政府采购网-下载专区-电子交易客户端-CA驱动和申领流程”进行查阅。</w:t>
      </w:r>
    </w:p>
    <w:p w14:paraId="656F1F3D">
      <w:pPr>
        <w:numPr>
          <w:ilvl w:val="0"/>
          <w:numId w:val="0"/>
        </w:numPr>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3.4响应文件按照磋商文件第七部分格式要求进行签署、盖章。</w:t>
      </w:r>
    </w:p>
    <w:p w14:paraId="523E35ED">
      <w:pPr>
        <w:numPr>
          <w:ilvl w:val="0"/>
          <w:numId w:val="0"/>
        </w:numPr>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▲供应商的响应文件未按照磋商文件要求签署、盖章的，其响应无效。</w:t>
      </w:r>
    </w:p>
    <w:p w14:paraId="77F99357">
      <w:pPr>
        <w:numPr>
          <w:ilvl w:val="0"/>
          <w:numId w:val="0"/>
        </w:numPr>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3.5为确保网上操作合法、有效和安全，供应商应当在响应截止时间前完成在“政府采购云平台”的身份认证，确保在电子交易过程中能够对相关数据电文进行加密和使用电子签名。</w:t>
      </w:r>
    </w:p>
    <w:p w14:paraId="6A737CC3">
      <w:pPr>
        <w:numPr>
          <w:ilvl w:val="0"/>
          <w:numId w:val="0"/>
        </w:numPr>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3.6磋商文件对响应文件签署、盖章的要求适用于电子签名。</w:t>
      </w:r>
    </w:p>
    <w:p w14:paraId="0645F15A">
      <w:pPr>
        <w:numPr>
          <w:ilvl w:val="0"/>
          <w:numId w:val="0"/>
        </w:numPr>
        <w:spacing w:line="360" w:lineRule="auto"/>
        <w:ind w:left="0" w:leftChars="0" w:firstLine="420" w:firstLineChars="175"/>
        <w:rPr>
          <w:rFonts w:hint="eastAsia" w:ascii="宋体" w:hAnsi="宋体" w:eastAsia="宋体" w:cs="宋体"/>
          <w:color w:val="auto"/>
          <w:kern w:val="0"/>
          <w:sz w:val="24"/>
          <w:highlight w:val="none"/>
          <w:lang w:val="zh-CN"/>
        </w:rPr>
      </w:pPr>
    </w:p>
    <w:p w14:paraId="283E9EFE">
      <w:pPr>
        <w:adjustRightInd/>
        <w:spacing w:line="360" w:lineRule="auto"/>
        <w:jc w:val="center"/>
        <w:outlineLvl w:val="0"/>
        <w:rPr>
          <w:rFonts w:hint="eastAsia" w:ascii="宋体" w:hAnsi="宋体" w:eastAsia="宋体" w:cs="宋体"/>
          <w:b/>
          <w:color w:val="auto"/>
          <w:sz w:val="32"/>
          <w:szCs w:val="20"/>
          <w:highlight w:val="none"/>
          <w:lang w:val="zh-CN"/>
        </w:rPr>
      </w:pPr>
      <w:r>
        <w:rPr>
          <w:rFonts w:hint="eastAsia" w:ascii="宋体" w:hAnsi="宋体" w:eastAsia="宋体" w:cs="宋体"/>
          <w:b/>
          <w:color w:val="auto"/>
          <w:sz w:val="32"/>
          <w:szCs w:val="20"/>
          <w:highlight w:val="none"/>
        </w:rPr>
        <w:t>七、响应文件的提交和备份</w:t>
      </w:r>
    </w:p>
    <w:p w14:paraId="26818800">
      <w:pPr>
        <w:numPr>
          <w:ilvl w:val="0"/>
          <w:numId w:val="0"/>
        </w:numPr>
        <w:snapToGrid w:val="0"/>
        <w:spacing w:line="360" w:lineRule="auto"/>
        <w:ind w:left="26" w:leftChars="0"/>
        <w:jc w:val="left"/>
        <w:outlineLvl w:val="1"/>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lang w:eastAsia="zh-CN"/>
        </w:rPr>
        <w:t>响应文件的提交、补充、修改、撤回</w:t>
      </w:r>
    </w:p>
    <w:p w14:paraId="1243B651">
      <w:pPr>
        <w:numPr>
          <w:ilvl w:val="0"/>
          <w:numId w:val="0"/>
        </w:numPr>
        <w:spacing w:line="360" w:lineRule="auto"/>
        <w:ind w:left="0" w:leftChars="0" w:firstLine="420" w:firstLineChars="175"/>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48AEB586">
      <w:pPr>
        <w:numPr>
          <w:ilvl w:val="0"/>
          <w:numId w:val="0"/>
        </w:numPr>
        <w:spacing w:line="360" w:lineRule="auto"/>
        <w:ind w:left="0" w:leftChars="0" w:firstLine="420" w:firstLineChars="175"/>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 在响应截止时间以后，不能补充、修改响应文件。</w:t>
      </w:r>
    </w:p>
    <w:p w14:paraId="7844B63A">
      <w:pPr>
        <w:numPr>
          <w:ilvl w:val="0"/>
          <w:numId w:val="0"/>
        </w:numPr>
        <w:spacing w:line="360" w:lineRule="auto"/>
        <w:ind w:left="0" w:leftChars="0" w:firstLine="420" w:firstLineChars="175"/>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1.3 在提交“最后报价”后，供应商不能退出磋商。</w:t>
      </w:r>
    </w:p>
    <w:p w14:paraId="0389111E">
      <w:pPr>
        <w:numPr>
          <w:ilvl w:val="0"/>
          <w:numId w:val="0"/>
        </w:numPr>
        <w:spacing w:line="360" w:lineRule="auto"/>
        <w:ind w:left="0" w:leftChars="0" w:firstLine="420" w:firstLineChars="175"/>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1.4 电子交易平台收到响应文件，将妥善保存并即时向供应商发出确认回执通知。在响应截止时间前，除供应商补充、修改或者撤回响应文件外，任何单位和个人不得解密或提取响应文件。</w:t>
      </w:r>
    </w:p>
    <w:p w14:paraId="42675C7A">
      <w:pPr>
        <w:numPr>
          <w:ilvl w:val="0"/>
          <w:numId w:val="0"/>
        </w:numPr>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1.5 采购代理机构可以视情况延长提交响应文件的截止时间。在上述情况下，采购代理机构与供应商以前在响应截止期方面的全部权利、责任和义务，将适用于延长至新的响应截止期</w:t>
      </w:r>
      <w:r>
        <w:rPr>
          <w:rFonts w:hint="eastAsia" w:ascii="宋体" w:hAnsi="宋体" w:eastAsia="宋体" w:cs="宋体"/>
          <w:color w:val="auto"/>
          <w:kern w:val="0"/>
          <w:sz w:val="24"/>
          <w:highlight w:val="none"/>
          <w:lang w:val="zh-CN"/>
        </w:rPr>
        <w:t>。</w:t>
      </w:r>
    </w:p>
    <w:p w14:paraId="207071AA">
      <w:pPr>
        <w:pStyle w:val="392"/>
        <w:numPr>
          <w:ilvl w:val="0"/>
          <w:numId w:val="0"/>
        </w:numPr>
        <w:spacing w:before="0"/>
        <w:ind w:left="397" w:leftChars="0"/>
        <w:rPr>
          <w:rFonts w:hint="eastAsia" w:ascii="宋体" w:hAnsi="宋体" w:eastAsia="宋体" w:cs="宋体"/>
          <w:color w:val="auto"/>
          <w:szCs w:val="24"/>
          <w:highlight w:val="none"/>
        </w:rPr>
      </w:pPr>
    </w:p>
    <w:p w14:paraId="0D59D1F6">
      <w:pPr>
        <w:numPr>
          <w:ilvl w:val="0"/>
          <w:numId w:val="0"/>
        </w:numPr>
        <w:snapToGrid w:val="0"/>
        <w:spacing w:line="360" w:lineRule="auto"/>
        <w:ind w:left="26" w:leftChars="0"/>
        <w:jc w:val="left"/>
        <w:outlineLvl w:val="1"/>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lang w:eastAsia="zh-CN"/>
        </w:rPr>
        <w:t>备份响应文件</w:t>
      </w:r>
    </w:p>
    <w:p w14:paraId="723369B7">
      <w:pPr>
        <w:pStyle w:val="31"/>
        <w:numPr>
          <w:ilvl w:val="0"/>
          <w:numId w:val="0"/>
        </w:numPr>
        <w:spacing w:line="360" w:lineRule="auto"/>
        <w:ind w:left="17" w:leftChars="0" w:firstLine="379" w:firstLineChars="158"/>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lang w:val="en-US" w:eastAsia="zh-CN"/>
        </w:rPr>
        <w:t>2.1</w:t>
      </w:r>
      <w:r>
        <w:rPr>
          <w:rFonts w:hint="eastAsia" w:ascii="宋体" w:hAnsi="宋体" w:eastAsia="宋体" w:cs="宋体"/>
          <w:b w:val="0"/>
          <w:bCs w:val="0"/>
          <w:color w:val="auto"/>
          <w:sz w:val="24"/>
          <w:szCs w:val="24"/>
          <w:highlight w:val="none"/>
        </w:rPr>
        <w:t>供应商在电子交易平台传输提交响应文件后，还可以在响应截止时间前直接提交或者以邮政快递方式递交备份响应文件1份，</w:t>
      </w:r>
      <w:r>
        <w:rPr>
          <w:rFonts w:hint="eastAsia" w:ascii="宋体" w:hAnsi="宋体" w:eastAsia="宋体" w:cs="宋体"/>
          <w:b/>
          <w:bCs/>
          <w:color w:val="auto"/>
          <w:sz w:val="24"/>
          <w:szCs w:val="24"/>
          <w:highlight w:val="none"/>
        </w:rPr>
        <w:t>但采购人、</w:t>
      </w:r>
      <w:r>
        <w:rPr>
          <w:rFonts w:hint="eastAsia" w:ascii="宋体" w:hAnsi="宋体" w:eastAsia="宋体" w:cs="宋体"/>
          <w:b/>
          <w:bCs/>
          <w:color w:val="auto"/>
          <w:sz w:val="24"/>
          <w:szCs w:val="24"/>
          <w:highlight w:val="none"/>
          <w:lang w:eastAsia="zh-CN"/>
        </w:rPr>
        <w:t>采购代理机构</w:t>
      </w:r>
      <w:r>
        <w:rPr>
          <w:rFonts w:hint="eastAsia" w:ascii="宋体" w:hAnsi="宋体" w:eastAsia="宋体" w:cs="宋体"/>
          <w:b/>
          <w:bCs/>
          <w:color w:val="auto"/>
          <w:sz w:val="24"/>
          <w:szCs w:val="24"/>
          <w:highlight w:val="none"/>
        </w:rPr>
        <w:t>不强制或变相强制供应商提交备份响应文件。</w:t>
      </w:r>
    </w:p>
    <w:p w14:paraId="6301331B">
      <w:pPr>
        <w:pStyle w:val="31"/>
        <w:numPr>
          <w:ilvl w:val="0"/>
          <w:numId w:val="0"/>
        </w:numPr>
        <w:spacing w:line="360" w:lineRule="auto"/>
        <w:ind w:left="17" w:leftChars="0" w:firstLine="379" w:firstLineChars="158"/>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2.2</w:t>
      </w:r>
      <w:r>
        <w:rPr>
          <w:rFonts w:hint="eastAsia" w:ascii="宋体" w:hAnsi="宋体" w:eastAsia="宋体" w:cs="宋体"/>
          <w:b w:val="0"/>
          <w:bCs w:val="0"/>
          <w:color w:val="auto"/>
          <w:sz w:val="24"/>
          <w:szCs w:val="24"/>
          <w:highlight w:val="none"/>
        </w:rPr>
        <w:t>备份响应文件须在“政采云投标客户端”制作生成，并储存在DVD光盘</w:t>
      </w:r>
      <w:r>
        <w:rPr>
          <w:rFonts w:hint="eastAsia" w:ascii="宋体" w:hAnsi="宋体" w:eastAsia="宋体" w:cs="宋体"/>
          <w:b w:val="0"/>
          <w:bCs w:val="0"/>
          <w:color w:val="auto"/>
          <w:sz w:val="24"/>
          <w:szCs w:val="24"/>
          <w:highlight w:val="none"/>
          <w:lang w:eastAsia="zh-CN"/>
        </w:rPr>
        <w:t>或</w:t>
      </w:r>
      <w:r>
        <w:rPr>
          <w:rFonts w:hint="eastAsia" w:ascii="宋体" w:hAnsi="宋体" w:eastAsia="宋体" w:cs="宋体"/>
          <w:b w:val="0"/>
          <w:bCs w:val="0"/>
          <w:color w:val="auto"/>
          <w:sz w:val="24"/>
          <w:szCs w:val="24"/>
          <w:highlight w:val="none"/>
          <w:lang w:val="en-US" w:eastAsia="zh-CN"/>
        </w:rPr>
        <w:t>U盘</w:t>
      </w:r>
      <w:r>
        <w:rPr>
          <w:rFonts w:hint="eastAsia" w:ascii="宋体" w:hAnsi="宋体" w:eastAsia="宋体" w:cs="宋体"/>
          <w:b w:val="0"/>
          <w:bCs w:val="0"/>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宋体" w:hAnsi="宋体" w:eastAsia="宋体" w:cs="宋体"/>
          <w:b w:val="0"/>
          <w:bCs w:val="0"/>
          <w:color w:val="auto"/>
          <w:sz w:val="24"/>
          <w:szCs w:val="24"/>
          <w:highlight w:val="none"/>
          <w:lang w:eastAsia="zh-CN"/>
        </w:rPr>
        <w:t>。</w:t>
      </w:r>
    </w:p>
    <w:p w14:paraId="7BADB657">
      <w:pPr>
        <w:pStyle w:val="31"/>
        <w:numPr>
          <w:ilvl w:val="0"/>
          <w:numId w:val="0"/>
        </w:numPr>
        <w:spacing w:line="360" w:lineRule="auto"/>
        <w:ind w:left="17" w:leftChars="0" w:firstLine="381" w:firstLineChars="158"/>
        <w:rPr>
          <w:rFonts w:hint="eastAsia" w:ascii="宋体" w:hAnsi="宋体" w:eastAsia="宋体" w:cs="宋体"/>
          <w:b/>
          <w:bCs/>
          <w:color w:val="auto"/>
          <w:sz w:val="24"/>
          <w:szCs w:val="24"/>
          <w:highlight w:val="none"/>
        </w:rPr>
      </w:pPr>
      <w:r>
        <w:rPr>
          <w:rFonts w:hint="eastAsia" w:ascii="宋体" w:hAnsi="宋体" w:eastAsia="宋体" w:cs="宋体"/>
          <w:b/>
          <w:color w:val="auto"/>
          <w:sz w:val="24"/>
          <w:highlight w:val="none"/>
        </w:rPr>
        <w:t>▲</w:t>
      </w:r>
      <w:r>
        <w:rPr>
          <w:rFonts w:hint="eastAsia" w:ascii="宋体" w:hAnsi="宋体" w:eastAsia="宋体" w:cs="宋体"/>
          <w:b/>
          <w:bCs/>
          <w:color w:val="auto"/>
          <w:sz w:val="24"/>
          <w:highlight w:val="none"/>
        </w:rPr>
        <w:t>不符合上述制作、</w:t>
      </w:r>
      <w:r>
        <w:rPr>
          <w:rFonts w:hint="eastAsia" w:ascii="宋体" w:hAnsi="宋体" w:eastAsia="宋体" w:cs="宋体"/>
          <w:b/>
          <w:bCs/>
          <w:color w:val="auto"/>
          <w:sz w:val="24"/>
          <w:szCs w:val="24"/>
          <w:highlight w:val="none"/>
        </w:rPr>
        <w:t>存储、密封规定的备份响应文件将被视为无效或者被拒绝接收。</w:t>
      </w:r>
    </w:p>
    <w:p w14:paraId="250BAC40">
      <w:pPr>
        <w:pStyle w:val="31"/>
        <w:numPr>
          <w:ilvl w:val="0"/>
          <w:numId w:val="0"/>
        </w:numPr>
        <w:spacing w:line="360" w:lineRule="auto"/>
        <w:ind w:left="17" w:leftChars="0" w:firstLine="379" w:firstLineChars="15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2.3</w:t>
      </w:r>
      <w:r>
        <w:rPr>
          <w:rFonts w:hint="eastAsia" w:ascii="宋体" w:hAnsi="宋体" w:eastAsia="宋体" w:cs="宋体"/>
          <w:b w:val="0"/>
          <w:bCs w:val="0"/>
          <w:color w:val="auto"/>
          <w:sz w:val="24"/>
          <w:szCs w:val="24"/>
          <w:highlight w:val="none"/>
        </w:rPr>
        <w:t>直接提交备份响应文件的，供应商应于响应截止时间前在磋商公告中载明的开启响应文件的地点将备份响应文件提交给</w:t>
      </w:r>
      <w:r>
        <w:rPr>
          <w:rFonts w:hint="eastAsia" w:ascii="宋体" w:hAnsi="宋体" w:eastAsia="宋体" w:cs="宋体"/>
          <w:b w:val="0"/>
          <w:bCs w:val="0"/>
          <w:color w:val="auto"/>
          <w:sz w:val="24"/>
          <w:szCs w:val="24"/>
          <w:highlight w:val="none"/>
          <w:lang w:eastAsia="zh-CN"/>
        </w:rPr>
        <w:t>采购代理机构</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采购代理机构</w:t>
      </w:r>
      <w:r>
        <w:rPr>
          <w:rFonts w:hint="eastAsia" w:ascii="宋体" w:hAnsi="宋体" w:eastAsia="宋体" w:cs="宋体"/>
          <w:b w:val="0"/>
          <w:bCs w:val="0"/>
          <w:color w:val="auto"/>
          <w:sz w:val="24"/>
          <w:szCs w:val="24"/>
          <w:highlight w:val="none"/>
        </w:rPr>
        <w:t>将拒绝接受逾期送达的备份响应文件。</w:t>
      </w:r>
    </w:p>
    <w:p w14:paraId="6A3BC16C">
      <w:pPr>
        <w:pStyle w:val="31"/>
        <w:numPr>
          <w:ilvl w:val="0"/>
          <w:numId w:val="0"/>
        </w:numPr>
        <w:spacing w:line="360" w:lineRule="auto"/>
        <w:ind w:left="17" w:leftChars="0" w:firstLine="379" w:firstLineChars="15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2.4</w:t>
      </w:r>
      <w:r>
        <w:rPr>
          <w:rFonts w:hint="eastAsia" w:ascii="宋体" w:hAnsi="宋体" w:eastAsia="宋体" w:cs="宋体"/>
          <w:b w:val="0"/>
          <w:bCs w:val="0"/>
          <w:color w:val="auto"/>
          <w:sz w:val="24"/>
          <w:szCs w:val="24"/>
          <w:highlight w:val="none"/>
        </w:rPr>
        <w:t>以邮政快递方式递交备份响应文件的，供应商应先将备份响应文件按要求密封和标记，再进行邮政快递包装后邮寄。备份响应文件须在提交响应文件截止时间之前送达</w:t>
      </w:r>
      <w:r>
        <w:rPr>
          <w:rFonts w:hint="eastAsia" w:ascii="宋体" w:hAnsi="宋体" w:eastAsia="宋体" w:cs="宋体"/>
          <w:b w:val="0"/>
          <w:bCs w:val="0"/>
          <w:color w:val="auto"/>
          <w:sz w:val="24"/>
          <w:szCs w:val="24"/>
          <w:highlight w:val="none"/>
          <w:lang w:eastAsia="zh-CN"/>
        </w:rPr>
        <w:t>磋商</w:t>
      </w:r>
      <w:r>
        <w:rPr>
          <w:rFonts w:hint="eastAsia" w:ascii="宋体" w:hAnsi="宋体" w:eastAsia="宋体" w:cs="宋体"/>
          <w:b w:val="0"/>
          <w:bCs w:val="0"/>
          <w:color w:val="auto"/>
          <w:sz w:val="24"/>
          <w:szCs w:val="24"/>
          <w:highlight w:val="none"/>
        </w:rPr>
        <w:t>文件第</w:t>
      </w:r>
      <w:r>
        <w:rPr>
          <w:rFonts w:hint="eastAsia" w:ascii="宋体" w:hAnsi="宋体" w:eastAsia="宋体" w:cs="宋体"/>
          <w:b w:val="0"/>
          <w:bCs w:val="0"/>
          <w:color w:val="auto"/>
          <w:sz w:val="24"/>
          <w:szCs w:val="24"/>
          <w:highlight w:val="none"/>
          <w:lang w:eastAsia="zh-CN"/>
        </w:rPr>
        <w:t>三</w:t>
      </w:r>
      <w:r>
        <w:rPr>
          <w:rFonts w:hint="eastAsia" w:ascii="宋体" w:hAnsi="宋体" w:eastAsia="宋体" w:cs="宋体"/>
          <w:b w:val="0"/>
          <w:bCs w:val="0"/>
          <w:color w:val="auto"/>
          <w:sz w:val="24"/>
          <w:szCs w:val="24"/>
          <w:highlight w:val="none"/>
        </w:rPr>
        <w:t>部分</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须知前附表规定的备份</w:t>
      </w:r>
      <w:r>
        <w:rPr>
          <w:rFonts w:hint="eastAsia" w:ascii="宋体" w:hAnsi="宋体" w:eastAsia="宋体" w:cs="宋体"/>
          <w:b w:val="0"/>
          <w:bCs w:val="0"/>
          <w:color w:val="auto"/>
          <w:sz w:val="24"/>
          <w:szCs w:val="24"/>
          <w:highlight w:val="none"/>
          <w:lang w:eastAsia="zh-CN"/>
        </w:rPr>
        <w:t>响应</w:t>
      </w:r>
      <w:r>
        <w:rPr>
          <w:rFonts w:hint="eastAsia" w:ascii="宋体" w:hAnsi="宋体" w:eastAsia="宋体" w:cs="宋体"/>
          <w:b w:val="0"/>
          <w:bCs w:val="0"/>
          <w:color w:val="auto"/>
          <w:sz w:val="24"/>
          <w:szCs w:val="24"/>
          <w:highlight w:val="none"/>
        </w:rPr>
        <w:t>文件送达地点；送达时间以签收人签收时间为准。</w:t>
      </w:r>
      <w:r>
        <w:rPr>
          <w:rFonts w:hint="eastAsia" w:ascii="宋体" w:hAnsi="宋体" w:eastAsia="宋体" w:cs="宋体"/>
          <w:b w:val="0"/>
          <w:bCs w:val="0"/>
          <w:color w:val="auto"/>
          <w:sz w:val="24"/>
          <w:szCs w:val="24"/>
          <w:highlight w:val="none"/>
          <w:lang w:eastAsia="zh-CN"/>
        </w:rPr>
        <w:t>采购代理机构</w:t>
      </w:r>
      <w:r>
        <w:rPr>
          <w:rFonts w:hint="eastAsia" w:ascii="宋体" w:hAnsi="宋体" w:eastAsia="宋体" w:cs="宋体"/>
          <w:b w:val="0"/>
          <w:bCs w:val="0"/>
          <w:color w:val="auto"/>
          <w:sz w:val="24"/>
          <w:szCs w:val="24"/>
          <w:highlight w:val="none"/>
        </w:rPr>
        <w:t>将拒绝接受逾期送达的备份响应文件。邮寄过程中，电子备份响应文件发生泄露、遗失、损坏或延期送达等情况的，由供应商自行负责。</w:t>
      </w:r>
    </w:p>
    <w:p w14:paraId="07ACFDC5">
      <w:pPr>
        <w:pStyle w:val="31"/>
        <w:numPr>
          <w:ilvl w:val="0"/>
          <w:numId w:val="0"/>
        </w:numPr>
        <w:spacing w:line="360" w:lineRule="auto"/>
        <w:ind w:left="17" w:leftChars="0" w:firstLine="381" w:firstLineChars="158"/>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2.5</w:t>
      </w:r>
      <w:r>
        <w:rPr>
          <w:rFonts w:hint="eastAsia" w:ascii="宋体" w:hAnsi="宋体" w:eastAsia="宋体" w:cs="宋体"/>
          <w:b/>
          <w:bCs/>
          <w:color w:val="auto"/>
          <w:sz w:val="24"/>
          <w:szCs w:val="24"/>
          <w:highlight w:val="none"/>
        </w:rPr>
        <w:t>▲供应商仅提交备份响应文件，未在电子交易平台传输提交响应文件的，响应无效。</w:t>
      </w:r>
    </w:p>
    <w:p w14:paraId="7AC832EA">
      <w:pPr>
        <w:pStyle w:val="31"/>
        <w:numPr>
          <w:ilvl w:val="0"/>
          <w:numId w:val="0"/>
        </w:numPr>
        <w:spacing w:line="360" w:lineRule="auto"/>
        <w:ind w:left="397" w:leftChars="0"/>
        <w:rPr>
          <w:rFonts w:hint="eastAsia" w:ascii="宋体" w:hAnsi="宋体" w:eastAsia="宋体" w:cs="宋体"/>
          <w:b w:val="0"/>
          <w:bCs w:val="0"/>
          <w:color w:val="auto"/>
          <w:sz w:val="24"/>
          <w:szCs w:val="24"/>
          <w:highlight w:val="none"/>
        </w:rPr>
      </w:pPr>
    </w:p>
    <w:p w14:paraId="5D68AC09">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八、</w:t>
      </w:r>
      <w:r>
        <w:rPr>
          <w:rFonts w:hint="eastAsia" w:ascii="宋体" w:hAnsi="宋体" w:eastAsia="宋体" w:cs="宋体"/>
          <w:b/>
          <w:color w:val="auto"/>
          <w:sz w:val="32"/>
          <w:szCs w:val="32"/>
          <w:highlight w:val="none"/>
        </w:rPr>
        <w:t>开启响应文件与信用信息查询</w:t>
      </w:r>
    </w:p>
    <w:p w14:paraId="0134886F">
      <w:pPr>
        <w:pStyle w:val="31"/>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开启响应文件</w:t>
      </w:r>
    </w:p>
    <w:p w14:paraId="1F7DAB0F">
      <w:pPr>
        <w:pStyle w:val="31"/>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 </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按照磋商文件规定的时间通过电子交易平台组织响应文件开启，所有供应商均应当准时在线参加。</w:t>
      </w:r>
      <w:r>
        <w:rPr>
          <w:rFonts w:hint="eastAsia" w:ascii="宋体" w:hAnsi="宋体" w:eastAsia="宋体" w:cs="宋体"/>
          <w:b/>
          <w:color w:val="auto"/>
          <w:sz w:val="24"/>
          <w:szCs w:val="24"/>
          <w:highlight w:val="none"/>
        </w:rPr>
        <w:t>供应商数量不符合规定的，不得开启响应文件。</w:t>
      </w:r>
    </w:p>
    <w:p w14:paraId="53C4346D">
      <w:pPr>
        <w:pStyle w:val="31"/>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1.2开启响应文件时，电子交易平台按开启响应文件时间自动提取所有响应文件。</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依托电子交易平台发起开始解密指令，供应商按照平台提示和磋商文件的规定在半小时内完成在线解密。</w:t>
      </w:r>
    </w:p>
    <w:p w14:paraId="06220075">
      <w:pPr>
        <w:pStyle w:val="31"/>
        <w:spacing w:line="360" w:lineRule="auto"/>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6BC0E82E">
      <w:pPr>
        <w:pStyle w:val="39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2.信用信息查询</w:t>
      </w:r>
    </w:p>
    <w:p w14:paraId="4B2125B0">
      <w:pPr>
        <w:pStyle w:val="39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将通过“信用中国”网站(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Style w:val="68"/>
          <w:rFonts w:hint="eastAsia" w:ascii="宋体" w:hAnsi="宋体" w:eastAsia="宋体" w:cs="宋体"/>
          <w:snapToGrid/>
          <w:color w:val="auto"/>
          <w:sz w:val="24"/>
          <w:szCs w:val="24"/>
          <w:highlight w:val="none"/>
        </w:rPr>
        <w:t>www.creditchina.gov.cn</w:t>
      </w:r>
      <w:r>
        <w:rPr>
          <w:rStyle w:val="68"/>
          <w:rFonts w:hint="eastAsia" w:ascii="宋体" w:hAnsi="宋体" w:eastAsia="宋体" w:cs="宋体"/>
          <w:snapToGrid/>
          <w:color w:val="auto"/>
          <w:sz w:val="24"/>
          <w:szCs w:val="24"/>
          <w:highlight w:val="none"/>
        </w:rPr>
        <w:fldChar w:fldCharType="end"/>
      </w:r>
      <w:r>
        <w:rPr>
          <w:rFonts w:hint="eastAsia" w:ascii="宋体" w:hAnsi="宋体" w:eastAsia="宋体" w:cs="宋体"/>
          <w:color w:val="auto"/>
          <w:kern w:val="0"/>
          <w:szCs w:val="24"/>
          <w:highlight w:val="none"/>
        </w:rPr>
        <w:t>)、中国政府采购网(www.ccgp.gov.cn)渠道查询供应商响应截止时间前的信用记录。</w:t>
      </w:r>
    </w:p>
    <w:p w14:paraId="67744402">
      <w:pPr>
        <w:pStyle w:val="39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2.2信用信息查询记录和证据留存的具体方式：现场查询的供应商的信用记录、查询结果经确认后存档。</w:t>
      </w:r>
    </w:p>
    <w:p w14:paraId="2F3620D2">
      <w:pPr>
        <w:pStyle w:val="39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2512AA64">
      <w:pPr>
        <w:pStyle w:val="39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8373DDD">
      <w:pPr>
        <w:pStyle w:val="31"/>
        <w:spacing w:line="360" w:lineRule="auto"/>
        <w:rPr>
          <w:rFonts w:hint="eastAsia" w:ascii="宋体" w:hAnsi="宋体" w:eastAsia="宋体" w:cs="宋体"/>
          <w:b/>
          <w:color w:val="auto"/>
          <w:sz w:val="24"/>
          <w:szCs w:val="24"/>
          <w:highlight w:val="none"/>
        </w:rPr>
      </w:pPr>
    </w:p>
    <w:p w14:paraId="670B08DB">
      <w:pPr>
        <w:adjustRightInd/>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九、提交最后报价</w:t>
      </w:r>
    </w:p>
    <w:p w14:paraId="1E26D044">
      <w:pPr>
        <w:snapToGrid w:val="0"/>
        <w:spacing w:line="360" w:lineRule="auto"/>
        <w:rPr>
          <w:rFonts w:hint="eastAsia" w:ascii="宋体" w:hAnsi="宋体" w:eastAsia="宋体" w:cs="宋体"/>
          <w:color w:val="auto"/>
          <w:sz w:val="24"/>
          <w:highlight w:val="none"/>
          <w:u w:val="single"/>
          <w:lang w:val="zh-CN"/>
        </w:rPr>
      </w:pPr>
      <w:r>
        <w:rPr>
          <w:rFonts w:hint="eastAsia" w:ascii="宋体" w:hAnsi="宋体" w:eastAsia="宋体" w:cs="宋体"/>
          <w:b/>
          <w:color w:val="auto"/>
          <w:sz w:val="24"/>
          <w:highlight w:val="none"/>
        </w:rPr>
        <w:t>1.</w:t>
      </w:r>
      <w:r>
        <w:rPr>
          <w:rFonts w:hint="eastAsia" w:ascii="宋体" w:hAnsi="宋体" w:eastAsia="宋体" w:cs="宋体"/>
          <w:color w:val="auto"/>
          <w:sz w:val="24"/>
          <w:highlight w:val="none"/>
        </w:rPr>
        <w:t>供应商的</w:t>
      </w:r>
      <w:r>
        <w:rPr>
          <w:rFonts w:hint="eastAsia" w:ascii="宋体" w:hAnsi="宋体" w:eastAsia="宋体" w:cs="宋体"/>
          <w:b/>
          <w:color w:val="auto"/>
          <w:sz w:val="24"/>
          <w:highlight w:val="none"/>
        </w:rPr>
        <w:t>最后报价文件</w:t>
      </w:r>
      <w:r>
        <w:rPr>
          <w:rFonts w:hint="eastAsia" w:ascii="宋体" w:hAnsi="宋体" w:eastAsia="宋体" w:cs="宋体"/>
          <w:color w:val="auto"/>
          <w:sz w:val="24"/>
          <w:highlight w:val="none"/>
        </w:rPr>
        <w:t>应包括以下内容（均需使用电子签名）：</w:t>
      </w:r>
    </w:p>
    <w:p w14:paraId="054C0519">
      <w:pPr>
        <w:pStyle w:val="31"/>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1.1最后报价一览表</w:t>
      </w:r>
      <w:r>
        <w:rPr>
          <w:rFonts w:hint="eastAsia" w:ascii="宋体" w:hAnsi="宋体" w:eastAsia="宋体" w:cs="宋体"/>
          <w:color w:val="auto"/>
          <w:sz w:val="24"/>
          <w:szCs w:val="24"/>
          <w:highlight w:val="none"/>
          <w:lang w:eastAsia="zh-CN"/>
        </w:rPr>
        <w:t>。</w:t>
      </w:r>
    </w:p>
    <w:p w14:paraId="26294B60">
      <w:pPr>
        <w:pStyle w:val="31"/>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1.2中小企业声明函（如果有）。</w:t>
      </w:r>
    </w:p>
    <w:p w14:paraId="5FB533E8">
      <w:pPr>
        <w:adjustRightInd/>
        <w:spacing w:line="360" w:lineRule="auto"/>
        <w:jc w:val="center"/>
        <w:outlineLvl w:val="0"/>
        <w:rPr>
          <w:rFonts w:hint="eastAsia" w:ascii="宋体" w:hAnsi="宋体" w:eastAsia="宋体" w:cs="宋体"/>
          <w:b/>
          <w:color w:val="auto"/>
          <w:sz w:val="32"/>
          <w:szCs w:val="20"/>
          <w:highlight w:val="none"/>
        </w:rPr>
      </w:pPr>
    </w:p>
    <w:p w14:paraId="5B92EA9E">
      <w:pPr>
        <w:adjustRightInd/>
        <w:spacing w:line="360" w:lineRule="auto"/>
        <w:jc w:val="center"/>
        <w:outlineLvl w:val="0"/>
        <w:rPr>
          <w:rFonts w:hint="eastAsia" w:ascii="宋体" w:hAnsi="宋体" w:eastAsia="宋体" w:cs="宋体"/>
          <w:b/>
          <w:color w:val="auto"/>
          <w:sz w:val="32"/>
          <w:highlight w:val="none"/>
        </w:rPr>
      </w:pPr>
      <w:r>
        <w:rPr>
          <w:rFonts w:hint="eastAsia" w:ascii="宋体" w:hAnsi="宋体" w:eastAsia="宋体" w:cs="宋体"/>
          <w:b/>
          <w:color w:val="auto"/>
          <w:sz w:val="32"/>
          <w:szCs w:val="20"/>
          <w:highlight w:val="none"/>
        </w:rPr>
        <w:t>十、</w:t>
      </w:r>
      <w:r>
        <w:rPr>
          <w:rFonts w:hint="eastAsia" w:ascii="宋体" w:hAnsi="宋体" w:eastAsia="宋体" w:cs="宋体"/>
          <w:b/>
          <w:color w:val="auto"/>
          <w:sz w:val="32"/>
          <w:szCs w:val="32"/>
          <w:highlight w:val="none"/>
        </w:rPr>
        <w:t>评审</w:t>
      </w:r>
    </w:p>
    <w:p w14:paraId="2C9EA6AB">
      <w:pPr>
        <w:pStyle w:val="392"/>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highlight w:val="none"/>
        </w:rPr>
        <w:t xml:space="preserve"> 评审方法：</w:t>
      </w:r>
      <w:r>
        <w:rPr>
          <w:rFonts w:hint="eastAsia" w:ascii="宋体" w:hAnsi="宋体" w:eastAsia="宋体" w:cs="宋体"/>
          <w:color w:val="auto"/>
          <w:highlight w:val="none"/>
        </w:rPr>
        <w:t>综合评分法。</w:t>
      </w:r>
    </w:p>
    <w:p w14:paraId="221234D0">
      <w:pPr>
        <w:pStyle w:val="392"/>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 价格分计算方法：</w:t>
      </w:r>
      <w:r>
        <w:rPr>
          <w:rFonts w:hint="eastAsia" w:ascii="宋体" w:hAnsi="宋体" w:eastAsia="宋体" w:cs="宋体"/>
          <w:color w:val="auto"/>
          <w:highlight w:val="none"/>
        </w:rPr>
        <w:t>低价优先法。</w:t>
      </w:r>
    </w:p>
    <w:p w14:paraId="338FD0E9">
      <w:pPr>
        <w:pStyle w:val="392"/>
        <w:spacing w:before="0"/>
        <w:ind w:firstLine="0" w:firstLineChars="0"/>
        <w:rPr>
          <w:rFonts w:hint="eastAsia" w:ascii="宋体" w:hAnsi="宋体" w:eastAsia="宋体" w:cs="宋体"/>
          <w:color w:val="auto"/>
          <w:szCs w:val="24"/>
          <w:highlight w:val="none"/>
        </w:rPr>
      </w:pPr>
      <w:r>
        <w:rPr>
          <w:rFonts w:hint="eastAsia" w:ascii="宋体" w:hAnsi="宋体" w:eastAsia="宋体" w:cs="宋体"/>
          <w:b/>
          <w:color w:val="auto"/>
          <w:highlight w:val="none"/>
        </w:rPr>
        <w:t>3. 评审要求：</w:t>
      </w:r>
      <w:r>
        <w:rPr>
          <w:rFonts w:hint="eastAsia" w:ascii="宋体" w:hAnsi="宋体" w:eastAsia="宋体" w:cs="宋体"/>
          <w:color w:val="auto"/>
          <w:highlight w:val="none"/>
        </w:rPr>
        <w:t>详见磋商文件第五部分“评审方法及评审标准”。</w:t>
      </w:r>
    </w:p>
    <w:p w14:paraId="02B8B436">
      <w:pPr>
        <w:adjustRightInd/>
        <w:spacing w:line="360" w:lineRule="auto"/>
        <w:jc w:val="center"/>
        <w:outlineLvl w:val="0"/>
        <w:rPr>
          <w:rFonts w:hint="eastAsia" w:ascii="宋体" w:hAnsi="宋体" w:eastAsia="宋体" w:cs="宋体"/>
          <w:color w:val="auto"/>
          <w:sz w:val="24"/>
          <w:highlight w:val="none"/>
        </w:rPr>
      </w:pPr>
    </w:p>
    <w:p w14:paraId="1253C098">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十一、</w:t>
      </w:r>
      <w:r>
        <w:rPr>
          <w:rFonts w:hint="eastAsia" w:ascii="宋体" w:hAnsi="宋体" w:eastAsia="宋体" w:cs="宋体"/>
          <w:b/>
          <w:color w:val="auto"/>
          <w:sz w:val="32"/>
          <w:szCs w:val="32"/>
          <w:highlight w:val="none"/>
        </w:rPr>
        <w:t>成交</w:t>
      </w:r>
    </w:p>
    <w:p w14:paraId="1473DBBB">
      <w:pPr>
        <w:pStyle w:val="31"/>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1. 推荐成交候选供应商</w:t>
      </w:r>
    </w:p>
    <w:p w14:paraId="44C4BB54">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750BBECA">
      <w:pPr>
        <w:pStyle w:val="31"/>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 确定成交供应商</w:t>
      </w:r>
    </w:p>
    <w:p w14:paraId="3CECE3A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379FA23E">
      <w:pPr>
        <w:tabs>
          <w:tab w:val="left" w:pos="0"/>
        </w:tabs>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3．成交通知及成交结果公告</w:t>
      </w:r>
    </w:p>
    <w:p w14:paraId="1D24811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1"/>
          <w:highlight w:val="none"/>
        </w:rPr>
        <w:t>3.1自成交人确定之日起2个工作日内，</w:t>
      </w:r>
      <w:r>
        <w:rPr>
          <w:rFonts w:hint="eastAsia" w:ascii="宋体" w:hAnsi="宋体" w:eastAsia="宋体" w:cs="宋体"/>
          <w:color w:val="auto"/>
          <w:sz w:val="24"/>
          <w:szCs w:val="21"/>
          <w:highlight w:val="none"/>
          <w:lang w:eastAsia="zh-CN"/>
        </w:rPr>
        <w:t>采购代理机构</w:t>
      </w:r>
      <w:r>
        <w:rPr>
          <w:rFonts w:hint="eastAsia" w:ascii="宋体" w:hAnsi="宋体" w:eastAsia="宋体" w:cs="宋体"/>
          <w:color w:val="auto"/>
          <w:sz w:val="24"/>
          <w:szCs w:val="21"/>
          <w:highlight w:val="none"/>
        </w:rPr>
        <w:t>通过电子交易平台向成交人发出成交通知书，</w:t>
      </w:r>
      <w:r>
        <w:rPr>
          <w:rFonts w:hint="eastAsia" w:ascii="宋体" w:hAnsi="宋体" w:eastAsia="宋体" w:cs="宋体"/>
          <w:color w:val="auto"/>
          <w:sz w:val="24"/>
          <w:highlight w:val="none"/>
        </w:rPr>
        <w:t>同时编制发布采购</w:t>
      </w:r>
      <w:r>
        <w:rPr>
          <w:rFonts w:hint="eastAsia" w:ascii="宋体" w:hAnsi="宋体" w:eastAsia="宋体" w:cs="宋体"/>
          <w:color w:val="auto"/>
          <w:sz w:val="24"/>
          <w:szCs w:val="21"/>
          <w:highlight w:val="none"/>
        </w:rPr>
        <w:t>成交结果公告。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也可以以纸质形式进行成交通知。</w:t>
      </w:r>
    </w:p>
    <w:p w14:paraId="215BF27E">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highlight w:val="none"/>
        </w:rPr>
        <w:t>3.2</w:t>
      </w:r>
      <w:r>
        <w:rPr>
          <w:rFonts w:hint="eastAsia" w:ascii="宋体" w:hAnsi="宋体" w:eastAsia="宋体" w:cs="宋体"/>
          <w:color w:val="auto"/>
          <w:sz w:val="24"/>
          <w:szCs w:val="21"/>
          <w:highlight w:val="none"/>
        </w:rPr>
        <w:t>成交</w:t>
      </w:r>
      <w:r>
        <w:rPr>
          <w:rFonts w:hint="eastAsia" w:ascii="宋体" w:hAnsi="宋体" w:eastAsia="宋体" w:cs="宋体"/>
          <w:color w:val="auto"/>
          <w:sz w:val="24"/>
          <w:highlight w:val="none"/>
        </w:rPr>
        <w:t>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的名称、地址、联系方式，项目名称和项目编号，成交人名称、地址和成交金额，主要</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标的的名称、规格型号、数量、单价、服务要求，开标记录、</w:t>
      </w:r>
      <w:bookmarkStart w:id="52" w:name="_Hlk101184471"/>
      <w:r>
        <w:rPr>
          <w:rFonts w:hint="eastAsia" w:ascii="宋体" w:hAnsi="宋体" w:eastAsia="宋体" w:cs="宋体"/>
          <w:color w:val="auto"/>
          <w:sz w:val="24"/>
          <w:highlight w:val="none"/>
        </w:rPr>
        <w:t>资格审查情况、评审专家抽取规则、符合性审查情况、</w:t>
      </w:r>
      <w:bookmarkEnd w:id="52"/>
      <w:r>
        <w:rPr>
          <w:rFonts w:hint="eastAsia" w:ascii="宋体" w:hAnsi="宋体" w:eastAsia="宋体" w:cs="宋体"/>
          <w:color w:val="auto"/>
          <w:sz w:val="24"/>
          <w:highlight w:val="none"/>
        </w:rPr>
        <w:t>未成交情况说明、成交公告期限以及评审专家名单、评分汇总及明细。</w:t>
      </w:r>
    </w:p>
    <w:p w14:paraId="0F79A305">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3.3公告期限为1个工作日。</w:t>
      </w:r>
    </w:p>
    <w:p w14:paraId="6F0A3026">
      <w:pPr>
        <w:snapToGrid w:val="0"/>
        <w:spacing w:line="360" w:lineRule="auto"/>
        <w:jc w:val="center"/>
        <w:outlineLvl w:val="0"/>
        <w:rPr>
          <w:rFonts w:hint="eastAsia" w:ascii="宋体" w:hAnsi="宋体" w:eastAsia="宋体" w:cs="宋体"/>
          <w:b/>
          <w:color w:val="auto"/>
          <w:sz w:val="36"/>
          <w:szCs w:val="36"/>
          <w:highlight w:val="none"/>
        </w:rPr>
      </w:pPr>
    </w:p>
    <w:p w14:paraId="59C02B59">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十二、合同</w:t>
      </w:r>
    </w:p>
    <w:p w14:paraId="0AE92FF8">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1.合同主要条款：</w:t>
      </w:r>
      <w:r>
        <w:rPr>
          <w:rFonts w:hint="eastAsia" w:ascii="宋体" w:hAnsi="宋体" w:eastAsia="宋体" w:cs="宋体"/>
          <w:color w:val="auto"/>
          <w:sz w:val="24"/>
          <w:highlight w:val="none"/>
        </w:rPr>
        <w:t>详见“第六部分拟签订的合同文本”。</w:t>
      </w:r>
    </w:p>
    <w:p w14:paraId="7724D68D">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2.合同的签订</w:t>
      </w:r>
    </w:p>
    <w:p w14:paraId="0C0992C5">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2.1</w:t>
      </w:r>
      <w:r>
        <w:rPr>
          <w:rFonts w:hint="eastAsia" w:ascii="宋体" w:hAnsi="宋体" w:eastAsia="宋体" w:cs="宋体"/>
          <w:color w:val="auto"/>
          <w:kern w:val="0"/>
          <w:sz w:val="24"/>
          <w:highlight w:val="none"/>
        </w:rPr>
        <w:t>采购人与</w:t>
      </w:r>
      <w:r>
        <w:rPr>
          <w:rFonts w:hint="eastAsia" w:ascii="宋体" w:hAnsi="宋体" w:eastAsia="宋体" w:cs="宋体"/>
          <w:color w:val="auto"/>
          <w:kern w:val="0"/>
          <w:sz w:val="24"/>
          <w:highlight w:val="none"/>
          <w:lang w:eastAsia="zh-CN"/>
        </w:rPr>
        <w:t>成交供应商</w:t>
      </w:r>
      <w:r>
        <w:rPr>
          <w:rFonts w:hint="eastAsia" w:ascii="宋体" w:hAnsi="宋体" w:eastAsia="宋体" w:cs="宋体"/>
          <w:color w:val="auto"/>
          <w:kern w:val="0"/>
          <w:sz w:val="24"/>
          <w:highlight w:val="none"/>
        </w:rPr>
        <w:t>应当通过电子交易平台在</w:t>
      </w:r>
      <w:r>
        <w:rPr>
          <w:rFonts w:hint="eastAsia" w:ascii="宋体" w:hAnsi="宋体" w:eastAsia="宋体" w:cs="宋体"/>
          <w:color w:val="auto"/>
          <w:kern w:val="0"/>
          <w:sz w:val="24"/>
          <w:highlight w:val="none"/>
          <w:lang w:eastAsia="zh-CN"/>
        </w:rPr>
        <w:t>成交</w:t>
      </w:r>
      <w:r>
        <w:rPr>
          <w:rFonts w:hint="eastAsia" w:ascii="宋体" w:hAnsi="宋体" w:eastAsia="宋体" w:cs="宋体"/>
          <w:color w:val="auto"/>
          <w:kern w:val="0"/>
          <w:sz w:val="24"/>
          <w:highlight w:val="none"/>
        </w:rPr>
        <w:t>通知书发出之日起三十日内，按照</w:t>
      </w:r>
      <w:r>
        <w:rPr>
          <w:rFonts w:hint="eastAsia" w:ascii="宋体" w:hAnsi="宋体" w:eastAsia="宋体" w:cs="宋体"/>
          <w:color w:val="auto"/>
          <w:kern w:val="0"/>
          <w:sz w:val="24"/>
          <w:highlight w:val="none"/>
          <w:lang w:eastAsia="zh-CN"/>
        </w:rPr>
        <w:t>磋商</w:t>
      </w:r>
      <w:r>
        <w:rPr>
          <w:rFonts w:hint="eastAsia" w:ascii="宋体" w:hAnsi="宋体" w:eastAsia="宋体" w:cs="宋体"/>
          <w:color w:val="auto"/>
          <w:kern w:val="0"/>
          <w:sz w:val="24"/>
          <w:highlight w:val="none"/>
        </w:rPr>
        <w:t>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w:t>
      </w:r>
      <w:r>
        <w:rPr>
          <w:rFonts w:hint="eastAsia" w:ascii="宋体" w:hAnsi="宋体" w:eastAsia="宋体" w:cs="宋体"/>
          <w:color w:val="auto"/>
          <w:kern w:val="0"/>
          <w:sz w:val="24"/>
          <w:highlight w:val="none"/>
          <w:lang w:eastAsia="zh-CN"/>
        </w:rPr>
        <w:t>成交</w:t>
      </w:r>
      <w:r>
        <w:rPr>
          <w:rFonts w:hint="eastAsia" w:ascii="宋体" w:hAnsi="宋体" w:eastAsia="宋体" w:cs="宋体"/>
          <w:color w:val="auto"/>
          <w:kern w:val="0"/>
          <w:sz w:val="24"/>
          <w:highlight w:val="none"/>
        </w:rPr>
        <w:t>通知书发出之日起10个工作日内，与</w:t>
      </w:r>
      <w:r>
        <w:rPr>
          <w:rFonts w:hint="eastAsia" w:ascii="宋体" w:hAnsi="宋体" w:eastAsia="宋体" w:cs="宋体"/>
          <w:color w:val="auto"/>
          <w:kern w:val="0"/>
          <w:sz w:val="24"/>
          <w:highlight w:val="none"/>
          <w:lang w:eastAsia="zh-CN"/>
        </w:rPr>
        <w:t>成交</w:t>
      </w:r>
      <w:r>
        <w:rPr>
          <w:rFonts w:hint="eastAsia" w:ascii="宋体" w:hAnsi="宋体" w:eastAsia="宋体" w:cs="宋体"/>
          <w:color w:val="auto"/>
          <w:kern w:val="0"/>
          <w:sz w:val="24"/>
          <w:highlight w:val="none"/>
        </w:rPr>
        <w:t>供应商按照</w:t>
      </w:r>
      <w:r>
        <w:rPr>
          <w:rFonts w:hint="eastAsia" w:ascii="宋体" w:hAnsi="宋体" w:eastAsia="宋体" w:cs="宋体"/>
          <w:color w:val="auto"/>
          <w:kern w:val="0"/>
          <w:sz w:val="24"/>
          <w:highlight w:val="none"/>
          <w:lang w:eastAsia="zh-CN"/>
        </w:rPr>
        <w:t>磋商</w:t>
      </w:r>
      <w:r>
        <w:rPr>
          <w:rFonts w:hint="eastAsia" w:ascii="宋体" w:hAnsi="宋体" w:eastAsia="宋体" w:cs="宋体"/>
          <w:color w:val="auto"/>
          <w:kern w:val="0"/>
          <w:sz w:val="24"/>
          <w:highlight w:val="none"/>
        </w:rPr>
        <w:t>文件确定的事项签订政府采购合同。</w:t>
      </w:r>
    </w:p>
    <w:p w14:paraId="1811D709">
      <w:pPr>
        <w:pStyle w:val="392"/>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2.2成交供应商按规定的日期、时间、地点，由法定代表人或其授权代表与采购人代表签订合同。如成交供应商为联合体的，由联合体成员各方法定代表人或其授权代表与采购人代表签订合同。</w:t>
      </w:r>
    </w:p>
    <w:p w14:paraId="75960C61">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52876DCD">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FFB265A">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2.5如签订合同并生效后，供应商无故拒绝或延期，除按照合同条款处理外，列入不良行为记录一次，并给予通报。</w:t>
      </w:r>
    </w:p>
    <w:p w14:paraId="240D42A5">
      <w:pPr>
        <w:pStyle w:val="392"/>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2.6采购合同由采购人与成交供应商根据磋商文件、响应文件等内容通过政府采购电子交易平台在线签订，自动备案。</w:t>
      </w:r>
    </w:p>
    <w:p w14:paraId="7CD90896">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3．履约保证金</w:t>
      </w:r>
    </w:p>
    <w:p w14:paraId="3D6FC4D6">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6D2B611A">
      <w:pPr>
        <w:tabs>
          <w:tab w:val="left" w:pos="0"/>
        </w:tabs>
        <w:spacing w:line="360" w:lineRule="auto"/>
        <w:ind w:firstLine="482"/>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w:t>
      </w:r>
      <w:r>
        <w:rPr>
          <w:rFonts w:hint="eastAsia" w:ascii="宋体" w:hAnsi="宋体" w:eastAsia="宋体" w:cs="宋体"/>
          <w:snapToGrid w:val="0"/>
          <w:color w:val="auto"/>
          <w:kern w:val="28"/>
          <w:sz w:val="24"/>
          <w:highlight w:val="none"/>
          <w:lang w:eastAsia="zh-CN"/>
        </w:rPr>
        <w:t>成交</w:t>
      </w:r>
      <w:r>
        <w:rPr>
          <w:rFonts w:hint="eastAsia" w:ascii="宋体" w:hAnsi="宋体" w:eastAsia="宋体" w:cs="宋体"/>
          <w:snapToGrid w:val="0"/>
          <w:color w:val="auto"/>
          <w:kern w:val="28"/>
          <w:sz w:val="24"/>
          <w:highlight w:val="none"/>
        </w:rPr>
        <w:t>项目—确认信息—等待保险/保函受理—确认保单—支付保费—成功出单。政采云金融专线400-903-9583。</w:t>
      </w:r>
    </w:p>
    <w:p w14:paraId="15FC774C">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4.预付款</w:t>
      </w:r>
    </w:p>
    <w:p w14:paraId="568209A0">
      <w:pPr>
        <w:tabs>
          <w:tab w:val="left" w:pos="0"/>
        </w:tabs>
        <w:spacing w:line="360" w:lineRule="auto"/>
        <w:ind w:firstLine="482"/>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FC17C5A">
      <w:pPr>
        <w:snapToGrid w:val="0"/>
        <w:spacing w:line="360" w:lineRule="auto"/>
        <w:jc w:val="center"/>
        <w:rPr>
          <w:rFonts w:hint="eastAsia" w:ascii="宋体" w:hAnsi="宋体" w:eastAsia="宋体" w:cs="宋体"/>
          <w:b/>
          <w:color w:val="auto"/>
          <w:sz w:val="36"/>
          <w:szCs w:val="36"/>
          <w:highlight w:val="none"/>
        </w:rPr>
      </w:pPr>
    </w:p>
    <w:p w14:paraId="63C02DD3">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十三、验收</w:t>
      </w:r>
    </w:p>
    <w:p w14:paraId="00A36339">
      <w:pPr>
        <w:pStyle w:val="23"/>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1.验收</w:t>
      </w:r>
    </w:p>
    <w:p w14:paraId="3E81310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F0ECD42">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1.2采购人可以邀请参加本项目的其他供应商或者第三方机构参与验收。参与验收的供应商或者第三方机构的意见作为验收书的参考资料一并存档。</w:t>
      </w:r>
    </w:p>
    <w:p w14:paraId="359E0CF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AD4774F">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50636D8">
      <w:pPr>
        <w:snapToGrid w:val="0"/>
        <w:spacing w:line="360" w:lineRule="auto"/>
        <w:jc w:val="center"/>
        <w:rPr>
          <w:rFonts w:hint="eastAsia" w:ascii="宋体" w:hAnsi="宋体" w:eastAsia="宋体" w:cs="宋体"/>
          <w:b/>
          <w:color w:val="auto"/>
          <w:sz w:val="36"/>
          <w:szCs w:val="36"/>
          <w:highlight w:val="none"/>
        </w:rPr>
      </w:pPr>
    </w:p>
    <w:p w14:paraId="7C204321">
      <w:pPr>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十四、电子交易活动的中止</w:t>
      </w:r>
    </w:p>
    <w:p w14:paraId="513121B7">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电子交易活动的中止</w:t>
      </w:r>
    </w:p>
    <w:p w14:paraId="3240608D">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采购过程中出现以下情形，导致电子交易平台无法正常运行，或者无法保证电子交易的公平、公正和安全时，</w:t>
      </w:r>
      <w:r>
        <w:rPr>
          <w:rFonts w:hint="eastAsia" w:ascii="宋体" w:hAnsi="宋体" w:eastAsia="宋体" w:cs="宋体"/>
          <w:color w:val="auto"/>
          <w:kern w:val="0"/>
          <w:sz w:val="24"/>
          <w:highlight w:val="none"/>
          <w:lang w:eastAsia="zh-CN"/>
        </w:rPr>
        <w:t>采购代理机构</w:t>
      </w:r>
      <w:r>
        <w:rPr>
          <w:rFonts w:hint="eastAsia" w:ascii="宋体" w:hAnsi="宋体" w:eastAsia="宋体" w:cs="宋体"/>
          <w:color w:val="auto"/>
          <w:kern w:val="0"/>
          <w:sz w:val="24"/>
          <w:highlight w:val="none"/>
        </w:rPr>
        <w:t>可中止电子交易活动：</w:t>
      </w:r>
    </w:p>
    <w:p w14:paraId="65DAA839">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1.1电子交易平台发生故障而无法登录访问的； </w:t>
      </w:r>
    </w:p>
    <w:p w14:paraId="320B0C74">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1.2电子交易平台应用或数据库出现错误，不能进行正常操作的；</w:t>
      </w:r>
    </w:p>
    <w:p w14:paraId="146CCE2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1.3电子交易平台发现严重安全漏洞，有潜在泄密危险的；</w:t>
      </w:r>
    </w:p>
    <w:p w14:paraId="1BF58EFD">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1.4病毒发作导致不能进行正常操作的； </w:t>
      </w:r>
    </w:p>
    <w:p w14:paraId="733E1C8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1.5其他无法保证电子交易的公平、公正和安全的情况。</w:t>
      </w:r>
    </w:p>
    <w:p w14:paraId="44AC7165">
      <w:pPr>
        <w:tabs>
          <w:tab w:val="left" w:pos="0"/>
        </w:tabs>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2.出现以上情形，不影响采购公平、公正性的，采购组织机构可以待上述情形消除后继续组织电子交易活动，也可以决定某些环节以纸质形式进行；影响或可能影响采购公平、公正性的，应当重新采购。</w:t>
      </w:r>
    </w:p>
    <w:bookmarkEnd w:id="9"/>
    <w:p w14:paraId="52AD6697">
      <w:pPr>
        <w:widowControl/>
        <w:adjustRightInd/>
        <w:jc w:val="left"/>
        <w:rPr>
          <w:rFonts w:hint="eastAsia" w:ascii="宋体" w:hAnsi="宋体" w:eastAsia="宋体" w:cs="宋体"/>
          <w:b/>
          <w:color w:val="auto"/>
          <w:sz w:val="36"/>
          <w:szCs w:val="36"/>
          <w:highlight w:val="none"/>
        </w:rPr>
      </w:pPr>
      <w:bookmarkStart w:id="53" w:name="_Hlt75236101"/>
      <w:bookmarkEnd w:id="53"/>
      <w:bookmarkStart w:id="54" w:name="_Hlt74729768"/>
      <w:bookmarkEnd w:id="54"/>
      <w:bookmarkStart w:id="55" w:name="_Hlt74714665"/>
      <w:bookmarkEnd w:id="55"/>
      <w:bookmarkStart w:id="56" w:name="_Hlt74707468"/>
      <w:bookmarkEnd w:id="56"/>
      <w:bookmarkStart w:id="57" w:name="_Hlt68057669"/>
      <w:bookmarkEnd w:id="57"/>
      <w:bookmarkStart w:id="58" w:name="_Hlt68072990"/>
      <w:bookmarkEnd w:id="58"/>
      <w:bookmarkStart w:id="59" w:name="_Hlt74730295"/>
      <w:bookmarkEnd w:id="59"/>
      <w:bookmarkStart w:id="60" w:name="_Hlt75236011"/>
      <w:bookmarkEnd w:id="60"/>
      <w:bookmarkStart w:id="61" w:name="_Hlt75236290"/>
      <w:bookmarkEnd w:id="61"/>
      <w:bookmarkStart w:id="62" w:name="_Toc164416483"/>
      <w:bookmarkStart w:id="63" w:name="第三部分"/>
      <w:r>
        <w:rPr>
          <w:rFonts w:hint="eastAsia" w:ascii="宋体" w:hAnsi="宋体" w:eastAsia="宋体" w:cs="宋体"/>
          <w:b/>
          <w:color w:val="auto"/>
          <w:sz w:val="36"/>
          <w:szCs w:val="36"/>
          <w:highlight w:val="none"/>
        </w:rPr>
        <w:br w:type="page"/>
      </w:r>
    </w:p>
    <w:p w14:paraId="1108E67B">
      <w:pPr>
        <w:adjustRightInd/>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第四部分  采购需求</w:t>
      </w:r>
    </w:p>
    <w:p w14:paraId="098F52B5">
      <w:pPr>
        <w:pStyle w:val="4"/>
        <w:numPr>
          <w:ilvl w:val="0"/>
          <w:numId w:val="0"/>
        </w:numPr>
        <w:bidi w:val="0"/>
        <w:ind w:leftChars="0"/>
        <w:rPr>
          <w:rFonts w:hint="eastAsia"/>
          <w:color w:val="auto"/>
          <w:highlight w:val="none"/>
        </w:rPr>
      </w:pPr>
      <w:r>
        <w:rPr>
          <w:rFonts w:hint="eastAsia"/>
          <w:color w:val="auto"/>
          <w:highlight w:val="none"/>
        </w:rPr>
        <w:t>一、项目</w:t>
      </w:r>
      <w:bookmarkStart w:id="64" w:name="_Toc28169"/>
      <w:bookmarkStart w:id="65" w:name="_Toc1407"/>
      <w:r>
        <w:rPr>
          <w:rFonts w:hint="eastAsia"/>
          <w:color w:val="auto"/>
          <w:highlight w:val="none"/>
        </w:rPr>
        <w:t>概况</w:t>
      </w:r>
    </w:p>
    <w:p w14:paraId="7BCEFD32">
      <w:pPr>
        <w:tabs>
          <w:tab w:val="left" w:pos="0"/>
        </w:tabs>
        <w:spacing w:line="360" w:lineRule="auto"/>
        <w:ind w:firstLine="48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eastAsia="zh-CN"/>
        </w:rPr>
        <w:t>2024年“未来工厂”认定评估及新模式推广应用项目</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是</w:t>
      </w:r>
      <w:r>
        <w:rPr>
          <w:rFonts w:hint="default" w:ascii="宋体" w:hAnsi="宋体" w:eastAsia="宋体" w:cs="宋体"/>
          <w:color w:val="auto"/>
          <w:kern w:val="0"/>
          <w:sz w:val="24"/>
          <w:highlight w:val="none"/>
          <w:lang w:eastAsia="zh-CN"/>
        </w:rPr>
        <w:t>创新深化</w:t>
      </w:r>
      <w:r>
        <w:rPr>
          <w:rFonts w:hint="eastAsia" w:ascii="宋体" w:hAnsi="宋体" w:eastAsia="宋体" w:cs="宋体"/>
          <w:color w:val="auto"/>
          <w:kern w:val="0"/>
          <w:sz w:val="24"/>
          <w:highlight w:val="none"/>
          <w:lang w:val="en-US" w:eastAsia="zh-CN"/>
        </w:rPr>
        <w:t>未来工厂建设，高效服务企业开展</w:t>
      </w:r>
      <w:r>
        <w:rPr>
          <w:rFonts w:hint="default" w:ascii="宋体" w:hAnsi="宋体" w:eastAsia="宋体" w:cs="宋体"/>
          <w:color w:val="auto"/>
          <w:kern w:val="0"/>
          <w:sz w:val="24"/>
          <w:highlight w:val="none"/>
          <w:lang w:eastAsia="zh-CN"/>
        </w:rPr>
        <w:t>智能化</w:t>
      </w:r>
      <w:r>
        <w:rPr>
          <w:rFonts w:hint="eastAsia" w:ascii="宋体" w:hAnsi="宋体" w:eastAsia="宋体" w:cs="宋体"/>
          <w:color w:val="auto"/>
          <w:kern w:val="0"/>
          <w:sz w:val="24"/>
          <w:highlight w:val="none"/>
          <w:lang w:val="en-US" w:eastAsia="zh-CN"/>
        </w:rPr>
        <w:t>对标提升行动的重要举措。该项目主要是开展未来工厂梯次培育企业建设指导和</w:t>
      </w:r>
      <w:r>
        <w:rPr>
          <w:rFonts w:hint="default" w:ascii="宋体" w:hAnsi="宋体" w:eastAsia="宋体" w:cs="宋体"/>
          <w:color w:val="auto"/>
          <w:kern w:val="0"/>
          <w:sz w:val="24"/>
          <w:highlight w:val="none"/>
          <w:lang w:eastAsia="zh-CN"/>
        </w:rPr>
        <w:t>智能化</w:t>
      </w:r>
      <w:r>
        <w:rPr>
          <w:rFonts w:hint="eastAsia" w:ascii="宋体" w:hAnsi="宋体" w:eastAsia="宋体" w:cs="宋体"/>
          <w:color w:val="auto"/>
          <w:kern w:val="0"/>
          <w:sz w:val="24"/>
          <w:highlight w:val="none"/>
          <w:lang w:val="en-US" w:eastAsia="zh-CN"/>
        </w:rPr>
        <w:t>水平精益</w:t>
      </w:r>
      <w:r>
        <w:rPr>
          <w:rFonts w:hint="default" w:ascii="宋体" w:hAnsi="宋体" w:eastAsia="宋体" w:cs="宋体"/>
          <w:color w:val="auto"/>
          <w:kern w:val="0"/>
          <w:sz w:val="24"/>
          <w:highlight w:val="none"/>
          <w:lang w:eastAsia="zh-CN"/>
        </w:rPr>
        <w:t>诊断</w:t>
      </w:r>
      <w:r>
        <w:rPr>
          <w:rFonts w:hint="eastAsia" w:ascii="宋体" w:hAnsi="宋体" w:eastAsia="宋体" w:cs="宋体"/>
          <w:color w:val="auto"/>
          <w:kern w:val="0"/>
          <w:sz w:val="24"/>
          <w:highlight w:val="none"/>
          <w:lang w:val="en-US" w:eastAsia="zh-CN"/>
        </w:rPr>
        <w:t>，协助遴选省级未来工厂、智能工厂和数字化车间，并通过组织</w:t>
      </w:r>
      <w:r>
        <w:rPr>
          <w:rFonts w:hint="default" w:ascii="宋体" w:hAnsi="宋体" w:eastAsia="宋体" w:cs="宋体"/>
          <w:color w:val="auto"/>
          <w:kern w:val="0"/>
          <w:sz w:val="24"/>
          <w:highlight w:val="none"/>
          <w:lang w:eastAsia="zh-CN"/>
        </w:rPr>
        <w:t>未来工厂大学堂系列活动</w:t>
      </w:r>
      <w:r>
        <w:rPr>
          <w:rFonts w:hint="eastAsia" w:ascii="宋体" w:hAnsi="宋体" w:eastAsia="宋体" w:cs="宋体"/>
          <w:color w:val="auto"/>
          <w:kern w:val="0"/>
          <w:sz w:val="24"/>
          <w:highlight w:val="none"/>
          <w:lang w:val="en-US" w:eastAsia="zh-CN"/>
        </w:rPr>
        <w:t>，开展政策解读、标准宣贯、案例解析和行业解决方案供需对接等活动，</w:t>
      </w:r>
      <w:r>
        <w:rPr>
          <w:rFonts w:hint="default" w:ascii="宋体" w:hAnsi="宋体" w:eastAsia="宋体" w:cs="宋体"/>
          <w:color w:val="auto"/>
          <w:kern w:val="0"/>
          <w:sz w:val="24"/>
          <w:highlight w:val="none"/>
          <w:lang w:eastAsia="zh-CN"/>
        </w:rPr>
        <w:t>推广“未来工厂”新技术新产品新模式</w:t>
      </w:r>
      <w:r>
        <w:rPr>
          <w:rFonts w:hint="eastAsia" w:ascii="宋体" w:hAnsi="宋体" w:eastAsia="宋体" w:cs="宋体"/>
          <w:color w:val="auto"/>
          <w:kern w:val="0"/>
          <w:sz w:val="24"/>
          <w:highlight w:val="none"/>
          <w:lang w:val="en-US" w:eastAsia="zh-CN"/>
        </w:rPr>
        <w:t>。</w:t>
      </w:r>
    </w:p>
    <w:p w14:paraId="2E65A65F">
      <w:pPr>
        <w:pStyle w:val="4"/>
        <w:numPr>
          <w:ilvl w:val="0"/>
          <w:numId w:val="0"/>
        </w:numPr>
        <w:bidi w:val="0"/>
        <w:ind w:leftChars="0"/>
        <w:rPr>
          <w:rFonts w:hint="eastAsia"/>
          <w:color w:val="auto"/>
          <w:highlight w:val="none"/>
        </w:rPr>
      </w:pPr>
      <w:r>
        <w:rPr>
          <w:rFonts w:hint="eastAsia" w:ascii="宋体" w:hAnsi="宋体" w:eastAsia="宋体" w:cs="宋体"/>
          <w:b/>
          <w:bCs/>
          <w:color w:val="auto"/>
          <w:sz w:val="24"/>
          <w:highlight w:val="none"/>
        </w:rPr>
        <w:t>※</w:t>
      </w:r>
      <w:r>
        <w:rPr>
          <w:rFonts w:hint="eastAsia"/>
          <w:color w:val="auto"/>
          <w:highlight w:val="none"/>
          <w:lang w:val="en-US" w:eastAsia="zh-CN"/>
        </w:rPr>
        <w:t>二、</w:t>
      </w:r>
      <w:r>
        <w:rPr>
          <w:rFonts w:hint="eastAsia"/>
          <w:color w:val="auto"/>
          <w:highlight w:val="none"/>
        </w:rPr>
        <w:t>采购范围</w:t>
      </w:r>
      <w:bookmarkEnd w:id="64"/>
      <w:bookmarkEnd w:id="65"/>
    </w:p>
    <w:p w14:paraId="10DAA397">
      <w:pPr>
        <w:tabs>
          <w:tab w:val="left" w:pos="0"/>
        </w:tabs>
        <w:spacing w:line="360" w:lineRule="auto"/>
        <w:ind w:firstLine="480"/>
        <w:rPr>
          <w:rFonts w:hint="default"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协助采购人</w:t>
      </w:r>
      <w:r>
        <w:rPr>
          <w:rFonts w:hint="eastAsia" w:ascii="宋体" w:hAnsi="宋体" w:eastAsia="宋体" w:cs="宋体"/>
          <w:color w:val="auto"/>
          <w:kern w:val="0"/>
          <w:sz w:val="24"/>
          <w:highlight w:val="none"/>
          <w:lang w:val="en-US" w:eastAsia="zh-CN"/>
        </w:rPr>
        <w:t>对全省100家</w:t>
      </w:r>
      <w:r>
        <w:rPr>
          <w:rFonts w:hint="eastAsia" w:ascii="宋体" w:hAnsi="宋体" w:eastAsia="宋体" w:cs="宋体"/>
          <w:color w:val="auto"/>
          <w:kern w:val="0"/>
          <w:sz w:val="24"/>
          <w:highlight w:val="none"/>
        </w:rPr>
        <w:t>未来工厂</w:t>
      </w:r>
      <w:r>
        <w:rPr>
          <w:rFonts w:hint="eastAsia" w:ascii="宋体" w:hAnsi="宋体" w:eastAsia="宋体" w:cs="宋体"/>
          <w:color w:val="auto"/>
          <w:kern w:val="0"/>
          <w:sz w:val="24"/>
          <w:highlight w:val="none"/>
          <w:lang w:val="en-US" w:eastAsia="zh-CN"/>
        </w:rPr>
        <w:t>试点</w:t>
      </w:r>
      <w:r>
        <w:rPr>
          <w:rFonts w:hint="default" w:ascii="宋体" w:hAnsi="宋体" w:eastAsia="宋体" w:cs="宋体"/>
          <w:color w:val="auto"/>
          <w:kern w:val="0"/>
          <w:sz w:val="24"/>
          <w:highlight w:val="none"/>
          <w:lang w:eastAsia="zh-CN"/>
        </w:rPr>
        <w:t>企业</w:t>
      </w:r>
      <w:r>
        <w:rPr>
          <w:rFonts w:hint="eastAsia" w:ascii="宋体" w:hAnsi="宋体" w:eastAsia="宋体" w:cs="宋体"/>
          <w:color w:val="auto"/>
          <w:kern w:val="0"/>
          <w:sz w:val="24"/>
          <w:highlight w:val="none"/>
          <w:lang w:val="en-US" w:eastAsia="zh-CN"/>
        </w:rPr>
        <w:t>及智能工厂（数字化车间）培育企业</w:t>
      </w:r>
      <w:r>
        <w:rPr>
          <w:rFonts w:hint="default" w:ascii="宋体" w:hAnsi="宋体" w:eastAsia="宋体" w:cs="宋体"/>
          <w:color w:val="auto"/>
          <w:kern w:val="0"/>
          <w:sz w:val="24"/>
          <w:highlight w:val="none"/>
          <w:lang w:eastAsia="zh-CN"/>
        </w:rPr>
        <w:t>等</w:t>
      </w:r>
      <w:r>
        <w:rPr>
          <w:rFonts w:hint="eastAsia" w:ascii="宋体" w:hAnsi="宋体" w:eastAsia="宋体" w:cs="宋体"/>
          <w:color w:val="auto"/>
          <w:kern w:val="0"/>
          <w:sz w:val="24"/>
          <w:highlight w:val="none"/>
          <w:lang w:val="en-US" w:eastAsia="zh-CN"/>
        </w:rPr>
        <w:t>开展建设指导和</w:t>
      </w:r>
      <w:r>
        <w:rPr>
          <w:rFonts w:hint="default" w:ascii="宋体" w:hAnsi="宋体" w:eastAsia="宋体" w:cs="宋体"/>
          <w:color w:val="auto"/>
          <w:kern w:val="0"/>
          <w:sz w:val="24"/>
          <w:highlight w:val="none"/>
          <w:lang w:eastAsia="zh-CN"/>
        </w:rPr>
        <w:t>现场</w:t>
      </w:r>
      <w:r>
        <w:rPr>
          <w:rFonts w:hint="eastAsia" w:ascii="宋体" w:hAnsi="宋体" w:eastAsia="宋体" w:cs="宋体"/>
          <w:color w:val="auto"/>
          <w:kern w:val="0"/>
          <w:sz w:val="24"/>
          <w:highlight w:val="none"/>
          <w:lang w:val="en-US" w:eastAsia="zh-CN"/>
        </w:rPr>
        <w:t>智能化水平精益诊断</w:t>
      </w:r>
      <w:r>
        <w:rPr>
          <w:rFonts w:hint="eastAsia" w:ascii="宋体" w:hAnsi="宋体" w:cs="宋体"/>
          <w:color w:val="auto"/>
          <w:kern w:val="0"/>
          <w:sz w:val="24"/>
          <w:highlight w:val="none"/>
          <w:lang w:val="en-US" w:eastAsia="zh-CN"/>
        </w:rPr>
        <w:t>；</w:t>
      </w:r>
    </w:p>
    <w:p w14:paraId="1FB1AA4A">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（1）总体要求</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基于</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未来工厂建设导则</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地方标准、《未来工厂分级评价要点》，</w:t>
      </w:r>
      <w:r>
        <w:rPr>
          <w:rFonts w:hint="default" w:ascii="宋体" w:hAnsi="宋体" w:eastAsia="宋体" w:cs="宋体"/>
          <w:color w:val="auto"/>
          <w:kern w:val="0"/>
          <w:sz w:val="24"/>
          <w:highlight w:val="none"/>
          <w:lang w:eastAsia="zh-CN"/>
        </w:rPr>
        <w:t>以及国家</w:t>
      </w:r>
      <w:r>
        <w:rPr>
          <w:rFonts w:hint="eastAsia" w:ascii="宋体" w:hAnsi="宋体" w:eastAsia="宋体" w:cs="宋体"/>
          <w:color w:val="auto"/>
          <w:kern w:val="0"/>
          <w:sz w:val="24"/>
          <w:highlight w:val="none"/>
          <w:lang w:val="en-US" w:eastAsia="zh-CN"/>
        </w:rPr>
        <w:t>《智能工厂通用技术要求》《数字化车间通用技术要求》</w:t>
      </w:r>
      <w:r>
        <w:rPr>
          <w:rFonts w:hint="eastAsia" w:ascii="宋体" w:hAnsi="宋体" w:eastAsia="宋体" w:cs="宋体"/>
          <w:color w:val="auto"/>
          <w:kern w:val="0"/>
          <w:sz w:val="24"/>
          <w:highlight w:val="none"/>
        </w:rPr>
        <w:t>《智能制造能力成熟度模型》《智能制造能力成熟度评估方法》等标准要求，围绕</w:t>
      </w:r>
      <w:r>
        <w:rPr>
          <w:rFonts w:hint="eastAsia" w:ascii="宋体" w:hAnsi="宋体" w:eastAsia="宋体" w:cs="宋体"/>
          <w:color w:val="auto"/>
          <w:kern w:val="0"/>
          <w:sz w:val="24"/>
          <w:highlight w:val="none"/>
          <w:lang w:val="en-US" w:eastAsia="zh-CN"/>
        </w:rPr>
        <w:t>企业</w:t>
      </w:r>
      <w:r>
        <w:rPr>
          <w:rFonts w:hint="eastAsia" w:ascii="宋体" w:hAnsi="宋体" w:eastAsia="宋体" w:cs="宋体"/>
          <w:color w:val="auto"/>
          <w:kern w:val="0"/>
          <w:sz w:val="24"/>
          <w:highlight w:val="none"/>
        </w:rPr>
        <w:t>培育创建类型，</w:t>
      </w:r>
      <w:r>
        <w:rPr>
          <w:rFonts w:hint="eastAsia" w:ascii="宋体" w:hAnsi="宋体" w:eastAsia="宋体" w:cs="宋体"/>
          <w:color w:val="auto"/>
          <w:kern w:val="0"/>
          <w:sz w:val="24"/>
          <w:highlight w:val="none"/>
          <w:lang w:val="en-US" w:eastAsia="zh-CN"/>
        </w:rPr>
        <w:t>组织专家实地开展建设指导和智能化水平</w:t>
      </w:r>
      <w:r>
        <w:rPr>
          <w:rFonts w:hint="default" w:ascii="宋体" w:hAnsi="宋体" w:eastAsia="宋体" w:cs="宋体"/>
          <w:color w:val="auto"/>
          <w:kern w:val="0"/>
          <w:sz w:val="24"/>
          <w:highlight w:val="none"/>
          <w:lang w:eastAsia="zh-CN"/>
        </w:rPr>
        <w:t>精益</w:t>
      </w:r>
      <w:r>
        <w:rPr>
          <w:rFonts w:hint="eastAsia" w:ascii="宋体" w:hAnsi="宋体" w:eastAsia="宋体" w:cs="宋体"/>
          <w:color w:val="auto"/>
          <w:kern w:val="0"/>
          <w:sz w:val="24"/>
          <w:highlight w:val="none"/>
          <w:lang w:val="en-US" w:eastAsia="zh-CN"/>
        </w:rPr>
        <w:t>诊断；</w:t>
      </w:r>
    </w:p>
    <w:p w14:paraId="5EE6FCD2">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服务人员</w:t>
      </w:r>
      <w:r>
        <w:rPr>
          <w:rFonts w:hint="eastAsia" w:ascii="宋体" w:hAnsi="宋体" w:eastAsia="宋体" w:cs="宋体"/>
          <w:color w:val="auto"/>
          <w:kern w:val="0"/>
          <w:sz w:val="24"/>
          <w:highlight w:val="none"/>
        </w:rPr>
        <w:t>要求：</w:t>
      </w:r>
      <w:r>
        <w:rPr>
          <w:rFonts w:hint="eastAsia" w:ascii="宋体" w:hAnsi="宋体" w:eastAsia="宋体" w:cs="宋体"/>
          <w:color w:val="auto"/>
          <w:kern w:val="0"/>
          <w:sz w:val="24"/>
          <w:highlight w:val="none"/>
          <w:lang w:val="en-US" w:eastAsia="zh-CN"/>
        </w:rPr>
        <w:t>应结合服务企业要求，组建含所属行业、新一代信息技术、先进制造技术、相关工程技术人员等专家库，未来工厂试点企业按照至少</w:t>
      </w:r>
      <w:r>
        <w:rPr>
          <w:rFonts w:hint="eastAsia" w:ascii="宋体" w:hAnsi="宋体" w:eastAsia="宋体" w:cs="宋体"/>
          <w:color w:val="auto"/>
          <w:kern w:val="0"/>
          <w:sz w:val="24"/>
          <w:highlight w:val="none"/>
        </w:rPr>
        <w:t>5人次/家</w:t>
      </w:r>
      <w:r>
        <w:rPr>
          <w:rFonts w:hint="eastAsia" w:ascii="宋体" w:hAnsi="宋体" w:eastAsia="宋体" w:cs="宋体"/>
          <w:color w:val="auto"/>
          <w:kern w:val="0"/>
          <w:sz w:val="24"/>
          <w:highlight w:val="none"/>
          <w:lang w:val="en-US" w:eastAsia="zh-CN"/>
        </w:rPr>
        <w:t>开展服务，智能工厂</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数字化车间培育企业按照至少3</w:t>
      </w:r>
      <w:r>
        <w:rPr>
          <w:rFonts w:hint="eastAsia" w:ascii="宋体" w:hAnsi="宋体" w:eastAsia="宋体" w:cs="宋体"/>
          <w:color w:val="auto"/>
          <w:kern w:val="0"/>
          <w:sz w:val="24"/>
          <w:highlight w:val="none"/>
        </w:rPr>
        <w:t>人次/家</w:t>
      </w:r>
      <w:r>
        <w:rPr>
          <w:rFonts w:hint="eastAsia" w:ascii="宋体" w:hAnsi="宋体" w:eastAsia="宋体" w:cs="宋体"/>
          <w:color w:val="auto"/>
          <w:kern w:val="0"/>
          <w:sz w:val="24"/>
          <w:highlight w:val="none"/>
          <w:lang w:val="en-US" w:eastAsia="zh-CN"/>
        </w:rPr>
        <w:t>开展服务；职称要求：</w:t>
      </w:r>
      <w:r>
        <w:rPr>
          <w:rFonts w:hint="eastAsia" w:ascii="宋体" w:hAnsi="宋体" w:eastAsia="宋体" w:cs="宋体"/>
          <w:color w:val="auto"/>
          <w:kern w:val="0"/>
          <w:sz w:val="24"/>
          <w:highlight w:val="none"/>
        </w:rPr>
        <w:t>中级及以上职称</w:t>
      </w:r>
      <w:r>
        <w:rPr>
          <w:rFonts w:hint="eastAsia" w:ascii="宋体" w:hAnsi="宋体" w:eastAsia="宋体" w:cs="宋体"/>
          <w:color w:val="auto"/>
          <w:kern w:val="0"/>
          <w:sz w:val="24"/>
          <w:highlight w:val="none"/>
          <w:lang w:val="en-US" w:eastAsia="zh-CN"/>
        </w:rPr>
        <w:t>相应资格</w:t>
      </w:r>
      <w:r>
        <w:rPr>
          <w:rFonts w:hint="eastAsia" w:ascii="宋体" w:hAnsi="宋体" w:eastAsia="宋体" w:cs="宋体"/>
          <w:color w:val="auto"/>
          <w:kern w:val="0"/>
          <w:sz w:val="24"/>
          <w:highlight w:val="none"/>
        </w:rPr>
        <w:t>，其中副高以上至少2名，全年完成不少于</w:t>
      </w:r>
      <w:r>
        <w:rPr>
          <w:rFonts w:hint="eastAsia" w:ascii="宋体" w:hAnsi="宋体" w:eastAsia="宋体" w:cs="宋体"/>
          <w:color w:val="auto"/>
          <w:kern w:val="0"/>
          <w:sz w:val="24"/>
          <w:highlight w:val="none"/>
          <w:lang w:val="en-US" w:eastAsia="zh-CN"/>
        </w:rPr>
        <w:t>100</w:t>
      </w:r>
      <w:r>
        <w:rPr>
          <w:rFonts w:hint="eastAsia" w:ascii="宋体" w:hAnsi="宋体" w:eastAsia="宋体" w:cs="宋体"/>
          <w:color w:val="auto"/>
          <w:kern w:val="0"/>
          <w:sz w:val="24"/>
          <w:highlight w:val="none"/>
        </w:rPr>
        <w:t>家企业</w:t>
      </w:r>
      <w:r>
        <w:rPr>
          <w:rFonts w:hint="eastAsia" w:ascii="宋体" w:hAnsi="宋体" w:eastAsia="宋体" w:cs="宋体"/>
          <w:color w:val="auto"/>
          <w:kern w:val="0"/>
          <w:sz w:val="24"/>
          <w:highlight w:val="none"/>
          <w:lang w:eastAsia="zh-CN"/>
        </w:rPr>
        <w:t>的</w:t>
      </w:r>
      <w:r>
        <w:rPr>
          <w:rFonts w:hint="eastAsia" w:ascii="宋体" w:hAnsi="宋体" w:eastAsia="宋体" w:cs="宋体"/>
          <w:color w:val="auto"/>
          <w:kern w:val="0"/>
          <w:sz w:val="24"/>
          <w:highlight w:val="none"/>
          <w:lang w:val="en-US" w:eastAsia="zh-CN"/>
        </w:rPr>
        <w:t>建设指导和线下智能化水平精益诊断</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专业：电子信息类、机械类及</w:t>
      </w:r>
      <w:r>
        <w:rPr>
          <w:rFonts w:hint="eastAsia" w:ascii="宋体" w:hAnsi="宋体" w:eastAsia="宋体" w:cs="宋体"/>
          <w:color w:val="auto"/>
          <w:kern w:val="0"/>
          <w:sz w:val="24"/>
          <w:highlight w:val="none"/>
          <w:lang w:val="en-US" w:eastAsia="zh-CN"/>
        </w:rPr>
        <w:t>其他相关</w:t>
      </w:r>
      <w:r>
        <w:rPr>
          <w:rFonts w:hint="eastAsia" w:ascii="宋体" w:hAnsi="宋体" w:eastAsia="宋体" w:cs="宋体"/>
          <w:color w:val="auto"/>
          <w:kern w:val="0"/>
          <w:sz w:val="24"/>
          <w:highlight w:val="none"/>
        </w:rPr>
        <w:t>工程</w:t>
      </w:r>
      <w:r>
        <w:rPr>
          <w:rFonts w:hint="eastAsia" w:ascii="宋体" w:hAnsi="宋体" w:eastAsia="宋体" w:cs="宋体"/>
          <w:color w:val="auto"/>
          <w:kern w:val="0"/>
          <w:sz w:val="24"/>
          <w:highlight w:val="none"/>
          <w:lang w:val="en-US" w:eastAsia="zh-CN"/>
        </w:rPr>
        <w:t>类</w:t>
      </w:r>
      <w:r>
        <w:rPr>
          <w:rFonts w:hint="eastAsia" w:ascii="宋体" w:hAnsi="宋体" w:eastAsia="宋体" w:cs="宋体"/>
          <w:color w:val="auto"/>
          <w:kern w:val="0"/>
          <w:sz w:val="24"/>
          <w:highlight w:val="none"/>
        </w:rPr>
        <w:t>专业</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提供</w:t>
      </w:r>
      <w:r>
        <w:rPr>
          <w:rFonts w:hint="eastAsia" w:ascii="宋体" w:hAnsi="宋体" w:eastAsia="宋体" w:cs="宋体"/>
          <w:color w:val="auto"/>
          <w:kern w:val="0"/>
          <w:sz w:val="24"/>
          <w:highlight w:val="none"/>
        </w:rPr>
        <w:t>职称</w:t>
      </w:r>
      <w:r>
        <w:rPr>
          <w:rFonts w:hint="eastAsia" w:ascii="宋体" w:hAnsi="宋体" w:eastAsia="宋体" w:cs="宋体"/>
          <w:color w:val="auto"/>
          <w:kern w:val="0"/>
          <w:sz w:val="24"/>
          <w:highlight w:val="none"/>
          <w:lang w:val="en-US" w:eastAsia="zh-CN"/>
        </w:rPr>
        <w:t>及专业证明材料扫描件</w:t>
      </w:r>
      <w:r>
        <w:rPr>
          <w:rFonts w:hint="eastAsia" w:ascii="宋体" w:hAnsi="宋体" w:eastAsia="宋体" w:cs="宋体"/>
          <w:color w:val="auto"/>
          <w:kern w:val="0"/>
          <w:sz w:val="24"/>
          <w:highlight w:val="none"/>
          <w:lang w:eastAsia="zh-CN"/>
        </w:rPr>
        <w:t>）</w:t>
      </w:r>
      <w:r>
        <w:rPr>
          <w:rFonts w:hint="eastAsia" w:ascii="宋体" w:hAnsi="宋体" w:cs="宋体"/>
          <w:color w:val="auto"/>
          <w:kern w:val="0"/>
          <w:sz w:val="24"/>
          <w:highlight w:val="none"/>
          <w:lang w:eastAsia="zh-CN"/>
        </w:rPr>
        <w:t>；</w:t>
      </w:r>
    </w:p>
    <w:p w14:paraId="2A5F785A">
      <w:pPr>
        <w:tabs>
          <w:tab w:val="left" w:pos="0"/>
        </w:tabs>
        <w:spacing w:line="360" w:lineRule="auto"/>
        <w:ind w:firstLine="48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服务</w:t>
      </w:r>
      <w:r>
        <w:rPr>
          <w:rFonts w:hint="eastAsia" w:ascii="宋体" w:hAnsi="宋体" w:eastAsia="宋体" w:cs="宋体"/>
          <w:color w:val="auto"/>
          <w:kern w:val="0"/>
          <w:sz w:val="24"/>
          <w:highlight w:val="none"/>
        </w:rPr>
        <w:t>要求：按照评价办法梳理项目现状、开展评估结果分析及提出对标建议等</w:t>
      </w:r>
      <w:r>
        <w:rPr>
          <w:rFonts w:hint="eastAsia" w:ascii="宋体" w:hAnsi="宋体" w:eastAsia="宋体" w:cs="宋体"/>
          <w:color w:val="auto"/>
          <w:kern w:val="0"/>
          <w:sz w:val="24"/>
          <w:highlight w:val="none"/>
          <w:lang w:eastAsia="zh-CN"/>
        </w:rPr>
        <w:t>；</w:t>
      </w:r>
    </w:p>
    <w:p w14:paraId="458134A1">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en-US" w:eastAsia="zh-CN"/>
        </w:rPr>
        <w:t>反馈</w:t>
      </w:r>
      <w:r>
        <w:rPr>
          <w:rFonts w:hint="eastAsia" w:ascii="宋体" w:hAnsi="宋体" w:eastAsia="宋体" w:cs="宋体"/>
          <w:color w:val="auto"/>
          <w:kern w:val="0"/>
          <w:sz w:val="24"/>
          <w:highlight w:val="none"/>
        </w:rPr>
        <w:t>时间：每家现场评估后</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0个工作日内完成</w:t>
      </w:r>
      <w:r>
        <w:rPr>
          <w:rFonts w:hint="eastAsia" w:ascii="宋体" w:hAnsi="宋体" w:eastAsia="宋体" w:cs="宋体"/>
          <w:color w:val="auto"/>
          <w:kern w:val="0"/>
          <w:sz w:val="24"/>
          <w:highlight w:val="none"/>
          <w:lang w:val="en-US" w:eastAsia="zh-CN"/>
        </w:rPr>
        <w:t>诊断</w:t>
      </w:r>
      <w:r>
        <w:rPr>
          <w:rFonts w:hint="eastAsia" w:ascii="宋体" w:hAnsi="宋体" w:eastAsia="宋体" w:cs="宋体"/>
          <w:color w:val="auto"/>
          <w:kern w:val="0"/>
          <w:sz w:val="24"/>
          <w:highlight w:val="none"/>
        </w:rPr>
        <w:t>报告。</w:t>
      </w:r>
    </w:p>
    <w:p w14:paraId="1692A218">
      <w:pPr>
        <w:tabs>
          <w:tab w:val="left" w:pos="0"/>
        </w:tabs>
        <w:spacing w:line="360" w:lineRule="auto"/>
        <w:ind w:firstLine="480"/>
        <w:rPr>
          <w:rFonts w:hint="eastAsia" w:ascii="宋体" w:hAnsi="宋体" w:eastAsia="宋体" w:cs="宋体"/>
          <w:color w:val="auto"/>
          <w:kern w:val="0"/>
          <w:sz w:val="24"/>
          <w:highlight w:val="none"/>
        </w:rPr>
      </w:pPr>
      <w:r>
        <w:rPr>
          <w:rFonts w:hint="default" w:ascii="宋体" w:hAnsi="宋体" w:eastAsia="宋体" w:cs="宋体"/>
          <w:color w:val="auto"/>
          <w:kern w:val="0"/>
          <w:sz w:val="24"/>
          <w:highlight w:val="none"/>
          <w:lang w:eastAsia="zh-CN"/>
        </w:rPr>
        <w:t>2</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协助采购人组织</w:t>
      </w:r>
      <w:r>
        <w:rPr>
          <w:rFonts w:hint="eastAsia" w:ascii="宋体" w:hAnsi="宋体" w:eastAsia="宋体" w:cs="宋体"/>
          <w:color w:val="auto"/>
          <w:kern w:val="0"/>
          <w:sz w:val="24"/>
          <w:highlight w:val="none"/>
          <w:lang w:val="en-US" w:eastAsia="zh-CN"/>
        </w:rPr>
        <w:t>未来工厂</w:t>
      </w:r>
      <w:r>
        <w:rPr>
          <w:rFonts w:hint="eastAsia" w:ascii="宋体" w:hAnsi="宋体" w:eastAsia="宋体" w:cs="宋体"/>
          <w:color w:val="auto"/>
          <w:kern w:val="0"/>
          <w:sz w:val="24"/>
          <w:highlight w:val="none"/>
        </w:rPr>
        <w:t>项目评审</w:t>
      </w:r>
    </w:p>
    <w:p w14:paraId="3AB2C3F1">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（1）总体要求：</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未来工厂建设导则</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地方标准、《未来工厂分级评价要点》，</w:t>
      </w:r>
      <w:r>
        <w:rPr>
          <w:rFonts w:hint="default" w:ascii="宋体" w:hAnsi="宋体" w:eastAsia="宋体" w:cs="宋体"/>
          <w:color w:val="auto"/>
          <w:kern w:val="0"/>
          <w:sz w:val="24"/>
          <w:highlight w:val="none"/>
          <w:lang w:eastAsia="zh-CN"/>
        </w:rPr>
        <w:t>要求</w:t>
      </w:r>
      <w:r>
        <w:rPr>
          <w:rFonts w:hint="eastAsia" w:ascii="宋体" w:hAnsi="宋体" w:eastAsia="宋体" w:cs="宋体"/>
          <w:color w:val="auto"/>
          <w:kern w:val="0"/>
          <w:sz w:val="24"/>
          <w:highlight w:val="none"/>
        </w:rPr>
        <w:t>组织专业力量，支撑采购人开展未来工厂试点遴选及未来工厂认定评估工作；</w:t>
      </w:r>
    </w:p>
    <w:p w14:paraId="6EDB2648">
      <w:pPr>
        <w:tabs>
          <w:tab w:val="left" w:pos="0"/>
        </w:tabs>
        <w:spacing w:line="360" w:lineRule="auto"/>
        <w:ind w:firstLine="48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（2）评审专家要求：副高以上，</w:t>
      </w: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rPr>
        <w:t>人次以上，其中正高至少</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人次</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专业：电子信息类、机械类及其他工程专业类</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提供</w:t>
      </w:r>
      <w:r>
        <w:rPr>
          <w:rFonts w:hint="eastAsia" w:ascii="宋体" w:hAnsi="宋体" w:eastAsia="宋体" w:cs="宋体"/>
          <w:color w:val="auto"/>
          <w:kern w:val="0"/>
          <w:sz w:val="24"/>
          <w:highlight w:val="none"/>
        </w:rPr>
        <w:t>职称</w:t>
      </w:r>
      <w:r>
        <w:rPr>
          <w:rFonts w:hint="eastAsia" w:ascii="宋体" w:hAnsi="宋体" w:eastAsia="宋体" w:cs="宋体"/>
          <w:color w:val="auto"/>
          <w:kern w:val="0"/>
          <w:sz w:val="24"/>
          <w:highlight w:val="none"/>
          <w:lang w:val="en-US" w:eastAsia="zh-CN"/>
        </w:rPr>
        <w:t>及专业证明材料扫描件</w:t>
      </w:r>
      <w:r>
        <w:rPr>
          <w:rFonts w:hint="eastAsia" w:ascii="宋体" w:hAnsi="宋体" w:eastAsia="宋体" w:cs="宋体"/>
          <w:color w:val="auto"/>
          <w:kern w:val="0"/>
          <w:sz w:val="24"/>
          <w:highlight w:val="none"/>
          <w:lang w:eastAsia="zh-CN"/>
        </w:rPr>
        <w:t>）</w:t>
      </w:r>
      <w:r>
        <w:rPr>
          <w:rFonts w:hint="eastAsia" w:ascii="宋体" w:hAnsi="宋体" w:cs="宋体"/>
          <w:color w:val="auto"/>
          <w:kern w:val="0"/>
          <w:sz w:val="24"/>
          <w:highlight w:val="none"/>
          <w:lang w:eastAsia="zh-CN"/>
        </w:rPr>
        <w:t>；</w:t>
      </w:r>
    </w:p>
    <w:p w14:paraId="4865BA44">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（3）评审要求：完成</w:t>
      </w:r>
      <w:r>
        <w:rPr>
          <w:rFonts w:hint="eastAsia" w:ascii="宋体" w:hAnsi="宋体" w:eastAsia="宋体" w:cs="宋体"/>
          <w:color w:val="auto"/>
          <w:kern w:val="0"/>
          <w:sz w:val="24"/>
          <w:highlight w:val="none"/>
          <w:lang w:val="en-US" w:eastAsia="zh-CN"/>
        </w:rPr>
        <w:t>评审答辩、</w:t>
      </w:r>
      <w:r>
        <w:rPr>
          <w:rFonts w:hint="eastAsia" w:ascii="宋体" w:hAnsi="宋体" w:eastAsia="宋体" w:cs="宋体"/>
          <w:color w:val="auto"/>
          <w:kern w:val="0"/>
          <w:sz w:val="24"/>
          <w:highlight w:val="none"/>
        </w:rPr>
        <w:t>材料分析、整体评价、现场勘验和能力水平评估工作；</w:t>
      </w:r>
    </w:p>
    <w:p w14:paraId="42F0C641">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（4）评估时间：一年2次。</w:t>
      </w:r>
    </w:p>
    <w:p w14:paraId="18279DB0">
      <w:pPr>
        <w:tabs>
          <w:tab w:val="left" w:pos="0"/>
        </w:tabs>
        <w:spacing w:line="360" w:lineRule="auto"/>
        <w:ind w:firstLine="480"/>
        <w:rPr>
          <w:rFonts w:hint="eastAsia" w:ascii="宋体" w:hAnsi="宋体" w:eastAsia="宋体" w:cs="宋体"/>
          <w:color w:val="auto"/>
          <w:kern w:val="0"/>
          <w:sz w:val="24"/>
          <w:highlight w:val="none"/>
        </w:rPr>
      </w:pPr>
      <w:r>
        <w:rPr>
          <w:rFonts w:hint="default" w:ascii="宋体" w:hAnsi="宋体" w:eastAsia="宋体" w:cs="宋体"/>
          <w:color w:val="auto"/>
          <w:kern w:val="0"/>
          <w:sz w:val="24"/>
          <w:highlight w:val="none"/>
          <w:lang w:eastAsia="zh-CN"/>
        </w:rPr>
        <w:t>3</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协助</w:t>
      </w:r>
      <w:r>
        <w:rPr>
          <w:rFonts w:hint="eastAsia" w:ascii="宋体" w:hAnsi="宋体" w:eastAsia="宋体" w:cs="宋体"/>
          <w:color w:val="auto"/>
          <w:kern w:val="0"/>
          <w:sz w:val="24"/>
          <w:highlight w:val="none"/>
          <w:lang w:val="en-US" w:eastAsia="zh-CN"/>
        </w:rPr>
        <w:t>采购人</w:t>
      </w:r>
      <w:r>
        <w:rPr>
          <w:rFonts w:hint="eastAsia" w:ascii="宋体" w:hAnsi="宋体" w:eastAsia="宋体" w:cs="宋体"/>
          <w:color w:val="auto"/>
          <w:kern w:val="0"/>
          <w:sz w:val="24"/>
          <w:highlight w:val="none"/>
        </w:rPr>
        <w:t>组织开展智能工厂</w:t>
      </w:r>
      <w:r>
        <w:rPr>
          <w:rFonts w:hint="eastAsia" w:ascii="宋体" w:hAnsi="宋体" w:eastAsia="宋体" w:cs="宋体"/>
          <w:color w:val="auto"/>
          <w:kern w:val="0"/>
          <w:sz w:val="24"/>
          <w:highlight w:val="none"/>
          <w:lang w:val="en-US" w:eastAsia="zh-CN"/>
        </w:rPr>
        <w:t>和</w:t>
      </w:r>
      <w:r>
        <w:rPr>
          <w:rFonts w:hint="eastAsia" w:ascii="宋体" w:hAnsi="宋体" w:eastAsia="宋体" w:cs="宋体"/>
          <w:color w:val="auto"/>
          <w:kern w:val="0"/>
          <w:sz w:val="24"/>
          <w:highlight w:val="none"/>
        </w:rPr>
        <w:t>数字化车间</w:t>
      </w:r>
      <w:r>
        <w:rPr>
          <w:rFonts w:hint="eastAsia" w:ascii="宋体" w:hAnsi="宋体" w:eastAsia="宋体" w:cs="宋体"/>
          <w:color w:val="auto"/>
          <w:kern w:val="0"/>
          <w:sz w:val="24"/>
          <w:highlight w:val="none"/>
          <w:lang w:val="en-US" w:eastAsia="zh-CN"/>
        </w:rPr>
        <w:t>项目评审</w:t>
      </w:r>
    </w:p>
    <w:p w14:paraId="41523899">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（1）总体要求：</w:t>
      </w:r>
      <w:r>
        <w:rPr>
          <w:rFonts w:hint="eastAsia" w:ascii="宋体" w:hAnsi="宋体" w:eastAsia="宋体" w:cs="宋体"/>
          <w:color w:val="auto"/>
          <w:kern w:val="0"/>
          <w:sz w:val="24"/>
          <w:highlight w:val="none"/>
          <w:lang w:val="en-US" w:eastAsia="zh-CN"/>
        </w:rPr>
        <w:t>根据《未来工厂分级评价要点》，</w:t>
      </w:r>
      <w:r>
        <w:rPr>
          <w:rFonts w:hint="eastAsia" w:ascii="宋体" w:hAnsi="宋体" w:eastAsia="宋体" w:cs="宋体"/>
          <w:color w:val="auto"/>
          <w:kern w:val="0"/>
          <w:sz w:val="24"/>
          <w:highlight w:val="none"/>
        </w:rPr>
        <w:t>结合我省企业实际，制定智能工厂、数字化车间</w:t>
      </w:r>
      <w:r>
        <w:rPr>
          <w:rFonts w:hint="eastAsia" w:ascii="宋体" w:hAnsi="宋体" w:eastAsia="宋体" w:cs="宋体"/>
          <w:color w:val="auto"/>
          <w:kern w:val="0"/>
          <w:sz w:val="24"/>
          <w:highlight w:val="none"/>
          <w:lang w:val="en-US" w:eastAsia="zh-CN"/>
        </w:rPr>
        <w:t>评审规则</w:t>
      </w:r>
      <w:r>
        <w:rPr>
          <w:rFonts w:hint="eastAsia" w:ascii="宋体" w:hAnsi="宋体" w:eastAsia="宋体" w:cs="宋体"/>
          <w:color w:val="auto"/>
          <w:kern w:val="0"/>
          <w:sz w:val="24"/>
          <w:highlight w:val="none"/>
        </w:rPr>
        <w:t>；组织专业力量，支撑采购人开展智能工厂（数字化车间）项目遴选与认定相关工作；</w:t>
      </w:r>
    </w:p>
    <w:p w14:paraId="35983E22">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（2）评审专家要求：副高以上，数量</w:t>
      </w: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rPr>
        <w:t>人次</w:t>
      </w:r>
      <w:r>
        <w:rPr>
          <w:rFonts w:hint="eastAsia" w:ascii="宋体" w:hAnsi="宋体" w:eastAsia="宋体" w:cs="宋体"/>
          <w:color w:val="auto"/>
          <w:kern w:val="0"/>
          <w:sz w:val="24"/>
          <w:highlight w:val="none"/>
          <w:lang w:val="en-US" w:eastAsia="zh-CN"/>
        </w:rPr>
        <w:t>左右</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其中正高不少</w:t>
      </w:r>
      <w:r>
        <w:rPr>
          <w:rFonts w:hint="eastAsia" w:ascii="宋体" w:hAnsi="宋体" w:eastAsia="宋体" w:cs="宋体"/>
          <w:color w:val="auto"/>
          <w:kern w:val="0"/>
          <w:sz w:val="24"/>
          <w:highlight w:val="none"/>
          <w:lang w:val="en-US" w:eastAsia="zh-CN"/>
        </w:rPr>
        <w:t>4人</w:t>
      </w:r>
      <w:r>
        <w:rPr>
          <w:rFonts w:hint="eastAsia" w:ascii="宋体" w:hAnsi="宋体" w:eastAsia="宋体" w:cs="宋体"/>
          <w:color w:val="auto"/>
          <w:kern w:val="0"/>
          <w:sz w:val="24"/>
          <w:highlight w:val="none"/>
        </w:rPr>
        <w:t>；专业要求：电子信息类、机械类及</w:t>
      </w:r>
      <w:r>
        <w:rPr>
          <w:rFonts w:hint="eastAsia" w:ascii="宋体" w:hAnsi="宋体" w:eastAsia="宋体" w:cs="宋体"/>
          <w:color w:val="auto"/>
          <w:kern w:val="0"/>
          <w:sz w:val="24"/>
          <w:highlight w:val="none"/>
          <w:lang w:val="en-US" w:eastAsia="zh-CN"/>
        </w:rPr>
        <w:t>其他相关</w:t>
      </w:r>
      <w:r>
        <w:rPr>
          <w:rFonts w:hint="eastAsia" w:ascii="宋体" w:hAnsi="宋体" w:eastAsia="宋体" w:cs="宋体"/>
          <w:color w:val="auto"/>
          <w:kern w:val="0"/>
          <w:sz w:val="24"/>
          <w:highlight w:val="none"/>
        </w:rPr>
        <w:t>工程</w:t>
      </w:r>
      <w:r>
        <w:rPr>
          <w:rFonts w:hint="eastAsia" w:ascii="宋体" w:hAnsi="宋体" w:eastAsia="宋体" w:cs="宋体"/>
          <w:color w:val="auto"/>
          <w:kern w:val="0"/>
          <w:sz w:val="24"/>
          <w:highlight w:val="none"/>
          <w:lang w:val="en-US" w:eastAsia="zh-CN"/>
        </w:rPr>
        <w:t>类</w:t>
      </w:r>
      <w:r>
        <w:rPr>
          <w:rFonts w:hint="eastAsia" w:ascii="宋体" w:hAnsi="宋体" w:eastAsia="宋体" w:cs="宋体"/>
          <w:color w:val="auto"/>
          <w:kern w:val="0"/>
          <w:sz w:val="24"/>
          <w:highlight w:val="none"/>
        </w:rPr>
        <w:t>专业</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提供</w:t>
      </w:r>
      <w:r>
        <w:rPr>
          <w:rFonts w:hint="eastAsia" w:ascii="宋体" w:hAnsi="宋体" w:eastAsia="宋体" w:cs="宋体"/>
          <w:color w:val="auto"/>
          <w:kern w:val="0"/>
          <w:sz w:val="24"/>
          <w:highlight w:val="none"/>
        </w:rPr>
        <w:t>职称</w:t>
      </w:r>
      <w:r>
        <w:rPr>
          <w:rFonts w:hint="eastAsia" w:ascii="宋体" w:hAnsi="宋体" w:eastAsia="宋体" w:cs="宋体"/>
          <w:color w:val="auto"/>
          <w:kern w:val="0"/>
          <w:sz w:val="24"/>
          <w:highlight w:val="none"/>
          <w:lang w:val="en-US" w:eastAsia="zh-CN"/>
        </w:rPr>
        <w:t>及专业证明材料扫描件</w:t>
      </w:r>
      <w:r>
        <w:rPr>
          <w:rFonts w:hint="eastAsia" w:ascii="宋体" w:hAnsi="宋体" w:eastAsia="宋体" w:cs="宋体"/>
          <w:color w:val="auto"/>
          <w:kern w:val="0"/>
          <w:sz w:val="24"/>
          <w:highlight w:val="none"/>
          <w:lang w:eastAsia="zh-CN"/>
        </w:rPr>
        <w:t>）</w:t>
      </w:r>
      <w:r>
        <w:rPr>
          <w:rFonts w:hint="eastAsia" w:ascii="宋体" w:hAnsi="宋体" w:cs="宋体"/>
          <w:color w:val="auto"/>
          <w:kern w:val="0"/>
          <w:sz w:val="24"/>
          <w:highlight w:val="none"/>
          <w:lang w:eastAsia="zh-CN"/>
        </w:rPr>
        <w:t>；</w:t>
      </w:r>
    </w:p>
    <w:p w14:paraId="71830980">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（3）评审要求：完成佐证材料</w:t>
      </w:r>
      <w:r>
        <w:rPr>
          <w:rFonts w:hint="eastAsia" w:ascii="宋体" w:hAnsi="宋体" w:eastAsia="宋体" w:cs="宋体"/>
          <w:color w:val="auto"/>
          <w:kern w:val="0"/>
          <w:sz w:val="24"/>
          <w:highlight w:val="none"/>
          <w:lang w:val="en-US" w:eastAsia="zh-CN"/>
        </w:rPr>
        <w:t>审核</w:t>
      </w:r>
      <w:r>
        <w:rPr>
          <w:rFonts w:hint="eastAsia" w:ascii="宋体" w:hAnsi="宋体" w:eastAsia="宋体" w:cs="宋体"/>
          <w:color w:val="auto"/>
          <w:kern w:val="0"/>
          <w:sz w:val="24"/>
          <w:highlight w:val="none"/>
        </w:rPr>
        <w:t>和整体水平评价等；</w:t>
      </w:r>
    </w:p>
    <w:p w14:paraId="0BC9AC29">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（4）评估时间：一年2次。</w:t>
      </w:r>
    </w:p>
    <w:p w14:paraId="0E714A3E">
      <w:pPr>
        <w:tabs>
          <w:tab w:val="left" w:pos="0"/>
        </w:tabs>
        <w:spacing w:line="360" w:lineRule="auto"/>
        <w:ind w:firstLine="480"/>
        <w:rPr>
          <w:rFonts w:hint="eastAsia" w:ascii="宋体" w:hAnsi="宋体" w:eastAsia="宋体" w:cs="宋体"/>
          <w:color w:val="auto"/>
          <w:kern w:val="0"/>
          <w:sz w:val="24"/>
          <w:highlight w:val="none"/>
        </w:rPr>
      </w:pPr>
      <w:r>
        <w:rPr>
          <w:rFonts w:hint="default" w:ascii="宋体" w:hAnsi="宋体" w:eastAsia="宋体" w:cs="宋体"/>
          <w:color w:val="auto"/>
          <w:kern w:val="0"/>
          <w:sz w:val="24"/>
          <w:highlight w:val="none"/>
          <w:lang w:eastAsia="zh-CN"/>
        </w:rPr>
        <w:t>4</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组织开展</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场次</w:t>
      </w:r>
      <w:r>
        <w:rPr>
          <w:rFonts w:hint="eastAsia" w:ascii="宋体" w:hAnsi="宋体" w:eastAsia="宋体" w:cs="宋体"/>
          <w:color w:val="auto"/>
          <w:kern w:val="0"/>
          <w:sz w:val="24"/>
          <w:highlight w:val="none"/>
          <w:lang w:val="en-US" w:eastAsia="zh-CN"/>
        </w:rPr>
        <w:t>智能制造供需对接活动</w:t>
      </w:r>
    </w:p>
    <w:p w14:paraId="341D79E4">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主要内容</w:t>
      </w:r>
      <w:r>
        <w:rPr>
          <w:rFonts w:hint="eastAsia" w:ascii="宋体" w:hAnsi="宋体" w:eastAsia="宋体" w:cs="宋体"/>
          <w:color w:val="auto"/>
          <w:kern w:val="0"/>
          <w:sz w:val="24"/>
          <w:highlight w:val="none"/>
        </w:rPr>
        <w:t>：按照“数字化车间—智能工厂—未来工厂”梯次培育机制，</w:t>
      </w:r>
      <w:r>
        <w:rPr>
          <w:rFonts w:hint="eastAsia" w:ascii="宋体" w:hAnsi="宋体" w:eastAsia="宋体" w:cs="宋体"/>
          <w:color w:val="auto"/>
          <w:kern w:val="0"/>
          <w:sz w:val="24"/>
          <w:highlight w:val="none"/>
          <w:lang w:val="en-US" w:eastAsia="zh-CN"/>
        </w:rPr>
        <w:t>梳理</w:t>
      </w:r>
      <w:r>
        <w:rPr>
          <w:rFonts w:hint="eastAsia" w:ascii="宋体" w:hAnsi="宋体" w:eastAsia="宋体" w:cs="宋体"/>
          <w:color w:val="auto"/>
          <w:kern w:val="0"/>
          <w:sz w:val="24"/>
          <w:highlight w:val="none"/>
        </w:rPr>
        <w:t>我省企业智能化</w:t>
      </w:r>
      <w:r>
        <w:rPr>
          <w:rFonts w:hint="eastAsia" w:ascii="宋体" w:hAnsi="宋体" w:eastAsia="宋体" w:cs="宋体"/>
          <w:color w:val="auto"/>
          <w:kern w:val="0"/>
          <w:sz w:val="24"/>
          <w:highlight w:val="none"/>
          <w:lang w:val="en-US" w:eastAsia="zh-CN"/>
        </w:rPr>
        <w:t>对标提升需求</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组织遴选省内外优质解决方案供应商，</w:t>
      </w:r>
      <w:r>
        <w:rPr>
          <w:rFonts w:hint="eastAsia" w:ascii="宋体" w:hAnsi="宋体" w:eastAsia="宋体" w:cs="宋体"/>
          <w:color w:val="auto"/>
          <w:kern w:val="0"/>
          <w:sz w:val="24"/>
          <w:highlight w:val="none"/>
        </w:rPr>
        <w:t>开展</w:t>
      </w:r>
      <w:r>
        <w:rPr>
          <w:rFonts w:hint="eastAsia" w:ascii="宋体" w:hAnsi="宋体" w:eastAsia="宋体" w:cs="宋体"/>
          <w:color w:val="auto"/>
          <w:kern w:val="0"/>
          <w:sz w:val="24"/>
          <w:highlight w:val="none"/>
          <w:lang w:val="en-US" w:eastAsia="zh-CN"/>
        </w:rPr>
        <w:t>供需对接活动</w:t>
      </w:r>
      <w:r>
        <w:rPr>
          <w:rFonts w:hint="eastAsia" w:ascii="宋体" w:hAnsi="宋体" w:eastAsia="宋体" w:cs="宋体"/>
          <w:color w:val="auto"/>
          <w:kern w:val="0"/>
          <w:sz w:val="24"/>
          <w:highlight w:val="none"/>
        </w:rPr>
        <w:t>；</w:t>
      </w:r>
    </w:p>
    <w:p w14:paraId="110B4C04">
      <w:pPr>
        <w:tabs>
          <w:tab w:val="left" w:pos="0"/>
        </w:tabs>
        <w:spacing w:line="360" w:lineRule="auto"/>
        <w:ind w:firstLine="480"/>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主要要求</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梳理并细化改造需求，年底前在浙江省内开展4场次供需对接会，并持续跟踪企业对接改造情况。</w:t>
      </w:r>
    </w:p>
    <w:p w14:paraId="50411DE1">
      <w:pPr>
        <w:tabs>
          <w:tab w:val="left" w:pos="0"/>
        </w:tabs>
        <w:spacing w:line="360" w:lineRule="auto"/>
        <w:ind w:firstLine="480"/>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组织开展</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场次“未来工厂”大学堂</w:t>
      </w:r>
      <w:r>
        <w:rPr>
          <w:rFonts w:hint="eastAsia" w:ascii="宋体" w:hAnsi="宋体" w:eastAsia="宋体" w:cs="宋体"/>
          <w:color w:val="auto"/>
          <w:kern w:val="0"/>
          <w:sz w:val="24"/>
          <w:highlight w:val="none"/>
          <w:lang w:val="en-US" w:eastAsia="zh-CN"/>
        </w:rPr>
        <w:t>授课活动</w:t>
      </w:r>
    </w:p>
    <w:p w14:paraId="74EA0902">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（1）授课内容：围绕我省“未来工厂”建设，</w:t>
      </w:r>
      <w:r>
        <w:rPr>
          <w:rFonts w:hint="eastAsia" w:ascii="宋体" w:hAnsi="宋体" w:eastAsia="宋体" w:cs="宋体"/>
          <w:color w:val="auto"/>
          <w:kern w:val="0"/>
          <w:sz w:val="24"/>
          <w:highlight w:val="none"/>
          <w:lang w:val="en-US" w:eastAsia="zh-CN"/>
        </w:rPr>
        <w:t>结合地方政府和企业需求，</w:t>
      </w:r>
      <w:r>
        <w:rPr>
          <w:rFonts w:hint="eastAsia" w:ascii="宋体" w:hAnsi="宋体" w:eastAsia="宋体" w:cs="宋体"/>
          <w:color w:val="auto"/>
          <w:kern w:val="0"/>
          <w:sz w:val="24"/>
          <w:highlight w:val="none"/>
        </w:rPr>
        <w:t>开展相关政策及申报事项解读、标准宣贯、</w:t>
      </w:r>
      <w:r>
        <w:rPr>
          <w:rFonts w:hint="eastAsia" w:ascii="宋体" w:hAnsi="宋体" w:eastAsia="宋体" w:cs="宋体"/>
          <w:color w:val="auto"/>
          <w:kern w:val="0"/>
          <w:sz w:val="24"/>
          <w:highlight w:val="none"/>
          <w:lang w:val="en-US" w:eastAsia="zh-CN"/>
        </w:rPr>
        <w:t>未来工厂案例解析</w:t>
      </w:r>
      <w:r>
        <w:rPr>
          <w:rFonts w:hint="eastAsia" w:ascii="宋体" w:hAnsi="宋体" w:eastAsia="宋体" w:cs="宋体"/>
          <w:color w:val="auto"/>
          <w:kern w:val="0"/>
          <w:sz w:val="24"/>
          <w:highlight w:val="none"/>
        </w:rPr>
        <w:t>、智能制造技术应用讲解等；</w:t>
      </w:r>
    </w:p>
    <w:p w14:paraId="1082F15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（2）授课对象：重点区域企业和地方经信部门；</w:t>
      </w:r>
    </w:p>
    <w:p w14:paraId="4E236F3A">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（3）授课老师专业要求：需具备研究浙江省“未来工厂”的相关履历经历，中级及以上职称</w:t>
      </w:r>
      <w:r>
        <w:rPr>
          <w:rFonts w:hint="eastAsia" w:ascii="宋体" w:hAnsi="宋体" w:eastAsia="宋体" w:cs="宋体"/>
          <w:color w:val="auto"/>
          <w:kern w:val="0"/>
          <w:sz w:val="24"/>
          <w:highlight w:val="none"/>
          <w:lang w:val="en-US" w:eastAsia="zh-CN"/>
        </w:rPr>
        <w:t>相应资格</w:t>
      </w:r>
      <w:r>
        <w:rPr>
          <w:rFonts w:hint="eastAsia" w:ascii="宋体" w:hAnsi="宋体" w:eastAsia="宋体" w:cs="宋体"/>
          <w:color w:val="auto"/>
          <w:kern w:val="0"/>
          <w:sz w:val="24"/>
          <w:highlight w:val="none"/>
        </w:rPr>
        <w:t>，电子信息类、机械类、管理类及其他工程专业类</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提供</w:t>
      </w:r>
      <w:r>
        <w:rPr>
          <w:rFonts w:hint="eastAsia" w:ascii="宋体" w:hAnsi="宋体" w:eastAsia="宋体" w:cs="宋体"/>
          <w:color w:val="auto"/>
          <w:kern w:val="0"/>
          <w:sz w:val="24"/>
          <w:highlight w:val="none"/>
        </w:rPr>
        <w:t>职称</w:t>
      </w:r>
      <w:r>
        <w:rPr>
          <w:rFonts w:hint="eastAsia" w:ascii="宋体" w:hAnsi="宋体" w:eastAsia="宋体" w:cs="宋体"/>
          <w:color w:val="auto"/>
          <w:kern w:val="0"/>
          <w:sz w:val="24"/>
          <w:highlight w:val="none"/>
          <w:lang w:val="en-US" w:eastAsia="zh-CN"/>
        </w:rPr>
        <w:t>及专业证明材料扫描件</w:t>
      </w:r>
      <w:r>
        <w:rPr>
          <w:rFonts w:hint="eastAsia" w:ascii="宋体" w:hAnsi="宋体" w:eastAsia="宋体" w:cs="宋体"/>
          <w:color w:val="auto"/>
          <w:kern w:val="0"/>
          <w:sz w:val="24"/>
          <w:highlight w:val="none"/>
          <w:lang w:eastAsia="zh-CN"/>
        </w:rPr>
        <w:t>）</w:t>
      </w:r>
      <w:r>
        <w:rPr>
          <w:rFonts w:hint="eastAsia" w:ascii="宋体" w:hAnsi="宋体" w:cs="宋体"/>
          <w:color w:val="auto"/>
          <w:kern w:val="0"/>
          <w:sz w:val="24"/>
          <w:highlight w:val="none"/>
          <w:lang w:eastAsia="zh-CN"/>
        </w:rPr>
        <w:t>；</w:t>
      </w:r>
    </w:p>
    <w:p w14:paraId="148ED5D8">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（4）授课时间及地点：通过线上线下相结合的方式，</w:t>
      </w:r>
      <w:r>
        <w:rPr>
          <w:rFonts w:hint="eastAsia" w:ascii="宋体" w:hAnsi="宋体" w:eastAsia="宋体" w:cs="宋体"/>
          <w:color w:val="auto"/>
          <w:kern w:val="0"/>
          <w:sz w:val="24"/>
          <w:highlight w:val="none"/>
          <w:lang w:val="en-US" w:eastAsia="zh-CN"/>
        </w:rPr>
        <w:t>在浙江省内</w:t>
      </w:r>
      <w:r>
        <w:rPr>
          <w:rFonts w:hint="eastAsia" w:ascii="宋体" w:hAnsi="宋体" w:eastAsia="宋体" w:cs="宋体"/>
          <w:color w:val="auto"/>
          <w:kern w:val="0"/>
          <w:sz w:val="24"/>
          <w:highlight w:val="none"/>
        </w:rPr>
        <w:t>完成</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场次“未来工厂”大学堂线上线下授课，年底前完成。</w:t>
      </w:r>
    </w:p>
    <w:p w14:paraId="6598E2A3">
      <w:pPr>
        <w:pStyle w:val="4"/>
        <w:bidi w:val="0"/>
        <w:rPr>
          <w:rFonts w:hint="eastAsia"/>
          <w:color w:val="auto"/>
          <w:highlight w:val="none"/>
          <w:lang w:eastAsia="zh-CN"/>
        </w:rPr>
      </w:pPr>
      <w:r>
        <w:rPr>
          <w:rFonts w:hint="eastAsia"/>
          <w:color w:val="auto"/>
          <w:highlight w:val="none"/>
        </w:rPr>
        <w:t>三、基本要求</w:t>
      </w:r>
      <w:r>
        <w:rPr>
          <w:rFonts w:hint="eastAsia"/>
          <w:color w:val="auto"/>
          <w:highlight w:val="none"/>
          <w:lang w:eastAsia="zh-CN"/>
        </w:rPr>
        <w:t>：</w:t>
      </w:r>
    </w:p>
    <w:p w14:paraId="511A9D51">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供应商应当遵循下列相关要求：</w:t>
      </w:r>
    </w:p>
    <w:p w14:paraId="1F0525B7">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3.1 服务期限：以合同签订接受委托时间起至202</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年12月底前。</w:t>
      </w:r>
    </w:p>
    <w:p w14:paraId="2A7EB89D">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3.2 受托任务的响应</w:t>
      </w:r>
    </w:p>
    <w:p w14:paraId="769EC2F2">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（1）接受任务的成交供应商应制定相应的工作方案，完善评估工作规则和流程，配置专业人员，保证独立、客观、公正、科学地开展评估咨询工作。</w:t>
      </w:r>
    </w:p>
    <w:p w14:paraId="5F4990F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（2）承担委托任务的成交供应商及其工作人员，不得收取申请人的任何费用，也不得借机为本单位和个人谋取任何利益。</w:t>
      </w:r>
    </w:p>
    <w:p w14:paraId="18507DF7">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（3）承担委托任务的成交供应商及其工作人员，应自觉接受采购人组织的绩效考核和监督检查。</w:t>
      </w:r>
    </w:p>
    <w:p w14:paraId="1E1628B9">
      <w:pPr>
        <w:pStyle w:val="4"/>
        <w:bidi w:val="0"/>
        <w:rPr>
          <w:rFonts w:hint="eastAsia"/>
          <w:color w:val="auto"/>
          <w:highlight w:val="none"/>
        </w:rPr>
      </w:pPr>
      <w:r>
        <w:rPr>
          <w:rFonts w:hint="eastAsia"/>
          <w:color w:val="auto"/>
          <w:highlight w:val="none"/>
        </w:rPr>
        <w:t>四、监督管理</w:t>
      </w:r>
    </w:p>
    <w:p w14:paraId="2E4C747B">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4.1采购人定期对成交供应商接受任务和承担任务情况进行核查。</w:t>
      </w:r>
    </w:p>
    <w:p w14:paraId="3EE230CA">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 采购人在委托评估任务时，应当核查成交供应商与拟委托事项的申请人之间的关联关系。存在关联关系的，承担委托任务的成交供应商应当回避，以保证公平、公正地开展评估工作。</w:t>
      </w:r>
    </w:p>
    <w:p w14:paraId="729F9CE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4.3成交供应商应当按照委托要求独立开展评估咨询工作，广泛听取各方面意见，按有关规定进行全面、系统分析，形成客观、公正的评估报告。重大分歧意见应全面、如实反映，并按时限报送采购人。因客观原因确实难以在规定时限内完成的，在书面征得采购人同意后，可以适当延期。</w:t>
      </w:r>
    </w:p>
    <w:p w14:paraId="042D3B2B">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4.4采购人受理对有关成交供应商的举报、投诉，并组织或委托有关机构进行检查核实，按照有关规定对查实的问题进行处理。</w:t>
      </w:r>
    </w:p>
    <w:p w14:paraId="160E2544">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4.5 成交供应商有下列情形之一的，采购人可以视情节对其提出警告、终止委托、取消其承担的委托评估任务的资格、依据有关规定做出相应处理，并向社会公布：</w:t>
      </w:r>
    </w:p>
    <w:p w14:paraId="39FDBE4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（1）评估报告有重大失误或质量低劣；</w:t>
      </w:r>
    </w:p>
    <w:p w14:paraId="1A8DDF7F">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（2）评估过程中有违反本办法规定的行为；</w:t>
      </w:r>
    </w:p>
    <w:p w14:paraId="5208BAB2">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（3）累计两次拒绝接受委托评估任务；</w:t>
      </w:r>
    </w:p>
    <w:p w14:paraId="6C7B2D05">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（4）累计两次未按时限规定完成委托评估任务；</w:t>
      </w:r>
    </w:p>
    <w:p w14:paraId="2B7E976B">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（5）将委托评估工作再行委托其他机构的；</w:t>
      </w:r>
    </w:p>
    <w:p w14:paraId="1EC7055D">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（6）其他违反国家和省法律法规规定的行为。</w:t>
      </w:r>
    </w:p>
    <w:p w14:paraId="28CF0B78">
      <w:pPr>
        <w:pStyle w:val="4"/>
        <w:bidi w:val="0"/>
        <w:rPr>
          <w:rFonts w:hint="eastAsia"/>
          <w:color w:val="auto"/>
          <w:highlight w:val="none"/>
        </w:rPr>
      </w:pPr>
      <w:r>
        <w:rPr>
          <w:rFonts w:hint="eastAsia"/>
          <w:color w:val="auto"/>
          <w:highlight w:val="none"/>
        </w:rPr>
        <w:t>五、项目验收时间、验收方法和标准</w:t>
      </w:r>
    </w:p>
    <w:p w14:paraId="49B1FAD8">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由采购人按以下条件组织验收：</w:t>
      </w:r>
    </w:p>
    <w:p w14:paraId="3CE930C7">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验收时间：采购人在收到中标供应商提供的报告之日起10个工作日内对报告及相关资料开展验收。</w:t>
      </w:r>
    </w:p>
    <w:p w14:paraId="51E20B57">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验收主体：采购人按照合同约定自行组建验收小组开展验收。</w:t>
      </w:r>
    </w:p>
    <w:p w14:paraId="0F9313D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验收依据：（1）用户需求书；（2）响应文件技术响应；（3）合同等。</w:t>
      </w:r>
    </w:p>
    <w:p w14:paraId="27781B8F">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验收对象：中标供应商提供的有关成果文件。</w:t>
      </w:r>
    </w:p>
    <w:p w14:paraId="44E3CDBF">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验收结果：验收结果不符合合同约定的，应当通知中标供应商限期达到合同约定的要求，并按照合同约定承担相应的违约责任。</w:t>
      </w:r>
    </w:p>
    <w:p w14:paraId="761DEBDC">
      <w:pPr>
        <w:pStyle w:val="4"/>
        <w:bidi w:val="0"/>
        <w:rPr>
          <w:rFonts w:hint="eastAsia"/>
          <w:color w:val="auto"/>
          <w:highlight w:val="none"/>
        </w:rPr>
      </w:pPr>
      <w:r>
        <w:rPr>
          <w:rFonts w:hint="eastAsia"/>
          <w:color w:val="auto"/>
          <w:highlight w:val="none"/>
        </w:rPr>
        <w:t>六、其他要求</w:t>
      </w:r>
    </w:p>
    <w:p w14:paraId="29E12D89">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成交供应商应当遵守下列规定：</w:t>
      </w:r>
    </w:p>
    <w:p w14:paraId="1FB6A541">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（1）提供的信息、资料及出具的书面文件应当真实、合法；　　</w:t>
      </w:r>
    </w:p>
    <w:p w14:paraId="5DB850E4">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（2）应当及时、如实地告知委托人应当知道的信息；　　</w:t>
      </w:r>
    </w:p>
    <w:p w14:paraId="35CD596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（3）对评估过程中知悉的商业秘密及其他秘密事项予以保密；　　</w:t>
      </w:r>
    </w:p>
    <w:p w14:paraId="013428F1">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（4）履行合同应当遵守的业务规范的有关要求；</w:t>
      </w:r>
    </w:p>
    <w:p w14:paraId="233E05D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（5）如期完成委托合同及业务规范规定的其他事项　　</w:t>
      </w:r>
    </w:p>
    <w:p w14:paraId="492D6125">
      <w:pPr>
        <w:pStyle w:val="4"/>
        <w:bidi w:val="0"/>
        <w:rPr>
          <w:rFonts w:hint="eastAsia"/>
          <w:color w:val="auto"/>
          <w:highlight w:val="none"/>
        </w:rPr>
      </w:pPr>
      <w:r>
        <w:rPr>
          <w:rFonts w:hint="eastAsia"/>
          <w:color w:val="auto"/>
          <w:highlight w:val="none"/>
        </w:rPr>
        <w:t>七、保密要求</w:t>
      </w:r>
    </w:p>
    <w:p w14:paraId="7A63982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1.供应商应签订保密协议，对其因身份、职务、职业或技术关系而知悉的采购人商业秘密和党政机关保密信息应严格保守，保证不被披露或使用，包括意外或过失。</w:t>
      </w:r>
    </w:p>
    <w:p w14:paraId="65317D14">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供应商不得以竞争为目的、或出于私利、或为第三人谋利而擅自保存、披露、使用采购人商业秘密和党政机关保密信息；不得直接或间接地向无关人员泄露采购人的商业秘密和党政机关保密信息；不得向不承担保密义务的任何第三人披露采购人的商业秘密和党政机关保密信息。供应商在从事政府项目时，不得擅自记录、复制、拍摄、摘抄、收藏在工作中涉及的保密信息，严禁将涉及政府项目的任何资料、数据透露或以其他方式提供给项目以外的其他方或供应商内部与该项目无关的任何人员。</w:t>
      </w:r>
    </w:p>
    <w:p w14:paraId="1BC087F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对于工作期间知悉采购人的商业秘密和党政机关保密信息（包括业务信息在内）或工作过程中接触到的政府机关文件（包括内部发文、各类通知及会议记录等）的内容，同样承担保密责任，严禁将政府机关内部会议、谈话内容泄露给无关人员。</w:t>
      </w:r>
    </w:p>
    <w:p w14:paraId="60B9994D">
      <w:pPr>
        <w:pStyle w:val="4"/>
        <w:bidi w:val="0"/>
        <w:rPr>
          <w:rFonts w:hint="eastAsia"/>
          <w:color w:val="auto"/>
          <w:highlight w:val="none"/>
        </w:rPr>
      </w:pPr>
      <w:r>
        <w:rPr>
          <w:rFonts w:hint="eastAsia"/>
          <w:color w:val="auto"/>
          <w:highlight w:val="none"/>
        </w:rPr>
        <w:t>八、投标报价</w:t>
      </w:r>
    </w:p>
    <w:p w14:paraId="7BFB9641">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包括专家评审费、现场服务、咨询及评估费、差旅费、授课费用（专家授课费、场地租用费、设备租用或购买费等）及其他费用（资料费编制、印刷费等）、等所有含税费用。</w:t>
      </w:r>
    </w:p>
    <w:p w14:paraId="7D13861C">
      <w:pPr>
        <w:pStyle w:val="4"/>
        <w:bidi w:val="0"/>
        <w:rPr>
          <w:rFonts w:hint="eastAsia"/>
          <w:color w:val="auto"/>
          <w:highlight w:val="none"/>
        </w:rPr>
      </w:pPr>
      <w:r>
        <w:rPr>
          <w:rFonts w:hint="eastAsia"/>
          <w:color w:val="auto"/>
          <w:highlight w:val="none"/>
        </w:rPr>
        <w:t>九、付款方式</w:t>
      </w:r>
    </w:p>
    <w:p w14:paraId="306E465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1.合同签订生效且具备实施条件后7个工作日内，采购人按合同总价的70%向成交供应商支付预付款；</w:t>
      </w:r>
    </w:p>
    <w:p w14:paraId="63E0A3BF">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2.成交供应商全部项目完成且提交所有成果资料后</w:t>
      </w: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rPr>
        <w:t>个工作日内，采购人向成交供应商支付其余尾款。</w:t>
      </w:r>
    </w:p>
    <w:p w14:paraId="7E5C8419">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3.成交供应商必须提供给采购人相应款项一致的全额、正规、合法、有效的发票，否则采购人有权延期付款，直至收到中标人相应发票为止。</w:t>
      </w:r>
    </w:p>
    <w:p w14:paraId="6B374CE5">
      <w:pPr>
        <w:pStyle w:val="4"/>
        <w:bidi w:val="0"/>
        <w:rPr>
          <w:rFonts w:hint="eastAsia"/>
          <w:color w:val="auto"/>
          <w:highlight w:val="none"/>
        </w:rPr>
      </w:pPr>
      <w:r>
        <w:rPr>
          <w:rFonts w:hint="eastAsia"/>
          <w:color w:val="auto"/>
          <w:highlight w:val="none"/>
        </w:rPr>
        <w:t>十、其他</w:t>
      </w:r>
    </w:p>
    <w:p w14:paraId="4F6A3EC2">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1.供应商提供对</w:t>
      </w:r>
      <w:r>
        <w:rPr>
          <w:rFonts w:hint="eastAsia" w:ascii="宋体" w:hAnsi="宋体" w:cs="宋体"/>
          <w:color w:val="auto"/>
          <w:kern w:val="0"/>
          <w:sz w:val="24"/>
          <w:highlight w:val="none"/>
          <w:lang w:eastAsia="zh-CN"/>
        </w:rPr>
        <w:t>2024年“未来工厂”认定评估及新模式推广应用项目</w:t>
      </w:r>
      <w:r>
        <w:rPr>
          <w:rFonts w:hint="eastAsia" w:ascii="宋体" w:hAnsi="宋体" w:eastAsia="宋体" w:cs="宋体"/>
          <w:color w:val="auto"/>
          <w:kern w:val="0"/>
          <w:sz w:val="24"/>
          <w:highlight w:val="none"/>
        </w:rPr>
        <w:t>的现状、背景及需求的理解和分析。</w:t>
      </w:r>
    </w:p>
    <w:p w14:paraId="5D00330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2.供应商提供202</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年1月1日至今（以合同签订时间为准）同类组织项目（智能制造评估诊断、培训、推广）实施经验，需提供完整清晰的合同扫描件。</w:t>
      </w:r>
    </w:p>
    <w:p w14:paraId="42E2E01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应提供针对本项目采购范围中“全省100家未来工厂试点企业及智能工厂（数字化车间）培育企业等开展建设指导和智能化水平精益诊断”、“协助组织未来工厂项目评审”、“协助组织开展智能工厂（数字化车间）项目评审”、“组织开展4场次智能制造供需对接活动”、“组织开展6场次未来工厂大学堂授课”内容分别提供完善完整的服务方案。</w:t>
      </w:r>
    </w:p>
    <w:p w14:paraId="2F0D871D">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4.供应商提供符合本项目采购需求的本项目实施进程安排及分项活动时间安排的具体方案，要求详细、科学合理。</w:t>
      </w:r>
    </w:p>
    <w:p w14:paraId="38EF13D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5.供应商提供本项目实施过程中的重点难点分析及切实有效的相应解决方案和措施。</w:t>
      </w:r>
    </w:p>
    <w:p w14:paraId="01EDF18A">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供应商具有智能制造优质服务资源调配能力。应满足面向不同行业、不同规模企业开展智能制造供需对接活动，协调调动区域级、省域级或全国跨省域级智能制造服务资源能力。需提供相关协调调动对应资源能力的证明材料。</w:t>
      </w:r>
    </w:p>
    <w:p w14:paraId="0D807601">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7.供应商具有建设智能制造服务支撑工具。应建有或运营面向企业和政府服务的智能制造相关服务平台，具备快速开展相关服务（诊断、对接、培训和宣传展示等）工作的能力，平台服务具有一定覆盖级别。</w:t>
      </w:r>
    </w:p>
    <w:p w14:paraId="33E79B99">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8.供应商提供评审、评估专家详细名单，包括但不限于专家姓名、年龄、工作单位、职称、专业分类、数量等。</w:t>
      </w:r>
    </w:p>
    <w:p w14:paraId="5EFF7711">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9.供应商提供“未来工厂”授课老师的相关证明，需是政府部门人员或高校老师或企业家等行业内专家（提供授课老师的职务或职称或任职相关证明）。</w:t>
      </w:r>
    </w:p>
    <w:p w14:paraId="4EAB6252">
      <w:pPr>
        <w:tabs>
          <w:tab w:val="left" w:pos="0"/>
        </w:tabs>
        <w:spacing w:line="360" w:lineRule="auto"/>
        <w:ind w:firstLine="480"/>
        <w:rPr>
          <w:rFonts w:hint="eastAsia" w:cs="Times New Roman"/>
          <w:color w:val="auto"/>
          <w:sz w:val="24"/>
          <w:szCs w:val="24"/>
          <w:highlight w:val="none"/>
          <w:lang w:eastAsia="zh-CN"/>
        </w:rPr>
      </w:pPr>
      <w:r>
        <w:rPr>
          <w:rFonts w:hint="eastAsia" w:ascii="宋体" w:hAnsi="宋体" w:eastAsia="宋体" w:cs="宋体"/>
          <w:color w:val="auto"/>
          <w:kern w:val="0"/>
          <w:sz w:val="24"/>
          <w:highlight w:val="none"/>
        </w:rPr>
        <w:t>10.供应商应针对本项目设立项目负责人，</w:t>
      </w:r>
      <w:r>
        <w:rPr>
          <w:rFonts w:cs="Times New Roman"/>
          <w:color w:val="auto"/>
          <w:sz w:val="24"/>
          <w:szCs w:val="24"/>
          <w:highlight w:val="none"/>
        </w:rPr>
        <w:t>项目负责人具有</w:t>
      </w:r>
      <w:r>
        <w:rPr>
          <w:rFonts w:hint="eastAsia" w:ascii="宋体" w:hAnsi="宋体" w:eastAsia="宋体" w:cs="宋体"/>
          <w:color w:val="auto"/>
          <w:kern w:val="0"/>
          <w:sz w:val="24"/>
          <w:highlight w:val="none"/>
        </w:rPr>
        <w:t>电子信息类、机械类及</w:t>
      </w:r>
      <w:r>
        <w:rPr>
          <w:rFonts w:hint="eastAsia" w:ascii="宋体" w:hAnsi="宋体" w:eastAsia="宋体" w:cs="宋体"/>
          <w:color w:val="auto"/>
          <w:kern w:val="0"/>
          <w:sz w:val="24"/>
          <w:highlight w:val="none"/>
          <w:lang w:val="en-US" w:eastAsia="zh-CN"/>
        </w:rPr>
        <w:t>其他相关</w:t>
      </w:r>
      <w:r>
        <w:rPr>
          <w:rFonts w:hint="eastAsia" w:ascii="宋体" w:hAnsi="宋体" w:eastAsia="宋体" w:cs="宋体"/>
          <w:color w:val="auto"/>
          <w:kern w:val="0"/>
          <w:sz w:val="24"/>
          <w:highlight w:val="none"/>
        </w:rPr>
        <w:t>工程</w:t>
      </w:r>
      <w:r>
        <w:rPr>
          <w:rFonts w:hint="eastAsia" w:ascii="宋体" w:hAnsi="宋体" w:eastAsia="宋体" w:cs="宋体"/>
          <w:color w:val="auto"/>
          <w:kern w:val="0"/>
          <w:sz w:val="24"/>
          <w:highlight w:val="none"/>
          <w:lang w:val="en-US" w:eastAsia="zh-CN"/>
        </w:rPr>
        <w:t>类</w:t>
      </w:r>
      <w:r>
        <w:rPr>
          <w:rFonts w:hint="eastAsia" w:ascii="宋体" w:hAnsi="宋体" w:eastAsia="宋体" w:cs="宋体"/>
          <w:color w:val="auto"/>
          <w:kern w:val="0"/>
          <w:sz w:val="24"/>
          <w:highlight w:val="none"/>
        </w:rPr>
        <w:t>专业</w:t>
      </w:r>
      <w:r>
        <w:rPr>
          <w:rFonts w:hint="eastAsia" w:cs="宋体"/>
          <w:color w:val="auto"/>
          <w:kern w:val="0"/>
          <w:sz w:val="24"/>
          <w:highlight w:val="none"/>
          <w:lang w:eastAsia="zh-CN"/>
        </w:rPr>
        <w:t>的</w:t>
      </w:r>
      <w:r>
        <w:rPr>
          <w:rFonts w:cs="Times New Roman"/>
          <w:color w:val="auto"/>
          <w:sz w:val="24"/>
          <w:szCs w:val="24"/>
          <w:highlight w:val="none"/>
        </w:rPr>
        <w:t>硕士及以上学历</w:t>
      </w:r>
      <w:r>
        <w:rPr>
          <w:rFonts w:hint="eastAsia" w:cs="Times New Roman"/>
          <w:color w:val="auto"/>
          <w:sz w:val="24"/>
          <w:szCs w:val="24"/>
          <w:highlight w:val="none"/>
          <w:lang w:eastAsia="zh-CN"/>
        </w:rPr>
        <w:t>，</w:t>
      </w:r>
      <w:r>
        <w:rPr>
          <w:rFonts w:hint="eastAsia" w:ascii="宋体" w:hAnsi="宋体" w:eastAsia="宋体" w:cs="宋体"/>
          <w:color w:val="auto"/>
          <w:kern w:val="0"/>
          <w:sz w:val="24"/>
          <w:highlight w:val="none"/>
        </w:rPr>
        <w:t>为供应商在职员工或长期聘任人员</w:t>
      </w:r>
      <w:r>
        <w:rPr>
          <w:rFonts w:hint="eastAsia" w:ascii="宋体" w:hAnsi="宋体" w:cs="宋体"/>
          <w:color w:val="auto"/>
          <w:kern w:val="0"/>
          <w:sz w:val="24"/>
          <w:highlight w:val="none"/>
          <w:lang w:eastAsia="zh-CN"/>
        </w:rPr>
        <w:t>，</w:t>
      </w:r>
      <w:r>
        <w:rPr>
          <w:rFonts w:hint="eastAsia" w:cs="Times New Roman"/>
          <w:color w:val="auto"/>
          <w:sz w:val="24"/>
          <w:szCs w:val="24"/>
          <w:highlight w:val="none"/>
          <w:lang w:eastAsia="zh-CN"/>
        </w:rPr>
        <w:t>需</w:t>
      </w:r>
      <w:r>
        <w:rPr>
          <w:rFonts w:cs="Times New Roman"/>
          <w:color w:val="auto"/>
          <w:sz w:val="24"/>
          <w:szCs w:val="24"/>
          <w:highlight w:val="none"/>
        </w:rPr>
        <w:t>提供学历证书复</w:t>
      </w:r>
      <w:r>
        <w:rPr>
          <w:rFonts w:hint="eastAsia" w:cs="Times New Roman"/>
          <w:color w:val="auto"/>
          <w:sz w:val="24"/>
          <w:szCs w:val="24"/>
          <w:highlight w:val="none"/>
          <w:lang w:eastAsia="zh-CN"/>
        </w:rPr>
        <w:t>扫描件以及</w:t>
      </w:r>
      <w:r>
        <w:rPr>
          <w:rFonts w:hint="eastAsia" w:cs="Times New Roman"/>
          <w:color w:val="auto"/>
          <w:sz w:val="24"/>
          <w:szCs w:val="24"/>
          <w:highlight w:val="none"/>
        </w:rPr>
        <w:t>近半年内任意一个时间点在本单位的</w:t>
      </w:r>
      <w:r>
        <w:rPr>
          <w:rFonts w:hint="eastAsia" w:cs="Times New Roman"/>
          <w:color w:val="auto"/>
          <w:sz w:val="24"/>
          <w:szCs w:val="24"/>
          <w:highlight w:val="none"/>
          <w:lang w:eastAsia="zh-CN"/>
        </w:rPr>
        <w:t>社保</w:t>
      </w:r>
      <w:r>
        <w:rPr>
          <w:rFonts w:hint="eastAsia" w:cs="Times New Roman"/>
          <w:color w:val="auto"/>
          <w:sz w:val="24"/>
          <w:szCs w:val="24"/>
          <w:highlight w:val="none"/>
        </w:rPr>
        <w:t>缴纳证明扫描件并加盖投标人公章</w:t>
      </w:r>
      <w:r>
        <w:rPr>
          <w:rFonts w:hint="eastAsia" w:cs="Times New Roman"/>
          <w:color w:val="auto"/>
          <w:sz w:val="24"/>
          <w:szCs w:val="24"/>
          <w:highlight w:val="none"/>
          <w:lang w:eastAsia="zh-CN"/>
        </w:rPr>
        <w:t>。</w:t>
      </w:r>
    </w:p>
    <w:p w14:paraId="7E240AD2">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本项目投入服务团队应组织架构合理、人员数量充足（至少6人以上）；团队人员拥有参与“未来工厂”、智能工厂建设评估经历，包括参与标准制定、评估服务等；团队人员分工明确合理、岗位职责清晰到位。</w:t>
      </w:r>
    </w:p>
    <w:p w14:paraId="711A2BC8">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12.以“未来工厂现场诊断报告”为例，提供成果报告的基本思路框架。报告架构合理、要素齐全、重点突出、针对性强的要求。</w:t>
      </w:r>
    </w:p>
    <w:p w14:paraId="49965CBA">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13.供应商提供的具体详细的质量保证方案，以保证整体项目质量。</w:t>
      </w:r>
    </w:p>
    <w:p w14:paraId="6EB27606">
      <w:pPr>
        <w:tabs>
          <w:tab w:val="left" w:pos="0"/>
        </w:tabs>
        <w:spacing w:line="360" w:lineRule="auto"/>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14.供应商提供针对需求中的保密要求所制定的保密方案，以符合保密要求。</w:t>
      </w:r>
    </w:p>
    <w:p w14:paraId="71FAB189">
      <w:pPr>
        <w:widowControl/>
        <w:adjustRightInd/>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2B839D7D">
      <w:pPr>
        <w:adjustRightInd/>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第五部分  </w:t>
      </w:r>
      <w:bookmarkEnd w:id="62"/>
      <w:bookmarkEnd w:id="63"/>
      <w:bookmarkStart w:id="66" w:name="第四部分"/>
      <w:r>
        <w:rPr>
          <w:rFonts w:hint="eastAsia" w:ascii="宋体" w:hAnsi="宋体" w:eastAsia="宋体" w:cs="宋体"/>
          <w:b/>
          <w:color w:val="auto"/>
          <w:sz w:val="36"/>
          <w:szCs w:val="36"/>
          <w:highlight w:val="none"/>
        </w:rPr>
        <w:t>评审方法及评审标准</w:t>
      </w:r>
    </w:p>
    <w:p w14:paraId="0F73A924">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auto"/>
        <w:jc w:val="center"/>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评标办法前附表</w:t>
      </w:r>
    </w:p>
    <w:tbl>
      <w:tblPr>
        <w:tblStyle w:val="60"/>
        <w:tblW w:w="10150" w:type="dxa"/>
        <w:tblInd w:w="-429"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214"/>
        <w:gridCol w:w="5593"/>
        <w:gridCol w:w="613"/>
        <w:gridCol w:w="907"/>
        <w:gridCol w:w="1117"/>
      </w:tblGrid>
      <w:tr w14:paraId="2A971B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06" w:type="dxa"/>
            <w:tcBorders>
              <w:tl2br w:val="nil"/>
              <w:tr2bl w:val="nil"/>
            </w:tcBorders>
            <w:vAlign w:val="center"/>
          </w:tcPr>
          <w:p w14:paraId="5B3E9D1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序号</w:t>
            </w:r>
          </w:p>
        </w:tc>
        <w:tc>
          <w:tcPr>
            <w:tcW w:w="1214" w:type="dxa"/>
            <w:tcBorders>
              <w:tl2br w:val="nil"/>
              <w:tr2bl w:val="nil"/>
            </w:tcBorders>
            <w:vAlign w:val="center"/>
          </w:tcPr>
          <w:p w14:paraId="20AB157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评分内容</w:t>
            </w:r>
          </w:p>
        </w:tc>
        <w:tc>
          <w:tcPr>
            <w:tcW w:w="5593" w:type="dxa"/>
            <w:tcBorders>
              <w:tl2br w:val="nil"/>
              <w:tr2bl w:val="nil"/>
            </w:tcBorders>
            <w:vAlign w:val="center"/>
          </w:tcPr>
          <w:p w14:paraId="50435A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评标标准</w:t>
            </w:r>
          </w:p>
        </w:tc>
        <w:tc>
          <w:tcPr>
            <w:tcW w:w="613" w:type="dxa"/>
            <w:tcBorders>
              <w:tl2br w:val="nil"/>
              <w:tr2bl w:val="nil"/>
            </w:tcBorders>
            <w:vAlign w:val="center"/>
          </w:tcPr>
          <w:p w14:paraId="1F64887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权重</w:t>
            </w:r>
          </w:p>
        </w:tc>
        <w:tc>
          <w:tcPr>
            <w:tcW w:w="907" w:type="dxa"/>
            <w:tcBorders>
              <w:tl2br w:val="nil"/>
              <w:tr2bl w:val="nil"/>
            </w:tcBorders>
            <w:vAlign w:val="center"/>
          </w:tcPr>
          <w:p w14:paraId="61B9060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主观分/客观分属性</w:t>
            </w:r>
          </w:p>
        </w:tc>
        <w:tc>
          <w:tcPr>
            <w:tcW w:w="1117" w:type="dxa"/>
            <w:tcBorders>
              <w:tl2br w:val="nil"/>
              <w:tr2bl w:val="nil"/>
            </w:tcBorders>
            <w:vAlign w:val="center"/>
          </w:tcPr>
          <w:p w14:paraId="5E23FA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评标标准相应的商务技术资料目录</w:t>
            </w:r>
            <w:r>
              <w:rPr>
                <w:rFonts w:hint="eastAsia" w:ascii="宋体" w:hAnsi="宋体" w:eastAsia="宋体" w:cs="宋体"/>
                <w:b/>
                <w:bCs w:val="0"/>
                <w:color w:val="auto"/>
                <w:sz w:val="24"/>
                <w:szCs w:val="24"/>
                <w:highlight w:val="none"/>
                <w:shd w:val="clear" w:color="auto" w:fill="FFFFFF"/>
              </w:rPr>
              <w:t>*</w:t>
            </w:r>
          </w:p>
        </w:tc>
      </w:tr>
      <w:tr w14:paraId="68645F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tcBorders>
              <w:tl2br w:val="nil"/>
              <w:tr2bl w:val="nil"/>
            </w:tcBorders>
            <w:vAlign w:val="center"/>
          </w:tcPr>
          <w:p w14:paraId="3310D7B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1214" w:type="dxa"/>
            <w:tcBorders>
              <w:tl2br w:val="nil"/>
              <w:tr2bl w:val="nil"/>
            </w:tcBorders>
            <w:vAlign w:val="center"/>
          </w:tcPr>
          <w:p w14:paraId="556BAF8C">
            <w:pPr>
              <w:pStyle w:val="176"/>
              <w:keepNext w:val="0"/>
              <w:keepLines w:val="0"/>
              <w:pageBreakBefore w:val="0"/>
              <w:widowControl w:val="0"/>
              <w:kinsoku/>
              <w:wordWrap/>
              <w:overflowPunct/>
              <w:topLinePunct w:val="0"/>
              <w:autoSpaceDE/>
              <w:autoSpaceDN/>
              <w:bidi w:val="0"/>
              <w:adjustRightInd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color w:val="auto"/>
                <w:sz w:val="24"/>
                <w:szCs w:val="24"/>
                <w:highlight w:val="none"/>
              </w:rPr>
              <w:t>项目需求理解</w:t>
            </w:r>
          </w:p>
        </w:tc>
        <w:tc>
          <w:tcPr>
            <w:tcW w:w="5593" w:type="dxa"/>
            <w:tcBorders>
              <w:tl2br w:val="nil"/>
              <w:tr2bl w:val="nil"/>
            </w:tcBorders>
            <w:vAlign w:val="center"/>
          </w:tcPr>
          <w:p w14:paraId="0CDC06D8">
            <w:pPr>
              <w:pStyle w:val="176"/>
              <w:keepNext w:val="0"/>
              <w:keepLines w:val="0"/>
              <w:pageBreakBefore w:val="0"/>
              <w:widowControl w:val="0"/>
              <w:kinsoku/>
              <w:wordWrap/>
              <w:overflowPunct/>
              <w:topLinePunct w:val="0"/>
              <w:autoSpaceDE/>
              <w:autoSpaceDN/>
              <w:bidi w:val="0"/>
              <w:adjustRightInd w:val="0"/>
              <w:spacing w:line="360" w:lineRule="auto"/>
              <w:ind w:firstLine="50" w:firstLineChars="21"/>
              <w:textAlignment w:val="auto"/>
              <w:rPr>
                <w:rFonts w:hint="eastAsia" w:ascii="宋体" w:hAnsi="宋体" w:eastAsia="宋体" w:cs="宋体"/>
                <w:color w:val="auto"/>
                <w:sz w:val="24"/>
                <w:szCs w:val="24"/>
                <w:highlight w:val="none"/>
              </w:rPr>
            </w:pPr>
            <w:r>
              <w:rPr>
                <w:rFonts w:hint="eastAsia"/>
                <w:color w:val="auto"/>
                <w:sz w:val="24"/>
                <w:szCs w:val="24"/>
                <w:highlight w:val="none"/>
                <w:lang w:val="en-US" w:eastAsia="zh-CN"/>
              </w:rPr>
              <w:t>供应商</w:t>
            </w:r>
            <w:r>
              <w:rPr>
                <w:color w:val="auto"/>
                <w:sz w:val="24"/>
                <w:szCs w:val="24"/>
                <w:highlight w:val="none"/>
              </w:rPr>
              <w:t>对</w:t>
            </w:r>
            <w:r>
              <w:rPr>
                <w:rFonts w:hint="eastAsia"/>
                <w:color w:val="auto"/>
                <w:sz w:val="24"/>
                <w:szCs w:val="24"/>
                <w:highlight w:val="none"/>
                <w:lang w:val="en-US" w:eastAsia="zh-CN"/>
              </w:rPr>
              <w:t>项目</w:t>
            </w:r>
            <w:r>
              <w:rPr>
                <w:color w:val="auto"/>
                <w:sz w:val="24"/>
                <w:szCs w:val="24"/>
                <w:highlight w:val="none"/>
              </w:rPr>
              <w:t>现状和背景</w:t>
            </w:r>
            <w:r>
              <w:rPr>
                <w:rFonts w:hint="eastAsia"/>
                <w:color w:val="auto"/>
                <w:sz w:val="24"/>
                <w:szCs w:val="24"/>
                <w:highlight w:val="none"/>
                <w:lang w:eastAsia="zh-CN"/>
              </w:rPr>
              <w:t>、</w:t>
            </w:r>
            <w:r>
              <w:rPr>
                <w:color w:val="auto"/>
                <w:sz w:val="24"/>
                <w:szCs w:val="24"/>
                <w:highlight w:val="none"/>
              </w:rPr>
              <w:t>项目需求的理解情况进行评价打分</w:t>
            </w:r>
            <w:r>
              <w:rPr>
                <w:rFonts w:hint="eastAsia"/>
                <w:color w:val="auto"/>
                <w:sz w:val="24"/>
                <w:szCs w:val="24"/>
                <w:highlight w:val="none"/>
                <w:lang w:eastAsia="zh-CN"/>
              </w:rPr>
              <w:t>；</w:t>
            </w:r>
            <w:r>
              <w:rPr>
                <w:color w:val="auto"/>
                <w:sz w:val="24"/>
                <w:szCs w:val="24"/>
                <w:highlight w:val="none"/>
              </w:rPr>
              <w:t>理解</w:t>
            </w:r>
            <w:r>
              <w:rPr>
                <w:rFonts w:hint="eastAsia"/>
                <w:color w:val="auto"/>
                <w:sz w:val="24"/>
                <w:szCs w:val="24"/>
                <w:highlight w:val="none"/>
                <w:lang w:val="en-US" w:eastAsia="zh-CN"/>
              </w:rPr>
              <w:t>深刻到位</w:t>
            </w:r>
            <w:r>
              <w:rPr>
                <w:color w:val="auto"/>
                <w:sz w:val="24"/>
                <w:szCs w:val="24"/>
                <w:highlight w:val="none"/>
              </w:rPr>
              <w:t>的得</w:t>
            </w:r>
            <w:r>
              <w:rPr>
                <w:rFonts w:hint="eastAsia"/>
                <w:color w:val="auto"/>
                <w:sz w:val="24"/>
                <w:szCs w:val="24"/>
                <w:highlight w:val="none"/>
                <w:lang w:val="en-US" w:eastAsia="zh-CN"/>
              </w:rPr>
              <w:t>5</w:t>
            </w:r>
            <w:r>
              <w:rPr>
                <w:color w:val="auto"/>
                <w:sz w:val="24"/>
                <w:szCs w:val="24"/>
                <w:highlight w:val="none"/>
              </w:rPr>
              <w:t>分；理解</w:t>
            </w:r>
            <w:r>
              <w:rPr>
                <w:rFonts w:hint="eastAsia"/>
                <w:color w:val="auto"/>
                <w:sz w:val="24"/>
                <w:szCs w:val="24"/>
                <w:highlight w:val="none"/>
                <w:lang w:val="en-US" w:eastAsia="zh-CN"/>
              </w:rPr>
              <w:t>比较到位</w:t>
            </w:r>
            <w:r>
              <w:rPr>
                <w:color w:val="auto"/>
                <w:sz w:val="24"/>
                <w:szCs w:val="24"/>
                <w:highlight w:val="none"/>
              </w:rPr>
              <w:t>的得</w:t>
            </w:r>
            <w:r>
              <w:rPr>
                <w:rFonts w:hint="eastAsia"/>
                <w:color w:val="auto"/>
                <w:sz w:val="24"/>
                <w:szCs w:val="24"/>
                <w:highlight w:val="none"/>
                <w:lang w:val="en-US" w:eastAsia="zh-CN"/>
              </w:rPr>
              <w:t>4</w:t>
            </w:r>
            <w:r>
              <w:rPr>
                <w:color w:val="auto"/>
                <w:sz w:val="24"/>
                <w:szCs w:val="24"/>
                <w:highlight w:val="none"/>
              </w:rPr>
              <w:t>分；</w:t>
            </w:r>
            <w:r>
              <w:rPr>
                <w:rFonts w:hint="eastAsia"/>
                <w:color w:val="auto"/>
                <w:sz w:val="24"/>
                <w:szCs w:val="24"/>
                <w:highlight w:val="none"/>
                <w:lang w:val="en-US" w:eastAsia="zh-CN"/>
              </w:rPr>
              <w:t>基本理解</w:t>
            </w:r>
            <w:r>
              <w:rPr>
                <w:color w:val="auto"/>
                <w:sz w:val="24"/>
                <w:szCs w:val="24"/>
                <w:highlight w:val="none"/>
              </w:rPr>
              <w:t>的得</w:t>
            </w:r>
            <w:r>
              <w:rPr>
                <w:rFonts w:hint="eastAsia"/>
                <w:color w:val="auto"/>
                <w:sz w:val="24"/>
                <w:szCs w:val="24"/>
                <w:highlight w:val="none"/>
                <w:lang w:val="en-US" w:eastAsia="zh-CN"/>
              </w:rPr>
              <w:t>3</w:t>
            </w:r>
            <w:r>
              <w:rPr>
                <w:color w:val="auto"/>
                <w:sz w:val="24"/>
                <w:szCs w:val="24"/>
                <w:highlight w:val="none"/>
              </w:rPr>
              <w:t>分；</w:t>
            </w:r>
            <w:r>
              <w:rPr>
                <w:rFonts w:hint="eastAsia"/>
                <w:color w:val="auto"/>
                <w:sz w:val="24"/>
                <w:szCs w:val="24"/>
                <w:highlight w:val="none"/>
                <w:lang w:val="en-US" w:eastAsia="zh-CN"/>
              </w:rPr>
              <w:t>理解存在一定偏差的得2分；</w:t>
            </w:r>
            <w:r>
              <w:rPr>
                <w:color w:val="auto"/>
                <w:sz w:val="24"/>
                <w:szCs w:val="24"/>
                <w:highlight w:val="none"/>
              </w:rPr>
              <w:t>理解与</w:t>
            </w:r>
            <w:r>
              <w:rPr>
                <w:rFonts w:hint="eastAsia"/>
                <w:color w:val="auto"/>
                <w:sz w:val="24"/>
                <w:szCs w:val="24"/>
                <w:highlight w:val="none"/>
                <w:lang w:val="en-US" w:eastAsia="zh-CN"/>
              </w:rPr>
              <w:t>现状背景、</w:t>
            </w:r>
            <w:r>
              <w:rPr>
                <w:color w:val="auto"/>
                <w:sz w:val="24"/>
                <w:szCs w:val="24"/>
                <w:highlight w:val="none"/>
              </w:rPr>
              <w:t>项目需求存在</w:t>
            </w:r>
            <w:r>
              <w:rPr>
                <w:rFonts w:hint="eastAsia"/>
                <w:color w:val="auto"/>
                <w:sz w:val="24"/>
                <w:szCs w:val="24"/>
                <w:highlight w:val="none"/>
              </w:rPr>
              <w:t>较大</w:t>
            </w:r>
            <w:r>
              <w:rPr>
                <w:color w:val="auto"/>
                <w:sz w:val="24"/>
                <w:szCs w:val="24"/>
                <w:highlight w:val="none"/>
              </w:rPr>
              <w:t>偏差的得1分；未提供得0分。</w:t>
            </w:r>
          </w:p>
        </w:tc>
        <w:tc>
          <w:tcPr>
            <w:tcW w:w="613" w:type="dxa"/>
            <w:tcBorders>
              <w:tl2br w:val="nil"/>
              <w:tr2bl w:val="nil"/>
            </w:tcBorders>
            <w:vAlign w:val="center"/>
          </w:tcPr>
          <w:p w14:paraId="75669139">
            <w:pPr>
              <w:pStyle w:val="176"/>
              <w:keepNext w:val="0"/>
              <w:keepLines w:val="0"/>
              <w:pageBreakBefore w:val="0"/>
              <w:widowControl w:val="0"/>
              <w:kinsoku/>
              <w:wordWrap/>
              <w:overflowPunct/>
              <w:topLinePunct w:val="0"/>
              <w:autoSpaceDE/>
              <w:autoSpaceDN/>
              <w:bidi w:val="0"/>
              <w:adjustRightInd w:val="0"/>
              <w:spacing w:line="360" w:lineRule="auto"/>
              <w:ind w:firstLine="50" w:firstLineChars="21"/>
              <w:jc w:val="center"/>
              <w:textAlignment w:val="auto"/>
              <w:rPr>
                <w:rFonts w:hint="eastAsia" w:ascii="宋体" w:hAnsi="宋体" w:eastAsia="宋体" w:cs="宋体"/>
                <w:color w:val="auto"/>
                <w:sz w:val="24"/>
                <w:szCs w:val="24"/>
                <w:highlight w:val="none"/>
              </w:rPr>
            </w:pPr>
            <w:r>
              <w:rPr>
                <w:rFonts w:hint="eastAsia"/>
                <w:color w:val="auto"/>
                <w:sz w:val="24"/>
                <w:szCs w:val="24"/>
                <w:highlight w:val="none"/>
                <w:lang w:val="en-US" w:eastAsia="zh-CN"/>
              </w:rPr>
              <w:t>5</w:t>
            </w:r>
          </w:p>
        </w:tc>
        <w:tc>
          <w:tcPr>
            <w:tcW w:w="907" w:type="dxa"/>
            <w:tcBorders>
              <w:tl2br w:val="nil"/>
              <w:tr2bl w:val="nil"/>
            </w:tcBorders>
            <w:vAlign w:val="center"/>
          </w:tcPr>
          <w:p w14:paraId="3D91600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主观分</w:t>
            </w:r>
          </w:p>
          <w:p w14:paraId="4EC22B02">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jc w:val="center"/>
              <w:textAlignment w:val="auto"/>
              <w:outlineLvl w:val="0"/>
              <w:rPr>
                <w:rFonts w:hint="eastAsia" w:ascii="宋体" w:hAnsi="宋体" w:eastAsia="宋体" w:cs="宋体"/>
                <w:color w:val="auto"/>
                <w:sz w:val="24"/>
                <w:szCs w:val="24"/>
                <w:highlight w:val="none"/>
              </w:rPr>
            </w:pPr>
          </w:p>
        </w:tc>
        <w:tc>
          <w:tcPr>
            <w:tcW w:w="1117" w:type="dxa"/>
            <w:tcBorders>
              <w:tl2br w:val="nil"/>
              <w:tr2bl w:val="nil"/>
            </w:tcBorders>
            <w:vAlign w:val="center"/>
          </w:tcPr>
          <w:p w14:paraId="181CB9E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4"/>
                <w:szCs w:val="24"/>
                <w:highlight w:val="none"/>
              </w:rPr>
            </w:pPr>
          </w:p>
        </w:tc>
      </w:tr>
      <w:tr w14:paraId="1DB376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tcBorders>
              <w:tl2br w:val="nil"/>
              <w:tr2bl w:val="nil"/>
            </w:tcBorders>
            <w:vAlign w:val="center"/>
          </w:tcPr>
          <w:p w14:paraId="3B9CAD3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1214" w:type="dxa"/>
            <w:tcBorders>
              <w:tl2br w:val="nil"/>
              <w:tr2bl w:val="nil"/>
            </w:tcBorders>
            <w:vAlign w:val="center"/>
          </w:tcPr>
          <w:p w14:paraId="05EA74F5">
            <w:pPr>
              <w:pStyle w:val="176"/>
              <w:keepNext w:val="0"/>
              <w:keepLines w:val="0"/>
              <w:pageBreakBefore w:val="0"/>
              <w:widowControl w:val="0"/>
              <w:kinsoku/>
              <w:wordWrap/>
              <w:overflowPunct/>
              <w:topLinePunct w:val="0"/>
              <w:autoSpaceDE/>
              <w:autoSpaceDN/>
              <w:bidi w:val="0"/>
              <w:adjustRightInd w:val="0"/>
              <w:spacing w:line="360" w:lineRule="auto"/>
              <w:ind w:firstLine="50" w:firstLineChars="21"/>
              <w:jc w:val="center"/>
              <w:textAlignment w:val="auto"/>
              <w:rPr>
                <w:rFonts w:hint="eastAsia" w:ascii="宋体" w:hAnsi="宋体" w:eastAsia="宋体" w:cs="宋体"/>
                <w:color w:val="auto"/>
                <w:sz w:val="24"/>
                <w:szCs w:val="24"/>
                <w:highlight w:val="none"/>
              </w:rPr>
            </w:pPr>
            <w:r>
              <w:rPr>
                <w:color w:val="auto"/>
                <w:sz w:val="24"/>
                <w:szCs w:val="24"/>
                <w:highlight w:val="none"/>
              </w:rPr>
              <w:t>同类项目实施经验</w:t>
            </w:r>
          </w:p>
        </w:tc>
        <w:tc>
          <w:tcPr>
            <w:tcW w:w="5593" w:type="dxa"/>
            <w:tcBorders>
              <w:tl2br w:val="nil"/>
              <w:tr2bl w:val="nil"/>
            </w:tcBorders>
            <w:vAlign w:val="center"/>
          </w:tcPr>
          <w:p w14:paraId="184A7C09">
            <w:pPr>
              <w:pStyle w:val="176"/>
              <w:keepNext w:val="0"/>
              <w:keepLines w:val="0"/>
              <w:pageBreakBefore w:val="0"/>
              <w:widowControl w:val="0"/>
              <w:kinsoku/>
              <w:wordWrap/>
              <w:overflowPunct/>
              <w:topLinePunct w:val="0"/>
              <w:autoSpaceDE/>
              <w:autoSpaceDN/>
              <w:bidi w:val="0"/>
              <w:adjustRightInd w:val="0"/>
              <w:spacing w:line="360" w:lineRule="auto"/>
              <w:ind w:firstLine="50" w:firstLineChars="21"/>
              <w:textAlignment w:val="auto"/>
              <w:rPr>
                <w:rFonts w:hint="eastAsia" w:ascii="宋体" w:hAnsi="宋体" w:eastAsia="宋体" w:cs="宋体"/>
                <w:color w:val="auto"/>
                <w:sz w:val="24"/>
                <w:szCs w:val="24"/>
                <w:highlight w:val="none"/>
              </w:rPr>
            </w:pPr>
            <w:r>
              <w:rPr>
                <w:color w:val="auto"/>
                <w:sz w:val="24"/>
                <w:szCs w:val="24"/>
                <w:highlight w:val="none"/>
              </w:rPr>
              <w:t>供应商提供20</w:t>
            </w:r>
            <w:r>
              <w:rPr>
                <w:rFonts w:hint="eastAsia"/>
                <w:color w:val="auto"/>
                <w:sz w:val="24"/>
                <w:szCs w:val="24"/>
                <w:highlight w:val="none"/>
                <w:lang w:val="en-US" w:eastAsia="zh-CN"/>
              </w:rPr>
              <w:t>21</w:t>
            </w:r>
            <w:r>
              <w:rPr>
                <w:color w:val="auto"/>
                <w:sz w:val="24"/>
                <w:szCs w:val="24"/>
                <w:highlight w:val="none"/>
              </w:rPr>
              <w:t>年1月1日至今（以合同签订时间为准）同类</w:t>
            </w:r>
            <w:r>
              <w:rPr>
                <w:rFonts w:hint="eastAsia"/>
                <w:color w:val="auto"/>
                <w:sz w:val="24"/>
                <w:szCs w:val="24"/>
                <w:highlight w:val="none"/>
              </w:rPr>
              <w:t>组织</w:t>
            </w:r>
            <w:r>
              <w:rPr>
                <w:color w:val="auto"/>
                <w:sz w:val="24"/>
                <w:szCs w:val="24"/>
                <w:highlight w:val="none"/>
              </w:rPr>
              <w:t>项目</w:t>
            </w:r>
            <w:r>
              <w:rPr>
                <w:rFonts w:hint="eastAsia"/>
                <w:color w:val="auto"/>
                <w:sz w:val="24"/>
                <w:szCs w:val="24"/>
                <w:highlight w:val="none"/>
              </w:rPr>
              <w:t>（</w:t>
            </w:r>
            <w:r>
              <w:rPr>
                <w:rFonts w:hint="eastAsia"/>
                <w:color w:val="auto"/>
                <w:sz w:val="24"/>
                <w:szCs w:val="24"/>
                <w:highlight w:val="none"/>
                <w:lang w:val="en-US" w:eastAsia="zh-CN"/>
              </w:rPr>
              <w:t>智能制造</w:t>
            </w:r>
            <w:r>
              <w:rPr>
                <w:rFonts w:hint="eastAsia"/>
                <w:color w:val="auto"/>
                <w:sz w:val="24"/>
                <w:szCs w:val="24"/>
                <w:highlight w:val="none"/>
              </w:rPr>
              <w:t>评估</w:t>
            </w:r>
            <w:r>
              <w:rPr>
                <w:rFonts w:hint="eastAsia"/>
                <w:color w:val="auto"/>
                <w:sz w:val="24"/>
                <w:szCs w:val="24"/>
                <w:highlight w:val="none"/>
                <w:lang w:val="en-US" w:eastAsia="zh-CN"/>
              </w:rPr>
              <w:t>诊断、供需对接、培训及</w:t>
            </w:r>
            <w:r>
              <w:rPr>
                <w:rFonts w:hint="eastAsia"/>
                <w:color w:val="auto"/>
                <w:sz w:val="24"/>
                <w:szCs w:val="24"/>
                <w:highlight w:val="none"/>
              </w:rPr>
              <w:t>推广</w:t>
            </w:r>
            <w:r>
              <w:rPr>
                <w:rFonts w:hint="eastAsia"/>
                <w:color w:val="auto"/>
                <w:sz w:val="24"/>
                <w:szCs w:val="24"/>
                <w:highlight w:val="none"/>
                <w:lang w:val="en-US" w:eastAsia="zh-CN"/>
              </w:rPr>
              <w:t>应用</w:t>
            </w:r>
            <w:r>
              <w:rPr>
                <w:rFonts w:hint="eastAsia"/>
                <w:color w:val="auto"/>
                <w:sz w:val="24"/>
                <w:szCs w:val="24"/>
                <w:highlight w:val="none"/>
              </w:rPr>
              <w:t>）</w:t>
            </w:r>
            <w:r>
              <w:rPr>
                <w:color w:val="auto"/>
                <w:sz w:val="24"/>
                <w:szCs w:val="24"/>
                <w:highlight w:val="none"/>
              </w:rPr>
              <w:t>实施经验，每项得0.5分，最多得</w:t>
            </w:r>
            <w:r>
              <w:rPr>
                <w:rFonts w:hint="eastAsia"/>
                <w:color w:val="auto"/>
                <w:sz w:val="24"/>
                <w:szCs w:val="24"/>
                <w:highlight w:val="none"/>
                <w:lang w:val="en-US" w:eastAsia="zh-CN"/>
              </w:rPr>
              <w:t>1</w:t>
            </w:r>
            <w:r>
              <w:rPr>
                <w:color w:val="auto"/>
                <w:sz w:val="24"/>
                <w:szCs w:val="24"/>
                <w:highlight w:val="none"/>
              </w:rPr>
              <w:t>分，需提供完整清晰的合同扫描件，不提供不得分。</w:t>
            </w:r>
          </w:p>
        </w:tc>
        <w:tc>
          <w:tcPr>
            <w:tcW w:w="613" w:type="dxa"/>
            <w:tcBorders>
              <w:tl2br w:val="nil"/>
              <w:tr2bl w:val="nil"/>
            </w:tcBorders>
            <w:vAlign w:val="center"/>
          </w:tcPr>
          <w:p w14:paraId="24849251">
            <w:pPr>
              <w:pStyle w:val="176"/>
              <w:keepNext w:val="0"/>
              <w:keepLines w:val="0"/>
              <w:pageBreakBefore w:val="0"/>
              <w:widowControl w:val="0"/>
              <w:kinsoku/>
              <w:wordWrap/>
              <w:overflowPunct/>
              <w:topLinePunct w:val="0"/>
              <w:autoSpaceDE/>
              <w:autoSpaceDN/>
              <w:bidi w:val="0"/>
              <w:adjustRightInd w:val="0"/>
              <w:spacing w:line="360" w:lineRule="auto"/>
              <w:ind w:firstLine="50" w:firstLineChars="21"/>
              <w:jc w:val="center"/>
              <w:textAlignment w:val="auto"/>
              <w:rPr>
                <w:rFonts w:hint="eastAsia" w:ascii="宋体" w:hAnsi="宋体" w:eastAsia="宋体" w:cs="宋体"/>
                <w:color w:val="auto"/>
                <w:sz w:val="24"/>
                <w:szCs w:val="24"/>
                <w:highlight w:val="none"/>
              </w:rPr>
            </w:pPr>
            <w:r>
              <w:rPr>
                <w:rFonts w:hint="eastAsia"/>
                <w:color w:val="auto"/>
                <w:sz w:val="24"/>
                <w:szCs w:val="24"/>
                <w:highlight w:val="none"/>
                <w:lang w:val="en-US" w:eastAsia="zh-CN"/>
              </w:rPr>
              <w:t>1</w:t>
            </w:r>
          </w:p>
        </w:tc>
        <w:tc>
          <w:tcPr>
            <w:tcW w:w="907" w:type="dxa"/>
            <w:tcBorders>
              <w:tl2br w:val="nil"/>
              <w:tr2bl w:val="nil"/>
            </w:tcBorders>
            <w:vAlign w:val="center"/>
          </w:tcPr>
          <w:p w14:paraId="1A0C9D7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客观分</w:t>
            </w:r>
          </w:p>
          <w:p w14:paraId="045819FC">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jc w:val="center"/>
              <w:textAlignment w:val="auto"/>
              <w:outlineLvl w:val="0"/>
              <w:rPr>
                <w:rFonts w:hint="eastAsia" w:ascii="宋体" w:hAnsi="宋体" w:eastAsia="宋体" w:cs="宋体"/>
                <w:color w:val="auto"/>
                <w:sz w:val="24"/>
                <w:szCs w:val="24"/>
                <w:highlight w:val="none"/>
              </w:rPr>
            </w:pPr>
          </w:p>
        </w:tc>
        <w:tc>
          <w:tcPr>
            <w:tcW w:w="1117" w:type="dxa"/>
            <w:tcBorders>
              <w:tl2br w:val="nil"/>
              <w:tr2bl w:val="nil"/>
            </w:tcBorders>
            <w:vAlign w:val="center"/>
          </w:tcPr>
          <w:p w14:paraId="087CAA7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4"/>
                <w:szCs w:val="24"/>
                <w:highlight w:val="none"/>
              </w:rPr>
            </w:pPr>
          </w:p>
        </w:tc>
      </w:tr>
      <w:tr w14:paraId="7703BA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tcBorders>
              <w:tl2br w:val="nil"/>
              <w:tr2bl w:val="nil"/>
            </w:tcBorders>
            <w:vAlign w:val="center"/>
          </w:tcPr>
          <w:p w14:paraId="18D7B9B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p>
        </w:tc>
        <w:tc>
          <w:tcPr>
            <w:tcW w:w="1214" w:type="dxa"/>
            <w:vMerge w:val="restart"/>
            <w:tcBorders>
              <w:tl2br w:val="nil"/>
              <w:tr2bl w:val="nil"/>
            </w:tcBorders>
            <w:vAlign w:val="center"/>
          </w:tcPr>
          <w:p w14:paraId="602C8E1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4"/>
                <w:szCs w:val="24"/>
                <w:highlight w:val="none"/>
              </w:rPr>
            </w:pPr>
            <w:r>
              <w:rPr>
                <w:color w:val="auto"/>
                <w:sz w:val="24"/>
                <w:szCs w:val="24"/>
                <w:highlight w:val="none"/>
              </w:rPr>
              <w:t>服务方案</w:t>
            </w:r>
          </w:p>
        </w:tc>
        <w:tc>
          <w:tcPr>
            <w:tcW w:w="5593" w:type="dxa"/>
            <w:tcBorders>
              <w:tl2br w:val="nil"/>
              <w:tr2bl w:val="nil"/>
            </w:tcBorders>
            <w:vAlign w:val="center"/>
          </w:tcPr>
          <w:p w14:paraId="4882337D">
            <w:pPr>
              <w:pStyle w:val="176"/>
              <w:keepNext w:val="0"/>
              <w:keepLines w:val="0"/>
              <w:pageBreakBefore w:val="0"/>
              <w:widowControl w:val="0"/>
              <w:kinsoku/>
              <w:wordWrap/>
              <w:overflowPunct/>
              <w:topLinePunct w:val="0"/>
              <w:autoSpaceDE/>
              <w:autoSpaceDN/>
              <w:bidi w:val="0"/>
              <w:adjustRightInd w:val="0"/>
              <w:spacing w:line="360" w:lineRule="auto"/>
              <w:ind w:firstLine="50" w:firstLineChars="21"/>
              <w:textAlignment w:val="auto"/>
              <w:rPr>
                <w:rFonts w:hint="eastAsia" w:ascii="宋体" w:hAnsi="宋体" w:eastAsia="宋体" w:cs="宋体"/>
                <w:color w:val="auto"/>
                <w:sz w:val="24"/>
                <w:szCs w:val="24"/>
                <w:highlight w:val="none"/>
              </w:rPr>
            </w:pPr>
            <w:r>
              <w:rPr>
                <w:color w:val="auto"/>
                <w:sz w:val="24"/>
                <w:szCs w:val="24"/>
                <w:highlight w:val="none"/>
              </w:rPr>
              <w:t>根据供应商提供</w:t>
            </w:r>
            <w:r>
              <w:rPr>
                <w:rFonts w:hint="eastAsia"/>
                <w:color w:val="auto"/>
                <w:sz w:val="24"/>
                <w:szCs w:val="24"/>
                <w:highlight w:val="none"/>
              </w:rPr>
              <w:t>的</w:t>
            </w:r>
            <w:r>
              <w:rPr>
                <w:color w:val="auto"/>
                <w:sz w:val="24"/>
                <w:szCs w:val="24"/>
                <w:highlight w:val="none"/>
              </w:rPr>
              <w:t>针对“</w:t>
            </w:r>
            <w:r>
              <w:rPr>
                <w:rFonts w:hint="eastAsia"/>
                <w:color w:val="auto"/>
                <w:sz w:val="24"/>
                <w:szCs w:val="24"/>
                <w:highlight w:val="none"/>
                <w:lang w:val="en-US" w:eastAsia="zh-CN"/>
              </w:rPr>
              <w:t>全省100家</w:t>
            </w:r>
            <w:r>
              <w:rPr>
                <w:color w:val="auto"/>
                <w:sz w:val="24"/>
                <w:szCs w:val="24"/>
                <w:highlight w:val="none"/>
              </w:rPr>
              <w:t>“未来工厂”</w:t>
            </w:r>
            <w:r>
              <w:rPr>
                <w:rFonts w:hint="eastAsia"/>
                <w:color w:val="auto"/>
                <w:sz w:val="24"/>
                <w:szCs w:val="24"/>
                <w:highlight w:val="none"/>
                <w:lang w:val="en-US" w:eastAsia="zh-CN"/>
              </w:rPr>
              <w:t>试点及智能工厂（数字化车间）培育企业开展建设指导和智能化水平精益诊断</w:t>
            </w:r>
            <w:r>
              <w:rPr>
                <w:color w:val="auto"/>
                <w:sz w:val="24"/>
                <w:szCs w:val="24"/>
                <w:highlight w:val="none"/>
              </w:rPr>
              <w:t>”的服务方案进行打分。</w:t>
            </w:r>
            <w:r>
              <w:rPr>
                <w:rFonts w:hint="eastAsia"/>
                <w:color w:val="auto"/>
                <w:sz w:val="24"/>
                <w:szCs w:val="24"/>
                <w:highlight w:val="none"/>
              </w:rPr>
              <w:t>服务方案、工作方法详细，可行性强的得5分；服务方案、工作方法较详细，可行性</w:t>
            </w:r>
            <w:r>
              <w:rPr>
                <w:rFonts w:hint="eastAsia"/>
                <w:color w:val="auto"/>
                <w:sz w:val="24"/>
                <w:szCs w:val="24"/>
                <w:highlight w:val="none"/>
                <w:lang w:val="en-US" w:eastAsia="zh-CN"/>
              </w:rPr>
              <w:t>较强</w:t>
            </w:r>
            <w:r>
              <w:rPr>
                <w:rFonts w:hint="eastAsia"/>
                <w:color w:val="auto"/>
                <w:sz w:val="24"/>
                <w:szCs w:val="24"/>
                <w:highlight w:val="none"/>
              </w:rPr>
              <w:t>的得4分；服务方案、工作方法一般，</w:t>
            </w:r>
            <w:r>
              <w:rPr>
                <w:rFonts w:hint="eastAsia"/>
                <w:color w:val="auto"/>
                <w:sz w:val="24"/>
                <w:szCs w:val="24"/>
                <w:highlight w:val="none"/>
                <w:lang w:val="en-US" w:eastAsia="zh-CN"/>
              </w:rPr>
              <w:t>有一定</w:t>
            </w:r>
            <w:r>
              <w:rPr>
                <w:rFonts w:hint="eastAsia"/>
                <w:color w:val="auto"/>
                <w:sz w:val="24"/>
                <w:szCs w:val="24"/>
                <w:highlight w:val="none"/>
              </w:rPr>
              <w:t>可行性的得3分；服务方案、工作方法不合适，</w:t>
            </w:r>
            <w:r>
              <w:rPr>
                <w:rFonts w:hint="eastAsia"/>
                <w:color w:val="auto"/>
                <w:sz w:val="24"/>
                <w:szCs w:val="24"/>
                <w:highlight w:val="none"/>
                <w:lang w:val="en-US" w:eastAsia="zh-CN"/>
              </w:rPr>
              <w:t>可行性</w:t>
            </w:r>
            <w:r>
              <w:rPr>
                <w:rFonts w:hint="eastAsia"/>
                <w:color w:val="auto"/>
                <w:sz w:val="24"/>
                <w:szCs w:val="24"/>
                <w:highlight w:val="none"/>
              </w:rPr>
              <w:t>存在缺陷的得2分；服务方案、工作方法较差，</w:t>
            </w:r>
            <w:r>
              <w:rPr>
                <w:rFonts w:hint="eastAsia"/>
                <w:color w:val="auto"/>
                <w:sz w:val="24"/>
                <w:szCs w:val="24"/>
                <w:highlight w:val="none"/>
                <w:lang w:val="en-US" w:eastAsia="zh-CN"/>
              </w:rPr>
              <w:t>可行性</w:t>
            </w:r>
            <w:r>
              <w:rPr>
                <w:rFonts w:hint="eastAsia"/>
                <w:color w:val="auto"/>
                <w:sz w:val="24"/>
                <w:szCs w:val="24"/>
                <w:highlight w:val="none"/>
              </w:rPr>
              <w:t>存在明显缺陷的得1分；不提供不得分。</w:t>
            </w:r>
          </w:p>
        </w:tc>
        <w:tc>
          <w:tcPr>
            <w:tcW w:w="613" w:type="dxa"/>
            <w:tcBorders>
              <w:tl2br w:val="nil"/>
              <w:tr2bl w:val="nil"/>
            </w:tcBorders>
            <w:vAlign w:val="center"/>
          </w:tcPr>
          <w:p w14:paraId="2B16E68C">
            <w:pPr>
              <w:pStyle w:val="176"/>
              <w:keepNext w:val="0"/>
              <w:keepLines w:val="0"/>
              <w:pageBreakBefore w:val="0"/>
              <w:widowControl w:val="0"/>
              <w:kinsoku/>
              <w:wordWrap/>
              <w:overflowPunct/>
              <w:topLinePunct w:val="0"/>
              <w:autoSpaceDE/>
              <w:autoSpaceDN/>
              <w:bidi w:val="0"/>
              <w:adjustRightInd w:val="0"/>
              <w:spacing w:line="360" w:lineRule="auto"/>
              <w:ind w:firstLine="50" w:firstLineChars="21"/>
              <w:jc w:val="center"/>
              <w:textAlignment w:val="auto"/>
              <w:rPr>
                <w:rFonts w:hint="eastAsia" w:ascii="宋体" w:hAnsi="宋体" w:eastAsia="宋体" w:cs="宋体"/>
                <w:color w:val="auto"/>
                <w:sz w:val="24"/>
                <w:szCs w:val="24"/>
                <w:highlight w:val="none"/>
              </w:rPr>
            </w:pPr>
            <w:r>
              <w:rPr>
                <w:color w:val="auto"/>
                <w:sz w:val="24"/>
                <w:szCs w:val="24"/>
                <w:highlight w:val="none"/>
              </w:rPr>
              <w:t>5</w:t>
            </w:r>
          </w:p>
        </w:tc>
        <w:tc>
          <w:tcPr>
            <w:tcW w:w="907" w:type="dxa"/>
            <w:tcBorders>
              <w:tl2br w:val="nil"/>
              <w:tr2bl w:val="nil"/>
            </w:tcBorders>
            <w:vAlign w:val="center"/>
          </w:tcPr>
          <w:p w14:paraId="3319DA6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主观分</w:t>
            </w:r>
          </w:p>
          <w:p w14:paraId="193E8177">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jc w:val="center"/>
              <w:textAlignment w:val="auto"/>
              <w:outlineLvl w:val="0"/>
              <w:rPr>
                <w:rFonts w:hint="eastAsia" w:ascii="宋体" w:hAnsi="宋体" w:eastAsia="宋体" w:cs="宋体"/>
                <w:color w:val="auto"/>
                <w:sz w:val="24"/>
                <w:szCs w:val="24"/>
                <w:highlight w:val="none"/>
              </w:rPr>
            </w:pPr>
          </w:p>
        </w:tc>
        <w:tc>
          <w:tcPr>
            <w:tcW w:w="1117" w:type="dxa"/>
            <w:tcBorders>
              <w:tl2br w:val="nil"/>
              <w:tr2bl w:val="nil"/>
            </w:tcBorders>
            <w:vAlign w:val="center"/>
          </w:tcPr>
          <w:p w14:paraId="0F16953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4"/>
                <w:szCs w:val="24"/>
                <w:highlight w:val="none"/>
              </w:rPr>
            </w:pPr>
          </w:p>
        </w:tc>
      </w:tr>
      <w:tr w14:paraId="72E6CB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tcBorders>
              <w:tl2br w:val="nil"/>
              <w:tr2bl w:val="nil"/>
            </w:tcBorders>
            <w:vAlign w:val="center"/>
          </w:tcPr>
          <w:p w14:paraId="31BE85B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1214" w:type="dxa"/>
            <w:vMerge w:val="continue"/>
            <w:tcBorders>
              <w:tl2br w:val="nil"/>
              <w:tr2bl w:val="nil"/>
            </w:tcBorders>
            <w:vAlign w:val="center"/>
          </w:tcPr>
          <w:p w14:paraId="4F56812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4"/>
                <w:szCs w:val="24"/>
                <w:highlight w:val="none"/>
              </w:rPr>
            </w:pPr>
          </w:p>
        </w:tc>
        <w:tc>
          <w:tcPr>
            <w:tcW w:w="5593" w:type="dxa"/>
            <w:tcBorders>
              <w:tl2br w:val="nil"/>
              <w:tr2bl w:val="nil"/>
            </w:tcBorders>
            <w:vAlign w:val="center"/>
          </w:tcPr>
          <w:p w14:paraId="67F93EAF">
            <w:pPr>
              <w:pStyle w:val="176"/>
              <w:keepNext w:val="0"/>
              <w:keepLines w:val="0"/>
              <w:pageBreakBefore w:val="0"/>
              <w:widowControl w:val="0"/>
              <w:numPr>
                <w:ilvl w:val="0"/>
                <w:numId w:val="0"/>
              </w:numPr>
              <w:kinsoku/>
              <w:wordWrap/>
              <w:overflowPunct/>
              <w:topLinePunct w:val="0"/>
              <w:autoSpaceDE/>
              <w:autoSpaceDN/>
              <w:bidi w:val="0"/>
              <w:adjustRightInd w:val="0"/>
              <w:spacing w:line="360" w:lineRule="auto"/>
              <w:ind w:left="0" w:leftChars="0" w:firstLine="0" w:firstLineChars="0"/>
              <w:textAlignment w:val="auto"/>
              <w:rPr>
                <w:rFonts w:hint="eastAsia" w:ascii="宋体" w:hAnsi="宋体" w:eastAsia="宋体" w:cs="宋体"/>
                <w:color w:val="auto"/>
                <w:sz w:val="24"/>
                <w:szCs w:val="24"/>
                <w:highlight w:val="none"/>
              </w:rPr>
            </w:pPr>
            <w:r>
              <w:rPr>
                <w:color w:val="auto"/>
                <w:sz w:val="24"/>
                <w:szCs w:val="24"/>
                <w:highlight w:val="none"/>
              </w:rPr>
              <w:t>根据供应商提供针对“协助组织</w:t>
            </w:r>
            <w:r>
              <w:rPr>
                <w:rFonts w:hint="eastAsia"/>
                <w:color w:val="auto"/>
                <w:sz w:val="24"/>
                <w:szCs w:val="24"/>
                <w:highlight w:val="none"/>
                <w:lang w:val="en-US" w:eastAsia="zh-CN"/>
              </w:rPr>
              <w:t>未来工厂</w:t>
            </w:r>
            <w:r>
              <w:rPr>
                <w:color w:val="auto"/>
                <w:sz w:val="24"/>
                <w:szCs w:val="24"/>
                <w:highlight w:val="none"/>
              </w:rPr>
              <w:t>项目评审”的服务方案进行打分。</w:t>
            </w:r>
            <w:r>
              <w:rPr>
                <w:rFonts w:hint="eastAsia"/>
                <w:color w:val="auto"/>
                <w:sz w:val="24"/>
                <w:szCs w:val="24"/>
                <w:highlight w:val="none"/>
              </w:rPr>
              <w:t>服务方案、工作方法详细，可行性强的得5分；服务方案、工作方法较详细，可行性</w:t>
            </w:r>
            <w:r>
              <w:rPr>
                <w:rFonts w:hint="eastAsia"/>
                <w:color w:val="auto"/>
                <w:sz w:val="24"/>
                <w:szCs w:val="24"/>
                <w:highlight w:val="none"/>
                <w:lang w:val="en-US" w:eastAsia="zh-CN"/>
              </w:rPr>
              <w:t>较强</w:t>
            </w:r>
            <w:r>
              <w:rPr>
                <w:rFonts w:hint="eastAsia"/>
                <w:color w:val="auto"/>
                <w:sz w:val="24"/>
                <w:szCs w:val="24"/>
                <w:highlight w:val="none"/>
              </w:rPr>
              <w:t>的得4分；服务方案、工作方法一般，</w:t>
            </w:r>
            <w:r>
              <w:rPr>
                <w:rFonts w:hint="eastAsia"/>
                <w:color w:val="auto"/>
                <w:sz w:val="24"/>
                <w:szCs w:val="24"/>
                <w:highlight w:val="none"/>
                <w:lang w:val="en-US" w:eastAsia="zh-CN"/>
              </w:rPr>
              <w:t>有一定</w:t>
            </w:r>
            <w:r>
              <w:rPr>
                <w:rFonts w:hint="eastAsia"/>
                <w:color w:val="auto"/>
                <w:sz w:val="24"/>
                <w:szCs w:val="24"/>
                <w:highlight w:val="none"/>
              </w:rPr>
              <w:t>可行性的得3分；服务方案、工作方法不合适，</w:t>
            </w:r>
            <w:r>
              <w:rPr>
                <w:rFonts w:hint="eastAsia"/>
                <w:color w:val="auto"/>
                <w:sz w:val="24"/>
                <w:szCs w:val="24"/>
                <w:highlight w:val="none"/>
                <w:lang w:val="en-US" w:eastAsia="zh-CN"/>
              </w:rPr>
              <w:t>可行性</w:t>
            </w:r>
            <w:r>
              <w:rPr>
                <w:rFonts w:hint="eastAsia"/>
                <w:color w:val="auto"/>
                <w:sz w:val="24"/>
                <w:szCs w:val="24"/>
                <w:highlight w:val="none"/>
              </w:rPr>
              <w:t>存在缺陷的得2分；服务方案、工作方法较差，</w:t>
            </w:r>
            <w:r>
              <w:rPr>
                <w:rFonts w:hint="eastAsia"/>
                <w:color w:val="auto"/>
                <w:sz w:val="24"/>
                <w:szCs w:val="24"/>
                <w:highlight w:val="none"/>
                <w:lang w:val="en-US" w:eastAsia="zh-CN"/>
              </w:rPr>
              <w:t>可行性</w:t>
            </w:r>
            <w:r>
              <w:rPr>
                <w:rFonts w:hint="eastAsia"/>
                <w:color w:val="auto"/>
                <w:sz w:val="24"/>
                <w:szCs w:val="24"/>
                <w:highlight w:val="none"/>
              </w:rPr>
              <w:t>存在明显缺陷的得1分；不提供不得分。</w:t>
            </w:r>
          </w:p>
        </w:tc>
        <w:tc>
          <w:tcPr>
            <w:tcW w:w="613" w:type="dxa"/>
            <w:tcBorders>
              <w:tl2br w:val="nil"/>
              <w:tr2bl w:val="nil"/>
            </w:tcBorders>
            <w:vAlign w:val="center"/>
          </w:tcPr>
          <w:p w14:paraId="3F8CAFD4">
            <w:pPr>
              <w:pStyle w:val="176"/>
              <w:keepNext w:val="0"/>
              <w:keepLines w:val="0"/>
              <w:pageBreakBefore w:val="0"/>
              <w:widowControl w:val="0"/>
              <w:kinsoku/>
              <w:wordWrap/>
              <w:overflowPunct/>
              <w:topLinePunct w:val="0"/>
              <w:autoSpaceDE/>
              <w:autoSpaceDN/>
              <w:bidi w:val="0"/>
              <w:adjustRightInd w:val="0"/>
              <w:spacing w:line="360" w:lineRule="auto"/>
              <w:ind w:firstLine="50" w:firstLineChars="21"/>
              <w:jc w:val="center"/>
              <w:textAlignment w:val="auto"/>
              <w:rPr>
                <w:rFonts w:hint="eastAsia" w:ascii="宋体" w:hAnsi="宋体" w:eastAsia="宋体" w:cs="宋体"/>
                <w:color w:val="auto"/>
                <w:sz w:val="24"/>
                <w:szCs w:val="24"/>
                <w:highlight w:val="none"/>
              </w:rPr>
            </w:pPr>
            <w:r>
              <w:rPr>
                <w:color w:val="auto"/>
                <w:sz w:val="24"/>
                <w:szCs w:val="24"/>
                <w:highlight w:val="none"/>
              </w:rPr>
              <w:t>5</w:t>
            </w:r>
          </w:p>
        </w:tc>
        <w:tc>
          <w:tcPr>
            <w:tcW w:w="907" w:type="dxa"/>
            <w:tcBorders>
              <w:tl2br w:val="nil"/>
              <w:tr2bl w:val="nil"/>
            </w:tcBorders>
            <w:vAlign w:val="center"/>
          </w:tcPr>
          <w:p w14:paraId="6B74FAC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主观分</w:t>
            </w:r>
          </w:p>
          <w:p w14:paraId="0973E3A6">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jc w:val="center"/>
              <w:textAlignment w:val="auto"/>
              <w:outlineLvl w:val="0"/>
              <w:rPr>
                <w:rFonts w:hint="eastAsia" w:ascii="宋体" w:hAnsi="宋体" w:eastAsia="宋体" w:cs="宋体"/>
                <w:color w:val="auto"/>
                <w:sz w:val="24"/>
                <w:szCs w:val="24"/>
                <w:highlight w:val="none"/>
              </w:rPr>
            </w:pPr>
          </w:p>
        </w:tc>
        <w:tc>
          <w:tcPr>
            <w:tcW w:w="1117" w:type="dxa"/>
            <w:tcBorders>
              <w:tl2br w:val="nil"/>
              <w:tr2bl w:val="nil"/>
            </w:tcBorders>
            <w:vAlign w:val="center"/>
          </w:tcPr>
          <w:p w14:paraId="2DBEE79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4"/>
                <w:szCs w:val="24"/>
                <w:highlight w:val="none"/>
              </w:rPr>
            </w:pPr>
          </w:p>
        </w:tc>
      </w:tr>
      <w:tr w14:paraId="65612C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tcBorders>
              <w:tl2br w:val="nil"/>
              <w:tr2bl w:val="nil"/>
            </w:tcBorders>
            <w:vAlign w:val="center"/>
          </w:tcPr>
          <w:p w14:paraId="4BD1183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c>
          <w:tcPr>
            <w:tcW w:w="1214" w:type="dxa"/>
            <w:vMerge w:val="continue"/>
            <w:tcBorders>
              <w:tl2br w:val="nil"/>
              <w:tr2bl w:val="nil"/>
            </w:tcBorders>
            <w:vAlign w:val="center"/>
          </w:tcPr>
          <w:p w14:paraId="7D14E72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4"/>
                <w:szCs w:val="24"/>
                <w:highlight w:val="none"/>
              </w:rPr>
            </w:pPr>
          </w:p>
        </w:tc>
        <w:tc>
          <w:tcPr>
            <w:tcW w:w="5593" w:type="dxa"/>
            <w:tcBorders>
              <w:tl2br w:val="nil"/>
              <w:tr2bl w:val="nil"/>
            </w:tcBorders>
            <w:vAlign w:val="center"/>
          </w:tcPr>
          <w:p w14:paraId="0B9D1D5A">
            <w:pPr>
              <w:pStyle w:val="176"/>
              <w:keepNext w:val="0"/>
              <w:keepLines w:val="0"/>
              <w:pageBreakBefore w:val="0"/>
              <w:widowControl w:val="0"/>
              <w:numPr>
                <w:ilvl w:val="0"/>
                <w:numId w:val="0"/>
              </w:numPr>
              <w:kinsoku/>
              <w:wordWrap/>
              <w:overflowPunct/>
              <w:topLinePunct w:val="0"/>
              <w:autoSpaceDE/>
              <w:autoSpaceDN/>
              <w:bidi w:val="0"/>
              <w:adjustRightInd w:val="0"/>
              <w:spacing w:line="360" w:lineRule="auto"/>
              <w:ind w:left="0" w:leftChars="0" w:firstLine="0" w:firstLineChars="0"/>
              <w:textAlignment w:val="auto"/>
              <w:rPr>
                <w:rFonts w:hint="eastAsia" w:ascii="宋体" w:hAnsi="宋体" w:eastAsia="宋体" w:cs="宋体"/>
                <w:color w:val="auto"/>
                <w:sz w:val="24"/>
                <w:szCs w:val="24"/>
                <w:highlight w:val="none"/>
              </w:rPr>
            </w:pPr>
            <w:r>
              <w:rPr>
                <w:color w:val="auto"/>
                <w:sz w:val="24"/>
                <w:szCs w:val="24"/>
                <w:highlight w:val="none"/>
              </w:rPr>
              <w:t>根据供应商提供针对“协助</w:t>
            </w:r>
            <w:r>
              <w:rPr>
                <w:rFonts w:hint="eastAsia"/>
                <w:color w:val="auto"/>
                <w:sz w:val="24"/>
                <w:szCs w:val="24"/>
                <w:highlight w:val="none"/>
                <w:lang w:val="en-US" w:eastAsia="zh-CN"/>
              </w:rPr>
              <w:t>采购人</w:t>
            </w:r>
            <w:r>
              <w:rPr>
                <w:color w:val="auto"/>
                <w:sz w:val="24"/>
                <w:szCs w:val="24"/>
                <w:highlight w:val="none"/>
              </w:rPr>
              <w:t>组织开展智能工厂（数字化车间）</w:t>
            </w:r>
            <w:r>
              <w:rPr>
                <w:rFonts w:hint="eastAsia"/>
                <w:color w:val="auto"/>
                <w:sz w:val="24"/>
                <w:szCs w:val="24"/>
                <w:highlight w:val="none"/>
                <w:lang w:val="en-US" w:eastAsia="zh-CN"/>
              </w:rPr>
              <w:t>项目评审</w:t>
            </w:r>
            <w:r>
              <w:rPr>
                <w:color w:val="auto"/>
                <w:sz w:val="24"/>
                <w:szCs w:val="24"/>
                <w:highlight w:val="none"/>
              </w:rPr>
              <w:t>”的服务方案进行打分。</w:t>
            </w:r>
            <w:r>
              <w:rPr>
                <w:rFonts w:hint="eastAsia"/>
                <w:color w:val="auto"/>
                <w:sz w:val="24"/>
                <w:szCs w:val="24"/>
                <w:highlight w:val="none"/>
              </w:rPr>
              <w:t>服务方案、工作方法详细，可行性强的得5分；服务方案、工作方法较详细，可行性</w:t>
            </w:r>
            <w:r>
              <w:rPr>
                <w:rFonts w:hint="eastAsia"/>
                <w:color w:val="auto"/>
                <w:sz w:val="24"/>
                <w:szCs w:val="24"/>
                <w:highlight w:val="none"/>
                <w:lang w:val="en-US" w:eastAsia="zh-CN"/>
              </w:rPr>
              <w:t>较强</w:t>
            </w:r>
            <w:r>
              <w:rPr>
                <w:rFonts w:hint="eastAsia"/>
                <w:color w:val="auto"/>
                <w:sz w:val="24"/>
                <w:szCs w:val="24"/>
                <w:highlight w:val="none"/>
              </w:rPr>
              <w:t>的得4分；服务方案、工作方法一般，</w:t>
            </w:r>
            <w:r>
              <w:rPr>
                <w:rFonts w:hint="eastAsia"/>
                <w:color w:val="auto"/>
                <w:sz w:val="24"/>
                <w:szCs w:val="24"/>
                <w:highlight w:val="none"/>
                <w:lang w:val="en-US" w:eastAsia="zh-CN"/>
              </w:rPr>
              <w:t>有一定</w:t>
            </w:r>
            <w:r>
              <w:rPr>
                <w:rFonts w:hint="eastAsia"/>
                <w:color w:val="auto"/>
                <w:sz w:val="24"/>
                <w:szCs w:val="24"/>
                <w:highlight w:val="none"/>
              </w:rPr>
              <w:t>可行性的得3分；服务方案、工作方法不合适，</w:t>
            </w:r>
            <w:r>
              <w:rPr>
                <w:rFonts w:hint="eastAsia"/>
                <w:color w:val="auto"/>
                <w:sz w:val="24"/>
                <w:szCs w:val="24"/>
                <w:highlight w:val="none"/>
                <w:lang w:val="en-US" w:eastAsia="zh-CN"/>
              </w:rPr>
              <w:t>可行性</w:t>
            </w:r>
            <w:r>
              <w:rPr>
                <w:rFonts w:hint="eastAsia"/>
                <w:color w:val="auto"/>
                <w:sz w:val="24"/>
                <w:szCs w:val="24"/>
                <w:highlight w:val="none"/>
              </w:rPr>
              <w:t>存在缺陷的得2分；服务方案、工作方法较差，</w:t>
            </w:r>
            <w:r>
              <w:rPr>
                <w:rFonts w:hint="eastAsia"/>
                <w:color w:val="auto"/>
                <w:sz w:val="24"/>
                <w:szCs w:val="24"/>
                <w:highlight w:val="none"/>
                <w:lang w:val="en-US" w:eastAsia="zh-CN"/>
              </w:rPr>
              <w:t>可行性</w:t>
            </w:r>
            <w:r>
              <w:rPr>
                <w:rFonts w:hint="eastAsia"/>
                <w:color w:val="auto"/>
                <w:sz w:val="24"/>
                <w:szCs w:val="24"/>
                <w:highlight w:val="none"/>
              </w:rPr>
              <w:t>存在明显缺陷的得1分；不提供不得分。</w:t>
            </w:r>
          </w:p>
        </w:tc>
        <w:tc>
          <w:tcPr>
            <w:tcW w:w="613" w:type="dxa"/>
            <w:tcBorders>
              <w:tl2br w:val="nil"/>
              <w:tr2bl w:val="nil"/>
            </w:tcBorders>
            <w:vAlign w:val="center"/>
          </w:tcPr>
          <w:p w14:paraId="7231B0AA">
            <w:pPr>
              <w:pStyle w:val="176"/>
              <w:keepNext w:val="0"/>
              <w:keepLines w:val="0"/>
              <w:pageBreakBefore w:val="0"/>
              <w:widowControl w:val="0"/>
              <w:kinsoku/>
              <w:wordWrap/>
              <w:overflowPunct/>
              <w:topLinePunct w:val="0"/>
              <w:autoSpaceDE/>
              <w:autoSpaceDN/>
              <w:bidi w:val="0"/>
              <w:adjustRightInd w:val="0"/>
              <w:spacing w:line="360" w:lineRule="auto"/>
              <w:ind w:firstLine="50" w:firstLineChars="21"/>
              <w:jc w:val="center"/>
              <w:textAlignment w:val="auto"/>
              <w:rPr>
                <w:rFonts w:hint="eastAsia" w:ascii="宋体" w:hAnsi="宋体" w:eastAsia="宋体" w:cs="宋体"/>
                <w:color w:val="auto"/>
                <w:sz w:val="24"/>
                <w:szCs w:val="24"/>
                <w:highlight w:val="none"/>
              </w:rPr>
            </w:pPr>
            <w:r>
              <w:rPr>
                <w:rFonts w:hint="eastAsia"/>
                <w:color w:val="auto"/>
                <w:sz w:val="24"/>
                <w:szCs w:val="24"/>
                <w:highlight w:val="none"/>
                <w:lang w:val="en-US" w:eastAsia="zh-CN"/>
              </w:rPr>
              <w:t>5</w:t>
            </w:r>
          </w:p>
        </w:tc>
        <w:tc>
          <w:tcPr>
            <w:tcW w:w="907" w:type="dxa"/>
            <w:tcBorders>
              <w:tl2br w:val="nil"/>
              <w:tr2bl w:val="nil"/>
            </w:tcBorders>
            <w:vAlign w:val="center"/>
          </w:tcPr>
          <w:p w14:paraId="27BAFBF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主观分</w:t>
            </w:r>
          </w:p>
          <w:p w14:paraId="65D05A10">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jc w:val="center"/>
              <w:textAlignment w:val="auto"/>
              <w:outlineLvl w:val="0"/>
              <w:rPr>
                <w:rFonts w:hint="eastAsia" w:ascii="宋体" w:hAnsi="宋体" w:eastAsia="宋体" w:cs="宋体"/>
                <w:color w:val="auto"/>
                <w:sz w:val="24"/>
                <w:szCs w:val="24"/>
                <w:highlight w:val="none"/>
              </w:rPr>
            </w:pPr>
          </w:p>
        </w:tc>
        <w:tc>
          <w:tcPr>
            <w:tcW w:w="1117" w:type="dxa"/>
            <w:tcBorders>
              <w:tl2br w:val="nil"/>
              <w:tr2bl w:val="nil"/>
            </w:tcBorders>
            <w:vAlign w:val="center"/>
          </w:tcPr>
          <w:p w14:paraId="7474C43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4"/>
                <w:szCs w:val="24"/>
                <w:highlight w:val="none"/>
              </w:rPr>
            </w:pPr>
          </w:p>
        </w:tc>
      </w:tr>
      <w:tr w14:paraId="70592A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tcBorders>
              <w:tl2br w:val="nil"/>
              <w:tr2bl w:val="nil"/>
            </w:tcBorders>
            <w:vAlign w:val="center"/>
          </w:tcPr>
          <w:p w14:paraId="2889D0D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p>
        </w:tc>
        <w:tc>
          <w:tcPr>
            <w:tcW w:w="1214" w:type="dxa"/>
            <w:vMerge w:val="continue"/>
            <w:tcBorders>
              <w:tl2br w:val="nil"/>
              <w:tr2bl w:val="nil"/>
            </w:tcBorders>
            <w:vAlign w:val="center"/>
          </w:tcPr>
          <w:p w14:paraId="026387D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4"/>
                <w:szCs w:val="24"/>
                <w:highlight w:val="none"/>
              </w:rPr>
            </w:pPr>
          </w:p>
        </w:tc>
        <w:tc>
          <w:tcPr>
            <w:tcW w:w="5593" w:type="dxa"/>
            <w:tcBorders>
              <w:tl2br w:val="nil"/>
              <w:tr2bl w:val="nil"/>
            </w:tcBorders>
            <w:vAlign w:val="center"/>
          </w:tcPr>
          <w:p w14:paraId="52703BED">
            <w:pPr>
              <w:pStyle w:val="176"/>
              <w:keepNext w:val="0"/>
              <w:keepLines w:val="0"/>
              <w:pageBreakBefore w:val="0"/>
              <w:widowControl w:val="0"/>
              <w:numPr>
                <w:ilvl w:val="0"/>
                <w:numId w:val="0"/>
              </w:numPr>
              <w:kinsoku/>
              <w:wordWrap/>
              <w:overflowPunct/>
              <w:topLinePunct w:val="0"/>
              <w:autoSpaceDE/>
              <w:autoSpaceDN/>
              <w:bidi w:val="0"/>
              <w:adjustRightInd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color w:val="auto"/>
                <w:sz w:val="24"/>
                <w:szCs w:val="24"/>
                <w:highlight w:val="none"/>
                <w:lang w:val="en-US" w:eastAsia="zh-CN"/>
              </w:rPr>
              <w:t>4.</w:t>
            </w:r>
            <w:r>
              <w:rPr>
                <w:color w:val="auto"/>
                <w:sz w:val="24"/>
                <w:szCs w:val="24"/>
                <w:highlight w:val="none"/>
              </w:rPr>
              <w:t>根据供应商提供针对“组织开展</w:t>
            </w:r>
            <w:r>
              <w:rPr>
                <w:rFonts w:hint="eastAsia"/>
                <w:color w:val="auto"/>
                <w:sz w:val="24"/>
                <w:szCs w:val="24"/>
                <w:highlight w:val="none"/>
                <w:lang w:val="en-US" w:eastAsia="zh-CN"/>
              </w:rPr>
              <w:t>4</w:t>
            </w:r>
            <w:r>
              <w:rPr>
                <w:color w:val="auto"/>
                <w:sz w:val="24"/>
                <w:szCs w:val="24"/>
                <w:highlight w:val="none"/>
              </w:rPr>
              <w:t>场次</w:t>
            </w:r>
            <w:r>
              <w:rPr>
                <w:rFonts w:hint="eastAsia"/>
                <w:color w:val="auto"/>
                <w:sz w:val="24"/>
                <w:szCs w:val="24"/>
                <w:highlight w:val="none"/>
                <w:lang w:val="en-US" w:eastAsia="zh-CN"/>
              </w:rPr>
              <w:t>智能制造供需对接活动</w:t>
            </w:r>
            <w:r>
              <w:rPr>
                <w:color w:val="auto"/>
                <w:sz w:val="24"/>
                <w:szCs w:val="24"/>
                <w:highlight w:val="none"/>
              </w:rPr>
              <w:t>”的服务方案进行打分。</w:t>
            </w:r>
            <w:r>
              <w:rPr>
                <w:rFonts w:hint="eastAsia"/>
                <w:color w:val="auto"/>
                <w:sz w:val="24"/>
                <w:szCs w:val="24"/>
                <w:highlight w:val="none"/>
              </w:rPr>
              <w:t>服务方案、工作方法详细，可行性强的得5分；服务方案、工作方法较详细，可行性</w:t>
            </w:r>
            <w:r>
              <w:rPr>
                <w:rFonts w:hint="eastAsia"/>
                <w:color w:val="auto"/>
                <w:sz w:val="24"/>
                <w:szCs w:val="24"/>
                <w:highlight w:val="none"/>
                <w:lang w:val="en-US" w:eastAsia="zh-CN"/>
              </w:rPr>
              <w:t>较强</w:t>
            </w:r>
            <w:r>
              <w:rPr>
                <w:rFonts w:hint="eastAsia"/>
                <w:color w:val="auto"/>
                <w:sz w:val="24"/>
                <w:szCs w:val="24"/>
                <w:highlight w:val="none"/>
              </w:rPr>
              <w:t>的得4分；服务方案、工作方法一般，</w:t>
            </w:r>
            <w:r>
              <w:rPr>
                <w:rFonts w:hint="eastAsia"/>
                <w:color w:val="auto"/>
                <w:sz w:val="24"/>
                <w:szCs w:val="24"/>
                <w:highlight w:val="none"/>
                <w:lang w:val="en-US" w:eastAsia="zh-CN"/>
              </w:rPr>
              <w:t>有一定</w:t>
            </w:r>
            <w:r>
              <w:rPr>
                <w:rFonts w:hint="eastAsia"/>
                <w:color w:val="auto"/>
                <w:sz w:val="24"/>
                <w:szCs w:val="24"/>
                <w:highlight w:val="none"/>
              </w:rPr>
              <w:t>可行性的得3分；服务方案、工作方法不合适，</w:t>
            </w:r>
            <w:r>
              <w:rPr>
                <w:rFonts w:hint="eastAsia"/>
                <w:color w:val="auto"/>
                <w:sz w:val="24"/>
                <w:szCs w:val="24"/>
                <w:highlight w:val="none"/>
                <w:lang w:val="en-US" w:eastAsia="zh-CN"/>
              </w:rPr>
              <w:t>可行性</w:t>
            </w:r>
            <w:r>
              <w:rPr>
                <w:rFonts w:hint="eastAsia"/>
                <w:color w:val="auto"/>
                <w:sz w:val="24"/>
                <w:szCs w:val="24"/>
                <w:highlight w:val="none"/>
              </w:rPr>
              <w:t>存在缺陷的得2分；服务方案、工作方法较差，</w:t>
            </w:r>
            <w:r>
              <w:rPr>
                <w:rFonts w:hint="eastAsia"/>
                <w:color w:val="auto"/>
                <w:sz w:val="24"/>
                <w:szCs w:val="24"/>
                <w:highlight w:val="none"/>
                <w:lang w:val="en-US" w:eastAsia="zh-CN"/>
              </w:rPr>
              <w:t>可行性</w:t>
            </w:r>
            <w:r>
              <w:rPr>
                <w:rFonts w:hint="eastAsia"/>
                <w:color w:val="auto"/>
                <w:sz w:val="24"/>
                <w:szCs w:val="24"/>
                <w:highlight w:val="none"/>
              </w:rPr>
              <w:t>存在明显缺陷的得1分；不提供不得分。</w:t>
            </w:r>
          </w:p>
        </w:tc>
        <w:tc>
          <w:tcPr>
            <w:tcW w:w="613" w:type="dxa"/>
            <w:tcBorders>
              <w:tl2br w:val="nil"/>
              <w:tr2bl w:val="nil"/>
            </w:tcBorders>
            <w:vAlign w:val="center"/>
          </w:tcPr>
          <w:p w14:paraId="69B38B66">
            <w:pPr>
              <w:pStyle w:val="176"/>
              <w:keepNext w:val="0"/>
              <w:keepLines w:val="0"/>
              <w:pageBreakBefore w:val="0"/>
              <w:widowControl w:val="0"/>
              <w:kinsoku/>
              <w:wordWrap/>
              <w:overflowPunct/>
              <w:topLinePunct w:val="0"/>
              <w:autoSpaceDE/>
              <w:autoSpaceDN/>
              <w:bidi w:val="0"/>
              <w:adjustRightInd w:val="0"/>
              <w:spacing w:line="360" w:lineRule="auto"/>
              <w:ind w:firstLine="50" w:firstLineChars="21"/>
              <w:jc w:val="center"/>
              <w:textAlignment w:val="auto"/>
              <w:rPr>
                <w:rFonts w:hint="eastAsia" w:ascii="宋体" w:hAnsi="宋体" w:eastAsia="宋体" w:cs="宋体"/>
                <w:color w:val="auto"/>
                <w:sz w:val="24"/>
                <w:szCs w:val="24"/>
                <w:highlight w:val="none"/>
              </w:rPr>
            </w:pPr>
            <w:r>
              <w:rPr>
                <w:rFonts w:hint="eastAsia"/>
                <w:color w:val="auto"/>
                <w:sz w:val="24"/>
                <w:szCs w:val="24"/>
                <w:highlight w:val="none"/>
                <w:lang w:val="en-US" w:eastAsia="zh-CN"/>
              </w:rPr>
              <w:t>5</w:t>
            </w:r>
          </w:p>
        </w:tc>
        <w:tc>
          <w:tcPr>
            <w:tcW w:w="907" w:type="dxa"/>
            <w:tcBorders>
              <w:tl2br w:val="nil"/>
              <w:tr2bl w:val="nil"/>
            </w:tcBorders>
            <w:vAlign w:val="center"/>
          </w:tcPr>
          <w:p w14:paraId="4DAC7F4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主观分</w:t>
            </w:r>
          </w:p>
          <w:p w14:paraId="6C4CBB9B">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jc w:val="center"/>
              <w:textAlignment w:val="auto"/>
              <w:outlineLvl w:val="0"/>
              <w:rPr>
                <w:rFonts w:hint="eastAsia" w:ascii="宋体" w:hAnsi="宋体" w:eastAsia="宋体" w:cs="宋体"/>
                <w:color w:val="auto"/>
                <w:sz w:val="24"/>
                <w:szCs w:val="24"/>
                <w:highlight w:val="none"/>
              </w:rPr>
            </w:pPr>
          </w:p>
        </w:tc>
        <w:tc>
          <w:tcPr>
            <w:tcW w:w="1117" w:type="dxa"/>
            <w:tcBorders>
              <w:tl2br w:val="nil"/>
              <w:tr2bl w:val="nil"/>
            </w:tcBorders>
            <w:vAlign w:val="center"/>
          </w:tcPr>
          <w:p w14:paraId="439D1FB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4"/>
                <w:szCs w:val="24"/>
                <w:highlight w:val="none"/>
              </w:rPr>
            </w:pPr>
          </w:p>
        </w:tc>
      </w:tr>
      <w:tr w14:paraId="13E148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tcBorders>
              <w:tl2br w:val="nil"/>
              <w:tr2bl w:val="nil"/>
            </w:tcBorders>
            <w:vAlign w:val="center"/>
          </w:tcPr>
          <w:p w14:paraId="21D16B8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w:t>
            </w:r>
          </w:p>
        </w:tc>
        <w:tc>
          <w:tcPr>
            <w:tcW w:w="1214" w:type="dxa"/>
            <w:vMerge w:val="continue"/>
            <w:tcBorders>
              <w:tl2br w:val="nil"/>
              <w:tr2bl w:val="nil"/>
            </w:tcBorders>
            <w:vAlign w:val="center"/>
          </w:tcPr>
          <w:p w14:paraId="6ACCFF9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4"/>
                <w:szCs w:val="24"/>
                <w:highlight w:val="none"/>
              </w:rPr>
            </w:pPr>
          </w:p>
        </w:tc>
        <w:tc>
          <w:tcPr>
            <w:tcW w:w="5593" w:type="dxa"/>
            <w:tcBorders>
              <w:tl2br w:val="nil"/>
              <w:tr2bl w:val="nil"/>
            </w:tcBorders>
            <w:vAlign w:val="center"/>
          </w:tcPr>
          <w:p w14:paraId="50932FE4">
            <w:pPr>
              <w:pStyle w:val="176"/>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color w:val="auto"/>
                <w:sz w:val="24"/>
                <w:szCs w:val="24"/>
                <w:highlight w:val="none"/>
              </w:rPr>
              <w:t>根据供应商提供针对“组织开展</w:t>
            </w:r>
            <w:r>
              <w:rPr>
                <w:rFonts w:hint="eastAsia"/>
                <w:color w:val="auto"/>
                <w:sz w:val="24"/>
                <w:szCs w:val="24"/>
                <w:highlight w:val="none"/>
                <w:lang w:val="en-US" w:eastAsia="zh-CN"/>
              </w:rPr>
              <w:t>6</w:t>
            </w:r>
            <w:r>
              <w:rPr>
                <w:color w:val="auto"/>
                <w:sz w:val="24"/>
                <w:szCs w:val="24"/>
                <w:highlight w:val="none"/>
              </w:rPr>
              <w:t>场次“未来工厂”学堂线上线下授课”的服务方案进行打分。</w:t>
            </w:r>
            <w:r>
              <w:rPr>
                <w:rFonts w:hint="eastAsia"/>
                <w:color w:val="auto"/>
                <w:sz w:val="24"/>
                <w:szCs w:val="24"/>
                <w:highlight w:val="none"/>
              </w:rPr>
              <w:t>服务方案、工作方法详细，可行性强的得5分；服务方案、工作方法较详细，可行性</w:t>
            </w:r>
            <w:r>
              <w:rPr>
                <w:rFonts w:hint="eastAsia"/>
                <w:color w:val="auto"/>
                <w:sz w:val="24"/>
                <w:szCs w:val="24"/>
                <w:highlight w:val="none"/>
                <w:lang w:val="en-US" w:eastAsia="zh-CN"/>
              </w:rPr>
              <w:t>较强</w:t>
            </w:r>
            <w:r>
              <w:rPr>
                <w:rFonts w:hint="eastAsia"/>
                <w:color w:val="auto"/>
                <w:sz w:val="24"/>
                <w:szCs w:val="24"/>
                <w:highlight w:val="none"/>
              </w:rPr>
              <w:t>的得4分；服务方案、工作方法一般，</w:t>
            </w:r>
            <w:r>
              <w:rPr>
                <w:rFonts w:hint="eastAsia"/>
                <w:color w:val="auto"/>
                <w:sz w:val="24"/>
                <w:szCs w:val="24"/>
                <w:highlight w:val="none"/>
                <w:lang w:val="en-US" w:eastAsia="zh-CN"/>
              </w:rPr>
              <w:t>有一定</w:t>
            </w:r>
            <w:r>
              <w:rPr>
                <w:rFonts w:hint="eastAsia"/>
                <w:color w:val="auto"/>
                <w:sz w:val="24"/>
                <w:szCs w:val="24"/>
                <w:highlight w:val="none"/>
              </w:rPr>
              <w:t>可行性的得3分；服务方案、工作方法不合适，</w:t>
            </w:r>
            <w:r>
              <w:rPr>
                <w:rFonts w:hint="eastAsia"/>
                <w:color w:val="auto"/>
                <w:sz w:val="24"/>
                <w:szCs w:val="24"/>
                <w:highlight w:val="none"/>
                <w:lang w:val="en-US" w:eastAsia="zh-CN"/>
              </w:rPr>
              <w:t>可行性</w:t>
            </w:r>
            <w:r>
              <w:rPr>
                <w:rFonts w:hint="eastAsia"/>
                <w:color w:val="auto"/>
                <w:sz w:val="24"/>
                <w:szCs w:val="24"/>
                <w:highlight w:val="none"/>
              </w:rPr>
              <w:t>存在缺陷的得2分；服务方案、工作方法较差，</w:t>
            </w:r>
            <w:r>
              <w:rPr>
                <w:rFonts w:hint="eastAsia"/>
                <w:color w:val="auto"/>
                <w:sz w:val="24"/>
                <w:szCs w:val="24"/>
                <w:highlight w:val="none"/>
                <w:lang w:val="en-US" w:eastAsia="zh-CN"/>
              </w:rPr>
              <w:t>可行性</w:t>
            </w:r>
            <w:r>
              <w:rPr>
                <w:rFonts w:hint="eastAsia"/>
                <w:color w:val="auto"/>
                <w:sz w:val="24"/>
                <w:szCs w:val="24"/>
                <w:highlight w:val="none"/>
              </w:rPr>
              <w:t>存在明显缺陷的得1分；不提供不得分。</w:t>
            </w:r>
          </w:p>
        </w:tc>
        <w:tc>
          <w:tcPr>
            <w:tcW w:w="613" w:type="dxa"/>
            <w:tcBorders>
              <w:tl2br w:val="nil"/>
              <w:tr2bl w:val="nil"/>
            </w:tcBorders>
            <w:vAlign w:val="center"/>
          </w:tcPr>
          <w:p w14:paraId="31BE9693">
            <w:pPr>
              <w:pStyle w:val="176"/>
              <w:keepNext w:val="0"/>
              <w:keepLines w:val="0"/>
              <w:pageBreakBefore w:val="0"/>
              <w:widowControl w:val="0"/>
              <w:kinsoku/>
              <w:wordWrap/>
              <w:overflowPunct/>
              <w:topLinePunct w:val="0"/>
              <w:autoSpaceDE/>
              <w:autoSpaceDN/>
              <w:bidi w:val="0"/>
              <w:adjustRightInd w:val="0"/>
              <w:spacing w:line="360" w:lineRule="auto"/>
              <w:ind w:firstLine="50" w:firstLineChars="21"/>
              <w:jc w:val="center"/>
              <w:textAlignment w:val="auto"/>
              <w:rPr>
                <w:rFonts w:hint="eastAsia" w:ascii="宋体" w:hAnsi="宋体" w:eastAsia="宋体" w:cs="宋体"/>
                <w:color w:val="auto"/>
                <w:sz w:val="24"/>
                <w:szCs w:val="24"/>
                <w:highlight w:val="none"/>
              </w:rPr>
            </w:pPr>
            <w:r>
              <w:rPr>
                <w:color w:val="auto"/>
                <w:sz w:val="24"/>
                <w:szCs w:val="24"/>
                <w:highlight w:val="none"/>
              </w:rPr>
              <w:t>5</w:t>
            </w:r>
          </w:p>
        </w:tc>
        <w:tc>
          <w:tcPr>
            <w:tcW w:w="907" w:type="dxa"/>
            <w:tcBorders>
              <w:tl2br w:val="nil"/>
              <w:tr2bl w:val="nil"/>
            </w:tcBorders>
            <w:vAlign w:val="center"/>
          </w:tcPr>
          <w:p w14:paraId="5E6101A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主观分</w:t>
            </w:r>
          </w:p>
          <w:p w14:paraId="04DE19ED">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jc w:val="center"/>
              <w:textAlignment w:val="auto"/>
              <w:outlineLvl w:val="0"/>
              <w:rPr>
                <w:rFonts w:hint="eastAsia" w:ascii="宋体" w:hAnsi="宋体" w:eastAsia="宋体" w:cs="宋体"/>
                <w:color w:val="auto"/>
                <w:sz w:val="24"/>
                <w:szCs w:val="24"/>
                <w:highlight w:val="none"/>
              </w:rPr>
            </w:pPr>
          </w:p>
        </w:tc>
        <w:tc>
          <w:tcPr>
            <w:tcW w:w="1117" w:type="dxa"/>
            <w:tcBorders>
              <w:tl2br w:val="nil"/>
              <w:tr2bl w:val="nil"/>
            </w:tcBorders>
            <w:vAlign w:val="center"/>
          </w:tcPr>
          <w:p w14:paraId="5AD76A5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4"/>
                <w:szCs w:val="24"/>
                <w:highlight w:val="none"/>
              </w:rPr>
            </w:pPr>
          </w:p>
        </w:tc>
      </w:tr>
      <w:tr w14:paraId="6CAD61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tcBorders>
              <w:tl2br w:val="nil"/>
              <w:tr2bl w:val="nil"/>
            </w:tcBorders>
            <w:vAlign w:val="center"/>
          </w:tcPr>
          <w:p w14:paraId="74A6287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w:t>
            </w:r>
          </w:p>
        </w:tc>
        <w:tc>
          <w:tcPr>
            <w:tcW w:w="1214" w:type="dxa"/>
            <w:tcBorders>
              <w:tl2br w:val="nil"/>
              <w:tr2bl w:val="nil"/>
            </w:tcBorders>
            <w:vAlign w:val="center"/>
          </w:tcPr>
          <w:p w14:paraId="255BD2B0">
            <w:pPr>
              <w:pStyle w:val="176"/>
              <w:keepNext w:val="0"/>
              <w:keepLines w:val="0"/>
              <w:pageBreakBefore w:val="0"/>
              <w:widowControl w:val="0"/>
              <w:kinsoku/>
              <w:wordWrap/>
              <w:overflowPunct/>
              <w:topLinePunct w:val="0"/>
              <w:autoSpaceDE/>
              <w:autoSpaceDN/>
              <w:bidi w:val="0"/>
              <w:adjustRightInd w:val="0"/>
              <w:spacing w:line="360" w:lineRule="auto"/>
              <w:ind w:firstLine="50" w:firstLineChars="21"/>
              <w:jc w:val="center"/>
              <w:textAlignment w:val="auto"/>
              <w:rPr>
                <w:rFonts w:hint="eastAsia" w:ascii="宋体" w:hAnsi="宋体" w:eastAsia="宋体" w:cs="宋体"/>
                <w:color w:val="auto"/>
                <w:sz w:val="24"/>
                <w:szCs w:val="24"/>
                <w:highlight w:val="none"/>
              </w:rPr>
            </w:pPr>
            <w:r>
              <w:rPr>
                <w:color w:val="auto"/>
                <w:sz w:val="24"/>
                <w:szCs w:val="24"/>
                <w:highlight w:val="none"/>
              </w:rPr>
              <w:t>项目进度方案</w:t>
            </w:r>
          </w:p>
        </w:tc>
        <w:tc>
          <w:tcPr>
            <w:tcW w:w="5593" w:type="dxa"/>
            <w:tcBorders>
              <w:tl2br w:val="nil"/>
              <w:tr2bl w:val="nil"/>
            </w:tcBorders>
            <w:vAlign w:val="center"/>
          </w:tcPr>
          <w:p w14:paraId="1F53F29B">
            <w:pPr>
              <w:pStyle w:val="176"/>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ascii="宋体" w:hAnsi="宋体" w:eastAsia="宋体" w:cs="宋体"/>
                <w:color w:val="auto"/>
                <w:sz w:val="24"/>
                <w:szCs w:val="24"/>
                <w:highlight w:val="none"/>
              </w:rPr>
            </w:pPr>
            <w:r>
              <w:rPr>
                <w:color w:val="auto"/>
                <w:sz w:val="24"/>
                <w:szCs w:val="24"/>
                <w:highlight w:val="none"/>
              </w:rPr>
              <w:t>供应商</w:t>
            </w:r>
            <w:r>
              <w:rPr>
                <w:rFonts w:hint="default"/>
                <w:color w:val="auto"/>
                <w:sz w:val="24"/>
                <w:szCs w:val="24"/>
                <w:highlight w:val="none"/>
                <w:lang w:val="en-US" w:eastAsia="zh-CN"/>
              </w:rPr>
              <w:t>提供</w:t>
            </w:r>
            <w:r>
              <w:rPr>
                <w:color w:val="auto"/>
                <w:sz w:val="24"/>
                <w:szCs w:val="24"/>
                <w:highlight w:val="none"/>
              </w:rPr>
              <w:t>本项目</w:t>
            </w:r>
            <w:r>
              <w:rPr>
                <w:rFonts w:hint="default"/>
                <w:color w:val="auto"/>
                <w:sz w:val="24"/>
                <w:szCs w:val="24"/>
                <w:highlight w:val="none"/>
              </w:rPr>
              <w:t>实施</w:t>
            </w:r>
            <w:r>
              <w:rPr>
                <w:color w:val="auto"/>
                <w:sz w:val="24"/>
                <w:szCs w:val="24"/>
                <w:highlight w:val="none"/>
              </w:rPr>
              <w:t>进程安排</w:t>
            </w:r>
            <w:r>
              <w:rPr>
                <w:rFonts w:hint="default"/>
                <w:color w:val="auto"/>
                <w:sz w:val="24"/>
                <w:szCs w:val="24"/>
                <w:highlight w:val="none"/>
                <w:lang w:val="en-US" w:eastAsia="zh-CN"/>
              </w:rPr>
              <w:t>及</w:t>
            </w:r>
            <w:r>
              <w:rPr>
                <w:rFonts w:hint="default"/>
                <w:color w:val="auto"/>
                <w:sz w:val="24"/>
                <w:szCs w:val="24"/>
                <w:highlight w:val="none"/>
              </w:rPr>
              <w:t>分项活动</w:t>
            </w:r>
            <w:r>
              <w:rPr>
                <w:rFonts w:hint="default"/>
                <w:color w:val="auto"/>
                <w:sz w:val="24"/>
                <w:szCs w:val="24"/>
                <w:highlight w:val="none"/>
                <w:lang w:val="en-US" w:eastAsia="zh-CN"/>
              </w:rPr>
              <w:t>时间安排，</w:t>
            </w:r>
            <w:r>
              <w:rPr>
                <w:color w:val="auto"/>
                <w:sz w:val="24"/>
                <w:szCs w:val="24"/>
                <w:highlight w:val="none"/>
              </w:rPr>
              <w:t>安排时间详细且</w:t>
            </w:r>
            <w:r>
              <w:rPr>
                <w:rFonts w:hint="default"/>
                <w:color w:val="auto"/>
                <w:sz w:val="24"/>
                <w:szCs w:val="24"/>
                <w:highlight w:val="none"/>
              </w:rPr>
              <w:t>科学合理</w:t>
            </w:r>
            <w:r>
              <w:rPr>
                <w:color w:val="auto"/>
                <w:sz w:val="24"/>
                <w:szCs w:val="24"/>
                <w:highlight w:val="none"/>
              </w:rPr>
              <w:t>的得</w:t>
            </w:r>
            <w:r>
              <w:rPr>
                <w:rFonts w:hint="default"/>
                <w:color w:val="auto"/>
                <w:sz w:val="24"/>
                <w:szCs w:val="24"/>
                <w:highlight w:val="none"/>
                <w:lang w:val="en-US" w:eastAsia="zh-CN"/>
              </w:rPr>
              <w:t>5</w:t>
            </w:r>
            <w:r>
              <w:rPr>
                <w:color w:val="auto"/>
                <w:sz w:val="24"/>
                <w:szCs w:val="24"/>
                <w:highlight w:val="none"/>
              </w:rPr>
              <w:t>分</w:t>
            </w:r>
            <w:r>
              <w:rPr>
                <w:rFonts w:hint="eastAsia"/>
                <w:color w:val="auto"/>
                <w:sz w:val="24"/>
                <w:szCs w:val="24"/>
                <w:highlight w:val="none"/>
                <w:lang w:eastAsia="zh-CN"/>
              </w:rPr>
              <w:t>；</w:t>
            </w:r>
            <w:r>
              <w:rPr>
                <w:color w:val="auto"/>
                <w:sz w:val="24"/>
                <w:szCs w:val="24"/>
                <w:highlight w:val="none"/>
              </w:rPr>
              <w:t>安排时间</w:t>
            </w:r>
            <w:r>
              <w:rPr>
                <w:rFonts w:hint="default"/>
                <w:color w:val="auto"/>
                <w:sz w:val="24"/>
                <w:szCs w:val="24"/>
                <w:highlight w:val="none"/>
                <w:lang w:val="en-US" w:eastAsia="zh-CN"/>
              </w:rPr>
              <w:t>比较</w:t>
            </w:r>
            <w:r>
              <w:rPr>
                <w:color w:val="auto"/>
                <w:sz w:val="24"/>
                <w:szCs w:val="24"/>
                <w:highlight w:val="none"/>
              </w:rPr>
              <w:t>详细且</w:t>
            </w:r>
            <w:r>
              <w:rPr>
                <w:rFonts w:hint="default"/>
                <w:color w:val="auto"/>
                <w:sz w:val="24"/>
                <w:szCs w:val="24"/>
                <w:highlight w:val="none"/>
                <w:lang w:val="en-US" w:eastAsia="zh-CN"/>
              </w:rPr>
              <w:t>较</w:t>
            </w:r>
            <w:r>
              <w:rPr>
                <w:rFonts w:hint="default"/>
                <w:color w:val="auto"/>
                <w:sz w:val="24"/>
                <w:szCs w:val="24"/>
                <w:highlight w:val="none"/>
              </w:rPr>
              <w:t>科学合理</w:t>
            </w:r>
            <w:r>
              <w:rPr>
                <w:color w:val="auto"/>
                <w:sz w:val="24"/>
                <w:szCs w:val="24"/>
                <w:highlight w:val="none"/>
              </w:rPr>
              <w:t>的得</w:t>
            </w:r>
            <w:r>
              <w:rPr>
                <w:rFonts w:hint="default"/>
                <w:color w:val="auto"/>
                <w:sz w:val="24"/>
                <w:szCs w:val="24"/>
                <w:highlight w:val="none"/>
                <w:lang w:val="en-US" w:eastAsia="zh-CN"/>
              </w:rPr>
              <w:t>4</w:t>
            </w:r>
            <w:r>
              <w:rPr>
                <w:color w:val="auto"/>
                <w:sz w:val="24"/>
                <w:szCs w:val="24"/>
                <w:highlight w:val="none"/>
              </w:rPr>
              <w:t>分</w:t>
            </w:r>
            <w:r>
              <w:rPr>
                <w:rFonts w:hint="eastAsia"/>
                <w:color w:val="auto"/>
                <w:sz w:val="24"/>
                <w:szCs w:val="24"/>
                <w:highlight w:val="none"/>
                <w:lang w:eastAsia="zh-CN"/>
              </w:rPr>
              <w:t>；</w:t>
            </w:r>
            <w:r>
              <w:rPr>
                <w:color w:val="auto"/>
                <w:sz w:val="24"/>
                <w:szCs w:val="24"/>
                <w:highlight w:val="none"/>
              </w:rPr>
              <w:t>安排时间</w:t>
            </w:r>
            <w:r>
              <w:rPr>
                <w:rFonts w:hint="default"/>
                <w:color w:val="auto"/>
                <w:sz w:val="24"/>
                <w:szCs w:val="24"/>
                <w:highlight w:val="none"/>
                <w:lang w:val="en-US" w:eastAsia="zh-CN"/>
              </w:rPr>
              <w:t>比较详细，</w:t>
            </w:r>
            <w:r>
              <w:rPr>
                <w:rFonts w:hint="default"/>
                <w:color w:val="auto"/>
                <w:sz w:val="24"/>
                <w:szCs w:val="24"/>
                <w:highlight w:val="none"/>
              </w:rPr>
              <w:t>基本合理的得</w:t>
            </w:r>
            <w:r>
              <w:rPr>
                <w:rFonts w:hint="default"/>
                <w:color w:val="auto"/>
                <w:sz w:val="24"/>
                <w:szCs w:val="24"/>
                <w:highlight w:val="none"/>
                <w:lang w:val="en-US" w:eastAsia="zh-CN"/>
              </w:rPr>
              <w:t>3</w:t>
            </w:r>
            <w:r>
              <w:rPr>
                <w:rFonts w:hint="default"/>
                <w:color w:val="auto"/>
                <w:sz w:val="24"/>
                <w:szCs w:val="24"/>
                <w:highlight w:val="none"/>
              </w:rPr>
              <w:t>分</w:t>
            </w:r>
            <w:r>
              <w:rPr>
                <w:rFonts w:hint="eastAsia"/>
                <w:color w:val="auto"/>
                <w:sz w:val="24"/>
                <w:szCs w:val="24"/>
                <w:highlight w:val="none"/>
                <w:lang w:eastAsia="zh-CN"/>
              </w:rPr>
              <w:t>；</w:t>
            </w:r>
            <w:r>
              <w:rPr>
                <w:color w:val="auto"/>
                <w:sz w:val="24"/>
                <w:szCs w:val="24"/>
                <w:highlight w:val="none"/>
              </w:rPr>
              <w:t>安排时间</w:t>
            </w:r>
            <w:r>
              <w:rPr>
                <w:rFonts w:hint="default"/>
                <w:color w:val="auto"/>
                <w:sz w:val="24"/>
                <w:szCs w:val="24"/>
                <w:highlight w:val="none"/>
                <w:lang w:val="en-US" w:eastAsia="zh-CN"/>
              </w:rPr>
              <w:t>略有瑕疵的</w:t>
            </w:r>
            <w:r>
              <w:rPr>
                <w:rFonts w:hint="default"/>
                <w:color w:val="auto"/>
                <w:sz w:val="24"/>
                <w:szCs w:val="24"/>
                <w:highlight w:val="none"/>
              </w:rPr>
              <w:t>得</w:t>
            </w:r>
            <w:r>
              <w:rPr>
                <w:rFonts w:hint="default"/>
                <w:color w:val="auto"/>
                <w:sz w:val="24"/>
                <w:szCs w:val="24"/>
                <w:highlight w:val="none"/>
                <w:lang w:val="en-US" w:eastAsia="zh-CN"/>
              </w:rPr>
              <w:t>2</w:t>
            </w:r>
            <w:r>
              <w:rPr>
                <w:rFonts w:hint="default"/>
                <w:color w:val="auto"/>
                <w:sz w:val="24"/>
                <w:szCs w:val="24"/>
                <w:highlight w:val="none"/>
              </w:rPr>
              <w:t>分</w:t>
            </w:r>
            <w:r>
              <w:rPr>
                <w:rFonts w:hint="eastAsia"/>
                <w:color w:val="auto"/>
                <w:sz w:val="24"/>
                <w:szCs w:val="24"/>
                <w:highlight w:val="none"/>
                <w:lang w:eastAsia="zh-CN"/>
              </w:rPr>
              <w:t>；</w:t>
            </w:r>
            <w:r>
              <w:rPr>
                <w:color w:val="auto"/>
                <w:sz w:val="24"/>
                <w:szCs w:val="24"/>
                <w:highlight w:val="none"/>
              </w:rPr>
              <w:t>安排时间不够科学合理的得1分</w:t>
            </w:r>
            <w:r>
              <w:rPr>
                <w:rFonts w:hint="eastAsia"/>
                <w:color w:val="auto"/>
                <w:sz w:val="24"/>
                <w:szCs w:val="24"/>
                <w:highlight w:val="none"/>
                <w:lang w:eastAsia="zh-CN"/>
              </w:rPr>
              <w:t>；</w:t>
            </w:r>
            <w:r>
              <w:rPr>
                <w:color w:val="auto"/>
                <w:sz w:val="24"/>
                <w:szCs w:val="24"/>
                <w:highlight w:val="none"/>
              </w:rPr>
              <w:t>未提供</w:t>
            </w:r>
            <w:r>
              <w:rPr>
                <w:rFonts w:hint="default"/>
                <w:color w:val="auto"/>
                <w:sz w:val="24"/>
                <w:szCs w:val="24"/>
                <w:highlight w:val="none"/>
              </w:rPr>
              <w:t>方案</w:t>
            </w:r>
            <w:r>
              <w:rPr>
                <w:color w:val="auto"/>
                <w:sz w:val="24"/>
                <w:szCs w:val="24"/>
                <w:highlight w:val="none"/>
              </w:rPr>
              <w:t>的不得分</w:t>
            </w:r>
            <w:r>
              <w:rPr>
                <w:rFonts w:hint="eastAsia"/>
                <w:color w:val="auto"/>
                <w:sz w:val="24"/>
                <w:szCs w:val="24"/>
                <w:highlight w:val="none"/>
              </w:rPr>
              <w:t>。</w:t>
            </w:r>
          </w:p>
        </w:tc>
        <w:tc>
          <w:tcPr>
            <w:tcW w:w="613" w:type="dxa"/>
            <w:tcBorders>
              <w:tl2br w:val="nil"/>
              <w:tr2bl w:val="nil"/>
            </w:tcBorders>
            <w:vAlign w:val="center"/>
          </w:tcPr>
          <w:p w14:paraId="62D1F61F">
            <w:pPr>
              <w:pStyle w:val="176"/>
              <w:keepNext w:val="0"/>
              <w:keepLines w:val="0"/>
              <w:pageBreakBefore w:val="0"/>
              <w:widowControl w:val="0"/>
              <w:kinsoku/>
              <w:wordWrap/>
              <w:overflowPunct/>
              <w:topLinePunct w:val="0"/>
              <w:autoSpaceDE/>
              <w:autoSpaceDN/>
              <w:bidi w:val="0"/>
              <w:adjustRightInd w:val="0"/>
              <w:spacing w:line="360" w:lineRule="auto"/>
              <w:ind w:firstLine="50" w:firstLineChars="21"/>
              <w:jc w:val="center"/>
              <w:textAlignment w:val="auto"/>
              <w:rPr>
                <w:rFonts w:hint="eastAsia" w:ascii="宋体" w:hAnsi="宋体" w:eastAsia="宋体" w:cs="宋体"/>
                <w:color w:val="auto"/>
                <w:sz w:val="24"/>
                <w:szCs w:val="24"/>
                <w:highlight w:val="none"/>
              </w:rPr>
            </w:pPr>
            <w:r>
              <w:rPr>
                <w:rFonts w:hint="eastAsia"/>
                <w:color w:val="auto"/>
                <w:sz w:val="24"/>
                <w:szCs w:val="24"/>
                <w:highlight w:val="none"/>
                <w:lang w:val="en-US" w:eastAsia="zh-CN"/>
              </w:rPr>
              <w:t>5</w:t>
            </w:r>
          </w:p>
        </w:tc>
        <w:tc>
          <w:tcPr>
            <w:tcW w:w="907" w:type="dxa"/>
            <w:tcBorders>
              <w:tl2br w:val="nil"/>
              <w:tr2bl w:val="nil"/>
            </w:tcBorders>
            <w:vAlign w:val="center"/>
          </w:tcPr>
          <w:p w14:paraId="262E274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主观分</w:t>
            </w:r>
          </w:p>
          <w:p w14:paraId="0D49D72D">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jc w:val="center"/>
              <w:textAlignment w:val="auto"/>
              <w:outlineLvl w:val="0"/>
              <w:rPr>
                <w:rFonts w:hint="eastAsia" w:ascii="宋体" w:hAnsi="宋体" w:eastAsia="宋体" w:cs="宋体"/>
                <w:color w:val="auto"/>
                <w:sz w:val="24"/>
                <w:szCs w:val="24"/>
                <w:highlight w:val="none"/>
              </w:rPr>
            </w:pPr>
          </w:p>
        </w:tc>
        <w:tc>
          <w:tcPr>
            <w:tcW w:w="1117" w:type="dxa"/>
            <w:tcBorders>
              <w:tl2br w:val="nil"/>
              <w:tr2bl w:val="nil"/>
            </w:tcBorders>
            <w:vAlign w:val="center"/>
          </w:tcPr>
          <w:p w14:paraId="3BC2EA8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4"/>
                <w:szCs w:val="24"/>
                <w:highlight w:val="none"/>
              </w:rPr>
            </w:pPr>
          </w:p>
        </w:tc>
      </w:tr>
      <w:tr w14:paraId="7771F3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tcBorders>
              <w:tl2br w:val="nil"/>
              <w:tr2bl w:val="nil"/>
            </w:tcBorders>
            <w:vAlign w:val="center"/>
          </w:tcPr>
          <w:p w14:paraId="65BBED0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11</w:t>
            </w:r>
          </w:p>
        </w:tc>
        <w:tc>
          <w:tcPr>
            <w:tcW w:w="1214" w:type="dxa"/>
            <w:tcBorders>
              <w:tl2br w:val="nil"/>
              <w:tr2bl w:val="nil"/>
            </w:tcBorders>
            <w:vAlign w:val="center"/>
          </w:tcPr>
          <w:p w14:paraId="583845E8">
            <w:pPr>
              <w:pStyle w:val="176"/>
              <w:keepNext w:val="0"/>
              <w:keepLines w:val="0"/>
              <w:pageBreakBefore w:val="0"/>
              <w:widowControl w:val="0"/>
              <w:kinsoku/>
              <w:wordWrap/>
              <w:overflowPunct/>
              <w:topLinePunct w:val="0"/>
              <w:autoSpaceDE/>
              <w:autoSpaceDN/>
              <w:bidi w:val="0"/>
              <w:adjustRightInd w:val="0"/>
              <w:spacing w:line="360" w:lineRule="auto"/>
              <w:ind w:firstLine="50" w:firstLineChars="21"/>
              <w:jc w:val="center"/>
              <w:textAlignment w:val="auto"/>
              <w:rPr>
                <w:rFonts w:hint="eastAsia" w:ascii="宋体" w:hAnsi="宋体" w:eastAsia="宋体" w:cs="宋体"/>
                <w:color w:val="auto"/>
                <w:sz w:val="24"/>
                <w:szCs w:val="24"/>
                <w:highlight w:val="none"/>
              </w:rPr>
            </w:pPr>
            <w:r>
              <w:rPr>
                <w:color w:val="auto"/>
                <w:sz w:val="24"/>
                <w:szCs w:val="24"/>
                <w:highlight w:val="none"/>
              </w:rPr>
              <w:t>重点难点分析</w:t>
            </w:r>
          </w:p>
        </w:tc>
        <w:tc>
          <w:tcPr>
            <w:tcW w:w="5593" w:type="dxa"/>
            <w:tcBorders>
              <w:tl2br w:val="nil"/>
              <w:tr2bl w:val="nil"/>
            </w:tcBorders>
            <w:vAlign w:val="center"/>
          </w:tcPr>
          <w:p w14:paraId="2333A00C">
            <w:pPr>
              <w:pStyle w:val="176"/>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color w:val="auto"/>
                <w:sz w:val="24"/>
                <w:szCs w:val="24"/>
                <w:highlight w:val="none"/>
              </w:rPr>
              <w:t>供应商提出</w:t>
            </w:r>
            <w:r>
              <w:rPr>
                <w:color w:val="auto"/>
                <w:sz w:val="24"/>
                <w:szCs w:val="24"/>
                <w:highlight w:val="none"/>
              </w:rPr>
              <w:t>针对本项目实施过程中</w:t>
            </w:r>
            <w:r>
              <w:rPr>
                <w:rFonts w:hint="eastAsia"/>
                <w:color w:val="auto"/>
                <w:sz w:val="24"/>
                <w:szCs w:val="24"/>
                <w:highlight w:val="none"/>
              </w:rPr>
              <w:t>的</w:t>
            </w:r>
            <w:r>
              <w:rPr>
                <w:color w:val="auto"/>
                <w:sz w:val="24"/>
                <w:szCs w:val="24"/>
                <w:highlight w:val="none"/>
              </w:rPr>
              <w:t>重点难点分析</w:t>
            </w:r>
            <w:r>
              <w:rPr>
                <w:rFonts w:hint="eastAsia"/>
                <w:color w:val="auto"/>
                <w:sz w:val="24"/>
                <w:szCs w:val="24"/>
                <w:highlight w:val="none"/>
              </w:rPr>
              <w:t>，且提出相应的</w:t>
            </w:r>
            <w:r>
              <w:rPr>
                <w:color w:val="auto"/>
                <w:sz w:val="24"/>
                <w:szCs w:val="24"/>
                <w:highlight w:val="none"/>
              </w:rPr>
              <w:t>解决方案和措施；重点难点</w:t>
            </w:r>
            <w:r>
              <w:rPr>
                <w:rFonts w:hint="eastAsia"/>
                <w:color w:val="auto"/>
                <w:sz w:val="24"/>
                <w:szCs w:val="24"/>
                <w:highlight w:val="none"/>
              </w:rPr>
              <w:t>分析到位，</w:t>
            </w:r>
            <w:r>
              <w:rPr>
                <w:color w:val="auto"/>
                <w:sz w:val="24"/>
                <w:szCs w:val="24"/>
                <w:highlight w:val="none"/>
              </w:rPr>
              <w:t>解决方案和措施切实有效的得</w:t>
            </w:r>
            <w:r>
              <w:rPr>
                <w:rFonts w:hint="eastAsia"/>
                <w:color w:val="auto"/>
                <w:sz w:val="24"/>
                <w:szCs w:val="24"/>
                <w:highlight w:val="none"/>
                <w:lang w:val="en-US" w:eastAsia="zh-CN"/>
              </w:rPr>
              <w:t>5</w:t>
            </w:r>
            <w:r>
              <w:rPr>
                <w:color w:val="auto"/>
                <w:sz w:val="24"/>
                <w:szCs w:val="24"/>
                <w:highlight w:val="none"/>
              </w:rPr>
              <w:t>分</w:t>
            </w:r>
            <w:r>
              <w:rPr>
                <w:rFonts w:hint="eastAsia"/>
                <w:color w:val="auto"/>
                <w:sz w:val="24"/>
                <w:szCs w:val="24"/>
                <w:highlight w:val="none"/>
                <w:lang w:eastAsia="zh-CN"/>
              </w:rPr>
              <w:t>；</w:t>
            </w:r>
            <w:r>
              <w:rPr>
                <w:color w:val="auto"/>
                <w:sz w:val="24"/>
                <w:szCs w:val="24"/>
                <w:highlight w:val="none"/>
              </w:rPr>
              <w:t>重点难点</w:t>
            </w:r>
            <w:r>
              <w:rPr>
                <w:rFonts w:hint="eastAsia"/>
                <w:color w:val="auto"/>
                <w:sz w:val="24"/>
                <w:szCs w:val="24"/>
                <w:highlight w:val="none"/>
              </w:rPr>
              <w:t>分析比较全面，</w:t>
            </w:r>
            <w:r>
              <w:rPr>
                <w:color w:val="auto"/>
                <w:sz w:val="24"/>
                <w:szCs w:val="24"/>
                <w:highlight w:val="none"/>
              </w:rPr>
              <w:t>解决方案和措施</w:t>
            </w:r>
            <w:r>
              <w:rPr>
                <w:rFonts w:hint="eastAsia"/>
                <w:color w:val="auto"/>
                <w:sz w:val="24"/>
                <w:szCs w:val="24"/>
                <w:highlight w:val="none"/>
              </w:rPr>
              <w:t>较为</w:t>
            </w:r>
            <w:r>
              <w:rPr>
                <w:color w:val="auto"/>
                <w:sz w:val="24"/>
                <w:szCs w:val="24"/>
                <w:highlight w:val="none"/>
              </w:rPr>
              <w:t>有效的得</w:t>
            </w:r>
            <w:r>
              <w:rPr>
                <w:rFonts w:hint="eastAsia"/>
                <w:color w:val="auto"/>
                <w:sz w:val="24"/>
                <w:szCs w:val="24"/>
                <w:highlight w:val="none"/>
                <w:lang w:val="en-US" w:eastAsia="zh-CN"/>
              </w:rPr>
              <w:t>4</w:t>
            </w:r>
            <w:r>
              <w:rPr>
                <w:color w:val="auto"/>
                <w:sz w:val="24"/>
                <w:szCs w:val="24"/>
                <w:highlight w:val="none"/>
              </w:rPr>
              <w:t>分</w:t>
            </w:r>
            <w:r>
              <w:rPr>
                <w:rFonts w:hint="eastAsia"/>
                <w:color w:val="auto"/>
                <w:sz w:val="24"/>
                <w:szCs w:val="24"/>
                <w:highlight w:val="none"/>
                <w:lang w:eastAsia="zh-CN"/>
              </w:rPr>
              <w:t>；</w:t>
            </w:r>
            <w:r>
              <w:rPr>
                <w:color w:val="auto"/>
                <w:sz w:val="24"/>
                <w:szCs w:val="24"/>
                <w:highlight w:val="none"/>
              </w:rPr>
              <w:t>重点难点</w:t>
            </w:r>
            <w:r>
              <w:rPr>
                <w:rFonts w:hint="eastAsia"/>
                <w:color w:val="auto"/>
                <w:sz w:val="24"/>
                <w:szCs w:val="24"/>
                <w:highlight w:val="none"/>
              </w:rPr>
              <w:t>分析针对性不强，</w:t>
            </w:r>
            <w:r>
              <w:rPr>
                <w:color w:val="auto"/>
                <w:sz w:val="24"/>
                <w:szCs w:val="24"/>
                <w:highlight w:val="none"/>
              </w:rPr>
              <w:t>解决方案和措施</w:t>
            </w:r>
            <w:r>
              <w:rPr>
                <w:rFonts w:hint="eastAsia"/>
                <w:color w:val="auto"/>
                <w:sz w:val="24"/>
                <w:szCs w:val="24"/>
                <w:highlight w:val="none"/>
              </w:rPr>
              <w:t>略有不足</w:t>
            </w:r>
            <w:r>
              <w:rPr>
                <w:color w:val="auto"/>
                <w:sz w:val="24"/>
                <w:szCs w:val="24"/>
                <w:highlight w:val="none"/>
              </w:rPr>
              <w:t>的得</w:t>
            </w:r>
            <w:r>
              <w:rPr>
                <w:rFonts w:hint="eastAsia"/>
                <w:color w:val="auto"/>
                <w:sz w:val="24"/>
                <w:szCs w:val="24"/>
                <w:highlight w:val="none"/>
                <w:lang w:val="en-US" w:eastAsia="zh-CN"/>
              </w:rPr>
              <w:t>3</w:t>
            </w:r>
            <w:r>
              <w:rPr>
                <w:color w:val="auto"/>
                <w:sz w:val="24"/>
                <w:szCs w:val="24"/>
                <w:highlight w:val="none"/>
              </w:rPr>
              <w:t>分</w:t>
            </w:r>
            <w:r>
              <w:rPr>
                <w:rFonts w:hint="eastAsia"/>
                <w:color w:val="auto"/>
                <w:sz w:val="24"/>
                <w:szCs w:val="24"/>
                <w:highlight w:val="none"/>
                <w:lang w:eastAsia="zh-CN"/>
              </w:rPr>
              <w:t>；</w:t>
            </w:r>
            <w:r>
              <w:rPr>
                <w:color w:val="auto"/>
                <w:sz w:val="24"/>
                <w:szCs w:val="24"/>
                <w:highlight w:val="none"/>
              </w:rPr>
              <w:t>重点难点</w:t>
            </w:r>
            <w:r>
              <w:rPr>
                <w:rFonts w:hint="eastAsia"/>
                <w:color w:val="auto"/>
                <w:sz w:val="24"/>
                <w:szCs w:val="24"/>
                <w:highlight w:val="none"/>
              </w:rPr>
              <w:t>分析有疏漏，</w:t>
            </w:r>
            <w:r>
              <w:rPr>
                <w:color w:val="auto"/>
                <w:sz w:val="24"/>
                <w:szCs w:val="24"/>
                <w:highlight w:val="none"/>
              </w:rPr>
              <w:t>解决方案和措施</w:t>
            </w:r>
            <w:r>
              <w:rPr>
                <w:rFonts w:hint="eastAsia"/>
                <w:color w:val="auto"/>
                <w:sz w:val="24"/>
                <w:szCs w:val="24"/>
                <w:highlight w:val="none"/>
              </w:rPr>
              <w:t>有不足</w:t>
            </w:r>
            <w:r>
              <w:rPr>
                <w:color w:val="auto"/>
                <w:sz w:val="24"/>
                <w:szCs w:val="24"/>
                <w:highlight w:val="none"/>
              </w:rPr>
              <w:t>的得</w:t>
            </w:r>
            <w:r>
              <w:rPr>
                <w:rFonts w:hint="eastAsia"/>
                <w:color w:val="auto"/>
                <w:sz w:val="24"/>
                <w:szCs w:val="24"/>
                <w:highlight w:val="none"/>
                <w:lang w:val="en-US" w:eastAsia="zh-CN"/>
              </w:rPr>
              <w:t>2</w:t>
            </w:r>
            <w:r>
              <w:rPr>
                <w:color w:val="auto"/>
                <w:sz w:val="24"/>
                <w:szCs w:val="24"/>
                <w:highlight w:val="none"/>
              </w:rPr>
              <w:t>分</w:t>
            </w:r>
            <w:r>
              <w:rPr>
                <w:rFonts w:hint="eastAsia"/>
                <w:color w:val="auto"/>
                <w:sz w:val="24"/>
                <w:szCs w:val="24"/>
                <w:highlight w:val="none"/>
                <w:lang w:eastAsia="zh-CN"/>
              </w:rPr>
              <w:t>；</w:t>
            </w:r>
            <w:r>
              <w:rPr>
                <w:color w:val="auto"/>
                <w:sz w:val="24"/>
                <w:szCs w:val="24"/>
                <w:highlight w:val="none"/>
              </w:rPr>
              <w:t>重点难点</w:t>
            </w:r>
            <w:r>
              <w:rPr>
                <w:rFonts w:hint="eastAsia"/>
                <w:color w:val="auto"/>
                <w:sz w:val="24"/>
                <w:szCs w:val="24"/>
                <w:highlight w:val="none"/>
              </w:rPr>
              <w:t>分析</w:t>
            </w:r>
            <w:r>
              <w:rPr>
                <w:rFonts w:hint="eastAsia"/>
                <w:color w:val="auto"/>
                <w:sz w:val="24"/>
                <w:szCs w:val="24"/>
                <w:highlight w:val="none"/>
                <w:lang w:val="en-US" w:eastAsia="zh-CN"/>
              </w:rPr>
              <w:t>存在偏差，</w:t>
            </w:r>
            <w:r>
              <w:rPr>
                <w:color w:val="auto"/>
                <w:sz w:val="24"/>
                <w:szCs w:val="24"/>
                <w:highlight w:val="none"/>
              </w:rPr>
              <w:t>解决方案和措施</w:t>
            </w:r>
            <w:r>
              <w:rPr>
                <w:rFonts w:hint="eastAsia"/>
                <w:color w:val="auto"/>
                <w:sz w:val="24"/>
                <w:szCs w:val="24"/>
                <w:highlight w:val="none"/>
                <w:lang w:val="en-US" w:eastAsia="zh-CN"/>
              </w:rPr>
              <w:t>可行性较弱得1分；</w:t>
            </w:r>
            <w:r>
              <w:rPr>
                <w:color w:val="auto"/>
                <w:sz w:val="24"/>
                <w:szCs w:val="24"/>
                <w:highlight w:val="none"/>
              </w:rPr>
              <w:t>否则不得分。</w:t>
            </w:r>
          </w:p>
        </w:tc>
        <w:tc>
          <w:tcPr>
            <w:tcW w:w="613" w:type="dxa"/>
            <w:tcBorders>
              <w:tl2br w:val="nil"/>
              <w:tr2bl w:val="nil"/>
            </w:tcBorders>
            <w:vAlign w:val="center"/>
          </w:tcPr>
          <w:p w14:paraId="6D719644">
            <w:pPr>
              <w:pStyle w:val="176"/>
              <w:keepNext w:val="0"/>
              <w:keepLines w:val="0"/>
              <w:pageBreakBefore w:val="0"/>
              <w:widowControl w:val="0"/>
              <w:kinsoku/>
              <w:wordWrap/>
              <w:overflowPunct/>
              <w:topLinePunct w:val="0"/>
              <w:autoSpaceDE/>
              <w:autoSpaceDN/>
              <w:bidi w:val="0"/>
              <w:adjustRightInd w:val="0"/>
              <w:spacing w:line="360" w:lineRule="auto"/>
              <w:ind w:firstLine="50" w:firstLineChars="21"/>
              <w:jc w:val="center"/>
              <w:textAlignment w:val="auto"/>
              <w:rPr>
                <w:rFonts w:hint="eastAsia" w:ascii="宋体" w:hAnsi="宋体" w:eastAsia="宋体" w:cs="宋体"/>
                <w:color w:val="auto"/>
                <w:sz w:val="24"/>
                <w:szCs w:val="24"/>
                <w:highlight w:val="none"/>
              </w:rPr>
            </w:pPr>
            <w:r>
              <w:rPr>
                <w:rFonts w:hint="eastAsia"/>
                <w:color w:val="auto"/>
                <w:sz w:val="24"/>
                <w:szCs w:val="24"/>
                <w:highlight w:val="none"/>
                <w:lang w:val="en-US" w:eastAsia="zh-CN"/>
              </w:rPr>
              <w:t>5</w:t>
            </w:r>
          </w:p>
        </w:tc>
        <w:tc>
          <w:tcPr>
            <w:tcW w:w="907" w:type="dxa"/>
            <w:tcBorders>
              <w:tl2br w:val="nil"/>
              <w:tr2bl w:val="nil"/>
            </w:tcBorders>
            <w:vAlign w:val="center"/>
          </w:tcPr>
          <w:p w14:paraId="48AD752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主观分</w:t>
            </w:r>
          </w:p>
          <w:p w14:paraId="10B40A29">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jc w:val="center"/>
              <w:textAlignment w:val="auto"/>
              <w:outlineLvl w:val="0"/>
              <w:rPr>
                <w:rFonts w:hint="eastAsia" w:ascii="宋体" w:hAnsi="宋体" w:eastAsia="宋体" w:cs="宋体"/>
                <w:color w:val="auto"/>
                <w:sz w:val="24"/>
                <w:szCs w:val="24"/>
                <w:highlight w:val="none"/>
              </w:rPr>
            </w:pPr>
          </w:p>
        </w:tc>
        <w:tc>
          <w:tcPr>
            <w:tcW w:w="1117" w:type="dxa"/>
            <w:tcBorders>
              <w:tl2br w:val="nil"/>
              <w:tr2bl w:val="nil"/>
            </w:tcBorders>
            <w:vAlign w:val="center"/>
          </w:tcPr>
          <w:p w14:paraId="1888AA7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4"/>
                <w:szCs w:val="24"/>
                <w:highlight w:val="none"/>
              </w:rPr>
            </w:pPr>
          </w:p>
        </w:tc>
      </w:tr>
      <w:tr w14:paraId="263050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tcBorders>
              <w:tl2br w:val="nil"/>
              <w:tr2bl w:val="nil"/>
            </w:tcBorders>
            <w:vAlign w:val="center"/>
          </w:tcPr>
          <w:p w14:paraId="33BF3DF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12</w:t>
            </w:r>
          </w:p>
        </w:tc>
        <w:tc>
          <w:tcPr>
            <w:tcW w:w="1214" w:type="dxa"/>
            <w:tcBorders>
              <w:tl2br w:val="nil"/>
              <w:tr2bl w:val="nil"/>
            </w:tcBorders>
            <w:vAlign w:val="center"/>
          </w:tcPr>
          <w:p w14:paraId="0DB44283">
            <w:pPr>
              <w:pStyle w:val="176"/>
              <w:keepNext w:val="0"/>
              <w:keepLines w:val="0"/>
              <w:pageBreakBefore w:val="0"/>
              <w:widowControl w:val="0"/>
              <w:kinsoku/>
              <w:wordWrap/>
              <w:overflowPunct/>
              <w:topLinePunct w:val="0"/>
              <w:autoSpaceDE/>
              <w:autoSpaceDN/>
              <w:bidi w:val="0"/>
              <w:adjustRightInd w:val="0"/>
              <w:spacing w:line="360" w:lineRule="auto"/>
              <w:ind w:firstLine="50" w:firstLineChars="21"/>
              <w:jc w:val="center"/>
              <w:textAlignment w:val="auto"/>
              <w:rPr>
                <w:rFonts w:hint="eastAsia" w:ascii="宋体" w:hAnsi="宋体" w:eastAsia="宋体" w:cs="宋体"/>
                <w:color w:val="auto"/>
                <w:sz w:val="24"/>
                <w:szCs w:val="24"/>
                <w:highlight w:val="none"/>
              </w:rPr>
            </w:pPr>
            <w:r>
              <w:rPr>
                <w:rFonts w:hint="eastAsia"/>
                <w:color w:val="auto"/>
                <w:sz w:val="24"/>
                <w:szCs w:val="24"/>
                <w:highlight w:val="none"/>
                <w:lang w:val="en-US" w:eastAsia="zh-CN"/>
              </w:rPr>
              <w:t>智能制造优质服务资源组织调配能力</w:t>
            </w:r>
          </w:p>
        </w:tc>
        <w:tc>
          <w:tcPr>
            <w:tcW w:w="5593" w:type="dxa"/>
            <w:tcBorders>
              <w:tl2br w:val="nil"/>
              <w:tr2bl w:val="nil"/>
            </w:tcBorders>
            <w:vAlign w:val="center"/>
          </w:tcPr>
          <w:p w14:paraId="44945C63">
            <w:pPr>
              <w:pStyle w:val="176"/>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color w:val="auto"/>
                <w:sz w:val="24"/>
                <w:szCs w:val="24"/>
                <w:highlight w:val="none"/>
                <w:lang w:val="en-US" w:eastAsia="zh-CN"/>
              </w:rPr>
              <w:t>供应商应满足面向不同行业、不同规模企业开展智能制造供需对接活动，具备协调调动全国跨省域级智能制造服务资源的能力得5分；协调调动省域级智能制造服务资源能力得4分；协调调动市域级智能制造服务资源能力得3分；具备协调调动区（县）域级智能制造服务资源能力的得2分；需提供具备协调调动对应资源能力的证明材料。</w:t>
            </w:r>
          </w:p>
        </w:tc>
        <w:tc>
          <w:tcPr>
            <w:tcW w:w="613" w:type="dxa"/>
            <w:tcBorders>
              <w:tl2br w:val="nil"/>
              <w:tr2bl w:val="nil"/>
            </w:tcBorders>
            <w:vAlign w:val="center"/>
          </w:tcPr>
          <w:p w14:paraId="39C7CB75">
            <w:pPr>
              <w:pStyle w:val="176"/>
              <w:keepNext w:val="0"/>
              <w:keepLines w:val="0"/>
              <w:pageBreakBefore w:val="0"/>
              <w:widowControl w:val="0"/>
              <w:kinsoku/>
              <w:wordWrap/>
              <w:overflowPunct/>
              <w:topLinePunct w:val="0"/>
              <w:autoSpaceDE/>
              <w:autoSpaceDN/>
              <w:bidi w:val="0"/>
              <w:adjustRightInd w:val="0"/>
              <w:spacing w:line="360" w:lineRule="auto"/>
              <w:ind w:firstLine="50" w:firstLineChars="21"/>
              <w:jc w:val="center"/>
              <w:textAlignment w:val="auto"/>
              <w:rPr>
                <w:rFonts w:hint="eastAsia" w:ascii="宋体" w:hAnsi="宋体" w:eastAsia="宋体" w:cs="宋体"/>
                <w:color w:val="auto"/>
                <w:sz w:val="24"/>
                <w:szCs w:val="24"/>
                <w:highlight w:val="none"/>
              </w:rPr>
            </w:pPr>
            <w:r>
              <w:rPr>
                <w:rFonts w:hint="eastAsia"/>
                <w:color w:val="auto"/>
                <w:sz w:val="24"/>
                <w:szCs w:val="24"/>
                <w:highlight w:val="none"/>
                <w:lang w:val="en-US" w:eastAsia="zh-CN"/>
              </w:rPr>
              <w:t>5</w:t>
            </w:r>
          </w:p>
        </w:tc>
        <w:tc>
          <w:tcPr>
            <w:tcW w:w="907" w:type="dxa"/>
            <w:tcBorders>
              <w:tl2br w:val="nil"/>
              <w:tr2bl w:val="nil"/>
            </w:tcBorders>
            <w:vAlign w:val="center"/>
          </w:tcPr>
          <w:p w14:paraId="3DBDCCB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主观分</w:t>
            </w:r>
          </w:p>
          <w:p w14:paraId="6514C405">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jc w:val="center"/>
              <w:textAlignment w:val="auto"/>
              <w:outlineLvl w:val="0"/>
              <w:rPr>
                <w:rFonts w:hint="eastAsia" w:ascii="宋体" w:hAnsi="宋体" w:eastAsia="宋体" w:cs="宋体"/>
                <w:color w:val="auto"/>
                <w:sz w:val="24"/>
                <w:szCs w:val="24"/>
                <w:highlight w:val="none"/>
              </w:rPr>
            </w:pPr>
          </w:p>
        </w:tc>
        <w:tc>
          <w:tcPr>
            <w:tcW w:w="1117" w:type="dxa"/>
            <w:tcBorders>
              <w:tl2br w:val="nil"/>
              <w:tr2bl w:val="nil"/>
            </w:tcBorders>
            <w:vAlign w:val="center"/>
          </w:tcPr>
          <w:p w14:paraId="54BD78B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4"/>
                <w:szCs w:val="24"/>
                <w:highlight w:val="none"/>
              </w:rPr>
            </w:pPr>
          </w:p>
        </w:tc>
      </w:tr>
      <w:tr w14:paraId="4927C5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tcBorders>
              <w:tl2br w:val="nil"/>
              <w:tr2bl w:val="nil"/>
            </w:tcBorders>
            <w:vAlign w:val="center"/>
          </w:tcPr>
          <w:p w14:paraId="26F338E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13</w:t>
            </w:r>
          </w:p>
        </w:tc>
        <w:tc>
          <w:tcPr>
            <w:tcW w:w="1214" w:type="dxa"/>
            <w:tcBorders>
              <w:tl2br w:val="nil"/>
              <w:tr2bl w:val="nil"/>
            </w:tcBorders>
            <w:vAlign w:val="center"/>
          </w:tcPr>
          <w:p w14:paraId="42AC082D">
            <w:pPr>
              <w:pStyle w:val="176"/>
              <w:keepNext w:val="0"/>
              <w:keepLines w:val="0"/>
              <w:pageBreakBefore w:val="0"/>
              <w:widowControl w:val="0"/>
              <w:kinsoku/>
              <w:wordWrap/>
              <w:overflowPunct/>
              <w:topLinePunct w:val="0"/>
              <w:autoSpaceDE/>
              <w:autoSpaceDN/>
              <w:bidi w:val="0"/>
              <w:adjustRightInd w:val="0"/>
              <w:spacing w:line="360" w:lineRule="auto"/>
              <w:ind w:firstLine="50" w:firstLineChars="21"/>
              <w:jc w:val="center"/>
              <w:textAlignment w:val="auto"/>
              <w:rPr>
                <w:rFonts w:hint="eastAsia" w:ascii="宋体" w:hAnsi="宋体" w:eastAsia="宋体" w:cs="宋体"/>
                <w:color w:val="auto"/>
                <w:sz w:val="24"/>
                <w:szCs w:val="24"/>
                <w:highlight w:val="none"/>
              </w:rPr>
            </w:pPr>
            <w:r>
              <w:rPr>
                <w:rFonts w:hint="eastAsia"/>
                <w:color w:val="auto"/>
                <w:sz w:val="24"/>
                <w:szCs w:val="24"/>
                <w:highlight w:val="none"/>
                <w:lang w:val="en-US" w:eastAsia="zh-CN"/>
              </w:rPr>
              <w:t>建设智能制造服务支撑工具情况</w:t>
            </w:r>
          </w:p>
        </w:tc>
        <w:tc>
          <w:tcPr>
            <w:tcW w:w="5593" w:type="dxa"/>
            <w:tcBorders>
              <w:tl2br w:val="nil"/>
              <w:tr2bl w:val="nil"/>
            </w:tcBorders>
            <w:vAlign w:val="center"/>
          </w:tcPr>
          <w:p w14:paraId="1D68AC51">
            <w:pPr>
              <w:pStyle w:val="176"/>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color w:val="auto"/>
                <w:sz w:val="24"/>
                <w:szCs w:val="24"/>
                <w:highlight w:val="none"/>
                <w:lang w:val="en-US" w:eastAsia="zh-CN"/>
              </w:rPr>
              <w:t>供应商应建设或运营面智能制造相关服务平台，具备满足面向企业开展诊断、对接、培训和宣传展示等相关服务工作的能力。根据平台服务覆盖面级别进行打分，省（部）级及以上得3分，市（厅）级得2分，区县级得1分，其他相关平台得0.5分。（需提供相关证明材料）。</w:t>
            </w:r>
          </w:p>
        </w:tc>
        <w:tc>
          <w:tcPr>
            <w:tcW w:w="613" w:type="dxa"/>
            <w:tcBorders>
              <w:tl2br w:val="nil"/>
              <w:tr2bl w:val="nil"/>
            </w:tcBorders>
            <w:vAlign w:val="center"/>
          </w:tcPr>
          <w:p w14:paraId="7B95BAFA">
            <w:pPr>
              <w:pStyle w:val="176"/>
              <w:keepNext w:val="0"/>
              <w:keepLines w:val="0"/>
              <w:pageBreakBefore w:val="0"/>
              <w:widowControl w:val="0"/>
              <w:kinsoku/>
              <w:wordWrap/>
              <w:overflowPunct/>
              <w:topLinePunct w:val="0"/>
              <w:autoSpaceDE/>
              <w:autoSpaceDN/>
              <w:bidi w:val="0"/>
              <w:adjustRightInd w:val="0"/>
              <w:spacing w:line="360" w:lineRule="auto"/>
              <w:ind w:firstLine="50" w:firstLineChars="21"/>
              <w:jc w:val="center"/>
              <w:textAlignment w:val="auto"/>
              <w:rPr>
                <w:rFonts w:hint="eastAsia" w:ascii="宋体" w:hAnsi="宋体" w:eastAsia="宋体" w:cs="宋体"/>
                <w:color w:val="auto"/>
                <w:sz w:val="24"/>
                <w:szCs w:val="24"/>
                <w:highlight w:val="none"/>
              </w:rPr>
            </w:pPr>
            <w:r>
              <w:rPr>
                <w:rFonts w:hint="eastAsia"/>
                <w:color w:val="auto"/>
                <w:sz w:val="24"/>
                <w:szCs w:val="24"/>
                <w:highlight w:val="none"/>
                <w:lang w:val="en-US" w:eastAsia="zh-CN"/>
              </w:rPr>
              <w:t>3</w:t>
            </w:r>
          </w:p>
        </w:tc>
        <w:tc>
          <w:tcPr>
            <w:tcW w:w="907" w:type="dxa"/>
            <w:tcBorders>
              <w:tl2br w:val="nil"/>
              <w:tr2bl w:val="nil"/>
            </w:tcBorders>
            <w:vAlign w:val="center"/>
          </w:tcPr>
          <w:p w14:paraId="256D1A8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客观分</w:t>
            </w:r>
          </w:p>
        </w:tc>
        <w:tc>
          <w:tcPr>
            <w:tcW w:w="1117" w:type="dxa"/>
            <w:tcBorders>
              <w:tl2br w:val="nil"/>
              <w:tr2bl w:val="nil"/>
            </w:tcBorders>
            <w:vAlign w:val="center"/>
          </w:tcPr>
          <w:p w14:paraId="7DE7F9D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4"/>
                <w:szCs w:val="24"/>
                <w:highlight w:val="none"/>
              </w:rPr>
            </w:pPr>
          </w:p>
        </w:tc>
      </w:tr>
      <w:tr w14:paraId="03B2BD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6" w:type="dxa"/>
            <w:tcBorders>
              <w:tl2br w:val="nil"/>
              <w:tr2bl w:val="nil"/>
            </w:tcBorders>
            <w:vAlign w:val="center"/>
          </w:tcPr>
          <w:p w14:paraId="46673EC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14</w:t>
            </w:r>
          </w:p>
        </w:tc>
        <w:tc>
          <w:tcPr>
            <w:tcW w:w="1214" w:type="dxa"/>
            <w:vMerge w:val="restart"/>
            <w:tcBorders>
              <w:tl2br w:val="nil"/>
              <w:tr2bl w:val="nil"/>
            </w:tcBorders>
            <w:vAlign w:val="center"/>
          </w:tcPr>
          <w:p w14:paraId="772B0816">
            <w:pPr>
              <w:pStyle w:val="176"/>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color w:val="auto"/>
                <w:sz w:val="24"/>
                <w:szCs w:val="24"/>
                <w:highlight w:val="none"/>
              </w:rPr>
              <w:t>评审和</w:t>
            </w:r>
            <w:r>
              <w:rPr>
                <w:color w:val="auto"/>
                <w:sz w:val="24"/>
                <w:szCs w:val="24"/>
                <w:highlight w:val="none"/>
              </w:rPr>
              <w:t>评估专家情况</w:t>
            </w:r>
          </w:p>
        </w:tc>
        <w:tc>
          <w:tcPr>
            <w:tcW w:w="5593" w:type="dxa"/>
            <w:tcBorders>
              <w:tl2br w:val="nil"/>
              <w:tr2bl w:val="nil"/>
            </w:tcBorders>
            <w:vAlign w:val="center"/>
          </w:tcPr>
          <w:p w14:paraId="3C43EE7F">
            <w:pPr>
              <w:pStyle w:val="176"/>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color w:val="auto"/>
                <w:sz w:val="24"/>
                <w:szCs w:val="24"/>
                <w:highlight w:val="none"/>
              </w:rPr>
            </w:pPr>
            <w:r>
              <w:rPr>
                <w:color w:val="auto"/>
                <w:sz w:val="24"/>
                <w:szCs w:val="24"/>
                <w:highlight w:val="none"/>
              </w:rPr>
              <w:t>针对本项目提供的</w:t>
            </w:r>
            <w:r>
              <w:rPr>
                <w:rFonts w:hint="eastAsia"/>
                <w:color w:val="auto"/>
                <w:sz w:val="24"/>
                <w:szCs w:val="24"/>
                <w:highlight w:val="none"/>
              </w:rPr>
              <w:t>评审、评估</w:t>
            </w:r>
            <w:r>
              <w:rPr>
                <w:color w:val="auto"/>
                <w:sz w:val="24"/>
                <w:szCs w:val="24"/>
                <w:highlight w:val="none"/>
              </w:rPr>
              <w:t>专家库情况，包括专家</w:t>
            </w:r>
            <w:r>
              <w:rPr>
                <w:rFonts w:hint="eastAsia"/>
                <w:color w:val="auto"/>
                <w:sz w:val="24"/>
                <w:szCs w:val="24"/>
                <w:highlight w:val="none"/>
              </w:rPr>
              <w:t>职称、专业</w:t>
            </w:r>
            <w:r>
              <w:rPr>
                <w:color w:val="auto"/>
                <w:sz w:val="24"/>
                <w:szCs w:val="24"/>
                <w:highlight w:val="none"/>
              </w:rPr>
              <w:t>分类与项目的契合度等进行评分</w:t>
            </w:r>
            <w:r>
              <w:rPr>
                <w:rFonts w:hint="eastAsia"/>
                <w:color w:val="auto"/>
                <w:sz w:val="24"/>
                <w:szCs w:val="24"/>
                <w:highlight w:val="none"/>
                <w:lang w:eastAsia="zh-CN"/>
              </w:rPr>
              <w:t>，与本项目契合度好的得</w:t>
            </w:r>
            <w:r>
              <w:rPr>
                <w:rFonts w:hint="eastAsia"/>
                <w:color w:val="auto"/>
                <w:sz w:val="24"/>
                <w:szCs w:val="24"/>
                <w:highlight w:val="none"/>
                <w:lang w:val="en-US" w:eastAsia="zh-CN"/>
              </w:rPr>
              <w:t>4分，契合度较好的得3分，契合度一般的得2分，有瑕疵的得1分，无相关内容的</w:t>
            </w:r>
            <w:r>
              <w:rPr>
                <w:rFonts w:hint="eastAsia"/>
                <w:color w:val="auto"/>
                <w:sz w:val="24"/>
                <w:szCs w:val="24"/>
                <w:highlight w:val="none"/>
              </w:rPr>
              <w:t>不得分。</w:t>
            </w:r>
          </w:p>
          <w:p w14:paraId="0CBEDFB3">
            <w:pPr>
              <w:pStyle w:val="176"/>
              <w:keepNext w:val="0"/>
              <w:keepLines w:val="0"/>
              <w:pageBreakBefore w:val="0"/>
              <w:widowControl w:val="0"/>
              <w:kinsoku/>
              <w:wordWrap/>
              <w:overflowPunct/>
              <w:topLinePunct w:val="0"/>
              <w:autoSpaceDE/>
              <w:autoSpaceDN/>
              <w:bidi w:val="0"/>
              <w:adjustRightInd w:val="0"/>
              <w:spacing w:line="360" w:lineRule="auto"/>
              <w:ind w:firstLine="50" w:firstLineChars="21"/>
              <w:textAlignment w:val="auto"/>
              <w:rPr>
                <w:rFonts w:hint="eastAsia" w:ascii="宋体" w:hAnsi="宋体" w:eastAsia="宋体" w:cs="宋体"/>
                <w:color w:val="auto"/>
                <w:sz w:val="24"/>
                <w:szCs w:val="24"/>
                <w:highlight w:val="none"/>
              </w:rPr>
            </w:pPr>
            <w:r>
              <w:rPr>
                <w:color w:val="auto"/>
                <w:sz w:val="24"/>
                <w:szCs w:val="24"/>
                <w:highlight w:val="none"/>
              </w:rPr>
              <w:t>证明材料：提供相关专家的详细名单（至少包含姓名、</w:t>
            </w:r>
            <w:r>
              <w:rPr>
                <w:rFonts w:hint="eastAsia"/>
                <w:color w:val="auto"/>
                <w:sz w:val="24"/>
                <w:szCs w:val="24"/>
                <w:highlight w:val="none"/>
              </w:rPr>
              <w:t>职称</w:t>
            </w:r>
            <w:r>
              <w:rPr>
                <w:color w:val="auto"/>
                <w:sz w:val="24"/>
                <w:szCs w:val="24"/>
                <w:highlight w:val="none"/>
              </w:rPr>
              <w:t>、</w:t>
            </w:r>
            <w:r>
              <w:rPr>
                <w:rFonts w:hint="eastAsia"/>
                <w:color w:val="auto"/>
                <w:sz w:val="24"/>
                <w:szCs w:val="24"/>
                <w:highlight w:val="none"/>
              </w:rPr>
              <w:t>专业</w:t>
            </w:r>
            <w:r>
              <w:rPr>
                <w:color w:val="auto"/>
                <w:sz w:val="24"/>
                <w:szCs w:val="24"/>
                <w:highlight w:val="none"/>
              </w:rPr>
              <w:t>分类等信息）。</w:t>
            </w:r>
          </w:p>
        </w:tc>
        <w:tc>
          <w:tcPr>
            <w:tcW w:w="613" w:type="dxa"/>
            <w:tcBorders>
              <w:tl2br w:val="nil"/>
              <w:tr2bl w:val="nil"/>
            </w:tcBorders>
            <w:vAlign w:val="center"/>
          </w:tcPr>
          <w:p w14:paraId="3FB74B93">
            <w:pPr>
              <w:pStyle w:val="176"/>
              <w:keepNext w:val="0"/>
              <w:keepLines w:val="0"/>
              <w:pageBreakBefore w:val="0"/>
              <w:widowControl w:val="0"/>
              <w:kinsoku/>
              <w:wordWrap/>
              <w:overflowPunct/>
              <w:topLinePunct w:val="0"/>
              <w:autoSpaceDE/>
              <w:autoSpaceDN/>
              <w:bidi w:val="0"/>
              <w:adjustRightInd w:val="0"/>
              <w:spacing w:line="360" w:lineRule="auto"/>
              <w:ind w:firstLine="50" w:firstLineChars="21"/>
              <w:jc w:val="center"/>
              <w:textAlignment w:val="auto"/>
              <w:rPr>
                <w:rFonts w:hint="eastAsia" w:ascii="宋体" w:hAnsi="宋体" w:eastAsia="宋体" w:cs="宋体"/>
                <w:color w:val="auto"/>
                <w:sz w:val="24"/>
                <w:szCs w:val="24"/>
                <w:highlight w:val="none"/>
              </w:rPr>
            </w:pPr>
            <w:r>
              <w:rPr>
                <w:rFonts w:hint="eastAsia"/>
                <w:color w:val="auto"/>
                <w:sz w:val="24"/>
                <w:szCs w:val="24"/>
                <w:highlight w:val="none"/>
                <w:lang w:val="en-US" w:eastAsia="zh-CN"/>
              </w:rPr>
              <w:t>4</w:t>
            </w:r>
          </w:p>
        </w:tc>
        <w:tc>
          <w:tcPr>
            <w:tcW w:w="907" w:type="dxa"/>
            <w:tcBorders>
              <w:tl2br w:val="nil"/>
              <w:tr2bl w:val="nil"/>
            </w:tcBorders>
            <w:vAlign w:val="center"/>
          </w:tcPr>
          <w:p w14:paraId="05F029D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主观分</w:t>
            </w:r>
          </w:p>
        </w:tc>
        <w:tc>
          <w:tcPr>
            <w:tcW w:w="1117" w:type="dxa"/>
            <w:tcBorders>
              <w:tl2br w:val="nil"/>
              <w:tr2bl w:val="nil"/>
            </w:tcBorders>
            <w:vAlign w:val="center"/>
          </w:tcPr>
          <w:p w14:paraId="3FA3353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4"/>
                <w:szCs w:val="24"/>
                <w:highlight w:val="none"/>
              </w:rPr>
            </w:pPr>
          </w:p>
        </w:tc>
      </w:tr>
      <w:tr w14:paraId="49284A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tcBorders>
              <w:tl2br w:val="nil"/>
              <w:tr2bl w:val="nil"/>
            </w:tcBorders>
            <w:vAlign w:val="center"/>
          </w:tcPr>
          <w:p w14:paraId="69A7CF1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15</w:t>
            </w:r>
          </w:p>
        </w:tc>
        <w:tc>
          <w:tcPr>
            <w:tcW w:w="1214" w:type="dxa"/>
            <w:vMerge w:val="continue"/>
            <w:tcBorders>
              <w:tl2br w:val="nil"/>
              <w:tr2bl w:val="nil"/>
            </w:tcBorders>
            <w:vAlign w:val="center"/>
          </w:tcPr>
          <w:p w14:paraId="1FC6999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4"/>
                <w:szCs w:val="24"/>
                <w:highlight w:val="none"/>
              </w:rPr>
            </w:pPr>
          </w:p>
        </w:tc>
        <w:tc>
          <w:tcPr>
            <w:tcW w:w="5593" w:type="dxa"/>
            <w:tcBorders>
              <w:tl2br w:val="nil"/>
              <w:tr2bl w:val="nil"/>
            </w:tcBorders>
            <w:vAlign w:val="center"/>
          </w:tcPr>
          <w:p w14:paraId="4F813B2F">
            <w:pPr>
              <w:pStyle w:val="176"/>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color w:val="auto"/>
                <w:sz w:val="24"/>
                <w:szCs w:val="24"/>
                <w:highlight w:val="none"/>
              </w:rPr>
            </w:pPr>
            <w:r>
              <w:rPr>
                <w:rFonts w:hint="eastAsia"/>
                <w:color w:val="auto"/>
                <w:sz w:val="24"/>
                <w:szCs w:val="24"/>
                <w:highlight w:val="none"/>
              </w:rPr>
              <w:t>评审和</w:t>
            </w:r>
            <w:r>
              <w:rPr>
                <w:color w:val="auto"/>
                <w:sz w:val="24"/>
                <w:szCs w:val="24"/>
                <w:highlight w:val="none"/>
              </w:rPr>
              <w:t>评估专家</w:t>
            </w:r>
            <w:r>
              <w:rPr>
                <w:rFonts w:hint="eastAsia"/>
                <w:color w:val="auto"/>
                <w:sz w:val="24"/>
                <w:szCs w:val="24"/>
                <w:highlight w:val="none"/>
                <w:lang w:val="en-US" w:eastAsia="zh-CN"/>
              </w:rPr>
              <w:t>数量：</w:t>
            </w:r>
            <w:r>
              <w:rPr>
                <w:color w:val="auto"/>
                <w:sz w:val="24"/>
                <w:szCs w:val="24"/>
                <w:highlight w:val="none"/>
              </w:rPr>
              <w:t>能提供20名（含）专家以上的得5分，能提供15名（含）以上20以下的得3分，能提供10名（含）以上15以下的得1分，10</w:t>
            </w:r>
            <w:r>
              <w:rPr>
                <w:rFonts w:hint="eastAsia"/>
                <w:color w:val="auto"/>
                <w:sz w:val="24"/>
                <w:szCs w:val="24"/>
                <w:highlight w:val="none"/>
              </w:rPr>
              <w:t>名以下</w:t>
            </w:r>
            <w:r>
              <w:rPr>
                <w:color w:val="auto"/>
                <w:sz w:val="24"/>
                <w:szCs w:val="24"/>
                <w:highlight w:val="none"/>
              </w:rPr>
              <w:t>不得分。</w:t>
            </w:r>
          </w:p>
          <w:p w14:paraId="5AEB346D">
            <w:pPr>
              <w:pStyle w:val="176"/>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color w:val="auto"/>
                <w:sz w:val="24"/>
                <w:szCs w:val="24"/>
                <w:highlight w:val="none"/>
              </w:rPr>
              <w:t>说明：如提供专家情况不能满足本项目要求，此项不得分。</w:t>
            </w:r>
          </w:p>
        </w:tc>
        <w:tc>
          <w:tcPr>
            <w:tcW w:w="613" w:type="dxa"/>
            <w:tcBorders>
              <w:tl2br w:val="nil"/>
              <w:tr2bl w:val="nil"/>
            </w:tcBorders>
            <w:vAlign w:val="center"/>
          </w:tcPr>
          <w:p w14:paraId="0C3F2BC5">
            <w:pPr>
              <w:pStyle w:val="176"/>
              <w:keepNext w:val="0"/>
              <w:keepLines w:val="0"/>
              <w:pageBreakBefore w:val="0"/>
              <w:widowControl w:val="0"/>
              <w:kinsoku/>
              <w:wordWrap/>
              <w:overflowPunct/>
              <w:topLinePunct w:val="0"/>
              <w:autoSpaceDE/>
              <w:autoSpaceDN/>
              <w:bidi w:val="0"/>
              <w:adjustRightInd w:val="0"/>
              <w:spacing w:line="360" w:lineRule="auto"/>
              <w:ind w:firstLine="50" w:firstLineChars="21"/>
              <w:jc w:val="center"/>
              <w:textAlignment w:val="auto"/>
              <w:rPr>
                <w:rFonts w:hint="eastAsia" w:ascii="宋体" w:hAnsi="宋体" w:eastAsia="宋体" w:cs="宋体"/>
                <w:color w:val="auto"/>
                <w:sz w:val="24"/>
                <w:szCs w:val="24"/>
                <w:highlight w:val="none"/>
              </w:rPr>
            </w:pPr>
            <w:r>
              <w:rPr>
                <w:color w:val="auto"/>
                <w:sz w:val="24"/>
                <w:szCs w:val="24"/>
                <w:highlight w:val="none"/>
              </w:rPr>
              <w:t>5</w:t>
            </w:r>
          </w:p>
        </w:tc>
        <w:tc>
          <w:tcPr>
            <w:tcW w:w="907" w:type="dxa"/>
            <w:tcBorders>
              <w:tl2br w:val="nil"/>
              <w:tr2bl w:val="nil"/>
            </w:tcBorders>
            <w:vAlign w:val="center"/>
          </w:tcPr>
          <w:p w14:paraId="513FCA8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客观分</w:t>
            </w:r>
          </w:p>
        </w:tc>
        <w:tc>
          <w:tcPr>
            <w:tcW w:w="1117" w:type="dxa"/>
            <w:tcBorders>
              <w:tl2br w:val="nil"/>
              <w:tr2bl w:val="nil"/>
            </w:tcBorders>
            <w:vAlign w:val="center"/>
          </w:tcPr>
          <w:p w14:paraId="3CBBCD6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4"/>
                <w:szCs w:val="24"/>
                <w:highlight w:val="none"/>
              </w:rPr>
            </w:pPr>
          </w:p>
        </w:tc>
      </w:tr>
      <w:tr w14:paraId="43ADA6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tcBorders>
              <w:tl2br w:val="nil"/>
              <w:tr2bl w:val="nil"/>
            </w:tcBorders>
            <w:vAlign w:val="center"/>
          </w:tcPr>
          <w:p w14:paraId="45AFA2A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16</w:t>
            </w:r>
          </w:p>
        </w:tc>
        <w:tc>
          <w:tcPr>
            <w:tcW w:w="1214" w:type="dxa"/>
            <w:tcBorders>
              <w:tl2br w:val="nil"/>
              <w:tr2bl w:val="nil"/>
            </w:tcBorders>
            <w:vAlign w:val="center"/>
          </w:tcPr>
          <w:p w14:paraId="3ACA2A76">
            <w:pPr>
              <w:pStyle w:val="176"/>
              <w:keepNext w:val="0"/>
              <w:keepLines w:val="0"/>
              <w:pageBreakBefore w:val="0"/>
              <w:widowControl w:val="0"/>
              <w:kinsoku/>
              <w:wordWrap/>
              <w:overflowPunct/>
              <w:topLinePunct w:val="0"/>
              <w:autoSpaceDE/>
              <w:autoSpaceDN/>
              <w:bidi w:val="0"/>
              <w:adjustRightInd w:val="0"/>
              <w:spacing w:line="360" w:lineRule="auto"/>
              <w:ind w:firstLine="50" w:firstLineChars="21"/>
              <w:jc w:val="center"/>
              <w:textAlignment w:val="auto"/>
              <w:rPr>
                <w:rFonts w:hint="eastAsia" w:ascii="宋体" w:hAnsi="宋体" w:eastAsia="宋体" w:cs="宋体"/>
                <w:color w:val="auto"/>
                <w:sz w:val="24"/>
                <w:szCs w:val="24"/>
                <w:highlight w:val="none"/>
              </w:rPr>
            </w:pPr>
            <w:r>
              <w:rPr>
                <w:rFonts w:hint="eastAsia"/>
                <w:color w:val="auto"/>
                <w:sz w:val="24"/>
                <w:szCs w:val="24"/>
                <w:highlight w:val="none"/>
                <w:lang w:val="en-US" w:eastAsia="zh-CN"/>
              </w:rPr>
              <w:t>“未来工厂”</w:t>
            </w:r>
            <w:r>
              <w:rPr>
                <w:color w:val="auto"/>
                <w:sz w:val="24"/>
                <w:szCs w:val="24"/>
                <w:highlight w:val="none"/>
              </w:rPr>
              <w:t>授课师资力量</w:t>
            </w:r>
          </w:p>
        </w:tc>
        <w:tc>
          <w:tcPr>
            <w:tcW w:w="5593" w:type="dxa"/>
            <w:tcBorders>
              <w:tl2br w:val="nil"/>
              <w:tr2bl w:val="nil"/>
            </w:tcBorders>
            <w:vAlign w:val="center"/>
          </w:tcPr>
          <w:p w14:paraId="7D3FDFCE">
            <w:pPr>
              <w:pStyle w:val="176"/>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ascii="宋体" w:hAnsi="宋体" w:eastAsia="宋体" w:cs="宋体"/>
                <w:color w:val="auto"/>
                <w:sz w:val="24"/>
                <w:szCs w:val="24"/>
                <w:highlight w:val="none"/>
              </w:rPr>
            </w:pPr>
            <w:r>
              <w:rPr>
                <w:color w:val="auto"/>
                <w:sz w:val="24"/>
                <w:szCs w:val="24"/>
                <w:highlight w:val="none"/>
              </w:rPr>
              <w:t>授课老师为政府部门</w:t>
            </w:r>
            <w:r>
              <w:rPr>
                <w:rFonts w:hint="eastAsia"/>
                <w:color w:val="auto"/>
                <w:sz w:val="24"/>
                <w:szCs w:val="24"/>
                <w:highlight w:val="none"/>
                <w:lang w:val="en-US" w:eastAsia="zh-CN"/>
              </w:rPr>
              <w:t>人员</w:t>
            </w:r>
            <w:r>
              <w:rPr>
                <w:color w:val="auto"/>
                <w:sz w:val="24"/>
                <w:szCs w:val="24"/>
                <w:highlight w:val="none"/>
              </w:rPr>
              <w:t>、高校老师、企业家</w:t>
            </w:r>
            <w:r>
              <w:rPr>
                <w:rFonts w:hint="eastAsia"/>
                <w:color w:val="auto"/>
                <w:sz w:val="24"/>
                <w:szCs w:val="24"/>
                <w:highlight w:val="none"/>
                <w:lang w:eastAsia="zh-CN"/>
              </w:rPr>
              <w:t>，</w:t>
            </w:r>
            <w:r>
              <w:rPr>
                <w:color w:val="auto"/>
                <w:sz w:val="24"/>
                <w:szCs w:val="24"/>
                <w:highlight w:val="none"/>
              </w:rPr>
              <w:t>政府人员</w:t>
            </w:r>
            <w:r>
              <w:rPr>
                <w:rFonts w:hint="eastAsia"/>
                <w:color w:val="auto"/>
                <w:sz w:val="24"/>
                <w:szCs w:val="24"/>
                <w:highlight w:val="none"/>
                <w:lang w:eastAsia="zh-CN"/>
              </w:rPr>
              <w:t>（</w:t>
            </w:r>
            <w:r>
              <w:rPr>
                <w:color w:val="auto"/>
                <w:sz w:val="24"/>
                <w:szCs w:val="24"/>
                <w:highlight w:val="none"/>
              </w:rPr>
              <w:t>副厅级以上</w:t>
            </w:r>
            <w:r>
              <w:rPr>
                <w:rFonts w:hint="eastAsia"/>
                <w:color w:val="auto"/>
                <w:sz w:val="24"/>
                <w:szCs w:val="24"/>
                <w:highlight w:val="none"/>
                <w:lang w:eastAsia="zh-CN"/>
              </w:rPr>
              <w:t>）</w:t>
            </w:r>
            <w:r>
              <w:rPr>
                <w:rFonts w:hint="eastAsia"/>
                <w:color w:val="auto"/>
                <w:sz w:val="24"/>
                <w:szCs w:val="24"/>
                <w:highlight w:val="none"/>
                <w:lang w:val="en-US" w:eastAsia="zh-CN"/>
              </w:rPr>
              <w:t>或</w:t>
            </w:r>
            <w:r>
              <w:rPr>
                <w:color w:val="auto"/>
                <w:sz w:val="24"/>
                <w:szCs w:val="24"/>
                <w:highlight w:val="none"/>
              </w:rPr>
              <w:t>高校教授</w:t>
            </w:r>
            <w:r>
              <w:rPr>
                <w:rFonts w:hint="eastAsia"/>
                <w:color w:val="auto"/>
                <w:sz w:val="24"/>
                <w:szCs w:val="24"/>
                <w:highlight w:val="none"/>
                <w:lang w:val="en-US" w:eastAsia="zh-CN"/>
              </w:rPr>
              <w:t>或</w:t>
            </w:r>
            <w:r>
              <w:rPr>
                <w:color w:val="auto"/>
                <w:sz w:val="24"/>
                <w:szCs w:val="24"/>
                <w:highlight w:val="none"/>
              </w:rPr>
              <w:t>企业总经理</w:t>
            </w:r>
            <w:r>
              <w:rPr>
                <w:rFonts w:hint="eastAsia"/>
                <w:color w:val="auto"/>
                <w:sz w:val="24"/>
                <w:szCs w:val="24"/>
                <w:highlight w:val="none"/>
                <w:lang w:val="en-US" w:eastAsia="zh-CN"/>
              </w:rPr>
              <w:t>/</w:t>
            </w:r>
            <w:r>
              <w:rPr>
                <w:color w:val="auto"/>
                <w:sz w:val="24"/>
                <w:szCs w:val="24"/>
                <w:highlight w:val="none"/>
              </w:rPr>
              <w:t>董事长</w:t>
            </w:r>
            <w:r>
              <w:rPr>
                <w:rFonts w:hint="eastAsia"/>
                <w:color w:val="auto"/>
                <w:sz w:val="24"/>
                <w:szCs w:val="24"/>
                <w:highlight w:val="none"/>
                <w:lang w:val="en-US" w:eastAsia="zh-CN"/>
              </w:rPr>
              <w:t>,</w:t>
            </w:r>
            <w:r>
              <w:rPr>
                <w:color w:val="auto"/>
                <w:sz w:val="24"/>
                <w:szCs w:val="24"/>
                <w:highlight w:val="none"/>
              </w:rPr>
              <w:t>每人得2分；政府人员</w:t>
            </w:r>
            <w:r>
              <w:rPr>
                <w:rFonts w:hint="eastAsia"/>
                <w:color w:val="auto"/>
                <w:sz w:val="24"/>
                <w:szCs w:val="24"/>
                <w:highlight w:val="none"/>
                <w:lang w:eastAsia="zh-CN"/>
              </w:rPr>
              <w:t>（</w:t>
            </w:r>
            <w:r>
              <w:rPr>
                <w:color w:val="auto"/>
                <w:sz w:val="24"/>
                <w:szCs w:val="24"/>
                <w:highlight w:val="none"/>
              </w:rPr>
              <w:t>处级</w:t>
            </w:r>
            <w:r>
              <w:rPr>
                <w:rFonts w:hint="eastAsia"/>
                <w:color w:val="auto"/>
                <w:sz w:val="24"/>
                <w:szCs w:val="24"/>
                <w:highlight w:val="none"/>
                <w:lang w:eastAsia="zh-CN"/>
              </w:rPr>
              <w:t>）</w:t>
            </w:r>
            <w:r>
              <w:rPr>
                <w:rFonts w:hint="eastAsia"/>
                <w:color w:val="auto"/>
                <w:sz w:val="24"/>
                <w:szCs w:val="24"/>
                <w:highlight w:val="none"/>
                <w:lang w:val="en-US" w:eastAsia="zh-CN"/>
              </w:rPr>
              <w:t>或</w:t>
            </w:r>
            <w:r>
              <w:rPr>
                <w:color w:val="auto"/>
                <w:sz w:val="24"/>
                <w:szCs w:val="24"/>
                <w:highlight w:val="none"/>
              </w:rPr>
              <w:t>高校副教授</w:t>
            </w:r>
            <w:r>
              <w:rPr>
                <w:rFonts w:hint="eastAsia"/>
                <w:color w:val="auto"/>
                <w:sz w:val="24"/>
                <w:szCs w:val="24"/>
                <w:highlight w:val="none"/>
                <w:lang w:val="en-US" w:eastAsia="zh-CN"/>
              </w:rPr>
              <w:t>或</w:t>
            </w:r>
            <w:r>
              <w:rPr>
                <w:color w:val="auto"/>
                <w:sz w:val="24"/>
                <w:szCs w:val="24"/>
                <w:highlight w:val="none"/>
              </w:rPr>
              <w:t>企业其他高管</w:t>
            </w:r>
            <w:r>
              <w:rPr>
                <w:rFonts w:hint="eastAsia"/>
                <w:color w:val="auto"/>
                <w:sz w:val="24"/>
                <w:szCs w:val="24"/>
                <w:highlight w:val="none"/>
                <w:lang w:eastAsia="zh-CN"/>
              </w:rPr>
              <w:t>，</w:t>
            </w:r>
            <w:r>
              <w:rPr>
                <w:color w:val="auto"/>
                <w:sz w:val="24"/>
                <w:szCs w:val="24"/>
                <w:highlight w:val="none"/>
              </w:rPr>
              <w:t>每人得1分</w:t>
            </w:r>
            <w:r>
              <w:rPr>
                <w:rFonts w:hint="eastAsia"/>
                <w:color w:val="auto"/>
                <w:sz w:val="24"/>
                <w:szCs w:val="24"/>
                <w:highlight w:val="none"/>
                <w:lang w:eastAsia="zh-CN"/>
              </w:rPr>
              <w:t>，</w:t>
            </w:r>
            <w:r>
              <w:rPr>
                <w:rFonts w:hint="eastAsia"/>
                <w:color w:val="auto"/>
                <w:sz w:val="24"/>
                <w:szCs w:val="24"/>
                <w:highlight w:val="none"/>
                <w:lang w:val="en-US" w:eastAsia="zh-CN"/>
              </w:rPr>
              <w:t>本项</w:t>
            </w:r>
            <w:r>
              <w:rPr>
                <w:color w:val="auto"/>
                <w:sz w:val="24"/>
                <w:szCs w:val="24"/>
                <w:highlight w:val="none"/>
              </w:rPr>
              <w:t>最高</w:t>
            </w:r>
            <w:r>
              <w:rPr>
                <w:rFonts w:hint="eastAsia"/>
                <w:color w:val="auto"/>
                <w:sz w:val="24"/>
                <w:szCs w:val="24"/>
                <w:highlight w:val="none"/>
                <w:lang w:val="en-US" w:eastAsia="zh-CN"/>
              </w:rPr>
              <w:t>得5分</w:t>
            </w:r>
            <w:r>
              <w:rPr>
                <w:color w:val="auto"/>
                <w:sz w:val="24"/>
                <w:szCs w:val="24"/>
                <w:highlight w:val="none"/>
              </w:rPr>
              <w:t>。</w:t>
            </w:r>
            <w:r>
              <w:rPr>
                <w:rFonts w:hint="eastAsia"/>
                <w:color w:val="auto"/>
                <w:sz w:val="24"/>
                <w:szCs w:val="24"/>
                <w:highlight w:val="none"/>
              </w:rPr>
              <w:t>（提供授课老师的</w:t>
            </w:r>
            <w:r>
              <w:rPr>
                <w:rFonts w:hint="eastAsia"/>
                <w:color w:val="auto"/>
                <w:sz w:val="24"/>
                <w:szCs w:val="24"/>
                <w:highlight w:val="none"/>
                <w:lang w:val="en-US" w:eastAsia="zh-CN"/>
              </w:rPr>
              <w:t>职务或职称或任职</w:t>
            </w:r>
            <w:r>
              <w:rPr>
                <w:rFonts w:hint="eastAsia"/>
                <w:color w:val="auto"/>
                <w:sz w:val="24"/>
                <w:szCs w:val="24"/>
                <w:highlight w:val="none"/>
              </w:rPr>
              <w:t>相关证明）</w:t>
            </w:r>
          </w:p>
        </w:tc>
        <w:tc>
          <w:tcPr>
            <w:tcW w:w="613" w:type="dxa"/>
            <w:tcBorders>
              <w:tl2br w:val="nil"/>
              <w:tr2bl w:val="nil"/>
            </w:tcBorders>
            <w:vAlign w:val="center"/>
          </w:tcPr>
          <w:p w14:paraId="47BD8370">
            <w:pPr>
              <w:pStyle w:val="176"/>
              <w:keepNext w:val="0"/>
              <w:keepLines w:val="0"/>
              <w:pageBreakBefore w:val="0"/>
              <w:widowControl w:val="0"/>
              <w:kinsoku/>
              <w:wordWrap/>
              <w:overflowPunct/>
              <w:topLinePunct w:val="0"/>
              <w:autoSpaceDE/>
              <w:autoSpaceDN/>
              <w:bidi w:val="0"/>
              <w:adjustRightInd w:val="0"/>
              <w:spacing w:line="360" w:lineRule="auto"/>
              <w:ind w:firstLine="50" w:firstLineChars="21"/>
              <w:jc w:val="center"/>
              <w:textAlignment w:val="auto"/>
              <w:rPr>
                <w:rFonts w:hint="eastAsia" w:ascii="宋体" w:hAnsi="宋体" w:eastAsia="宋体" w:cs="宋体"/>
                <w:color w:val="auto"/>
                <w:sz w:val="24"/>
                <w:szCs w:val="24"/>
                <w:highlight w:val="none"/>
              </w:rPr>
            </w:pPr>
            <w:r>
              <w:rPr>
                <w:rFonts w:hint="eastAsia"/>
                <w:color w:val="auto"/>
                <w:sz w:val="24"/>
                <w:szCs w:val="24"/>
                <w:highlight w:val="none"/>
                <w:lang w:val="en-US" w:eastAsia="zh-CN"/>
              </w:rPr>
              <w:t>5</w:t>
            </w:r>
          </w:p>
        </w:tc>
        <w:tc>
          <w:tcPr>
            <w:tcW w:w="907" w:type="dxa"/>
            <w:tcBorders>
              <w:tl2br w:val="nil"/>
              <w:tr2bl w:val="nil"/>
            </w:tcBorders>
            <w:vAlign w:val="center"/>
          </w:tcPr>
          <w:p w14:paraId="7CD264E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客观分</w:t>
            </w:r>
          </w:p>
        </w:tc>
        <w:tc>
          <w:tcPr>
            <w:tcW w:w="1117" w:type="dxa"/>
            <w:tcBorders>
              <w:tl2br w:val="nil"/>
              <w:tr2bl w:val="nil"/>
            </w:tcBorders>
            <w:vAlign w:val="center"/>
          </w:tcPr>
          <w:p w14:paraId="1769CA1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4"/>
                <w:szCs w:val="24"/>
                <w:highlight w:val="none"/>
              </w:rPr>
            </w:pPr>
          </w:p>
        </w:tc>
      </w:tr>
      <w:tr w14:paraId="2901E5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tcBorders>
              <w:tl2br w:val="nil"/>
              <w:tr2bl w:val="nil"/>
            </w:tcBorders>
            <w:vAlign w:val="center"/>
          </w:tcPr>
          <w:p w14:paraId="535E1AB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17</w:t>
            </w:r>
          </w:p>
        </w:tc>
        <w:tc>
          <w:tcPr>
            <w:tcW w:w="1214" w:type="dxa"/>
            <w:vMerge w:val="restart"/>
            <w:tcBorders>
              <w:tl2br w:val="nil"/>
              <w:tr2bl w:val="nil"/>
            </w:tcBorders>
            <w:vAlign w:val="center"/>
          </w:tcPr>
          <w:p w14:paraId="12B0FB4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4"/>
                <w:szCs w:val="24"/>
                <w:highlight w:val="none"/>
              </w:rPr>
            </w:pPr>
            <w:r>
              <w:rPr>
                <w:color w:val="auto"/>
                <w:sz w:val="24"/>
                <w:szCs w:val="24"/>
                <w:highlight w:val="none"/>
              </w:rPr>
              <w:t>针对本项目服务团队人员实力</w:t>
            </w:r>
          </w:p>
        </w:tc>
        <w:tc>
          <w:tcPr>
            <w:tcW w:w="5593" w:type="dxa"/>
            <w:tcBorders>
              <w:tl2br w:val="nil"/>
              <w:tr2bl w:val="nil"/>
            </w:tcBorders>
            <w:vAlign w:val="center"/>
          </w:tcPr>
          <w:p w14:paraId="3496DFE8">
            <w:pPr>
              <w:pStyle w:val="176"/>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cs="Times New Roman"/>
                <w:color w:val="auto"/>
                <w:sz w:val="24"/>
                <w:szCs w:val="24"/>
                <w:highlight w:val="none"/>
                <w:lang w:eastAsia="zh-CN"/>
              </w:rPr>
            </w:pPr>
            <w:r>
              <w:rPr>
                <w:rFonts w:hint="eastAsia"/>
                <w:color w:val="auto"/>
                <w:sz w:val="24"/>
                <w:szCs w:val="24"/>
                <w:highlight w:val="none"/>
                <w:lang w:val="en-US" w:eastAsia="zh-CN"/>
              </w:rPr>
              <w:t>1）</w:t>
            </w:r>
            <w:r>
              <w:rPr>
                <w:rFonts w:cs="Times New Roman"/>
                <w:color w:val="auto"/>
                <w:sz w:val="24"/>
                <w:szCs w:val="24"/>
                <w:highlight w:val="none"/>
              </w:rPr>
              <w:t>项目负责人具有</w:t>
            </w:r>
            <w:r>
              <w:rPr>
                <w:rFonts w:hint="eastAsia" w:ascii="宋体" w:hAnsi="宋体" w:eastAsia="宋体" w:cs="宋体"/>
                <w:color w:val="auto"/>
                <w:kern w:val="0"/>
                <w:sz w:val="24"/>
                <w:highlight w:val="none"/>
              </w:rPr>
              <w:t>电子信息类、机械类及</w:t>
            </w:r>
            <w:r>
              <w:rPr>
                <w:rFonts w:hint="eastAsia" w:ascii="宋体" w:hAnsi="宋体" w:eastAsia="宋体" w:cs="宋体"/>
                <w:color w:val="auto"/>
                <w:kern w:val="0"/>
                <w:sz w:val="24"/>
                <w:highlight w:val="none"/>
                <w:lang w:val="en-US" w:eastAsia="zh-CN"/>
              </w:rPr>
              <w:t>其他相关</w:t>
            </w:r>
            <w:r>
              <w:rPr>
                <w:rFonts w:hint="eastAsia" w:ascii="宋体" w:hAnsi="宋体" w:eastAsia="宋体" w:cs="宋体"/>
                <w:color w:val="auto"/>
                <w:kern w:val="0"/>
                <w:sz w:val="24"/>
                <w:highlight w:val="none"/>
              </w:rPr>
              <w:t>工程</w:t>
            </w:r>
            <w:r>
              <w:rPr>
                <w:rFonts w:hint="eastAsia" w:ascii="宋体" w:hAnsi="宋体" w:eastAsia="宋体" w:cs="宋体"/>
                <w:color w:val="auto"/>
                <w:kern w:val="0"/>
                <w:sz w:val="24"/>
                <w:highlight w:val="none"/>
                <w:lang w:val="en-US" w:eastAsia="zh-CN"/>
              </w:rPr>
              <w:t>类</w:t>
            </w:r>
            <w:r>
              <w:rPr>
                <w:rFonts w:hint="eastAsia" w:ascii="宋体" w:hAnsi="宋体" w:eastAsia="宋体" w:cs="宋体"/>
                <w:color w:val="auto"/>
                <w:kern w:val="0"/>
                <w:sz w:val="24"/>
                <w:highlight w:val="none"/>
              </w:rPr>
              <w:t>专业</w:t>
            </w:r>
            <w:r>
              <w:rPr>
                <w:rFonts w:hint="eastAsia" w:cs="宋体"/>
                <w:color w:val="auto"/>
                <w:kern w:val="0"/>
                <w:sz w:val="24"/>
                <w:highlight w:val="none"/>
                <w:lang w:eastAsia="zh-CN"/>
              </w:rPr>
              <w:t>的</w:t>
            </w:r>
            <w:r>
              <w:rPr>
                <w:rFonts w:cs="Times New Roman"/>
                <w:color w:val="auto"/>
                <w:sz w:val="24"/>
                <w:szCs w:val="24"/>
                <w:highlight w:val="none"/>
              </w:rPr>
              <w:t>博士及以上学历的得2分，硕士学历的得1分，其他不得分</w:t>
            </w:r>
            <w:r>
              <w:rPr>
                <w:rFonts w:hint="eastAsia" w:cs="Times New Roman"/>
                <w:color w:val="auto"/>
                <w:sz w:val="24"/>
                <w:szCs w:val="24"/>
                <w:highlight w:val="none"/>
                <w:lang w:eastAsia="zh-CN"/>
              </w:rPr>
              <w:t>。</w:t>
            </w:r>
            <w:r>
              <w:rPr>
                <w:rFonts w:cs="Times New Roman"/>
                <w:color w:val="auto"/>
                <w:sz w:val="24"/>
                <w:szCs w:val="24"/>
                <w:highlight w:val="none"/>
              </w:rPr>
              <w:t>（</w:t>
            </w:r>
            <w:r>
              <w:rPr>
                <w:rFonts w:hint="eastAsia" w:cs="Times New Roman"/>
                <w:color w:val="auto"/>
                <w:sz w:val="24"/>
                <w:szCs w:val="24"/>
                <w:highlight w:val="none"/>
                <w:lang w:eastAsia="zh-CN"/>
              </w:rPr>
              <w:t>需</w:t>
            </w:r>
            <w:r>
              <w:rPr>
                <w:rFonts w:cs="Times New Roman"/>
                <w:color w:val="auto"/>
                <w:sz w:val="24"/>
                <w:szCs w:val="24"/>
                <w:highlight w:val="none"/>
              </w:rPr>
              <w:t>提供学历证书复</w:t>
            </w:r>
            <w:r>
              <w:rPr>
                <w:rFonts w:hint="eastAsia" w:cs="Times New Roman"/>
                <w:color w:val="auto"/>
                <w:sz w:val="24"/>
                <w:szCs w:val="24"/>
                <w:highlight w:val="none"/>
                <w:lang w:eastAsia="zh-CN"/>
              </w:rPr>
              <w:t>扫描件以及</w:t>
            </w:r>
            <w:r>
              <w:rPr>
                <w:rFonts w:hint="eastAsia" w:cs="Times New Roman"/>
                <w:color w:val="auto"/>
                <w:sz w:val="24"/>
                <w:szCs w:val="24"/>
                <w:highlight w:val="none"/>
              </w:rPr>
              <w:t>近半年内任意一个时间点在本单位的</w:t>
            </w:r>
            <w:r>
              <w:rPr>
                <w:rFonts w:hint="eastAsia" w:cs="Times New Roman"/>
                <w:color w:val="auto"/>
                <w:sz w:val="24"/>
                <w:szCs w:val="24"/>
                <w:highlight w:val="none"/>
                <w:lang w:eastAsia="zh-CN"/>
              </w:rPr>
              <w:t>社保</w:t>
            </w:r>
            <w:r>
              <w:rPr>
                <w:rFonts w:hint="eastAsia" w:cs="Times New Roman"/>
                <w:color w:val="auto"/>
                <w:sz w:val="24"/>
                <w:szCs w:val="24"/>
                <w:highlight w:val="none"/>
              </w:rPr>
              <w:t>缴纳证明扫描件并加盖投标人公章</w:t>
            </w:r>
            <w:r>
              <w:rPr>
                <w:rFonts w:hint="eastAsia" w:cs="Times New Roman"/>
                <w:color w:val="auto"/>
                <w:sz w:val="24"/>
                <w:szCs w:val="24"/>
                <w:highlight w:val="none"/>
                <w:lang w:eastAsia="zh-CN"/>
              </w:rPr>
              <w:t>。</w:t>
            </w:r>
            <w:r>
              <w:rPr>
                <w:rFonts w:cs="Times New Roman"/>
                <w:color w:val="auto"/>
                <w:sz w:val="24"/>
                <w:szCs w:val="24"/>
                <w:highlight w:val="none"/>
              </w:rPr>
              <w:t>）</w:t>
            </w:r>
          </w:p>
          <w:p w14:paraId="4E9AEDD5">
            <w:pPr>
              <w:pStyle w:val="176"/>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default"/>
                <w:color w:val="auto"/>
                <w:sz w:val="24"/>
                <w:szCs w:val="24"/>
                <w:highlight w:val="none"/>
                <w:lang w:val="en-US" w:eastAsia="zh-CN"/>
              </w:rPr>
            </w:pPr>
            <w:r>
              <w:rPr>
                <w:rFonts w:hint="eastAsia" w:cs="Times New Roman"/>
                <w:color w:val="auto"/>
                <w:sz w:val="24"/>
                <w:szCs w:val="24"/>
                <w:highlight w:val="none"/>
                <w:lang w:val="en-US" w:eastAsia="zh-CN"/>
              </w:rPr>
              <w:t>2）</w:t>
            </w:r>
            <w:r>
              <w:rPr>
                <w:rFonts w:cs="Times New Roman"/>
                <w:color w:val="auto"/>
                <w:sz w:val="24"/>
                <w:szCs w:val="24"/>
                <w:highlight w:val="none"/>
              </w:rPr>
              <w:t>项目负责人为</w:t>
            </w:r>
            <w:r>
              <w:rPr>
                <w:rFonts w:hint="eastAsia" w:cs="Times New Roman"/>
                <w:color w:val="auto"/>
                <w:sz w:val="24"/>
                <w:szCs w:val="24"/>
                <w:highlight w:val="none"/>
              </w:rPr>
              <w:t>供应商</w:t>
            </w:r>
            <w:r>
              <w:rPr>
                <w:rFonts w:cs="Times New Roman"/>
                <w:color w:val="auto"/>
                <w:sz w:val="24"/>
                <w:szCs w:val="24"/>
                <w:highlight w:val="none"/>
              </w:rPr>
              <w:t>在职员工或长期聘任人员的得2分，否则不得分（须提供</w:t>
            </w:r>
            <w:r>
              <w:rPr>
                <w:rFonts w:hint="eastAsia" w:cs="Times New Roman"/>
                <w:color w:val="auto"/>
                <w:sz w:val="24"/>
                <w:szCs w:val="24"/>
                <w:highlight w:val="none"/>
              </w:rPr>
              <w:t>近半年内任意一个时间点在本单位的</w:t>
            </w:r>
            <w:r>
              <w:rPr>
                <w:rFonts w:hint="eastAsia" w:cs="Times New Roman"/>
                <w:color w:val="auto"/>
                <w:sz w:val="24"/>
                <w:szCs w:val="24"/>
                <w:highlight w:val="none"/>
                <w:lang w:eastAsia="zh-CN"/>
              </w:rPr>
              <w:t>社保</w:t>
            </w:r>
            <w:r>
              <w:rPr>
                <w:rFonts w:hint="eastAsia" w:cs="Times New Roman"/>
                <w:color w:val="auto"/>
                <w:sz w:val="24"/>
                <w:szCs w:val="24"/>
                <w:highlight w:val="none"/>
              </w:rPr>
              <w:t>缴纳证明扫描件</w:t>
            </w:r>
            <w:r>
              <w:rPr>
                <w:rFonts w:cs="Times New Roman"/>
                <w:color w:val="auto"/>
                <w:sz w:val="24"/>
                <w:szCs w:val="24"/>
                <w:highlight w:val="none"/>
              </w:rPr>
              <w:t>或长期聘任合同）</w:t>
            </w:r>
            <w:r>
              <w:rPr>
                <w:rFonts w:hint="eastAsia" w:cs="Times New Roman"/>
                <w:color w:val="auto"/>
                <w:sz w:val="24"/>
                <w:szCs w:val="24"/>
                <w:highlight w:val="none"/>
                <w:lang w:eastAsia="zh-CN"/>
              </w:rPr>
              <w:t>。</w:t>
            </w:r>
          </w:p>
        </w:tc>
        <w:tc>
          <w:tcPr>
            <w:tcW w:w="613" w:type="dxa"/>
            <w:tcBorders>
              <w:tl2br w:val="nil"/>
              <w:tr2bl w:val="nil"/>
            </w:tcBorders>
            <w:vAlign w:val="center"/>
          </w:tcPr>
          <w:p w14:paraId="16DA4549">
            <w:pPr>
              <w:pStyle w:val="176"/>
              <w:keepNext w:val="0"/>
              <w:keepLines w:val="0"/>
              <w:pageBreakBefore w:val="0"/>
              <w:widowControl w:val="0"/>
              <w:kinsoku/>
              <w:wordWrap/>
              <w:overflowPunct/>
              <w:topLinePunct w:val="0"/>
              <w:autoSpaceDE/>
              <w:autoSpaceDN/>
              <w:bidi w:val="0"/>
              <w:adjustRightInd w:val="0"/>
              <w:spacing w:line="360" w:lineRule="auto"/>
              <w:ind w:firstLine="50" w:firstLineChars="21"/>
              <w:jc w:val="center"/>
              <w:textAlignment w:val="auto"/>
              <w:rPr>
                <w:rFonts w:hint="eastAsia" w:ascii="宋体" w:hAnsi="宋体" w:eastAsia="宋体" w:cs="宋体"/>
                <w:color w:val="auto"/>
                <w:sz w:val="24"/>
                <w:szCs w:val="24"/>
                <w:highlight w:val="none"/>
              </w:rPr>
            </w:pPr>
            <w:r>
              <w:rPr>
                <w:rFonts w:hint="eastAsia"/>
                <w:color w:val="auto"/>
                <w:sz w:val="24"/>
                <w:szCs w:val="24"/>
                <w:highlight w:val="none"/>
                <w:lang w:val="en-US" w:eastAsia="zh-CN"/>
              </w:rPr>
              <w:t>4</w:t>
            </w:r>
          </w:p>
        </w:tc>
        <w:tc>
          <w:tcPr>
            <w:tcW w:w="907" w:type="dxa"/>
            <w:tcBorders>
              <w:tl2br w:val="nil"/>
              <w:tr2bl w:val="nil"/>
            </w:tcBorders>
            <w:vAlign w:val="center"/>
          </w:tcPr>
          <w:p w14:paraId="29607D6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客观分</w:t>
            </w:r>
          </w:p>
        </w:tc>
        <w:tc>
          <w:tcPr>
            <w:tcW w:w="1117" w:type="dxa"/>
            <w:tcBorders>
              <w:tl2br w:val="nil"/>
              <w:tr2bl w:val="nil"/>
            </w:tcBorders>
            <w:vAlign w:val="center"/>
          </w:tcPr>
          <w:p w14:paraId="3E3E743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4"/>
                <w:szCs w:val="24"/>
                <w:highlight w:val="none"/>
              </w:rPr>
            </w:pPr>
          </w:p>
        </w:tc>
      </w:tr>
      <w:tr w14:paraId="1635CA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tcBorders>
              <w:tl2br w:val="nil"/>
              <w:tr2bl w:val="nil"/>
            </w:tcBorders>
            <w:vAlign w:val="center"/>
          </w:tcPr>
          <w:p w14:paraId="783A208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18</w:t>
            </w:r>
          </w:p>
        </w:tc>
        <w:tc>
          <w:tcPr>
            <w:tcW w:w="1214" w:type="dxa"/>
            <w:vMerge w:val="continue"/>
            <w:tcBorders>
              <w:tl2br w:val="nil"/>
              <w:tr2bl w:val="nil"/>
            </w:tcBorders>
            <w:vAlign w:val="center"/>
          </w:tcPr>
          <w:p w14:paraId="41F769B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4"/>
                <w:szCs w:val="24"/>
                <w:highlight w:val="none"/>
              </w:rPr>
            </w:pPr>
          </w:p>
        </w:tc>
        <w:tc>
          <w:tcPr>
            <w:tcW w:w="5593" w:type="dxa"/>
            <w:tcBorders>
              <w:tl2br w:val="nil"/>
              <w:tr2bl w:val="nil"/>
            </w:tcBorders>
            <w:vAlign w:val="center"/>
          </w:tcPr>
          <w:p w14:paraId="5E5B2F01">
            <w:pPr>
              <w:pStyle w:val="176"/>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color w:val="auto"/>
                <w:sz w:val="24"/>
                <w:szCs w:val="24"/>
                <w:highlight w:val="none"/>
              </w:rPr>
            </w:pPr>
            <w:r>
              <w:rPr>
                <w:rFonts w:hint="eastAsia"/>
                <w:color w:val="auto"/>
                <w:sz w:val="24"/>
                <w:szCs w:val="24"/>
                <w:highlight w:val="none"/>
                <w:lang w:val="en-US" w:eastAsia="zh-CN"/>
              </w:rPr>
              <w:t>团队成员（含项目负责人）：</w:t>
            </w:r>
          </w:p>
          <w:p w14:paraId="228C9211">
            <w:pPr>
              <w:pStyle w:val="176"/>
              <w:keepNext w:val="0"/>
              <w:keepLines w:val="0"/>
              <w:pageBreakBefore w:val="0"/>
              <w:widowControl w:val="0"/>
              <w:kinsoku/>
              <w:wordWrap/>
              <w:overflowPunct/>
              <w:topLinePunct w:val="0"/>
              <w:autoSpaceDE/>
              <w:autoSpaceDN/>
              <w:bidi w:val="0"/>
              <w:adjustRightInd w:val="0"/>
              <w:spacing w:line="360" w:lineRule="auto"/>
              <w:textAlignment w:val="auto"/>
              <w:rPr>
                <w:rFonts w:hint="eastAsia"/>
                <w:color w:val="auto"/>
                <w:sz w:val="24"/>
                <w:szCs w:val="24"/>
                <w:highlight w:val="none"/>
              </w:rPr>
            </w:pPr>
            <w:r>
              <w:rPr>
                <w:rFonts w:hint="eastAsia"/>
                <w:color w:val="auto"/>
                <w:sz w:val="24"/>
                <w:szCs w:val="24"/>
                <w:highlight w:val="none"/>
                <w:lang w:val="en-US" w:eastAsia="zh-CN"/>
              </w:rPr>
              <w:t>1）</w:t>
            </w:r>
            <w:r>
              <w:rPr>
                <w:color w:val="auto"/>
                <w:sz w:val="24"/>
                <w:szCs w:val="24"/>
                <w:highlight w:val="none"/>
              </w:rPr>
              <w:t>供应商针对本项目投入的服务团队组织架构合理，</w:t>
            </w:r>
            <w:r>
              <w:rPr>
                <w:rFonts w:hint="eastAsia"/>
                <w:color w:val="auto"/>
                <w:sz w:val="24"/>
                <w:szCs w:val="24"/>
                <w:highlight w:val="none"/>
              </w:rPr>
              <w:t>人员数量充足（至少</w:t>
            </w:r>
            <w:r>
              <w:rPr>
                <w:color w:val="auto"/>
                <w:sz w:val="24"/>
                <w:szCs w:val="24"/>
                <w:highlight w:val="none"/>
              </w:rPr>
              <w:t>6</w:t>
            </w:r>
            <w:r>
              <w:rPr>
                <w:rFonts w:hint="eastAsia"/>
                <w:color w:val="auto"/>
                <w:sz w:val="24"/>
                <w:szCs w:val="24"/>
                <w:highlight w:val="none"/>
              </w:rPr>
              <w:t>人以上），团队人员均为硕士</w:t>
            </w:r>
            <w:r>
              <w:rPr>
                <w:rFonts w:hint="eastAsia"/>
                <w:color w:val="auto"/>
                <w:sz w:val="24"/>
                <w:szCs w:val="24"/>
                <w:highlight w:val="none"/>
                <w:lang w:val="en-US" w:eastAsia="zh-CN"/>
              </w:rPr>
              <w:t>（含）</w:t>
            </w:r>
            <w:r>
              <w:rPr>
                <w:rFonts w:hint="eastAsia"/>
                <w:color w:val="auto"/>
                <w:sz w:val="24"/>
                <w:szCs w:val="24"/>
                <w:highlight w:val="none"/>
              </w:rPr>
              <w:t>以上学历得2分</w:t>
            </w:r>
            <w:r>
              <w:rPr>
                <w:rFonts w:hint="eastAsia"/>
                <w:color w:val="auto"/>
                <w:sz w:val="24"/>
                <w:szCs w:val="24"/>
                <w:highlight w:val="none"/>
                <w:lang w:eastAsia="zh-CN"/>
              </w:rPr>
              <w:t>；</w:t>
            </w:r>
            <w:r>
              <w:rPr>
                <w:rFonts w:hint="eastAsia"/>
                <w:color w:val="auto"/>
                <w:sz w:val="24"/>
                <w:szCs w:val="24"/>
                <w:highlight w:val="none"/>
              </w:rPr>
              <w:t>人员数量充足（至少</w:t>
            </w:r>
            <w:r>
              <w:rPr>
                <w:color w:val="auto"/>
                <w:sz w:val="24"/>
                <w:szCs w:val="24"/>
                <w:highlight w:val="none"/>
              </w:rPr>
              <w:t>6</w:t>
            </w:r>
            <w:r>
              <w:rPr>
                <w:rFonts w:hint="eastAsia"/>
                <w:color w:val="auto"/>
                <w:sz w:val="24"/>
                <w:szCs w:val="24"/>
                <w:highlight w:val="none"/>
              </w:rPr>
              <w:t>人以上）</w:t>
            </w:r>
            <w:r>
              <w:rPr>
                <w:rFonts w:hint="eastAsia"/>
                <w:color w:val="auto"/>
                <w:sz w:val="24"/>
                <w:szCs w:val="24"/>
                <w:highlight w:val="none"/>
                <w:lang w:eastAsia="zh-CN"/>
              </w:rPr>
              <w:t>，</w:t>
            </w:r>
            <w:r>
              <w:rPr>
                <w:rFonts w:hint="eastAsia"/>
                <w:color w:val="auto"/>
                <w:sz w:val="24"/>
                <w:szCs w:val="24"/>
                <w:highlight w:val="none"/>
              </w:rPr>
              <w:t>团队人员5</w:t>
            </w:r>
            <w:r>
              <w:rPr>
                <w:color w:val="auto"/>
                <w:sz w:val="24"/>
                <w:szCs w:val="24"/>
                <w:highlight w:val="none"/>
              </w:rPr>
              <w:t>0</w:t>
            </w:r>
            <w:r>
              <w:rPr>
                <w:rFonts w:hint="eastAsia"/>
                <w:color w:val="auto"/>
                <w:sz w:val="24"/>
                <w:szCs w:val="24"/>
                <w:highlight w:val="none"/>
              </w:rPr>
              <w:t>%及以上</w:t>
            </w:r>
            <w:r>
              <w:rPr>
                <w:rFonts w:hint="eastAsia"/>
                <w:color w:val="auto"/>
                <w:sz w:val="24"/>
                <w:szCs w:val="24"/>
                <w:highlight w:val="none"/>
                <w:lang w:val="en-US" w:eastAsia="zh-CN"/>
              </w:rPr>
              <w:t>硕士（含）</w:t>
            </w:r>
            <w:r>
              <w:rPr>
                <w:rFonts w:hint="eastAsia"/>
                <w:color w:val="auto"/>
                <w:sz w:val="24"/>
                <w:szCs w:val="24"/>
                <w:highlight w:val="none"/>
              </w:rPr>
              <w:t>以上学历</w:t>
            </w:r>
            <w:r>
              <w:rPr>
                <w:rFonts w:hint="eastAsia"/>
                <w:color w:val="auto"/>
                <w:sz w:val="24"/>
                <w:szCs w:val="24"/>
                <w:highlight w:val="none"/>
                <w:lang w:val="en-US" w:eastAsia="zh-CN"/>
              </w:rPr>
              <w:t>得</w:t>
            </w:r>
            <w:r>
              <w:rPr>
                <w:rFonts w:hint="eastAsia"/>
                <w:color w:val="auto"/>
                <w:sz w:val="24"/>
                <w:szCs w:val="24"/>
                <w:highlight w:val="none"/>
              </w:rPr>
              <w:t>1分</w:t>
            </w:r>
            <w:r>
              <w:rPr>
                <w:rFonts w:hint="eastAsia"/>
                <w:color w:val="auto"/>
                <w:sz w:val="24"/>
                <w:szCs w:val="24"/>
                <w:highlight w:val="none"/>
                <w:lang w:eastAsia="zh-CN"/>
              </w:rPr>
              <w:t>；</w:t>
            </w:r>
            <w:r>
              <w:rPr>
                <w:rFonts w:hint="eastAsia"/>
                <w:color w:val="auto"/>
                <w:sz w:val="24"/>
                <w:szCs w:val="24"/>
                <w:highlight w:val="none"/>
              </w:rPr>
              <w:t>人员数量充足（至少</w:t>
            </w:r>
            <w:r>
              <w:rPr>
                <w:color w:val="auto"/>
                <w:sz w:val="24"/>
                <w:szCs w:val="24"/>
                <w:highlight w:val="none"/>
              </w:rPr>
              <w:t>6</w:t>
            </w:r>
            <w:r>
              <w:rPr>
                <w:rFonts w:hint="eastAsia"/>
                <w:color w:val="auto"/>
                <w:sz w:val="24"/>
                <w:szCs w:val="24"/>
                <w:highlight w:val="none"/>
              </w:rPr>
              <w:t>人以上）</w:t>
            </w:r>
            <w:r>
              <w:rPr>
                <w:rFonts w:hint="eastAsia"/>
                <w:color w:val="auto"/>
                <w:sz w:val="24"/>
                <w:szCs w:val="24"/>
                <w:highlight w:val="none"/>
                <w:lang w:eastAsia="zh-CN"/>
              </w:rPr>
              <w:t>，</w:t>
            </w:r>
            <w:r>
              <w:rPr>
                <w:rFonts w:hint="eastAsia"/>
                <w:color w:val="auto"/>
                <w:sz w:val="24"/>
                <w:szCs w:val="24"/>
                <w:highlight w:val="none"/>
              </w:rPr>
              <w:t>团队人员5</w:t>
            </w:r>
            <w:r>
              <w:rPr>
                <w:color w:val="auto"/>
                <w:sz w:val="24"/>
                <w:szCs w:val="24"/>
                <w:highlight w:val="none"/>
              </w:rPr>
              <w:t>0%</w:t>
            </w:r>
            <w:r>
              <w:rPr>
                <w:rFonts w:hint="eastAsia"/>
                <w:color w:val="auto"/>
                <w:sz w:val="24"/>
                <w:szCs w:val="24"/>
                <w:highlight w:val="none"/>
              </w:rPr>
              <w:t>以下</w:t>
            </w:r>
            <w:r>
              <w:rPr>
                <w:rFonts w:hint="eastAsia"/>
                <w:color w:val="auto"/>
                <w:sz w:val="24"/>
                <w:szCs w:val="24"/>
                <w:highlight w:val="none"/>
                <w:lang w:val="en-US" w:eastAsia="zh-CN"/>
              </w:rPr>
              <w:t>硕士（含）</w:t>
            </w:r>
            <w:r>
              <w:rPr>
                <w:rFonts w:hint="eastAsia"/>
                <w:color w:val="auto"/>
                <w:sz w:val="24"/>
                <w:szCs w:val="24"/>
                <w:highlight w:val="none"/>
              </w:rPr>
              <w:t>以上学历不得分。</w:t>
            </w:r>
          </w:p>
          <w:p w14:paraId="6D8FEE83">
            <w:pPr>
              <w:pStyle w:val="176"/>
              <w:keepNext w:val="0"/>
              <w:keepLines w:val="0"/>
              <w:pageBreakBefore w:val="0"/>
              <w:widowControl w:val="0"/>
              <w:kinsoku/>
              <w:wordWrap/>
              <w:overflowPunct/>
              <w:topLinePunct w:val="0"/>
              <w:autoSpaceDE/>
              <w:autoSpaceDN/>
              <w:bidi w:val="0"/>
              <w:adjustRightInd w:val="0"/>
              <w:spacing w:line="360" w:lineRule="auto"/>
              <w:ind w:firstLine="50" w:firstLineChars="21"/>
              <w:textAlignment w:val="auto"/>
              <w:rPr>
                <w:rFonts w:hint="eastAsia" w:ascii="宋体" w:hAnsi="宋体" w:eastAsia="宋体" w:cs="宋体"/>
                <w:color w:val="auto"/>
                <w:sz w:val="24"/>
                <w:szCs w:val="24"/>
                <w:highlight w:val="none"/>
              </w:rPr>
            </w:pPr>
            <w:r>
              <w:rPr>
                <w:rFonts w:hint="eastAsia"/>
                <w:color w:val="auto"/>
                <w:sz w:val="24"/>
                <w:szCs w:val="24"/>
                <w:highlight w:val="none"/>
                <w:lang w:val="en-US" w:eastAsia="zh-CN"/>
              </w:rPr>
              <w:t>2）</w:t>
            </w:r>
            <w:r>
              <w:rPr>
                <w:rFonts w:hint="eastAsia"/>
                <w:color w:val="auto"/>
                <w:sz w:val="24"/>
                <w:szCs w:val="24"/>
                <w:highlight w:val="none"/>
              </w:rPr>
              <w:t>团队人员拥有参与未来工厂、智能工厂建设</w:t>
            </w:r>
            <w:r>
              <w:rPr>
                <w:rFonts w:hint="eastAsia"/>
                <w:color w:val="auto"/>
                <w:sz w:val="24"/>
                <w:szCs w:val="24"/>
                <w:highlight w:val="none"/>
                <w:lang w:val="en-US" w:eastAsia="zh-CN"/>
              </w:rPr>
              <w:t>研究</w:t>
            </w:r>
            <w:r>
              <w:rPr>
                <w:rFonts w:hint="eastAsia"/>
                <w:color w:val="auto"/>
                <w:sz w:val="24"/>
                <w:szCs w:val="24"/>
                <w:highlight w:val="none"/>
              </w:rPr>
              <w:t>经历的，每1人得</w:t>
            </w:r>
            <w:r>
              <w:rPr>
                <w:color w:val="auto"/>
                <w:sz w:val="24"/>
                <w:szCs w:val="24"/>
                <w:highlight w:val="none"/>
              </w:rPr>
              <w:t>1</w:t>
            </w:r>
            <w:r>
              <w:rPr>
                <w:rFonts w:hint="eastAsia"/>
                <w:color w:val="auto"/>
                <w:sz w:val="24"/>
                <w:szCs w:val="24"/>
                <w:highlight w:val="none"/>
                <w:lang w:val="en-US" w:eastAsia="zh-CN"/>
              </w:rPr>
              <w:t>.5</w:t>
            </w:r>
            <w:r>
              <w:rPr>
                <w:rFonts w:hint="eastAsia"/>
                <w:color w:val="auto"/>
                <w:sz w:val="24"/>
                <w:szCs w:val="24"/>
                <w:highlight w:val="none"/>
              </w:rPr>
              <w:t>分，最高</w:t>
            </w:r>
            <w:r>
              <w:rPr>
                <w:rFonts w:hint="eastAsia"/>
                <w:color w:val="auto"/>
                <w:sz w:val="24"/>
                <w:szCs w:val="24"/>
                <w:highlight w:val="none"/>
                <w:lang w:val="en-US" w:eastAsia="zh-CN"/>
              </w:rPr>
              <w:t>得3</w:t>
            </w:r>
            <w:r>
              <w:rPr>
                <w:rFonts w:hint="eastAsia"/>
                <w:color w:val="auto"/>
                <w:sz w:val="24"/>
                <w:szCs w:val="24"/>
                <w:highlight w:val="none"/>
              </w:rPr>
              <w:t>分，包括参与标准制定、</w:t>
            </w:r>
            <w:r>
              <w:rPr>
                <w:rFonts w:hint="eastAsia"/>
                <w:color w:val="auto"/>
                <w:sz w:val="24"/>
                <w:szCs w:val="24"/>
                <w:highlight w:val="none"/>
                <w:lang w:val="en-US" w:eastAsia="zh-CN"/>
              </w:rPr>
              <w:t>理论研究</w:t>
            </w:r>
            <w:r>
              <w:rPr>
                <w:rFonts w:hint="eastAsia"/>
                <w:color w:val="auto"/>
                <w:sz w:val="24"/>
                <w:szCs w:val="24"/>
                <w:highlight w:val="none"/>
              </w:rPr>
              <w:t>等。（提供相关证明文件</w:t>
            </w:r>
            <w:r>
              <w:rPr>
                <w:rFonts w:hint="eastAsia"/>
                <w:color w:val="auto"/>
                <w:sz w:val="24"/>
                <w:szCs w:val="24"/>
                <w:highlight w:val="none"/>
                <w:lang w:eastAsia="zh-CN"/>
              </w:rPr>
              <w:t>，</w:t>
            </w:r>
            <w:r>
              <w:rPr>
                <w:rFonts w:hint="eastAsia"/>
                <w:color w:val="auto"/>
                <w:sz w:val="24"/>
                <w:szCs w:val="24"/>
                <w:highlight w:val="none"/>
                <w:lang w:val="en-US" w:eastAsia="zh-CN"/>
              </w:rPr>
              <w:t>不提供不得分。</w:t>
            </w:r>
            <w:r>
              <w:rPr>
                <w:rFonts w:hint="eastAsia"/>
                <w:color w:val="auto"/>
                <w:sz w:val="24"/>
                <w:szCs w:val="24"/>
                <w:highlight w:val="none"/>
              </w:rPr>
              <w:t>）</w:t>
            </w:r>
          </w:p>
        </w:tc>
        <w:tc>
          <w:tcPr>
            <w:tcW w:w="613" w:type="dxa"/>
            <w:tcBorders>
              <w:tl2br w:val="nil"/>
              <w:tr2bl w:val="nil"/>
            </w:tcBorders>
            <w:vAlign w:val="center"/>
          </w:tcPr>
          <w:p w14:paraId="1C302515">
            <w:pPr>
              <w:pStyle w:val="176"/>
              <w:keepNext w:val="0"/>
              <w:keepLines w:val="0"/>
              <w:pageBreakBefore w:val="0"/>
              <w:widowControl w:val="0"/>
              <w:kinsoku/>
              <w:wordWrap/>
              <w:overflowPunct/>
              <w:topLinePunct w:val="0"/>
              <w:autoSpaceDE/>
              <w:autoSpaceDN/>
              <w:bidi w:val="0"/>
              <w:adjustRightInd w:val="0"/>
              <w:spacing w:line="360" w:lineRule="auto"/>
              <w:ind w:firstLine="50" w:firstLineChars="21"/>
              <w:jc w:val="center"/>
              <w:textAlignment w:val="auto"/>
              <w:rPr>
                <w:rFonts w:hint="eastAsia" w:ascii="宋体" w:hAnsi="宋体" w:eastAsia="宋体" w:cs="宋体"/>
                <w:color w:val="auto"/>
                <w:sz w:val="24"/>
                <w:szCs w:val="24"/>
                <w:highlight w:val="none"/>
              </w:rPr>
            </w:pPr>
            <w:r>
              <w:rPr>
                <w:rFonts w:hint="eastAsia"/>
                <w:color w:val="auto"/>
                <w:sz w:val="24"/>
                <w:szCs w:val="24"/>
                <w:highlight w:val="none"/>
                <w:lang w:val="en-US" w:eastAsia="zh-CN"/>
              </w:rPr>
              <w:t>5</w:t>
            </w:r>
          </w:p>
        </w:tc>
        <w:tc>
          <w:tcPr>
            <w:tcW w:w="907" w:type="dxa"/>
            <w:tcBorders>
              <w:tl2br w:val="nil"/>
              <w:tr2bl w:val="nil"/>
            </w:tcBorders>
            <w:vAlign w:val="center"/>
          </w:tcPr>
          <w:p w14:paraId="0F6B306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客观分</w:t>
            </w:r>
          </w:p>
        </w:tc>
        <w:tc>
          <w:tcPr>
            <w:tcW w:w="1117" w:type="dxa"/>
            <w:tcBorders>
              <w:tl2br w:val="nil"/>
              <w:tr2bl w:val="nil"/>
            </w:tcBorders>
            <w:vAlign w:val="center"/>
          </w:tcPr>
          <w:p w14:paraId="3974F6C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4"/>
                <w:szCs w:val="24"/>
                <w:highlight w:val="none"/>
              </w:rPr>
            </w:pPr>
          </w:p>
        </w:tc>
      </w:tr>
      <w:tr w14:paraId="638BED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tcBorders>
              <w:tl2br w:val="nil"/>
              <w:tr2bl w:val="nil"/>
            </w:tcBorders>
            <w:vAlign w:val="center"/>
          </w:tcPr>
          <w:p w14:paraId="7B81D27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19</w:t>
            </w:r>
          </w:p>
        </w:tc>
        <w:tc>
          <w:tcPr>
            <w:tcW w:w="1214" w:type="dxa"/>
            <w:vMerge w:val="continue"/>
            <w:tcBorders>
              <w:tl2br w:val="nil"/>
              <w:tr2bl w:val="nil"/>
            </w:tcBorders>
            <w:vAlign w:val="center"/>
          </w:tcPr>
          <w:p w14:paraId="5B4F6AD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4"/>
                <w:szCs w:val="24"/>
                <w:highlight w:val="none"/>
              </w:rPr>
            </w:pPr>
          </w:p>
        </w:tc>
        <w:tc>
          <w:tcPr>
            <w:tcW w:w="5593" w:type="dxa"/>
            <w:tcBorders>
              <w:tl2br w:val="nil"/>
              <w:tr2bl w:val="nil"/>
            </w:tcBorders>
            <w:vAlign w:val="center"/>
          </w:tcPr>
          <w:p w14:paraId="5AEC3736">
            <w:pPr>
              <w:pStyle w:val="176"/>
              <w:keepNext w:val="0"/>
              <w:keepLines w:val="0"/>
              <w:pageBreakBefore w:val="0"/>
              <w:widowControl w:val="0"/>
              <w:kinsoku/>
              <w:wordWrap/>
              <w:overflowPunct/>
              <w:topLinePunct w:val="0"/>
              <w:autoSpaceDE/>
              <w:autoSpaceDN/>
              <w:bidi w:val="0"/>
              <w:adjustRightInd w:val="0"/>
              <w:spacing w:line="360" w:lineRule="auto"/>
              <w:ind w:firstLine="50" w:firstLineChars="21"/>
              <w:textAlignment w:val="auto"/>
              <w:rPr>
                <w:rFonts w:hint="eastAsia" w:ascii="宋体" w:hAnsi="宋体" w:eastAsia="宋体" w:cs="宋体"/>
                <w:color w:val="auto"/>
                <w:sz w:val="24"/>
                <w:szCs w:val="24"/>
                <w:highlight w:val="none"/>
              </w:rPr>
            </w:pPr>
            <w:r>
              <w:rPr>
                <w:color w:val="auto"/>
                <w:sz w:val="24"/>
                <w:szCs w:val="24"/>
                <w:highlight w:val="none"/>
              </w:rPr>
              <w:t>供应商针对本项目投入的服务团队</w:t>
            </w:r>
            <w:r>
              <w:rPr>
                <w:rFonts w:hint="eastAsia"/>
                <w:color w:val="auto"/>
                <w:sz w:val="24"/>
                <w:szCs w:val="24"/>
                <w:highlight w:val="none"/>
                <w:lang w:val="en-US" w:eastAsia="zh-CN"/>
              </w:rPr>
              <w:t>人员</w:t>
            </w:r>
            <w:r>
              <w:rPr>
                <w:color w:val="auto"/>
                <w:sz w:val="24"/>
                <w:szCs w:val="24"/>
                <w:highlight w:val="none"/>
              </w:rPr>
              <w:t>分工明确合理、岗位职责清晰到位的得</w:t>
            </w:r>
            <w:r>
              <w:rPr>
                <w:rFonts w:hint="eastAsia"/>
                <w:color w:val="auto"/>
                <w:sz w:val="24"/>
                <w:szCs w:val="24"/>
                <w:highlight w:val="none"/>
                <w:lang w:val="en-US" w:eastAsia="zh-CN"/>
              </w:rPr>
              <w:t>2</w:t>
            </w:r>
            <w:r>
              <w:rPr>
                <w:color w:val="auto"/>
                <w:sz w:val="24"/>
                <w:szCs w:val="24"/>
                <w:highlight w:val="none"/>
              </w:rPr>
              <w:t>分，分工</w:t>
            </w:r>
            <w:r>
              <w:rPr>
                <w:rFonts w:hint="eastAsia"/>
                <w:color w:val="auto"/>
                <w:sz w:val="24"/>
                <w:szCs w:val="24"/>
                <w:highlight w:val="none"/>
                <w:lang w:val="en-US" w:eastAsia="zh-CN"/>
              </w:rPr>
              <w:t>比较</w:t>
            </w:r>
            <w:r>
              <w:rPr>
                <w:color w:val="auto"/>
                <w:sz w:val="24"/>
                <w:szCs w:val="24"/>
                <w:highlight w:val="none"/>
              </w:rPr>
              <w:t>合理、岗位职责</w:t>
            </w:r>
            <w:r>
              <w:rPr>
                <w:rFonts w:hint="eastAsia"/>
                <w:color w:val="auto"/>
                <w:sz w:val="24"/>
                <w:szCs w:val="24"/>
                <w:highlight w:val="none"/>
                <w:lang w:val="en-US" w:eastAsia="zh-CN"/>
              </w:rPr>
              <w:t>比较</w:t>
            </w:r>
            <w:r>
              <w:rPr>
                <w:color w:val="auto"/>
                <w:sz w:val="24"/>
                <w:szCs w:val="24"/>
                <w:highlight w:val="none"/>
              </w:rPr>
              <w:t>清晰的得</w:t>
            </w:r>
            <w:r>
              <w:rPr>
                <w:rFonts w:hint="eastAsia"/>
                <w:color w:val="auto"/>
                <w:sz w:val="24"/>
                <w:szCs w:val="24"/>
                <w:highlight w:val="none"/>
                <w:lang w:val="en-US" w:eastAsia="zh-CN"/>
              </w:rPr>
              <w:t>1</w:t>
            </w:r>
            <w:r>
              <w:rPr>
                <w:color w:val="auto"/>
                <w:sz w:val="24"/>
                <w:szCs w:val="24"/>
                <w:highlight w:val="none"/>
              </w:rPr>
              <w:t>分</w:t>
            </w:r>
            <w:r>
              <w:rPr>
                <w:rFonts w:hint="eastAsia"/>
                <w:color w:val="auto"/>
                <w:sz w:val="24"/>
                <w:szCs w:val="24"/>
                <w:highlight w:val="none"/>
                <w:lang w:eastAsia="zh-CN"/>
              </w:rPr>
              <w:t>，</w:t>
            </w:r>
            <w:r>
              <w:rPr>
                <w:color w:val="auto"/>
                <w:sz w:val="24"/>
                <w:szCs w:val="24"/>
                <w:highlight w:val="none"/>
              </w:rPr>
              <w:t>分工</w:t>
            </w:r>
            <w:r>
              <w:rPr>
                <w:rFonts w:hint="eastAsia"/>
                <w:color w:val="auto"/>
                <w:sz w:val="24"/>
                <w:szCs w:val="24"/>
                <w:highlight w:val="none"/>
                <w:lang w:val="en-US" w:eastAsia="zh-CN"/>
              </w:rPr>
              <w:t>有瑕疵</w:t>
            </w:r>
            <w:r>
              <w:rPr>
                <w:color w:val="auto"/>
                <w:sz w:val="24"/>
                <w:szCs w:val="24"/>
                <w:highlight w:val="none"/>
              </w:rPr>
              <w:t>或岗位职责不清晰到位的得</w:t>
            </w:r>
            <w:r>
              <w:rPr>
                <w:rFonts w:hint="eastAsia"/>
                <w:color w:val="auto"/>
                <w:sz w:val="24"/>
                <w:szCs w:val="24"/>
                <w:highlight w:val="none"/>
                <w:lang w:val="en-US" w:eastAsia="zh-CN"/>
              </w:rPr>
              <w:t>0.5</w:t>
            </w:r>
            <w:r>
              <w:rPr>
                <w:color w:val="auto"/>
                <w:sz w:val="24"/>
                <w:szCs w:val="24"/>
                <w:highlight w:val="none"/>
              </w:rPr>
              <w:t>分，分工不合理且岗位职责不清晰到位的得0分。</w:t>
            </w:r>
          </w:p>
        </w:tc>
        <w:tc>
          <w:tcPr>
            <w:tcW w:w="613" w:type="dxa"/>
            <w:tcBorders>
              <w:tl2br w:val="nil"/>
              <w:tr2bl w:val="nil"/>
            </w:tcBorders>
            <w:vAlign w:val="center"/>
          </w:tcPr>
          <w:p w14:paraId="4E223285">
            <w:pPr>
              <w:pStyle w:val="176"/>
              <w:keepNext w:val="0"/>
              <w:keepLines w:val="0"/>
              <w:pageBreakBefore w:val="0"/>
              <w:widowControl w:val="0"/>
              <w:kinsoku/>
              <w:wordWrap/>
              <w:overflowPunct/>
              <w:topLinePunct w:val="0"/>
              <w:autoSpaceDE/>
              <w:autoSpaceDN/>
              <w:bidi w:val="0"/>
              <w:adjustRightInd w:val="0"/>
              <w:spacing w:line="360" w:lineRule="auto"/>
              <w:ind w:firstLine="50" w:firstLineChars="21"/>
              <w:jc w:val="center"/>
              <w:textAlignment w:val="auto"/>
              <w:rPr>
                <w:rFonts w:hint="eastAsia" w:ascii="宋体" w:hAnsi="宋体" w:eastAsia="宋体" w:cs="宋体"/>
                <w:color w:val="auto"/>
                <w:sz w:val="24"/>
                <w:szCs w:val="24"/>
                <w:highlight w:val="none"/>
              </w:rPr>
            </w:pPr>
            <w:r>
              <w:rPr>
                <w:rFonts w:hint="eastAsia"/>
                <w:color w:val="auto"/>
                <w:sz w:val="24"/>
                <w:szCs w:val="24"/>
                <w:highlight w:val="none"/>
                <w:lang w:val="en-US" w:eastAsia="zh-CN"/>
              </w:rPr>
              <w:t>2</w:t>
            </w:r>
          </w:p>
        </w:tc>
        <w:tc>
          <w:tcPr>
            <w:tcW w:w="907" w:type="dxa"/>
            <w:tcBorders>
              <w:tl2br w:val="nil"/>
              <w:tr2bl w:val="nil"/>
            </w:tcBorders>
            <w:vAlign w:val="center"/>
          </w:tcPr>
          <w:p w14:paraId="745482F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主观分</w:t>
            </w:r>
          </w:p>
        </w:tc>
        <w:tc>
          <w:tcPr>
            <w:tcW w:w="1117" w:type="dxa"/>
            <w:tcBorders>
              <w:tl2br w:val="nil"/>
              <w:tr2bl w:val="nil"/>
            </w:tcBorders>
            <w:vAlign w:val="center"/>
          </w:tcPr>
          <w:p w14:paraId="3970E9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4"/>
                <w:szCs w:val="24"/>
                <w:highlight w:val="none"/>
              </w:rPr>
            </w:pPr>
          </w:p>
        </w:tc>
      </w:tr>
      <w:tr w14:paraId="549EA7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tcBorders>
              <w:tl2br w:val="nil"/>
              <w:tr2bl w:val="nil"/>
            </w:tcBorders>
            <w:vAlign w:val="center"/>
          </w:tcPr>
          <w:p w14:paraId="608C26D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20</w:t>
            </w:r>
          </w:p>
        </w:tc>
        <w:tc>
          <w:tcPr>
            <w:tcW w:w="1214" w:type="dxa"/>
            <w:tcBorders>
              <w:tl2br w:val="nil"/>
              <w:tr2bl w:val="nil"/>
            </w:tcBorders>
            <w:vAlign w:val="center"/>
          </w:tcPr>
          <w:p w14:paraId="6AEF8047">
            <w:pPr>
              <w:pStyle w:val="176"/>
              <w:keepNext w:val="0"/>
              <w:keepLines w:val="0"/>
              <w:pageBreakBefore w:val="0"/>
              <w:widowControl w:val="0"/>
              <w:kinsoku/>
              <w:wordWrap/>
              <w:overflowPunct/>
              <w:topLinePunct w:val="0"/>
              <w:autoSpaceDE/>
              <w:autoSpaceDN/>
              <w:bidi w:val="0"/>
              <w:adjustRightInd w:val="0"/>
              <w:spacing w:line="360" w:lineRule="auto"/>
              <w:ind w:firstLine="50" w:firstLineChars="21"/>
              <w:jc w:val="center"/>
              <w:textAlignment w:val="auto"/>
              <w:rPr>
                <w:rFonts w:hint="eastAsia" w:ascii="宋体" w:hAnsi="宋体" w:eastAsia="宋体" w:cs="宋体"/>
                <w:color w:val="auto"/>
                <w:sz w:val="24"/>
                <w:szCs w:val="24"/>
                <w:highlight w:val="none"/>
              </w:rPr>
            </w:pPr>
            <w:r>
              <w:rPr>
                <w:color w:val="auto"/>
                <w:sz w:val="24"/>
                <w:szCs w:val="24"/>
                <w:highlight w:val="none"/>
              </w:rPr>
              <w:t>项目提交成果架构/思路</w:t>
            </w:r>
          </w:p>
        </w:tc>
        <w:tc>
          <w:tcPr>
            <w:tcW w:w="5593" w:type="dxa"/>
            <w:tcBorders>
              <w:tl2br w:val="nil"/>
              <w:tr2bl w:val="nil"/>
            </w:tcBorders>
            <w:vAlign w:val="center"/>
          </w:tcPr>
          <w:p w14:paraId="1D9BF01D">
            <w:pPr>
              <w:pStyle w:val="176"/>
              <w:keepNext w:val="0"/>
              <w:keepLines w:val="0"/>
              <w:pageBreakBefore w:val="0"/>
              <w:widowControl w:val="0"/>
              <w:kinsoku/>
              <w:wordWrap/>
              <w:overflowPunct/>
              <w:topLinePunct w:val="0"/>
              <w:autoSpaceDE/>
              <w:autoSpaceDN/>
              <w:bidi w:val="0"/>
              <w:adjustRightInd w:val="0"/>
              <w:spacing w:line="360" w:lineRule="auto"/>
              <w:textAlignment w:val="auto"/>
              <w:rPr>
                <w:color w:val="auto"/>
                <w:sz w:val="24"/>
                <w:szCs w:val="24"/>
                <w:highlight w:val="none"/>
              </w:rPr>
            </w:pPr>
            <w:r>
              <w:rPr>
                <w:rFonts w:hint="eastAsia"/>
                <w:color w:val="auto"/>
                <w:sz w:val="24"/>
                <w:szCs w:val="24"/>
                <w:highlight w:val="none"/>
              </w:rPr>
              <w:t>以</w:t>
            </w:r>
            <w:r>
              <w:rPr>
                <w:rFonts w:hint="eastAsia"/>
                <w:color w:val="auto"/>
                <w:sz w:val="24"/>
                <w:szCs w:val="24"/>
                <w:highlight w:val="none"/>
                <w:lang w:eastAsia="zh-CN"/>
              </w:rPr>
              <w:t>“</w:t>
            </w:r>
            <w:r>
              <w:rPr>
                <w:rFonts w:hint="eastAsia"/>
                <w:color w:val="auto"/>
                <w:sz w:val="24"/>
                <w:szCs w:val="24"/>
                <w:highlight w:val="none"/>
              </w:rPr>
              <w:t>未来工厂</w:t>
            </w:r>
            <w:r>
              <w:rPr>
                <w:rFonts w:hint="eastAsia"/>
                <w:color w:val="auto"/>
                <w:sz w:val="24"/>
                <w:szCs w:val="24"/>
                <w:highlight w:val="none"/>
                <w:lang w:val="en-US" w:eastAsia="zh-CN"/>
              </w:rPr>
              <w:t>现场诊断报告</w:t>
            </w:r>
            <w:r>
              <w:rPr>
                <w:rFonts w:hint="eastAsia"/>
                <w:color w:val="auto"/>
                <w:sz w:val="24"/>
                <w:szCs w:val="24"/>
                <w:highlight w:val="none"/>
                <w:lang w:eastAsia="zh-CN"/>
              </w:rPr>
              <w:t>”</w:t>
            </w:r>
            <w:r>
              <w:rPr>
                <w:rFonts w:hint="eastAsia"/>
                <w:color w:val="auto"/>
                <w:sz w:val="24"/>
                <w:szCs w:val="24"/>
                <w:highlight w:val="none"/>
              </w:rPr>
              <w:t>为例，提供成果报告的基本思路框架。</w:t>
            </w:r>
            <w:r>
              <w:rPr>
                <w:color w:val="auto"/>
                <w:sz w:val="24"/>
                <w:szCs w:val="24"/>
                <w:highlight w:val="none"/>
              </w:rPr>
              <w:t>对拟提交成果报告从报告架构合理、要素齐全、重点突出、针对性强4方面进行评价，</w:t>
            </w:r>
            <w:r>
              <w:rPr>
                <w:rFonts w:hint="eastAsia"/>
                <w:color w:val="auto"/>
                <w:sz w:val="24"/>
                <w:szCs w:val="24"/>
                <w:highlight w:val="none"/>
              </w:rPr>
              <w:t>未提供本项不得分。</w:t>
            </w:r>
          </w:p>
          <w:p w14:paraId="7552154E">
            <w:pPr>
              <w:pStyle w:val="176"/>
              <w:keepNext w:val="0"/>
              <w:keepLines w:val="0"/>
              <w:pageBreakBefore w:val="0"/>
              <w:widowControl w:val="0"/>
              <w:kinsoku/>
              <w:wordWrap/>
              <w:overflowPunct/>
              <w:topLinePunct w:val="0"/>
              <w:autoSpaceDE/>
              <w:autoSpaceDN/>
              <w:bidi w:val="0"/>
              <w:adjustRightInd w:val="0"/>
              <w:spacing w:line="360" w:lineRule="auto"/>
              <w:textAlignment w:val="auto"/>
              <w:rPr>
                <w:rFonts w:hint="eastAsia"/>
                <w:color w:val="auto"/>
                <w:sz w:val="24"/>
                <w:szCs w:val="24"/>
                <w:highlight w:val="none"/>
              </w:rPr>
            </w:pPr>
            <w:r>
              <w:rPr>
                <w:rFonts w:hint="eastAsia"/>
                <w:color w:val="auto"/>
                <w:sz w:val="24"/>
                <w:szCs w:val="24"/>
                <w:highlight w:val="none"/>
              </w:rPr>
              <w:t>1</w:t>
            </w:r>
            <w:r>
              <w:rPr>
                <w:rFonts w:hint="eastAsia"/>
                <w:color w:val="auto"/>
                <w:sz w:val="24"/>
                <w:szCs w:val="24"/>
                <w:highlight w:val="none"/>
                <w:lang w:eastAsia="zh-CN"/>
              </w:rPr>
              <w:t>）</w:t>
            </w:r>
            <w:r>
              <w:rPr>
                <w:color w:val="auto"/>
                <w:sz w:val="24"/>
                <w:szCs w:val="24"/>
                <w:highlight w:val="none"/>
              </w:rPr>
              <w:t>报告架构合理</w:t>
            </w:r>
            <w:r>
              <w:rPr>
                <w:rFonts w:hint="eastAsia"/>
                <w:color w:val="auto"/>
                <w:sz w:val="24"/>
                <w:szCs w:val="24"/>
                <w:highlight w:val="none"/>
              </w:rPr>
              <w:t>的得2分，基本合理得1分，有明显不足得0.5。</w:t>
            </w:r>
          </w:p>
          <w:p w14:paraId="1E49DF73">
            <w:pPr>
              <w:pStyle w:val="176"/>
              <w:keepNext w:val="0"/>
              <w:keepLines w:val="0"/>
              <w:pageBreakBefore w:val="0"/>
              <w:widowControl w:val="0"/>
              <w:kinsoku/>
              <w:wordWrap/>
              <w:overflowPunct/>
              <w:topLinePunct w:val="0"/>
              <w:autoSpaceDE/>
              <w:autoSpaceDN/>
              <w:bidi w:val="0"/>
              <w:adjustRightInd w:val="0"/>
              <w:spacing w:line="360" w:lineRule="auto"/>
              <w:textAlignment w:val="auto"/>
              <w:rPr>
                <w:rFonts w:hint="eastAsia"/>
                <w:color w:val="auto"/>
                <w:sz w:val="24"/>
                <w:szCs w:val="24"/>
                <w:highlight w:val="none"/>
              </w:rPr>
            </w:pPr>
            <w:r>
              <w:rPr>
                <w:rFonts w:hint="eastAsia"/>
                <w:color w:val="auto"/>
                <w:sz w:val="24"/>
                <w:szCs w:val="24"/>
                <w:highlight w:val="none"/>
              </w:rPr>
              <w:t>2</w:t>
            </w:r>
            <w:r>
              <w:rPr>
                <w:rFonts w:hint="eastAsia"/>
                <w:color w:val="auto"/>
                <w:sz w:val="24"/>
                <w:szCs w:val="24"/>
                <w:highlight w:val="none"/>
                <w:lang w:eastAsia="zh-CN"/>
              </w:rPr>
              <w:t>）</w:t>
            </w:r>
            <w:r>
              <w:rPr>
                <w:color w:val="auto"/>
                <w:sz w:val="24"/>
                <w:szCs w:val="24"/>
                <w:highlight w:val="none"/>
              </w:rPr>
              <w:t>报告要素齐全</w:t>
            </w:r>
            <w:r>
              <w:rPr>
                <w:rFonts w:hint="eastAsia"/>
                <w:color w:val="auto"/>
                <w:sz w:val="24"/>
                <w:szCs w:val="24"/>
                <w:highlight w:val="none"/>
              </w:rPr>
              <w:t>的得2分，基本合理得1分，有明显不足得0.5。</w:t>
            </w:r>
          </w:p>
          <w:p w14:paraId="018595AD">
            <w:pPr>
              <w:pStyle w:val="176"/>
              <w:keepNext w:val="0"/>
              <w:keepLines w:val="0"/>
              <w:pageBreakBefore w:val="0"/>
              <w:widowControl w:val="0"/>
              <w:kinsoku/>
              <w:wordWrap/>
              <w:overflowPunct/>
              <w:topLinePunct w:val="0"/>
              <w:autoSpaceDE/>
              <w:autoSpaceDN/>
              <w:bidi w:val="0"/>
              <w:adjustRightInd w:val="0"/>
              <w:spacing w:line="360" w:lineRule="auto"/>
              <w:textAlignment w:val="auto"/>
              <w:rPr>
                <w:rFonts w:hint="eastAsia"/>
                <w:color w:val="auto"/>
                <w:sz w:val="24"/>
                <w:szCs w:val="24"/>
                <w:highlight w:val="none"/>
              </w:rPr>
            </w:pPr>
            <w:r>
              <w:rPr>
                <w:rFonts w:hint="eastAsia"/>
                <w:color w:val="auto"/>
                <w:sz w:val="24"/>
                <w:szCs w:val="24"/>
                <w:highlight w:val="none"/>
              </w:rPr>
              <w:t>3</w:t>
            </w:r>
            <w:r>
              <w:rPr>
                <w:rFonts w:hint="eastAsia"/>
                <w:color w:val="auto"/>
                <w:sz w:val="24"/>
                <w:szCs w:val="24"/>
                <w:highlight w:val="none"/>
                <w:lang w:eastAsia="zh-CN"/>
              </w:rPr>
              <w:t>）</w:t>
            </w:r>
            <w:r>
              <w:rPr>
                <w:color w:val="auto"/>
                <w:sz w:val="24"/>
                <w:szCs w:val="24"/>
                <w:highlight w:val="none"/>
              </w:rPr>
              <w:t>报告重点突出</w:t>
            </w:r>
            <w:r>
              <w:rPr>
                <w:rFonts w:hint="eastAsia"/>
                <w:color w:val="auto"/>
                <w:sz w:val="24"/>
                <w:szCs w:val="24"/>
                <w:highlight w:val="none"/>
              </w:rPr>
              <w:t>的得2分，基本合理得1分，有明显不足得0.5。</w:t>
            </w:r>
          </w:p>
          <w:p w14:paraId="53FA3761">
            <w:pPr>
              <w:pStyle w:val="176"/>
              <w:keepNext w:val="0"/>
              <w:keepLines w:val="0"/>
              <w:pageBreakBefore w:val="0"/>
              <w:widowControl w:val="0"/>
              <w:kinsoku/>
              <w:wordWrap/>
              <w:overflowPunct/>
              <w:topLinePunct w:val="0"/>
              <w:autoSpaceDE/>
              <w:autoSpaceDN/>
              <w:bidi w:val="0"/>
              <w:adjustRightInd w:val="0"/>
              <w:spacing w:line="360" w:lineRule="auto"/>
              <w:ind w:firstLine="50" w:firstLineChars="21"/>
              <w:textAlignment w:val="auto"/>
              <w:rPr>
                <w:rFonts w:hint="eastAsia" w:ascii="宋体" w:hAnsi="宋体" w:eastAsia="宋体" w:cs="宋体"/>
                <w:color w:val="auto"/>
                <w:sz w:val="24"/>
                <w:szCs w:val="24"/>
                <w:highlight w:val="none"/>
              </w:rPr>
            </w:pPr>
            <w:r>
              <w:rPr>
                <w:rFonts w:hint="eastAsia"/>
                <w:color w:val="auto"/>
                <w:sz w:val="24"/>
                <w:szCs w:val="24"/>
                <w:highlight w:val="none"/>
              </w:rPr>
              <w:t>4</w:t>
            </w:r>
            <w:r>
              <w:rPr>
                <w:rFonts w:hint="eastAsia"/>
                <w:color w:val="auto"/>
                <w:sz w:val="24"/>
                <w:szCs w:val="24"/>
                <w:highlight w:val="none"/>
                <w:lang w:eastAsia="zh-CN"/>
              </w:rPr>
              <w:t>）</w:t>
            </w:r>
            <w:r>
              <w:rPr>
                <w:color w:val="auto"/>
                <w:sz w:val="24"/>
                <w:szCs w:val="24"/>
                <w:highlight w:val="none"/>
              </w:rPr>
              <w:t>报告针对性强</w:t>
            </w:r>
            <w:r>
              <w:rPr>
                <w:rFonts w:hint="eastAsia"/>
                <w:color w:val="auto"/>
                <w:sz w:val="24"/>
                <w:szCs w:val="24"/>
                <w:highlight w:val="none"/>
              </w:rPr>
              <w:t>的得2分，基本合理得1分，有明显不足得0.5。</w:t>
            </w:r>
          </w:p>
        </w:tc>
        <w:tc>
          <w:tcPr>
            <w:tcW w:w="613" w:type="dxa"/>
            <w:tcBorders>
              <w:tl2br w:val="nil"/>
              <w:tr2bl w:val="nil"/>
            </w:tcBorders>
            <w:vAlign w:val="center"/>
          </w:tcPr>
          <w:p w14:paraId="2670F800">
            <w:pPr>
              <w:pStyle w:val="176"/>
              <w:keepNext w:val="0"/>
              <w:keepLines w:val="0"/>
              <w:pageBreakBefore w:val="0"/>
              <w:widowControl w:val="0"/>
              <w:kinsoku/>
              <w:wordWrap/>
              <w:overflowPunct/>
              <w:topLinePunct w:val="0"/>
              <w:autoSpaceDE/>
              <w:autoSpaceDN/>
              <w:bidi w:val="0"/>
              <w:adjustRightInd w:val="0"/>
              <w:spacing w:line="360" w:lineRule="auto"/>
              <w:ind w:firstLine="50" w:firstLineChars="21"/>
              <w:jc w:val="center"/>
              <w:textAlignment w:val="auto"/>
              <w:rPr>
                <w:rFonts w:hint="eastAsia" w:ascii="宋体" w:hAnsi="宋体" w:eastAsia="宋体" w:cs="宋体"/>
                <w:color w:val="auto"/>
                <w:sz w:val="24"/>
                <w:szCs w:val="24"/>
                <w:highlight w:val="none"/>
              </w:rPr>
            </w:pPr>
            <w:r>
              <w:rPr>
                <w:rFonts w:hint="eastAsia"/>
                <w:color w:val="auto"/>
                <w:sz w:val="24"/>
                <w:szCs w:val="24"/>
                <w:highlight w:val="none"/>
                <w:lang w:val="en-US" w:eastAsia="zh-CN"/>
              </w:rPr>
              <w:t>8</w:t>
            </w:r>
          </w:p>
        </w:tc>
        <w:tc>
          <w:tcPr>
            <w:tcW w:w="907" w:type="dxa"/>
            <w:tcBorders>
              <w:tl2br w:val="nil"/>
              <w:tr2bl w:val="nil"/>
            </w:tcBorders>
            <w:vAlign w:val="center"/>
          </w:tcPr>
          <w:p w14:paraId="3BB4A32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主观分</w:t>
            </w:r>
          </w:p>
        </w:tc>
        <w:tc>
          <w:tcPr>
            <w:tcW w:w="1117" w:type="dxa"/>
            <w:tcBorders>
              <w:tl2br w:val="nil"/>
              <w:tr2bl w:val="nil"/>
            </w:tcBorders>
            <w:vAlign w:val="center"/>
          </w:tcPr>
          <w:p w14:paraId="0F7B24A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4"/>
                <w:szCs w:val="24"/>
                <w:highlight w:val="none"/>
              </w:rPr>
            </w:pPr>
          </w:p>
        </w:tc>
      </w:tr>
      <w:tr w14:paraId="09805A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tcBorders>
              <w:tl2br w:val="nil"/>
              <w:tr2bl w:val="nil"/>
            </w:tcBorders>
            <w:vAlign w:val="center"/>
          </w:tcPr>
          <w:p w14:paraId="53CE6BD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21</w:t>
            </w:r>
          </w:p>
        </w:tc>
        <w:tc>
          <w:tcPr>
            <w:tcW w:w="1214" w:type="dxa"/>
            <w:tcBorders>
              <w:tl2br w:val="nil"/>
              <w:tr2bl w:val="nil"/>
            </w:tcBorders>
            <w:vAlign w:val="center"/>
          </w:tcPr>
          <w:p w14:paraId="7D931B85">
            <w:pPr>
              <w:pStyle w:val="176"/>
              <w:keepNext w:val="0"/>
              <w:keepLines w:val="0"/>
              <w:pageBreakBefore w:val="0"/>
              <w:widowControl w:val="0"/>
              <w:kinsoku/>
              <w:wordWrap/>
              <w:overflowPunct/>
              <w:topLinePunct w:val="0"/>
              <w:autoSpaceDE/>
              <w:autoSpaceDN/>
              <w:bidi w:val="0"/>
              <w:adjustRightInd w:val="0"/>
              <w:spacing w:line="360" w:lineRule="auto"/>
              <w:ind w:firstLine="50" w:firstLineChars="21"/>
              <w:jc w:val="center"/>
              <w:textAlignment w:val="auto"/>
              <w:rPr>
                <w:rFonts w:hint="eastAsia" w:ascii="宋体" w:hAnsi="宋体" w:eastAsia="宋体" w:cs="宋体"/>
                <w:color w:val="auto"/>
                <w:sz w:val="24"/>
                <w:szCs w:val="24"/>
                <w:highlight w:val="none"/>
              </w:rPr>
            </w:pPr>
            <w:r>
              <w:rPr>
                <w:color w:val="auto"/>
                <w:sz w:val="24"/>
                <w:szCs w:val="24"/>
                <w:highlight w:val="none"/>
              </w:rPr>
              <w:t>质量保证方案</w:t>
            </w:r>
          </w:p>
        </w:tc>
        <w:tc>
          <w:tcPr>
            <w:tcW w:w="5593" w:type="dxa"/>
            <w:tcBorders>
              <w:tl2br w:val="nil"/>
              <w:tr2bl w:val="nil"/>
            </w:tcBorders>
            <w:vAlign w:val="center"/>
          </w:tcPr>
          <w:p w14:paraId="27E73B4C">
            <w:pPr>
              <w:pStyle w:val="176"/>
              <w:keepNext w:val="0"/>
              <w:keepLines w:val="0"/>
              <w:pageBreakBefore w:val="0"/>
              <w:widowControl w:val="0"/>
              <w:kinsoku/>
              <w:wordWrap/>
              <w:overflowPunct/>
              <w:topLinePunct w:val="0"/>
              <w:autoSpaceDE/>
              <w:autoSpaceDN/>
              <w:bidi w:val="0"/>
              <w:adjustRightInd w:val="0"/>
              <w:spacing w:line="360" w:lineRule="auto"/>
              <w:ind w:firstLine="50" w:firstLineChars="21"/>
              <w:textAlignment w:val="auto"/>
              <w:rPr>
                <w:rFonts w:hint="eastAsia" w:ascii="宋体" w:hAnsi="宋体" w:eastAsia="宋体" w:cs="宋体"/>
                <w:color w:val="auto"/>
                <w:sz w:val="24"/>
                <w:szCs w:val="24"/>
                <w:highlight w:val="none"/>
              </w:rPr>
            </w:pPr>
            <w:r>
              <w:rPr>
                <w:color w:val="auto"/>
                <w:sz w:val="24"/>
                <w:szCs w:val="24"/>
                <w:highlight w:val="none"/>
              </w:rPr>
              <w:t>对供应商针对本项目的质量保障方案的科学合理和有效性进行评价打分。方案科学合理的得</w:t>
            </w:r>
            <w:r>
              <w:rPr>
                <w:rFonts w:hint="eastAsia"/>
                <w:color w:val="auto"/>
                <w:sz w:val="24"/>
                <w:szCs w:val="24"/>
                <w:highlight w:val="none"/>
              </w:rPr>
              <w:t>4</w:t>
            </w:r>
            <w:r>
              <w:rPr>
                <w:color w:val="auto"/>
                <w:sz w:val="24"/>
                <w:szCs w:val="24"/>
                <w:highlight w:val="none"/>
              </w:rPr>
              <w:t>分；方案</w:t>
            </w:r>
            <w:r>
              <w:rPr>
                <w:rFonts w:hint="eastAsia"/>
                <w:color w:val="auto"/>
                <w:sz w:val="24"/>
                <w:szCs w:val="24"/>
                <w:highlight w:val="none"/>
              </w:rPr>
              <w:t>较</w:t>
            </w:r>
            <w:r>
              <w:rPr>
                <w:color w:val="auto"/>
                <w:sz w:val="24"/>
                <w:szCs w:val="24"/>
                <w:highlight w:val="none"/>
              </w:rPr>
              <w:t>科学合理的得</w:t>
            </w:r>
            <w:r>
              <w:rPr>
                <w:rFonts w:hint="eastAsia"/>
                <w:color w:val="auto"/>
                <w:sz w:val="24"/>
                <w:szCs w:val="24"/>
                <w:highlight w:val="none"/>
              </w:rPr>
              <w:t>3分，</w:t>
            </w:r>
            <w:r>
              <w:rPr>
                <w:color w:val="auto"/>
                <w:sz w:val="24"/>
                <w:szCs w:val="24"/>
                <w:highlight w:val="none"/>
              </w:rPr>
              <w:t>方案基本满足项目需求的得</w:t>
            </w:r>
            <w:r>
              <w:rPr>
                <w:rFonts w:hint="eastAsia"/>
                <w:color w:val="auto"/>
                <w:sz w:val="24"/>
                <w:szCs w:val="24"/>
                <w:highlight w:val="none"/>
              </w:rPr>
              <w:t>2</w:t>
            </w:r>
            <w:r>
              <w:rPr>
                <w:color w:val="auto"/>
                <w:sz w:val="24"/>
                <w:szCs w:val="24"/>
                <w:highlight w:val="none"/>
              </w:rPr>
              <w:t>分；方案有缺陷的得1分；未提供方案得0分。</w:t>
            </w:r>
          </w:p>
        </w:tc>
        <w:tc>
          <w:tcPr>
            <w:tcW w:w="613" w:type="dxa"/>
            <w:tcBorders>
              <w:tl2br w:val="nil"/>
              <w:tr2bl w:val="nil"/>
            </w:tcBorders>
            <w:vAlign w:val="center"/>
          </w:tcPr>
          <w:p w14:paraId="4ABF0422">
            <w:pPr>
              <w:pStyle w:val="176"/>
              <w:keepNext w:val="0"/>
              <w:keepLines w:val="0"/>
              <w:pageBreakBefore w:val="0"/>
              <w:widowControl w:val="0"/>
              <w:kinsoku/>
              <w:wordWrap/>
              <w:overflowPunct/>
              <w:topLinePunct w:val="0"/>
              <w:autoSpaceDE/>
              <w:autoSpaceDN/>
              <w:bidi w:val="0"/>
              <w:adjustRightInd w:val="0"/>
              <w:spacing w:line="360" w:lineRule="auto"/>
              <w:ind w:firstLine="50" w:firstLineChars="21"/>
              <w:jc w:val="center"/>
              <w:textAlignment w:val="auto"/>
              <w:rPr>
                <w:rFonts w:hint="eastAsia" w:ascii="宋体" w:hAnsi="宋体" w:eastAsia="宋体" w:cs="宋体"/>
                <w:color w:val="auto"/>
                <w:sz w:val="24"/>
                <w:szCs w:val="24"/>
                <w:highlight w:val="none"/>
              </w:rPr>
            </w:pPr>
            <w:r>
              <w:rPr>
                <w:rFonts w:hint="eastAsia"/>
                <w:color w:val="auto"/>
                <w:sz w:val="24"/>
                <w:szCs w:val="24"/>
                <w:highlight w:val="none"/>
                <w:lang w:val="en-US" w:eastAsia="zh-CN"/>
              </w:rPr>
              <w:t>4</w:t>
            </w:r>
          </w:p>
        </w:tc>
        <w:tc>
          <w:tcPr>
            <w:tcW w:w="907" w:type="dxa"/>
            <w:tcBorders>
              <w:tl2br w:val="nil"/>
              <w:tr2bl w:val="nil"/>
            </w:tcBorders>
            <w:vAlign w:val="center"/>
          </w:tcPr>
          <w:p w14:paraId="0615850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主观分</w:t>
            </w:r>
          </w:p>
        </w:tc>
        <w:tc>
          <w:tcPr>
            <w:tcW w:w="1117" w:type="dxa"/>
            <w:tcBorders>
              <w:tl2br w:val="nil"/>
              <w:tr2bl w:val="nil"/>
            </w:tcBorders>
            <w:vAlign w:val="center"/>
          </w:tcPr>
          <w:p w14:paraId="67A07C8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4"/>
                <w:szCs w:val="24"/>
                <w:highlight w:val="none"/>
              </w:rPr>
            </w:pPr>
          </w:p>
        </w:tc>
      </w:tr>
      <w:tr w14:paraId="514DC9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tcBorders>
              <w:tl2br w:val="nil"/>
              <w:tr2bl w:val="nil"/>
            </w:tcBorders>
            <w:vAlign w:val="center"/>
          </w:tcPr>
          <w:p w14:paraId="32AD7E5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22</w:t>
            </w:r>
          </w:p>
        </w:tc>
        <w:tc>
          <w:tcPr>
            <w:tcW w:w="1214" w:type="dxa"/>
            <w:tcBorders>
              <w:tl2br w:val="nil"/>
              <w:tr2bl w:val="nil"/>
            </w:tcBorders>
            <w:vAlign w:val="center"/>
          </w:tcPr>
          <w:p w14:paraId="59D286A8">
            <w:pPr>
              <w:pStyle w:val="176"/>
              <w:keepNext w:val="0"/>
              <w:keepLines w:val="0"/>
              <w:pageBreakBefore w:val="0"/>
              <w:widowControl w:val="0"/>
              <w:kinsoku/>
              <w:wordWrap/>
              <w:overflowPunct/>
              <w:topLinePunct w:val="0"/>
              <w:autoSpaceDE/>
              <w:autoSpaceDN/>
              <w:bidi w:val="0"/>
              <w:adjustRightInd w:val="0"/>
              <w:spacing w:line="360" w:lineRule="auto"/>
              <w:ind w:firstLine="50" w:firstLineChars="21"/>
              <w:jc w:val="center"/>
              <w:textAlignment w:val="auto"/>
              <w:rPr>
                <w:rFonts w:hint="eastAsia" w:ascii="宋体" w:hAnsi="宋体" w:eastAsia="宋体" w:cs="宋体"/>
                <w:color w:val="auto"/>
                <w:sz w:val="24"/>
                <w:szCs w:val="24"/>
                <w:highlight w:val="none"/>
              </w:rPr>
            </w:pPr>
            <w:r>
              <w:rPr>
                <w:color w:val="auto"/>
                <w:sz w:val="24"/>
                <w:szCs w:val="24"/>
                <w:highlight w:val="none"/>
              </w:rPr>
              <w:t>保密方案</w:t>
            </w:r>
          </w:p>
        </w:tc>
        <w:tc>
          <w:tcPr>
            <w:tcW w:w="5593" w:type="dxa"/>
            <w:tcBorders>
              <w:tl2br w:val="nil"/>
              <w:tr2bl w:val="nil"/>
            </w:tcBorders>
            <w:vAlign w:val="center"/>
          </w:tcPr>
          <w:p w14:paraId="6608E62E">
            <w:pPr>
              <w:pStyle w:val="176"/>
              <w:keepNext w:val="0"/>
              <w:keepLines w:val="0"/>
              <w:pageBreakBefore w:val="0"/>
              <w:widowControl w:val="0"/>
              <w:kinsoku/>
              <w:wordWrap/>
              <w:overflowPunct/>
              <w:topLinePunct w:val="0"/>
              <w:autoSpaceDE/>
              <w:autoSpaceDN/>
              <w:bidi w:val="0"/>
              <w:adjustRightInd w:val="0"/>
              <w:spacing w:line="360" w:lineRule="auto"/>
              <w:ind w:firstLine="50" w:firstLineChars="21"/>
              <w:textAlignment w:val="auto"/>
              <w:rPr>
                <w:rFonts w:hint="eastAsia" w:ascii="宋体" w:hAnsi="宋体" w:eastAsia="宋体" w:cs="宋体"/>
                <w:color w:val="auto"/>
                <w:sz w:val="24"/>
                <w:szCs w:val="24"/>
                <w:highlight w:val="none"/>
              </w:rPr>
            </w:pPr>
            <w:r>
              <w:rPr>
                <w:color w:val="auto"/>
                <w:sz w:val="24"/>
                <w:szCs w:val="24"/>
                <w:highlight w:val="none"/>
              </w:rPr>
              <w:t>供应商针对本项目的保密方案。方案科学合理的得</w:t>
            </w:r>
            <w:r>
              <w:rPr>
                <w:rFonts w:hint="eastAsia"/>
                <w:color w:val="auto"/>
                <w:sz w:val="24"/>
                <w:szCs w:val="24"/>
                <w:highlight w:val="none"/>
              </w:rPr>
              <w:t>4</w:t>
            </w:r>
            <w:r>
              <w:rPr>
                <w:color w:val="auto"/>
                <w:sz w:val="24"/>
                <w:szCs w:val="24"/>
                <w:highlight w:val="none"/>
              </w:rPr>
              <w:t>分；方案</w:t>
            </w:r>
            <w:r>
              <w:rPr>
                <w:rFonts w:hint="eastAsia"/>
                <w:color w:val="auto"/>
                <w:sz w:val="24"/>
                <w:szCs w:val="24"/>
                <w:highlight w:val="none"/>
              </w:rPr>
              <w:t>较</w:t>
            </w:r>
            <w:r>
              <w:rPr>
                <w:color w:val="auto"/>
                <w:sz w:val="24"/>
                <w:szCs w:val="24"/>
                <w:highlight w:val="none"/>
              </w:rPr>
              <w:t>科学合理的得</w:t>
            </w:r>
            <w:r>
              <w:rPr>
                <w:rFonts w:hint="eastAsia"/>
                <w:color w:val="auto"/>
                <w:sz w:val="24"/>
                <w:szCs w:val="24"/>
                <w:highlight w:val="none"/>
              </w:rPr>
              <w:t>3分，</w:t>
            </w:r>
            <w:r>
              <w:rPr>
                <w:color w:val="auto"/>
                <w:sz w:val="24"/>
                <w:szCs w:val="24"/>
                <w:highlight w:val="none"/>
              </w:rPr>
              <w:t>方案基本满足项目需求的得</w:t>
            </w:r>
            <w:r>
              <w:rPr>
                <w:rFonts w:hint="eastAsia"/>
                <w:color w:val="auto"/>
                <w:sz w:val="24"/>
                <w:szCs w:val="24"/>
                <w:highlight w:val="none"/>
              </w:rPr>
              <w:t>2</w:t>
            </w:r>
            <w:r>
              <w:rPr>
                <w:color w:val="auto"/>
                <w:sz w:val="24"/>
                <w:szCs w:val="24"/>
                <w:highlight w:val="none"/>
              </w:rPr>
              <w:t>分；方案有缺陷的得1分；未提供方案得0分。</w:t>
            </w:r>
          </w:p>
        </w:tc>
        <w:tc>
          <w:tcPr>
            <w:tcW w:w="613" w:type="dxa"/>
            <w:tcBorders>
              <w:tl2br w:val="nil"/>
              <w:tr2bl w:val="nil"/>
            </w:tcBorders>
            <w:vAlign w:val="center"/>
          </w:tcPr>
          <w:p w14:paraId="16B923C7">
            <w:pPr>
              <w:pStyle w:val="176"/>
              <w:keepNext w:val="0"/>
              <w:keepLines w:val="0"/>
              <w:pageBreakBefore w:val="0"/>
              <w:widowControl w:val="0"/>
              <w:kinsoku/>
              <w:wordWrap/>
              <w:overflowPunct/>
              <w:topLinePunct w:val="0"/>
              <w:autoSpaceDE/>
              <w:autoSpaceDN/>
              <w:bidi w:val="0"/>
              <w:adjustRightInd w:val="0"/>
              <w:spacing w:line="360" w:lineRule="auto"/>
              <w:ind w:firstLine="50" w:firstLineChars="21"/>
              <w:jc w:val="center"/>
              <w:textAlignment w:val="auto"/>
              <w:rPr>
                <w:rFonts w:hint="eastAsia" w:ascii="宋体" w:hAnsi="宋体" w:eastAsia="宋体" w:cs="宋体"/>
                <w:color w:val="auto"/>
                <w:sz w:val="24"/>
                <w:szCs w:val="24"/>
                <w:highlight w:val="none"/>
              </w:rPr>
            </w:pPr>
            <w:r>
              <w:rPr>
                <w:rFonts w:hint="eastAsia"/>
                <w:color w:val="auto"/>
                <w:sz w:val="24"/>
                <w:szCs w:val="24"/>
                <w:highlight w:val="none"/>
              </w:rPr>
              <w:t>4</w:t>
            </w:r>
          </w:p>
        </w:tc>
        <w:tc>
          <w:tcPr>
            <w:tcW w:w="907" w:type="dxa"/>
            <w:tcBorders>
              <w:tl2br w:val="nil"/>
              <w:tr2bl w:val="nil"/>
            </w:tcBorders>
            <w:vAlign w:val="center"/>
          </w:tcPr>
          <w:p w14:paraId="3078C2A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主观分</w:t>
            </w:r>
          </w:p>
        </w:tc>
        <w:tc>
          <w:tcPr>
            <w:tcW w:w="1117" w:type="dxa"/>
            <w:tcBorders>
              <w:tl2br w:val="nil"/>
              <w:tr2bl w:val="nil"/>
            </w:tcBorders>
            <w:vAlign w:val="center"/>
          </w:tcPr>
          <w:p w14:paraId="02BB9C6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4"/>
                <w:szCs w:val="24"/>
                <w:highlight w:val="none"/>
              </w:rPr>
            </w:pPr>
          </w:p>
        </w:tc>
      </w:tr>
      <w:tr w14:paraId="73D631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trPr>
        <w:tc>
          <w:tcPr>
            <w:tcW w:w="706" w:type="dxa"/>
            <w:tcBorders>
              <w:tl2br w:val="nil"/>
              <w:tr2bl w:val="nil"/>
            </w:tcBorders>
            <w:vAlign w:val="center"/>
          </w:tcPr>
          <w:p w14:paraId="2699D063">
            <w:pPr>
              <w:keepNext w:val="0"/>
              <w:keepLines w:val="0"/>
              <w:pageBreakBefore w:val="0"/>
              <w:widowControl w:val="0"/>
              <w:kinsoku/>
              <w:wordWrap/>
              <w:overflowPunct/>
              <w:topLinePunct w:val="0"/>
              <w:autoSpaceDE/>
              <w:autoSpaceDN/>
              <w:bidi w:val="0"/>
              <w:adjustRightInd w:val="0"/>
              <w:spacing w:line="360" w:lineRule="auto"/>
              <w:jc w:val="center"/>
              <w:textAlignment w:val="auto"/>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p>
        </w:tc>
        <w:tc>
          <w:tcPr>
            <w:tcW w:w="1214" w:type="dxa"/>
            <w:tcBorders>
              <w:tl2br w:val="nil"/>
              <w:tr2bl w:val="nil"/>
            </w:tcBorders>
            <w:vAlign w:val="center"/>
          </w:tcPr>
          <w:p w14:paraId="7FA1DA09">
            <w:pPr>
              <w:keepNext w:val="0"/>
              <w:keepLines w:val="0"/>
              <w:pageBreakBefore w:val="0"/>
              <w:widowControl w:val="0"/>
              <w:kinsoku/>
              <w:wordWrap/>
              <w:overflowPunct/>
              <w:topLinePunct w:val="0"/>
              <w:autoSpaceDE/>
              <w:autoSpaceDN/>
              <w:bidi w:val="0"/>
              <w:adjustRightInd w:val="0"/>
              <w:spacing w:line="360" w:lineRule="auto"/>
              <w:jc w:val="center"/>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价格</w:t>
            </w:r>
          </w:p>
        </w:tc>
        <w:tc>
          <w:tcPr>
            <w:tcW w:w="5593" w:type="dxa"/>
            <w:tcBorders>
              <w:tl2br w:val="nil"/>
              <w:tr2bl w:val="nil"/>
            </w:tcBorders>
            <w:vAlign w:val="center"/>
          </w:tcPr>
          <w:p w14:paraId="3F17EF63">
            <w:pPr>
              <w:keepNext w:val="0"/>
              <w:keepLines w:val="0"/>
              <w:pageBreakBefore w:val="0"/>
              <w:widowControl w:val="0"/>
              <w:kinsoku/>
              <w:wordWrap/>
              <w:overflowPunct/>
              <w:topLinePunct w:val="0"/>
              <w:autoSpaceDE/>
              <w:autoSpaceDN/>
              <w:bidi w:val="0"/>
              <w:adjustRightInd w:val="0"/>
              <w:spacing w:line="360" w:lineRule="auto"/>
              <w:jc w:val="left"/>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有效</w:t>
            </w:r>
            <w:r>
              <w:rPr>
                <w:rFonts w:hint="eastAsia" w:ascii="宋体" w:hAnsi="宋体" w:eastAsia="宋体" w:cs="宋体"/>
                <w:color w:val="auto"/>
                <w:sz w:val="24"/>
                <w:szCs w:val="24"/>
                <w:highlight w:val="none"/>
                <w:lang w:eastAsia="zh-CN"/>
              </w:rPr>
              <w:t>最后</w:t>
            </w:r>
            <w:r>
              <w:rPr>
                <w:rFonts w:hint="eastAsia" w:ascii="宋体" w:hAnsi="宋体" w:eastAsia="宋体" w:cs="宋体"/>
                <w:color w:val="auto"/>
                <w:sz w:val="24"/>
                <w:szCs w:val="24"/>
                <w:highlight w:val="none"/>
              </w:rPr>
              <w:t>报价的最低价作为评标基准价，其最低报价为满分；按［</w:t>
            </w:r>
            <w:r>
              <w:rPr>
                <w:rFonts w:hint="eastAsia" w:ascii="宋体" w:hAnsi="宋体" w:eastAsia="宋体" w:cs="宋体"/>
                <w:color w:val="auto"/>
                <w:sz w:val="24"/>
                <w:szCs w:val="24"/>
                <w:highlight w:val="none"/>
                <w:lang w:eastAsia="zh-CN"/>
              </w:rPr>
              <w:t>供应商最后</w:t>
            </w:r>
            <w:r>
              <w:rPr>
                <w:rFonts w:hint="eastAsia" w:ascii="宋体" w:hAnsi="宋体" w:eastAsia="宋体" w:cs="宋体"/>
                <w:color w:val="auto"/>
                <w:sz w:val="24"/>
                <w:szCs w:val="24"/>
                <w:highlight w:val="none"/>
              </w:rPr>
              <w:t>报价得分=（评标基准价/</w:t>
            </w:r>
            <w:r>
              <w:rPr>
                <w:rFonts w:hint="eastAsia" w:ascii="宋体" w:hAnsi="宋体" w:eastAsia="宋体" w:cs="宋体"/>
                <w:color w:val="auto"/>
                <w:sz w:val="24"/>
                <w:szCs w:val="24"/>
                <w:highlight w:val="none"/>
                <w:lang w:eastAsia="zh-CN"/>
              </w:rPr>
              <w:t>最后</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eastAsia="zh-CN"/>
              </w:rPr>
              <w:t>权重</w:t>
            </w:r>
            <w:r>
              <w:rPr>
                <w:rFonts w:hint="eastAsia" w:ascii="宋体" w:hAnsi="宋体" w:eastAsia="宋体" w:cs="宋体"/>
                <w:color w:val="auto"/>
                <w:sz w:val="24"/>
                <w:szCs w:val="24"/>
                <w:highlight w:val="none"/>
              </w:rPr>
              <w:t>］的计算公式计算。</w:t>
            </w:r>
          </w:p>
          <w:p w14:paraId="4B2BA6D3">
            <w:pPr>
              <w:keepNext w:val="0"/>
              <w:keepLines w:val="0"/>
              <w:pageBreakBefore w:val="0"/>
              <w:widowControl w:val="0"/>
              <w:kinsoku/>
              <w:wordWrap/>
              <w:overflowPunct/>
              <w:topLinePunct w:val="0"/>
              <w:autoSpaceDE/>
              <w:autoSpaceDN/>
              <w:bidi w:val="0"/>
              <w:adjustRightInd w:val="0"/>
              <w:spacing w:line="360" w:lineRule="auto"/>
              <w:jc w:val="left"/>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594EE5F4">
            <w:pPr>
              <w:keepNext w:val="0"/>
              <w:keepLines w:val="0"/>
              <w:pageBreakBefore w:val="0"/>
              <w:widowControl w:val="0"/>
              <w:kinsoku/>
              <w:wordWrap/>
              <w:overflowPunct/>
              <w:topLinePunct w:val="0"/>
              <w:autoSpaceDE/>
              <w:autoSpaceDN/>
              <w:bidi w:val="0"/>
              <w:adjustRightInd w:val="0"/>
              <w:spacing w:line="360" w:lineRule="auto"/>
              <w:jc w:val="left"/>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对于未预留份额专门面向中小企业的政府采购</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项目，以及预留份额政府采购服务项目中的非预留部分标项，对小型和微型企业的投标报价给予</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的扣除，用扣除后的价格参加评审。</w:t>
            </w:r>
          </w:p>
        </w:tc>
        <w:tc>
          <w:tcPr>
            <w:tcW w:w="613" w:type="dxa"/>
            <w:tcBorders>
              <w:tl2br w:val="nil"/>
              <w:tr2bl w:val="nil"/>
            </w:tcBorders>
            <w:vAlign w:val="center"/>
          </w:tcPr>
          <w:p w14:paraId="7DD76960">
            <w:pPr>
              <w:keepNext w:val="0"/>
              <w:keepLines w:val="0"/>
              <w:pageBreakBefore w:val="0"/>
              <w:widowControl w:val="0"/>
              <w:kinsoku/>
              <w:wordWrap/>
              <w:overflowPunct/>
              <w:topLinePunct w:val="0"/>
              <w:autoSpaceDE/>
              <w:autoSpaceDN/>
              <w:bidi w:val="0"/>
              <w:adjustRightInd w:val="0"/>
              <w:spacing w:line="360" w:lineRule="auto"/>
              <w:ind w:firstLine="120" w:firstLineChars="50"/>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907" w:type="dxa"/>
            <w:tcBorders>
              <w:tl2br w:val="nil"/>
              <w:tr2bl w:val="nil"/>
            </w:tcBorders>
            <w:vAlign w:val="center"/>
          </w:tcPr>
          <w:p w14:paraId="449B4E4C">
            <w:pPr>
              <w:keepNext w:val="0"/>
              <w:keepLines w:val="0"/>
              <w:pageBreakBefore w:val="0"/>
              <w:widowControl w:val="0"/>
              <w:kinsoku/>
              <w:wordWrap/>
              <w:overflowPunct/>
              <w:topLinePunct w:val="0"/>
              <w:autoSpaceDE/>
              <w:autoSpaceDN/>
              <w:bidi w:val="0"/>
              <w:adjustRightInd w:val="0"/>
              <w:spacing w:line="36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客观分</w:t>
            </w:r>
          </w:p>
        </w:tc>
        <w:tc>
          <w:tcPr>
            <w:tcW w:w="1117" w:type="dxa"/>
            <w:tcBorders>
              <w:tl2br w:val="nil"/>
              <w:tr2bl w:val="nil"/>
            </w:tcBorders>
            <w:vAlign w:val="center"/>
          </w:tcPr>
          <w:p w14:paraId="7218A71B">
            <w:pPr>
              <w:keepNext w:val="0"/>
              <w:keepLines w:val="0"/>
              <w:pageBreakBefore w:val="0"/>
              <w:widowControl w:val="0"/>
              <w:kinsoku/>
              <w:wordWrap/>
              <w:overflowPunct/>
              <w:topLinePunct w:val="0"/>
              <w:autoSpaceDE/>
              <w:autoSpaceDN/>
              <w:bidi w:val="0"/>
              <w:adjustRightInd w:val="0"/>
              <w:spacing w:line="360" w:lineRule="auto"/>
              <w:jc w:val="center"/>
              <w:textAlignment w:val="auto"/>
              <w:outlineLvl w:val="0"/>
              <w:rPr>
                <w:rFonts w:hint="eastAsia" w:ascii="宋体" w:hAnsi="宋体" w:eastAsia="宋体" w:cs="宋体"/>
                <w:color w:val="auto"/>
                <w:sz w:val="24"/>
                <w:szCs w:val="24"/>
                <w:highlight w:val="none"/>
              </w:rPr>
            </w:pPr>
          </w:p>
        </w:tc>
      </w:tr>
    </w:tbl>
    <w:p w14:paraId="4C87434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编制</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文件（商务技术文件部分）时，建议按此目录（序号和内容）提供评标标准相应的商务技术资料。 </w:t>
      </w:r>
    </w:p>
    <w:p w14:paraId="14F6A314">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3B59908F">
      <w:pPr>
        <w:keepNext w:val="0"/>
        <w:keepLines w:val="0"/>
        <w:pageBreakBefore w:val="0"/>
        <w:widowControl w:val="0"/>
        <w:numPr>
          <w:ilvl w:val="0"/>
          <w:numId w:val="23"/>
        </w:numPr>
        <w:kinsoku/>
        <w:wordWrap/>
        <w:overflowPunct/>
        <w:topLinePunct w:val="0"/>
        <w:autoSpaceDE/>
        <w:autoSpaceDN/>
        <w:bidi w:val="0"/>
        <w:adjustRightInd w:val="0"/>
        <w:snapToGrid w:val="0"/>
        <w:spacing w:before="0" w:beforeLines="50" w:after="0" w:afterLines="50" w:line="360" w:lineRule="auto"/>
        <w:ind w:left="0" w:leftChars="0" w:firstLine="0" w:firstLineChars="0"/>
        <w:jc w:val="left"/>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评审方法</w:t>
      </w:r>
    </w:p>
    <w:p w14:paraId="42F58BE9">
      <w:pPr>
        <w:numPr>
          <w:ilvl w:val="0"/>
          <w:numId w:val="24"/>
        </w:numPr>
        <w:adjustRightInd/>
        <w:spacing w:line="360" w:lineRule="auto"/>
        <w:ind w:left="5" w:leftChars="0" w:firstLine="415" w:firstLineChars="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lang w:eastAsia="zh-CN"/>
        </w:rPr>
        <w:t>本项目采用</w:t>
      </w:r>
      <w:r>
        <w:rPr>
          <w:rFonts w:hint="eastAsia" w:ascii="宋体" w:hAnsi="宋体" w:eastAsia="宋体" w:cs="宋体"/>
          <w:b/>
          <w:color w:val="auto"/>
          <w:kern w:val="0"/>
          <w:sz w:val="24"/>
          <w:highlight w:val="none"/>
        </w:rPr>
        <w:t>综合评分法。</w:t>
      </w:r>
      <w:r>
        <w:rPr>
          <w:rFonts w:hint="eastAsia" w:ascii="宋体" w:hAnsi="宋体" w:eastAsia="宋体" w:cs="宋体"/>
          <w:color w:val="auto"/>
          <w:kern w:val="0"/>
          <w:sz w:val="24"/>
          <w:highlight w:val="none"/>
        </w:rPr>
        <w:t>综合评分法，是指响应文件满足磋商文件全部实质性要求，且按照评审因素的量化指标评审得分最高的供应商为成交候选人的评审方法。</w:t>
      </w:r>
    </w:p>
    <w:p w14:paraId="5D152162">
      <w:pPr>
        <w:keepNext w:val="0"/>
        <w:keepLines w:val="0"/>
        <w:pageBreakBefore w:val="0"/>
        <w:widowControl w:val="0"/>
        <w:numPr>
          <w:ilvl w:val="0"/>
          <w:numId w:val="23"/>
        </w:numPr>
        <w:kinsoku/>
        <w:wordWrap/>
        <w:overflowPunct/>
        <w:topLinePunct w:val="0"/>
        <w:autoSpaceDE/>
        <w:autoSpaceDN/>
        <w:bidi w:val="0"/>
        <w:adjustRightInd w:val="0"/>
        <w:snapToGrid w:val="0"/>
        <w:spacing w:before="0" w:beforeLines="50" w:after="0" w:afterLines="50" w:line="360" w:lineRule="auto"/>
        <w:ind w:left="0" w:leftChars="0" w:firstLine="0" w:firstLineChars="0"/>
        <w:jc w:val="left"/>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评标标准</w:t>
      </w:r>
    </w:p>
    <w:p w14:paraId="132B30A5">
      <w:pPr>
        <w:numPr>
          <w:ilvl w:val="0"/>
          <w:numId w:val="24"/>
        </w:numPr>
        <w:adjustRightInd/>
        <w:spacing w:line="360" w:lineRule="auto"/>
        <w:ind w:left="5" w:leftChars="0" w:firstLine="415" w:firstLineChars="0"/>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评标标准：</w:t>
      </w:r>
      <w:r>
        <w:rPr>
          <w:rFonts w:hint="eastAsia" w:ascii="宋体" w:hAnsi="宋体" w:eastAsia="宋体" w:cs="宋体"/>
          <w:color w:val="auto"/>
          <w:kern w:val="0"/>
          <w:sz w:val="24"/>
          <w:highlight w:val="none"/>
        </w:rPr>
        <w:t>见评标办法前附表。</w:t>
      </w:r>
    </w:p>
    <w:p w14:paraId="3494B3AE">
      <w:pPr>
        <w:keepNext w:val="0"/>
        <w:keepLines w:val="0"/>
        <w:pageBreakBefore w:val="0"/>
        <w:widowControl w:val="0"/>
        <w:numPr>
          <w:ilvl w:val="0"/>
          <w:numId w:val="23"/>
        </w:numPr>
        <w:kinsoku/>
        <w:wordWrap/>
        <w:overflowPunct/>
        <w:topLinePunct w:val="0"/>
        <w:autoSpaceDE/>
        <w:autoSpaceDN/>
        <w:bidi w:val="0"/>
        <w:adjustRightInd w:val="0"/>
        <w:snapToGrid w:val="0"/>
        <w:spacing w:before="0" w:beforeLines="50" w:after="0" w:afterLines="50" w:line="360" w:lineRule="auto"/>
        <w:ind w:left="0" w:leftChars="0" w:firstLine="0" w:firstLineChars="0"/>
        <w:jc w:val="left"/>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磋商小组的组成</w:t>
      </w:r>
    </w:p>
    <w:p w14:paraId="74EF200A">
      <w:pPr>
        <w:pStyle w:val="392"/>
        <w:numPr>
          <w:ilvl w:val="0"/>
          <w:numId w:val="0"/>
        </w:numPr>
        <w:spacing w:before="0"/>
        <w:ind w:left="397" w:leftChars="0"/>
        <w:rPr>
          <w:rFonts w:hint="eastAsia" w:ascii="宋体" w:hAnsi="宋体" w:eastAsia="宋体" w:cs="宋体"/>
          <w:b/>
          <w:color w:val="auto"/>
          <w:kern w:val="0"/>
          <w:highlight w:val="none"/>
        </w:rPr>
      </w:pPr>
      <w:r>
        <w:rPr>
          <w:rFonts w:hint="eastAsia" w:ascii="宋体" w:hAnsi="宋体" w:eastAsia="宋体" w:cs="宋体"/>
          <w:b/>
          <w:color w:val="auto"/>
          <w:kern w:val="0"/>
          <w:highlight w:val="none"/>
          <w:lang w:val="en-US" w:eastAsia="zh-CN"/>
        </w:rPr>
        <w:t>1.</w:t>
      </w:r>
      <w:r>
        <w:rPr>
          <w:rFonts w:hint="eastAsia" w:ascii="宋体" w:hAnsi="宋体" w:eastAsia="宋体" w:cs="宋体"/>
          <w:b/>
          <w:color w:val="auto"/>
          <w:kern w:val="0"/>
          <w:highlight w:val="none"/>
        </w:rPr>
        <w:t>磋商小组的组成。</w:t>
      </w:r>
    </w:p>
    <w:p w14:paraId="265824E6">
      <w:pPr>
        <w:pStyle w:val="39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人员不得参加本机构代理的采购项目的评审。</w:t>
      </w:r>
    </w:p>
    <w:p w14:paraId="2F055C55">
      <w:pPr>
        <w:pStyle w:val="39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661A004">
      <w:pPr>
        <w:pStyle w:val="392"/>
        <w:numPr>
          <w:ilvl w:val="0"/>
          <w:numId w:val="0"/>
        </w:numPr>
        <w:spacing w:before="0"/>
        <w:ind w:left="397" w:leftChars="0"/>
        <w:rPr>
          <w:rFonts w:hint="eastAsia" w:ascii="宋体" w:hAnsi="宋体" w:eastAsia="宋体" w:cs="宋体"/>
          <w:b/>
          <w:color w:val="auto"/>
          <w:kern w:val="0"/>
          <w:highlight w:val="none"/>
        </w:rPr>
      </w:pPr>
      <w:r>
        <w:rPr>
          <w:rFonts w:hint="eastAsia" w:ascii="宋体" w:hAnsi="宋体" w:eastAsia="宋体" w:cs="宋体"/>
          <w:b/>
          <w:color w:val="auto"/>
          <w:kern w:val="0"/>
          <w:highlight w:val="none"/>
          <w:lang w:val="en-US" w:eastAsia="zh-CN"/>
        </w:rPr>
        <w:t>2.</w:t>
      </w:r>
      <w:r>
        <w:rPr>
          <w:rFonts w:hint="eastAsia" w:ascii="宋体" w:hAnsi="宋体" w:eastAsia="宋体" w:cs="宋体"/>
          <w:b/>
          <w:color w:val="auto"/>
          <w:kern w:val="0"/>
          <w:highlight w:val="none"/>
        </w:rPr>
        <w:t>磋商小组的组成人员的回避。</w:t>
      </w:r>
    </w:p>
    <w:p w14:paraId="7C20ED9E">
      <w:pPr>
        <w:pStyle w:val="39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在政府采购活动中，磋商小组的组成人员与供应商有下列利害关系之一的，应当回避：</w:t>
      </w:r>
    </w:p>
    <w:p w14:paraId="73BA6DEE">
      <w:pPr>
        <w:pStyle w:val="392"/>
        <w:numPr>
          <w:ilvl w:val="0"/>
          <w:numId w:val="0"/>
        </w:numPr>
        <w:spacing w:before="0"/>
        <w:ind w:left="0" w:leftChars="0" w:firstLine="420" w:firstLineChars="175"/>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2.1</w:t>
      </w:r>
      <w:r>
        <w:rPr>
          <w:rFonts w:hint="eastAsia" w:ascii="宋体" w:hAnsi="宋体" w:eastAsia="宋体" w:cs="宋体"/>
          <w:color w:val="auto"/>
          <w:kern w:val="0"/>
          <w:highlight w:val="none"/>
        </w:rPr>
        <w:t>参加采购活动前3年内与供应商存在劳动关系；</w:t>
      </w:r>
    </w:p>
    <w:p w14:paraId="793090B2">
      <w:pPr>
        <w:pStyle w:val="392"/>
        <w:numPr>
          <w:ilvl w:val="0"/>
          <w:numId w:val="0"/>
        </w:numPr>
        <w:spacing w:before="0"/>
        <w:ind w:left="0" w:leftChars="0" w:firstLine="420" w:firstLineChars="175"/>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2.2</w:t>
      </w:r>
      <w:r>
        <w:rPr>
          <w:rFonts w:hint="eastAsia" w:ascii="宋体" w:hAnsi="宋体" w:eastAsia="宋体" w:cs="宋体"/>
          <w:color w:val="auto"/>
          <w:kern w:val="0"/>
          <w:highlight w:val="none"/>
        </w:rPr>
        <w:t>参加采购活动前3年内担任供应商的董事、监事；</w:t>
      </w:r>
    </w:p>
    <w:p w14:paraId="4F7A12BB">
      <w:pPr>
        <w:pStyle w:val="392"/>
        <w:numPr>
          <w:ilvl w:val="0"/>
          <w:numId w:val="0"/>
        </w:numPr>
        <w:spacing w:before="0"/>
        <w:ind w:left="0" w:leftChars="0" w:firstLine="420" w:firstLineChars="175"/>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2.3</w:t>
      </w:r>
      <w:r>
        <w:rPr>
          <w:rFonts w:hint="eastAsia" w:ascii="宋体" w:hAnsi="宋体" w:eastAsia="宋体" w:cs="宋体"/>
          <w:color w:val="auto"/>
          <w:kern w:val="0"/>
          <w:highlight w:val="none"/>
        </w:rPr>
        <w:t>参加采购活动前3年内是供应商的控股股东或者实际控制人；</w:t>
      </w:r>
    </w:p>
    <w:p w14:paraId="418BE17A">
      <w:pPr>
        <w:pStyle w:val="392"/>
        <w:numPr>
          <w:ilvl w:val="0"/>
          <w:numId w:val="0"/>
        </w:numPr>
        <w:spacing w:before="0"/>
        <w:ind w:left="0" w:leftChars="0" w:firstLine="420" w:firstLineChars="175"/>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2.4</w:t>
      </w:r>
      <w:r>
        <w:rPr>
          <w:rFonts w:hint="eastAsia" w:ascii="宋体" w:hAnsi="宋体" w:eastAsia="宋体" w:cs="宋体"/>
          <w:color w:val="auto"/>
          <w:kern w:val="0"/>
          <w:highlight w:val="none"/>
        </w:rPr>
        <w:t>与供应商的法定代表人或者负责人有夫妻、直系血亲、三代以内旁系血亲或者近姻亲关系；</w:t>
      </w:r>
    </w:p>
    <w:p w14:paraId="243DE5E2">
      <w:pPr>
        <w:pStyle w:val="392"/>
        <w:numPr>
          <w:ilvl w:val="0"/>
          <w:numId w:val="0"/>
        </w:numPr>
        <w:spacing w:before="0"/>
        <w:ind w:left="0" w:leftChars="0" w:firstLine="420" w:firstLineChars="175"/>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2.5</w:t>
      </w:r>
      <w:r>
        <w:rPr>
          <w:rFonts w:hint="eastAsia" w:ascii="宋体" w:hAnsi="宋体" w:eastAsia="宋体" w:cs="宋体"/>
          <w:color w:val="auto"/>
          <w:kern w:val="0"/>
          <w:highlight w:val="none"/>
        </w:rPr>
        <w:t>与供应商有其他可能影响政府采购活动公平、公正进行的关系。</w:t>
      </w:r>
    </w:p>
    <w:p w14:paraId="2B476526">
      <w:pPr>
        <w:keepNext w:val="0"/>
        <w:keepLines w:val="0"/>
        <w:pageBreakBefore w:val="0"/>
        <w:widowControl w:val="0"/>
        <w:numPr>
          <w:ilvl w:val="0"/>
          <w:numId w:val="23"/>
        </w:numPr>
        <w:kinsoku/>
        <w:wordWrap/>
        <w:overflowPunct/>
        <w:topLinePunct w:val="0"/>
        <w:autoSpaceDE/>
        <w:autoSpaceDN/>
        <w:bidi w:val="0"/>
        <w:adjustRightInd w:val="0"/>
        <w:snapToGrid w:val="0"/>
        <w:spacing w:before="0" w:beforeLines="50" w:after="0" w:afterLines="50" w:line="360" w:lineRule="auto"/>
        <w:ind w:left="0" w:leftChars="0" w:firstLine="0" w:firstLineChars="0"/>
        <w:jc w:val="left"/>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磋商小组的职责</w:t>
      </w:r>
    </w:p>
    <w:p w14:paraId="516A6A8D">
      <w:pPr>
        <w:pStyle w:val="392"/>
        <w:numPr>
          <w:ilvl w:val="0"/>
          <w:numId w:val="0"/>
        </w:numPr>
        <w:spacing w:before="0"/>
        <w:ind w:left="397" w:leftChars="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lang w:val="en-US" w:eastAsia="zh-CN"/>
        </w:rPr>
        <w:t>1.</w:t>
      </w:r>
      <w:r>
        <w:rPr>
          <w:rFonts w:hint="eastAsia" w:ascii="宋体" w:hAnsi="宋体" w:eastAsia="宋体" w:cs="宋体"/>
          <w:b/>
          <w:bCs/>
          <w:color w:val="auto"/>
          <w:szCs w:val="24"/>
          <w:highlight w:val="none"/>
        </w:rPr>
        <w:t>磋商小组负责具体评审事务，并独立履行下列职责：</w:t>
      </w:r>
    </w:p>
    <w:p w14:paraId="4EF0229D">
      <w:pPr>
        <w:pStyle w:val="392"/>
        <w:numPr>
          <w:ilvl w:val="0"/>
          <w:numId w:val="0"/>
        </w:numPr>
        <w:spacing w:before="0"/>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1.1对响应文件的有效性、完整性和响应程度进行审查；</w:t>
      </w:r>
    </w:p>
    <w:p w14:paraId="3B545BFF">
      <w:pPr>
        <w:pStyle w:val="392"/>
        <w:numPr>
          <w:ilvl w:val="0"/>
          <w:numId w:val="0"/>
        </w:numPr>
        <w:spacing w:before="0"/>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1.2审查、评价响应文件是否符合磋商文件的商务、技术等实质性要求；</w:t>
      </w:r>
    </w:p>
    <w:p w14:paraId="5496254B">
      <w:pPr>
        <w:pStyle w:val="392"/>
        <w:numPr>
          <w:ilvl w:val="0"/>
          <w:numId w:val="0"/>
        </w:numPr>
        <w:spacing w:before="0"/>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1.3要求供应商对响应文件有关事项作出澄清、说明或者更正；</w:t>
      </w:r>
    </w:p>
    <w:p w14:paraId="44D78FCE">
      <w:pPr>
        <w:pStyle w:val="392"/>
        <w:numPr>
          <w:ilvl w:val="0"/>
          <w:numId w:val="0"/>
        </w:numPr>
        <w:spacing w:before="0"/>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1.4磋商小组集中与单一供应商分别进行磋商；</w:t>
      </w:r>
    </w:p>
    <w:p w14:paraId="678FCA02">
      <w:pPr>
        <w:pStyle w:val="392"/>
        <w:numPr>
          <w:ilvl w:val="0"/>
          <w:numId w:val="0"/>
        </w:numPr>
        <w:spacing w:before="0"/>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1.5确定磋商文件的变动情况，并确定提交最后报价的供应商；</w:t>
      </w:r>
    </w:p>
    <w:p w14:paraId="4E03439A">
      <w:pPr>
        <w:pStyle w:val="392"/>
        <w:numPr>
          <w:ilvl w:val="0"/>
          <w:numId w:val="0"/>
        </w:numPr>
        <w:spacing w:before="0"/>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1.6根据磋商文件确定的评审办法及评审标准对提交最后报价的供应商的响应文件和最后报价采用综合评分法进行综合评分；</w:t>
      </w:r>
    </w:p>
    <w:p w14:paraId="12C7CFAF">
      <w:pPr>
        <w:pStyle w:val="392"/>
        <w:numPr>
          <w:ilvl w:val="0"/>
          <w:numId w:val="0"/>
        </w:numPr>
        <w:spacing w:before="0"/>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1.7编制评审报告，确定成交候选人名单，以及根据采购人委托直接确定成交人；</w:t>
      </w:r>
    </w:p>
    <w:p w14:paraId="39FD5209">
      <w:pPr>
        <w:pStyle w:val="392"/>
        <w:numPr>
          <w:ilvl w:val="0"/>
          <w:numId w:val="0"/>
        </w:numPr>
        <w:spacing w:before="0"/>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1.8向采购人、采购代理机构或者有关部门报告评审中发现的违法行为；</w:t>
      </w:r>
    </w:p>
    <w:p w14:paraId="79878505">
      <w:pPr>
        <w:pStyle w:val="392"/>
        <w:numPr>
          <w:ilvl w:val="0"/>
          <w:numId w:val="0"/>
        </w:numPr>
        <w:spacing w:before="0"/>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1.9法律、法规、规章、磋商文件等规定的其它事项。</w:t>
      </w:r>
    </w:p>
    <w:p w14:paraId="247AAB88">
      <w:pPr>
        <w:pStyle w:val="392"/>
        <w:numPr>
          <w:ilvl w:val="0"/>
          <w:numId w:val="0"/>
        </w:numPr>
        <w:spacing w:before="0"/>
        <w:ind w:left="397" w:leftChars="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lang w:val="en-US" w:eastAsia="zh-CN"/>
        </w:rPr>
        <w:t>2.</w:t>
      </w:r>
      <w:r>
        <w:rPr>
          <w:rFonts w:hint="eastAsia" w:ascii="宋体" w:hAnsi="宋体" w:eastAsia="宋体" w:cs="宋体"/>
          <w:b/>
          <w:bCs/>
          <w:color w:val="auto"/>
          <w:szCs w:val="24"/>
          <w:highlight w:val="none"/>
        </w:rPr>
        <w:t>磋商小组及其成员不得有下列行为：</w:t>
      </w:r>
    </w:p>
    <w:p w14:paraId="508A467E">
      <w:pPr>
        <w:pStyle w:val="392"/>
        <w:numPr>
          <w:ilvl w:val="0"/>
          <w:numId w:val="0"/>
        </w:numPr>
        <w:spacing w:before="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2.1</w:t>
      </w:r>
      <w:r>
        <w:rPr>
          <w:rFonts w:hint="eastAsia" w:ascii="宋体" w:hAnsi="宋体" w:eastAsia="宋体" w:cs="宋体"/>
          <w:color w:val="auto"/>
          <w:highlight w:val="none"/>
        </w:rPr>
        <w:t>确定参与本项目至评审结束前私自接触供应商；</w:t>
      </w:r>
    </w:p>
    <w:p w14:paraId="69133305">
      <w:pPr>
        <w:pStyle w:val="392"/>
        <w:numPr>
          <w:ilvl w:val="0"/>
          <w:numId w:val="0"/>
        </w:numPr>
        <w:spacing w:before="0"/>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2.2接受供应商提出的“超出响应文件的范围或者改变响应文件的实质性内容”的澄清、说明或者更正； </w:t>
      </w:r>
    </w:p>
    <w:p w14:paraId="62F41786">
      <w:pPr>
        <w:pStyle w:val="392"/>
        <w:numPr>
          <w:ilvl w:val="0"/>
          <w:numId w:val="0"/>
        </w:numPr>
        <w:spacing w:before="0"/>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2.3违反评审纪律发表倾向性意见或者征询采购人的倾向性意见；</w:t>
      </w:r>
    </w:p>
    <w:p w14:paraId="690747A3">
      <w:pPr>
        <w:pStyle w:val="392"/>
        <w:numPr>
          <w:ilvl w:val="0"/>
          <w:numId w:val="0"/>
        </w:numPr>
        <w:spacing w:before="0"/>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2.4对需要专业判断的主观评审因素协商评分；</w:t>
      </w:r>
    </w:p>
    <w:p w14:paraId="0228599E">
      <w:pPr>
        <w:pStyle w:val="392"/>
        <w:numPr>
          <w:ilvl w:val="0"/>
          <w:numId w:val="0"/>
        </w:numPr>
        <w:spacing w:before="0"/>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2.5在评审过程中擅离职守，影响评审程序正常进行的；</w:t>
      </w:r>
    </w:p>
    <w:p w14:paraId="591924BF">
      <w:pPr>
        <w:pStyle w:val="392"/>
        <w:numPr>
          <w:ilvl w:val="0"/>
          <w:numId w:val="0"/>
        </w:numPr>
        <w:spacing w:before="0"/>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2.6记录、复制或者带走任何评审资料；</w:t>
      </w:r>
    </w:p>
    <w:p w14:paraId="7BFD1939">
      <w:pPr>
        <w:pStyle w:val="392"/>
        <w:numPr>
          <w:ilvl w:val="0"/>
          <w:numId w:val="0"/>
        </w:numPr>
        <w:spacing w:before="0"/>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2.7其他不遵守评审纪律的行为。</w:t>
      </w:r>
    </w:p>
    <w:p w14:paraId="5B2C75DA">
      <w:pPr>
        <w:pStyle w:val="39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磋商小组成员有2.1-2.5行为之一的，其评审意见无效，并不得获取评审劳务报酬和报销异地评审差旅费。</w:t>
      </w:r>
    </w:p>
    <w:p w14:paraId="7F651E9C">
      <w:pPr>
        <w:keepNext w:val="0"/>
        <w:keepLines w:val="0"/>
        <w:pageBreakBefore w:val="0"/>
        <w:widowControl w:val="0"/>
        <w:numPr>
          <w:ilvl w:val="0"/>
          <w:numId w:val="23"/>
        </w:numPr>
        <w:kinsoku/>
        <w:wordWrap/>
        <w:overflowPunct/>
        <w:topLinePunct w:val="0"/>
        <w:autoSpaceDE/>
        <w:autoSpaceDN/>
        <w:bidi w:val="0"/>
        <w:adjustRightInd w:val="0"/>
        <w:snapToGrid w:val="0"/>
        <w:spacing w:before="0" w:beforeLines="50" w:after="0" w:afterLines="50" w:line="360" w:lineRule="auto"/>
        <w:ind w:left="0" w:leftChars="0" w:firstLine="0" w:firstLineChars="0"/>
        <w:jc w:val="left"/>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评审程序</w:t>
      </w:r>
    </w:p>
    <w:p w14:paraId="7E79A20B">
      <w:pPr>
        <w:pStyle w:val="392"/>
        <w:spacing w:before="0"/>
        <w:ind w:firstLine="472" w:firstLineChars="196"/>
        <w:rPr>
          <w:rFonts w:hint="eastAsia" w:ascii="宋体" w:hAnsi="宋体" w:eastAsia="宋体" w:cs="宋体"/>
          <w:b/>
          <w:color w:val="auto"/>
          <w:highlight w:val="none"/>
        </w:rPr>
      </w:pPr>
      <w:r>
        <w:rPr>
          <w:rFonts w:hint="eastAsia" w:ascii="宋体" w:hAnsi="宋体" w:eastAsia="宋体" w:cs="宋体"/>
          <w:b/>
          <w:color w:val="auto"/>
          <w:highlight w:val="none"/>
        </w:rPr>
        <w:t>详见磋商文件“第二部分 竞争性磋商流程”。</w:t>
      </w:r>
    </w:p>
    <w:p w14:paraId="2A6A857C">
      <w:pPr>
        <w:keepNext w:val="0"/>
        <w:keepLines w:val="0"/>
        <w:pageBreakBefore w:val="0"/>
        <w:widowControl w:val="0"/>
        <w:numPr>
          <w:ilvl w:val="0"/>
          <w:numId w:val="23"/>
        </w:numPr>
        <w:kinsoku/>
        <w:wordWrap/>
        <w:overflowPunct/>
        <w:topLinePunct w:val="0"/>
        <w:autoSpaceDE/>
        <w:autoSpaceDN/>
        <w:bidi w:val="0"/>
        <w:adjustRightInd w:val="0"/>
        <w:snapToGrid w:val="0"/>
        <w:spacing w:before="0" w:beforeLines="50" w:after="0" w:afterLines="50" w:line="360" w:lineRule="auto"/>
        <w:ind w:left="0" w:leftChars="0" w:firstLine="0" w:firstLineChars="0"/>
        <w:jc w:val="left"/>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评审须知</w:t>
      </w:r>
    </w:p>
    <w:p w14:paraId="35AAE72F">
      <w:pPr>
        <w:pStyle w:val="392"/>
        <w:numPr>
          <w:ilvl w:val="0"/>
          <w:numId w:val="0"/>
        </w:numPr>
        <w:spacing w:before="0"/>
        <w:ind w:left="397" w:left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val="en-US" w:eastAsia="zh-CN"/>
        </w:rPr>
        <w:t>1.</w:t>
      </w:r>
      <w:r>
        <w:rPr>
          <w:rFonts w:hint="eastAsia" w:ascii="宋体" w:hAnsi="宋体" w:eastAsia="宋体" w:cs="宋体"/>
          <w:b/>
          <w:color w:val="auto"/>
          <w:szCs w:val="24"/>
          <w:highlight w:val="none"/>
        </w:rPr>
        <w:t>响应文件的澄清</w:t>
      </w:r>
    </w:p>
    <w:p w14:paraId="581896F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1404209">
      <w:pPr>
        <w:pStyle w:val="392"/>
        <w:numPr>
          <w:ilvl w:val="0"/>
          <w:numId w:val="0"/>
        </w:numPr>
        <w:spacing w:before="0"/>
        <w:ind w:left="397" w:left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val="en-US" w:eastAsia="zh-CN"/>
        </w:rPr>
        <w:t>2.</w:t>
      </w:r>
      <w:r>
        <w:rPr>
          <w:rFonts w:hint="eastAsia" w:ascii="宋体" w:hAnsi="宋体" w:eastAsia="宋体" w:cs="宋体"/>
          <w:b/>
          <w:color w:val="auto"/>
          <w:szCs w:val="24"/>
          <w:highlight w:val="none"/>
        </w:rPr>
        <w:t>最后报价的修正原则</w:t>
      </w:r>
    </w:p>
    <w:p w14:paraId="617474BA">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磋商小组对响应文件的最后报价进行审核，对发现计算、书写等错误的，按以下原则进行修正：</w:t>
      </w:r>
    </w:p>
    <w:p w14:paraId="387A16AE">
      <w:pPr>
        <w:pStyle w:val="392"/>
        <w:numPr>
          <w:ilvl w:val="0"/>
          <w:numId w:val="0"/>
        </w:numPr>
        <w:spacing w:before="0"/>
        <w:ind w:firstLine="482"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2.1《最后报价一览表》内容与响应文件中响应内容不一致的，以《最后报价一览表》为准;</w:t>
      </w:r>
    </w:p>
    <w:p w14:paraId="78E51FA4">
      <w:pPr>
        <w:pStyle w:val="392"/>
        <w:numPr>
          <w:ilvl w:val="0"/>
          <w:numId w:val="0"/>
        </w:numPr>
        <w:spacing w:before="0"/>
        <w:ind w:firstLine="482"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2.2大写金额和小写金额不一致的，以大写金额为准;</w:t>
      </w:r>
    </w:p>
    <w:p w14:paraId="1D2D1128">
      <w:pPr>
        <w:pStyle w:val="392"/>
        <w:numPr>
          <w:ilvl w:val="0"/>
          <w:numId w:val="0"/>
        </w:numPr>
        <w:spacing w:before="0"/>
        <w:ind w:firstLine="482"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2.3单价金额小数点或者百分比有明显错位的，以《最后报价一览表》的总价为准，并修改单价;</w:t>
      </w:r>
    </w:p>
    <w:p w14:paraId="619B2C25">
      <w:pPr>
        <w:pStyle w:val="392"/>
        <w:numPr>
          <w:ilvl w:val="0"/>
          <w:numId w:val="0"/>
        </w:numPr>
        <w:spacing w:before="0"/>
        <w:ind w:firstLine="482"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2.4总价金额与按单价汇总金额不一致的，以单价金额计算结果为准。</w:t>
      </w:r>
    </w:p>
    <w:p w14:paraId="2707FBEB">
      <w:pPr>
        <w:pStyle w:val="392"/>
        <w:numPr>
          <w:ilvl w:val="0"/>
          <w:numId w:val="0"/>
        </w:numPr>
        <w:spacing w:before="0"/>
        <w:ind w:firstLine="482"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2.5同时出现两种以上不一致的，按照前款规定的顺序修正。</w:t>
      </w:r>
    </w:p>
    <w:p w14:paraId="70503B8D">
      <w:pPr>
        <w:pStyle w:val="392"/>
        <w:numPr>
          <w:ilvl w:val="0"/>
          <w:numId w:val="0"/>
        </w:numPr>
        <w:spacing w:before="0"/>
        <w:ind w:firstLine="482"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2.6以修正后的总价作为最后报价。</w:t>
      </w:r>
    </w:p>
    <w:p w14:paraId="77BCCC56">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
          <w:bCs/>
          <w:color w:val="auto"/>
          <w:sz w:val="24"/>
          <w:highlight w:val="none"/>
        </w:rPr>
        <w:t>供应商对根据修正原则修正后的最后报价不确认的，响应无效。</w:t>
      </w:r>
    </w:p>
    <w:p w14:paraId="3B496AE5">
      <w:pPr>
        <w:pStyle w:val="392"/>
        <w:numPr>
          <w:ilvl w:val="0"/>
          <w:numId w:val="0"/>
        </w:numPr>
        <w:spacing w:before="0"/>
        <w:ind w:left="397" w:left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val="en-US" w:eastAsia="zh-CN"/>
        </w:rPr>
        <w:t>3.</w:t>
      </w:r>
      <w:r>
        <w:rPr>
          <w:rFonts w:hint="eastAsia" w:ascii="宋体" w:hAnsi="宋体" w:eastAsia="宋体" w:cs="宋体"/>
          <w:b/>
          <w:color w:val="auto"/>
          <w:szCs w:val="24"/>
          <w:highlight w:val="none"/>
        </w:rPr>
        <w:t>响应无效</w:t>
      </w:r>
    </w:p>
    <w:p w14:paraId="7928021F">
      <w:pPr>
        <w:pStyle w:val="23"/>
        <w:spacing w:line="360" w:lineRule="auto"/>
        <w:ind w:firstLine="600"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有下列情况之一的，响应无效：</w:t>
      </w:r>
    </w:p>
    <w:p w14:paraId="57DFA539">
      <w:pPr>
        <w:pStyle w:val="392"/>
        <w:numPr>
          <w:ilvl w:val="0"/>
          <w:numId w:val="0"/>
        </w:numPr>
        <w:spacing w:before="0"/>
        <w:ind w:firstLine="482"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3.1单位负责人为同一人或者存在直接控股、管理关系的不同供应商参加同一合同项下的政府采购活动的（均无效）；</w:t>
      </w:r>
    </w:p>
    <w:p w14:paraId="7DAC63B4">
      <w:pPr>
        <w:pStyle w:val="392"/>
        <w:numPr>
          <w:ilvl w:val="0"/>
          <w:numId w:val="0"/>
        </w:numPr>
        <w:spacing w:before="0"/>
        <w:ind w:firstLine="482"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 xml:space="preserve">3.2为采购项目提供整体设计、规范编制或者项目管理、监理、检测等服务的供应商再参加该采购项目的其他采购活动的； </w:t>
      </w:r>
    </w:p>
    <w:p w14:paraId="2B6752E8">
      <w:pPr>
        <w:pStyle w:val="392"/>
        <w:numPr>
          <w:ilvl w:val="0"/>
          <w:numId w:val="0"/>
        </w:numPr>
        <w:spacing w:before="0"/>
        <w:ind w:firstLine="482"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3.3供应商不具备磋商文件中规定的资格要求的（供应商未提供有效的资格证明文件的，视为供应商不具备磋商文件中规定的资格要求）；</w:t>
      </w:r>
    </w:p>
    <w:p w14:paraId="1B34F211">
      <w:pPr>
        <w:pStyle w:val="392"/>
        <w:numPr>
          <w:ilvl w:val="0"/>
          <w:numId w:val="0"/>
        </w:numPr>
        <w:spacing w:before="0"/>
        <w:ind w:firstLine="482"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3.4如以联合体形式参加政府采购活动的，联合协议不符合磋商文件规定的联合协议要求的；</w:t>
      </w:r>
    </w:p>
    <w:p w14:paraId="7DA29638">
      <w:pPr>
        <w:pStyle w:val="392"/>
        <w:numPr>
          <w:ilvl w:val="0"/>
          <w:numId w:val="0"/>
        </w:numPr>
        <w:spacing w:before="0"/>
        <w:ind w:firstLine="482"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3.5响应文件未按磋商文件的澄清、修改的内容编制，又不符合实质性要求的；</w:t>
      </w:r>
    </w:p>
    <w:p w14:paraId="25EE7C7F">
      <w:pPr>
        <w:pStyle w:val="392"/>
        <w:numPr>
          <w:ilvl w:val="0"/>
          <w:numId w:val="0"/>
        </w:numPr>
        <w:spacing w:before="0"/>
        <w:ind w:firstLine="482"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3.6响应文件组成漏项，内容不全或内容字迹模糊辨认不清的；</w:t>
      </w:r>
    </w:p>
    <w:p w14:paraId="7A8678A3">
      <w:pPr>
        <w:pStyle w:val="392"/>
        <w:numPr>
          <w:ilvl w:val="0"/>
          <w:numId w:val="0"/>
        </w:numPr>
        <w:spacing w:before="0"/>
        <w:ind w:firstLine="482"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3.7响应文件中法人授权书所载内容与本项目内容有异的；</w:t>
      </w:r>
    </w:p>
    <w:p w14:paraId="628DFE45">
      <w:pPr>
        <w:pStyle w:val="392"/>
        <w:numPr>
          <w:ilvl w:val="0"/>
          <w:numId w:val="0"/>
        </w:numPr>
        <w:spacing w:before="0"/>
        <w:ind w:firstLine="482"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3.8响应文件未按照磋商文件要求签署、盖章的；</w:t>
      </w:r>
    </w:p>
    <w:p w14:paraId="2DC3F856">
      <w:pPr>
        <w:pStyle w:val="392"/>
        <w:numPr>
          <w:ilvl w:val="0"/>
          <w:numId w:val="0"/>
        </w:numPr>
        <w:spacing w:before="0"/>
        <w:ind w:firstLine="482"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3.9采购人拟采购的产品属于政府强制采购的节能产品品目清单范围的，供应商相应的响应产品未获得国家确定的认证机构出具的、处于有效期之内的节能产品认证证书的；</w:t>
      </w:r>
    </w:p>
    <w:p w14:paraId="07B2C5E1">
      <w:pPr>
        <w:pStyle w:val="392"/>
        <w:numPr>
          <w:ilvl w:val="0"/>
          <w:numId w:val="0"/>
        </w:numPr>
        <w:spacing w:before="0"/>
        <w:ind w:firstLine="482"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3.10响应文件含有采购人不能接受的附加条件的；</w:t>
      </w:r>
    </w:p>
    <w:p w14:paraId="7734C382">
      <w:pPr>
        <w:pStyle w:val="392"/>
        <w:numPr>
          <w:ilvl w:val="0"/>
          <w:numId w:val="0"/>
        </w:numPr>
        <w:spacing w:before="0"/>
        <w:ind w:firstLine="482"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3.11响应文件中承诺的响应有效期少于磋商文件中载明的响应有效期的；</w:t>
      </w:r>
    </w:p>
    <w:p w14:paraId="68E5E813">
      <w:pPr>
        <w:pStyle w:val="392"/>
        <w:numPr>
          <w:ilvl w:val="0"/>
          <w:numId w:val="0"/>
        </w:numPr>
        <w:spacing w:before="0"/>
        <w:ind w:firstLine="482"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3.12供应商所投内容不符合磋商文件中实质性要求的；</w:t>
      </w:r>
    </w:p>
    <w:p w14:paraId="04C9FBB1">
      <w:pPr>
        <w:pStyle w:val="392"/>
        <w:numPr>
          <w:ilvl w:val="0"/>
          <w:numId w:val="0"/>
        </w:numPr>
        <w:spacing w:before="0"/>
        <w:ind w:firstLine="482"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3.13所提交的《最后报价一览表》中出现不是唯一的、有选择性的报价的;</w:t>
      </w:r>
    </w:p>
    <w:p w14:paraId="4BB76424">
      <w:pPr>
        <w:pStyle w:val="392"/>
        <w:numPr>
          <w:ilvl w:val="0"/>
          <w:numId w:val="0"/>
        </w:numPr>
        <w:spacing w:before="0"/>
        <w:ind w:firstLine="482"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3.14最后报价高于本项目采购预算或者最高限价的;</w:t>
      </w:r>
    </w:p>
    <w:p w14:paraId="04C6C91A">
      <w:pPr>
        <w:pStyle w:val="392"/>
        <w:numPr>
          <w:ilvl w:val="0"/>
          <w:numId w:val="0"/>
        </w:numPr>
        <w:spacing w:before="0"/>
        <w:ind w:firstLine="482"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3.15最后报价明显低于其他供应商的最后报价，有可能影响产品质量或者不能诚信履约的，未能按要求提供书面说明或者提交相关证明材料，不能证明其报价合理性的;</w:t>
      </w:r>
    </w:p>
    <w:p w14:paraId="0BC83924">
      <w:pPr>
        <w:pStyle w:val="392"/>
        <w:numPr>
          <w:ilvl w:val="0"/>
          <w:numId w:val="0"/>
        </w:numPr>
        <w:spacing w:before="0"/>
        <w:ind w:firstLine="482"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3.16《最后报价一览表》填写不完整或字迹不能辨认或有漏项的；</w:t>
      </w:r>
    </w:p>
    <w:p w14:paraId="4016397B">
      <w:pPr>
        <w:pStyle w:val="392"/>
        <w:numPr>
          <w:ilvl w:val="0"/>
          <w:numId w:val="0"/>
        </w:numPr>
        <w:spacing w:before="0"/>
        <w:ind w:firstLine="482"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3.17供应商对根据修正原则修正后的最后报价不确认的；</w:t>
      </w:r>
    </w:p>
    <w:p w14:paraId="20B7C7F5">
      <w:pPr>
        <w:pStyle w:val="392"/>
        <w:numPr>
          <w:ilvl w:val="0"/>
          <w:numId w:val="0"/>
        </w:numPr>
        <w:spacing w:before="0"/>
        <w:ind w:firstLine="482"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3.18供应商提供虚假材料响应的（包括但不限于以下情节）；</w:t>
      </w:r>
    </w:p>
    <w:p w14:paraId="7FAB6303">
      <w:pPr>
        <w:pStyle w:val="392"/>
        <w:numPr>
          <w:ilvl w:val="0"/>
          <w:numId w:val="25"/>
        </w:numPr>
        <w:spacing w:before="0"/>
        <w:ind w:left="425" w:leftChars="0" w:firstLine="635"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使用伪造、变造的许可证件；</w:t>
      </w:r>
    </w:p>
    <w:p w14:paraId="01A0969D">
      <w:pPr>
        <w:pStyle w:val="392"/>
        <w:numPr>
          <w:ilvl w:val="0"/>
          <w:numId w:val="25"/>
        </w:numPr>
        <w:spacing w:before="0"/>
        <w:ind w:left="425" w:leftChars="0" w:firstLine="635"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提供虚假的财务状况或者业绩；</w:t>
      </w:r>
    </w:p>
    <w:p w14:paraId="6D0C87A5">
      <w:pPr>
        <w:pStyle w:val="392"/>
        <w:numPr>
          <w:ilvl w:val="0"/>
          <w:numId w:val="25"/>
        </w:numPr>
        <w:spacing w:before="0"/>
        <w:ind w:left="425" w:leftChars="0" w:firstLine="635"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提供虚假的项目负责人或者主要技术人员简历、劳动关系证明；</w:t>
      </w:r>
    </w:p>
    <w:p w14:paraId="6200C9C7">
      <w:pPr>
        <w:pStyle w:val="392"/>
        <w:numPr>
          <w:ilvl w:val="0"/>
          <w:numId w:val="25"/>
        </w:numPr>
        <w:spacing w:before="0"/>
        <w:ind w:left="425" w:leftChars="0" w:firstLine="635"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提供虚假的信用状况；</w:t>
      </w:r>
    </w:p>
    <w:p w14:paraId="24709576">
      <w:pPr>
        <w:pStyle w:val="392"/>
        <w:numPr>
          <w:ilvl w:val="0"/>
          <w:numId w:val="25"/>
        </w:numPr>
        <w:spacing w:before="0"/>
        <w:ind w:left="425" w:leftChars="0" w:firstLine="635"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其他弄虚作假的行为。</w:t>
      </w:r>
    </w:p>
    <w:p w14:paraId="111B8A0E">
      <w:pPr>
        <w:pStyle w:val="392"/>
        <w:numPr>
          <w:ilvl w:val="0"/>
          <w:numId w:val="0"/>
        </w:numPr>
        <w:spacing w:before="0"/>
        <w:ind w:firstLine="482"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3.19供应商有恶意串通、妨碍其他供应商的竞争行为、损害采购人或者其他供应商的合法权益情形的。</w:t>
      </w:r>
    </w:p>
    <w:p w14:paraId="5EB16DC1">
      <w:pPr>
        <w:pStyle w:val="392"/>
        <w:numPr>
          <w:ilvl w:val="0"/>
          <w:numId w:val="0"/>
        </w:numPr>
        <w:spacing w:before="0"/>
        <w:ind w:firstLine="482"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有下列情形之一的，属于或视为恶意串通，其响应无效：</w:t>
      </w:r>
    </w:p>
    <w:p w14:paraId="7BC3234C">
      <w:pPr>
        <w:pStyle w:val="392"/>
        <w:numPr>
          <w:ilvl w:val="0"/>
          <w:numId w:val="26"/>
        </w:numPr>
        <w:spacing w:before="0"/>
        <w:ind w:left="5" w:leftChars="0" w:firstLine="415"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供应商直接或者间接从采购人或者</w:t>
      </w:r>
      <w:r>
        <w:rPr>
          <w:rFonts w:hint="eastAsia" w:ascii="宋体" w:hAnsi="宋体" w:eastAsia="宋体" w:cs="宋体"/>
          <w:b/>
          <w:color w:val="auto"/>
          <w:szCs w:val="24"/>
          <w:highlight w:val="none"/>
          <w:lang w:eastAsia="zh-CN"/>
        </w:rPr>
        <w:t>采购代理机构</w:t>
      </w:r>
      <w:r>
        <w:rPr>
          <w:rFonts w:hint="eastAsia" w:ascii="宋体" w:hAnsi="宋体" w:eastAsia="宋体" w:cs="宋体"/>
          <w:b/>
          <w:color w:val="auto"/>
          <w:szCs w:val="24"/>
          <w:highlight w:val="none"/>
        </w:rPr>
        <w:t>处获得其他供应商的相关情况并修改其响应文件；</w:t>
      </w:r>
    </w:p>
    <w:p w14:paraId="5DBABDCF">
      <w:pPr>
        <w:pStyle w:val="392"/>
        <w:numPr>
          <w:ilvl w:val="0"/>
          <w:numId w:val="26"/>
        </w:numPr>
        <w:spacing w:before="0"/>
        <w:ind w:left="5" w:leftChars="0" w:firstLine="415"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供应商按照采购人或者</w:t>
      </w:r>
      <w:r>
        <w:rPr>
          <w:rFonts w:hint="eastAsia" w:ascii="宋体" w:hAnsi="宋体" w:eastAsia="宋体" w:cs="宋体"/>
          <w:b/>
          <w:color w:val="auto"/>
          <w:szCs w:val="24"/>
          <w:highlight w:val="none"/>
          <w:lang w:eastAsia="zh-CN"/>
        </w:rPr>
        <w:t>采购代理机构</w:t>
      </w:r>
      <w:r>
        <w:rPr>
          <w:rFonts w:hint="eastAsia" w:ascii="宋体" w:hAnsi="宋体" w:eastAsia="宋体" w:cs="宋体"/>
          <w:b/>
          <w:color w:val="auto"/>
          <w:szCs w:val="24"/>
          <w:highlight w:val="none"/>
        </w:rPr>
        <w:t>的授意撤换、修改投标文件或者响应文件；</w:t>
      </w:r>
    </w:p>
    <w:p w14:paraId="11923089">
      <w:pPr>
        <w:pStyle w:val="392"/>
        <w:numPr>
          <w:ilvl w:val="0"/>
          <w:numId w:val="26"/>
        </w:numPr>
        <w:spacing w:before="0"/>
        <w:ind w:left="5" w:leftChars="0" w:firstLine="415"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供应商之间协商报价、技术方案等投标文件或者响应文件的实质性内容；</w:t>
      </w:r>
    </w:p>
    <w:p w14:paraId="33E0A081">
      <w:pPr>
        <w:pStyle w:val="392"/>
        <w:numPr>
          <w:ilvl w:val="0"/>
          <w:numId w:val="26"/>
        </w:numPr>
        <w:spacing w:before="0"/>
        <w:ind w:left="5" w:leftChars="0" w:firstLine="415"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属于同一集团、协会、商会等组织成员的供应商按照该组织要求协同参加政府采购活动；</w:t>
      </w:r>
    </w:p>
    <w:p w14:paraId="3051B67C">
      <w:pPr>
        <w:pStyle w:val="392"/>
        <w:numPr>
          <w:ilvl w:val="0"/>
          <w:numId w:val="26"/>
        </w:numPr>
        <w:spacing w:before="0"/>
        <w:ind w:left="5" w:leftChars="0" w:firstLine="415"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供应商之间事先约定由某一特定供应商中标、成交；</w:t>
      </w:r>
    </w:p>
    <w:p w14:paraId="17138A94">
      <w:pPr>
        <w:pStyle w:val="392"/>
        <w:numPr>
          <w:ilvl w:val="0"/>
          <w:numId w:val="26"/>
        </w:numPr>
        <w:spacing w:before="0"/>
        <w:ind w:left="5" w:leftChars="0" w:firstLine="415"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供应商之间商定部分供应商放弃参加政府采购活动或者放弃中标、成交；</w:t>
      </w:r>
    </w:p>
    <w:p w14:paraId="5E4A5EBE">
      <w:pPr>
        <w:pStyle w:val="392"/>
        <w:numPr>
          <w:ilvl w:val="0"/>
          <w:numId w:val="26"/>
        </w:numPr>
        <w:spacing w:before="0"/>
        <w:ind w:left="5" w:leftChars="0" w:firstLine="415"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供应商与采购人或者</w:t>
      </w:r>
      <w:r>
        <w:rPr>
          <w:rFonts w:hint="eastAsia" w:ascii="宋体" w:hAnsi="宋体" w:eastAsia="宋体" w:cs="宋体"/>
          <w:b/>
          <w:color w:val="auto"/>
          <w:szCs w:val="24"/>
          <w:highlight w:val="none"/>
          <w:lang w:eastAsia="zh-CN"/>
        </w:rPr>
        <w:t>采购代理机构</w:t>
      </w:r>
      <w:r>
        <w:rPr>
          <w:rFonts w:hint="eastAsia" w:ascii="宋体" w:hAnsi="宋体" w:eastAsia="宋体" w:cs="宋体"/>
          <w:b/>
          <w:color w:val="auto"/>
          <w:szCs w:val="24"/>
          <w:highlight w:val="none"/>
        </w:rPr>
        <w:t>之间、供应商相互之间，为谋求特定供应商中标、成交或者排斥其他供应商的其他串通行为。</w:t>
      </w:r>
    </w:p>
    <w:p w14:paraId="3B2D2AED">
      <w:pPr>
        <w:pStyle w:val="392"/>
        <w:numPr>
          <w:ilvl w:val="0"/>
          <w:numId w:val="26"/>
        </w:numPr>
        <w:spacing w:before="0"/>
        <w:ind w:left="5" w:leftChars="0" w:firstLine="415"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不同供应商的响应文件由同一单位或者个人编制；</w:t>
      </w:r>
    </w:p>
    <w:p w14:paraId="6AA0BA64">
      <w:pPr>
        <w:pStyle w:val="392"/>
        <w:numPr>
          <w:ilvl w:val="0"/>
          <w:numId w:val="26"/>
        </w:numPr>
        <w:spacing w:before="0"/>
        <w:ind w:left="5" w:leftChars="0" w:firstLine="415"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不同供应商委托同一单位或者个人办理响应事宜；</w:t>
      </w:r>
    </w:p>
    <w:p w14:paraId="1A50E819">
      <w:pPr>
        <w:pStyle w:val="392"/>
        <w:numPr>
          <w:ilvl w:val="0"/>
          <w:numId w:val="26"/>
        </w:numPr>
        <w:spacing w:before="0"/>
        <w:ind w:left="5" w:leftChars="0" w:firstLine="415"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不同供应商的响应文件载明的项目管理成员或者联系人员为同一人；</w:t>
      </w:r>
    </w:p>
    <w:p w14:paraId="07EDC989">
      <w:pPr>
        <w:pStyle w:val="392"/>
        <w:numPr>
          <w:ilvl w:val="0"/>
          <w:numId w:val="26"/>
        </w:numPr>
        <w:spacing w:before="0"/>
        <w:ind w:left="5" w:leftChars="0" w:firstLine="415"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不同供应商的响应文件异常一致或者最后报价呈规律性差异；</w:t>
      </w:r>
    </w:p>
    <w:p w14:paraId="4A25BB18">
      <w:pPr>
        <w:pStyle w:val="392"/>
        <w:numPr>
          <w:ilvl w:val="0"/>
          <w:numId w:val="26"/>
        </w:numPr>
        <w:spacing w:before="0"/>
        <w:ind w:left="5" w:leftChars="0" w:firstLine="415"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不同供应商的响应文件相互混装。</w:t>
      </w:r>
    </w:p>
    <w:p w14:paraId="19BD7618">
      <w:pPr>
        <w:pStyle w:val="392"/>
        <w:numPr>
          <w:ilvl w:val="0"/>
          <w:numId w:val="26"/>
        </w:numPr>
        <w:spacing w:before="0"/>
        <w:ind w:left="5" w:leftChars="0" w:firstLine="415"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投标人IP、MAC、设备硬件信息一致的；</w:t>
      </w:r>
    </w:p>
    <w:p w14:paraId="2BA1212B">
      <w:pPr>
        <w:pStyle w:val="392"/>
        <w:numPr>
          <w:ilvl w:val="0"/>
          <w:numId w:val="0"/>
        </w:numPr>
        <w:spacing w:before="0"/>
        <w:ind w:firstLine="482"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3.20供应商仅提交备份响应文件，没有在电子交易平台传输提交响应文件的，响应无效；</w:t>
      </w:r>
    </w:p>
    <w:p w14:paraId="5BF4DE2C">
      <w:pPr>
        <w:pStyle w:val="392"/>
        <w:numPr>
          <w:ilvl w:val="0"/>
          <w:numId w:val="0"/>
        </w:numPr>
        <w:spacing w:before="0"/>
        <w:ind w:firstLine="482"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3.21法律、法规、规章（适用本市的）及省级以上规范性文件（适用本市的）规定的其他无效情形。</w:t>
      </w:r>
    </w:p>
    <w:p w14:paraId="0945566D">
      <w:pPr>
        <w:pStyle w:val="392"/>
        <w:numPr>
          <w:ilvl w:val="0"/>
          <w:numId w:val="0"/>
        </w:numPr>
        <w:spacing w:before="0"/>
        <w:ind w:left="397" w:left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val="en-US" w:eastAsia="zh-CN"/>
        </w:rPr>
        <w:t>4.</w:t>
      </w:r>
      <w:r>
        <w:rPr>
          <w:rFonts w:hint="eastAsia" w:ascii="宋体" w:hAnsi="宋体" w:eastAsia="宋体" w:cs="宋体"/>
          <w:b/>
          <w:color w:val="auto"/>
          <w:szCs w:val="24"/>
          <w:highlight w:val="none"/>
        </w:rPr>
        <w:t>重新开展采购活动</w:t>
      </w:r>
    </w:p>
    <w:p w14:paraId="4123C0A1">
      <w:pPr>
        <w:spacing w:line="360" w:lineRule="auto"/>
        <w:ind w:firstLine="407" w:firstLineChars="194"/>
        <w:rPr>
          <w:rFonts w:hint="eastAsia" w:ascii="宋体" w:hAnsi="宋体" w:eastAsia="宋体" w:cs="宋体"/>
          <w:color w:val="auto"/>
          <w:sz w:val="24"/>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 w:val="24"/>
          <w:szCs w:val="21"/>
          <w:highlight w:val="none"/>
        </w:rPr>
        <w:t>出现下列情形之一的，</w:t>
      </w:r>
      <w:r>
        <w:rPr>
          <w:rFonts w:hint="eastAsia" w:ascii="宋体" w:hAnsi="宋体" w:eastAsia="宋体" w:cs="宋体"/>
          <w:color w:val="auto"/>
          <w:sz w:val="24"/>
          <w:szCs w:val="21"/>
          <w:highlight w:val="none"/>
          <w:lang w:eastAsia="zh-CN"/>
        </w:rPr>
        <w:t>采购代理机构</w:t>
      </w:r>
      <w:r>
        <w:rPr>
          <w:rFonts w:hint="eastAsia" w:ascii="宋体" w:hAnsi="宋体" w:eastAsia="宋体" w:cs="宋体"/>
          <w:color w:val="auto"/>
          <w:sz w:val="24"/>
          <w:szCs w:val="21"/>
          <w:highlight w:val="none"/>
        </w:rPr>
        <w:t>应当终止竞争性磋商采购活动，通过电子交易平台发布项目终止公告并说明原因，重新开展采购活动：</w:t>
      </w:r>
    </w:p>
    <w:p w14:paraId="740A06AC">
      <w:pPr>
        <w:pStyle w:val="392"/>
        <w:numPr>
          <w:ilvl w:val="0"/>
          <w:numId w:val="27"/>
        </w:numPr>
        <w:spacing w:before="0"/>
        <w:ind w:left="8" w:leftChars="0" w:firstLine="412"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因情况变化，不再符合规定的竞争性磋商采购方式适用情形的；</w:t>
      </w:r>
    </w:p>
    <w:p w14:paraId="2FF9A2DA">
      <w:pPr>
        <w:pStyle w:val="392"/>
        <w:numPr>
          <w:ilvl w:val="0"/>
          <w:numId w:val="27"/>
        </w:numPr>
        <w:spacing w:before="0"/>
        <w:ind w:left="8" w:leftChars="0" w:firstLine="412"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出现影响采购公正的违法、违规行为的；</w:t>
      </w:r>
    </w:p>
    <w:p w14:paraId="1A5CEF8E">
      <w:pPr>
        <w:pStyle w:val="392"/>
        <w:numPr>
          <w:ilvl w:val="0"/>
          <w:numId w:val="27"/>
        </w:numPr>
        <w:spacing w:before="0"/>
        <w:ind w:left="8" w:leftChars="0" w:firstLine="412"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在采购过程中符合要求的供应商或者最后报价未超过采购预算的供应商不足3家的（有特殊规定的从其规定）。</w:t>
      </w:r>
    </w:p>
    <w:p w14:paraId="11BF8E65">
      <w:pPr>
        <w:pStyle w:val="392"/>
        <w:numPr>
          <w:ilvl w:val="0"/>
          <w:numId w:val="0"/>
        </w:numPr>
        <w:spacing w:before="0"/>
        <w:ind w:left="397" w:left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val="en-US" w:eastAsia="zh-CN"/>
        </w:rPr>
        <w:t>5.</w:t>
      </w:r>
      <w:r>
        <w:rPr>
          <w:rFonts w:hint="eastAsia" w:ascii="宋体" w:hAnsi="宋体" w:eastAsia="宋体" w:cs="宋体"/>
          <w:b/>
          <w:color w:val="auto"/>
          <w:szCs w:val="24"/>
          <w:highlight w:val="none"/>
        </w:rPr>
        <w:t>终止采购活动</w:t>
      </w:r>
    </w:p>
    <w:p w14:paraId="3FCDDB24">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在采购活动中因重大变故，采购任务取消的，</w:t>
      </w:r>
      <w:r>
        <w:rPr>
          <w:rFonts w:hint="eastAsia" w:ascii="宋体" w:hAnsi="宋体" w:eastAsia="宋体" w:cs="宋体"/>
          <w:color w:val="auto"/>
          <w:sz w:val="24"/>
          <w:szCs w:val="21"/>
          <w:highlight w:val="none"/>
          <w:lang w:eastAsia="zh-CN"/>
        </w:rPr>
        <w:t>采购代理机构</w:t>
      </w:r>
      <w:r>
        <w:rPr>
          <w:rFonts w:hint="eastAsia" w:ascii="宋体" w:hAnsi="宋体" w:eastAsia="宋体" w:cs="宋体"/>
          <w:color w:val="auto"/>
          <w:sz w:val="24"/>
          <w:szCs w:val="21"/>
          <w:highlight w:val="none"/>
        </w:rPr>
        <w:t>将终止采购活动，通过电子交易平台通知所有参加采购活动的供应商，并将项目实施情况和采购任务取消原因报送本级财政部门。</w:t>
      </w:r>
    </w:p>
    <w:p w14:paraId="4629B656">
      <w:pPr>
        <w:pStyle w:val="392"/>
        <w:numPr>
          <w:ilvl w:val="0"/>
          <w:numId w:val="0"/>
        </w:numPr>
        <w:spacing w:before="0"/>
        <w:ind w:left="17" w:leftChars="0" w:firstLine="381" w:firstLineChars="158"/>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val="en-US" w:eastAsia="zh-CN"/>
        </w:rPr>
        <w:t>6.</w:t>
      </w:r>
      <w:r>
        <w:rPr>
          <w:rFonts w:hint="eastAsia" w:ascii="宋体" w:hAnsi="宋体" w:eastAsia="宋体" w:cs="宋体"/>
          <w:b/>
          <w:color w:val="auto"/>
          <w:szCs w:val="24"/>
          <w:highlight w:val="none"/>
          <w:lang w:eastAsia="zh-CN"/>
        </w:rPr>
        <w:t>采购代理机构</w:t>
      </w:r>
      <w:r>
        <w:rPr>
          <w:rFonts w:hint="eastAsia" w:ascii="宋体" w:hAnsi="宋体" w:eastAsia="宋体" w:cs="宋体"/>
          <w:b/>
          <w:color w:val="auto"/>
          <w:szCs w:val="24"/>
          <w:highlight w:val="none"/>
        </w:rPr>
        <w:t>有权对磋商小组各成员的评分情况和评审意见进行合理性和合规性审查，如发现磋商小组成员的评审意见带有明显倾向性，或不按规定程序和标准评审、计分的，磋商小组成员应进行书面澄清和说明；磋商小组成员拒不接受</w:t>
      </w:r>
      <w:r>
        <w:rPr>
          <w:rFonts w:hint="eastAsia" w:ascii="宋体" w:hAnsi="宋体" w:eastAsia="宋体" w:cs="宋体"/>
          <w:b/>
          <w:color w:val="auto"/>
          <w:szCs w:val="24"/>
          <w:highlight w:val="none"/>
          <w:lang w:eastAsia="zh-CN"/>
        </w:rPr>
        <w:t>采购代理机构</w:t>
      </w:r>
      <w:r>
        <w:rPr>
          <w:rFonts w:hint="eastAsia" w:ascii="宋体" w:hAnsi="宋体" w:eastAsia="宋体" w:cs="宋体"/>
          <w:b/>
          <w:color w:val="auto"/>
          <w:szCs w:val="24"/>
          <w:highlight w:val="none"/>
        </w:rPr>
        <w:t>审查的，</w:t>
      </w:r>
      <w:r>
        <w:rPr>
          <w:rFonts w:hint="eastAsia" w:ascii="宋体" w:hAnsi="宋体" w:eastAsia="宋体" w:cs="宋体"/>
          <w:b/>
          <w:color w:val="auto"/>
          <w:szCs w:val="24"/>
          <w:highlight w:val="none"/>
          <w:lang w:eastAsia="zh-CN"/>
        </w:rPr>
        <w:t>采购代理机构</w:t>
      </w:r>
      <w:r>
        <w:rPr>
          <w:rFonts w:hint="eastAsia" w:ascii="宋体" w:hAnsi="宋体" w:eastAsia="宋体" w:cs="宋体"/>
          <w:b/>
          <w:color w:val="auto"/>
          <w:szCs w:val="24"/>
          <w:highlight w:val="none"/>
        </w:rPr>
        <w:t>将向同级政府采购监督管理部门报告并予以处理。</w:t>
      </w:r>
    </w:p>
    <w:p w14:paraId="41E904E2">
      <w:pPr>
        <w:keepNext w:val="0"/>
        <w:keepLines w:val="0"/>
        <w:pageBreakBefore w:val="0"/>
        <w:widowControl w:val="0"/>
        <w:numPr>
          <w:ilvl w:val="0"/>
          <w:numId w:val="23"/>
        </w:numPr>
        <w:kinsoku/>
        <w:wordWrap/>
        <w:overflowPunct/>
        <w:topLinePunct w:val="0"/>
        <w:autoSpaceDE/>
        <w:autoSpaceDN/>
        <w:bidi w:val="0"/>
        <w:adjustRightInd w:val="0"/>
        <w:snapToGrid w:val="0"/>
        <w:spacing w:before="0" w:beforeLines="50" w:after="0" w:afterLines="50" w:line="360" w:lineRule="auto"/>
        <w:ind w:left="0" w:leftChars="0" w:firstLine="0" w:firstLineChars="0"/>
        <w:jc w:val="left"/>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评审过程的保密与录像</w:t>
      </w:r>
    </w:p>
    <w:p w14:paraId="2000979C">
      <w:pPr>
        <w:widowControl/>
        <w:numPr>
          <w:ilvl w:val="0"/>
          <w:numId w:val="0"/>
        </w:numPr>
        <w:spacing w:line="360" w:lineRule="auto"/>
        <w:ind w:left="17" w:leftChars="0" w:firstLine="381" w:firstLineChars="158"/>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保密。</w:t>
      </w:r>
      <w:r>
        <w:rPr>
          <w:rFonts w:hint="eastAsia" w:ascii="宋体" w:hAnsi="宋体" w:eastAsia="宋体" w:cs="宋体"/>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工作人员、相关监督人员等与评审有关的人员应当予以保密。</w:t>
      </w:r>
    </w:p>
    <w:p w14:paraId="26744730">
      <w:pPr>
        <w:widowControl/>
        <w:numPr>
          <w:ilvl w:val="0"/>
          <w:numId w:val="0"/>
        </w:numPr>
        <w:spacing w:line="360" w:lineRule="auto"/>
        <w:ind w:left="17" w:leftChars="0" w:firstLine="381" w:firstLineChars="158"/>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录音录像。</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对评审工作现场进行全过程录音录像，录音录像资料作为采购项目文件随其他文件一并存档。</w:t>
      </w:r>
    </w:p>
    <w:p w14:paraId="312C476E">
      <w:pPr>
        <w:snapToGrid w:val="0"/>
        <w:spacing w:line="360" w:lineRule="auto"/>
        <w:ind w:firstLine="467" w:firstLineChars="194"/>
        <w:rPr>
          <w:rFonts w:hint="eastAsia" w:ascii="宋体" w:hAnsi="宋体" w:eastAsia="宋体" w:cs="宋体"/>
          <w:b/>
          <w:color w:val="auto"/>
          <w:sz w:val="24"/>
          <w:highlight w:val="none"/>
        </w:rPr>
      </w:pPr>
    </w:p>
    <w:p w14:paraId="4CC72E9B">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36C86AF5">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第六部分</w:t>
      </w:r>
      <w:bookmarkEnd w:id="66"/>
      <w:r>
        <w:rPr>
          <w:rFonts w:hint="eastAsia" w:ascii="宋体" w:hAnsi="宋体" w:eastAsia="宋体" w:cs="宋体"/>
          <w:b/>
          <w:color w:val="auto"/>
          <w:sz w:val="36"/>
          <w:szCs w:val="36"/>
          <w:highlight w:val="none"/>
        </w:rPr>
        <w:t xml:space="preserve">  拟签订的合同文本</w:t>
      </w:r>
    </w:p>
    <w:p w14:paraId="7498D5D6">
      <w:pPr>
        <w:spacing w:line="360" w:lineRule="auto"/>
        <w:jc w:val="center"/>
        <w:rPr>
          <w:rFonts w:hint="eastAsia" w:ascii="宋体" w:hAnsi="宋体" w:eastAsia="宋体" w:cs="宋体"/>
          <w:b/>
          <w:color w:val="auto"/>
          <w:sz w:val="24"/>
          <w:szCs w:val="24"/>
          <w:highlight w:val="none"/>
        </w:rPr>
      </w:pPr>
      <w:bookmarkStart w:id="67" w:name="_Toc14304"/>
      <w:bookmarkStart w:id="68" w:name="_Toc22996"/>
      <w:bookmarkStart w:id="69" w:name="_Toc20889"/>
      <w:bookmarkStart w:id="70" w:name="_Toc31016"/>
      <w:bookmarkStart w:id="71" w:name="_Toc1710"/>
      <w:bookmarkStart w:id="72" w:name="第五部分"/>
      <w:bookmarkStart w:id="73" w:name="_Toc86217003"/>
      <w:r>
        <w:rPr>
          <w:rFonts w:hint="eastAsia" w:ascii="宋体" w:hAnsi="宋体" w:eastAsia="宋体" w:cs="宋体"/>
          <w:b/>
          <w:color w:val="auto"/>
          <w:sz w:val="24"/>
          <w:szCs w:val="24"/>
          <w:highlight w:val="none"/>
        </w:rPr>
        <w:t>（本合同样式供参考）</w:t>
      </w:r>
    </w:p>
    <w:p w14:paraId="4E0E251A">
      <w:pPr>
        <w:snapToGrid w:val="0"/>
        <w:spacing w:line="360" w:lineRule="auto"/>
        <w:ind w:firstLine="480" w:firstLineChars="200"/>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val="en-US" w:eastAsia="zh-CN"/>
        </w:rPr>
        <w:t xml:space="preserve">  </w:t>
      </w:r>
    </w:p>
    <w:p w14:paraId="2CC55D8E">
      <w:pPr>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采购计划文号</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[2024]55581号</w:t>
      </w:r>
    </w:p>
    <w:p w14:paraId="34DEE003">
      <w:pPr>
        <w:snapToGrid w:val="0"/>
        <w:spacing w:line="360" w:lineRule="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甲方(委托人)：浙江省经济和信息化厅</w:t>
      </w:r>
    </w:p>
    <w:p w14:paraId="6AF78BFD">
      <w:pPr>
        <w:snapToGrid w:val="0"/>
        <w:spacing w:line="360" w:lineRule="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 xml:space="preserve">乙方（供应商）：                    </w:t>
      </w:r>
    </w:p>
    <w:p w14:paraId="72F3EB95">
      <w:pPr>
        <w:snapToGrid w:val="0"/>
        <w:spacing w:line="360" w:lineRule="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鉴证方： 浙江国际招投标有限公司</w:t>
      </w:r>
    </w:p>
    <w:p w14:paraId="33F1D6B9">
      <w:pPr>
        <w:pStyle w:val="31"/>
        <w:adjustRightInd w:val="0"/>
        <w:snapToGrid w:val="0"/>
        <w:spacing w:line="360" w:lineRule="auto"/>
        <w:ind w:firstLine="511" w:firstLineChars="213"/>
        <w:rPr>
          <w:rFonts w:hint="eastAsia" w:ascii="宋体" w:hAnsi="宋体" w:eastAsia="宋体" w:cs="宋体"/>
          <w:color w:val="auto"/>
          <w:sz w:val="24"/>
          <w:szCs w:val="24"/>
          <w:highlight w:val="none"/>
          <w:lang w:eastAsia="zh-TW"/>
        </w:rPr>
      </w:pPr>
    </w:p>
    <w:p w14:paraId="636AAB4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TW"/>
        </w:rPr>
        <w:t>经</w:t>
      </w:r>
      <w:r>
        <w:rPr>
          <w:rFonts w:hint="eastAsia" w:ascii="宋体" w:hAnsi="宋体" w:eastAsia="宋体" w:cs="宋体"/>
          <w:color w:val="auto"/>
          <w:spacing w:val="-6"/>
          <w:sz w:val="24"/>
          <w:szCs w:val="24"/>
          <w:highlight w:val="none"/>
          <w:u w:val="single"/>
        </w:rPr>
        <w:t>浙江国际招投标有限公司</w:t>
      </w:r>
      <w:r>
        <w:rPr>
          <w:rFonts w:hint="eastAsia" w:ascii="宋体" w:hAnsi="宋体" w:eastAsia="宋体" w:cs="宋体"/>
          <w:color w:val="auto"/>
          <w:sz w:val="24"/>
          <w:szCs w:val="24"/>
          <w:highlight w:val="none"/>
        </w:rPr>
        <w:t>竞争性磋商采购</w:t>
      </w:r>
      <w:r>
        <w:rPr>
          <w:rFonts w:hint="eastAsia" w:ascii="宋体" w:hAnsi="宋体" w:eastAsia="宋体" w:cs="宋体"/>
          <w:color w:val="auto"/>
          <w:sz w:val="24"/>
          <w:szCs w:val="24"/>
          <w:highlight w:val="none"/>
          <w:lang w:eastAsia="zh-TW"/>
        </w:rPr>
        <w:t>，确立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TW"/>
        </w:rPr>
        <w:t>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TW"/>
        </w:rPr>
        <w:t>（</w:t>
      </w:r>
      <w:r>
        <w:rPr>
          <w:rFonts w:hint="eastAsia" w:ascii="宋体" w:hAnsi="宋体" w:cs="宋体"/>
          <w:color w:val="auto"/>
          <w:sz w:val="24"/>
          <w:highlight w:val="none"/>
          <w:lang w:eastAsia="zh-CN"/>
        </w:rPr>
        <w:t>项目</w:t>
      </w:r>
      <w:r>
        <w:rPr>
          <w:rFonts w:hint="eastAsia" w:ascii="宋体" w:hAnsi="宋体" w:eastAsia="宋体" w:cs="宋体"/>
          <w:color w:val="auto"/>
          <w:sz w:val="24"/>
          <w:highlight w:val="none"/>
        </w:rPr>
        <w:t>编号：</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szCs w:val="24"/>
          <w:highlight w:val="none"/>
          <w:lang w:eastAsia="zh-TW"/>
        </w:rPr>
        <w:t>）的</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TW"/>
        </w:rPr>
        <w:t>单位，根据《中华人民共和国政府采购法》等法律法规</w:t>
      </w:r>
      <w:r>
        <w:rPr>
          <w:rFonts w:hint="eastAsia" w:ascii="宋体" w:hAnsi="宋体" w:eastAsia="宋体" w:cs="宋体"/>
          <w:color w:val="auto"/>
          <w:sz w:val="24"/>
          <w:szCs w:val="24"/>
          <w:highlight w:val="none"/>
        </w:rPr>
        <w:t>和竞争性磋商采购文件，甲、乙双方经协商，达成如下合同条款：</w:t>
      </w:r>
    </w:p>
    <w:p w14:paraId="2284AC75">
      <w:pPr>
        <w:spacing w:line="560" w:lineRule="exact"/>
        <w:ind w:firstLine="482" w:firstLineChars="200"/>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一、甲方委托乙方的内容</w:t>
      </w:r>
      <w:bookmarkEnd w:id="67"/>
      <w:bookmarkEnd w:id="68"/>
      <w:bookmarkEnd w:id="69"/>
      <w:bookmarkEnd w:id="70"/>
      <w:bookmarkEnd w:id="71"/>
      <w:r>
        <w:rPr>
          <w:rFonts w:hint="eastAsia" w:ascii="宋体" w:hAnsi="宋体" w:eastAsia="宋体" w:cs="宋体"/>
          <w:b/>
          <w:color w:val="auto"/>
          <w:sz w:val="24"/>
          <w:szCs w:val="24"/>
          <w:highlight w:val="none"/>
        </w:rPr>
        <w:t xml:space="preserve"> </w:t>
      </w:r>
    </w:p>
    <w:p w14:paraId="6C5FC2D4">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甲方委托乙方围绕“未来工厂”认定评估及新模式推广应用为目标，完成“未来工厂”认定评估及新模式推广应用工作。</w:t>
      </w:r>
    </w:p>
    <w:p w14:paraId="5E7CADAB">
      <w:pPr>
        <w:spacing w:line="560" w:lineRule="exact"/>
        <w:ind w:firstLine="482" w:firstLineChars="200"/>
        <w:outlineLvl w:val="0"/>
        <w:rPr>
          <w:rFonts w:hint="eastAsia" w:ascii="宋体" w:hAnsi="宋体" w:eastAsia="宋体" w:cs="宋体"/>
          <w:b/>
          <w:color w:val="auto"/>
          <w:sz w:val="24"/>
          <w:szCs w:val="24"/>
          <w:highlight w:val="none"/>
        </w:rPr>
      </w:pPr>
      <w:bookmarkStart w:id="74" w:name="_Toc31916"/>
      <w:bookmarkStart w:id="75" w:name="_Toc2228"/>
      <w:bookmarkStart w:id="76" w:name="_Toc16810"/>
      <w:bookmarkStart w:id="77" w:name="_Toc20408"/>
      <w:bookmarkStart w:id="78" w:name="_Toc4300"/>
      <w:r>
        <w:rPr>
          <w:rFonts w:hint="eastAsia" w:ascii="宋体" w:hAnsi="宋体" w:eastAsia="宋体" w:cs="宋体"/>
          <w:b/>
          <w:color w:val="auto"/>
          <w:sz w:val="24"/>
          <w:szCs w:val="24"/>
          <w:highlight w:val="none"/>
        </w:rPr>
        <w:t>二、履行期限、联系人</w:t>
      </w:r>
      <w:bookmarkEnd w:id="74"/>
      <w:bookmarkEnd w:id="75"/>
      <w:bookmarkEnd w:id="76"/>
      <w:bookmarkEnd w:id="77"/>
      <w:bookmarkEnd w:id="78"/>
    </w:p>
    <w:p w14:paraId="13D5119E">
      <w:pPr>
        <w:spacing w:line="560" w:lineRule="exact"/>
        <w:ind w:firstLine="480" w:firstLineChars="200"/>
        <w:outlineLvl w:val="0"/>
        <w:rPr>
          <w:rFonts w:hint="eastAsia" w:ascii="宋体" w:hAnsi="宋体" w:eastAsia="宋体" w:cs="宋体"/>
          <w:color w:val="auto"/>
          <w:sz w:val="24"/>
          <w:szCs w:val="24"/>
          <w:highlight w:val="none"/>
        </w:rPr>
      </w:pPr>
      <w:bookmarkStart w:id="79" w:name="_Toc29344"/>
      <w:bookmarkStart w:id="80" w:name="_Toc3007"/>
      <w:bookmarkStart w:id="81" w:name="_Toc29164"/>
      <w:bookmarkStart w:id="82" w:name="_Toc28794"/>
      <w:bookmarkStart w:id="83" w:name="_Toc4572"/>
      <w:r>
        <w:rPr>
          <w:rFonts w:hint="eastAsia" w:ascii="宋体" w:hAnsi="宋体" w:eastAsia="宋体" w:cs="宋体"/>
          <w:color w:val="auto"/>
          <w:sz w:val="24"/>
          <w:szCs w:val="24"/>
          <w:highlight w:val="none"/>
        </w:rPr>
        <w:t>本合同自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日履行。甲方指定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为甲方联系人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，乙方指定</w:t>
      </w:r>
      <w:bookmarkEnd w:id="79"/>
      <w:bookmarkEnd w:id="80"/>
      <w:bookmarkEnd w:id="81"/>
      <w:bookmarkEnd w:id="82"/>
      <w:bookmarkStart w:id="84" w:name="_Toc24286"/>
      <w:bookmarkStart w:id="85" w:name="_Toc6993"/>
      <w:bookmarkStart w:id="86" w:name="_Toc24540"/>
      <w:bookmarkStart w:id="87" w:name="_Toc1198"/>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为乙方联系人。</w:t>
      </w:r>
      <w:bookmarkEnd w:id="83"/>
      <w:bookmarkEnd w:id="84"/>
      <w:bookmarkEnd w:id="85"/>
      <w:bookmarkEnd w:id="86"/>
      <w:bookmarkEnd w:id="87"/>
    </w:p>
    <w:p w14:paraId="55EF3602">
      <w:pPr>
        <w:spacing w:line="5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三、甲方需提供乙方的协作事项</w:t>
      </w:r>
    </w:p>
    <w:p w14:paraId="67DBAC24">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详见附件</w:t>
      </w:r>
      <w:r>
        <w:rPr>
          <w:rFonts w:hint="eastAsia" w:ascii="宋体" w:hAnsi="宋体" w:eastAsia="宋体" w:cs="宋体"/>
          <w:color w:val="auto"/>
          <w:sz w:val="24"/>
          <w:szCs w:val="24"/>
          <w:highlight w:val="none"/>
        </w:rPr>
        <w:t xml:space="preserve">。             </w:t>
      </w:r>
    </w:p>
    <w:p w14:paraId="1D13740D">
      <w:pPr>
        <w:spacing w:line="560" w:lineRule="exact"/>
        <w:ind w:firstLine="482" w:firstLineChars="200"/>
        <w:outlineLvl w:val="0"/>
        <w:rPr>
          <w:rFonts w:hint="eastAsia" w:ascii="宋体" w:hAnsi="宋体" w:eastAsia="宋体" w:cs="宋体"/>
          <w:b/>
          <w:color w:val="auto"/>
          <w:sz w:val="24"/>
          <w:szCs w:val="24"/>
          <w:highlight w:val="none"/>
        </w:rPr>
      </w:pPr>
      <w:bookmarkStart w:id="88" w:name="_Toc31013"/>
      <w:bookmarkStart w:id="89" w:name="_Toc30872"/>
      <w:bookmarkStart w:id="90" w:name="_Toc25000"/>
      <w:bookmarkStart w:id="91" w:name="_Toc11053"/>
      <w:bookmarkStart w:id="92" w:name="_Toc18013"/>
      <w:r>
        <w:rPr>
          <w:rFonts w:hint="eastAsia" w:ascii="宋体" w:hAnsi="宋体" w:eastAsia="宋体" w:cs="宋体"/>
          <w:b/>
          <w:color w:val="auto"/>
          <w:sz w:val="24"/>
          <w:szCs w:val="24"/>
          <w:highlight w:val="none"/>
        </w:rPr>
        <w:t>四、资料的保密</w:t>
      </w:r>
      <w:bookmarkEnd w:id="88"/>
      <w:bookmarkEnd w:id="89"/>
      <w:bookmarkEnd w:id="90"/>
      <w:bookmarkEnd w:id="91"/>
      <w:bookmarkEnd w:id="92"/>
    </w:p>
    <w:p w14:paraId="7FC4721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1.乙方有义务对甲方商业秘密保密；业务成果未经甲方同意，不得提供第三方； </w:t>
      </w:r>
    </w:p>
    <w:p w14:paraId="7C73AD20">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2.甲方有义务保证乙方提供的业务成果不提供给第三方。</w:t>
      </w:r>
    </w:p>
    <w:p w14:paraId="71FF9D31">
      <w:pPr>
        <w:pStyle w:val="22"/>
        <w:spacing w:after="0" w:line="560" w:lineRule="exact"/>
        <w:ind w:firstLine="482" w:firstLineChars="200"/>
        <w:rPr>
          <w:rFonts w:hint="eastAsia" w:ascii="宋体" w:hAnsi="宋体" w:eastAsia="宋体" w:cs="宋体"/>
          <w:b/>
          <w:bCs/>
          <w:color w:val="auto"/>
          <w:sz w:val="24"/>
          <w:szCs w:val="24"/>
          <w:highlight w:val="none"/>
        </w:rPr>
      </w:pPr>
      <w:bookmarkStart w:id="93" w:name="_Toc3682"/>
      <w:bookmarkStart w:id="94" w:name="_Toc7768"/>
      <w:bookmarkStart w:id="95" w:name="_Toc29207"/>
      <w:bookmarkStart w:id="96" w:name="_Toc28315"/>
      <w:bookmarkStart w:id="97" w:name="_Toc18617"/>
      <w:r>
        <w:rPr>
          <w:rFonts w:hint="eastAsia" w:ascii="宋体" w:hAnsi="宋体" w:eastAsia="宋体" w:cs="宋体"/>
          <w:b/>
          <w:bCs/>
          <w:color w:val="auto"/>
          <w:sz w:val="24"/>
          <w:szCs w:val="24"/>
          <w:highlight w:val="none"/>
        </w:rPr>
        <w:t>五、验收时间、验收方法和标准</w:t>
      </w:r>
    </w:p>
    <w:p w14:paraId="4A24E8BB">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验收时间：甲方在收到乙方提供的报告之日起10个工作日内对报告及相关资料开展验收。</w:t>
      </w:r>
    </w:p>
    <w:p w14:paraId="20CEF44B">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验收主体：甲方按照合同约定自行组建验收小组开展验收。</w:t>
      </w:r>
    </w:p>
    <w:p w14:paraId="1AA318C3">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验收依据：（1）用户需求书；（2）响应文件技术响应；（3）合同等。</w:t>
      </w:r>
    </w:p>
    <w:p w14:paraId="44BECCF8">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验收对象：乙方提供的有关成果文件。</w:t>
      </w:r>
    </w:p>
    <w:p w14:paraId="7481E7F3">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验收结果：验收结果不符合合同约定的，应当通知乙方限期达到合同约定的要求，并按照合同约定承担相应的违约责任。</w:t>
      </w:r>
    </w:p>
    <w:p w14:paraId="4187DBDA">
      <w:pPr>
        <w:spacing w:line="560" w:lineRule="exact"/>
        <w:ind w:firstLine="482" w:firstLineChars="200"/>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六、费用及其支付方式</w:t>
      </w:r>
      <w:bookmarkEnd w:id="93"/>
      <w:bookmarkEnd w:id="94"/>
      <w:bookmarkEnd w:id="95"/>
      <w:bookmarkEnd w:id="96"/>
      <w:bookmarkEnd w:id="97"/>
    </w:p>
    <w:p w14:paraId="41C6C03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整（大写：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整 ）</w:t>
      </w:r>
    </w:p>
    <w:p w14:paraId="64C861C1">
      <w:pPr>
        <w:snapToGrid w:val="0"/>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支付方式：</w:t>
      </w:r>
    </w:p>
    <w:p w14:paraId="3C514E3B">
      <w:pPr>
        <w:snapToGrid w:val="0"/>
        <w:spacing w:line="560" w:lineRule="exact"/>
        <w:ind w:firstLine="480" w:firstLineChars="20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1.合同签订生效且具备实施条件后7个工作日内，</w:t>
      </w:r>
      <w:r>
        <w:rPr>
          <w:rFonts w:hint="eastAsia" w:ascii="宋体" w:hAnsi="宋体" w:eastAsia="宋体" w:cs="宋体"/>
          <w:color w:val="auto"/>
          <w:kern w:val="2"/>
          <w:sz w:val="24"/>
          <w:szCs w:val="24"/>
          <w:highlight w:val="none"/>
          <w:lang w:val="en-US" w:eastAsia="zh-CN"/>
        </w:rPr>
        <w:t>甲方</w:t>
      </w:r>
      <w:r>
        <w:rPr>
          <w:rFonts w:hint="eastAsia" w:ascii="宋体" w:hAnsi="宋体" w:eastAsia="宋体" w:cs="宋体"/>
          <w:color w:val="auto"/>
          <w:kern w:val="2"/>
          <w:sz w:val="24"/>
          <w:szCs w:val="24"/>
          <w:highlight w:val="none"/>
        </w:rPr>
        <w:t>按合同总价的70%向</w:t>
      </w:r>
      <w:r>
        <w:rPr>
          <w:rFonts w:hint="eastAsia" w:ascii="宋体" w:hAnsi="宋体" w:eastAsia="宋体" w:cs="宋体"/>
          <w:color w:val="auto"/>
          <w:kern w:val="2"/>
          <w:sz w:val="24"/>
          <w:szCs w:val="24"/>
          <w:highlight w:val="none"/>
          <w:lang w:val="en-US" w:eastAsia="zh-CN"/>
        </w:rPr>
        <w:t>乙方</w:t>
      </w:r>
      <w:r>
        <w:rPr>
          <w:rFonts w:hint="eastAsia" w:ascii="宋体" w:hAnsi="宋体" w:eastAsia="宋体" w:cs="宋体"/>
          <w:color w:val="auto"/>
          <w:kern w:val="2"/>
          <w:sz w:val="24"/>
          <w:szCs w:val="24"/>
          <w:highlight w:val="none"/>
        </w:rPr>
        <w:t>支付预付款</w:t>
      </w:r>
      <w:r>
        <w:rPr>
          <w:rFonts w:hint="eastAsia" w:ascii="宋体" w:hAnsi="宋体" w:eastAsia="宋体" w:cs="宋体"/>
          <w:color w:val="auto"/>
          <w:kern w:val="2"/>
          <w:sz w:val="24"/>
          <w:szCs w:val="24"/>
          <w:highlight w:val="none"/>
          <w:lang w:eastAsia="zh-CN"/>
        </w:rPr>
        <w:t>；</w:t>
      </w:r>
    </w:p>
    <w:p w14:paraId="02A3CA83">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乙方</w:t>
      </w:r>
      <w:r>
        <w:rPr>
          <w:rFonts w:hint="eastAsia" w:ascii="宋体" w:hAnsi="宋体" w:eastAsia="宋体" w:cs="宋体"/>
          <w:color w:val="auto"/>
          <w:kern w:val="2"/>
          <w:sz w:val="24"/>
          <w:szCs w:val="24"/>
          <w:highlight w:val="none"/>
        </w:rPr>
        <w:t>全部</w:t>
      </w:r>
      <w:r>
        <w:rPr>
          <w:rFonts w:hint="eastAsia" w:ascii="宋体" w:hAnsi="宋体" w:eastAsia="宋体" w:cs="宋体"/>
          <w:color w:val="auto"/>
          <w:sz w:val="24"/>
          <w:szCs w:val="24"/>
          <w:highlight w:val="none"/>
        </w:rPr>
        <w:t>项目完成且</w:t>
      </w:r>
      <w:r>
        <w:rPr>
          <w:rFonts w:hint="eastAsia" w:ascii="宋体" w:hAnsi="宋体" w:eastAsia="宋体" w:cs="宋体"/>
          <w:color w:val="auto"/>
          <w:kern w:val="2"/>
          <w:sz w:val="24"/>
          <w:szCs w:val="24"/>
          <w:highlight w:val="none"/>
        </w:rPr>
        <w:t>提交所有成果资料</w:t>
      </w:r>
      <w:r>
        <w:rPr>
          <w:rFonts w:hint="eastAsia" w:ascii="宋体" w:hAnsi="宋体" w:eastAsia="宋体" w:cs="宋体"/>
          <w:color w:val="auto"/>
          <w:sz w:val="24"/>
          <w:szCs w:val="24"/>
          <w:highlight w:val="none"/>
        </w:rPr>
        <w:t>后</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个工作日内</w:t>
      </w:r>
      <w:r>
        <w:rPr>
          <w:rFonts w:hint="eastAsia" w:ascii="宋体" w:hAnsi="宋体" w:eastAsia="宋体" w:cs="宋体"/>
          <w:color w:val="auto"/>
          <w:sz w:val="24"/>
          <w:szCs w:val="24"/>
          <w:highlight w:val="none"/>
          <w:lang w:val="en-US" w:eastAsia="zh-CN"/>
        </w:rPr>
        <w:t>甲方向乙方</w:t>
      </w:r>
      <w:r>
        <w:rPr>
          <w:rFonts w:hint="eastAsia" w:ascii="宋体" w:hAnsi="宋体" w:eastAsia="宋体" w:cs="宋体"/>
          <w:color w:val="auto"/>
          <w:sz w:val="24"/>
          <w:szCs w:val="24"/>
          <w:highlight w:val="none"/>
        </w:rPr>
        <w:t>支付其余尾款。</w:t>
      </w:r>
    </w:p>
    <w:p w14:paraId="59EC9AE6">
      <w:pPr>
        <w:adjustRightInd w:val="0"/>
        <w:snapToGrid w:val="0"/>
        <w:spacing w:line="560" w:lineRule="exact"/>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必须提供给</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相应款项一致的全额、正规、合法、有效的发票，否则</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有权延期付款，直至收到中标人相应发票为止。</w:t>
      </w:r>
    </w:p>
    <w:p w14:paraId="25FDCFB7">
      <w:pPr>
        <w:spacing w:line="560" w:lineRule="exact"/>
        <w:ind w:firstLine="482" w:firstLineChars="200"/>
        <w:outlineLvl w:val="0"/>
        <w:rPr>
          <w:rFonts w:hint="eastAsia" w:ascii="宋体" w:hAnsi="宋体" w:eastAsia="宋体" w:cs="宋体"/>
          <w:b/>
          <w:color w:val="auto"/>
          <w:sz w:val="24"/>
          <w:szCs w:val="24"/>
          <w:highlight w:val="none"/>
        </w:rPr>
      </w:pPr>
      <w:bookmarkStart w:id="98" w:name="_Toc6028"/>
      <w:bookmarkStart w:id="99" w:name="_Toc21124"/>
      <w:bookmarkStart w:id="100" w:name="_Toc15086"/>
      <w:bookmarkStart w:id="101" w:name="_Toc21849"/>
      <w:bookmarkStart w:id="102" w:name="_Toc22749"/>
      <w:r>
        <w:rPr>
          <w:rFonts w:hint="eastAsia" w:ascii="宋体" w:hAnsi="宋体" w:eastAsia="宋体" w:cs="宋体"/>
          <w:b/>
          <w:color w:val="auto"/>
          <w:sz w:val="24"/>
          <w:szCs w:val="24"/>
          <w:highlight w:val="none"/>
        </w:rPr>
        <w:t>六、知识产权归属</w:t>
      </w:r>
      <w:bookmarkEnd w:id="98"/>
      <w:bookmarkEnd w:id="99"/>
      <w:bookmarkEnd w:id="100"/>
      <w:bookmarkEnd w:id="101"/>
      <w:bookmarkEnd w:id="102"/>
    </w:p>
    <w:p w14:paraId="7DFA7EF1">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双方约定，因本合同履行所形成的知识产权归属于甲方所有。</w:t>
      </w:r>
    </w:p>
    <w:p w14:paraId="53440115">
      <w:pPr>
        <w:spacing w:line="560" w:lineRule="exact"/>
        <w:ind w:firstLine="482" w:firstLineChars="200"/>
        <w:outlineLvl w:val="0"/>
        <w:rPr>
          <w:rFonts w:hint="eastAsia" w:ascii="宋体" w:hAnsi="宋体" w:eastAsia="宋体" w:cs="宋体"/>
          <w:b/>
          <w:color w:val="auto"/>
          <w:sz w:val="24"/>
          <w:szCs w:val="24"/>
          <w:highlight w:val="none"/>
        </w:rPr>
      </w:pPr>
      <w:bookmarkStart w:id="103" w:name="_Toc20067"/>
      <w:bookmarkStart w:id="104" w:name="_Toc10393"/>
      <w:bookmarkStart w:id="105" w:name="_Toc3396"/>
      <w:bookmarkStart w:id="106" w:name="_Toc25168"/>
      <w:bookmarkStart w:id="107" w:name="_Toc4373"/>
      <w:r>
        <w:rPr>
          <w:rFonts w:hint="eastAsia" w:ascii="宋体" w:hAnsi="宋体" w:eastAsia="宋体" w:cs="宋体"/>
          <w:b/>
          <w:color w:val="auto"/>
          <w:sz w:val="24"/>
          <w:szCs w:val="24"/>
          <w:highlight w:val="none"/>
        </w:rPr>
        <w:t>七、违约责任</w:t>
      </w:r>
      <w:bookmarkEnd w:id="103"/>
      <w:bookmarkEnd w:id="104"/>
      <w:bookmarkEnd w:id="105"/>
      <w:bookmarkEnd w:id="106"/>
      <w:bookmarkEnd w:id="107"/>
    </w:p>
    <w:p w14:paraId="699A59FF">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违反本合同约定，违约方应当民法典相应的规定承担违约责任。</w:t>
      </w:r>
    </w:p>
    <w:p w14:paraId="116FB7F6">
      <w:pPr>
        <w:spacing w:line="360" w:lineRule="auto"/>
        <w:ind w:firstLine="482" w:firstLineChars="200"/>
        <w:outlineLvl w:val="0"/>
        <w:rPr>
          <w:rFonts w:hint="eastAsia" w:ascii="宋体" w:hAnsi="宋体" w:eastAsia="宋体" w:cs="宋体"/>
          <w:b/>
          <w:color w:val="auto"/>
          <w:sz w:val="24"/>
          <w:szCs w:val="24"/>
          <w:highlight w:val="none"/>
        </w:rPr>
      </w:pPr>
      <w:bookmarkStart w:id="108" w:name="_Toc29035"/>
      <w:bookmarkStart w:id="109" w:name="_Toc969"/>
      <w:bookmarkStart w:id="110" w:name="_Toc20366"/>
      <w:bookmarkStart w:id="111" w:name="_Toc6939"/>
      <w:bookmarkStart w:id="112" w:name="_Toc9333"/>
      <w:r>
        <w:rPr>
          <w:rFonts w:hint="eastAsia" w:ascii="宋体" w:hAnsi="宋体" w:eastAsia="宋体" w:cs="宋体"/>
          <w:b/>
          <w:color w:val="auto"/>
          <w:sz w:val="24"/>
          <w:szCs w:val="24"/>
          <w:highlight w:val="none"/>
        </w:rPr>
        <w:t>八、争议的解决办法</w:t>
      </w:r>
      <w:bookmarkEnd w:id="108"/>
      <w:bookmarkEnd w:id="109"/>
      <w:bookmarkEnd w:id="110"/>
      <w:bookmarkEnd w:id="111"/>
      <w:bookmarkEnd w:id="112"/>
    </w:p>
    <w:p w14:paraId="25E0F39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在合同履行过程中发生争议，双方应当协商解决，也可以请求第三方进行调解。</w:t>
      </w:r>
    </w:p>
    <w:p w14:paraId="3582279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双方不愿协商、调解解决或者协商、调解不成的，双方商定，采用以下第（一）种方式解决：</w:t>
      </w:r>
    </w:p>
    <w:p w14:paraId="4563E5DE">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（一）因本合同所发生的任何争议，申请合同执行地的杭州仲裁委员会仲裁。</w:t>
      </w:r>
    </w:p>
    <w:p w14:paraId="586C4FD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（二）按司法程序解决。</w:t>
      </w:r>
    </w:p>
    <w:p w14:paraId="1C8C01BC">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九、合同生效及其它</w:t>
      </w:r>
    </w:p>
    <w:p w14:paraId="18E3982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1.合同经甲、乙双方法定代表人或受委托人签字并加盖单位公章、鉴证方加盖单位公章后生效。</w:t>
      </w:r>
    </w:p>
    <w:p w14:paraId="57820E50">
      <w:pPr>
        <w:pStyle w:val="31"/>
        <w:snapToGrid w:val="0"/>
        <w:spacing w:line="360" w:lineRule="auto"/>
        <w:ind w:firstLine="511" w:firstLineChars="213"/>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2.合同执行中涉及采购资金和采购内容修改或补充的，须经财政部门审批，并</w:t>
      </w:r>
      <w:r>
        <w:rPr>
          <w:rFonts w:hint="eastAsia" w:ascii="宋体" w:hAnsi="宋体" w:eastAsia="宋体" w:cs="宋体"/>
          <w:snapToGrid w:val="0"/>
          <w:color w:val="auto"/>
          <w:sz w:val="24"/>
          <w:szCs w:val="24"/>
          <w:highlight w:val="none"/>
          <w:lang w:eastAsia="zh-CN"/>
        </w:rPr>
        <w:t>签订</w:t>
      </w:r>
      <w:r>
        <w:rPr>
          <w:rFonts w:hint="eastAsia" w:ascii="宋体" w:hAnsi="宋体" w:eastAsia="宋体" w:cs="宋体"/>
          <w:snapToGrid w:val="0"/>
          <w:color w:val="auto"/>
          <w:sz w:val="24"/>
          <w:szCs w:val="24"/>
          <w:highlight w:val="none"/>
        </w:rPr>
        <w:t>书面补充协议，经报政府采购监督管理部门备案后，方可作为主合同不可分割的一部分，与本合同具有同等法律效力。</w:t>
      </w:r>
    </w:p>
    <w:p w14:paraId="7C4D366A">
      <w:pPr>
        <w:pStyle w:val="31"/>
        <w:snapToGrid w:val="0"/>
        <w:spacing w:line="360" w:lineRule="auto"/>
        <w:ind w:firstLine="511" w:firstLineChars="213"/>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3.招标文件、投标文件与本合同具有同等法律效力，本合同未尽事宜，以招标文件及投标文件规定为准。</w:t>
      </w:r>
    </w:p>
    <w:p w14:paraId="0979A516">
      <w:pPr>
        <w:pStyle w:val="31"/>
        <w:snapToGrid w:val="0"/>
        <w:spacing w:line="360" w:lineRule="auto"/>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4.本合同未尽事宜，遵照《民法典》有关条文执行。</w:t>
      </w:r>
    </w:p>
    <w:p w14:paraId="0F65AB76">
      <w:pPr>
        <w:pStyle w:val="31"/>
        <w:snapToGrid w:val="0"/>
        <w:spacing w:line="360" w:lineRule="auto"/>
        <w:ind w:firstLine="511" w:firstLineChars="213"/>
        <w:rPr>
          <w:rFonts w:hint="eastAsia" w:ascii="宋体" w:hAnsi="宋体" w:eastAsia="宋体" w:cs="宋体"/>
          <w:bCs/>
          <w:color w:val="auto"/>
          <w:sz w:val="24"/>
          <w:szCs w:val="24"/>
          <w:highlight w:val="none"/>
        </w:rPr>
      </w:pPr>
      <w:r>
        <w:rPr>
          <w:rFonts w:hint="eastAsia" w:ascii="宋体" w:hAnsi="宋体" w:eastAsia="宋体" w:cs="宋体"/>
          <w:snapToGrid w:val="0"/>
          <w:color w:val="auto"/>
          <w:sz w:val="24"/>
          <w:szCs w:val="24"/>
          <w:highlight w:val="none"/>
        </w:rPr>
        <w:t>5.本合同一式伍份，具有同等法律效力，甲、乙双方各执贰份，鉴证方执壹份。</w:t>
      </w:r>
      <w:r>
        <w:rPr>
          <w:rFonts w:hint="eastAsia" w:ascii="宋体" w:hAnsi="宋体" w:eastAsia="宋体" w:cs="宋体"/>
          <w:bCs/>
          <w:color w:val="auto"/>
          <w:sz w:val="24"/>
          <w:szCs w:val="24"/>
          <w:highlight w:val="none"/>
        </w:rPr>
        <w:t xml:space="preserve">    </w:t>
      </w:r>
    </w:p>
    <w:p w14:paraId="674E0D57">
      <w:pPr>
        <w:pStyle w:val="23"/>
        <w:rPr>
          <w:rFonts w:hint="eastAsia" w:ascii="宋体" w:hAnsi="宋体" w:eastAsia="宋体" w:cs="宋体"/>
          <w:color w:val="auto"/>
          <w:sz w:val="24"/>
          <w:szCs w:val="24"/>
          <w:highlight w:val="none"/>
        </w:rPr>
      </w:pPr>
    </w:p>
    <w:tbl>
      <w:tblPr>
        <w:tblStyle w:val="60"/>
        <w:tblW w:w="9936" w:type="dxa"/>
        <w:jc w:val="center"/>
        <w:tblLayout w:type="fixed"/>
        <w:tblCellMar>
          <w:top w:w="0" w:type="dxa"/>
          <w:left w:w="108" w:type="dxa"/>
          <w:bottom w:w="0" w:type="dxa"/>
          <w:right w:w="108" w:type="dxa"/>
        </w:tblCellMar>
      </w:tblPr>
      <w:tblGrid>
        <w:gridCol w:w="4971"/>
        <w:gridCol w:w="4965"/>
      </w:tblGrid>
      <w:tr w14:paraId="28AB81F9">
        <w:tblPrEx>
          <w:tblCellMar>
            <w:top w:w="0" w:type="dxa"/>
            <w:left w:w="108" w:type="dxa"/>
            <w:bottom w:w="0" w:type="dxa"/>
            <w:right w:w="108" w:type="dxa"/>
          </w:tblCellMar>
        </w:tblPrEx>
        <w:trPr>
          <w:trHeight w:val="1420" w:hRule="atLeast"/>
          <w:jc w:val="center"/>
        </w:trPr>
        <w:tc>
          <w:tcPr>
            <w:tcW w:w="4971" w:type="dxa"/>
            <w:tcBorders>
              <w:top w:val="nil"/>
              <w:left w:val="nil"/>
              <w:bottom w:val="nil"/>
              <w:right w:val="nil"/>
            </w:tcBorders>
            <w:noWrap w:val="0"/>
            <w:vAlign w:val="top"/>
          </w:tcPr>
          <w:p w14:paraId="74D7B98C">
            <w:pPr>
              <w:snapToGrid w:val="0"/>
              <w:spacing w:line="360" w:lineRule="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甲方（公章）：</w:t>
            </w:r>
          </w:p>
        </w:tc>
        <w:tc>
          <w:tcPr>
            <w:tcW w:w="4965" w:type="dxa"/>
            <w:tcBorders>
              <w:top w:val="nil"/>
              <w:left w:val="nil"/>
              <w:bottom w:val="nil"/>
              <w:right w:val="nil"/>
            </w:tcBorders>
            <w:noWrap w:val="0"/>
            <w:vAlign w:val="top"/>
          </w:tcPr>
          <w:p w14:paraId="497ED293">
            <w:pPr>
              <w:pStyle w:val="31"/>
              <w:snapToGrid w:val="0"/>
              <w:spacing w:line="360" w:lineRule="auto"/>
              <w:ind w:left="1386" w:hanging="1596" w:hangingChars="7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乙方（公章）： </w:t>
            </w:r>
          </w:p>
        </w:tc>
      </w:tr>
      <w:tr w14:paraId="7FD36925">
        <w:tblPrEx>
          <w:tblCellMar>
            <w:top w:w="0" w:type="dxa"/>
            <w:left w:w="108" w:type="dxa"/>
            <w:bottom w:w="0" w:type="dxa"/>
            <w:right w:w="108" w:type="dxa"/>
          </w:tblCellMar>
        </w:tblPrEx>
        <w:trPr>
          <w:trHeight w:val="1028" w:hRule="atLeast"/>
          <w:jc w:val="center"/>
        </w:trPr>
        <w:tc>
          <w:tcPr>
            <w:tcW w:w="4971" w:type="dxa"/>
            <w:tcBorders>
              <w:top w:val="nil"/>
              <w:left w:val="nil"/>
              <w:bottom w:val="nil"/>
              <w:right w:val="nil"/>
            </w:tcBorders>
            <w:noWrap w:val="0"/>
            <w:vAlign w:val="top"/>
          </w:tcPr>
          <w:p w14:paraId="4AF6AA72">
            <w:pPr>
              <w:snapToGrid w:val="0"/>
              <w:spacing w:line="360" w:lineRule="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法定代表人或受委托人：</w:t>
            </w:r>
          </w:p>
          <w:p w14:paraId="1F29089D">
            <w:pPr>
              <w:snapToGrid w:val="0"/>
              <w:spacing w:line="360" w:lineRule="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（签字）</w:t>
            </w:r>
          </w:p>
        </w:tc>
        <w:tc>
          <w:tcPr>
            <w:tcW w:w="4965" w:type="dxa"/>
            <w:tcBorders>
              <w:top w:val="nil"/>
              <w:left w:val="nil"/>
              <w:bottom w:val="nil"/>
              <w:right w:val="nil"/>
            </w:tcBorders>
            <w:noWrap w:val="0"/>
            <w:vAlign w:val="top"/>
          </w:tcPr>
          <w:p w14:paraId="7B46F2B9">
            <w:pPr>
              <w:pStyle w:val="31"/>
              <w:snapToGrid w:val="0"/>
              <w:spacing w:line="360" w:lineRule="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法定代表人或受委托人：</w:t>
            </w:r>
          </w:p>
          <w:p w14:paraId="40833776">
            <w:pPr>
              <w:pStyle w:val="31"/>
              <w:snapToGrid w:val="0"/>
              <w:spacing w:line="360" w:lineRule="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（签字）</w:t>
            </w:r>
          </w:p>
        </w:tc>
      </w:tr>
      <w:tr w14:paraId="2AF0F084">
        <w:tblPrEx>
          <w:tblCellMar>
            <w:top w:w="0" w:type="dxa"/>
            <w:left w:w="108" w:type="dxa"/>
            <w:bottom w:w="0" w:type="dxa"/>
            <w:right w:w="108" w:type="dxa"/>
          </w:tblCellMar>
        </w:tblPrEx>
        <w:trPr>
          <w:jc w:val="center"/>
        </w:trPr>
        <w:tc>
          <w:tcPr>
            <w:tcW w:w="4971" w:type="dxa"/>
            <w:tcBorders>
              <w:top w:val="nil"/>
              <w:left w:val="nil"/>
              <w:bottom w:val="nil"/>
              <w:right w:val="nil"/>
            </w:tcBorders>
            <w:noWrap w:val="0"/>
            <w:vAlign w:val="top"/>
          </w:tcPr>
          <w:p w14:paraId="577171C5">
            <w:pPr>
              <w:snapToGrid w:val="0"/>
              <w:spacing w:line="360" w:lineRule="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地址： </w:t>
            </w:r>
          </w:p>
        </w:tc>
        <w:tc>
          <w:tcPr>
            <w:tcW w:w="4965" w:type="dxa"/>
            <w:tcBorders>
              <w:top w:val="nil"/>
              <w:left w:val="nil"/>
              <w:bottom w:val="nil"/>
              <w:right w:val="nil"/>
            </w:tcBorders>
            <w:noWrap w:val="0"/>
            <w:vAlign w:val="top"/>
          </w:tcPr>
          <w:p w14:paraId="39C51961">
            <w:pPr>
              <w:pStyle w:val="31"/>
              <w:snapToGrid w:val="0"/>
              <w:spacing w:line="360" w:lineRule="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地址：</w:t>
            </w:r>
          </w:p>
        </w:tc>
      </w:tr>
      <w:tr w14:paraId="1BA66BCF">
        <w:tblPrEx>
          <w:tblCellMar>
            <w:top w:w="0" w:type="dxa"/>
            <w:left w:w="108" w:type="dxa"/>
            <w:bottom w:w="0" w:type="dxa"/>
            <w:right w:w="108" w:type="dxa"/>
          </w:tblCellMar>
        </w:tblPrEx>
        <w:trPr>
          <w:jc w:val="center"/>
        </w:trPr>
        <w:tc>
          <w:tcPr>
            <w:tcW w:w="4971" w:type="dxa"/>
            <w:tcBorders>
              <w:top w:val="nil"/>
              <w:left w:val="nil"/>
              <w:bottom w:val="nil"/>
              <w:right w:val="nil"/>
            </w:tcBorders>
            <w:noWrap w:val="0"/>
            <w:vAlign w:val="top"/>
          </w:tcPr>
          <w:p w14:paraId="2105A595">
            <w:pPr>
              <w:snapToGrid w:val="0"/>
              <w:spacing w:line="360" w:lineRule="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邮编：</w:t>
            </w:r>
          </w:p>
        </w:tc>
        <w:tc>
          <w:tcPr>
            <w:tcW w:w="4965" w:type="dxa"/>
            <w:tcBorders>
              <w:top w:val="nil"/>
              <w:left w:val="nil"/>
              <w:bottom w:val="nil"/>
              <w:right w:val="nil"/>
            </w:tcBorders>
            <w:noWrap w:val="0"/>
            <w:vAlign w:val="top"/>
          </w:tcPr>
          <w:p w14:paraId="53375CAA">
            <w:pPr>
              <w:pStyle w:val="31"/>
              <w:snapToGrid w:val="0"/>
              <w:spacing w:line="360" w:lineRule="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邮编：</w:t>
            </w:r>
          </w:p>
        </w:tc>
      </w:tr>
      <w:tr w14:paraId="01412111">
        <w:tblPrEx>
          <w:tblCellMar>
            <w:top w:w="0" w:type="dxa"/>
            <w:left w:w="108" w:type="dxa"/>
            <w:bottom w:w="0" w:type="dxa"/>
            <w:right w:w="108" w:type="dxa"/>
          </w:tblCellMar>
        </w:tblPrEx>
        <w:trPr>
          <w:jc w:val="center"/>
        </w:trPr>
        <w:tc>
          <w:tcPr>
            <w:tcW w:w="4971" w:type="dxa"/>
            <w:tcBorders>
              <w:top w:val="nil"/>
              <w:left w:val="nil"/>
              <w:bottom w:val="nil"/>
              <w:right w:val="nil"/>
            </w:tcBorders>
            <w:noWrap w:val="0"/>
            <w:vAlign w:val="top"/>
          </w:tcPr>
          <w:p w14:paraId="52AF808D">
            <w:pPr>
              <w:snapToGrid w:val="0"/>
              <w:spacing w:line="360" w:lineRule="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电话：</w:t>
            </w:r>
          </w:p>
        </w:tc>
        <w:tc>
          <w:tcPr>
            <w:tcW w:w="4965" w:type="dxa"/>
            <w:tcBorders>
              <w:top w:val="nil"/>
              <w:left w:val="nil"/>
              <w:bottom w:val="nil"/>
              <w:right w:val="nil"/>
            </w:tcBorders>
            <w:noWrap w:val="0"/>
            <w:vAlign w:val="top"/>
          </w:tcPr>
          <w:p w14:paraId="0284C79D">
            <w:pPr>
              <w:pStyle w:val="31"/>
              <w:snapToGrid w:val="0"/>
              <w:spacing w:line="360" w:lineRule="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电话：</w:t>
            </w:r>
          </w:p>
        </w:tc>
      </w:tr>
      <w:tr w14:paraId="58DFF8FB">
        <w:tblPrEx>
          <w:tblCellMar>
            <w:top w:w="0" w:type="dxa"/>
            <w:left w:w="108" w:type="dxa"/>
            <w:bottom w:w="0" w:type="dxa"/>
            <w:right w:w="108" w:type="dxa"/>
          </w:tblCellMar>
        </w:tblPrEx>
        <w:trPr>
          <w:jc w:val="center"/>
        </w:trPr>
        <w:tc>
          <w:tcPr>
            <w:tcW w:w="4971" w:type="dxa"/>
            <w:tcBorders>
              <w:top w:val="nil"/>
              <w:left w:val="nil"/>
              <w:bottom w:val="nil"/>
              <w:right w:val="nil"/>
            </w:tcBorders>
            <w:noWrap w:val="0"/>
            <w:vAlign w:val="top"/>
          </w:tcPr>
          <w:p w14:paraId="09C9408B">
            <w:pPr>
              <w:snapToGrid w:val="0"/>
              <w:spacing w:line="360" w:lineRule="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传真：</w:t>
            </w:r>
          </w:p>
        </w:tc>
        <w:tc>
          <w:tcPr>
            <w:tcW w:w="4965" w:type="dxa"/>
            <w:tcBorders>
              <w:top w:val="nil"/>
              <w:left w:val="nil"/>
              <w:bottom w:val="nil"/>
              <w:right w:val="nil"/>
            </w:tcBorders>
            <w:noWrap w:val="0"/>
            <w:vAlign w:val="top"/>
          </w:tcPr>
          <w:p w14:paraId="20AA8EEA">
            <w:pPr>
              <w:pStyle w:val="31"/>
              <w:snapToGrid w:val="0"/>
              <w:spacing w:line="360" w:lineRule="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传真：</w:t>
            </w:r>
          </w:p>
        </w:tc>
      </w:tr>
      <w:tr w14:paraId="23E0ECEB">
        <w:tblPrEx>
          <w:tblCellMar>
            <w:top w:w="0" w:type="dxa"/>
            <w:left w:w="108" w:type="dxa"/>
            <w:bottom w:w="0" w:type="dxa"/>
            <w:right w:w="108" w:type="dxa"/>
          </w:tblCellMar>
        </w:tblPrEx>
        <w:trPr>
          <w:jc w:val="center"/>
        </w:trPr>
        <w:tc>
          <w:tcPr>
            <w:tcW w:w="4971" w:type="dxa"/>
            <w:tcBorders>
              <w:top w:val="nil"/>
              <w:left w:val="nil"/>
              <w:bottom w:val="nil"/>
              <w:right w:val="nil"/>
            </w:tcBorders>
            <w:noWrap w:val="0"/>
            <w:vAlign w:val="top"/>
          </w:tcPr>
          <w:p w14:paraId="1EE36451">
            <w:pPr>
              <w:snapToGrid w:val="0"/>
              <w:spacing w:line="360" w:lineRule="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开户银行：</w:t>
            </w:r>
          </w:p>
        </w:tc>
        <w:tc>
          <w:tcPr>
            <w:tcW w:w="4965" w:type="dxa"/>
            <w:tcBorders>
              <w:top w:val="nil"/>
              <w:left w:val="nil"/>
              <w:bottom w:val="nil"/>
              <w:right w:val="nil"/>
            </w:tcBorders>
            <w:noWrap w:val="0"/>
            <w:vAlign w:val="top"/>
          </w:tcPr>
          <w:p w14:paraId="629AE98C">
            <w:pPr>
              <w:pStyle w:val="31"/>
              <w:snapToGrid w:val="0"/>
              <w:spacing w:line="360" w:lineRule="auto"/>
              <w:rPr>
                <w:rFonts w:hint="eastAsia" w:ascii="宋体" w:hAnsi="宋体" w:eastAsia="宋体" w:cs="宋体"/>
                <w:snapToGrid w:val="0"/>
                <w:color w:val="auto"/>
                <w:spacing w:val="-6"/>
                <w:sz w:val="24"/>
                <w:szCs w:val="24"/>
                <w:highlight w:val="none"/>
              </w:rPr>
            </w:pPr>
            <w:r>
              <w:rPr>
                <w:rFonts w:hint="eastAsia" w:ascii="宋体" w:hAnsi="宋体" w:eastAsia="宋体" w:cs="宋体"/>
                <w:snapToGrid w:val="0"/>
                <w:color w:val="auto"/>
                <w:spacing w:val="-6"/>
                <w:sz w:val="24"/>
                <w:szCs w:val="24"/>
                <w:highlight w:val="none"/>
              </w:rPr>
              <w:t>开户银行：</w:t>
            </w:r>
          </w:p>
        </w:tc>
      </w:tr>
      <w:tr w14:paraId="375F79E5">
        <w:tblPrEx>
          <w:tblCellMar>
            <w:top w:w="0" w:type="dxa"/>
            <w:left w:w="108" w:type="dxa"/>
            <w:bottom w:w="0" w:type="dxa"/>
            <w:right w:w="108" w:type="dxa"/>
          </w:tblCellMar>
        </w:tblPrEx>
        <w:trPr>
          <w:jc w:val="center"/>
        </w:trPr>
        <w:tc>
          <w:tcPr>
            <w:tcW w:w="4971" w:type="dxa"/>
            <w:tcBorders>
              <w:top w:val="nil"/>
              <w:left w:val="nil"/>
              <w:bottom w:val="nil"/>
              <w:right w:val="nil"/>
            </w:tcBorders>
            <w:noWrap w:val="0"/>
            <w:vAlign w:val="top"/>
          </w:tcPr>
          <w:p w14:paraId="7E58D874">
            <w:pPr>
              <w:snapToGrid w:val="0"/>
              <w:spacing w:line="360" w:lineRule="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eastAsia="zh-CN"/>
              </w:rPr>
              <w:t>账号</w:t>
            </w:r>
            <w:r>
              <w:rPr>
                <w:rFonts w:hint="eastAsia" w:ascii="宋体" w:hAnsi="宋体" w:eastAsia="宋体" w:cs="宋体"/>
                <w:color w:val="auto"/>
                <w:spacing w:val="-6"/>
                <w:sz w:val="24"/>
                <w:szCs w:val="24"/>
                <w:highlight w:val="none"/>
              </w:rPr>
              <w:t>：</w:t>
            </w:r>
          </w:p>
        </w:tc>
        <w:tc>
          <w:tcPr>
            <w:tcW w:w="4965" w:type="dxa"/>
            <w:tcBorders>
              <w:top w:val="nil"/>
              <w:left w:val="nil"/>
              <w:bottom w:val="nil"/>
              <w:right w:val="nil"/>
            </w:tcBorders>
            <w:noWrap w:val="0"/>
            <w:vAlign w:val="top"/>
          </w:tcPr>
          <w:p w14:paraId="3FCB4BFF">
            <w:pPr>
              <w:pStyle w:val="31"/>
              <w:snapToGrid w:val="0"/>
              <w:spacing w:line="360" w:lineRule="auto"/>
              <w:rPr>
                <w:rFonts w:hint="eastAsia" w:ascii="宋体" w:hAnsi="宋体" w:eastAsia="宋体" w:cs="宋体"/>
                <w:snapToGrid w:val="0"/>
                <w:color w:val="auto"/>
                <w:spacing w:val="-6"/>
                <w:sz w:val="24"/>
                <w:szCs w:val="24"/>
                <w:highlight w:val="none"/>
              </w:rPr>
            </w:pPr>
            <w:r>
              <w:rPr>
                <w:rFonts w:hint="eastAsia" w:ascii="宋体" w:hAnsi="宋体" w:eastAsia="宋体" w:cs="宋体"/>
                <w:snapToGrid w:val="0"/>
                <w:color w:val="auto"/>
                <w:spacing w:val="-6"/>
                <w:sz w:val="24"/>
                <w:szCs w:val="24"/>
                <w:highlight w:val="none"/>
                <w:lang w:eastAsia="zh-CN"/>
              </w:rPr>
              <w:t>账</w:t>
            </w:r>
            <w:r>
              <w:rPr>
                <w:rFonts w:hint="eastAsia" w:ascii="宋体" w:hAnsi="宋体" w:eastAsia="宋体" w:cs="宋体"/>
                <w:snapToGrid w:val="0"/>
                <w:color w:val="auto"/>
                <w:spacing w:val="-6"/>
                <w:sz w:val="24"/>
                <w:szCs w:val="24"/>
                <w:highlight w:val="none"/>
              </w:rPr>
              <w:t>号：</w:t>
            </w:r>
          </w:p>
        </w:tc>
      </w:tr>
      <w:tr w14:paraId="2E6B43B2">
        <w:tblPrEx>
          <w:tblCellMar>
            <w:top w:w="0" w:type="dxa"/>
            <w:left w:w="108" w:type="dxa"/>
            <w:bottom w:w="0" w:type="dxa"/>
            <w:right w:w="108" w:type="dxa"/>
          </w:tblCellMar>
        </w:tblPrEx>
        <w:trPr>
          <w:jc w:val="center"/>
        </w:trPr>
        <w:tc>
          <w:tcPr>
            <w:tcW w:w="4971" w:type="dxa"/>
            <w:tcBorders>
              <w:top w:val="nil"/>
              <w:left w:val="nil"/>
              <w:bottom w:val="nil"/>
              <w:right w:val="nil"/>
            </w:tcBorders>
            <w:noWrap w:val="0"/>
            <w:vAlign w:val="top"/>
          </w:tcPr>
          <w:p w14:paraId="5E78EF39">
            <w:pPr>
              <w:snapToGrid w:val="0"/>
              <w:spacing w:line="360" w:lineRule="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签约时间：    年   月   日</w:t>
            </w:r>
          </w:p>
        </w:tc>
        <w:tc>
          <w:tcPr>
            <w:tcW w:w="4965" w:type="dxa"/>
            <w:tcBorders>
              <w:top w:val="nil"/>
              <w:left w:val="nil"/>
              <w:bottom w:val="nil"/>
              <w:right w:val="nil"/>
            </w:tcBorders>
            <w:noWrap w:val="0"/>
            <w:vAlign w:val="top"/>
          </w:tcPr>
          <w:p w14:paraId="7E1BF44F">
            <w:pPr>
              <w:snapToGrid w:val="0"/>
              <w:spacing w:line="360" w:lineRule="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签约时间：    年   月   日</w:t>
            </w:r>
          </w:p>
        </w:tc>
      </w:tr>
      <w:tr w14:paraId="1EFC58D3">
        <w:tblPrEx>
          <w:tblCellMar>
            <w:top w:w="0" w:type="dxa"/>
            <w:left w:w="108" w:type="dxa"/>
            <w:bottom w:w="0" w:type="dxa"/>
            <w:right w:w="108" w:type="dxa"/>
          </w:tblCellMar>
        </w:tblPrEx>
        <w:trPr>
          <w:gridAfter w:val="1"/>
          <w:wAfter w:w="4965" w:type="dxa"/>
          <w:trHeight w:val="1321" w:hRule="atLeast"/>
          <w:jc w:val="center"/>
        </w:trPr>
        <w:tc>
          <w:tcPr>
            <w:tcW w:w="4971" w:type="dxa"/>
            <w:tcBorders>
              <w:top w:val="nil"/>
              <w:left w:val="nil"/>
              <w:bottom w:val="nil"/>
              <w:right w:val="nil"/>
            </w:tcBorders>
            <w:noWrap w:val="0"/>
            <w:vAlign w:val="top"/>
          </w:tcPr>
          <w:p w14:paraId="4C4E4F16">
            <w:pPr>
              <w:spacing w:line="360" w:lineRule="auto"/>
              <w:rPr>
                <w:rFonts w:hint="eastAsia" w:ascii="宋体" w:hAnsi="宋体" w:eastAsia="宋体" w:cs="宋体"/>
                <w:color w:val="auto"/>
                <w:spacing w:val="-6"/>
                <w:sz w:val="24"/>
                <w:szCs w:val="24"/>
                <w:highlight w:val="none"/>
              </w:rPr>
            </w:pPr>
          </w:p>
          <w:p w14:paraId="217C39B4">
            <w:pPr>
              <w:spacing w:line="360" w:lineRule="auto"/>
              <w:rPr>
                <w:rFonts w:hint="eastAsia" w:ascii="宋体" w:hAnsi="宋体" w:eastAsia="宋体" w:cs="宋体"/>
                <w:color w:val="auto"/>
                <w:spacing w:val="-6"/>
                <w:sz w:val="24"/>
                <w:szCs w:val="24"/>
                <w:highlight w:val="none"/>
              </w:rPr>
            </w:pPr>
          </w:p>
          <w:p w14:paraId="6210A0E4">
            <w:pPr>
              <w:spacing w:line="360" w:lineRule="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采购代理机构：浙江国际招投标有限公司（公章）</w:t>
            </w:r>
          </w:p>
        </w:tc>
      </w:tr>
      <w:tr w14:paraId="08BE41B4">
        <w:tblPrEx>
          <w:tblCellMar>
            <w:top w:w="0" w:type="dxa"/>
            <w:left w:w="108" w:type="dxa"/>
            <w:bottom w:w="0" w:type="dxa"/>
            <w:right w:w="108" w:type="dxa"/>
          </w:tblCellMar>
        </w:tblPrEx>
        <w:trPr>
          <w:gridAfter w:val="1"/>
          <w:wAfter w:w="4965" w:type="dxa"/>
          <w:trHeight w:val="717" w:hRule="atLeast"/>
          <w:jc w:val="center"/>
        </w:trPr>
        <w:tc>
          <w:tcPr>
            <w:tcW w:w="4971" w:type="dxa"/>
            <w:tcBorders>
              <w:top w:val="nil"/>
              <w:left w:val="nil"/>
              <w:bottom w:val="nil"/>
              <w:right w:val="nil"/>
            </w:tcBorders>
            <w:noWrap w:val="0"/>
            <w:vAlign w:val="top"/>
          </w:tcPr>
          <w:p w14:paraId="15592FB9">
            <w:pPr>
              <w:spacing w:line="360" w:lineRule="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采购代理机构代表：</w:t>
            </w:r>
          </w:p>
          <w:p w14:paraId="283FEECA">
            <w:pPr>
              <w:spacing w:line="360" w:lineRule="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（签字）</w:t>
            </w:r>
          </w:p>
        </w:tc>
      </w:tr>
      <w:tr w14:paraId="4C4ED6E7">
        <w:tblPrEx>
          <w:tblCellMar>
            <w:top w:w="0" w:type="dxa"/>
            <w:left w:w="108" w:type="dxa"/>
            <w:bottom w:w="0" w:type="dxa"/>
            <w:right w:w="108" w:type="dxa"/>
          </w:tblCellMar>
        </w:tblPrEx>
        <w:trPr>
          <w:gridAfter w:val="1"/>
          <w:wAfter w:w="4965" w:type="dxa"/>
          <w:jc w:val="center"/>
        </w:trPr>
        <w:tc>
          <w:tcPr>
            <w:tcW w:w="4971" w:type="dxa"/>
            <w:tcBorders>
              <w:top w:val="nil"/>
              <w:left w:val="nil"/>
              <w:bottom w:val="nil"/>
              <w:right w:val="nil"/>
            </w:tcBorders>
            <w:noWrap w:val="0"/>
            <w:vAlign w:val="top"/>
          </w:tcPr>
          <w:p w14:paraId="7ABA7F87">
            <w:pPr>
              <w:snapToGrid w:val="0"/>
              <w:spacing w:line="360" w:lineRule="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签约时间：    年   月   日</w:t>
            </w:r>
          </w:p>
        </w:tc>
      </w:tr>
    </w:tbl>
    <w:p w14:paraId="233E55CE">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color w:val="auto"/>
          <w:sz w:val="32"/>
          <w:highlight w:val="none"/>
        </w:rPr>
        <w:br w:type="page"/>
      </w:r>
    </w:p>
    <w:p w14:paraId="511612F7">
      <w:pPr>
        <w:snapToGrid w:val="0"/>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第七部分</w:t>
      </w:r>
      <w:bookmarkEnd w:id="72"/>
      <w:r>
        <w:rPr>
          <w:rFonts w:hint="eastAsia" w:ascii="宋体" w:hAnsi="宋体" w:eastAsia="宋体" w:cs="宋体"/>
          <w:b/>
          <w:color w:val="auto"/>
          <w:sz w:val="36"/>
          <w:szCs w:val="20"/>
          <w:highlight w:val="none"/>
        </w:rPr>
        <w:t xml:space="preserve">  </w:t>
      </w:r>
      <w:bookmarkEnd w:id="73"/>
      <w:r>
        <w:rPr>
          <w:rFonts w:hint="eastAsia" w:ascii="宋体" w:hAnsi="宋体" w:eastAsia="宋体" w:cs="宋体"/>
          <w:b/>
          <w:color w:val="auto"/>
          <w:sz w:val="36"/>
          <w:szCs w:val="20"/>
          <w:highlight w:val="none"/>
        </w:rPr>
        <w:t>应提交的有关格式范例</w:t>
      </w:r>
    </w:p>
    <w:p w14:paraId="07560102">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47A5AFCC">
      <w:pPr>
        <w:bidi w:val="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目录</w:t>
      </w:r>
    </w:p>
    <w:p w14:paraId="7FEF6E29">
      <w:pPr>
        <w:bidi w:val="0"/>
        <w:rPr>
          <w:rFonts w:hint="eastAsia" w:ascii="宋体" w:hAnsi="宋体" w:eastAsia="宋体" w:cs="宋体"/>
          <w:color w:val="auto"/>
          <w:highlight w:val="none"/>
        </w:rPr>
      </w:pPr>
    </w:p>
    <w:p w14:paraId="22C86637">
      <w:pPr>
        <w:pStyle w:val="23"/>
        <w:rPr>
          <w:rFonts w:hint="eastAsia" w:ascii="宋体" w:hAnsi="宋体" w:eastAsia="宋体" w:cs="宋体"/>
          <w:color w:val="auto"/>
          <w:highlight w:val="none"/>
        </w:rPr>
      </w:pPr>
    </w:p>
    <w:p w14:paraId="1F7BADE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0E9ACBD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（2）联合协议………………………………………………………………（页码）</w:t>
      </w:r>
    </w:p>
    <w:p w14:paraId="0FCB020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落实政府采购政策需满足的资格要求………………………………（页码）</w:t>
      </w:r>
    </w:p>
    <w:p w14:paraId="33E9EDE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）本项目的特定资格要求………………………………………………（页码）</w:t>
      </w:r>
    </w:p>
    <w:p w14:paraId="4192A750">
      <w:pPr>
        <w:snapToGrid w:val="0"/>
        <w:spacing w:line="360" w:lineRule="auto"/>
        <w:ind w:right="480"/>
        <w:jc w:val="both"/>
        <w:rPr>
          <w:rFonts w:hint="eastAsia" w:ascii="宋体" w:hAnsi="宋体" w:eastAsia="宋体" w:cs="宋体"/>
          <w:b/>
          <w:color w:val="auto"/>
          <w:kern w:val="0"/>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kern w:val="0"/>
          <w:sz w:val="32"/>
          <w:szCs w:val="32"/>
          <w:highlight w:val="none"/>
        </w:rPr>
        <w:t>一、 符合参加政府采购活动应当具备的一般条件的承诺函</w:t>
      </w:r>
    </w:p>
    <w:p w14:paraId="1664CFE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sz w:val="24"/>
          <w:highlight w:val="none"/>
        </w:rPr>
        <w:t>：</w:t>
      </w:r>
    </w:p>
    <w:p w14:paraId="22EC2BBB">
      <w:pPr>
        <w:snapToGrid w:val="0"/>
        <w:spacing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w:t>
      </w:r>
      <w:r>
        <w:rPr>
          <w:rFonts w:hint="eastAsia" w:ascii="宋体" w:hAnsi="宋体" w:cs="宋体"/>
          <w:color w:val="auto"/>
          <w:sz w:val="24"/>
          <w:highlight w:val="none"/>
          <w:lang w:eastAsia="zh-CN"/>
        </w:rPr>
        <w:t>项目</w:t>
      </w:r>
      <w:r>
        <w:rPr>
          <w:rFonts w:hint="eastAsia" w:ascii="宋体" w:hAnsi="宋体" w:eastAsia="宋体" w:cs="宋体"/>
          <w:color w:val="auto"/>
          <w:sz w:val="24"/>
          <w:highlight w:val="none"/>
        </w:rPr>
        <w:t>编号：</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】政府采购活动，郑重承诺：</w:t>
      </w:r>
    </w:p>
    <w:p w14:paraId="6A69ACF5">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4E69435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212C4DC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616D411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5369B08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3862473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3F07A50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71165E0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2261759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527AB27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0F4E3A9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1B3A0AD2">
      <w:pPr>
        <w:pStyle w:val="23"/>
        <w:rPr>
          <w:rFonts w:hint="eastAsia" w:ascii="宋体" w:hAnsi="宋体" w:eastAsia="宋体" w:cs="宋体"/>
          <w:color w:val="auto"/>
          <w:sz w:val="24"/>
          <w:highlight w:val="none"/>
        </w:rPr>
      </w:pPr>
    </w:p>
    <w:p w14:paraId="307FF205">
      <w:pPr>
        <w:rPr>
          <w:rFonts w:hint="eastAsia" w:ascii="宋体" w:hAnsi="宋体" w:eastAsia="宋体" w:cs="宋体"/>
          <w:color w:val="auto"/>
          <w:highlight w:val="none"/>
        </w:rPr>
      </w:pPr>
    </w:p>
    <w:p w14:paraId="5F424813">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1DF0D84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3CDDB4B">
      <w:pPr>
        <w:snapToGrid w:val="0"/>
        <w:spacing w:line="360" w:lineRule="auto"/>
        <w:ind w:right="480" w:firstLine="480" w:firstLineChars="200"/>
        <w:jc w:val="left"/>
        <w:rPr>
          <w:rFonts w:hint="eastAsia" w:ascii="宋体" w:hAnsi="宋体" w:eastAsia="宋体" w:cs="宋体"/>
          <w:color w:val="auto"/>
          <w:sz w:val="24"/>
          <w:highlight w:val="none"/>
          <w:lang w:eastAsia="zh-CN"/>
        </w:rPr>
      </w:pPr>
    </w:p>
    <w:p w14:paraId="6AF0CD4A">
      <w:pPr>
        <w:snapToGrid w:val="0"/>
        <w:spacing w:line="360" w:lineRule="auto"/>
        <w:ind w:right="480" w:firstLine="42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1"/>
          <w:szCs w:val="21"/>
          <w:highlight w:val="none"/>
          <w:lang w:eastAsia="zh-CN"/>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r>
        <w:rPr>
          <w:rFonts w:hint="eastAsia" w:ascii="宋体" w:hAnsi="宋体" w:eastAsia="宋体" w:cs="宋体"/>
          <w:color w:val="auto"/>
          <w:sz w:val="24"/>
          <w:highlight w:val="none"/>
          <w:lang w:eastAsia="zh-CN"/>
        </w:rPr>
        <w:br w:type="page"/>
      </w:r>
    </w:p>
    <w:p w14:paraId="62BD82AB">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5C18877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[以联合体形式投标的，提供联合协议（附件5）；本项目不接受联合体投标或者投标人不以联合体形式投标的，则不需要提供）]</w:t>
      </w:r>
    </w:p>
    <w:p w14:paraId="1FA9C690">
      <w:pPr>
        <w:rPr>
          <w:rFonts w:hint="eastAsia" w:ascii="宋体" w:hAnsi="宋体" w:eastAsia="宋体" w:cs="宋体"/>
          <w:b/>
          <w:color w:val="auto"/>
          <w:kern w:val="0"/>
          <w:sz w:val="32"/>
          <w:szCs w:val="32"/>
          <w:highlight w:val="none"/>
        </w:rPr>
      </w:pPr>
    </w:p>
    <w:p w14:paraId="74A575B0">
      <w:pPr>
        <w:rPr>
          <w:rFonts w:hint="eastAsia" w:ascii="宋体" w:hAnsi="宋体" w:eastAsia="宋体" w:cs="宋体"/>
          <w:b/>
          <w:color w:val="auto"/>
          <w:kern w:val="0"/>
          <w:sz w:val="32"/>
          <w:szCs w:val="32"/>
          <w:highlight w:val="none"/>
          <w:lang w:eastAsia="zh-CN"/>
        </w:rPr>
      </w:pPr>
    </w:p>
    <w:p w14:paraId="1AA773B9">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三</w:t>
      </w:r>
      <w:r>
        <w:rPr>
          <w:rFonts w:hint="eastAsia" w:ascii="宋体" w:hAnsi="宋体" w:eastAsia="宋体" w:cs="宋体"/>
          <w:b/>
          <w:color w:val="auto"/>
          <w:kern w:val="0"/>
          <w:sz w:val="32"/>
          <w:szCs w:val="32"/>
          <w:highlight w:val="none"/>
        </w:rPr>
        <w:t>、落实政府采购政策需满足的资格要求</w:t>
      </w:r>
    </w:p>
    <w:p w14:paraId="55A863D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（根据竞争性磋商邀请公告落实政府采购政策需满足的资格要求选择提供相应的材料；未要求的，无需提供）</w:t>
      </w:r>
    </w:p>
    <w:p w14:paraId="52841312">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.专门面向中小企业，服务全部由符合政策要求的中小企业（或小微企业）承接的，提供相应的中小企业声明函（附件</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 xml:space="preserve">）。 </w:t>
      </w:r>
    </w:p>
    <w:p w14:paraId="59B76877">
      <w:pPr>
        <w:widowControl/>
        <w:spacing w:line="360" w:lineRule="auto"/>
        <w:ind w:firstLine="480"/>
        <w:jc w:val="left"/>
        <w:rPr>
          <w:rFonts w:hint="eastAsia" w:ascii="宋体" w:hAnsi="宋体" w:eastAsia="宋体" w:cs="宋体"/>
          <w:color w:val="auto"/>
          <w:sz w:val="24"/>
          <w:highlight w:val="none"/>
        </w:rPr>
      </w:pPr>
    </w:p>
    <w:p w14:paraId="7B0883B6">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w:t>
      </w:r>
      <w:r>
        <w:rPr>
          <w:rFonts w:hint="eastAsia" w:ascii="宋体" w:hAnsi="宋体" w:eastAsia="宋体" w:cs="宋体"/>
          <w:color w:val="auto"/>
          <w:sz w:val="24"/>
          <w:highlight w:val="none"/>
          <w:lang w:eastAsia="zh-CN"/>
        </w:rPr>
        <w:t>（附件</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和中小企业声明函（附件</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），联合协议中中小企业合同金额应当达到</w:t>
      </w:r>
      <w:r>
        <w:rPr>
          <w:rFonts w:hint="eastAsia" w:ascii="宋体" w:hAnsi="宋体" w:eastAsia="宋体" w:cs="宋体"/>
          <w:b/>
          <w:bCs/>
          <w:color w:val="auto"/>
          <w:sz w:val="24"/>
          <w:highlight w:val="none"/>
        </w:rPr>
        <w:t>竞争性磋商邀请公告</w:t>
      </w:r>
      <w:r>
        <w:rPr>
          <w:rFonts w:hint="eastAsia" w:ascii="宋体" w:hAnsi="宋体" w:eastAsia="宋体" w:cs="宋体"/>
          <w:color w:val="auto"/>
          <w:sz w:val="24"/>
          <w:highlight w:val="none"/>
        </w:rPr>
        <w:t>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237EBD7D">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4382A9C1">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w:t>
      </w:r>
      <w:r>
        <w:rPr>
          <w:rFonts w:hint="eastAsia" w:ascii="宋体" w:hAnsi="宋体" w:eastAsia="宋体" w:cs="宋体"/>
          <w:color w:val="auto"/>
          <w:sz w:val="24"/>
          <w:highlight w:val="none"/>
          <w:lang w:eastAsia="zh-CN"/>
        </w:rPr>
        <w:t>（附件</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和中小企业声明函（附件</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），分包意向协议中中小企业合同金额应当达到</w:t>
      </w:r>
      <w:r>
        <w:rPr>
          <w:rFonts w:hint="eastAsia" w:ascii="宋体" w:hAnsi="宋体" w:eastAsia="宋体" w:cs="宋体"/>
          <w:b/>
          <w:bCs/>
          <w:color w:val="auto"/>
          <w:sz w:val="24"/>
          <w:highlight w:val="none"/>
        </w:rPr>
        <w:t>竞争性磋商邀请公告</w:t>
      </w:r>
      <w:r>
        <w:rPr>
          <w:rFonts w:hint="eastAsia" w:ascii="宋体" w:hAnsi="宋体" w:eastAsia="宋体" w:cs="宋体"/>
          <w:color w:val="auto"/>
          <w:sz w:val="24"/>
          <w:highlight w:val="none"/>
        </w:rPr>
        <w:t>载明的比例；如果供应商本身提供的所有标的均由中小企业承接的，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 xml:space="preserve">视同符合了资格条件，无需再向中小企业分包，无需提供分包意向协议。 </w:t>
      </w:r>
    </w:p>
    <w:p w14:paraId="38E6BA3F">
      <w:pPr>
        <w:widowControl/>
        <w:spacing w:line="360" w:lineRule="auto"/>
        <w:ind w:firstLine="480"/>
        <w:jc w:val="left"/>
        <w:rPr>
          <w:rFonts w:hint="eastAsia" w:ascii="宋体" w:hAnsi="宋体" w:eastAsia="宋体" w:cs="宋体"/>
          <w:color w:val="auto"/>
          <w:sz w:val="24"/>
          <w:highlight w:val="none"/>
        </w:rPr>
      </w:pPr>
    </w:p>
    <w:p w14:paraId="17780657">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2915635F">
      <w:pPr>
        <w:widowControl/>
        <w:spacing w:line="360" w:lineRule="auto"/>
        <w:ind w:left="150"/>
        <w:jc w:val="center"/>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lang w:eastAsia="zh-CN"/>
        </w:rPr>
        <w:t>四</w:t>
      </w:r>
      <w:r>
        <w:rPr>
          <w:rFonts w:hint="eastAsia" w:ascii="宋体" w:hAnsi="宋体" w:eastAsia="宋体" w:cs="宋体"/>
          <w:b/>
          <w:color w:val="auto"/>
          <w:kern w:val="0"/>
          <w:sz w:val="32"/>
          <w:szCs w:val="32"/>
          <w:highlight w:val="none"/>
        </w:rPr>
        <w:t>、本项目的特定资格要求</w:t>
      </w:r>
      <w:r>
        <w:rPr>
          <w:rFonts w:hint="eastAsia" w:ascii="宋体" w:hAnsi="宋体" w:eastAsia="宋体" w:cs="宋体"/>
          <w:b/>
          <w:color w:val="auto"/>
          <w:kern w:val="0"/>
          <w:sz w:val="32"/>
          <w:szCs w:val="32"/>
          <w:highlight w:val="none"/>
          <w:lang w:eastAsia="zh-CN"/>
        </w:rPr>
        <w:t>（如果有）</w:t>
      </w:r>
    </w:p>
    <w:p w14:paraId="6AA14D9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（根据竞争性磋商邀请公告本项目的特定资格要求提供相应的材料；未要求的，无需提供）</w:t>
      </w:r>
    </w:p>
    <w:p w14:paraId="3C9BF042">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28FDCFDF">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5748DAC9">
      <w:pPr>
        <w:bidi w:val="0"/>
        <w:rPr>
          <w:rFonts w:hint="eastAsia" w:ascii="宋体" w:hAnsi="宋体" w:eastAsia="宋体" w:cs="宋体"/>
          <w:color w:val="auto"/>
          <w:highlight w:val="none"/>
        </w:rPr>
      </w:pPr>
    </w:p>
    <w:p w14:paraId="67EDF83D">
      <w:pPr>
        <w:bidi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目录</w:t>
      </w:r>
    </w:p>
    <w:p w14:paraId="6DD7374B">
      <w:pPr>
        <w:numPr>
          <w:ilvl w:val="0"/>
          <w:numId w:val="28"/>
        </w:numPr>
        <w:snapToGrid w:val="0"/>
        <w:spacing w:line="360" w:lineRule="auto"/>
        <w:ind w:left="425" w:leftChars="0" w:hanging="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函……………………………………………………………………………（页码）</w:t>
      </w:r>
    </w:p>
    <w:p w14:paraId="5B57C3AF">
      <w:pPr>
        <w:numPr>
          <w:ilvl w:val="0"/>
          <w:numId w:val="28"/>
        </w:numPr>
        <w:snapToGrid w:val="0"/>
        <w:spacing w:line="360" w:lineRule="auto"/>
        <w:ind w:left="425" w:leftChars="0" w:hanging="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授权委托书或法定代表人（单位负责人、自然人本人）身份证明…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……（页码）</w:t>
      </w:r>
    </w:p>
    <w:p w14:paraId="5A3F788F">
      <w:pPr>
        <w:numPr>
          <w:ilvl w:val="0"/>
          <w:numId w:val="28"/>
        </w:numPr>
        <w:snapToGrid w:val="0"/>
        <w:spacing w:line="360" w:lineRule="auto"/>
        <w:ind w:left="425" w:leftChars="0" w:hanging="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分包意向协议……………………………………………………………………（页码）</w:t>
      </w:r>
    </w:p>
    <w:p w14:paraId="04941B4B">
      <w:pPr>
        <w:numPr>
          <w:ilvl w:val="0"/>
          <w:numId w:val="28"/>
        </w:numPr>
        <w:snapToGrid w:val="0"/>
        <w:spacing w:line="360" w:lineRule="auto"/>
        <w:ind w:left="425" w:leftChars="0" w:hanging="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符合性审查资料…………………………………………………………………（页码）</w:t>
      </w:r>
    </w:p>
    <w:p w14:paraId="0BE4F94B">
      <w:pPr>
        <w:numPr>
          <w:ilvl w:val="0"/>
          <w:numId w:val="28"/>
        </w:numPr>
        <w:snapToGrid w:val="0"/>
        <w:spacing w:line="360" w:lineRule="auto"/>
        <w:ind w:left="425" w:leftChars="0" w:hanging="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评标标准相应的商务技术资料…………………………………………………（页码）</w:t>
      </w:r>
    </w:p>
    <w:p w14:paraId="35F8C47C">
      <w:pPr>
        <w:numPr>
          <w:ilvl w:val="0"/>
          <w:numId w:val="28"/>
        </w:numPr>
        <w:snapToGrid w:val="0"/>
        <w:spacing w:line="360" w:lineRule="auto"/>
        <w:ind w:left="425" w:leftChars="0" w:hanging="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标的清单…………………………………………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………………（页码）</w:t>
      </w:r>
    </w:p>
    <w:p w14:paraId="158E5752">
      <w:pPr>
        <w:numPr>
          <w:ilvl w:val="0"/>
          <w:numId w:val="28"/>
        </w:numPr>
        <w:snapToGrid w:val="0"/>
        <w:spacing w:line="360" w:lineRule="auto"/>
        <w:ind w:left="425" w:leftChars="0" w:hanging="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商务技术偏离表…………………………………………………………………（页码）</w:t>
      </w:r>
    </w:p>
    <w:p w14:paraId="6E1F8810">
      <w:pPr>
        <w:numPr>
          <w:ilvl w:val="0"/>
          <w:numId w:val="28"/>
        </w:numPr>
        <w:snapToGrid w:val="0"/>
        <w:spacing w:line="360" w:lineRule="auto"/>
        <w:ind w:left="425" w:leftChars="0" w:hanging="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政府采购供应商廉洁自律承诺书</w:t>
      </w:r>
      <w:r>
        <w:rPr>
          <w:rFonts w:hint="eastAsia" w:ascii="宋体" w:hAnsi="宋体" w:eastAsia="宋体" w:cs="宋体"/>
          <w:color w:val="auto"/>
          <w:sz w:val="24"/>
          <w:szCs w:val="24"/>
          <w:highlight w:val="none"/>
        </w:rPr>
        <w:t>………………………………………………（页码）</w:t>
      </w:r>
    </w:p>
    <w:p w14:paraId="073644F0">
      <w:pPr>
        <w:bidi w:val="0"/>
        <w:rPr>
          <w:rFonts w:hint="eastAsia" w:ascii="宋体" w:hAnsi="宋体" w:eastAsia="宋体" w:cs="宋体"/>
          <w:color w:val="auto"/>
          <w:sz w:val="24"/>
          <w:szCs w:val="24"/>
          <w:highlight w:val="none"/>
          <w:lang w:val="zh-CN"/>
        </w:rPr>
      </w:pPr>
    </w:p>
    <w:p w14:paraId="2D58F8A7">
      <w:pPr>
        <w:bidi w:val="0"/>
        <w:rPr>
          <w:rFonts w:hint="eastAsia" w:ascii="宋体" w:hAnsi="宋体" w:eastAsia="宋体" w:cs="宋体"/>
          <w:color w:val="auto"/>
          <w:highlight w:val="none"/>
          <w:lang w:val="zh-CN"/>
        </w:rPr>
      </w:pPr>
    </w:p>
    <w:p w14:paraId="74DCEB03">
      <w:pPr>
        <w:bidi w:val="0"/>
        <w:rPr>
          <w:rFonts w:hint="eastAsia" w:ascii="宋体" w:hAnsi="宋体" w:eastAsia="宋体" w:cs="宋体"/>
          <w:color w:val="auto"/>
          <w:highlight w:val="none"/>
          <w:lang w:val="zh-CN"/>
        </w:rPr>
      </w:pPr>
    </w:p>
    <w:p w14:paraId="1BA32D4F">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257165F">
      <w:pPr>
        <w:snapToGrid w:val="0"/>
        <w:spacing w:line="360" w:lineRule="auto"/>
        <w:jc w:val="center"/>
        <w:outlineLvl w:val="0"/>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一、响应函</w:t>
      </w:r>
    </w:p>
    <w:p w14:paraId="6FAB3A73">
      <w:pPr>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sz w:val="24"/>
          <w:highlight w:val="none"/>
        </w:rPr>
        <w:t>：</w:t>
      </w:r>
    </w:p>
    <w:p w14:paraId="20D922A7">
      <w:pPr>
        <w:keepNext w:val="0"/>
        <w:keepLines w:val="0"/>
        <w:pageBreakBefore w:val="0"/>
        <w:widowControl w:val="0"/>
        <w:kinsoku/>
        <w:wordWrap/>
        <w:overflowPunct/>
        <w:topLinePunct w:val="0"/>
        <w:bidi w:val="0"/>
        <w:adjustRightInd w:val="0"/>
        <w:snapToGrid w:val="0"/>
        <w:spacing w:line="3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rPr>
        <w:t>（项目名称）【</w:t>
      </w:r>
      <w:r>
        <w:rPr>
          <w:rFonts w:hint="eastAsia" w:ascii="宋体" w:hAnsi="宋体" w:cs="宋体"/>
          <w:color w:val="auto"/>
          <w:sz w:val="24"/>
          <w:highlight w:val="none"/>
          <w:lang w:eastAsia="zh-CN"/>
        </w:rPr>
        <w:t>项目</w:t>
      </w:r>
      <w:r>
        <w:rPr>
          <w:rFonts w:hint="eastAsia" w:ascii="宋体" w:hAnsi="宋体" w:eastAsia="宋体" w:cs="宋体"/>
          <w:color w:val="auto"/>
          <w:sz w:val="24"/>
          <w:highlight w:val="none"/>
        </w:rPr>
        <w:t>编号：</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lang w:eastAsia="zh-CN"/>
        </w:rPr>
        <w:t>竞争性磋商</w:t>
      </w:r>
      <w:r>
        <w:rPr>
          <w:rFonts w:hint="eastAsia" w:ascii="宋体" w:hAnsi="宋体" w:eastAsia="宋体" w:cs="宋体"/>
          <w:color w:val="auto"/>
          <w:sz w:val="24"/>
          <w:highlight w:val="none"/>
        </w:rPr>
        <w:t>的有关活动，并对此项目进行</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。为此：</w:t>
      </w:r>
    </w:p>
    <w:p w14:paraId="535193C0">
      <w:pPr>
        <w:keepNext w:val="0"/>
        <w:keepLines w:val="0"/>
        <w:pageBreakBefore w:val="0"/>
        <w:widowControl w:val="0"/>
        <w:numPr>
          <w:ilvl w:val="0"/>
          <w:numId w:val="29"/>
        </w:numPr>
        <w:kinsoku/>
        <w:wordWrap/>
        <w:overflowPunct/>
        <w:topLinePunct w:val="0"/>
        <w:bidi w:val="0"/>
        <w:adjustRightInd w:val="0"/>
        <w:snapToGrid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我方承诺</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有效期从提交</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文件在</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有效期满之前均具有约束力。</w:t>
      </w:r>
    </w:p>
    <w:p w14:paraId="2275135B">
      <w:pPr>
        <w:keepNext w:val="0"/>
        <w:keepLines w:val="0"/>
        <w:pageBreakBefore w:val="0"/>
        <w:widowControl w:val="0"/>
        <w:numPr>
          <w:ilvl w:val="0"/>
          <w:numId w:val="29"/>
        </w:numPr>
        <w:kinsoku/>
        <w:wordWrap/>
        <w:overflowPunct/>
        <w:topLinePunct w:val="0"/>
        <w:bidi w:val="0"/>
        <w:adjustRightInd w:val="0"/>
        <w:snapToGrid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我方的</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文件包括以下内容：</w:t>
      </w:r>
    </w:p>
    <w:p w14:paraId="131D277E">
      <w:pPr>
        <w:keepNext w:val="0"/>
        <w:keepLines w:val="0"/>
        <w:pageBreakBefore w:val="0"/>
        <w:widowControl w:val="0"/>
        <w:numPr>
          <w:ilvl w:val="1"/>
          <w:numId w:val="30"/>
        </w:numPr>
        <w:kinsoku/>
        <w:wordWrap/>
        <w:overflowPunct/>
        <w:topLinePunct w:val="0"/>
        <w:bidi w:val="0"/>
        <w:adjustRightInd w:val="0"/>
        <w:snapToGrid w:val="0"/>
        <w:spacing w:line="360" w:lineRule="exact"/>
        <w:ind w:left="850" w:leftChars="0" w:hanging="453" w:firstLineChars="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资格文件：</w:t>
      </w:r>
    </w:p>
    <w:p w14:paraId="31049FF4">
      <w:pPr>
        <w:keepNext w:val="0"/>
        <w:keepLines w:val="0"/>
        <w:pageBreakBefore w:val="0"/>
        <w:widowControl w:val="0"/>
        <w:numPr>
          <w:ilvl w:val="2"/>
          <w:numId w:val="30"/>
        </w:numPr>
        <w:kinsoku/>
        <w:wordWrap/>
        <w:overflowPunct/>
        <w:topLinePunct w:val="0"/>
        <w:bidi w:val="0"/>
        <w:adjustRightInd w:val="0"/>
        <w:snapToGrid w:val="0"/>
        <w:spacing w:line="360" w:lineRule="exact"/>
        <w:ind w:left="1508" w:leftChars="0" w:hanging="708" w:firstLineChars="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符合参加政府采购活动应当具备的一般条件的承诺函；</w:t>
      </w:r>
    </w:p>
    <w:p w14:paraId="61057804">
      <w:pPr>
        <w:keepNext w:val="0"/>
        <w:keepLines w:val="0"/>
        <w:pageBreakBefore w:val="0"/>
        <w:widowControl w:val="0"/>
        <w:numPr>
          <w:ilvl w:val="2"/>
          <w:numId w:val="30"/>
        </w:numPr>
        <w:kinsoku/>
        <w:wordWrap/>
        <w:overflowPunct/>
        <w:topLinePunct w:val="0"/>
        <w:bidi w:val="0"/>
        <w:adjustRightInd w:val="0"/>
        <w:snapToGrid w:val="0"/>
        <w:spacing w:line="360" w:lineRule="exact"/>
        <w:ind w:left="1508" w:leftChars="0" w:hanging="708" w:firstLineChars="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eastAsia="zh-CN"/>
        </w:rPr>
        <w:t>联合协议（如果有）；</w:t>
      </w:r>
    </w:p>
    <w:p w14:paraId="69A599CD">
      <w:pPr>
        <w:keepNext w:val="0"/>
        <w:keepLines w:val="0"/>
        <w:pageBreakBefore w:val="0"/>
        <w:widowControl w:val="0"/>
        <w:numPr>
          <w:ilvl w:val="2"/>
          <w:numId w:val="30"/>
        </w:numPr>
        <w:kinsoku/>
        <w:wordWrap/>
        <w:overflowPunct/>
        <w:topLinePunct w:val="0"/>
        <w:bidi w:val="0"/>
        <w:adjustRightInd w:val="0"/>
        <w:snapToGrid w:val="0"/>
        <w:spacing w:line="360" w:lineRule="exact"/>
        <w:ind w:left="1508" w:leftChars="0" w:hanging="708" w:firstLineChars="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落实政府采购政策需满足的资格要求</w:t>
      </w:r>
      <w:r>
        <w:rPr>
          <w:rFonts w:hint="eastAsia" w:ascii="宋体" w:hAnsi="宋体" w:eastAsia="宋体" w:cs="宋体"/>
          <w:b w:val="0"/>
          <w:bCs/>
          <w:color w:val="auto"/>
          <w:sz w:val="24"/>
          <w:highlight w:val="none"/>
          <w:lang w:eastAsia="zh-CN"/>
        </w:rPr>
        <w:t>：无</w:t>
      </w:r>
      <w:r>
        <w:rPr>
          <w:rFonts w:hint="eastAsia" w:ascii="宋体" w:hAnsi="宋体" w:eastAsia="宋体" w:cs="宋体"/>
          <w:b w:val="0"/>
          <w:bCs/>
          <w:color w:val="auto"/>
          <w:sz w:val="24"/>
          <w:highlight w:val="none"/>
        </w:rPr>
        <w:t>；</w:t>
      </w:r>
    </w:p>
    <w:p w14:paraId="3606B66F">
      <w:pPr>
        <w:keepNext w:val="0"/>
        <w:keepLines w:val="0"/>
        <w:pageBreakBefore w:val="0"/>
        <w:widowControl w:val="0"/>
        <w:numPr>
          <w:ilvl w:val="2"/>
          <w:numId w:val="30"/>
        </w:numPr>
        <w:kinsoku/>
        <w:wordWrap/>
        <w:overflowPunct/>
        <w:topLinePunct w:val="0"/>
        <w:bidi w:val="0"/>
        <w:adjustRightInd w:val="0"/>
        <w:snapToGrid w:val="0"/>
        <w:spacing w:line="360" w:lineRule="exact"/>
        <w:ind w:left="1508" w:leftChars="0" w:hanging="708" w:firstLineChars="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本项目的特定资格要求</w:t>
      </w:r>
      <w:r>
        <w:rPr>
          <w:rFonts w:hint="eastAsia" w:ascii="宋体" w:hAnsi="宋体" w:eastAsia="宋体" w:cs="宋体"/>
          <w:b w:val="0"/>
          <w:bCs/>
          <w:color w:val="auto"/>
          <w:sz w:val="24"/>
          <w:highlight w:val="none"/>
          <w:lang w:eastAsia="zh-CN"/>
        </w:rPr>
        <w:t>：无</w:t>
      </w:r>
      <w:r>
        <w:rPr>
          <w:rFonts w:hint="eastAsia" w:ascii="宋体" w:hAnsi="宋体" w:eastAsia="宋体" w:cs="宋体"/>
          <w:b w:val="0"/>
          <w:bCs/>
          <w:color w:val="auto"/>
          <w:sz w:val="24"/>
          <w:highlight w:val="none"/>
        </w:rPr>
        <w:t>。</w:t>
      </w:r>
    </w:p>
    <w:p w14:paraId="04F4DAAE">
      <w:pPr>
        <w:keepNext w:val="0"/>
        <w:keepLines w:val="0"/>
        <w:pageBreakBefore w:val="0"/>
        <w:widowControl w:val="0"/>
        <w:numPr>
          <w:ilvl w:val="1"/>
          <w:numId w:val="30"/>
        </w:numPr>
        <w:kinsoku/>
        <w:wordWrap/>
        <w:overflowPunct/>
        <w:topLinePunct w:val="0"/>
        <w:bidi w:val="0"/>
        <w:adjustRightInd w:val="0"/>
        <w:snapToGrid w:val="0"/>
        <w:spacing w:line="360" w:lineRule="exact"/>
        <w:ind w:left="850" w:leftChars="0" w:hanging="453" w:firstLineChars="0"/>
        <w:textAlignment w:val="auto"/>
        <w:rPr>
          <w:rFonts w:hint="eastAsia" w:ascii="宋体" w:hAnsi="宋体" w:eastAsia="宋体" w:cs="宋体"/>
          <w:b w:val="0"/>
          <w:bCs/>
          <w:color w:val="auto"/>
          <w:sz w:val="24"/>
          <w:highlight w:val="none"/>
          <w:lang w:val="zh-CN"/>
        </w:rPr>
      </w:pPr>
      <w:r>
        <w:rPr>
          <w:rFonts w:hint="eastAsia" w:ascii="宋体" w:hAnsi="宋体" w:eastAsia="宋体" w:cs="宋体"/>
          <w:b w:val="0"/>
          <w:bCs/>
          <w:color w:val="auto"/>
          <w:sz w:val="24"/>
          <w:highlight w:val="none"/>
        </w:rPr>
        <w:t>商务技术</w:t>
      </w:r>
      <w:r>
        <w:rPr>
          <w:rFonts w:hint="eastAsia" w:ascii="宋体" w:hAnsi="宋体" w:eastAsia="宋体" w:cs="宋体"/>
          <w:b w:val="0"/>
          <w:bCs/>
          <w:color w:val="auto"/>
          <w:sz w:val="24"/>
          <w:highlight w:val="none"/>
          <w:lang w:val="zh-CN"/>
        </w:rPr>
        <w:t>文件：</w:t>
      </w:r>
    </w:p>
    <w:p w14:paraId="654202F3">
      <w:pPr>
        <w:keepNext w:val="0"/>
        <w:keepLines w:val="0"/>
        <w:pageBreakBefore w:val="0"/>
        <w:widowControl w:val="0"/>
        <w:numPr>
          <w:ilvl w:val="2"/>
          <w:numId w:val="30"/>
        </w:numPr>
        <w:kinsoku/>
        <w:wordWrap/>
        <w:overflowPunct/>
        <w:topLinePunct w:val="0"/>
        <w:bidi w:val="0"/>
        <w:adjustRightInd w:val="0"/>
        <w:snapToGrid w:val="0"/>
        <w:spacing w:line="360" w:lineRule="exact"/>
        <w:ind w:left="1508" w:leftChars="0" w:hanging="708" w:firstLineChars="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eastAsia="zh-CN"/>
        </w:rPr>
        <w:t>响应</w:t>
      </w:r>
      <w:r>
        <w:rPr>
          <w:rFonts w:hint="eastAsia" w:ascii="宋体" w:hAnsi="宋体" w:eastAsia="宋体" w:cs="宋体"/>
          <w:b w:val="0"/>
          <w:bCs/>
          <w:color w:val="auto"/>
          <w:sz w:val="24"/>
          <w:highlight w:val="none"/>
        </w:rPr>
        <w:t>函；</w:t>
      </w:r>
      <w:r>
        <w:rPr>
          <w:rFonts w:hint="eastAsia" w:ascii="宋体" w:hAnsi="宋体" w:eastAsia="宋体" w:cs="宋体"/>
          <w:b w:val="0"/>
          <w:bCs/>
          <w:color w:val="auto"/>
          <w:sz w:val="24"/>
          <w:highlight w:val="none"/>
          <w:lang w:val="zh-CN"/>
        </w:rPr>
        <w:t xml:space="preserve"> </w:t>
      </w:r>
    </w:p>
    <w:p w14:paraId="187CB5EA">
      <w:pPr>
        <w:keepNext w:val="0"/>
        <w:keepLines w:val="0"/>
        <w:pageBreakBefore w:val="0"/>
        <w:widowControl w:val="0"/>
        <w:numPr>
          <w:ilvl w:val="2"/>
          <w:numId w:val="30"/>
        </w:numPr>
        <w:kinsoku/>
        <w:wordWrap/>
        <w:overflowPunct/>
        <w:topLinePunct w:val="0"/>
        <w:bidi w:val="0"/>
        <w:adjustRightInd w:val="0"/>
        <w:snapToGrid w:val="0"/>
        <w:spacing w:line="360" w:lineRule="exact"/>
        <w:ind w:left="1508" w:leftChars="0" w:hanging="708" w:firstLineChars="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授权委托书或法定代表人（单位负责人、自然人本人）身份证明；</w:t>
      </w:r>
    </w:p>
    <w:p w14:paraId="7FB4005F">
      <w:pPr>
        <w:keepNext w:val="0"/>
        <w:keepLines w:val="0"/>
        <w:pageBreakBefore w:val="0"/>
        <w:widowControl w:val="0"/>
        <w:numPr>
          <w:ilvl w:val="2"/>
          <w:numId w:val="30"/>
        </w:numPr>
        <w:kinsoku/>
        <w:wordWrap/>
        <w:overflowPunct/>
        <w:topLinePunct w:val="0"/>
        <w:bidi w:val="0"/>
        <w:adjustRightInd w:val="0"/>
        <w:snapToGrid w:val="0"/>
        <w:spacing w:line="360" w:lineRule="exact"/>
        <w:ind w:left="1508" w:leftChars="0" w:hanging="708" w:firstLineChars="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分包意向协议</w:t>
      </w:r>
      <w:r>
        <w:rPr>
          <w:rFonts w:hint="eastAsia" w:ascii="宋体" w:hAnsi="宋体" w:eastAsia="宋体" w:cs="宋体"/>
          <w:b w:val="0"/>
          <w:bCs/>
          <w:color w:val="auto"/>
          <w:sz w:val="24"/>
          <w:highlight w:val="none"/>
          <w:lang w:eastAsia="zh-CN"/>
        </w:rPr>
        <w:t>（如果有）</w:t>
      </w:r>
      <w:r>
        <w:rPr>
          <w:rFonts w:hint="eastAsia" w:ascii="宋体" w:hAnsi="宋体" w:eastAsia="宋体" w:cs="宋体"/>
          <w:b w:val="0"/>
          <w:bCs/>
          <w:color w:val="auto"/>
          <w:sz w:val="24"/>
          <w:highlight w:val="none"/>
        </w:rPr>
        <w:t>；</w:t>
      </w:r>
    </w:p>
    <w:p w14:paraId="73C4F959">
      <w:pPr>
        <w:keepNext w:val="0"/>
        <w:keepLines w:val="0"/>
        <w:pageBreakBefore w:val="0"/>
        <w:widowControl w:val="0"/>
        <w:numPr>
          <w:ilvl w:val="2"/>
          <w:numId w:val="30"/>
        </w:numPr>
        <w:kinsoku/>
        <w:wordWrap/>
        <w:overflowPunct/>
        <w:topLinePunct w:val="0"/>
        <w:bidi w:val="0"/>
        <w:adjustRightInd w:val="0"/>
        <w:snapToGrid w:val="0"/>
        <w:spacing w:line="360" w:lineRule="exact"/>
        <w:ind w:left="1508" w:leftChars="0" w:hanging="708" w:firstLineChars="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符合性审查资料；</w:t>
      </w:r>
    </w:p>
    <w:p w14:paraId="4FB63F7B">
      <w:pPr>
        <w:keepNext w:val="0"/>
        <w:keepLines w:val="0"/>
        <w:pageBreakBefore w:val="0"/>
        <w:widowControl w:val="0"/>
        <w:numPr>
          <w:ilvl w:val="2"/>
          <w:numId w:val="30"/>
        </w:numPr>
        <w:kinsoku/>
        <w:wordWrap/>
        <w:overflowPunct/>
        <w:topLinePunct w:val="0"/>
        <w:bidi w:val="0"/>
        <w:adjustRightInd w:val="0"/>
        <w:snapToGrid w:val="0"/>
        <w:spacing w:line="360" w:lineRule="exact"/>
        <w:ind w:left="1508" w:leftChars="0" w:hanging="708" w:firstLineChars="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评标标准相应的商务技术资料；</w:t>
      </w:r>
    </w:p>
    <w:p w14:paraId="1996A262">
      <w:pPr>
        <w:keepNext w:val="0"/>
        <w:keepLines w:val="0"/>
        <w:pageBreakBefore w:val="0"/>
        <w:widowControl w:val="0"/>
        <w:numPr>
          <w:ilvl w:val="2"/>
          <w:numId w:val="30"/>
        </w:numPr>
        <w:kinsoku/>
        <w:wordWrap/>
        <w:overflowPunct/>
        <w:topLinePunct w:val="0"/>
        <w:bidi w:val="0"/>
        <w:adjustRightInd w:val="0"/>
        <w:snapToGrid w:val="0"/>
        <w:spacing w:line="360" w:lineRule="exact"/>
        <w:ind w:left="1508" w:leftChars="0" w:hanging="708" w:firstLineChars="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eastAsia="zh-CN"/>
        </w:rPr>
        <w:t>标的清单；</w:t>
      </w:r>
    </w:p>
    <w:p w14:paraId="257B45C7">
      <w:pPr>
        <w:keepNext w:val="0"/>
        <w:keepLines w:val="0"/>
        <w:pageBreakBefore w:val="0"/>
        <w:widowControl w:val="0"/>
        <w:numPr>
          <w:ilvl w:val="2"/>
          <w:numId w:val="30"/>
        </w:numPr>
        <w:kinsoku/>
        <w:wordWrap/>
        <w:overflowPunct/>
        <w:topLinePunct w:val="0"/>
        <w:bidi w:val="0"/>
        <w:adjustRightInd w:val="0"/>
        <w:snapToGrid w:val="0"/>
        <w:spacing w:line="360" w:lineRule="exact"/>
        <w:ind w:left="1508" w:leftChars="0" w:hanging="708" w:firstLineChars="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商务技术偏离表；</w:t>
      </w:r>
    </w:p>
    <w:p w14:paraId="52603DD6">
      <w:pPr>
        <w:keepNext w:val="0"/>
        <w:keepLines w:val="0"/>
        <w:pageBreakBefore w:val="0"/>
        <w:widowControl w:val="0"/>
        <w:numPr>
          <w:ilvl w:val="2"/>
          <w:numId w:val="30"/>
        </w:numPr>
        <w:kinsoku/>
        <w:wordWrap/>
        <w:overflowPunct/>
        <w:topLinePunct w:val="0"/>
        <w:bidi w:val="0"/>
        <w:adjustRightInd w:val="0"/>
        <w:snapToGrid w:val="0"/>
        <w:spacing w:line="360" w:lineRule="exact"/>
        <w:ind w:left="1508" w:leftChars="0" w:hanging="708" w:firstLineChars="0"/>
        <w:textAlignment w:val="auto"/>
        <w:rPr>
          <w:rFonts w:hint="eastAsia" w:ascii="宋体" w:hAnsi="宋体" w:eastAsia="宋体" w:cs="宋体"/>
          <w:b w:val="0"/>
          <w:bCs/>
          <w:color w:val="auto"/>
          <w:sz w:val="24"/>
          <w:highlight w:val="none"/>
          <w:lang w:val="zh-CN"/>
        </w:rPr>
      </w:pPr>
      <w:r>
        <w:rPr>
          <w:rFonts w:hint="eastAsia" w:ascii="宋体" w:hAnsi="宋体" w:eastAsia="宋体" w:cs="宋体"/>
          <w:b w:val="0"/>
          <w:bCs/>
          <w:color w:val="auto"/>
          <w:sz w:val="24"/>
          <w:highlight w:val="none"/>
          <w:lang w:val="zh-CN"/>
        </w:rPr>
        <w:t>政府采购供应商廉洁自律承诺书。</w:t>
      </w:r>
    </w:p>
    <w:p w14:paraId="27347343">
      <w:pPr>
        <w:keepNext w:val="0"/>
        <w:keepLines w:val="0"/>
        <w:pageBreakBefore w:val="0"/>
        <w:widowControl w:val="0"/>
        <w:numPr>
          <w:ilvl w:val="1"/>
          <w:numId w:val="30"/>
        </w:numPr>
        <w:kinsoku/>
        <w:wordWrap/>
        <w:overflowPunct/>
        <w:topLinePunct w:val="0"/>
        <w:bidi w:val="0"/>
        <w:adjustRightInd w:val="0"/>
        <w:snapToGrid w:val="0"/>
        <w:spacing w:line="360" w:lineRule="exact"/>
        <w:ind w:left="850" w:leftChars="0" w:hanging="453" w:firstLineChars="0"/>
        <w:textAlignment w:val="auto"/>
        <w:rPr>
          <w:rFonts w:hint="eastAsia" w:ascii="宋体" w:hAnsi="宋体" w:eastAsia="宋体" w:cs="宋体"/>
          <w:b w:val="0"/>
          <w:bCs/>
          <w:color w:val="auto"/>
          <w:sz w:val="24"/>
          <w:highlight w:val="none"/>
          <w:lang w:val="zh-CN"/>
        </w:rPr>
      </w:pPr>
      <w:r>
        <w:rPr>
          <w:rFonts w:hint="eastAsia" w:ascii="宋体" w:hAnsi="宋体" w:eastAsia="宋体" w:cs="宋体"/>
          <w:b w:val="0"/>
          <w:bCs/>
          <w:color w:val="auto"/>
          <w:sz w:val="24"/>
          <w:highlight w:val="none"/>
          <w:lang w:val="zh-CN"/>
        </w:rPr>
        <w:t xml:space="preserve">报价文件： </w:t>
      </w:r>
    </w:p>
    <w:p w14:paraId="2E161506">
      <w:pPr>
        <w:keepNext w:val="0"/>
        <w:keepLines w:val="0"/>
        <w:pageBreakBefore w:val="0"/>
        <w:widowControl w:val="0"/>
        <w:numPr>
          <w:ilvl w:val="2"/>
          <w:numId w:val="30"/>
        </w:numPr>
        <w:kinsoku/>
        <w:wordWrap/>
        <w:overflowPunct/>
        <w:topLinePunct w:val="0"/>
        <w:bidi w:val="0"/>
        <w:adjustRightInd w:val="0"/>
        <w:snapToGrid w:val="0"/>
        <w:spacing w:line="360" w:lineRule="exact"/>
        <w:ind w:left="1508" w:leftChars="0" w:hanging="708" w:firstLineChars="0"/>
        <w:textAlignment w:val="auto"/>
        <w:rPr>
          <w:rFonts w:hint="eastAsia" w:ascii="宋体" w:hAnsi="宋体" w:eastAsia="宋体" w:cs="宋体"/>
          <w:b w:val="0"/>
          <w:bCs/>
          <w:color w:val="auto"/>
          <w:sz w:val="24"/>
          <w:highlight w:val="none"/>
          <w:lang w:val="zh-CN"/>
        </w:rPr>
      </w:pPr>
      <w:r>
        <w:rPr>
          <w:rFonts w:hint="eastAsia" w:ascii="宋体" w:hAnsi="宋体" w:eastAsia="宋体" w:cs="宋体"/>
          <w:b w:val="0"/>
          <w:bCs/>
          <w:color w:val="auto"/>
          <w:sz w:val="24"/>
          <w:highlight w:val="none"/>
          <w:lang w:val="zh-CN" w:eastAsia="zh-CN"/>
        </w:rPr>
        <w:t>初始报价一览表</w:t>
      </w:r>
      <w:r>
        <w:rPr>
          <w:rFonts w:hint="eastAsia" w:ascii="宋体" w:hAnsi="宋体" w:eastAsia="宋体" w:cs="宋体"/>
          <w:b w:val="0"/>
          <w:bCs/>
          <w:color w:val="auto"/>
          <w:sz w:val="24"/>
          <w:highlight w:val="none"/>
          <w:lang w:val="zh-CN"/>
        </w:rPr>
        <w:t>；</w:t>
      </w:r>
    </w:p>
    <w:p w14:paraId="0F6EBB10">
      <w:pPr>
        <w:keepNext w:val="0"/>
        <w:keepLines w:val="0"/>
        <w:pageBreakBefore w:val="0"/>
        <w:widowControl w:val="0"/>
        <w:numPr>
          <w:ilvl w:val="2"/>
          <w:numId w:val="30"/>
        </w:numPr>
        <w:kinsoku/>
        <w:wordWrap/>
        <w:overflowPunct/>
        <w:topLinePunct w:val="0"/>
        <w:bidi w:val="0"/>
        <w:adjustRightInd w:val="0"/>
        <w:snapToGrid w:val="0"/>
        <w:spacing w:line="360" w:lineRule="exact"/>
        <w:ind w:left="1508" w:leftChars="0" w:hanging="708" w:firstLineChars="0"/>
        <w:textAlignment w:val="auto"/>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lang w:val="zh-CN"/>
        </w:rPr>
        <w:t>中小企业声明函。</w:t>
      </w:r>
    </w:p>
    <w:p w14:paraId="6225B50E">
      <w:pPr>
        <w:keepNext w:val="0"/>
        <w:keepLines w:val="0"/>
        <w:pageBreakBefore w:val="0"/>
        <w:widowControl w:val="0"/>
        <w:numPr>
          <w:ilvl w:val="0"/>
          <w:numId w:val="29"/>
        </w:numPr>
        <w:kinsoku/>
        <w:wordWrap/>
        <w:overflowPunct/>
        <w:topLinePunct w:val="0"/>
        <w:bidi w:val="0"/>
        <w:adjustRightInd w:val="0"/>
        <w:snapToGrid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我方承诺除商务技术偏离表列出的偏离外，我方响应</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文件的全部要求。</w:t>
      </w:r>
    </w:p>
    <w:p w14:paraId="4FF17FB1">
      <w:pPr>
        <w:keepNext w:val="0"/>
        <w:keepLines w:val="0"/>
        <w:pageBreakBefore w:val="0"/>
        <w:widowControl w:val="0"/>
        <w:numPr>
          <w:ilvl w:val="0"/>
          <w:numId w:val="29"/>
        </w:numPr>
        <w:kinsoku/>
        <w:wordWrap/>
        <w:overflowPunct/>
        <w:topLinePunct w:val="0"/>
        <w:bidi w:val="0"/>
        <w:adjustRightInd w:val="0"/>
        <w:snapToGrid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如我方</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，我方承诺：</w:t>
      </w:r>
    </w:p>
    <w:p w14:paraId="554347F9">
      <w:pPr>
        <w:keepNext w:val="0"/>
        <w:keepLines w:val="0"/>
        <w:pageBreakBefore w:val="0"/>
        <w:widowControl w:val="0"/>
        <w:numPr>
          <w:ilvl w:val="1"/>
          <w:numId w:val="31"/>
        </w:numPr>
        <w:kinsoku/>
        <w:wordWrap/>
        <w:overflowPunct/>
        <w:topLinePunct w:val="0"/>
        <w:bidi w:val="0"/>
        <w:adjustRightInd w:val="0"/>
        <w:snapToGrid w:val="0"/>
        <w:spacing w:line="360" w:lineRule="exact"/>
        <w:ind w:left="850" w:leftChars="0" w:hanging="453" w:firstLineChars="0"/>
        <w:textAlignment w:val="auto"/>
        <w:rPr>
          <w:rFonts w:hint="eastAsia" w:ascii="宋体" w:hAnsi="宋体" w:eastAsia="宋体" w:cs="宋体"/>
          <w:b w:val="0"/>
          <w:bCs/>
          <w:color w:val="auto"/>
          <w:sz w:val="24"/>
          <w:highlight w:val="none"/>
          <w:lang w:val="zh-CN"/>
        </w:rPr>
      </w:pPr>
      <w:r>
        <w:rPr>
          <w:rFonts w:hint="eastAsia" w:ascii="宋体" w:hAnsi="宋体" w:eastAsia="宋体" w:cs="宋体"/>
          <w:b w:val="0"/>
          <w:bCs/>
          <w:color w:val="auto"/>
          <w:sz w:val="24"/>
          <w:highlight w:val="none"/>
          <w:lang w:val="zh-CN"/>
        </w:rPr>
        <w:t>在收到</w:t>
      </w:r>
      <w:r>
        <w:rPr>
          <w:rFonts w:hint="eastAsia" w:ascii="宋体" w:hAnsi="宋体" w:eastAsia="宋体" w:cs="宋体"/>
          <w:b w:val="0"/>
          <w:bCs/>
          <w:color w:val="auto"/>
          <w:sz w:val="24"/>
          <w:highlight w:val="none"/>
          <w:lang w:val="zh-CN" w:eastAsia="zh-CN"/>
        </w:rPr>
        <w:t>成交</w:t>
      </w:r>
      <w:r>
        <w:rPr>
          <w:rFonts w:hint="eastAsia" w:ascii="宋体" w:hAnsi="宋体" w:eastAsia="宋体" w:cs="宋体"/>
          <w:b w:val="0"/>
          <w:bCs/>
          <w:color w:val="auto"/>
          <w:sz w:val="24"/>
          <w:highlight w:val="none"/>
          <w:lang w:val="zh-CN"/>
        </w:rPr>
        <w:t>通知书后，在</w:t>
      </w:r>
      <w:r>
        <w:rPr>
          <w:rFonts w:hint="eastAsia" w:ascii="宋体" w:hAnsi="宋体" w:eastAsia="宋体" w:cs="宋体"/>
          <w:b w:val="0"/>
          <w:bCs/>
          <w:color w:val="auto"/>
          <w:sz w:val="24"/>
          <w:highlight w:val="none"/>
          <w:lang w:val="zh-CN" w:eastAsia="zh-CN"/>
        </w:rPr>
        <w:t>成交</w:t>
      </w:r>
      <w:r>
        <w:rPr>
          <w:rFonts w:hint="eastAsia" w:ascii="宋体" w:hAnsi="宋体" w:eastAsia="宋体" w:cs="宋体"/>
          <w:b w:val="0"/>
          <w:bCs/>
          <w:color w:val="auto"/>
          <w:sz w:val="24"/>
          <w:highlight w:val="none"/>
          <w:lang w:val="zh-CN"/>
        </w:rPr>
        <w:t xml:space="preserve">通知书规定的期限内与你方签订合同； </w:t>
      </w:r>
    </w:p>
    <w:p w14:paraId="2C92941B">
      <w:pPr>
        <w:keepNext w:val="0"/>
        <w:keepLines w:val="0"/>
        <w:pageBreakBefore w:val="0"/>
        <w:widowControl w:val="0"/>
        <w:numPr>
          <w:ilvl w:val="1"/>
          <w:numId w:val="31"/>
        </w:numPr>
        <w:kinsoku/>
        <w:wordWrap/>
        <w:overflowPunct/>
        <w:topLinePunct w:val="0"/>
        <w:bidi w:val="0"/>
        <w:adjustRightInd w:val="0"/>
        <w:snapToGrid w:val="0"/>
        <w:spacing w:line="360" w:lineRule="exact"/>
        <w:ind w:left="850" w:leftChars="0" w:hanging="453" w:firstLineChars="0"/>
        <w:textAlignment w:val="auto"/>
        <w:rPr>
          <w:rFonts w:hint="eastAsia" w:ascii="宋体" w:hAnsi="宋体" w:eastAsia="宋体" w:cs="宋体"/>
          <w:b w:val="0"/>
          <w:bCs/>
          <w:color w:val="auto"/>
          <w:sz w:val="24"/>
          <w:highlight w:val="none"/>
          <w:lang w:val="zh-CN"/>
        </w:rPr>
      </w:pPr>
      <w:r>
        <w:rPr>
          <w:rFonts w:hint="eastAsia" w:ascii="宋体" w:hAnsi="宋体" w:eastAsia="宋体" w:cs="宋体"/>
          <w:b w:val="0"/>
          <w:bCs/>
          <w:color w:val="auto"/>
          <w:sz w:val="24"/>
          <w:highlight w:val="none"/>
          <w:lang w:val="zh-CN"/>
        </w:rPr>
        <w:t xml:space="preserve">在签订合同时不向你方提出附加条件； </w:t>
      </w:r>
    </w:p>
    <w:p w14:paraId="7DA41305">
      <w:pPr>
        <w:keepNext w:val="0"/>
        <w:keepLines w:val="0"/>
        <w:pageBreakBefore w:val="0"/>
        <w:widowControl w:val="0"/>
        <w:numPr>
          <w:ilvl w:val="1"/>
          <w:numId w:val="31"/>
        </w:numPr>
        <w:kinsoku/>
        <w:wordWrap/>
        <w:overflowPunct/>
        <w:topLinePunct w:val="0"/>
        <w:bidi w:val="0"/>
        <w:adjustRightInd w:val="0"/>
        <w:snapToGrid w:val="0"/>
        <w:spacing w:line="360" w:lineRule="exact"/>
        <w:ind w:left="850" w:leftChars="0" w:hanging="453" w:firstLineChars="0"/>
        <w:textAlignment w:val="auto"/>
        <w:rPr>
          <w:rFonts w:hint="eastAsia" w:ascii="宋体" w:hAnsi="宋体" w:eastAsia="宋体" w:cs="宋体"/>
          <w:b w:val="0"/>
          <w:bCs/>
          <w:color w:val="auto"/>
          <w:sz w:val="24"/>
          <w:highlight w:val="none"/>
          <w:lang w:val="zh-CN"/>
        </w:rPr>
      </w:pPr>
      <w:r>
        <w:rPr>
          <w:rFonts w:hint="eastAsia" w:ascii="宋体" w:hAnsi="宋体" w:eastAsia="宋体" w:cs="宋体"/>
          <w:b w:val="0"/>
          <w:bCs/>
          <w:color w:val="auto"/>
          <w:sz w:val="24"/>
          <w:highlight w:val="none"/>
          <w:lang w:val="zh-CN"/>
        </w:rPr>
        <w:t>按照</w:t>
      </w:r>
      <w:r>
        <w:rPr>
          <w:rFonts w:hint="eastAsia" w:ascii="宋体" w:hAnsi="宋体" w:eastAsia="宋体" w:cs="宋体"/>
          <w:b w:val="0"/>
          <w:bCs/>
          <w:color w:val="auto"/>
          <w:sz w:val="24"/>
          <w:highlight w:val="none"/>
          <w:lang w:val="zh-CN" w:eastAsia="zh-CN"/>
        </w:rPr>
        <w:t>磋商</w:t>
      </w:r>
      <w:r>
        <w:rPr>
          <w:rFonts w:hint="eastAsia" w:ascii="宋体" w:hAnsi="宋体" w:eastAsia="宋体" w:cs="宋体"/>
          <w:b w:val="0"/>
          <w:bCs/>
          <w:color w:val="auto"/>
          <w:sz w:val="24"/>
          <w:highlight w:val="none"/>
          <w:lang w:val="zh-CN"/>
        </w:rPr>
        <w:t xml:space="preserve">文件要求提交履约保证金； </w:t>
      </w:r>
    </w:p>
    <w:p w14:paraId="2FA9B296">
      <w:pPr>
        <w:keepNext w:val="0"/>
        <w:keepLines w:val="0"/>
        <w:pageBreakBefore w:val="0"/>
        <w:widowControl w:val="0"/>
        <w:numPr>
          <w:ilvl w:val="1"/>
          <w:numId w:val="31"/>
        </w:numPr>
        <w:kinsoku/>
        <w:wordWrap/>
        <w:overflowPunct/>
        <w:topLinePunct w:val="0"/>
        <w:bidi w:val="0"/>
        <w:adjustRightInd w:val="0"/>
        <w:snapToGrid w:val="0"/>
        <w:spacing w:line="360" w:lineRule="exact"/>
        <w:ind w:left="850" w:leftChars="0" w:hanging="453" w:firstLineChars="0"/>
        <w:textAlignment w:val="auto"/>
        <w:rPr>
          <w:rFonts w:hint="eastAsia" w:ascii="宋体" w:hAnsi="宋体" w:eastAsia="宋体" w:cs="宋体"/>
          <w:b w:val="0"/>
          <w:bCs/>
          <w:color w:val="auto"/>
          <w:sz w:val="24"/>
          <w:highlight w:val="none"/>
          <w:lang w:val="zh-CN"/>
        </w:rPr>
      </w:pPr>
      <w:r>
        <w:rPr>
          <w:rFonts w:hint="eastAsia" w:ascii="宋体" w:hAnsi="宋体" w:eastAsia="宋体" w:cs="宋体"/>
          <w:b w:val="0"/>
          <w:bCs/>
          <w:color w:val="auto"/>
          <w:sz w:val="24"/>
          <w:highlight w:val="none"/>
          <w:lang w:val="zh-CN"/>
        </w:rPr>
        <w:t xml:space="preserve">在合同约定的期限内完成合同规定的全部义务。 </w:t>
      </w:r>
    </w:p>
    <w:p w14:paraId="75C3D19F">
      <w:pPr>
        <w:keepNext w:val="0"/>
        <w:keepLines w:val="0"/>
        <w:pageBreakBefore w:val="0"/>
        <w:widowControl w:val="0"/>
        <w:numPr>
          <w:ilvl w:val="0"/>
          <w:numId w:val="29"/>
        </w:numPr>
        <w:kinsoku/>
        <w:wordWrap/>
        <w:overflowPunct/>
        <w:topLinePunct w:val="0"/>
        <w:bidi w:val="0"/>
        <w:adjustRightInd w:val="0"/>
        <w:snapToGrid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其他补充说明: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F9F65F9">
      <w:pPr>
        <w:keepNext w:val="0"/>
        <w:keepLines w:val="0"/>
        <w:pageBreakBefore w:val="0"/>
        <w:widowControl w:val="0"/>
        <w:kinsoku/>
        <w:wordWrap/>
        <w:overflowPunct/>
        <w:topLinePunct w:val="0"/>
        <w:autoSpaceDE w:val="0"/>
        <w:autoSpaceDN w:val="0"/>
        <w:bidi w:val="0"/>
        <w:adjustRightInd w:val="0"/>
        <w:snapToGrid w:val="0"/>
        <w:spacing w:line="360" w:lineRule="exact"/>
        <w:ind w:firstLine="3960" w:firstLineChars="1650"/>
        <w:textAlignment w:val="auto"/>
        <w:rPr>
          <w:rFonts w:hint="eastAsia" w:ascii="宋体" w:hAnsi="宋体" w:eastAsia="宋体" w:cs="宋体"/>
          <w:color w:val="auto"/>
          <w:kern w:val="0"/>
          <w:sz w:val="24"/>
          <w:highlight w:val="none"/>
          <w:lang w:val="zh-CN"/>
        </w:rPr>
      </w:pPr>
    </w:p>
    <w:p w14:paraId="69313413">
      <w:pPr>
        <w:pStyle w:val="59"/>
        <w:rPr>
          <w:rFonts w:hint="eastAsia" w:ascii="宋体" w:hAnsi="宋体" w:eastAsia="宋体" w:cs="宋体"/>
          <w:color w:val="auto"/>
          <w:highlight w:val="none"/>
          <w:lang w:val="zh-CN"/>
        </w:rPr>
      </w:pPr>
    </w:p>
    <w:p w14:paraId="39D2489E">
      <w:pPr>
        <w:keepNext w:val="0"/>
        <w:keepLines w:val="0"/>
        <w:pageBreakBefore w:val="0"/>
        <w:widowControl w:val="0"/>
        <w:kinsoku/>
        <w:wordWrap/>
        <w:overflowPunct/>
        <w:topLinePunct w:val="0"/>
        <w:bidi w:val="0"/>
        <w:adjustRightInd w:val="0"/>
        <w:snapToGrid w:val="0"/>
        <w:spacing w:line="360" w:lineRule="exact"/>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供应商名称（电子签名）：                          </w:t>
      </w:r>
    </w:p>
    <w:p w14:paraId="7FCD7984">
      <w:pPr>
        <w:keepNext w:val="0"/>
        <w:keepLines w:val="0"/>
        <w:pageBreakBefore w:val="0"/>
        <w:widowControl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2922AAF0">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299DB8B9">
      <w:pPr>
        <w:widowControl/>
        <w:adjustRightInd/>
        <w:jc w:val="left"/>
        <w:rPr>
          <w:rFonts w:hint="eastAsia" w:ascii="宋体" w:hAnsi="宋体" w:eastAsia="宋体" w:cs="宋体"/>
          <w:b/>
          <w:color w:val="auto"/>
          <w:kern w:val="0"/>
          <w:sz w:val="32"/>
          <w:szCs w:val="32"/>
          <w:highlight w:val="none"/>
          <w:lang w:val="zh-CN"/>
        </w:rPr>
      </w:pPr>
    </w:p>
    <w:p w14:paraId="7407A136">
      <w:pPr>
        <w:snapToGrid w:val="0"/>
        <w:spacing w:line="360" w:lineRule="auto"/>
        <w:jc w:val="center"/>
        <w:outlineLvl w:val="0"/>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429EB97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kern w:val="0"/>
          <w:sz w:val="32"/>
          <w:szCs w:val="32"/>
          <w:highlight w:val="none"/>
          <w:lang w:val="zh-CN"/>
        </w:rPr>
        <w:t>授权委托书（适用于非联合体响应）</w:t>
      </w:r>
    </w:p>
    <w:p w14:paraId="3BBEE8A5">
      <w:pPr>
        <w:snapToGrid w:val="0"/>
        <w:spacing w:line="360" w:lineRule="auto"/>
        <w:rPr>
          <w:rFonts w:hint="eastAsia" w:ascii="宋体" w:hAnsi="宋体" w:eastAsia="宋体" w:cs="宋体"/>
          <w:color w:val="auto"/>
          <w:sz w:val="24"/>
          <w:highlight w:val="none"/>
        </w:rPr>
      </w:pPr>
    </w:p>
    <w:p w14:paraId="34F3DDE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sz w:val="24"/>
          <w:highlight w:val="none"/>
          <w:lang w:eastAsia="zh-CN"/>
        </w:rPr>
        <w:t>）</w:t>
      </w:r>
      <w:r>
        <w:rPr>
          <w:rFonts w:hint="eastAsia" w:ascii="宋体" w:hAnsi="宋体" w:eastAsia="宋体" w:cs="宋体"/>
          <w:color w:val="auto"/>
          <w:kern w:val="0"/>
          <w:sz w:val="24"/>
          <w:highlight w:val="none"/>
          <w:lang w:val="zh-CN"/>
        </w:rPr>
        <w:t>：</w:t>
      </w:r>
    </w:p>
    <w:p w14:paraId="49853D87">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项目</w:t>
      </w:r>
      <w:r>
        <w:rPr>
          <w:rFonts w:hint="eastAsia" w:ascii="宋体" w:hAnsi="宋体" w:eastAsia="宋体" w:cs="宋体"/>
          <w:color w:val="auto"/>
          <w:sz w:val="24"/>
          <w:highlight w:val="none"/>
        </w:rPr>
        <w:t>编号：ZJ-2422293】</w:t>
      </w:r>
      <w:r>
        <w:rPr>
          <w:rFonts w:hint="eastAsia" w:ascii="宋体" w:hAnsi="宋体" w:eastAsia="宋体" w:cs="宋体"/>
          <w:color w:val="auto"/>
          <w:kern w:val="0"/>
          <w:sz w:val="24"/>
          <w:highlight w:val="none"/>
          <w:lang w:val="zh-CN"/>
        </w:rPr>
        <w:t>政府采购响应的一切事项，其法律后果由我方承担。</w:t>
      </w:r>
    </w:p>
    <w:p w14:paraId="46E1FEB6">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日止。</w:t>
      </w:r>
    </w:p>
    <w:p w14:paraId="5B6F7733">
      <w:pP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特此告知。</w:t>
      </w:r>
    </w:p>
    <w:p w14:paraId="2574068C">
      <w:pPr>
        <w:pStyle w:val="22"/>
        <w:rPr>
          <w:rFonts w:hint="eastAsia" w:ascii="宋体" w:hAnsi="宋体" w:eastAsia="宋体" w:cs="宋体"/>
          <w:color w:val="auto"/>
          <w:highlight w:val="none"/>
        </w:rPr>
      </w:pPr>
    </w:p>
    <w:p w14:paraId="50B7973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供应商名称(电子签名)：</w:t>
      </w:r>
    </w:p>
    <w:p w14:paraId="4BBF23FE">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01D98A2C">
      <w:pPr>
        <w:snapToGrid w:val="0"/>
        <w:spacing w:line="360" w:lineRule="auto"/>
        <w:rPr>
          <w:rFonts w:hint="eastAsia" w:ascii="宋体" w:hAnsi="宋体" w:eastAsia="宋体" w:cs="宋体"/>
          <w:color w:val="auto"/>
          <w:kern w:val="0"/>
          <w:sz w:val="24"/>
          <w:highlight w:val="none"/>
          <w:lang w:val="zh-CN"/>
        </w:rPr>
      </w:pPr>
    </w:p>
    <w:p w14:paraId="1D648C78">
      <w:pPr>
        <w:widowControl/>
        <w:adjustRightInd/>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授权委托书（适用于联合体响应）</w:t>
      </w:r>
    </w:p>
    <w:p w14:paraId="586DFF79">
      <w:pPr>
        <w:snapToGrid w:val="0"/>
        <w:spacing w:line="360" w:lineRule="auto"/>
        <w:rPr>
          <w:rFonts w:hint="eastAsia" w:ascii="宋体" w:hAnsi="宋体" w:eastAsia="宋体" w:cs="宋体"/>
          <w:color w:val="auto"/>
          <w:sz w:val="24"/>
          <w:highlight w:val="none"/>
        </w:rPr>
      </w:pPr>
    </w:p>
    <w:p w14:paraId="6EAFAD5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0DED564E">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项目</w:t>
      </w:r>
      <w:r>
        <w:rPr>
          <w:rFonts w:hint="eastAsia" w:ascii="宋体" w:hAnsi="宋体" w:eastAsia="宋体" w:cs="宋体"/>
          <w:color w:val="auto"/>
          <w:sz w:val="24"/>
          <w:highlight w:val="none"/>
        </w:rPr>
        <w:t>编号：ZJ-2422293】</w:t>
      </w:r>
      <w:r>
        <w:rPr>
          <w:rFonts w:hint="eastAsia" w:ascii="宋体" w:hAnsi="宋体" w:eastAsia="宋体" w:cs="宋体"/>
          <w:color w:val="auto"/>
          <w:kern w:val="0"/>
          <w:sz w:val="24"/>
          <w:highlight w:val="none"/>
          <w:lang w:val="zh-CN"/>
        </w:rPr>
        <w:t>政府采购响应的一切事项，其法律后果由我方承担。</w:t>
      </w:r>
    </w:p>
    <w:p w14:paraId="17C9E98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日止。</w:t>
      </w:r>
    </w:p>
    <w:p w14:paraId="399F7E7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4C14DE93">
      <w:pPr>
        <w:jc w:val="center"/>
        <w:rPr>
          <w:rFonts w:hint="eastAsia" w:ascii="宋体" w:hAnsi="宋体" w:eastAsia="宋体" w:cs="宋体"/>
          <w:b/>
          <w:color w:val="auto"/>
          <w:kern w:val="0"/>
          <w:sz w:val="32"/>
          <w:szCs w:val="32"/>
          <w:highlight w:val="none"/>
        </w:rPr>
      </w:pPr>
    </w:p>
    <w:p w14:paraId="3C0474AE">
      <w:pPr>
        <w:jc w:val="center"/>
        <w:rPr>
          <w:rFonts w:hint="eastAsia" w:ascii="宋体" w:hAnsi="宋体" w:eastAsia="宋体" w:cs="宋体"/>
          <w:b/>
          <w:color w:val="auto"/>
          <w:kern w:val="0"/>
          <w:sz w:val="32"/>
          <w:szCs w:val="32"/>
          <w:highlight w:val="none"/>
        </w:rPr>
      </w:pPr>
    </w:p>
    <w:p w14:paraId="628C9368">
      <w:pPr>
        <w:rPr>
          <w:rFonts w:hint="eastAsia" w:ascii="宋体" w:hAnsi="宋体" w:eastAsia="宋体" w:cs="宋体"/>
          <w:color w:val="auto"/>
          <w:highlight w:val="none"/>
        </w:rPr>
      </w:pPr>
    </w:p>
    <w:p w14:paraId="068437B9">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29595FA">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558CA2B">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00BEDF3A">
      <w:pPr>
        <w:snapToGrid w:val="0"/>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color w:val="auto"/>
          <w:kern w:val="0"/>
          <w:sz w:val="24"/>
          <w:highlight w:val="none"/>
          <w:lang w:val="zh-CN"/>
        </w:rPr>
        <w:t xml:space="preserve">                                               日期：  年  月   日</w:t>
      </w:r>
    </w:p>
    <w:p w14:paraId="63D7DEDD">
      <w:pP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5B57E5B0">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w:t>
      </w:r>
      <w:r>
        <w:rPr>
          <w:rFonts w:hint="eastAsia" w:ascii="宋体" w:hAnsi="宋体" w:eastAsia="宋体" w:cs="宋体"/>
          <w:b/>
          <w:color w:val="auto"/>
          <w:sz w:val="30"/>
          <w:szCs w:val="30"/>
          <w:highlight w:val="none"/>
          <w:lang w:eastAsia="zh-CN"/>
        </w:rPr>
        <w:t>供应商</w:t>
      </w:r>
      <w:r>
        <w:rPr>
          <w:rFonts w:hint="eastAsia" w:ascii="宋体" w:hAnsi="宋体" w:eastAsia="宋体" w:cs="宋体"/>
          <w:b/>
          <w:color w:val="auto"/>
          <w:sz w:val="30"/>
          <w:szCs w:val="30"/>
          <w:highlight w:val="none"/>
        </w:rPr>
        <w:t>参加</w:t>
      </w:r>
      <w:r>
        <w:rPr>
          <w:rFonts w:hint="eastAsia" w:ascii="宋体" w:hAnsi="宋体" w:eastAsia="宋体" w:cs="宋体"/>
          <w:b/>
          <w:color w:val="auto"/>
          <w:sz w:val="30"/>
          <w:szCs w:val="30"/>
          <w:highlight w:val="none"/>
          <w:lang w:eastAsia="zh-CN"/>
        </w:rPr>
        <w:t>响应</w:t>
      </w:r>
      <w:r>
        <w:rPr>
          <w:rFonts w:hint="eastAsia" w:ascii="宋体" w:hAnsi="宋体" w:eastAsia="宋体" w:cs="宋体"/>
          <w:b/>
          <w:color w:val="auto"/>
          <w:sz w:val="30"/>
          <w:szCs w:val="30"/>
          <w:highlight w:val="none"/>
        </w:rPr>
        <w:t>）</w:t>
      </w:r>
    </w:p>
    <w:p w14:paraId="74A653D1">
      <w:pPr>
        <w:pStyle w:val="618"/>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29F8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08C2A815">
            <w:pPr>
              <w:pStyle w:val="618"/>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20091B59">
            <w:pPr>
              <w:pStyle w:val="618"/>
              <w:adjustRightInd w:val="0"/>
              <w:spacing w:line="360" w:lineRule="auto"/>
              <w:rPr>
                <w:rFonts w:hint="eastAsia" w:ascii="宋体" w:hAnsi="宋体" w:eastAsia="宋体" w:cs="宋体"/>
                <w:bCs/>
                <w:color w:val="auto"/>
                <w:sz w:val="24"/>
                <w:highlight w:val="none"/>
              </w:rPr>
            </w:pPr>
          </w:p>
        </w:tc>
      </w:tr>
    </w:tbl>
    <w:p w14:paraId="69E6BF63">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553D8EA4">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                              </w:t>
      </w:r>
    </w:p>
    <w:p w14:paraId="3E06982B">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CE47B39">
      <w:pPr>
        <w:pStyle w:val="22"/>
        <w:rPr>
          <w:rFonts w:hint="eastAsia" w:ascii="宋体" w:hAnsi="宋体" w:eastAsia="宋体" w:cs="宋体"/>
          <w:color w:val="auto"/>
          <w:highlight w:val="none"/>
        </w:rPr>
      </w:pPr>
    </w:p>
    <w:p w14:paraId="23CCF500">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30"/>
          <w:szCs w:val="30"/>
          <w:highlight w:val="none"/>
        </w:rPr>
        <w:t>授权代表的身份证（复印件）</w:t>
      </w:r>
    </w:p>
    <w:p w14:paraId="2263E3BE">
      <w:pPr>
        <w:pStyle w:val="618"/>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授权代表身份证件扫描件：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0608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jc w:val="center"/>
        </w:trPr>
        <w:tc>
          <w:tcPr>
            <w:tcW w:w="9207" w:type="dxa"/>
            <w:shd w:val="clear" w:color="auto" w:fill="auto"/>
          </w:tcPr>
          <w:p w14:paraId="029262FA">
            <w:pPr>
              <w:pStyle w:val="618"/>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640ED407">
            <w:pPr>
              <w:pStyle w:val="618"/>
              <w:spacing w:line="360" w:lineRule="auto"/>
              <w:rPr>
                <w:rFonts w:hint="eastAsia" w:ascii="宋体" w:hAnsi="宋体" w:eastAsia="宋体" w:cs="宋体"/>
                <w:bCs/>
                <w:color w:val="auto"/>
                <w:sz w:val="24"/>
                <w:highlight w:val="none"/>
              </w:rPr>
            </w:pPr>
          </w:p>
        </w:tc>
      </w:tr>
    </w:tbl>
    <w:p w14:paraId="57BA044E">
      <w:pPr>
        <w:snapToGrid w:val="0"/>
        <w:spacing w:line="360" w:lineRule="auto"/>
        <w:ind w:firstLine="576"/>
        <w:jc w:val="right"/>
        <w:rPr>
          <w:rFonts w:hint="eastAsia" w:ascii="宋体" w:hAnsi="宋体" w:eastAsia="宋体" w:cs="宋体"/>
          <w:color w:val="auto"/>
          <w:kern w:val="0"/>
          <w:sz w:val="24"/>
          <w:highlight w:val="none"/>
          <w:lang w:val="zh-CN"/>
        </w:rPr>
      </w:pPr>
    </w:p>
    <w:p w14:paraId="07CE8A1F">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                              </w:t>
      </w:r>
    </w:p>
    <w:p w14:paraId="2C0F6CE4">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w:t>
      </w:r>
    </w:p>
    <w:p w14:paraId="0A9C5E92">
      <w:pPr>
        <w:snapToGrid w:val="0"/>
        <w:spacing w:line="360" w:lineRule="auto"/>
        <w:ind w:firstLine="576"/>
        <w:jc w:val="center"/>
        <w:rPr>
          <w:rFonts w:hint="eastAsia" w:ascii="宋体" w:hAnsi="宋体" w:eastAsia="宋体" w:cs="宋体"/>
          <w:color w:val="auto"/>
          <w:sz w:val="28"/>
          <w:szCs w:val="28"/>
          <w:highlight w:val="none"/>
        </w:rPr>
      </w:pPr>
    </w:p>
    <w:p w14:paraId="3F302335">
      <w:pPr>
        <w:widowControl/>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7BCBF7A1">
      <w:pPr>
        <w:rPr>
          <w:rFonts w:hint="eastAsia" w:ascii="宋体" w:hAnsi="宋体" w:eastAsia="宋体" w:cs="宋体"/>
          <w:b/>
          <w:color w:val="auto"/>
          <w:kern w:val="0"/>
          <w:sz w:val="32"/>
          <w:szCs w:val="32"/>
          <w:highlight w:val="none"/>
          <w:lang w:val="zh-CN"/>
        </w:rPr>
      </w:pPr>
    </w:p>
    <w:p w14:paraId="6B4A3EAB">
      <w:pPr>
        <w:snapToGrid w:val="0"/>
        <w:spacing w:line="360" w:lineRule="auto"/>
        <w:jc w:val="center"/>
        <w:outlineLvl w:val="0"/>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三、分包意向协议（如果有）</w:t>
      </w:r>
    </w:p>
    <w:p w14:paraId="1DC5ED01">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lang w:eastAsia="zh-CN"/>
        </w:rPr>
        <w:t>成交</w:t>
      </w:r>
      <w:r>
        <w:rPr>
          <w:rFonts w:hint="eastAsia" w:ascii="宋体" w:hAnsi="宋体" w:eastAsia="宋体" w:cs="宋体"/>
          <w:b/>
          <w:color w:val="auto"/>
          <w:sz w:val="24"/>
          <w:highlight w:val="none"/>
        </w:rPr>
        <w:t>后以分包方式履行合同的，提供分包意向协议</w:t>
      </w:r>
      <w:r>
        <w:rPr>
          <w:rFonts w:hint="eastAsia" w:ascii="宋体" w:hAnsi="宋体" w:eastAsia="宋体" w:cs="宋体"/>
          <w:b/>
          <w:color w:val="auto"/>
          <w:sz w:val="24"/>
          <w:highlight w:val="none"/>
          <w:lang w:eastAsia="zh-CN"/>
        </w:rPr>
        <w:t>（附件</w:t>
      </w: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rPr>
        <w:t>；采购人不同意分包或者</w:t>
      </w:r>
      <w:r>
        <w:rPr>
          <w:rFonts w:hint="eastAsia" w:ascii="宋体" w:hAnsi="宋体" w:eastAsia="宋体" w:cs="宋体"/>
          <w:b/>
          <w:color w:val="auto"/>
          <w:sz w:val="24"/>
          <w:highlight w:val="none"/>
          <w:lang w:eastAsia="zh-CN"/>
        </w:rPr>
        <w:t>供应商成交</w:t>
      </w:r>
      <w:r>
        <w:rPr>
          <w:rFonts w:hint="eastAsia" w:ascii="宋体" w:hAnsi="宋体" w:eastAsia="宋体" w:cs="宋体"/>
          <w:b/>
          <w:color w:val="auto"/>
          <w:sz w:val="24"/>
          <w:highlight w:val="none"/>
        </w:rPr>
        <w:t>后不以分包方式履行合同的，则不需要提供。</w:t>
      </w:r>
      <w:r>
        <w:rPr>
          <w:rFonts w:hint="eastAsia" w:ascii="宋体" w:hAnsi="宋体" w:eastAsia="宋体" w:cs="宋体"/>
          <w:color w:val="auto"/>
          <w:sz w:val="24"/>
          <w:highlight w:val="none"/>
        </w:rPr>
        <w:t>）</w:t>
      </w:r>
    </w:p>
    <w:p w14:paraId="51C422A2">
      <w:pPr>
        <w:rPr>
          <w:rFonts w:hint="eastAsia" w:ascii="宋体" w:hAnsi="宋体" w:eastAsia="宋体" w:cs="宋体"/>
          <w:b/>
          <w:color w:val="auto"/>
          <w:kern w:val="0"/>
          <w:sz w:val="32"/>
          <w:szCs w:val="32"/>
          <w:highlight w:val="none"/>
          <w:lang w:val="zh-CN"/>
        </w:rPr>
      </w:pPr>
    </w:p>
    <w:p w14:paraId="01F1D91C">
      <w:pP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63E4703F">
      <w:pPr>
        <w:snapToGrid w:val="0"/>
        <w:spacing w:line="360" w:lineRule="auto"/>
        <w:jc w:val="center"/>
        <w:outlineLvl w:val="0"/>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四、符合性审查资料</w:t>
      </w:r>
    </w:p>
    <w:p w14:paraId="7DFC627A">
      <w:pPr>
        <w:jc w:val="center"/>
        <w:rPr>
          <w:rFonts w:hint="eastAsia" w:ascii="宋体" w:hAnsi="宋体" w:eastAsia="宋体" w:cs="宋体"/>
          <w:b/>
          <w:color w:val="auto"/>
          <w:kern w:val="0"/>
          <w:sz w:val="32"/>
          <w:szCs w:val="32"/>
          <w:highlight w:val="none"/>
        </w:rPr>
      </w:pPr>
    </w:p>
    <w:tbl>
      <w:tblPr>
        <w:tblStyle w:val="60"/>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14:paraId="71AB1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652B11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245" w:type="dxa"/>
            <w:vAlign w:val="center"/>
          </w:tcPr>
          <w:p w14:paraId="6BF41C0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6FBB4D5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672" w:type="dxa"/>
            <w:vAlign w:val="center"/>
          </w:tcPr>
          <w:p w14:paraId="0412C70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文件中的页码位置</w:t>
            </w:r>
          </w:p>
        </w:tc>
      </w:tr>
      <w:tr w14:paraId="3CA92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9B2F1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w:t>
            </w:r>
          </w:p>
        </w:tc>
        <w:tc>
          <w:tcPr>
            <w:tcW w:w="4245" w:type="dxa"/>
            <w:vAlign w:val="center"/>
          </w:tcPr>
          <w:p w14:paraId="76C1FB66">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文件按照</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文件要求签署、盖章。</w:t>
            </w:r>
          </w:p>
        </w:tc>
        <w:tc>
          <w:tcPr>
            <w:tcW w:w="2551" w:type="dxa"/>
            <w:vAlign w:val="center"/>
          </w:tcPr>
          <w:p w14:paraId="74B54C92">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文件的组成部分</w:t>
            </w:r>
          </w:p>
        </w:tc>
        <w:tc>
          <w:tcPr>
            <w:tcW w:w="1672" w:type="dxa"/>
            <w:vAlign w:val="center"/>
          </w:tcPr>
          <w:p w14:paraId="30BA9B96">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w:t>
            </w:r>
          </w:p>
          <w:p w14:paraId="3A57B6C6">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3E000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D6D8D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2</w:t>
            </w:r>
          </w:p>
        </w:tc>
        <w:tc>
          <w:tcPr>
            <w:tcW w:w="4245" w:type="dxa"/>
            <w:vAlign w:val="center"/>
          </w:tcPr>
          <w:p w14:paraId="71C95B8D">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文件中承诺的</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有效期不少于</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文件中载明的</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有效期。</w:t>
            </w:r>
          </w:p>
        </w:tc>
        <w:tc>
          <w:tcPr>
            <w:tcW w:w="2551" w:type="dxa"/>
            <w:vAlign w:val="center"/>
          </w:tcPr>
          <w:p w14:paraId="62BFF6AF">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函</w:t>
            </w:r>
          </w:p>
        </w:tc>
        <w:tc>
          <w:tcPr>
            <w:tcW w:w="1672" w:type="dxa"/>
            <w:vAlign w:val="center"/>
          </w:tcPr>
          <w:p w14:paraId="72E8ADD7">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w:t>
            </w:r>
          </w:p>
          <w:p w14:paraId="4BE631E5">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04AF3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547E9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3</w:t>
            </w:r>
          </w:p>
        </w:tc>
        <w:tc>
          <w:tcPr>
            <w:tcW w:w="4245" w:type="dxa"/>
            <w:vAlign w:val="center"/>
          </w:tcPr>
          <w:p w14:paraId="6AADF113">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文件满足</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文件的其它实质性要求。</w:t>
            </w:r>
          </w:p>
        </w:tc>
        <w:tc>
          <w:tcPr>
            <w:tcW w:w="2551" w:type="dxa"/>
            <w:vAlign w:val="center"/>
          </w:tcPr>
          <w:p w14:paraId="63B335CC">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eastAsia="zh-CN"/>
              </w:rPr>
              <w:t>磋商</w:t>
            </w:r>
            <w:r>
              <w:rPr>
                <w:rFonts w:hint="eastAsia" w:ascii="宋体" w:hAnsi="宋体" w:eastAsia="宋体" w:cs="宋体"/>
                <w:color w:val="auto"/>
                <w:kern w:val="0"/>
                <w:sz w:val="24"/>
                <w:highlight w:val="none"/>
              </w:rPr>
              <w:t>文件其它实质性要求相应的材料（“▲” 系指实质性要求条款，</w:t>
            </w:r>
            <w:r>
              <w:rPr>
                <w:rFonts w:hint="eastAsia" w:ascii="宋体" w:hAnsi="宋体" w:eastAsia="宋体" w:cs="宋体"/>
                <w:color w:val="auto"/>
                <w:kern w:val="0"/>
                <w:sz w:val="24"/>
                <w:highlight w:val="none"/>
                <w:lang w:eastAsia="zh-CN"/>
              </w:rPr>
              <w:t>磋商</w:t>
            </w:r>
            <w:r>
              <w:rPr>
                <w:rFonts w:hint="eastAsia" w:ascii="宋体" w:hAnsi="宋体" w:eastAsia="宋体" w:cs="宋体"/>
                <w:color w:val="auto"/>
                <w:kern w:val="0"/>
                <w:sz w:val="24"/>
                <w:highlight w:val="none"/>
              </w:rPr>
              <w:t>文件无其它实质性要求的，无需提供）</w:t>
            </w:r>
          </w:p>
        </w:tc>
        <w:tc>
          <w:tcPr>
            <w:tcW w:w="1672" w:type="dxa"/>
            <w:vAlign w:val="center"/>
          </w:tcPr>
          <w:p w14:paraId="07F35CEA">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w:t>
            </w:r>
          </w:p>
          <w:p w14:paraId="20540BFC">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1FB255C1">
      <w:pPr>
        <w:jc w:val="center"/>
        <w:rPr>
          <w:rFonts w:hint="eastAsia" w:ascii="宋体" w:hAnsi="宋体" w:eastAsia="宋体" w:cs="宋体"/>
          <w:b/>
          <w:color w:val="auto"/>
          <w:kern w:val="0"/>
          <w:sz w:val="32"/>
          <w:szCs w:val="32"/>
          <w:highlight w:val="none"/>
        </w:rPr>
      </w:pPr>
    </w:p>
    <w:p w14:paraId="694903CC">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6EF690AC">
      <w:pPr>
        <w:jc w:val="center"/>
        <w:rPr>
          <w:rFonts w:hint="eastAsia" w:ascii="宋体" w:hAnsi="宋体" w:eastAsia="宋体" w:cs="宋体"/>
          <w:b/>
          <w:color w:val="auto"/>
          <w:kern w:val="0"/>
          <w:sz w:val="32"/>
          <w:szCs w:val="32"/>
          <w:highlight w:val="none"/>
        </w:rPr>
      </w:pPr>
    </w:p>
    <w:p w14:paraId="02881300">
      <w:pPr>
        <w:jc w:val="center"/>
        <w:rPr>
          <w:rFonts w:hint="eastAsia" w:ascii="宋体" w:hAnsi="宋体" w:eastAsia="宋体" w:cs="宋体"/>
          <w:b/>
          <w:color w:val="auto"/>
          <w:kern w:val="0"/>
          <w:sz w:val="32"/>
          <w:szCs w:val="32"/>
          <w:highlight w:val="none"/>
        </w:rPr>
      </w:pPr>
    </w:p>
    <w:p w14:paraId="746887DD">
      <w:pPr>
        <w:jc w:val="center"/>
        <w:rPr>
          <w:rFonts w:hint="eastAsia" w:ascii="宋体" w:hAnsi="宋体" w:eastAsia="宋体" w:cs="宋体"/>
          <w:b/>
          <w:color w:val="auto"/>
          <w:kern w:val="0"/>
          <w:sz w:val="32"/>
          <w:szCs w:val="32"/>
          <w:highlight w:val="none"/>
        </w:rPr>
      </w:pPr>
    </w:p>
    <w:p w14:paraId="6DDE04FB">
      <w:pPr>
        <w:jc w:val="center"/>
        <w:rPr>
          <w:rFonts w:hint="eastAsia" w:ascii="宋体" w:hAnsi="宋体" w:eastAsia="宋体" w:cs="宋体"/>
          <w:b/>
          <w:color w:val="auto"/>
          <w:kern w:val="0"/>
          <w:sz w:val="32"/>
          <w:szCs w:val="32"/>
          <w:highlight w:val="none"/>
        </w:rPr>
      </w:pPr>
    </w:p>
    <w:p w14:paraId="196C409D">
      <w:pPr>
        <w:jc w:val="center"/>
        <w:rPr>
          <w:rFonts w:hint="eastAsia" w:ascii="宋体" w:hAnsi="宋体" w:eastAsia="宋体" w:cs="宋体"/>
          <w:b/>
          <w:color w:val="auto"/>
          <w:kern w:val="0"/>
          <w:sz w:val="32"/>
          <w:szCs w:val="32"/>
          <w:highlight w:val="none"/>
        </w:rPr>
      </w:pPr>
    </w:p>
    <w:p w14:paraId="282F0D07">
      <w:pPr>
        <w:jc w:val="center"/>
        <w:rPr>
          <w:rFonts w:hint="eastAsia" w:ascii="宋体" w:hAnsi="宋体" w:eastAsia="宋体" w:cs="宋体"/>
          <w:b/>
          <w:color w:val="auto"/>
          <w:kern w:val="0"/>
          <w:sz w:val="32"/>
          <w:szCs w:val="32"/>
          <w:highlight w:val="none"/>
        </w:rPr>
      </w:pPr>
    </w:p>
    <w:p w14:paraId="63BFCBC8">
      <w:pPr>
        <w:jc w:val="center"/>
        <w:rPr>
          <w:rFonts w:hint="eastAsia" w:ascii="宋体" w:hAnsi="宋体" w:eastAsia="宋体" w:cs="宋体"/>
          <w:b/>
          <w:color w:val="auto"/>
          <w:kern w:val="0"/>
          <w:sz w:val="32"/>
          <w:szCs w:val="32"/>
          <w:highlight w:val="none"/>
        </w:rPr>
      </w:pPr>
    </w:p>
    <w:p w14:paraId="73B361A4">
      <w:pPr>
        <w:jc w:val="center"/>
        <w:rPr>
          <w:rFonts w:hint="eastAsia" w:ascii="宋体" w:hAnsi="宋体" w:eastAsia="宋体" w:cs="宋体"/>
          <w:b/>
          <w:color w:val="auto"/>
          <w:kern w:val="0"/>
          <w:sz w:val="32"/>
          <w:szCs w:val="32"/>
          <w:highlight w:val="none"/>
        </w:rPr>
      </w:pPr>
    </w:p>
    <w:p w14:paraId="4CA79333">
      <w:pPr>
        <w:jc w:val="center"/>
        <w:rPr>
          <w:rFonts w:hint="eastAsia" w:ascii="宋体" w:hAnsi="宋体" w:eastAsia="宋体" w:cs="宋体"/>
          <w:b/>
          <w:color w:val="auto"/>
          <w:kern w:val="0"/>
          <w:sz w:val="32"/>
          <w:szCs w:val="32"/>
          <w:highlight w:val="none"/>
        </w:rPr>
      </w:pPr>
    </w:p>
    <w:p w14:paraId="6E6E169F">
      <w:pPr>
        <w:jc w:val="center"/>
        <w:rPr>
          <w:rFonts w:hint="eastAsia" w:ascii="宋体" w:hAnsi="宋体" w:eastAsia="宋体" w:cs="宋体"/>
          <w:b/>
          <w:color w:val="auto"/>
          <w:kern w:val="0"/>
          <w:sz w:val="32"/>
          <w:szCs w:val="32"/>
          <w:highlight w:val="none"/>
        </w:rPr>
      </w:pPr>
    </w:p>
    <w:p w14:paraId="0F990052">
      <w:pPr>
        <w:jc w:val="center"/>
        <w:rPr>
          <w:rFonts w:hint="eastAsia" w:ascii="宋体" w:hAnsi="宋体" w:eastAsia="宋体" w:cs="宋体"/>
          <w:b/>
          <w:color w:val="auto"/>
          <w:kern w:val="0"/>
          <w:sz w:val="32"/>
          <w:szCs w:val="32"/>
          <w:highlight w:val="none"/>
        </w:rPr>
      </w:pPr>
    </w:p>
    <w:p w14:paraId="70D6FD04">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3746E91">
      <w:pPr>
        <w:snapToGrid w:val="0"/>
        <w:spacing w:line="360" w:lineRule="auto"/>
        <w:jc w:val="center"/>
        <w:outlineLvl w:val="0"/>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五、评标标准相应的商务技术资料</w:t>
      </w:r>
    </w:p>
    <w:p w14:paraId="1C401BC7">
      <w:pPr>
        <w:snapToGrid w:val="0"/>
        <w:spacing w:line="360" w:lineRule="auto"/>
        <w:jc w:val="left"/>
        <w:rPr>
          <w:rFonts w:hint="eastAsia" w:ascii="宋体" w:hAnsi="宋体" w:eastAsia="宋体" w:cs="宋体"/>
          <w:b/>
          <w:color w:val="auto"/>
          <w:sz w:val="24"/>
          <w:highlight w:val="none"/>
        </w:rPr>
      </w:pPr>
    </w:p>
    <w:p w14:paraId="67BC5761">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w:t>
      </w:r>
      <w:r>
        <w:rPr>
          <w:rFonts w:hint="eastAsia" w:ascii="宋体" w:hAnsi="宋体" w:eastAsia="宋体" w:cs="宋体"/>
          <w:b/>
          <w:color w:val="auto"/>
          <w:sz w:val="24"/>
          <w:highlight w:val="none"/>
          <w:lang w:eastAsia="zh-CN"/>
        </w:rPr>
        <w:t>磋商</w:t>
      </w:r>
      <w:r>
        <w:rPr>
          <w:rFonts w:hint="eastAsia" w:ascii="宋体" w:hAnsi="宋体" w:eastAsia="宋体" w:cs="宋体"/>
          <w:b/>
          <w:color w:val="auto"/>
          <w:sz w:val="24"/>
          <w:highlight w:val="none"/>
        </w:rPr>
        <w:t>文件第</w:t>
      </w:r>
      <w:r>
        <w:rPr>
          <w:rFonts w:hint="eastAsia" w:ascii="宋体" w:hAnsi="宋体" w:eastAsia="宋体" w:cs="宋体"/>
          <w:b/>
          <w:color w:val="auto"/>
          <w:sz w:val="24"/>
          <w:highlight w:val="none"/>
          <w:lang w:eastAsia="zh-CN"/>
        </w:rPr>
        <w:t>五</w:t>
      </w:r>
      <w:r>
        <w:rPr>
          <w:rFonts w:hint="eastAsia" w:ascii="宋体" w:hAnsi="宋体" w:eastAsia="宋体" w:cs="宋体"/>
          <w:b/>
          <w:color w:val="auto"/>
          <w:sz w:val="24"/>
          <w:highlight w:val="none"/>
        </w:rPr>
        <w:t>部分评标办法前附表中“</w:t>
      </w: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文件中评标标准相应的商务技术资料目录”提供资料）</w:t>
      </w:r>
    </w:p>
    <w:p w14:paraId="2686FE15">
      <w:pPr>
        <w:rPr>
          <w:rFonts w:hint="eastAsia" w:ascii="宋体" w:hAnsi="宋体" w:eastAsia="宋体" w:cs="宋体"/>
          <w:b/>
          <w:color w:val="auto"/>
          <w:kern w:val="0"/>
          <w:sz w:val="32"/>
          <w:szCs w:val="32"/>
          <w:highlight w:val="none"/>
          <w:lang w:val="zh-CN"/>
        </w:rPr>
      </w:pPr>
    </w:p>
    <w:p w14:paraId="6B702038">
      <w:pPr>
        <w:spacing w:line="360" w:lineRule="auto"/>
        <w:jc w:val="center"/>
        <w:rPr>
          <w:rFonts w:hint="eastAsia" w:ascii="宋体" w:hAnsi="宋体" w:eastAsia="宋体" w:cs="宋体"/>
          <w:b/>
          <w:bCs/>
          <w:color w:val="auto"/>
          <w:sz w:val="32"/>
          <w:szCs w:val="32"/>
          <w:highlight w:val="none"/>
        </w:rPr>
      </w:pPr>
    </w:p>
    <w:p w14:paraId="581C3E4C">
      <w:pPr>
        <w:spacing w:line="360" w:lineRule="auto"/>
        <w:rPr>
          <w:rFonts w:hint="eastAsia" w:ascii="宋体" w:hAnsi="宋体" w:eastAsia="宋体" w:cs="宋体"/>
          <w:b/>
          <w:bCs/>
          <w:color w:val="auto"/>
          <w:kern w:val="0"/>
          <w:sz w:val="24"/>
          <w:highlight w:val="none"/>
        </w:rPr>
      </w:pPr>
    </w:p>
    <w:p w14:paraId="6D970C6C">
      <w:pPr>
        <w:widowControl/>
        <w:adjustRightInd/>
        <w:jc w:val="left"/>
        <w:rPr>
          <w:rFonts w:hint="eastAsia" w:ascii="宋体" w:hAnsi="宋体" w:eastAsia="宋体" w:cs="宋体"/>
          <w:b/>
          <w:color w:val="auto"/>
          <w:sz w:val="32"/>
          <w:szCs w:val="32"/>
          <w:highlight w:val="none"/>
        </w:rPr>
      </w:pPr>
      <w:r>
        <w:rPr>
          <w:rFonts w:hint="eastAsia" w:ascii="宋体" w:hAnsi="宋体" w:eastAsia="宋体" w:cs="宋体"/>
          <w:color w:val="auto"/>
          <w:highlight w:val="none"/>
        </w:rPr>
        <w:br w:type="page"/>
      </w:r>
    </w:p>
    <w:p w14:paraId="6354BA43">
      <w:pPr>
        <w:snapToGrid w:val="0"/>
        <w:spacing w:line="360" w:lineRule="auto"/>
        <w:jc w:val="center"/>
        <w:outlineLvl w:val="1"/>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六、标的清单</w:t>
      </w:r>
    </w:p>
    <w:tbl>
      <w:tblPr>
        <w:tblStyle w:val="60"/>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95B2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3936E1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3B4319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68F9B4C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1EDA98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ABA29A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552EAE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156BE6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r>
              <w:rPr>
                <w:rFonts w:hint="eastAsia" w:ascii="宋体" w:hAnsi="宋体" w:eastAsia="宋体" w:cs="宋体"/>
                <w:b/>
                <w:color w:val="auto"/>
                <w:sz w:val="24"/>
                <w:highlight w:val="none"/>
                <w:lang w:eastAsia="zh-CN"/>
              </w:rPr>
              <w:t>（如果有）</w:t>
            </w:r>
          </w:p>
        </w:tc>
      </w:tr>
      <w:tr w14:paraId="3CC60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9E15D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10D973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310E94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EC1FA0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43AD0A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E194CA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254598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r>
      <w:tr w14:paraId="362F2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DA7479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E673B7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8388EC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AEE1A3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75E960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67C9E1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DE7B9D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r>
      <w:tr w14:paraId="3F441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1DB116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47CE17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C3039B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73D94A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403FB1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FEA7BA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8A130A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r>
    </w:tbl>
    <w:p w14:paraId="6A863E9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934C19A">
      <w:pPr>
        <w:pStyle w:val="59"/>
        <w:ind w:left="0" w:leftChars="0" w:firstLine="0" w:firstLineChars="0"/>
        <w:rPr>
          <w:rFonts w:hint="eastAsia" w:ascii="宋体" w:hAnsi="宋体" w:eastAsia="宋体" w:cs="宋体"/>
          <w:color w:val="auto"/>
          <w:sz w:val="24"/>
          <w:highlight w:val="none"/>
        </w:rPr>
      </w:pPr>
    </w:p>
    <w:p w14:paraId="16F183C9">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61241C9F">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1B1CD041">
      <w:pPr>
        <w:pStyle w:val="59"/>
        <w:ind w:left="0" w:leftChars="0" w:firstLine="0" w:firstLineChars="0"/>
        <w:rPr>
          <w:rFonts w:hint="eastAsia" w:ascii="宋体" w:hAnsi="宋体" w:eastAsia="宋体" w:cs="宋体"/>
          <w:color w:val="auto"/>
          <w:sz w:val="24"/>
          <w:highlight w:val="none"/>
        </w:rPr>
      </w:pPr>
    </w:p>
    <w:p w14:paraId="35F451E0">
      <w:pPr>
        <w:pStyle w:val="59"/>
        <w:rPr>
          <w:rFonts w:hint="eastAsia" w:ascii="宋体" w:hAnsi="宋体" w:eastAsia="宋体" w:cs="宋体"/>
          <w:color w:val="auto"/>
          <w:highlight w:val="none"/>
        </w:rPr>
      </w:pPr>
    </w:p>
    <w:p w14:paraId="39355EC5">
      <w:pPr>
        <w:rPr>
          <w:rFonts w:hint="eastAsia" w:ascii="宋体" w:hAnsi="宋体" w:eastAsia="宋体" w:cs="宋体"/>
          <w:b/>
          <w:color w:val="auto"/>
          <w:kern w:val="0"/>
          <w:sz w:val="32"/>
          <w:szCs w:val="32"/>
          <w:highlight w:val="none"/>
          <w:lang w:val="zh-CN"/>
        </w:rPr>
      </w:pPr>
    </w:p>
    <w:p w14:paraId="73A62146">
      <w:pPr>
        <w:snapToGrid w:val="0"/>
        <w:spacing w:line="360" w:lineRule="auto"/>
        <w:jc w:val="center"/>
        <w:outlineLvl w:val="0"/>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七、商务技术偏离表</w:t>
      </w:r>
    </w:p>
    <w:p w14:paraId="4ABAABC2">
      <w:pPr>
        <w:jc w:val="center"/>
        <w:rPr>
          <w:rFonts w:hint="eastAsia" w:ascii="宋体" w:hAnsi="宋体" w:eastAsia="宋体" w:cs="宋体"/>
          <w:b/>
          <w:bCs/>
          <w:color w:val="auto"/>
          <w:sz w:val="24"/>
          <w:highlight w:val="none"/>
        </w:rPr>
      </w:pP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F4D2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22E0D8C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vAlign w:val="center"/>
          </w:tcPr>
          <w:p w14:paraId="2F1BC89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磋商</w:t>
            </w:r>
            <w:r>
              <w:rPr>
                <w:rFonts w:hint="eastAsia" w:ascii="宋体" w:hAnsi="宋体" w:eastAsia="宋体" w:cs="宋体"/>
                <w:b/>
                <w:bCs/>
                <w:color w:val="auto"/>
                <w:sz w:val="24"/>
                <w:highlight w:val="none"/>
              </w:rPr>
              <w:t>文件章节及具体内容</w:t>
            </w:r>
          </w:p>
        </w:tc>
        <w:tc>
          <w:tcPr>
            <w:tcW w:w="3546" w:type="dxa"/>
            <w:vAlign w:val="center"/>
          </w:tcPr>
          <w:p w14:paraId="5C4A50C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响应</w:t>
            </w:r>
            <w:r>
              <w:rPr>
                <w:rFonts w:hint="eastAsia" w:ascii="宋体" w:hAnsi="宋体" w:eastAsia="宋体" w:cs="宋体"/>
                <w:b/>
                <w:bCs/>
                <w:color w:val="auto"/>
                <w:sz w:val="24"/>
                <w:highlight w:val="none"/>
              </w:rPr>
              <w:t>文件章节及具体内容</w:t>
            </w:r>
          </w:p>
        </w:tc>
        <w:tc>
          <w:tcPr>
            <w:tcW w:w="1276" w:type="dxa"/>
            <w:vAlign w:val="center"/>
          </w:tcPr>
          <w:p w14:paraId="16C4288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10CF8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4836952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vAlign w:val="center"/>
          </w:tcPr>
          <w:p w14:paraId="2548F1C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kern w:val="0"/>
                <w:sz w:val="32"/>
                <w:szCs w:val="32"/>
                <w:highlight w:val="none"/>
              </w:rPr>
            </w:pPr>
          </w:p>
        </w:tc>
        <w:tc>
          <w:tcPr>
            <w:tcW w:w="3546" w:type="dxa"/>
            <w:vAlign w:val="center"/>
          </w:tcPr>
          <w:p w14:paraId="5429DE3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kern w:val="0"/>
                <w:sz w:val="32"/>
                <w:szCs w:val="32"/>
                <w:highlight w:val="none"/>
              </w:rPr>
            </w:pPr>
          </w:p>
        </w:tc>
        <w:tc>
          <w:tcPr>
            <w:tcW w:w="1276" w:type="dxa"/>
            <w:vAlign w:val="center"/>
          </w:tcPr>
          <w:p w14:paraId="39CAC51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kern w:val="0"/>
                <w:sz w:val="32"/>
                <w:szCs w:val="32"/>
                <w:highlight w:val="none"/>
              </w:rPr>
            </w:pPr>
          </w:p>
        </w:tc>
      </w:tr>
      <w:tr w14:paraId="47900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553EAEA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vAlign w:val="center"/>
          </w:tcPr>
          <w:p w14:paraId="61A3B25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kern w:val="0"/>
                <w:sz w:val="32"/>
                <w:szCs w:val="32"/>
                <w:highlight w:val="none"/>
              </w:rPr>
            </w:pPr>
          </w:p>
        </w:tc>
        <w:tc>
          <w:tcPr>
            <w:tcW w:w="3546" w:type="dxa"/>
            <w:vAlign w:val="center"/>
          </w:tcPr>
          <w:p w14:paraId="3127E28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kern w:val="0"/>
                <w:sz w:val="32"/>
                <w:szCs w:val="32"/>
                <w:highlight w:val="none"/>
              </w:rPr>
            </w:pPr>
          </w:p>
        </w:tc>
        <w:tc>
          <w:tcPr>
            <w:tcW w:w="1276" w:type="dxa"/>
            <w:vAlign w:val="center"/>
          </w:tcPr>
          <w:p w14:paraId="6E5584A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kern w:val="0"/>
                <w:sz w:val="32"/>
                <w:szCs w:val="32"/>
                <w:highlight w:val="none"/>
              </w:rPr>
            </w:pPr>
          </w:p>
        </w:tc>
      </w:tr>
      <w:tr w14:paraId="353D2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65945D2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vAlign w:val="center"/>
          </w:tcPr>
          <w:p w14:paraId="3ACD2D7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kern w:val="0"/>
                <w:sz w:val="32"/>
                <w:szCs w:val="32"/>
                <w:highlight w:val="none"/>
              </w:rPr>
            </w:pPr>
          </w:p>
        </w:tc>
        <w:tc>
          <w:tcPr>
            <w:tcW w:w="3546" w:type="dxa"/>
            <w:vAlign w:val="center"/>
          </w:tcPr>
          <w:p w14:paraId="7CDEF95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kern w:val="0"/>
                <w:sz w:val="32"/>
                <w:szCs w:val="32"/>
                <w:highlight w:val="none"/>
              </w:rPr>
            </w:pPr>
          </w:p>
        </w:tc>
        <w:tc>
          <w:tcPr>
            <w:tcW w:w="1276" w:type="dxa"/>
            <w:vAlign w:val="center"/>
          </w:tcPr>
          <w:p w14:paraId="1B502CD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kern w:val="0"/>
                <w:sz w:val="32"/>
                <w:szCs w:val="32"/>
                <w:highlight w:val="none"/>
              </w:rPr>
            </w:pPr>
          </w:p>
        </w:tc>
      </w:tr>
    </w:tbl>
    <w:p w14:paraId="378C341D">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保证：除商务技术偏离表列出的偏离外，</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eastAsia="zh-CN"/>
        </w:rPr>
        <w:t>磋商</w:t>
      </w:r>
      <w:r>
        <w:rPr>
          <w:rFonts w:hint="eastAsia" w:ascii="宋体" w:hAnsi="宋体" w:eastAsia="宋体" w:cs="宋体"/>
          <w:color w:val="auto"/>
          <w:kern w:val="0"/>
          <w:sz w:val="24"/>
          <w:highlight w:val="none"/>
        </w:rPr>
        <w:t>文件的全部要求</w:t>
      </w:r>
    </w:p>
    <w:p w14:paraId="4D569ECE">
      <w:pPr>
        <w:autoSpaceDE w:val="0"/>
        <w:autoSpaceDN w:val="0"/>
        <w:spacing w:line="360" w:lineRule="auto"/>
        <w:rPr>
          <w:rFonts w:hint="eastAsia" w:ascii="宋体" w:hAnsi="宋体" w:eastAsia="宋体" w:cs="宋体"/>
          <w:color w:val="auto"/>
          <w:kern w:val="0"/>
          <w:sz w:val="24"/>
          <w:highlight w:val="none"/>
        </w:rPr>
      </w:pPr>
    </w:p>
    <w:p w14:paraId="24F45D97">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335F2ED3">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16941EF0">
      <w:pPr>
        <w:spacing w:line="360" w:lineRule="auto"/>
        <w:jc w:val="center"/>
        <w:rPr>
          <w:rFonts w:hint="eastAsia" w:ascii="宋体" w:hAnsi="宋体" w:eastAsia="宋体" w:cs="宋体"/>
          <w:b/>
          <w:bCs/>
          <w:color w:val="auto"/>
          <w:sz w:val="32"/>
          <w:szCs w:val="32"/>
          <w:highlight w:val="none"/>
        </w:rPr>
      </w:pPr>
    </w:p>
    <w:p w14:paraId="7F6C4ACE">
      <w:pPr>
        <w:tabs>
          <w:tab w:val="left" w:pos="2790"/>
          <w:tab w:val="left" w:pos="4230"/>
        </w:tabs>
        <w:autoSpaceDE w:val="0"/>
        <w:autoSpaceDN w:val="0"/>
        <w:spacing w:line="360" w:lineRule="auto"/>
        <w:ind w:right="1400"/>
        <w:jc w:val="center"/>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 xml:space="preserve">       </w:t>
      </w:r>
    </w:p>
    <w:p w14:paraId="2048E05D">
      <w:pP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38326506">
      <w:pPr>
        <w:snapToGrid w:val="0"/>
        <w:spacing w:line="360" w:lineRule="auto"/>
        <w:jc w:val="center"/>
        <w:outlineLvl w:val="0"/>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八、政府采购供应商廉洁自律承诺书</w:t>
      </w:r>
    </w:p>
    <w:p w14:paraId="1DDA3DD0">
      <w:pPr>
        <w:snapToGrid w:val="0"/>
        <w:spacing w:line="360" w:lineRule="auto"/>
        <w:rPr>
          <w:rFonts w:hint="eastAsia" w:ascii="宋体" w:hAnsi="宋体" w:eastAsia="宋体" w:cs="宋体"/>
          <w:color w:val="auto"/>
          <w:sz w:val="24"/>
          <w:highlight w:val="none"/>
        </w:rPr>
      </w:pPr>
    </w:p>
    <w:p w14:paraId="6F8229F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kern w:val="0"/>
          <w:sz w:val="24"/>
          <w:highlight w:val="none"/>
          <w:lang w:val="zh-CN"/>
        </w:rPr>
        <w:t>：</w:t>
      </w:r>
    </w:p>
    <w:p w14:paraId="06A1845A">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项目采购要求参加响应。在这次响应过程中和成交后，我们将严格遵守国家法律法规要求，并郑重承诺：</w:t>
      </w:r>
    </w:p>
    <w:p w14:paraId="7ACD319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74823FB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7D8E887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5B067A3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15F4246C">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70CEF030">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3DA96EE5">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5E8A2049">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209D6676">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有权立即取消我单位响应、成交或在建项目的建设资格，有权拒绝我单位在一定时期内进入你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5AFC2A45">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29934F4">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FBC9CD2">
      <w:pPr>
        <w:autoSpaceDE w:val="0"/>
        <w:autoSpaceDN w:val="0"/>
        <w:spacing w:line="360" w:lineRule="auto"/>
        <w:ind w:firstLine="5040" w:firstLineChars="21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lang w:val="zh-CN"/>
        </w:rPr>
        <w:t>名称（电子签名）：</w:t>
      </w:r>
    </w:p>
    <w:p w14:paraId="66B30E69">
      <w:pPr>
        <w:autoSpaceDE w:val="0"/>
        <w:autoSpaceDN w:val="0"/>
        <w:spacing w:line="360" w:lineRule="auto"/>
        <w:ind w:right="960"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6CE65C5">
      <w:pPr>
        <w:tabs>
          <w:tab w:val="left" w:pos="0"/>
        </w:tabs>
        <w:autoSpaceDE w:val="0"/>
        <w:autoSpaceDN w:val="0"/>
        <w:spacing w:line="360" w:lineRule="auto"/>
        <w:ind w:firstLine="2409" w:firstLineChars="800"/>
        <w:rPr>
          <w:rFonts w:hint="eastAsia" w:ascii="宋体" w:hAnsi="宋体" w:eastAsia="宋体" w:cs="宋体"/>
          <w:b/>
          <w:bCs/>
          <w:color w:val="auto"/>
          <w:sz w:val="30"/>
          <w:szCs w:val="30"/>
          <w:highlight w:val="none"/>
        </w:rPr>
      </w:pPr>
    </w:p>
    <w:p w14:paraId="067967E3">
      <w:pPr>
        <w:tabs>
          <w:tab w:val="left" w:pos="0"/>
        </w:tabs>
        <w:autoSpaceDE w:val="0"/>
        <w:autoSpaceDN w:val="0"/>
        <w:spacing w:line="360" w:lineRule="auto"/>
        <w:ind w:firstLine="2409" w:firstLineChars="800"/>
        <w:rPr>
          <w:rFonts w:hint="eastAsia" w:ascii="宋体" w:hAnsi="宋体" w:eastAsia="宋体" w:cs="宋体"/>
          <w:b/>
          <w:bCs/>
          <w:color w:val="auto"/>
          <w:sz w:val="30"/>
          <w:szCs w:val="30"/>
          <w:highlight w:val="none"/>
        </w:rPr>
      </w:pPr>
    </w:p>
    <w:p w14:paraId="431ABBA0">
      <w:pPr>
        <w:tabs>
          <w:tab w:val="left" w:pos="0"/>
        </w:tabs>
        <w:autoSpaceDE w:val="0"/>
        <w:autoSpaceDN w:val="0"/>
        <w:spacing w:line="360" w:lineRule="auto"/>
        <w:jc w:val="center"/>
        <w:rPr>
          <w:rFonts w:hint="eastAsia" w:ascii="宋体" w:hAnsi="宋体" w:eastAsia="宋体" w:cs="宋体"/>
          <w:b/>
          <w:bCs/>
          <w:color w:val="auto"/>
          <w:sz w:val="30"/>
          <w:szCs w:val="30"/>
          <w:highlight w:val="none"/>
        </w:rPr>
      </w:pPr>
    </w:p>
    <w:p w14:paraId="0B0EE5CA">
      <w:pPr>
        <w:widowControl/>
        <w:adjustRightInd/>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42223932">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0679C907">
      <w:pPr>
        <w:bidi w:val="0"/>
        <w:jc w:val="center"/>
        <w:rPr>
          <w:rFonts w:hint="eastAsia" w:ascii="宋体" w:hAnsi="宋体" w:eastAsia="宋体" w:cs="宋体"/>
          <w:b/>
          <w:bCs/>
          <w:color w:val="auto"/>
          <w:sz w:val="28"/>
          <w:szCs w:val="28"/>
          <w:highlight w:val="none"/>
        </w:rPr>
      </w:pPr>
    </w:p>
    <w:p w14:paraId="1353695D">
      <w:pPr>
        <w:bidi w:val="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目录</w:t>
      </w:r>
    </w:p>
    <w:p w14:paraId="017E289D">
      <w:pPr>
        <w:bidi w:val="0"/>
        <w:rPr>
          <w:rFonts w:hint="eastAsia" w:ascii="宋体" w:hAnsi="宋体" w:eastAsia="宋体" w:cs="宋体"/>
          <w:color w:val="auto"/>
          <w:highlight w:val="none"/>
        </w:rPr>
      </w:pPr>
    </w:p>
    <w:p w14:paraId="315468C9">
      <w:pPr>
        <w:numPr>
          <w:ilvl w:val="0"/>
          <w:numId w:val="32"/>
        </w:numPr>
        <w:snapToGrid w:val="0"/>
        <w:spacing w:line="360" w:lineRule="auto"/>
        <w:ind w:left="425" w:leftChars="0" w:hanging="5"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初始报价一览表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p>
    <w:p w14:paraId="605A137D">
      <w:pPr>
        <w:numPr>
          <w:ilvl w:val="0"/>
          <w:numId w:val="32"/>
        </w:numPr>
        <w:snapToGrid w:val="0"/>
        <w:spacing w:line="360" w:lineRule="auto"/>
        <w:ind w:left="425" w:leftChars="0" w:hanging="5"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中小企业声明函………………………………………………………………（页码）</w:t>
      </w:r>
    </w:p>
    <w:p w14:paraId="107E2405">
      <w:pPr>
        <w:snapToGrid w:val="0"/>
        <w:spacing w:line="360" w:lineRule="auto"/>
        <w:ind w:right="480"/>
        <w:jc w:val="center"/>
        <w:rPr>
          <w:rFonts w:hint="eastAsia" w:ascii="宋体" w:hAnsi="宋体" w:eastAsia="宋体" w:cs="宋体"/>
          <w:b/>
          <w:color w:val="auto"/>
          <w:kern w:val="0"/>
          <w:sz w:val="32"/>
          <w:szCs w:val="32"/>
          <w:highlight w:val="none"/>
        </w:rPr>
      </w:pPr>
    </w:p>
    <w:p w14:paraId="77194D2B">
      <w:pPr>
        <w:snapToGrid w:val="0"/>
        <w:spacing w:line="360" w:lineRule="auto"/>
        <w:jc w:val="center"/>
        <w:outlineLvl w:val="0"/>
        <w:rPr>
          <w:rFonts w:hint="eastAsia" w:ascii="宋体" w:hAnsi="宋体" w:eastAsia="宋体" w:cs="宋体"/>
          <w:b/>
          <w:color w:val="auto"/>
          <w:sz w:val="36"/>
          <w:szCs w:val="36"/>
          <w:highlight w:val="none"/>
        </w:rPr>
        <w:sectPr>
          <w:footerReference r:id="rId7" w:type="first"/>
          <w:footerReference r:id="rId6" w:type="default"/>
          <w:pgSz w:w="11906" w:h="16838"/>
          <w:pgMar w:top="1174" w:right="1418" w:bottom="1151" w:left="1418" w:header="851" w:footer="992" w:gutter="0"/>
          <w:pgBorders>
            <w:top w:val="none" w:sz="0" w:space="0"/>
            <w:left w:val="none" w:sz="0" w:space="0"/>
            <w:bottom w:val="none" w:sz="0" w:space="0"/>
            <w:right w:val="none" w:sz="0" w:space="0"/>
          </w:pgBorders>
          <w:pgNumType w:fmt="decimal" w:start="1"/>
          <w:cols w:space="0" w:num="1"/>
          <w:titlePg/>
          <w:rtlGutter w:val="0"/>
          <w:docGrid w:linePitch="312" w:charSpace="0"/>
        </w:sectPr>
      </w:pPr>
      <w:r>
        <w:rPr>
          <w:rFonts w:hint="eastAsia" w:ascii="宋体" w:hAnsi="宋体" w:eastAsia="宋体" w:cs="宋体"/>
          <w:b/>
          <w:color w:val="auto"/>
          <w:sz w:val="36"/>
          <w:szCs w:val="36"/>
          <w:highlight w:val="none"/>
        </w:rPr>
        <w:br w:type="page"/>
      </w:r>
    </w:p>
    <w:p w14:paraId="442FCF5B">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一、</w:t>
      </w:r>
      <w:r>
        <w:rPr>
          <w:rFonts w:hint="eastAsia" w:ascii="宋体" w:hAnsi="宋体" w:eastAsia="宋体" w:cs="宋体"/>
          <w:b/>
          <w:color w:val="auto"/>
          <w:kern w:val="0"/>
          <w:sz w:val="32"/>
          <w:szCs w:val="32"/>
          <w:highlight w:val="none"/>
          <w:lang w:eastAsia="zh-CN"/>
        </w:rPr>
        <w:t>初始报价一览表</w:t>
      </w:r>
    </w:p>
    <w:p w14:paraId="10680D2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kern w:val="0"/>
          <w:sz w:val="24"/>
          <w:highlight w:val="none"/>
          <w:lang w:val="zh-CN"/>
        </w:rPr>
        <w:t>：</w:t>
      </w:r>
    </w:p>
    <w:p w14:paraId="1152B637">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按你方磋商文件要求，我们，本响应文件签字方，谨此向你方发出要约如下：如你方接受本响应，我方承诺按照如下初始报价一览表的价格完成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w:t>
      </w:r>
      <w:r>
        <w:rPr>
          <w:rFonts w:hint="eastAsia" w:ascii="宋体" w:hAnsi="宋体" w:cs="宋体"/>
          <w:color w:val="auto"/>
          <w:kern w:val="0"/>
          <w:sz w:val="24"/>
          <w:highlight w:val="none"/>
          <w:lang w:val="zh-CN"/>
        </w:rPr>
        <w:t>项目</w:t>
      </w:r>
      <w:r>
        <w:rPr>
          <w:rFonts w:hint="eastAsia" w:ascii="宋体" w:hAnsi="宋体" w:eastAsia="宋体" w:cs="宋体"/>
          <w:color w:val="auto"/>
          <w:kern w:val="0"/>
          <w:sz w:val="24"/>
          <w:highlight w:val="none"/>
          <w:lang w:val="zh-CN"/>
        </w:rPr>
        <w:t>编号：</w:t>
      </w:r>
      <w:r>
        <w:rPr>
          <w:rFonts w:hint="eastAsia" w:ascii="宋体" w:hAnsi="宋体" w:eastAsia="宋体" w:cs="宋体"/>
          <w:color w:val="auto"/>
          <w:sz w:val="24"/>
          <w:highlight w:val="none"/>
        </w:rPr>
        <w:t>ZJ-2422293】的实施</w:t>
      </w:r>
      <w:r>
        <w:rPr>
          <w:rFonts w:hint="eastAsia" w:ascii="宋体" w:hAnsi="宋体" w:eastAsia="宋体" w:cs="宋体"/>
          <w:color w:val="auto"/>
          <w:kern w:val="0"/>
          <w:sz w:val="24"/>
          <w:highlight w:val="none"/>
          <w:lang w:val="zh-CN"/>
        </w:rPr>
        <w:t>。</w:t>
      </w:r>
    </w:p>
    <w:p w14:paraId="096E0439">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初始报价一览表(单位均为人民币元)</w:t>
      </w:r>
    </w:p>
    <w:tbl>
      <w:tblPr>
        <w:tblStyle w:val="60"/>
        <w:tblW w:w="93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945"/>
        <w:gridCol w:w="1650"/>
        <w:gridCol w:w="1020"/>
        <w:gridCol w:w="770"/>
        <w:gridCol w:w="850"/>
        <w:gridCol w:w="770"/>
        <w:gridCol w:w="1770"/>
      </w:tblGrid>
      <w:tr w14:paraId="4C4F0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534" w:type="dxa"/>
            <w:vAlign w:val="center"/>
          </w:tcPr>
          <w:p w14:paraId="4A9EB45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945" w:type="dxa"/>
            <w:vAlign w:val="center"/>
          </w:tcPr>
          <w:p w14:paraId="1DD6ACC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服务内容</w:t>
            </w:r>
          </w:p>
        </w:tc>
        <w:tc>
          <w:tcPr>
            <w:tcW w:w="1650" w:type="dxa"/>
            <w:vAlign w:val="center"/>
          </w:tcPr>
          <w:p w14:paraId="1E7D4FC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服务人员数量</w:t>
            </w:r>
          </w:p>
        </w:tc>
        <w:tc>
          <w:tcPr>
            <w:tcW w:w="1020" w:type="dxa"/>
            <w:vAlign w:val="center"/>
          </w:tcPr>
          <w:p w14:paraId="5121812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工作量</w:t>
            </w:r>
          </w:p>
        </w:tc>
        <w:tc>
          <w:tcPr>
            <w:tcW w:w="770" w:type="dxa"/>
            <w:vAlign w:val="center"/>
          </w:tcPr>
          <w:p w14:paraId="05556B2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850" w:type="dxa"/>
            <w:vAlign w:val="center"/>
          </w:tcPr>
          <w:p w14:paraId="1E83D99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单价</w:t>
            </w:r>
          </w:p>
        </w:tc>
        <w:tc>
          <w:tcPr>
            <w:tcW w:w="770" w:type="dxa"/>
            <w:vAlign w:val="center"/>
          </w:tcPr>
          <w:p w14:paraId="2A4CD2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合计</w:t>
            </w:r>
          </w:p>
        </w:tc>
        <w:tc>
          <w:tcPr>
            <w:tcW w:w="1770" w:type="dxa"/>
            <w:vAlign w:val="center"/>
          </w:tcPr>
          <w:p w14:paraId="492F787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rPr>
            </w:pPr>
          </w:p>
          <w:p w14:paraId="2A73B6F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3EE07D8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rPr>
            </w:pPr>
          </w:p>
        </w:tc>
      </w:tr>
      <w:tr w14:paraId="12DB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3EC7689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945" w:type="dxa"/>
            <w:vAlign w:val="center"/>
          </w:tcPr>
          <w:p w14:paraId="792E79B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1650" w:type="dxa"/>
            <w:vAlign w:val="center"/>
          </w:tcPr>
          <w:p w14:paraId="588EA35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1020" w:type="dxa"/>
            <w:vAlign w:val="center"/>
          </w:tcPr>
          <w:p w14:paraId="0B8F43C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770" w:type="dxa"/>
            <w:vAlign w:val="center"/>
          </w:tcPr>
          <w:p w14:paraId="20AC5DA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850" w:type="dxa"/>
            <w:vAlign w:val="center"/>
          </w:tcPr>
          <w:p w14:paraId="68E3DEB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770" w:type="dxa"/>
            <w:vAlign w:val="center"/>
          </w:tcPr>
          <w:p w14:paraId="1CF57DB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1770" w:type="dxa"/>
            <w:vAlign w:val="center"/>
          </w:tcPr>
          <w:p w14:paraId="16B996A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r>
      <w:tr w14:paraId="31907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2FF9B24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945" w:type="dxa"/>
            <w:vAlign w:val="center"/>
          </w:tcPr>
          <w:p w14:paraId="3F369CE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1650" w:type="dxa"/>
            <w:vAlign w:val="center"/>
          </w:tcPr>
          <w:p w14:paraId="5B07E07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1020" w:type="dxa"/>
            <w:vAlign w:val="center"/>
          </w:tcPr>
          <w:p w14:paraId="221D8F5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770" w:type="dxa"/>
            <w:vAlign w:val="center"/>
          </w:tcPr>
          <w:p w14:paraId="484AAE8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850" w:type="dxa"/>
            <w:vAlign w:val="center"/>
          </w:tcPr>
          <w:p w14:paraId="5D725B2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770" w:type="dxa"/>
            <w:vAlign w:val="center"/>
          </w:tcPr>
          <w:p w14:paraId="6D8761F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1770" w:type="dxa"/>
            <w:vAlign w:val="center"/>
          </w:tcPr>
          <w:p w14:paraId="44BBEB3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r>
      <w:tr w14:paraId="0376E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4A392F9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945" w:type="dxa"/>
            <w:vAlign w:val="center"/>
          </w:tcPr>
          <w:p w14:paraId="612019B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1650" w:type="dxa"/>
            <w:vAlign w:val="center"/>
          </w:tcPr>
          <w:p w14:paraId="25BC89F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1020" w:type="dxa"/>
            <w:vAlign w:val="center"/>
          </w:tcPr>
          <w:p w14:paraId="6DC50E5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770" w:type="dxa"/>
            <w:vAlign w:val="center"/>
          </w:tcPr>
          <w:p w14:paraId="421C0C9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850" w:type="dxa"/>
            <w:vAlign w:val="center"/>
          </w:tcPr>
          <w:p w14:paraId="338CE6B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770" w:type="dxa"/>
            <w:vAlign w:val="center"/>
          </w:tcPr>
          <w:p w14:paraId="20A2C2A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1770" w:type="dxa"/>
            <w:vAlign w:val="center"/>
          </w:tcPr>
          <w:p w14:paraId="6B8C0BE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r>
      <w:tr w14:paraId="29549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67F4749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1945" w:type="dxa"/>
            <w:vAlign w:val="center"/>
          </w:tcPr>
          <w:p w14:paraId="007119E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1650" w:type="dxa"/>
            <w:vAlign w:val="center"/>
          </w:tcPr>
          <w:p w14:paraId="2EF846F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1020" w:type="dxa"/>
            <w:vAlign w:val="center"/>
          </w:tcPr>
          <w:p w14:paraId="624C2A7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770" w:type="dxa"/>
            <w:vAlign w:val="center"/>
          </w:tcPr>
          <w:p w14:paraId="457E3E8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850" w:type="dxa"/>
            <w:vAlign w:val="center"/>
          </w:tcPr>
          <w:p w14:paraId="603F515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770" w:type="dxa"/>
            <w:vAlign w:val="center"/>
          </w:tcPr>
          <w:p w14:paraId="011AA46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1770" w:type="dxa"/>
            <w:vAlign w:val="center"/>
          </w:tcPr>
          <w:p w14:paraId="6A7D0EC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r>
      <w:tr w14:paraId="6696E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0FB218D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1945" w:type="dxa"/>
            <w:vAlign w:val="center"/>
          </w:tcPr>
          <w:p w14:paraId="4A5D345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1650" w:type="dxa"/>
            <w:vAlign w:val="center"/>
          </w:tcPr>
          <w:p w14:paraId="4DDB8A5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1020" w:type="dxa"/>
            <w:vAlign w:val="center"/>
          </w:tcPr>
          <w:p w14:paraId="76A83FD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770" w:type="dxa"/>
            <w:vAlign w:val="center"/>
          </w:tcPr>
          <w:p w14:paraId="5391491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850" w:type="dxa"/>
            <w:vAlign w:val="center"/>
          </w:tcPr>
          <w:p w14:paraId="537BB08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770" w:type="dxa"/>
            <w:vAlign w:val="center"/>
          </w:tcPr>
          <w:p w14:paraId="77CFD47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1770" w:type="dxa"/>
            <w:vAlign w:val="center"/>
          </w:tcPr>
          <w:p w14:paraId="2857F33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r>
      <w:tr w14:paraId="57003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479" w:type="dxa"/>
            <w:gridSpan w:val="2"/>
            <w:vAlign w:val="center"/>
          </w:tcPr>
          <w:p w14:paraId="7EF1803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初始</w:t>
            </w:r>
            <w:r>
              <w:rPr>
                <w:rFonts w:hint="eastAsia" w:ascii="宋体" w:hAnsi="宋体" w:eastAsia="宋体" w:cs="宋体"/>
                <w:b/>
                <w:color w:val="auto"/>
                <w:sz w:val="24"/>
                <w:highlight w:val="none"/>
              </w:rPr>
              <w:t>报价（小写）</w:t>
            </w:r>
          </w:p>
        </w:tc>
        <w:tc>
          <w:tcPr>
            <w:tcW w:w="6830" w:type="dxa"/>
            <w:gridSpan w:val="6"/>
            <w:vAlign w:val="center"/>
          </w:tcPr>
          <w:p w14:paraId="2D6554D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r>
      <w:tr w14:paraId="6B38B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479" w:type="dxa"/>
            <w:gridSpan w:val="2"/>
            <w:vAlign w:val="center"/>
          </w:tcPr>
          <w:p w14:paraId="4F27974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初始</w:t>
            </w:r>
            <w:r>
              <w:rPr>
                <w:rFonts w:hint="eastAsia" w:ascii="宋体" w:hAnsi="宋体" w:eastAsia="宋体" w:cs="宋体"/>
                <w:b/>
                <w:color w:val="auto"/>
                <w:sz w:val="24"/>
                <w:highlight w:val="none"/>
              </w:rPr>
              <w:t>报价（大写）</w:t>
            </w:r>
          </w:p>
        </w:tc>
        <w:tc>
          <w:tcPr>
            <w:tcW w:w="6830" w:type="dxa"/>
            <w:gridSpan w:val="6"/>
            <w:vAlign w:val="center"/>
          </w:tcPr>
          <w:p w14:paraId="29E81C5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r>
    </w:tbl>
    <w:p w14:paraId="39F43059">
      <w:pPr>
        <w:keepNext w:val="0"/>
        <w:keepLines w:val="0"/>
        <w:pageBreakBefore w:val="0"/>
        <w:widowControl w:val="0"/>
        <w:kinsoku/>
        <w:wordWrap/>
        <w:overflowPunct/>
        <w:topLinePunct w:val="0"/>
        <w:autoSpaceDE/>
        <w:autoSpaceDN/>
        <w:bidi w:val="0"/>
        <w:adjustRightInd w:val="0"/>
        <w:snapToGrid w:val="0"/>
        <w:spacing w:line="360" w:lineRule="auto"/>
        <w:ind w:left="480"/>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注：</w:t>
      </w:r>
    </w:p>
    <w:p w14:paraId="311D1990">
      <w:pPr>
        <w:keepNext w:val="0"/>
        <w:keepLines w:val="0"/>
        <w:pageBreakBefore w:val="0"/>
        <w:widowControl w:val="0"/>
        <w:kinsoku/>
        <w:wordWrap/>
        <w:overflowPunct/>
        <w:topLinePunct w:val="0"/>
        <w:autoSpaceDE/>
        <w:autoSpaceDN/>
        <w:bidi w:val="0"/>
        <w:adjustRightInd w:val="0"/>
        <w:snapToGrid w:val="0"/>
        <w:spacing w:line="360" w:lineRule="auto"/>
        <w:ind w:left="-2" w:leftChars="-1"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1、供应商需按本表格式填写，</w:t>
      </w:r>
      <w:r>
        <w:rPr>
          <w:rFonts w:hint="eastAsia" w:ascii="宋体" w:hAnsi="宋体" w:eastAsia="宋体" w:cs="宋体"/>
          <w:b/>
          <w:bCs/>
          <w:color w:val="auto"/>
          <w:kern w:val="0"/>
          <w:sz w:val="21"/>
          <w:szCs w:val="21"/>
          <w:highlight w:val="none"/>
          <w:lang w:val="zh-CN"/>
        </w:rPr>
        <w:t>否则视为响应文件含有采购人不能接受的附加条件，响应无效。</w:t>
      </w:r>
    </w:p>
    <w:p w14:paraId="35B28E3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kern w:val="0"/>
          <w:sz w:val="21"/>
          <w:szCs w:val="21"/>
          <w:highlight w:val="none"/>
          <w:lang w:val="zh-CN"/>
        </w:rPr>
      </w:pPr>
      <w:r>
        <w:rPr>
          <w:rFonts w:hint="eastAsia" w:ascii="宋体" w:hAnsi="宋体" w:eastAsia="宋体" w:cs="宋体"/>
          <w:color w:val="auto"/>
          <w:kern w:val="0"/>
          <w:sz w:val="21"/>
          <w:szCs w:val="21"/>
          <w:highlight w:val="none"/>
          <w:lang w:val="zh-CN"/>
        </w:rPr>
        <w:t>2、有关本项目实施所涉及的一切费用均计入报价。</w:t>
      </w:r>
      <w:r>
        <w:rPr>
          <w:rFonts w:hint="eastAsia" w:ascii="宋体" w:hAnsi="宋体" w:eastAsia="宋体" w:cs="宋体"/>
          <w:b w:val="0"/>
          <w:bCs w:val="0"/>
          <w:color w:val="auto"/>
          <w:kern w:val="0"/>
          <w:sz w:val="21"/>
          <w:szCs w:val="21"/>
          <w:highlight w:val="none"/>
          <w:lang w:val="zh-CN"/>
        </w:rPr>
        <w:t>合同总价不为零，报价明细表中部分产品、服务单价为零的，视作已包含在总价中。采购人将以合同形式有偿取得货物或服务，不接受供应商给予的赠品、回扣或者与采购无关的其他商品、服务；采购内容未包含在《报价一览表》名称栏中，供应商不能作出合理解释的，视为响应文件含有采购人不能接受的附加条件的，响应无效。</w:t>
      </w:r>
    </w:p>
    <w:p w14:paraId="434EB97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kern w:val="0"/>
          <w:sz w:val="21"/>
          <w:szCs w:val="21"/>
          <w:highlight w:val="none"/>
          <w:lang w:val="zh-CN"/>
        </w:rPr>
      </w:pPr>
      <w:r>
        <w:rPr>
          <w:rFonts w:hint="eastAsia" w:ascii="宋体" w:hAnsi="宋体" w:eastAsia="宋体" w:cs="宋体"/>
          <w:b w:val="0"/>
          <w:bCs w:val="0"/>
          <w:color w:val="auto"/>
          <w:kern w:val="0"/>
          <w:sz w:val="21"/>
          <w:szCs w:val="21"/>
          <w:highlight w:val="none"/>
          <w:lang w:val="zh-CN"/>
        </w:rPr>
        <w:t>3、报价低于项目预算50%的，应当在报价文件中详细阐述不影响产品质量或者诚信履约的具体原因。</w:t>
      </w:r>
    </w:p>
    <w:p w14:paraId="697BBE6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zh-CN"/>
        </w:rPr>
        <w:t>、特别提示：采购代理机构将对项目名称和项目编号，成交供应商名称、地址和成交金额，主要成交标的名称、服务范围、服务要求、服务时间、服务标准等予以公示。</w:t>
      </w:r>
    </w:p>
    <w:p w14:paraId="59A503C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A2F1B02">
      <w:pPr>
        <w:pStyle w:val="59"/>
        <w:rPr>
          <w:rFonts w:hint="eastAsia" w:ascii="宋体" w:hAnsi="宋体" w:eastAsia="宋体" w:cs="宋体"/>
          <w:color w:val="auto"/>
          <w:highlight w:val="none"/>
          <w:lang w:val="zh-CN"/>
        </w:rPr>
      </w:pPr>
    </w:p>
    <w:p w14:paraId="0DEF7405">
      <w:pPr>
        <w:spacing w:line="360" w:lineRule="auto"/>
        <w:ind w:right="-874" w:rightChars="-416" w:firstLine="5280" w:firstLineChars="2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3BCE7E88">
      <w:pPr>
        <w:autoSpaceDE w:val="0"/>
        <w:autoSpaceDN w:val="0"/>
        <w:spacing w:line="360" w:lineRule="auto"/>
        <w:ind w:left="5040"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2CE42FBC">
      <w:pPr>
        <w:pStyle w:val="59"/>
        <w:rPr>
          <w:rFonts w:hint="eastAsia" w:ascii="宋体" w:hAnsi="宋体" w:eastAsia="宋体" w:cs="宋体"/>
          <w:color w:val="auto"/>
          <w:highlight w:val="none"/>
        </w:rPr>
        <w:sectPr>
          <w:pgSz w:w="11906" w:h="16838"/>
          <w:pgMar w:top="1174" w:right="1417" w:bottom="1151" w:left="141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79DB097D">
      <w:pPr>
        <w:snapToGrid w:val="0"/>
        <w:spacing w:line="360" w:lineRule="auto"/>
        <w:jc w:val="center"/>
        <w:outlineLvl w:val="0"/>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二、中小企业声明函</w:t>
      </w:r>
      <w:r>
        <w:rPr>
          <w:rFonts w:hint="eastAsia" w:ascii="宋体" w:hAnsi="宋体" w:eastAsia="宋体" w:cs="宋体"/>
          <w:b/>
          <w:color w:val="auto"/>
          <w:kern w:val="0"/>
          <w:sz w:val="32"/>
          <w:szCs w:val="32"/>
          <w:highlight w:val="none"/>
          <w:lang w:eastAsia="zh-CN"/>
        </w:rPr>
        <w:t>（如果有）</w:t>
      </w:r>
    </w:p>
    <w:p w14:paraId="4E9930B2">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竞争性磋商邀请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eastAsia="宋体" w:cs="宋体"/>
          <w:b/>
          <w:color w:val="auto"/>
          <w:sz w:val="24"/>
          <w:highlight w:val="none"/>
          <w:lang w:val="en-US" w:eastAsia="zh-CN"/>
        </w:rPr>
        <w:t>7</w:t>
      </w:r>
      <w:r>
        <w:rPr>
          <w:rFonts w:hint="eastAsia" w:ascii="宋体" w:hAnsi="宋体" w:eastAsia="宋体" w:cs="宋体"/>
          <w:b/>
          <w:color w:val="auto"/>
          <w:sz w:val="24"/>
          <w:highlight w:val="none"/>
        </w:rPr>
        <w:t>）。]</w:t>
      </w:r>
    </w:p>
    <w:p w14:paraId="28124C5A">
      <w:pPr>
        <w:rPr>
          <w:rFonts w:hint="eastAsia" w:ascii="宋体" w:hAnsi="宋体" w:eastAsia="宋体" w:cs="宋体"/>
          <w:color w:val="auto"/>
          <w:highlight w:val="none"/>
        </w:rPr>
      </w:pPr>
    </w:p>
    <w:p w14:paraId="0313D0C0">
      <w:pPr>
        <w:pStyle w:val="22"/>
        <w:rPr>
          <w:rFonts w:hint="eastAsia" w:ascii="宋体" w:hAnsi="宋体" w:eastAsia="宋体" w:cs="宋体"/>
          <w:color w:val="auto"/>
          <w:highlight w:val="none"/>
        </w:rPr>
      </w:pPr>
    </w:p>
    <w:p w14:paraId="2E1B8725">
      <w:pPr>
        <w:pStyle w:val="22"/>
        <w:rPr>
          <w:rFonts w:hint="eastAsia" w:ascii="宋体" w:hAnsi="宋体" w:eastAsia="宋体" w:cs="宋体"/>
          <w:color w:val="auto"/>
          <w:highlight w:val="none"/>
        </w:rPr>
      </w:pPr>
    </w:p>
    <w:p w14:paraId="1C216C2E">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7FD47F59">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w:t>
      </w:r>
    </w:p>
    <w:p w14:paraId="23DA223B">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1</w:t>
      </w:r>
      <w:r>
        <w:rPr>
          <w:rFonts w:hint="eastAsia" w:ascii="宋体" w:hAnsi="宋体" w:eastAsia="宋体" w:cs="宋体"/>
          <w:b/>
          <w:color w:val="auto"/>
          <w:spacing w:val="6"/>
          <w:sz w:val="32"/>
          <w:szCs w:val="32"/>
          <w:highlight w:val="none"/>
        </w:rPr>
        <w:t>：质疑函范本及制作说明</w:t>
      </w:r>
    </w:p>
    <w:p w14:paraId="33359F18">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45F32FA3">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0C13ACF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212F9C9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3D19C12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FC7F9E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01ED3D9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2FDCEE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22D1E7A">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43B3627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7D101D2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0FA4BAA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64A5185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17785E57">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2ED71F2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03BDE29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6961635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1ECBBB1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0BA3430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F6C593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6C34DE6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6F8C55D">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18A1B3A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756228AC">
      <w:pPr>
        <w:spacing w:line="360" w:lineRule="auto"/>
        <w:rPr>
          <w:rFonts w:hint="eastAsia" w:ascii="宋体" w:hAnsi="宋体" w:eastAsia="宋体" w:cs="宋体"/>
          <w:color w:val="auto"/>
          <w:sz w:val="24"/>
          <w:highlight w:val="none"/>
        </w:rPr>
      </w:pPr>
    </w:p>
    <w:p w14:paraId="26A1CF0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137D822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261368E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45BFB95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7399976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5000E8F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30512A5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7785918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4DA7AFE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1E9BB8E">
      <w:pPr>
        <w:widowControl/>
        <w:spacing w:line="360" w:lineRule="auto"/>
        <w:ind w:firstLine="600" w:firstLineChars="200"/>
        <w:jc w:val="left"/>
        <w:rPr>
          <w:rFonts w:hint="eastAsia" w:ascii="宋体" w:hAnsi="宋体" w:eastAsia="宋体" w:cs="宋体"/>
          <w:color w:val="auto"/>
          <w:sz w:val="30"/>
          <w:szCs w:val="30"/>
          <w:highlight w:val="none"/>
        </w:rPr>
      </w:pPr>
    </w:p>
    <w:p w14:paraId="2DB94796">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2</w:t>
      </w:r>
      <w:r>
        <w:rPr>
          <w:rFonts w:hint="eastAsia" w:ascii="宋体" w:hAnsi="宋体" w:eastAsia="宋体" w:cs="宋体"/>
          <w:b/>
          <w:color w:val="auto"/>
          <w:spacing w:val="6"/>
          <w:sz w:val="32"/>
          <w:szCs w:val="32"/>
          <w:highlight w:val="none"/>
        </w:rPr>
        <w:t>：投诉书范本及制作说明</w:t>
      </w:r>
    </w:p>
    <w:p w14:paraId="0A4ADB25">
      <w:pPr>
        <w:spacing w:line="360" w:lineRule="auto"/>
        <w:jc w:val="center"/>
        <w:rPr>
          <w:rFonts w:hint="eastAsia" w:ascii="宋体" w:hAnsi="宋体" w:eastAsia="宋体" w:cs="宋体"/>
          <w:b/>
          <w:color w:val="auto"/>
          <w:sz w:val="24"/>
          <w:highlight w:val="none"/>
        </w:rPr>
      </w:pPr>
    </w:p>
    <w:p w14:paraId="4DD3925B">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4720091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6AFB854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7E2C351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F8F369B">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268A11B">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AD74D2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FFA222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2761B5C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CA9813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A7C034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70B918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2353058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6FDF56D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B976FC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B11566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59D695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31914D4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5785C1C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7104ADE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60C125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6CC0C02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66CF4D3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51C22C8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26FF859A">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48CFFA5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7067C09">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7254CE1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551A2A6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1DA9973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0078566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720463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03D77C3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865E05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0E7EB05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30058F8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7396035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800159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6CC182A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68CA2B7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09218FA3">
      <w:pPr>
        <w:spacing w:line="360" w:lineRule="auto"/>
        <w:rPr>
          <w:rFonts w:hint="eastAsia" w:ascii="宋体" w:hAnsi="宋体" w:eastAsia="宋体" w:cs="宋体"/>
          <w:b/>
          <w:color w:val="auto"/>
          <w:sz w:val="24"/>
          <w:highlight w:val="none"/>
        </w:rPr>
      </w:pPr>
    </w:p>
    <w:p w14:paraId="2659E7B9">
      <w:pPr>
        <w:spacing w:line="360" w:lineRule="auto"/>
        <w:rPr>
          <w:rFonts w:hint="eastAsia" w:ascii="宋体" w:hAnsi="宋体" w:eastAsia="宋体" w:cs="宋体"/>
          <w:b/>
          <w:color w:val="auto"/>
          <w:sz w:val="24"/>
          <w:highlight w:val="none"/>
        </w:rPr>
      </w:pPr>
    </w:p>
    <w:p w14:paraId="514AC15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033C3211">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051DEF82">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375D81B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2DF532F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458DE61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5A89407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6D025E90">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D42496E">
      <w:pPr>
        <w:rPr>
          <w:rFonts w:hint="eastAsia" w:ascii="宋体" w:hAnsi="宋体" w:eastAsia="宋体" w:cs="宋体"/>
          <w:b/>
          <w:color w:val="auto"/>
          <w:sz w:val="24"/>
          <w:highlight w:val="none"/>
        </w:rPr>
      </w:pPr>
    </w:p>
    <w:p w14:paraId="6787AADA">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2DAED54B">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3</w:t>
      </w:r>
      <w:r>
        <w:rPr>
          <w:rFonts w:hint="eastAsia" w:ascii="宋体" w:hAnsi="宋体" w:eastAsia="宋体" w:cs="宋体"/>
          <w:b/>
          <w:color w:val="auto"/>
          <w:spacing w:val="6"/>
          <w:sz w:val="32"/>
          <w:szCs w:val="32"/>
          <w:highlight w:val="none"/>
        </w:rPr>
        <w:t>：</w:t>
      </w:r>
    </w:p>
    <w:p w14:paraId="2C369CBA">
      <w:pPr>
        <w:spacing w:line="360" w:lineRule="auto"/>
        <w:jc w:val="center"/>
        <w:rPr>
          <w:rFonts w:hint="eastAsia" w:ascii="宋体" w:hAnsi="宋体" w:eastAsia="宋体" w:cs="宋体"/>
          <w:b/>
          <w:color w:val="auto"/>
          <w:spacing w:val="6"/>
          <w:sz w:val="32"/>
          <w:szCs w:val="32"/>
          <w:highlight w:val="none"/>
        </w:rPr>
      </w:pPr>
      <w:bookmarkStart w:id="113" w:name="OLE_LINK14"/>
      <w:bookmarkStart w:id="114" w:name="OLE_LINK13"/>
      <w:r>
        <w:rPr>
          <w:rFonts w:hint="eastAsia" w:ascii="宋体" w:hAnsi="宋体" w:eastAsia="宋体" w:cs="宋体"/>
          <w:b/>
          <w:color w:val="auto"/>
          <w:spacing w:val="6"/>
          <w:sz w:val="32"/>
          <w:szCs w:val="32"/>
          <w:highlight w:val="none"/>
        </w:rPr>
        <w:t>残疾人福利性单位声明函</w:t>
      </w:r>
    </w:p>
    <w:bookmarkEnd w:id="113"/>
    <w:bookmarkEnd w:id="114"/>
    <w:p w14:paraId="3036C48D">
      <w:pPr>
        <w:spacing w:line="360" w:lineRule="auto"/>
        <w:rPr>
          <w:rFonts w:hint="eastAsia" w:ascii="宋体" w:hAnsi="宋体" w:eastAsia="宋体" w:cs="宋体"/>
          <w:b/>
          <w:color w:val="auto"/>
          <w:spacing w:val="6"/>
          <w:sz w:val="30"/>
          <w:szCs w:val="30"/>
          <w:highlight w:val="none"/>
        </w:rPr>
      </w:pPr>
    </w:p>
    <w:p w14:paraId="35DDE86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1743F9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64CEA44C">
      <w:pPr>
        <w:spacing w:line="360" w:lineRule="auto"/>
        <w:ind w:firstLine="480" w:firstLineChars="200"/>
        <w:rPr>
          <w:rFonts w:hint="eastAsia" w:ascii="宋体" w:hAnsi="宋体" w:eastAsia="宋体" w:cs="宋体"/>
          <w:color w:val="auto"/>
          <w:sz w:val="24"/>
          <w:highlight w:val="none"/>
        </w:rPr>
      </w:pPr>
    </w:p>
    <w:p w14:paraId="1810A8C9">
      <w:pPr>
        <w:spacing w:line="360" w:lineRule="auto"/>
        <w:ind w:firstLine="480" w:firstLineChars="200"/>
        <w:rPr>
          <w:rFonts w:hint="eastAsia" w:ascii="宋体" w:hAnsi="宋体" w:eastAsia="宋体" w:cs="宋体"/>
          <w:color w:val="auto"/>
          <w:sz w:val="24"/>
          <w:highlight w:val="none"/>
        </w:rPr>
      </w:pPr>
    </w:p>
    <w:p w14:paraId="6DA97D3A">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供应商名称（电子签名）</w:t>
      </w:r>
      <w:r>
        <w:rPr>
          <w:rFonts w:hint="eastAsia" w:ascii="宋体" w:hAnsi="宋体" w:eastAsia="宋体" w:cs="宋体"/>
          <w:color w:val="auto"/>
          <w:sz w:val="24"/>
          <w:highlight w:val="none"/>
        </w:rPr>
        <w:t>：</w:t>
      </w:r>
    </w:p>
    <w:p w14:paraId="1E39D6F1">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727A2F2A">
      <w:pPr>
        <w:pStyle w:val="22"/>
        <w:rPr>
          <w:rFonts w:hint="eastAsia" w:ascii="宋体" w:hAnsi="宋体" w:eastAsia="宋体" w:cs="宋体"/>
          <w:color w:val="auto"/>
          <w:highlight w:val="none"/>
        </w:rPr>
      </w:pPr>
    </w:p>
    <w:p w14:paraId="5F500D15">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4ACDCD3A">
      <w:pPr>
        <w:autoSpaceDE w:val="0"/>
        <w:autoSpaceDN w:val="0"/>
        <w:jc w:val="both"/>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附件4：</w:t>
      </w:r>
    </w:p>
    <w:p w14:paraId="0AE798C1">
      <w:pPr>
        <w:autoSpaceDE w:val="0"/>
        <w:autoSpaceDN w:val="0"/>
        <w:jc w:val="both"/>
        <w:rPr>
          <w:rFonts w:hint="eastAsia" w:ascii="宋体" w:hAnsi="宋体" w:eastAsia="宋体" w:cs="宋体"/>
          <w:b/>
          <w:color w:val="auto"/>
          <w:spacing w:val="6"/>
          <w:sz w:val="32"/>
          <w:szCs w:val="32"/>
          <w:highlight w:val="none"/>
        </w:rPr>
      </w:pPr>
    </w:p>
    <w:p w14:paraId="4A34EA08">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14:paraId="70F3B63C">
      <w:pPr>
        <w:spacing w:line="360" w:lineRule="auto"/>
        <w:rPr>
          <w:rFonts w:hint="eastAsia" w:ascii="宋体" w:hAnsi="宋体" w:eastAsia="宋体" w:cs="宋体"/>
          <w:color w:val="auto"/>
          <w:sz w:val="24"/>
          <w:highlight w:val="none"/>
          <w:u w:val="single"/>
        </w:rPr>
      </w:pPr>
    </w:p>
    <w:p w14:paraId="61A2496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2060970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lang w:eastAsia="zh-CN"/>
        </w:rPr>
        <w:t>贵</w:t>
      </w:r>
      <w:r>
        <w:rPr>
          <w:rFonts w:hint="eastAsia" w:ascii="宋体" w:hAnsi="宋体" w:eastAsia="宋体" w:cs="宋体"/>
          <w:color w:val="auto"/>
          <w:sz w:val="24"/>
          <w:highlight w:val="none"/>
        </w:rPr>
        <w:t>方组织的（项目名称）项目【</w:t>
      </w:r>
      <w:r>
        <w:rPr>
          <w:rFonts w:hint="eastAsia" w:ascii="宋体" w:hAnsi="宋体" w:cs="宋体"/>
          <w:color w:val="auto"/>
          <w:sz w:val="24"/>
          <w:highlight w:val="none"/>
          <w:lang w:eastAsia="zh-CN"/>
        </w:rPr>
        <w:t>项目</w:t>
      </w:r>
      <w:r>
        <w:rPr>
          <w:rFonts w:hint="eastAsia" w:ascii="宋体" w:hAnsi="宋体" w:eastAsia="宋体" w:cs="宋体"/>
          <w:color w:val="auto"/>
          <w:sz w:val="24"/>
          <w:highlight w:val="none"/>
        </w:rPr>
        <w:t>编号：</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采购</w:t>
      </w:r>
      <w:r>
        <w:rPr>
          <w:rFonts w:hint="eastAsia" w:ascii="宋体" w:hAnsi="宋体" w:eastAsia="宋体" w:cs="宋体"/>
          <w:bCs/>
          <w:color w:val="auto"/>
          <w:sz w:val="24"/>
          <w:highlight w:val="none"/>
        </w:rPr>
        <w:t>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0206BA0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27262C28">
      <w:pPr>
        <w:spacing w:line="360" w:lineRule="auto"/>
        <w:ind w:firstLine="494"/>
        <w:rPr>
          <w:rFonts w:hint="eastAsia" w:ascii="宋体" w:hAnsi="宋体" w:eastAsia="宋体" w:cs="宋体"/>
          <w:color w:val="auto"/>
          <w:sz w:val="24"/>
          <w:highlight w:val="none"/>
        </w:rPr>
      </w:pPr>
    </w:p>
    <w:p w14:paraId="33635686">
      <w:pPr>
        <w:spacing w:line="360" w:lineRule="auto"/>
        <w:ind w:firstLine="494"/>
        <w:rPr>
          <w:rFonts w:hint="eastAsia" w:ascii="宋体" w:hAnsi="宋体" w:eastAsia="宋体" w:cs="宋体"/>
          <w:color w:val="auto"/>
          <w:sz w:val="24"/>
          <w:highlight w:val="none"/>
        </w:rPr>
      </w:pPr>
    </w:p>
    <w:p w14:paraId="5A0C1404">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（法定名称章）：</w:t>
      </w:r>
    </w:p>
    <w:p w14:paraId="5F84691B">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2B2BE8DC">
      <w:pPr>
        <w:rPr>
          <w:rFonts w:hint="eastAsia" w:ascii="宋体" w:hAnsi="宋体" w:eastAsia="宋体" w:cs="宋体"/>
          <w:b/>
          <w:bCs/>
          <w:color w:val="auto"/>
          <w:sz w:val="24"/>
          <w:highlight w:val="none"/>
        </w:rPr>
      </w:pPr>
    </w:p>
    <w:p w14:paraId="197D42A7">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3264D7CC">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BO+fS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tBO+f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lang w:eastAsia="zh-CN"/>
        </w:rPr>
        <w:t>供应商</w:t>
      </w:r>
      <w:r>
        <w:rPr>
          <w:rFonts w:hint="eastAsia" w:ascii="宋体" w:hAnsi="宋体" w:eastAsia="宋体" w:cs="宋体"/>
          <w:color w:val="auto"/>
          <w:sz w:val="24"/>
          <w:highlight w:val="none"/>
        </w:rPr>
        <w:t xml:space="preserve">法定名称章（印模）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“XX专用章”（印模）</w:t>
      </w:r>
    </w:p>
    <w:p w14:paraId="2278EAB6">
      <w:pPr>
        <w:autoSpaceDE w:val="0"/>
        <w:autoSpaceDN w:val="0"/>
        <w:jc w:val="center"/>
        <w:rPr>
          <w:rFonts w:hint="eastAsia" w:ascii="宋体" w:hAnsi="宋体" w:eastAsia="宋体" w:cs="宋体"/>
          <w:b/>
          <w:color w:val="auto"/>
          <w:spacing w:val="6"/>
          <w:sz w:val="32"/>
          <w:szCs w:val="32"/>
          <w:highlight w:val="none"/>
        </w:rPr>
      </w:pPr>
    </w:p>
    <w:p w14:paraId="4E7F4BFB">
      <w:pPr>
        <w:autoSpaceDE w:val="0"/>
        <w:autoSpaceDN w:val="0"/>
        <w:jc w:val="center"/>
        <w:rPr>
          <w:rFonts w:hint="eastAsia" w:ascii="宋体" w:hAnsi="宋体" w:eastAsia="宋体" w:cs="宋体"/>
          <w:b/>
          <w:color w:val="auto"/>
          <w:spacing w:val="6"/>
          <w:sz w:val="32"/>
          <w:szCs w:val="32"/>
          <w:highlight w:val="none"/>
        </w:rPr>
      </w:pPr>
    </w:p>
    <w:p w14:paraId="5A1B154C">
      <w:pPr>
        <w:autoSpaceDE w:val="0"/>
        <w:autoSpaceDN w:val="0"/>
        <w:jc w:val="center"/>
        <w:rPr>
          <w:rFonts w:hint="eastAsia" w:ascii="宋体" w:hAnsi="宋体" w:eastAsia="宋体" w:cs="宋体"/>
          <w:b/>
          <w:color w:val="auto"/>
          <w:spacing w:val="6"/>
          <w:sz w:val="32"/>
          <w:szCs w:val="32"/>
          <w:highlight w:val="none"/>
        </w:rPr>
      </w:pPr>
    </w:p>
    <w:p w14:paraId="456DFD54">
      <w:pPr>
        <w:autoSpaceDE w:val="0"/>
        <w:autoSpaceDN w:val="0"/>
        <w:jc w:val="center"/>
        <w:rPr>
          <w:rFonts w:hint="eastAsia" w:ascii="宋体" w:hAnsi="宋体" w:eastAsia="宋体" w:cs="宋体"/>
          <w:b/>
          <w:color w:val="auto"/>
          <w:spacing w:val="6"/>
          <w:sz w:val="32"/>
          <w:szCs w:val="32"/>
          <w:highlight w:val="none"/>
        </w:rPr>
      </w:pPr>
    </w:p>
    <w:p w14:paraId="275A4EDA">
      <w:pPr>
        <w:autoSpaceDE w:val="0"/>
        <w:autoSpaceDN w:val="0"/>
        <w:jc w:val="center"/>
        <w:rPr>
          <w:rFonts w:hint="eastAsia" w:ascii="宋体" w:hAnsi="宋体" w:eastAsia="宋体" w:cs="宋体"/>
          <w:b/>
          <w:color w:val="auto"/>
          <w:spacing w:val="6"/>
          <w:sz w:val="32"/>
          <w:szCs w:val="32"/>
          <w:highlight w:val="none"/>
        </w:rPr>
      </w:pPr>
    </w:p>
    <w:p w14:paraId="399C2E6A">
      <w:pPr>
        <w:autoSpaceDE w:val="0"/>
        <w:autoSpaceDN w:val="0"/>
        <w:jc w:val="center"/>
        <w:rPr>
          <w:rFonts w:hint="eastAsia" w:ascii="宋体" w:hAnsi="宋体" w:eastAsia="宋体" w:cs="宋体"/>
          <w:b/>
          <w:color w:val="auto"/>
          <w:spacing w:val="6"/>
          <w:sz w:val="32"/>
          <w:szCs w:val="32"/>
          <w:highlight w:val="none"/>
        </w:rPr>
      </w:pPr>
    </w:p>
    <w:p w14:paraId="7C9578DF">
      <w:pPr>
        <w:autoSpaceDE w:val="0"/>
        <w:autoSpaceDN w:val="0"/>
        <w:jc w:val="center"/>
        <w:rPr>
          <w:rFonts w:hint="eastAsia" w:ascii="宋体" w:hAnsi="宋体" w:eastAsia="宋体" w:cs="宋体"/>
          <w:b/>
          <w:color w:val="auto"/>
          <w:spacing w:val="6"/>
          <w:sz w:val="32"/>
          <w:szCs w:val="32"/>
          <w:highlight w:val="none"/>
        </w:rPr>
      </w:pPr>
    </w:p>
    <w:p w14:paraId="7D3B8B10">
      <w:pPr>
        <w:autoSpaceDE w:val="0"/>
        <w:autoSpaceDN w:val="0"/>
        <w:jc w:val="center"/>
        <w:rPr>
          <w:rFonts w:hint="eastAsia" w:ascii="宋体" w:hAnsi="宋体" w:eastAsia="宋体" w:cs="宋体"/>
          <w:b/>
          <w:color w:val="auto"/>
          <w:spacing w:val="6"/>
          <w:sz w:val="32"/>
          <w:szCs w:val="32"/>
          <w:highlight w:val="none"/>
        </w:rPr>
      </w:pPr>
    </w:p>
    <w:p w14:paraId="2D1E6C58">
      <w:pPr>
        <w:autoSpaceDE w:val="0"/>
        <w:autoSpaceDN w:val="0"/>
        <w:jc w:val="center"/>
        <w:rPr>
          <w:rFonts w:hint="eastAsia" w:ascii="宋体" w:hAnsi="宋体" w:eastAsia="宋体" w:cs="宋体"/>
          <w:b/>
          <w:color w:val="auto"/>
          <w:spacing w:val="6"/>
          <w:sz w:val="32"/>
          <w:szCs w:val="32"/>
          <w:highlight w:val="none"/>
        </w:rPr>
      </w:pPr>
    </w:p>
    <w:p w14:paraId="1548F478">
      <w:pPr>
        <w:autoSpaceDE w:val="0"/>
        <w:autoSpaceDN w:val="0"/>
        <w:jc w:val="center"/>
        <w:rPr>
          <w:rFonts w:hint="eastAsia" w:ascii="宋体" w:hAnsi="宋体" w:eastAsia="宋体" w:cs="宋体"/>
          <w:b/>
          <w:color w:val="auto"/>
          <w:spacing w:val="6"/>
          <w:sz w:val="32"/>
          <w:szCs w:val="32"/>
          <w:highlight w:val="none"/>
        </w:rPr>
      </w:pPr>
    </w:p>
    <w:p w14:paraId="760C4832">
      <w:pPr>
        <w:autoSpaceDE w:val="0"/>
        <w:autoSpaceDN w:val="0"/>
        <w:jc w:val="center"/>
        <w:rPr>
          <w:rFonts w:hint="eastAsia" w:ascii="宋体" w:hAnsi="宋体" w:eastAsia="宋体" w:cs="宋体"/>
          <w:b/>
          <w:color w:val="auto"/>
          <w:spacing w:val="6"/>
          <w:sz w:val="32"/>
          <w:szCs w:val="32"/>
          <w:highlight w:val="none"/>
        </w:rPr>
      </w:pPr>
    </w:p>
    <w:p w14:paraId="5AA55698">
      <w:pPr>
        <w:autoSpaceDE w:val="0"/>
        <w:autoSpaceDN w:val="0"/>
        <w:jc w:val="center"/>
        <w:rPr>
          <w:rFonts w:hint="eastAsia" w:ascii="宋体" w:hAnsi="宋体" w:eastAsia="宋体" w:cs="宋体"/>
          <w:b/>
          <w:color w:val="auto"/>
          <w:spacing w:val="6"/>
          <w:sz w:val="32"/>
          <w:szCs w:val="32"/>
          <w:highlight w:val="none"/>
        </w:rPr>
      </w:pPr>
    </w:p>
    <w:p w14:paraId="79C11A6A">
      <w:pPr>
        <w:autoSpaceDE w:val="0"/>
        <w:autoSpaceDN w:val="0"/>
        <w:jc w:val="center"/>
        <w:rPr>
          <w:rFonts w:hint="eastAsia" w:ascii="宋体" w:hAnsi="宋体" w:eastAsia="宋体" w:cs="宋体"/>
          <w:b/>
          <w:color w:val="auto"/>
          <w:spacing w:val="6"/>
          <w:sz w:val="32"/>
          <w:szCs w:val="32"/>
          <w:highlight w:val="none"/>
        </w:rPr>
      </w:pPr>
    </w:p>
    <w:p w14:paraId="4F43AED6">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764B5E3F">
      <w:pPr>
        <w:tabs>
          <w:tab w:val="left" w:pos="2761"/>
          <w:tab w:val="center" w:pos="4595"/>
        </w:tabs>
        <w:autoSpaceDE w:val="0"/>
        <w:autoSpaceDN w:val="0"/>
        <w:jc w:val="left"/>
        <w:rPr>
          <w:rFonts w:hint="eastAsia" w:ascii="宋体" w:hAnsi="宋体" w:eastAsia="宋体" w:cs="宋体"/>
          <w:b/>
          <w:color w:val="auto"/>
          <w:spacing w:val="6"/>
          <w:sz w:val="32"/>
          <w:szCs w:val="32"/>
          <w:highlight w:val="none"/>
          <w:lang w:val="en-US" w:eastAsia="zh-CN"/>
        </w:rPr>
      </w:pPr>
      <w:r>
        <w:rPr>
          <w:rFonts w:hint="eastAsia" w:ascii="宋体" w:hAnsi="宋体" w:eastAsia="宋体" w:cs="宋体"/>
          <w:b/>
          <w:color w:val="auto"/>
          <w:spacing w:val="6"/>
          <w:sz w:val="32"/>
          <w:szCs w:val="32"/>
          <w:highlight w:val="none"/>
          <w:lang w:eastAsia="zh-CN"/>
        </w:rPr>
        <w:t>附件</w:t>
      </w:r>
      <w:r>
        <w:rPr>
          <w:rFonts w:hint="eastAsia" w:ascii="宋体" w:hAnsi="宋体" w:eastAsia="宋体" w:cs="宋体"/>
          <w:b/>
          <w:color w:val="auto"/>
          <w:spacing w:val="6"/>
          <w:sz w:val="32"/>
          <w:szCs w:val="32"/>
          <w:highlight w:val="none"/>
          <w:lang w:val="en-US" w:eastAsia="zh-CN"/>
        </w:rPr>
        <w:t>5</w:t>
      </w:r>
    </w:p>
    <w:p w14:paraId="7BD931E0">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联合协议（如果有）</w:t>
      </w:r>
    </w:p>
    <w:p w14:paraId="72A006FE">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（以联合体形式响应的，提供联合协议；本项目不接受联合体响应或者供应商不以联合体形式响应的，则不需要提供）</w:t>
      </w:r>
    </w:p>
    <w:p w14:paraId="2FBD67A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组成一个联合体，以一个供应商的身份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w:t>
      </w:r>
      <w:r>
        <w:rPr>
          <w:rFonts w:hint="eastAsia" w:ascii="宋体" w:hAnsi="宋体" w:cs="宋体"/>
          <w:color w:val="auto"/>
          <w:sz w:val="24"/>
          <w:highlight w:val="none"/>
          <w:lang w:eastAsia="zh-CN"/>
        </w:rPr>
        <w:t>项目</w:t>
      </w:r>
      <w:r>
        <w:rPr>
          <w:rFonts w:hint="eastAsia" w:ascii="宋体" w:hAnsi="宋体" w:eastAsia="宋体" w:cs="宋体"/>
          <w:color w:val="auto"/>
          <w:sz w:val="24"/>
          <w:highlight w:val="none"/>
        </w:rPr>
        <w:t>编号：</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kern w:val="0"/>
          <w:sz w:val="24"/>
          <w:highlight w:val="none"/>
          <w:lang w:val="zh-CN"/>
        </w:rPr>
        <w:t xml:space="preserve">】响应。 </w:t>
      </w:r>
    </w:p>
    <w:p w14:paraId="6A21983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，代表所有联合体成员负责响应和合同实施阶段的主办、协调工作</w:t>
      </w:r>
      <w:r>
        <w:rPr>
          <w:rFonts w:hint="eastAsia" w:ascii="宋体" w:hAnsi="宋体" w:eastAsia="宋体" w:cs="宋体"/>
          <w:color w:val="auto"/>
          <w:kern w:val="0"/>
          <w:sz w:val="24"/>
          <w:highlight w:val="none"/>
          <w:lang w:val="zh-CN"/>
        </w:rPr>
        <w:t>。</w:t>
      </w:r>
    </w:p>
    <w:p w14:paraId="2E27B38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41CFE73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三、本次联合响应中，分工如下：</w:t>
      </w:r>
    </w:p>
    <w:p w14:paraId="62B2878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5B9B3B4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4904349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78E915D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四、联合体成员中小企业合同份额（如果有）。</w:t>
      </w:r>
    </w:p>
    <w:p w14:paraId="3D578765">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115" w:name="_Hlk101131882"/>
      <w:r>
        <w:rPr>
          <w:rFonts w:hint="eastAsia" w:ascii="宋体" w:hAnsi="宋体" w:eastAsia="宋体" w:cs="宋体"/>
          <w:color w:val="auto"/>
          <w:kern w:val="0"/>
          <w:sz w:val="24"/>
          <w:highlight w:val="none"/>
          <w:u w:val="single"/>
        </w:rPr>
        <w:t>联合体成员X,……</w:t>
      </w:r>
      <w:bookmarkEnd w:id="115"/>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116" w:name="_Hlk101133598"/>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116"/>
      <w:r>
        <w:rPr>
          <w:rFonts w:hint="eastAsia" w:ascii="宋体" w:hAnsi="宋体" w:eastAsia="宋体" w:cs="宋体"/>
          <w:b/>
          <w:color w:val="auto"/>
          <w:kern w:val="0"/>
          <w:sz w:val="24"/>
          <w:highlight w:val="none"/>
          <w:lang w:val="zh-CN"/>
        </w:rPr>
        <w:t>）</w:t>
      </w:r>
    </w:p>
    <w:p w14:paraId="27387F5E">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117"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117"/>
    </w:p>
    <w:p w14:paraId="7A34AB1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五、如果成交，</w:t>
      </w:r>
      <w:r>
        <w:rPr>
          <w:rFonts w:hint="eastAsia" w:ascii="宋体" w:hAnsi="宋体" w:eastAsia="宋体" w:cs="宋体"/>
          <w:color w:val="auto"/>
          <w:sz w:val="24"/>
          <w:highlight w:val="none"/>
        </w:rPr>
        <w:t>联合体各成员方共同与采购人签订合同，并就采购合同约定的事项对采购人承担连带责任。</w:t>
      </w:r>
    </w:p>
    <w:p w14:paraId="19727FA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六、有关本次联合响应的其他事宜：</w:t>
      </w:r>
    </w:p>
    <w:p w14:paraId="24B0B7D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2F49144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7C9051A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2813ACCE">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7C7B312">
      <w:pPr>
        <w:snapToGrid w:val="0"/>
        <w:spacing w:line="360" w:lineRule="auto"/>
        <w:ind w:firstLine="5040" w:firstLineChars="2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FE02970">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7EE01D25">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0F85649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1A12EED">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433E2D69">
      <w:pP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eastAsia="zh-CN"/>
        </w:rPr>
        <w:t>附件</w:t>
      </w:r>
      <w:r>
        <w:rPr>
          <w:rFonts w:hint="eastAsia" w:ascii="宋体" w:hAnsi="宋体" w:eastAsia="宋体" w:cs="宋体"/>
          <w:b/>
          <w:color w:val="auto"/>
          <w:sz w:val="32"/>
          <w:szCs w:val="32"/>
          <w:highlight w:val="none"/>
          <w:lang w:val="en-US" w:eastAsia="zh-CN"/>
        </w:rPr>
        <w:t>6</w:t>
      </w:r>
    </w:p>
    <w:p w14:paraId="6BCD1875">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分包意向协议（如果有）</w:t>
      </w:r>
    </w:p>
    <w:p w14:paraId="6DD425C3">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eastAsia="宋体" w:cs="宋体"/>
          <w:color w:val="auto"/>
          <w:sz w:val="24"/>
          <w:highlight w:val="none"/>
        </w:rPr>
        <w:t>）</w:t>
      </w:r>
    </w:p>
    <w:p w14:paraId="7E2DE23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项目</w:t>
      </w:r>
      <w:r>
        <w:rPr>
          <w:rFonts w:hint="eastAsia" w:ascii="宋体" w:hAnsi="宋体" w:eastAsia="宋体" w:cs="宋体"/>
          <w:color w:val="auto"/>
          <w:sz w:val="24"/>
          <w:highlight w:val="none"/>
        </w:rPr>
        <w:t>编号：</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的成交供应商，将依法采取分包方式履行合同。</w:t>
      </w: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6DECCB1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47BBFC7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4ABBD12B">
      <w:pPr>
        <w:pStyle w:val="4"/>
        <w:tabs>
          <w:tab w:val="left" w:pos="432"/>
        </w:tabs>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50D7E56">
      <w:pPr>
        <w:ind w:firstLine="305"/>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251A5E2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二、分包供应商中小企业合同份额（如果有）</w:t>
      </w:r>
    </w:p>
    <w:p w14:paraId="1F237FB0">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7C211D60">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要求合同分包形式参加的项目或采购包，供应商按磋商文件第一部分竞争性磋商邀请公告申请人的资格要求中规定的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2A40693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1482F02A">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7F59747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183CA2D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8845DC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1E4BDF01">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9AE3EE6">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0CE8587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04B11F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635D295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6DE38E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43A76B74">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p>
    <w:p w14:paraId="24E0E6E0">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p>
    <w:p w14:paraId="477CEEE1">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p>
    <w:p w14:paraId="512DF0D2">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w:t>
      </w:r>
    </w:p>
    <w:p w14:paraId="730CEA1C">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2269A5B7">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27D32648">
      <w:pPr>
        <w:pStyle w:val="59"/>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kern w:val="0"/>
          <w:sz w:val="24"/>
          <w:highlight w:val="none"/>
          <w:lang w:val="zh-CN"/>
        </w:rPr>
        <w:t xml:space="preserve">                                        日期：  年  月   日</w:t>
      </w:r>
    </w:p>
    <w:p w14:paraId="47D13DC9">
      <w:pPr>
        <w:tabs>
          <w:tab w:val="left" w:pos="2761"/>
          <w:tab w:val="center" w:pos="4595"/>
        </w:tabs>
        <w:autoSpaceDE w:val="0"/>
        <w:autoSpaceDN w:val="0"/>
        <w:jc w:val="left"/>
        <w:rPr>
          <w:rFonts w:hint="eastAsia" w:ascii="宋体" w:hAnsi="宋体" w:eastAsia="宋体" w:cs="宋体"/>
          <w:b/>
          <w:color w:val="auto"/>
          <w:spacing w:val="6"/>
          <w:sz w:val="32"/>
          <w:szCs w:val="32"/>
          <w:highlight w:val="none"/>
          <w:lang w:eastAsia="zh-CN"/>
        </w:rPr>
      </w:pPr>
      <w:r>
        <w:rPr>
          <w:rFonts w:hint="eastAsia" w:ascii="宋体" w:hAnsi="宋体" w:eastAsia="宋体" w:cs="宋体"/>
          <w:b/>
          <w:color w:val="auto"/>
          <w:spacing w:val="6"/>
          <w:sz w:val="32"/>
          <w:szCs w:val="32"/>
          <w:highlight w:val="none"/>
          <w:lang w:eastAsia="zh-CN"/>
        </w:rPr>
        <w:tab/>
      </w:r>
    </w:p>
    <w:p w14:paraId="62CA68DE">
      <w:pPr>
        <w:rPr>
          <w:rFonts w:hint="eastAsia" w:ascii="宋体" w:hAnsi="宋体" w:eastAsia="宋体" w:cs="宋体"/>
          <w:b/>
          <w:color w:val="auto"/>
          <w:spacing w:val="6"/>
          <w:sz w:val="32"/>
          <w:szCs w:val="32"/>
          <w:highlight w:val="none"/>
          <w:lang w:eastAsia="zh-CN"/>
        </w:rPr>
      </w:pPr>
      <w:r>
        <w:rPr>
          <w:rFonts w:hint="eastAsia" w:ascii="宋体" w:hAnsi="宋体" w:eastAsia="宋体" w:cs="宋体"/>
          <w:b/>
          <w:color w:val="auto"/>
          <w:spacing w:val="6"/>
          <w:sz w:val="32"/>
          <w:szCs w:val="32"/>
          <w:highlight w:val="none"/>
          <w:lang w:eastAsia="zh-CN"/>
        </w:rPr>
        <w:br w:type="page"/>
      </w:r>
    </w:p>
    <w:p w14:paraId="56509DE8">
      <w:pPr>
        <w:tabs>
          <w:tab w:val="left" w:pos="2761"/>
          <w:tab w:val="center" w:pos="4595"/>
        </w:tabs>
        <w:autoSpaceDE w:val="0"/>
        <w:autoSpaceDN w:val="0"/>
        <w:jc w:val="left"/>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7</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sz w:val="32"/>
          <w:szCs w:val="32"/>
          <w:highlight w:val="none"/>
        </w:rPr>
        <w:t>中小企业声明函</w:t>
      </w:r>
    </w:p>
    <w:p w14:paraId="56189FC9">
      <w:pPr>
        <w:spacing w:line="360" w:lineRule="auto"/>
        <w:jc w:val="center"/>
        <w:rPr>
          <w:rFonts w:hint="eastAsia" w:ascii="宋体" w:hAnsi="宋体" w:eastAsia="宋体" w:cs="宋体"/>
          <w:color w:val="auto"/>
          <w:sz w:val="24"/>
          <w:highlight w:val="none"/>
          <w:u w:val="single"/>
        </w:rPr>
      </w:pPr>
    </w:p>
    <w:p w14:paraId="03FD9EEC">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中小企业声明函（工程、服务）</w:t>
      </w:r>
    </w:p>
    <w:p w14:paraId="48CA2572">
      <w:pPr>
        <w:spacing w:line="360" w:lineRule="auto"/>
        <w:rPr>
          <w:rFonts w:hint="eastAsia" w:ascii="宋体" w:hAnsi="宋体" w:eastAsia="宋体" w:cs="宋体"/>
          <w:color w:val="auto"/>
          <w:highlight w:val="none"/>
        </w:rPr>
      </w:pPr>
    </w:p>
    <w:p w14:paraId="1933785F">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048A1D4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338CA87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4029443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5B23A91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7CB8BA6F">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21D51816">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名称（电子签名）：</w:t>
      </w:r>
    </w:p>
    <w:p w14:paraId="4D6B01D4">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44E08E2A">
      <w:pPr>
        <w:spacing w:line="360" w:lineRule="auto"/>
        <w:ind w:firstLine="310" w:firstLineChars="147"/>
        <w:jc w:val="left"/>
        <w:rPr>
          <w:rFonts w:hint="eastAsia" w:ascii="宋体" w:hAnsi="宋体" w:eastAsia="宋体" w:cs="宋体"/>
          <w:b/>
          <w:color w:val="auto"/>
          <w:szCs w:val="21"/>
          <w:highlight w:val="none"/>
        </w:rPr>
      </w:pPr>
    </w:p>
    <w:p w14:paraId="3C2C2F2E">
      <w:pPr>
        <w:spacing w:line="360" w:lineRule="auto"/>
        <w:ind w:righ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注：</w:t>
      </w: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填写要求：①“标的名称”、“采购文件中明确的所属行业”依据</w:t>
      </w:r>
      <w:r>
        <w:rPr>
          <w:rFonts w:hint="eastAsia" w:ascii="宋体" w:hAnsi="宋体" w:eastAsia="宋体" w:cs="宋体"/>
          <w:b/>
          <w:bCs/>
          <w:color w:val="auto"/>
          <w:sz w:val="21"/>
          <w:szCs w:val="21"/>
          <w:highlight w:val="none"/>
          <w:lang w:eastAsia="zh-CN"/>
        </w:rPr>
        <w:t>磋商</w:t>
      </w:r>
      <w:r>
        <w:rPr>
          <w:rFonts w:hint="eastAsia" w:ascii="宋体" w:hAnsi="宋体" w:eastAsia="宋体" w:cs="宋体"/>
          <w:b/>
          <w:bCs/>
          <w:color w:val="auto"/>
          <w:sz w:val="21"/>
          <w:szCs w:val="21"/>
          <w:highlight w:val="none"/>
        </w:rPr>
        <w:t>文件第</w:t>
      </w:r>
      <w:r>
        <w:rPr>
          <w:rFonts w:hint="eastAsia" w:ascii="宋体" w:hAnsi="宋体" w:eastAsia="宋体" w:cs="宋体"/>
          <w:b/>
          <w:bCs/>
          <w:color w:val="auto"/>
          <w:sz w:val="21"/>
          <w:szCs w:val="21"/>
          <w:highlight w:val="none"/>
          <w:lang w:eastAsia="zh-CN"/>
        </w:rPr>
        <w:t>三</w:t>
      </w:r>
      <w:r>
        <w:rPr>
          <w:rFonts w:hint="eastAsia" w:ascii="宋体" w:hAnsi="宋体" w:eastAsia="宋体" w:cs="宋体"/>
          <w:b/>
          <w:bCs/>
          <w:color w:val="auto"/>
          <w:sz w:val="21"/>
          <w:szCs w:val="21"/>
          <w:highlight w:val="none"/>
        </w:rPr>
        <w:t>部分</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p>
    <w:p w14:paraId="41C6D159">
      <w:pPr>
        <w:spacing w:line="360" w:lineRule="auto"/>
        <w:ind w:right="420" w:firstLine="420" w:firstLineChars="200"/>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提供由省级以上监狱管理局、戒毒管理局（含新疆生产建设兵团）出具的属于监狱企业证明文件的，视同为小型和微型企业。</w:t>
      </w:r>
    </w:p>
    <w:p w14:paraId="076A744D">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27B7506F">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w:t>
      </w:r>
      <w:r>
        <w:rPr>
          <w:rFonts w:hint="eastAsia" w:ascii="宋体" w:hAnsi="宋体" w:eastAsia="宋体" w:cs="宋体"/>
          <w:b/>
          <w:color w:val="auto"/>
          <w:sz w:val="36"/>
          <w:szCs w:val="20"/>
          <w:highlight w:val="none"/>
          <w:lang w:eastAsia="zh-CN"/>
        </w:rPr>
        <w:t>八</w:t>
      </w:r>
      <w:r>
        <w:rPr>
          <w:rFonts w:hint="eastAsia" w:ascii="宋体" w:hAnsi="宋体" w:eastAsia="宋体" w:cs="宋体"/>
          <w:b/>
          <w:color w:val="auto"/>
          <w:sz w:val="36"/>
          <w:szCs w:val="20"/>
          <w:highlight w:val="none"/>
        </w:rPr>
        <w:t xml:space="preserve">部分  </w:t>
      </w:r>
      <w:r>
        <w:rPr>
          <w:rFonts w:hint="eastAsia" w:ascii="宋体" w:hAnsi="宋体" w:eastAsia="宋体" w:cs="宋体"/>
          <w:b/>
          <w:color w:val="auto"/>
          <w:sz w:val="36"/>
          <w:szCs w:val="20"/>
          <w:highlight w:val="none"/>
          <w:lang w:eastAsia="zh-CN"/>
        </w:rPr>
        <w:t>最后报价格式</w:t>
      </w:r>
    </w:p>
    <w:p w14:paraId="6070B3BB">
      <w:pPr>
        <w:pStyle w:val="114"/>
        <w:keepNext w:val="0"/>
        <w:pageBreakBefore w:val="0"/>
        <w:tabs>
          <w:tab w:val="clear" w:pos="720"/>
        </w:tabs>
        <w:ind w:firstLine="640"/>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（一）最后报价一览表</w:t>
      </w:r>
    </w:p>
    <w:p w14:paraId="39EACC69">
      <w:pPr>
        <w:autoSpaceDE w:val="0"/>
        <w:autoSpaceDN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kern w:val="0"/>
          <w:sz w:val="24"/>
          <w:highlight w:val="none"/>
          <w:lang w:val="zh-CN"/>
        </w:rPr>
        <w:t>：</w:t>
      </w:r>
    </w:p>
    <w:p w14:paraId="43509951">
      <w:pPr>
        <w:spacing w:line="360" w:lineRule="auto"/>
        <w:ind w:firstLine="72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按你方磋商文件要求，</w:t>
      </w:r>
      <w:r>
        <w:rPr>
          <w:rFonts w:hint="eastAsia" w:ascii="宋体" w:hAnsi="宋体" w:eastAsia="宋体" w:cs="宋体"/>
          <w:color w:val="auto"/>
          <w:sz w:val="24"/>
          <w:highlight w:val="none"/>
        </w:rPr>
        <w:t>我们即</w:t>
      </w:r>
      <w:r>
        <w:rPr>
          <w:rFonts w:hint="eastAsia" w:ascii="宋体" w:hAnsi="宋体" w:eastAsia="宋体" w:cs="宋体"/>
          <w:color w:val="auto"/>
          <w:kern w:val="0"/>
          <w:sz w:val="24"/>
          <w:highlight w:val="none"/>
          <w:lang w:val="zh-CN"/>
        </w:rPr>
        <w:t>本响应文件签字方，谨此向你方发出要约如下：如你方接受本响应，我方承诺按照如下最后报价一览表的价格完成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w:t>
      </w:r>
      <w:r>
        <w:rPr>
          <w:rFonts w:hint="eastAsia" w:ascii="宋体" w:hAnsi="宋体" w:cs="宋体"/>
          <w:color w:val="auto"/>
          <w:sz w:val="24"/>
          <w:highlight w:val="none"/>
          <w:lang w:eastAsia="zh-CN"/>
        </w:rPr>
        <w:t>项目</w:t>
      </w:r>
      <w:r>
        <w:rPr>
          <w:rFonts w:hint="eastAsia" w:ascii="宋体" w:hAnsi="宋体" w:eastAsia="宋体" w:cs="宋体"/>
          <w:color w:val="auto"/>
          <w:sz w:val="24"/>
          <w:highlight w:val="none"/>
        </w:rPr>
        <w:t>编号：</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50B9A457">
      <w:pPr>
        <w:snapToGrid w:val="0"/>
        <w:spacing w:line="360" w:lineRule="auto"/>
        <w:ind w:left="480"/>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最后报价一览表(单位均为人民币元)</w:t>
      </w:r>
    </w:p>
    <w:tbl>
      <w:tblPr>
        <w:tblStyle w:val="60"/>
        <w:tblW w:w="10710" w:type="dxa"/>
        <w:tblInd w:w="-8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715"/>
        <w:gridCol w:w="1028"/>
        <w:gridCol w:w="1519"/>
        <w:gridCol w:w="746"/>
        <w:gridCol w:w="1380"/>
        <w:gridCol w:w="1559"/>
        <w:gridCol w:w="2276"/>
      </w:tblGrid>
      <w:tr w14:paraId="2161D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noWrap w:val="0"/>
            <w:vAlign w:val="center"/>
          </w:tcPr>
          <w:p w14:paraId="12F2BF1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715" w:type="dxa"/>
            <w:noWrap w:val="0"/>
            <w:vAlign w:val="center"/>
          </w:tcPr>
          <w:p w14:paraId="72838E1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服务内容</w:t>
            </w:r>
          </w:p>
        </w:tc>
        <w:tc>
          <w:tcPr>
            <w:tcW w:w="1028" w:type="dxa"/>
            <w:noWrap w:val="0"/>
            <w:vAlign w:val="center"/>
          </w:tcPr>
          <w:p w14:paraId="3580FF8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服务人员数量</w:t>
            </w:r>
          </w:p>
        </w:tc>
        <w:tc>
          <w:tcPr>
            <w:tcW w:w="1519" w:type="dxa"/>
            <w:noWrap w:val="0"/>
            <w:vAlign w:val="center"/>
          </w:tcPr>
          <w:p w14:paraId="573E9DD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工作量</w:t>
            </w:r>
          </w:p>
        </w:tc>
        <w:tc>
          <w:tcPr>
            <w:tcW w:w="746" w:type="dxa"/>
            <w:noWrap w:val="0"/>
            <w:vAlign w:val="center"/>
          </w:tcPr>
          <w:p w14:paraId="4DD52E2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1380" w:type="dxa"/>
            <w:noWrap w:val="0"/>
            <w:vAlign w:val="center"/>
          </w:tcPr>
          <w:p w14:paraId="650FF6E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单价</w:t>
            </w:r>
          </w:p>
        </w:tc>
        <w:tc>
          <w:tcPr>
            <w:tcW w:w="1559" w:type="dxa"/>
            <w:noWrap w:val="0"/>
            <w:vAlign w:val="center"/>
          </w:tcPr>
          <w:p w14:paraId="0903390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合计</w:t>
            </w:r>
          </w:p>
        </w:tc>
        <w:tc>
          <w:tcPr>
            <w:tcW w:w="2276" w:type="dxa"/>
            <w:noWrap w:val="0"/>
            <w:vAlign w:val="center"/>
          </w:tcPr>
          <w:p w14:paraId="7D1B2260">
            <w:pPr>
              <w:spacing w:line="360" w:lineRule="auto"/>
              <w:jc w:val="center"/>
              <w:rPr>
                <w:rFonts w:hint="eastAsia" w:ascii="宋体" w:hAnsi="宋体" w:eastAsia="宋体" w:cs="宋体"/>
                <w:b/>
                <w:color w:val="auto"/>
                <w:sz w:val="24"/>
                <w:highlight w:val="none"/>
              </w:rPr>
            </w:pPr>
          </w:p>
          <w:p w14:paraId="35DCBC1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221AE4E2">
            <w:pPr>
              <w:spacing w:line="360" w:lineRule="auto"/>
              <w:jc w:val="center"/>
              <w:rPr>
                <w:rFonts w:hint="eastAsia" w:ascii="宋体" w:hAnsi="宋体" w:eastAsia="宋体" w:cs="宋体"/>
                <w:b/>
                <w:color w:val="auto"/>
                <w:sz w:val="24"/>
                <w:highlight w:val="none"/>
              </w:rPr>
            </w:pPr>
          </w:p>
        </w:tc>
      </w:tr>
      <w:tr w14:paraId="49BCF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87" w:type="dxa"/>
            <w:noWrap w:val="0"/>
            <w:vAlign w:val="center"/>
          </w:tcPr>
          <w:p w14:paraId="72307550">
            <w:pPr>
              <w:spacing w:line="360" w:lineRule="auto"/>
              <w:jc w:val="center"/>
              <w:rPr>
                <w:rFonts w:hint="eastAsia" w:ascii="宋体" w:hAnsi="宋体" w:eastAsia="宋体" w:cs="宋体"/>
                <w:color w:val="auto"/>
                <w:sz w:val="24"/>
                <w:highlight w:val="none"/>
              </w:rPr>
            </w:pPr>
          </w:p>
        </w:tc>
        <w:tc>
          <w:tcPr>
            <w:tcW w:w="1715" w:type="dxa"/>
            <w:noWrap w:val="0"/>
            <w:vAlign w:val="center"/>
          </w:tcPr>
          <w:p w14:paraId="051D941F">
            <w:pPr>
              <w:snapToGrid w:val="0"/>
              <w:spacing w:line="360" w:lineRule="auto"/>
              <w:jc w:val="center"/>
              <w:rPr>
                <w:rFonts w:hint="eastAsia" w:ascii="宋体" w:hAnsi="宋体" w:eastAsia="宋体" w:cs="宋体"/>
                <w:color w:val="auto"/>
                <w:sz w:val="24"/>
                <w:highlight w:val="none"/>
              </w:rPr>
            </w:pPr>
          </w:p>
        </w:tc>
        <w:tc>
          <w:tcPr>
            <w:tcW w:w="1028" w:type="dxa"/>
            <w:noWrap w:val="0"/>
            <w:vAlign w:val="top"/>
          </w:tcPr>
          <w:p w14:paraId="2008103B">
            <w:pPr>
              <w:snapToGrid w:val="0"/>
              <w:spacing w:line="360" w:lineRule="auto"/>
              <w:jc w:val="center"/>
              <w:rPr>
                <w:rFonts w:hint="eastAsia" w:ascii="宋体" w:hAnsi="宋体" w:eastAsia="宋体" w:cs="宋体"/>
                <w:color w:val="auto"/>
                <w:sz w:val="24"/>
                <w:highlight w:val="none"/>
              </w:rPr>
            </w:pPr>
          </w:p>
        </w:tc>
        <w:tc>
          <w:tcPr>
            <w:tcW w:w="1519" w:type="dxa"/>
            <w:noWrap w:val="0"/>
            <w:vAlign w:val="center"/>
          </w:tcPr>
          <w:p w14:paraId="3CE0C511">
            <w:pPr>
              <w:snapToGrid w:val="0"/>
              <w:spacing w:line="360" w:lineRule="auto"/>
              <w:jc w:val="center"/>
              <w:rPr>
                <w:rFonts w:hint="eastAsia" w:ascii="宋体" w:hAnsi="宋体" w:eastAsia="宋体" w:cs="宋体"/>
                <w:color w:val="auto"/>
                <w:sz w:val="24"/>
                <w:highlight w:val="none"/>
              </w:rPr>
            </w:pPr>
          </w:p>
        </w:tc>
        <w:tc>
          <w:tcPr>
            <w:tcW w:w="746" w:type="dxa"/>
            <w:noWrap w:val="0"/>
            <w:vAlign w:val="center"/>
          </w:tcPr>
          <w:p w14:paraId="529007CF">
            <w:pPr>
              <w:snapToGrid w:val="0"/>
              <w:spacing w:line="360" w:lineRule="auto"/>
              <w:jc w:val="center"/>
              <w:rPr>
                <w:rFonts w:hint="eastAsia" w:ascii="宋体" w:hAnsi="宋体" w:eastAsia="宋体" w:cs="宋体"/>
                <w:color w:val="auto"/>
                <w:sz w:val="24"/>
                <w:highlight w:val="none"/>
              </w:rPr>
            </w:pPr>
          </w:p>
        </w:tc>
        <w:tc>
          <w:tcPr>
            <w:tcW w:w="1380" w:type="dxa"/>
            <w:noWrap w:val="0"/>
            <w:vAlign w:val="center"/>
          </w:tcPr>
          <w:p w14:paraId="758289AB">
            <w:pPr>
              <w:spacing w:line="360" w:lineRule="auto"/>
              <w:jc w:val="center"/>
              <w:rPr>
                <w:rFonts w:hint="eastAsia" w:ascii="宋体" w:hAnsi="宋体" w:eastAsia="宋体" w:cs="宋体"/>
                <w:color w:val="auto"/>
                <w:sz w:val="24"/>
                <w:highlight w:val="none"/>
              </w:rPr>
            </w:pPr>
          </w:p>
        </w:tc>
        <w:tc>
          <w:tcPr>
            <w:tcW w:w="1559" w:type="dxa"/>
            <w:noWrap w:val="0"/>
            <w:vAlign w:val="center"/>
          </w:tcPr>
          <w:p w14:paraId="36F2CBB5">
            <w:pPr>
              <w:spacing w:line="360" w:lineRule="auto"/>
              <w:jc w:val="center"/>
              <w:rPr>
                <w:rFonts w:hint="eastAsia" w:ascii="宋体" w:hAnsi="宋体" w:eastAsia="宋体" w:cs="宋体"/>
                <w:color w:val="auto"/>
                <w:sz w:val="24"/>
                <w:highlight w:val="none"/>
              </w:rPr>
            </w:pPr>
          </w:p>
        </w:tc>
        <w:tc>
          <w:tcPr>
            <w:tcW w:w="2276" w:type="dxa"/>
            <w:noWrap w:val="0"/>
            <w:vAlign w:val="center"/>
          </w:tcPr>
          <w:p w14:paraId="705AA40F">
            <w:pPr>
              <w:spacing w:line="360" w:lineRule="auto"/>
              <w:jc w:val="center"/>
              <w:rPr>
                <w:rFonts w:hint="eastAsia" w:ascii="宋体" w:hAnsi="宋体" w:eastAsia="宋体" w:cs="宋体"/>
                <w:color w:val="auto"/>
                <w:sz w:val="24"/>
                <w:highlight w:val="none"/>
              </w:rPr>
            </w:pPr>
          </w:p>
        </w:tc>
      </w:tr>
      <w:tr w14:paraId="6AF6F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87" w:type="dxa"/>
            <w:noWrap w:val="0"/>
            <w:vAlign w:val="center"/>
          </w:tcPr>
          <w:p w14:paraId="260DCBB1">
            <w:pPr>
              <w:spacing w:line="360" w:lineRule="auto"/>
              <w:jc w:val="center"/>
              <w:rPr>
                <w:rFonts w:hint="eastAsia" w:ascii="宋体" w:hAnsi="宋体" w:eastAsia="宋体" w:cs="宋体"/>
                <w:color w:val="auto"/>
                <w:sz w:val="24"/>
                <w:highlight w:val="none"/>
              </w:rPr>
            </w:pPr>
          </w:p>
        </w:tc>
        <w:tc>
          <w:tcPr>
            <w:tcW w:w="1715" w:type="dxa"/>
            <w:noWrap w:val="0"/>
            <w:vAlign w:val="center"/>
          </w:tcPr>
          <w:p w14:paraId="4C881188">
            <w:pPr>
              <w:snapToGrid w:val="0"/>
              <w:spacing w:line="360" w:lineRule="auto"/>
              <w:jc w:val="center"/>
              <w:rPr>
                <w:rFonts w:hint="eastAsia" w:ascii="宋体" w:hAnsi="宋体" w:eastAsia="宋体" w:cs="宋体"/>
                <w:color w:val="auto"/>
                <w:sz w:val="24"/>
                <w:highlight w:val="none"/>
              </w:rPr>
            </w:pPr>
          </w:p>
        </w:tc>
        <w:tc>
          <w:tcPr>
            <w:tcW w:w="1028" w:type="dxa"/>
            <w:noWrap w:val="0"/>
            <w:vAlign w:val="top"/>
          </w:tcPr>
          <w:p w14:paraId="41EC3F9E">
            <w:pPr>
              <w:snapToGrid w:val="0"/>
              <w:spacing w:line="360" w:lineRule="auto"/>
              <w:jc w:val="center"/>
              <w:rPr>
                <w:rFonts w:hint="eastAsia" w:ascii="宋体" w:hAnsi="宋体" w:eastAsia="宋体" w:cs="宋体"/>
                <w:color w:val="auto"/>
                <w:sz w:val="24"/>
                <w:highlight w:val="none"/>
              </w:rPr>
            </w:pPr>
          </w:p>
        </w:tc>
        <w:tc>
          <w:tcPr>
            <w:tcW w:w="1519" w:type="dxa"/>
            <w:noWrap w:val="0"/>
            <w:vAlign w:val="center"/>
          </w:tcPr>
          <w:p w14:paraId="07626BFE">
            <w:pPr>
              <w:snapToGrid w:val="0"/>
              <w:spacing w:line="360" w:lineRule="auto"/>
              <w:jc w:val="center"/>
              <w:rPr>
                <w:rFonts w:hint="eastAsia" w:ascii="宋体" w:hAnsi="宋体" w:eastAsia="宋体" w:cs="宋体"/>
                <w:color w:val="auto"/>
                <w:sz w:val="24"/>
                <w:highlight w:val="none"/>
              </w:rPr>
            </w:pPr>
          </w:p>
        </w:tc>
        <w:tc>
          <w:tcPr>
            <w:tcW w:w="746" w:type="dxa"/>
            <w:noWrap w:val="0"/>
            <w:vAlign w:val="center"/>
          </w:tcPr>
          <w:p w14:paraId="1CA14441">
            <w:pPr>
              <w:snapToGrid w:val="0"/>
              <w:spacing w:line="360" w:lineRule="auto"/>
              <w:jc w:val="center"/>
              <w:rPr>
                <w:rFonts w:hint="eastAsia" w:ascii="宋体" w:hAnsi="宋体" w:eastAsia="宋体" w:cs="宋体"/>
                <w:color w:val="auto"/>
                <w:sz w:val="24"/>
                <w:highlight w:val="none"/>
              </w:rPr>
            </w:pPr>
          </w:p>
        </w:tc>
        <w:tc>
          <w:tcPr>
            <w:tcW w:w="1380" w:type="dxa"/>
            <w:noWrap w:val="0"/>
            <w:vAlign w:val="center"/>
          </w:tcPr>
          <w:p w14:paraId="0C03E7D0">
            <w:pPr>
              <w:spacing w:line="360" w:lineRule="auto"/>
              <w:jc w:val="center"/>
              <w:rPr>
                <w:rFonts w:hint="eastAsia" w:ascii="宋体" w:hAnsi="宋体" w:eastAsia="宋体" w:cs="宋体"/>
                <w:color w:val="auto"/>
                <w:sz w:val="24"/>
                <w:highlight w:val="none"/>
              </w:rPr>
            </w:pPr>
          </w:p>
        </w:tc>
        <w:tc>
          <w:tcPr>
            <w:tcW w:w="1559" w:type="dxa"/>
            <w:noWrap w:val="0"/>
            <w:vAlign w:val="center"/>
          </w:tcPr>
          <w:p w14:paraId="7EF783A6">
            <w:pPr>
              <w:spacing w:line="360" w:lineRule="auto"/>
              <w:jc w:val="center"/>
              <w:rPr>
                <w:rFonts w:hint="eastAsia" w:ascii="宋体" w:hAnsi="宋体" w:eastAsia="宋体" w:cs="宋体"/>
                <w:color w:val="auto"/>
                <w:sz w:val="24"/>
                <w:highlight w:val="none"/>
              </w:rPr>
            </w:pPr>
          </w:p>
        </w:tc>
        <w:tc>
          <w:tcPr>
            <w:tcW w:w="2276" w:type="dxa"/>
            <w:noWrap w:val="0"/>
            <w:vAlign w:val="center"/>
          </w:tcPr>
          <w:p w14:paraId="30DC280C">
            <w:pPr>
              <w:spacing w:line="360" w:lineRule="auto"/>
              <w:jc w:val="center"/>
              <w:rPr>
                <w:rFonts w:hint="eastAsia" w:ascii="宋体" w:hAnsi="宋体" w:eastAsia="宋体" w:cs="宋体"/>
                <w:color w:val="auto"/>
                <w:sz w:val="24"/>
                <w:highlight w:val="none"/>
              </w:rPr>
            </w:pPr>
          </w:p>
        </w:tc>
      </w:tr>
      <w:tr w14:paraId="073A4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87" w:type="dxa"/>
            <w:noWrap w:val="0"/>
            <w:vAlign w:val="center"/>
          </w:tcPr>
          <w:p w14:paraId="02F40096">
            <w:pPr>
              <w:spacing w:line="360" w:lineRule="auto"/>
              <w:jc w:val="center"/>
              <w:rPr>
                <w:rFonts w:hint="eastAsia" w:ascii="宋体" w:hAnsi="宋体" w:eastAsia="宋体" w:cs="宋体"/>
                <w:color w:val="auto"/>
                <w:sz w:val="24"/>
                <w:highlight w:val="none"/>
              </w:rPr>
            </w:pPr>
          </w:p>
        </w:tc>
        <w:tc>
          <w:tcPr>
            <w:tcW w:w="1715" w:type="dxa"/>
            <w:noWrap w:val="0"/>
            <w:vAlign w:val="center"/>
          </w:tcPr>
          <w:p w14:paraId="69D62A94">
            <w:pPr>
              <w:snapToGrid w:val="0"/>
              <w:spacing w:line="360" w:lineRule="auto"/>
              <w:jc w:val="center"/>
              <w:rPr>
                <w:rFonts w:hint="eastAsia" w:ascii="宋体" w:hAnsi="宋体" w:eastAsia="宋体" w:cs="宋体"/>
                <w:color w:val="auto"/>
                <w:sz w:val="24"/>
                <w:highlight w:val="none"/>
              </w:rPr>
            </w:pPr>
          </w:p>
        </w:tc>
        <w:tc>
          <w:tcPr>
            <w:tcW w:w="1028" w:type="dxa"/>
            <w:noWrap w:val="0"/>
            <w:vAlign w:val="top"/>
          </w:tcPr>
          <w:p w14:paraId="36C06CC4">
            <w:pPr>
              <w:snapToGrid w:val="0"/>
              <w:spacing w:line="360" w:lineRule="auto"/>
              <w:jc w:val="center"/>
              <w:rPr>
                <w:rFonts w:hint="eastAsia" w:ascii="宋体" w:hAnsi="宋体" w:eastAsia="宋体" w:cs="宋体"/>
                <w:color w:val="auto"/>
                <w:sz w:val="24"/>
                <w:highlight w:val="none"/>
              </w:rPr>
            </w:pPr>
          </w:p>
        </w:tc>
        <w:tc>
          <w:tcPr>
            <w:tcW w:w="1519" w:type="dxa"/>
            <w:noWrap w:val="0"/>
            <w:vAlign w:val="center"/>
          </w:tcPr>
          <w:p w14:paraId="712C37BC">
            <w:pPr>
              <w:snapToGrid w:val="0"/>
              <w:spacing w:line="360" w:lineRule="auto"/>
              <w:jc w:val="center"/>
              <w:rPr>
                <w:rFonts w:hint="eastAsia" w:ascii="宋体" w:hAnsi="宋体" w:eastAsia="宋体" w:cs="宋体"/>
                <w:color w:val="auto"/>
                <w:sz w:val="24"/>
                <w:highlight w:val="none"/>
              </w:rPr>
            </w:pPr>
          </w:p>
        </w:tc>
        <w:tc>
          <w:tcPr>
            <w:tcW w:w="746" w:type="dxa"/>
            <w:noWrap w:val="0"/>
            <w:vAlign w:val="center"/>
          </w:tcPr>
          <w:p w14:paraId="10DBFFE0">
            <w:pPr>
              <w:snapToGrid w:val="0"/>
              <w:spacing w:line="360" w:lineRule="auto"/>
              <w:jc w:val="center"/>
              <w:rPr>
                <w:rFonts w:hint="eastAsia" w:ascii="宋体" w:hAnsi="宋体" w:eastAsia="宋体" w:cs="宋体"/>
                <w:color w:val="auto"/>
                <w:sz w:val="24"/>
                <w:highlight w:val="none"/>
              </w:rPr>
            </w:pPr>
          </w:p>
        </w:tc>
        <w:tc>
          <w:tcPr>
            <w:tcW w:w="1380" w:type="dxa"/>
            <w:noWrap w:val="0"/>
            <w:vAlign w:val="center"/>
          </w:tcPr>
          <w:p w14:paraId="244E8F13">
            <w:pPr>
              <w:spacing w:line="360" w:lineRule="auto"/>
              <w:jc w:val="center"/>
              <w:rPr>
                <w:rFonts w:hint="eastAsia" w:ascii="宋体" w:hAnsi="宋体" w:eastAsia="宋体" w:cs="宋体"/>
                <w:color w:val="auto"/>
                <w:sz w:val="24"/>
                <w:highlight w:val="none"/>
              </w:rPr>
            </w:pPr>
          </w:p>
        </w:tc>
        <w:tc>
          <w:tcPr>
            <w:tcW w:w="1559" w:type="dxa"/>
            <w:noWrap w:val="0"/>
            <w:vAlign w:val="center"/>
          </w:tcPr>
          <w:p w14:paraId="557B36A5">
            <w:pPr>
              <w:spacing w:line="360" w:lineRule="auto"/>
              <w:jc w:val="center"/>
              <w:rPr>
                <w:rFonts w:hint="eastAsia" w:ascii="宋体" w:hAnsi="宋体" w:eastAsia="宋体" w:cs="宋体"/>
                <w:color w:val="auto"/>
                <w:sz w:val="24"/>
                <w:highlight w:val="none"/>
              </w:rPr>
            </w:pPr>
          </w:p>
        </w:tc>
        <w:tc>
          <w:tcPr>
            <w:tcW w:w="2276" w:type="dxa"/>
            <w:noWrap w:val="0"/>
            <w:vAlign w:val="center"/>
          </w:tcPr>
          <w:p w14:paraId="657029AE">
            <w:pPr>
              <w:spacing w:line="360" w:lineRule="auto"/>
              <w:jc w:val="center"/>
              <w:rPr>
                <w:rFonts w:hint="eastAsia" w:ascii="宋体" w:hAnsi="宋体" w:eastAsia="宋体" w:cs="宋体"/>
                <w:color w:val="auto"/>
                <w:sz w:val="24"/>
                <w:highlight w:val="none"/>
              </w:rPr>
            </w:pPr>
          </w:p>
        </w:tc>
      </w:tr>
      <w:tr w14:paraId="4CBE6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202" w:type="dxa"/>
            <w:gridSpan w:val="2"/>
            <w:noWrap w:val="0"/>
            <w:vAlign w:val="center"/>
          </w:tcPr>
          <w:p w14:paraId="5D28AB0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最后报价（小写）</w:t>
            </w:r>
          </w:p>
        </w:tc>
        <w:tc>
          <w:tcPr>
            <w:tcW w:w="8508" w:type="dxa"/>
            <w:gridSpan w:val="6"/>
            <w:noWrap w:val="0"/>
            <w:vAlign w:val="center"/>
          </w:tcPr>
          <w:p w14:paraId="55D63484">
            <w:pPr>
              <w:spacing w:line="360" w:lineRule="auto"/>
              <w:jc w:val="center"/>
              <w:rPr>
                <w:rFonts w:hint="eastAsia" w:ascii="宋体" w:hAnsi="宋体" w:eastAsia="宋体" w:cs="宋体"/>
                <w:color w:val="auto"/>
                <w:sz w:val="24"/>
                <w:highlight w:val="none"/>
              </w:rPr>
            </w:pPr>
          </w:p>
        </w:tc>
      </w:tr>
      <w:tr w14:paraId="4428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202" w:type="dxa"/>
            <w:gridSpan w:val="2"/>
            <w:noWrap w:val="0"/>
            <w:vAlign w:val="center"/>
          </w:tcPr>
          <w:p w14:paraId="213F747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最后报价（大写）</w:t>
            </w:r>
          </w:p>
        </w:tc>
        <w:tc>
          <w:tcPr>
            <w:tcW w:w="8508" w:type="dxa"/>
            <w:gridSpan w:val="6"/>
            <w:noWrap w:val="0"/>
            <w:vAlign w:val="center"/>
          </w:tcPr>
          <w:p w14:paraId="30C985EA">
            <w:pPr>
              <w:spacing w:line="360" w:lineRule="auto"/>
              <w:jc w:val="center"/>
              <w:rPr>
                <w:rFonts w:hint="eastAsia" w:ascii="宋体" w:hAnsi="宋体" w:eastAsia="宋体" w:cs="宋体"/>
                <w:color w:val="auto"/>
                <w:sz w:val="24"/>
                <w:highlight w:val="none"/>
              </w:rPr>
            </w:pPr>
          </w:p>
        </w:tc>
      </w:tr>
    </w:tbl>
    <w:p w14:paraId="4998CC8C">
      <w:pPr>
        <w:spacing w:line="360" w:lineRule="auto"/>
        <w:ind w:left="-2" w:leftChars="-1" w:firstLine="420" w:firstLineChars="200"/>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注：</w:t>
      </w:r>
      <w:r>
        <w:rPr>
          <w:rFonts w:hint="eastAsia" w:ascii="宋体" w:hAnsi="宋体" w:eastAsia="宋体" w:cs="宋体"/>
          <w:color w:val="auto"/>
          <w:kern w:val="0"/>
          <w:sz w:val="21"/>
          <w:szCs w:val="21"/>
          <w:highlight w:val="none"/>
          <w:lang w:val="zh-CN"/>
        </w:rPr>
        <w:t>1、供应商需按本表格式填写，</w:t>
      </w:r>
      <w:r>
        <w:rPr>
          <w:rFonts w:hint="eastAsia" w:ascii="宋体" w:hAnsi="宋体" w:eastAsia="宋体" w:cs="宋体"/>
          <w:b/>
          <w:bCs/>
          <w:color w:val="auto"/>
          <w:kern w:val="0"/>
          <w:sz w:val="21"/>
          <w:szCs w:val="21"/>
          <w:highlight w:val="none"/>
          <w:lang w:val="zh-CN"/>
        </w:rPr>
        <w:t>否则视为响应文件含有采购人不能接受的附加条件，响应无效。</w:t>
      </w:r>
    </w:p>
    <w:p w14:paraId="4F9A5D3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kern w:val="0"/>
          <w:sz w:val="21"/>
          <w:szCs w:val="21"/>
          <w:highlight w:val="none"/>
          <w:lang w:val="zh-CN"/>
        </w:rPr>
      </w:pPr>
      <w:r>
        <w:rPr>
          <w:rFonts w:hint="eastAsia" w:ascii="宋体" w:hAnsi="宋体" w:eastAsia="宋体" w:cs="宋体"/>
          <w:color w:val="auto"/>
          <w:kern w:val="0"/>
          <w:sz w:val="21"/>
          <w:szCs w:val="21"/>
          <w:highlight w:val="none"/>
          <w:lang w:val="zh-CN"/>
        </w:rPr>
        <w:t>2</w:t>
      </w:r>
      <w:r>
        <w:rPr>
          <w:rFonts w:hint="eastAsia" w:ascii="宋体" w:hAnsi="宋体" w:eastAsia="宋体" w:cs="宋体"/>
          <w:b/>
          <w:bCs/>
          <w:color w:val="auto"/>
          <w:kern w:val="0"/>
          <w:sz w:val="21"/>
          <w:szCs w:val="21"/>
          <w:highlight w:val="none"/>
          <w:lang w:val="zh-CN"/>
        </w:rPr>
        <w:t>、</w:t>
      </w:r>
      <w:r>
        <w:rPr>
          <w:rFonts w:hint="eastAsia" w:ascii="宋体" w:hAnsi="宋体" w:eastAsia="宋体" w:cs="宋体"/>
          <w:b w:val="0"/>
          <w:bCs w:val="0"/>
          <w:color w:val="auto"/>
          <w:kern w:val="0"/>
          <w:sz w:val="21"/>
          <w:szCs w:val="21"/>
          <w:highlight w:val="none"/>
          <w:lang w:val="zh-CN"/>
        </w:rPr>
        <w:t>有关本项目实施所涉及的一切费用均计入报价。合同总价不为零，报价明细表中部分产品、服务单价为零的，视作已包含在总价中。采购人将以合同形式有偿取得货物或服务，不接受供应商给予的赠品、回扣或者与采购无关的其他商品、服务；采购内容未包含在《报价一览表》名称栏中，供应商不能作出合理解释的，视为响应文件含有采购人不能接受的附加条件的，响应无效。</w:t>
      </w:r>
    </w:p>
    <w:p w14:paraId="58EC66D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kern w:val="0"/>
          <w:sz w:val="21"/>
          <w:szCs w:val="21"/>
          <w:highlight w:val="none"/>
          <w:lang w:val="zh-CN"/>
        </w:rPr>
      </w:pPr>
      <w:r>
        <w:rPr>
          <w:rFonts w:hint="eastAsia" w:ascii="宋体" w:hAnsi="宋体" w:eastAsia="宋体" w:cs="宋体"/>
          <w:b w:val="0"/>
          <w:bCs w:val="0"/>
          <w:color w:val="auto"/>
          <w:kern w:val="0"/>
          <w:sz w:val="21"/>
          <w:szCs w:val="21"/>
          <w:highlight w:val="none"/>
          <w:lang w:val="zh-CN"/>
        </w:rPr>
        <w:t>3、报价低于项目预算50%的，应当在报价文件中详细阐述不影响产品质量或者诚信履约的具体原因。</w:t>
      </w:r>
    </w:p>
    <w:p w14:paraId="60092C21">
      <w:pPr>
        <w:snapToGrid w:val="0"/>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zh-CN"/>
        </w:rPr>
        <w:t>、特别提示：采购代理机构将对项目名称和项目编号，成交供应商名称、地址和成交金额，主要成交标的名称、服务范围、服务要求、服务时间、服务标准等予以公示。</w:t>
      </w:r>
    </w:p>
    <w:p w14:paraId="26C09736">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21DF15C">
      <w:pPr>
        <w:spacing w:line="360" w:lineRule="auto"/>
        <w:ind w:right="-874" w:rightChars="-416"/>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供应商名称（电子签名）：</w:t>
      </w:r>
    </w:p>
    <w:p w14:paraId="70BD525E">
      <w:pPr>
        <w:autoSpaceDE w:val="0"/>
        <w:autoSpaceDN w:val="0"/>
        <w:spacing w:line="360" w:lineRule="auto"/>
        <w:ind w:left="5040" w:hanging="5040" w:hangingChars="21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 xml:space="preserve">                                            日期：    年  月   日</w:t>
      </w:r>
    </w:p>
    <w:sectPr>
      <w:pgSz w:w="11906" w:h="16838"/>
      <w:pgMar w:top="1174" w:right="1417" w:bottom="1151" w:left="141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panose1 w:val="020B0604020202020204"/>
    <w:charset w:val="00"/>
    <w:family w:val="swiss"/>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Arial"/>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Arial"/>
    <w:panose1 w:val="00000000000000000000"/>
    <w:charset w:val="00"/>
    <w:family w:val="swiss"/>
    <w:pitch w:val="default"/>
    <w:sig w:usb0="00000000" w:usb1="00000000" w:usb2="00000000" w:usb3="00000000" w:csb0="000001FB" w:csb1="00000000"/>
  </w:font>
  <w:font w:name="楷体">
    <w:panose1 w:val="02010609060101010101"/>
    <w:charset w:val="86"/>
    <w:family w:val="auto"/>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2010509060101010101"/>
    <w:charset w:val="86"/>
    <w:family w:val="modern"/>
    <w:pitch w:val="default"/>
    <w:sig w:usb0="00000000" w:usb1="00000000" w:usb2="00000000" w:usb3="00000000" w:csb0="00040000" w:csb1="00000000"/>
  </w:font>
  <w:font w:name="Aldine401 BT">
    <w:altName w:val="Arial"/>
    <w:panose1 w:val="00000000000000000000"/>
    <w:charset w:val="00"/>
    <w:family w:val="roman"/>
    <w:pitch w:val="default"/>
    <w:sig w:usb0="00000000" w:usb1="00000000" w:usb2="00000000" w:usb3="00000000" w:csb0="00000011" w:csb1="00000000"/>
  </w:font>
  <w:font w:name="Century Gothic">
    <w:altName w:val="Arial"/>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0CAC8">
    <w:pPr>
      <w:pStyle w:val="37"/>
      <w:framePr w:wrap="around" w:vAnchor="text" w:hAnchor="margin" w:xAlign="right" w:y="1"/>
      <w:rPr>
        <w:rStyle w:val="64"/>
      </w:rPr>
    </w:pPr>
    <w:r>
      <w:fldChar w:fldCharType="begin"/>
    </w:r>
    <w:r>
      <w:rPr>
        <w:rStyle w:val="64"/>
      </w:rPr>
      <w:instrText xml:space="preserve">PAGE  </w:instrText>
    </w:r>
    <w:r>
      <w:fldChar w:fldCharType="end"/>
    </w:r>
  </w:p>
  <w:p w14:paraId="4EAC9523">
    <w:pPr>
      <w:pStyle w:val="3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4858C">
    <w:pPr>
      <w:pStyle w:val="3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60669D">
                          <w:pPr>
                            <w:pStyle w:val="3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B60669D">
                    <w:pPr>
                      <w:pStyle w:val="3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6ADD4">
    <w:pPr>
      <w:pStyle w:val="3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FF0F5A">
                          <w:pPr>
                            <w:pStyle w:val="3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5FF0F5A">
                    <w:pPr>
                      <w:pStyle w:val="3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D9BB3">
    <w:pPr>
      <w:pStyle w:val="56"/>
      <w:ind w:firstLine="180" w:firstLineChars="100"/>
      <w:jc w:val="both"/>
      <w:rPr>
        <w:rFonts w:hint="eastAsia" w:ascii="宋体" w:hAnsi="宋体" w:eastAsia="宋体" w:cs="宋体"/>
        <w:b w:val="0"/>
        <w:i w:val="0"/>
        <w:iCs w:val="0"/>
        <w:sz w:val="18"/>
        <w:szCs w:val="18"/>
        <w:u w:val="single"/>
      </w:rPr>
    </w:pPr>
    <w:r>
      <w:rPr>
        <w:rFonts w:hint="eastAsia" w:eastAsia="仿宋_GB2312"/>
        <w:b w:val="0"/>
        <w:i/>
        <w:iCs/>
        <w:sz w:val="18"/>
        <w:szCs w:val="18"/>
        <w:u w:val="single"/>
      </w:rPr>
      <w:t xml:space="preserve">                                     </w:t>
    </w:r>
    <w:r>
      <w:rPr>
        <w:rFonts w:hint="eastAsia" w:ascii="宋体" w:hAnsi="宋体" w:cs="宋体"/>
        <w:b w:val="0"/>
        <w:i w:val="0"/>
        <w:iCs w:val="0"/>
        <w:sz w:val="18"/>
        <w:szCs w:val="18"/>
        <w:u w:val="single"/>
        <w:lang w:eastAsia="zh-CN"/>
      </w:rPr>
      <w:t>2024年“未来工厂”认定评估及新模式推广应用项目</w:t>
    </w:r>
    <w:r>
      <w:rPr>
        <w:rFonts w:hint="eastAsia" w:ascii="宋体" w:hAnsi="宋体" w:eastAsia="宋体" w:cs="宋体"/>
        <w:b w:val="0"/>
        <w:i w:val="0"/>
        <w:iCs w:val="0"/>
        <w:sz w:val="18"/>
        <w:szCs w:val="18"/>
        <w:u w:val="single"/>
        <w:lang w:eastAsia="zh-CN"/>
      </w:rPr>
      <w:t>竞争性磋商文件</w:t>
    </w:r>
    <w:r>
      <w:rPr>
        <w:rFonts w:hint="eastAsia" w:ascii="宋体" w:hAnsi="宋体" w:eastAsia="宋体" w:cs="宋体"/>
        <w:b w:val="0"/>
        <w:i w:val="0"/>
        <w:iCs w:val="0"/>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65020">
    <w:pPr>
      <w:pStyle w:val="38"/>
      <w:jc w:val="right"/>
      <w:rPr>
        <w:rFonts w:hint="eastAsia"/>
        <w:lang w:eastAsia="zh-CN"/>
      </w:rPr>
    </w:pPr>
    <w:r>
      <w:rPr>
        <w:rFonts w:hint="eastAsia" w:ascii="宋体" w:hAnsi="宋体" w:cs="宋体"/>
        <w:b w:val="0"/>
        <w:i w:val="0"/>
        <w:iCs w:val="0"/>
        <w:sz w:val="18"/>
        <w:szCs w:val="18"/>
        <w:u w:val="none"/>
        <w:lang w:eastAsia="zh-CN"/>
      </w:rPr>
      <w:t>2024年“未来工厂”认定评估及新模式推广应用项目</w:t>
    </w:r>
    <w:r>
      <w:rPr>
        <w:rFonts w:hint="eastAsia" w:ascii="宋体" w:hAnsi="宋体" w:eastAsia="宋体" w:cs="宋体"/>
        <w:b w:val="0"/>
        <w:i w:val="0"/>
        <w:iCs w:val="0"/>
        <w:sz w:val="18"/>
        <w:szCs w:val="18"/>
        <w:u w:val="none"/>
        <w:lang w:eastAsia="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60E34"/>
    <w:multiLevelType w:val="singleLevel"/>
    <w:tmpl w:val="80660E34"/>
    <w:lvl w:ilvl="0" w:tentative="0">
      <w:start w:val="1"/>
      <w:numFmt w:val="decimal"/>
      <w:lvlText w:val="%1."/>
      <w:lvlJc w:val="left"/>
      <w:pPr>
        <w:tabs>
          <w:tab w:val="left" w:pos="397"/>
        </w:tabs>
        <w:ind w:left="340" w:leftChars="0" w:hanging="340" w:firstLineChars="0"/>
      </w:pPr>
      <w:rPr>
        <w:rFonts w:hint="default"/>
      </w:rPr>
    </w:lvl>
  </w:abstractNum>
  <w:abstractNum w:abstractNumId="1">
    <w:nsid w:val="82EEC3DE"/>
    <w:multiLevelType w:val="multilevel"/>
    <w:tmpl w:val="82EEC3DE"/>
    <w:lvl w:ilvl="0" w:tentative="0">
      <w:start w:val="4"/>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
    <w:nsid w:val="8F9A0097"/>
    <w:multiLevelType w:val="multilevel"/>
    <w:tmpl w:val="8F9A0097"/>
    <w:lvl w:ilvl="0" w:tentative="0">
      <w:start w:val="5"/>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3">
    <w:nsid w:val="98E679FC"/>
    <w:multiLevelType w:val="singleLevel"/>
    <w:tmpl w:val="98E679FC"/>
    <w:lvl w:ilvl="0" w:tentative="0">
      <w:start w:val="1"/>
      <w:numFmt w:val="decimal"/>
      <w:lvlText w:val="(%1)"/>
      <w:lvlJc w:val="left"/>
      <w:pPr>
        <w:ind w:left="425" w:hanging="425"/>
      </w:pPr>
      <w:rPr>
        <w:rFonts w:hint="default"/>
      </w:rPr>
    </w:lvl>
  </w:abstractNum>
  <w:abstractNum w:abstractNumId="4">
    <w:nsid w:val="B1E04445"/>
    <w:multiLevelType w:val="multilevel"/>
    <w:tmpl w:val="B1E04445"/>
    <w:lvl w:ilvl="0" w:tentative="0">
      <w:start w:val="2"/>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5">
    <w:nsid w:val="BB45F322"/>
    <w:multiLevelType w:val="singleLevel"/>
    <w:tmpl w:val="BB45F322"/>
    <w:lvl w:ilvl="0" w:tentative="0">
      <w:start w:val="1"/>
      <w:numFmt w:val="decimal"/>
      <w:lvlText w:val="(%1)"/>
      <w:lvlJc w:val="left"/>
      <w:pPr>
        <w:ind w:left="425" w:hanging="425"/>
      </w:pPr>
      <w:rPr>
        <w:rFonts w:hint="default"/>
      </w:rPr>
    </w:lvl>
  </w:abstractNum>
  <w:abstractNum w:abstractNumId="6">
    <w:nsid w:val="C3422329"/>
    <w:multiLevelType w:val="multilevel"/>
    <w:tmpl w:val="C3422329"/>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7">
    <w:nsid w:val="C86D8AAB"/>
    <w:multiLevelType w:val="singleLevel"/>
    <w:tmpl w:val="C86D8AAB"/>
    <w:lvl w:ilvl="0" w:tentative="0">
      <w:start w:val="1"/>
      <w:numFmt w:val="decimal"/>
      <w:lvlText w:val="(%1)"/>
      <w:lvlJc w:val="left"/>
      <w:pPr>
        <w:ind w:left="425" w:hanging="425"/>
      </w:pPr>
      <w:rPr>
        <w:rFonts w:hint="default"/>
      </w:rPr>
    </w:lvl>
  </w:abstractNum>
  <w:abstractNum w:abstractNumId="8">
    <w:nsid w:val="CAC07571"/>
    <w:multiLevelType w:val="singleLevel"/>
    <w:tmpl w:val="CAC07571"/>
    <w:lvl w:ilvl="0" w:tentative="0">
      <w:start w:val="1"/>
      <w:numFmt w:val="decimal"/>
      <w:lvlText w:val="%1."/>
      <w:lvlJc w:val="center"/>
      <w:pPr>
        <w:tabs>
          <w:tab w:val="left" w:pos="42"/>
        </w:tabs>
        <w:ind w:left="71" w:leftChars="0" w:hanging="45" w:firstLineChars="0"/>
      </w:pPr>
      <w:rPr>
        <w:rFonts w:hint="default" w:ascii="宋体" w:hAnsi="宋体" w:eastAsia="宋体" w:cs="宋体"/>
      </w:rPr>
    </w:lvl>
  </w:abstractNum>
  <w:abstractNum w:abstractNumId="9">
    <w:nsid w:val="DFDB276E"/>
    <w:multiLevelType w:val="singleLevel"/>
    <w:tmpl w:val="DFDB276E"/>
    <w:lvl w:ilvl="0" w:tentative="0">
      <w:start w:val="1"/>
      <w:numFmt w:val="chineseCounting"/>
      <w:suff w:val="nothing"/>
      <w:lvlText w:val="%1、"/>
      <w:lvlJc w:val="left"/>
      <w:pPr>
        <w:ind w:left="0" w:firstLine="420"/>
      </w:pPr>
      <w:rPr>
        <w:rFonts w:hint="eastAsia"/>
      </w:rPr>
    </w:lvl>
  </w:abstractNum>
  <w:abstractNum w:abstractNumId="10">
    <w:nsid w:val="E20630FF"/>
    <w:multiLevelType w:val="multilevel"/>
    <w:tmpl w:val="E20630FF"/>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1">
    <w:nsid w:val="E58775C7"/>
    <w:multiLevelType w:val="singleLevel"/>
    <w:tmpl w:val="E58775C7"/>
    <w:lvl w:ilvl="0" w:tentative="0">
      <w:start w:val="1"/>
      <w:numFmt w:val="decimal"/>
      <w:lvlText w:val="(%1)"/>
      <w:lvlJc w:val="left"/>
      <w:pPr>
        <w:ind w:left="425" w:hanging="425"/>
      </w:pPr>
      <w:rPr>
        <w:rFonts w:hint="default"/>
      </w:rPr>
    </w:lvl>
  </w:abstractNum>
  <w:abstractNum w:abstractNumId="12">
    <w:nsid w:val="EC6B8095"/>
    <w:multiLevelType w:val="multilevel"/>
    <w:tmpl w:val="EC6B8095"/>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3">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4">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15">
    <w:nsid w:val="04C46C8E"/>
    <w:multiLevelType w:val="multilevel"/>
    <w:tmpl w:val="04C46C8E"/>
    <w:lvl w:ilvl="0" w:tentative="0">
      <w:start w:val="3"/>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6">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2"/>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17">
    <w:nsid w:val="16764330"/>
    <w:multiLevelType w:val="singleLevel"/>
    <w:tmpl w:val="16764330"/>
    <w:lvl w:ilvl="0" w:tentative="0">
      <w:start w:val="1"/>
      <w:numFmt w:val="decimal"/>
      <w:lvlText w:val="(%1)"/>
      <w:lvlJc w:val="left"/>
      <w:pPr>
        <w:ind w:left="425" w:hanging="425"/>
      </w:pPr>
      <w:rPr>
        <w:rFonts w:hint="default"/>
      </w:rPr>
    </w:lvl>
  </w:abstractNum>
  <w:abstractNum w:abstractNumId="18">
    <w:nsid w:val="207439DD"/>
    <w:multiLevelType w:val="multilevel"/>
    <w:tmpl w:val="207439DD"/>
    <w:lvl w:ilvl="0" w:tentative="0">
      <w:start w:val="4"/>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9">
    <w:nsid w:val="2ED9EEBE"/>
    <w:multiLevelType w:val="multilevel"/>
    <w:tmpl w:val="2ED9EEBE"/>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0">
    <w:nsid w:val="3742DF7F"/>
    <w:multiLevelType w:val="singleLevel"/>
    <w:tmpl w:val="3742DF7F"/>
    <w:lvl w:ilvl="0" w:tentative="0">
      <w:start w:val="1"/>
      <w:numFmt w:val="decimal"/>
      <w:lvlText w:val="(%1)"/>
      <w:lvlJc w:val="left"/>
      <w:pPr>
        <w:ind w:left="425" w:hanging="425"/>
      </w:pPr>
      <w:rPr>
        <w:rFonts w:hint="default"/>
        <w:i w:val="0"/>
        <w:iCs w:val="0"/>
      </w:rPr>
    </w:lvl>
  </w:abstractNum>
  <w:abstractNum w:abstractNumId="21">
    <w:nsid w:val="4E8212DA"/>
    <w:multiLevelType w:val="multilevel"/>
    <w:tmpl w:val="4E8212DA"/>
    <w:lvl w:ilvl="0" w:tentative="0">
      <w:start w:val="1"/>
      <w:numFmt w:val="decimal"/>
      <w:lvlText w:val="%1、"/>
      <w:lvlJc w:val="left"/>
      <w:pPr>
        <w:tabs>
          <w:tab w:val="left" w:pos="840"/>
        </w:tabs>
        <w:ind w:left="840" w:hanging="360"/>
      </w:pPr>
      <w:rPr>
        <w:rFonts w:hint="default"/>
      </w:rPr>
    </w:lvl>
    <w:lvl w:ilvl="1" w:tentative="0">
      <w:start w:val="1"/>
      <w:numFmt w:val="decimal"/>
      <w:lvlText w:val="(%2)"/>
      <w:lvlJc w:val="left"/>
      <w:pPr>
        <w:tabs>
          <w:tab w:val="left" w:pos="840"/>
        </w:tabs>
        <w:ind w:left="1320" w:leftChars="0" w:hanging="420" w:firstLineChars="0"/>
      </w:pPr>
      <w:rPr>
        <w:rFonts w:hint="default"/>
      </w:rPr>
    </w:lvl>
    <w:lvl w:ilvl="2" w:tentative="0">
      <w:start w:val="1"/>
      <w:numFmt w:val="decimalEnclosedCircleChinese"/>
      <w:lvlText w:val="%3"/>
      <w:lvlJc w:val="left"/>
      <w:pPr>
        <w:tabs>
          <w:tab w:val="left" w:pos="1260"/>
        </w:tabs>
        <w:ind w:left="1740" w:leftChars="0" w:hanging="420" w:firstLineChars="0"/>
      </w:pPr>
      <w:rPr>
        <w:rFonts w:hint="default"/>
      </w:rPr>
    </w:lvl>
    <w:lvl w:ilvl="3" w:tentative="0">
      <w:start w:val="1"/>
      <w:numFmt w:val="decimal"/>
      <w:lvlText w:val="%4)"/>
      <w:lvlJc w:val="left"/>
      <w:pPr>
        <w:tabs>
          <w:tab w:val="left" w:pos="1680"/>
        </w:tabs>
        <w:ind w:left="2160" w:leftChars="0" w:hanging="420" w:firstLineChars="0"/>
      </w:pPr>
      <w:rPr>
        <w:rFonts w:hint="default"/>
      </w:rPr>
    </w:lvl>
    <w:lvl w:ilvl="4" w:tentative="0">
      <w:start w:val="1"/>
      <w:numFmt w:val="lowerLetter"/>
      <w:lvlText w:val="%5."/>
      <w:lvlJc w:val="left"/>
      <w:pPr>
        <w:tabs>
          <w:tab w:val="left" w:pos="2100"/>
        </w:tabs>
        <w:ind w:left="2580" w:leftChars="0" w:hanging="420" w:firstLineChars="0"/>
      </w:pPr>
      <w:rPr>
        <w:rFonts w:hint="default"/>
      </w:rPr>
    </w:lvl>
    <w:lvl w:ilvl="5" w:tentative="0">
      <w:start w:val="1"/>
      <w:numFmt w:val="lowerLetter"/>
      <w:lvlText w:val="%6)"/>
      <w:lvlJc w:val="left"/>
      <w:pPr>
        <w:tabs>
          <w:tab w:val="left" w:pos="2520"/>
        </w:tabs>
        <w:ind w:left="3000" w:leftChars="0" w:hanging="420" w:firstLineChars="0"/>
      </w:pPr>
      <w:rPr>
        <w:rFonts w:hint="default"/>
      </w:rPr>
    </w:lvl>
    <w:lvl w:ilvl="6" w:tentative="0">
      <w:start w:val="1"/>
      <w:numFmt w:val="lowerRoman"/>
      <w:lvlText w:val="%7."/>
      <w:lvlJc w:val="left"/>
      <w:pPr>
        <w:tabs>
          <w:tab w:val="left" w:pos="2940"/>
        </w:tabs>
        <w:ind w:left="3420" w:leftChars="0" w:hanging="420" w:firstLineChars="0"/>
      </w:pPr>
      <w:rPr>
        <w:rFonts w:hint="default"/>
      </w:rPr>
    </w:lvl>
    <w:lvl w:ilvl="7" w:tentative="0">
      <w:start w:val="1"/>
      <w:numFmt w:val="lowerRoman"/>
      <w:lvlText w:val="%8)"/>
      <w:lvlJc w:val="left"/>
      <w:pPr>
        <w:tabs>
          <w:tab w:val="left" w:pos="3360"/>
        </w:tabs>
        <w:ind w:left="3840" w:leftChars="0" w:hanging="420" w:firstLineChars="0"/>
      </w:pPr>
      <w:rPr>
        <w:rFonts w:hint="default"/>
      </w:rPr>
    </w:lvl>
    <w:lvl w:ilvl="8" w:tentative="0">
      <w:start w:val="1"/>
      <w:numFmt w:val="lowerLetter"/>
      <w:lvlText w:val="%9."/>
      <w:lvlJc w:val="left"/>
      <w:pPr>
        <w:tabs>
          <w:tab w:val="left" w:pos="3780"/>
        </w:tabs>
        <w:ind w:left="4260" w:leftChars="0" w:hanging="420" w:firstLineChars="0"/>
      </w:pPr>
      <w:rPr>
        <w:rFonts w:hint="default"/>
      </w:rPr>
    </w:lvl>
  </w:abstractNum>
  <w:abstractNum w:abstractNumId="22">
    <w:nsid w:val="52B48799"/>
    <w:multiLevelType w:val="multilevel"/>
    <w:tmpl w:val="52B48799"/>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3">
    <w:nsid w:val="53BE00A2"/>
    <w:multiLevelType w:val="singleLevel"/>
    <w:tmpl w:val="53BE00A2"/>
    <w:lvl w:ilvl="0" w:tentative="0">
      <w:start w:val="1"/>
      <w:numFmt w:val="decimal"/>
      <w:lvlText w:val="%1."/>
      <w:lvlJc w:val="center"/>
      <w:pPr>
        <w:tabs>
          <w:tab w:val="left" w:pos="42"/>
        </w:tabs>
        <w:ind w:left="71" w:leftChars="0" w:hanging="45" w:firstLineChars="0"/>
      </w:pPr>
      <w:rPr>
        <w:rFonts w:hint="default" w:ascii="宋体" w:hAnsi="宋体" w:eastAsia="宋体" w:cs="宋体"/>
      </w:rPr>
    </w:lvl>
  </w:abstractNum>
  <w:abstractNum w:abstractNumId="24">
    <w:nsid w:val="5737B475"/>
    <w:multiLevelType w:val="multilevel"/>
    <w:tmpl w:val="5737B475"/>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5">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6">
    <w:nsid w:val="631C506F"/>
    <w:multiLevelType w:val="singleLevel"/>
    <w:tmpl w:val="631C506F"/>
    <w:lvl w:ilvl="0" w:tentative="0">
      <w:start w:val="1"/>
      <w:numFmt w:val="decimal"/>
      <w:lvlText w:val="(%1)"/>
      <w:lvlJc w:val="left"/>
      <w:pPr>
        <w:ind w:left="425" w:hanging="425"/>
      </w:pPr>
      <w:rPr>
        <w:rFonts w:hint="default"/>
      </w:rPr>
    </w:lvl>
  </w:abstractNum>
  <w:abstractNum w:abstractNumId="27">
    <w:nsid w:val="6A8067FF"/>
    <w:multiLevelType w:val="multilevel"/>
    <w:tmpl w:val="6A8067FF"/>
    <w:lvl w:ilvl="0" w:tentative="0">
      <w:start w:val="5"/>
      <w:numFmt w:val="decimal"/>
      <w:lvlText w:val="%1."/>
      <w:lvlJc w:val="left"/>
      <w:pPr>
        <w:ind w:left="323" w:leftChars="0" w:hanging="323" w:firstLineChars="0"/>
      </w:pPr>
      <w:rPr>
        <w:rFonts w:hint="default" w:ascii="宋体" w:hAnsi="宋体" w:eastAsia="宋体" w:cs="宋体"/>
      </w:rPr>
    </w:lvl>
    <w:lvl w:ilvl="1" w:tentative="0">
      <w:start w:val="4"/>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850" w:leftChars="0" w:hanging="850" w:firstLineChars="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8">
    <w:nsid w:val="6D24840C"/>
    <w:multiLevelType w:val="singleLevel"/>
    <w:tmpl w:val="6D24840C"/>
    <w:lvl w:ilvl="0" w:tentative="0">
      <w:start w:val="1"/>
      <w:numFmt w:val="decimal"/>
      <w:lvlText w:val="(%1)"/>
      <w:lvlJc w:val="left"/>
      <w:pPr>
        <w:ind w:left="425" w:hanging="425"/>
      </w:pPr>
      <w:rPr>
        <w:rFonts w:hint="default"/>
      </w:rPr>
    </w:lvl>
  </w:abstractNum>
  <w:abstractNum w:abstractNumId="29">
    <w:nsid w:val="6DB9E28E"/>
    <w:multiLevelType w:val="singleLevel"/>
    <w:tmpl w:val="6DB9E28E"/>
    <w:lvl w:ilvl="0" w:tentative="0">
      <w:start w:val="1"/>
      <w:numFmt w:val="chineseCounting"/>
      <w:suff w:val="space"/>
      <w:lvlText w:val="第%1部分"/>
      <w:lvlJc w:val="left"/>
      <w:rPr>
        <w:rFonts w:hint="eastAsia"/>
      </w:rPr>
    </w:lvl>
  </w:abstractNum>
  <w:abstractNum w:abstractNumId="30">
    <w:nsid w:val="71689E10"/>
    <w:multiLevelType w:val="singleLevel"/>
    <w:tmpl w:val="71689E10"/>
    <w:lvl w:ilvl="0" w:tentative="0">
      <w:start w:val="1"/>
      <w:numFmt w:val="decimal"/>
      <w:lvlText w:val="(%1)"/>
      <w:lvlJc w:val="left"/>
      <w:pPr>
        <w:ind w:left="425" w:hanging="425"/>
      </w:pPr>
      <w:rPr>
        <w:rFonts w:hint="default"/>
      </w:rPr>
    </w:lvl>
  </w:abstractNum>
  <w:abstractNum w:abstractNumId="31">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16"/>
  </w:num>
  <w:num w:numId="2">
    <w:abstractNumId w:val="13"/>
  </w:num>
  <w:num w:numId="3">
    <w:abstractNumId w:val="14"/>
  </w:num>
  <w:num w:numId="4">
    <w:abstractNumId w:val="25"/>
  </w:num>
  <w:num w:numId="5">
    <w:abstractNumId w:val="31"/>
  </w:num>
  <w:num w:numId="6">
    <w:abstractNumId w:val="0"/>
  </w:num>
  <w:num w:numId="7">
    <w:abstractNumId w:val="12"/>
  </w:num>
  <w:num w:numId="8">
    <w:abstractNumId w:val="6"/>
  </w:num>
  <w:num w:numId="9">
    <w:abstractNumId w:val="24"/>
  </w:num>
  <w:num w:numId="10">
    <w:abstractNumId w:val="15"/>
  </w:num>
  <w:num w:numId="11">
    <w:abstractNumId w:val="18"/>
  </w:num>
  <w:num w:numId="12">
    <w:abstractNumId w:val="2"/>
  </w:num>
  <w:num w:numId="13">
    <w:abstractNumId w:val="27"/>
  </w:num>
  <w:num w:numId="14">
    <w:abstractNumId w:val="23"/>
  </w:num>
  <w:num w:numId="15">
    <w:abstractNumId w:val="8"/>
  </w:num>
  <w:num w:numId="16">
    <w:abstractNumId w:val="4"/>
  </w:num>
  <w:num w:numId="17">
    <w:abstractNumId w:val="7"/>
  </w:num>
  <w:num w:numId="18">
    <w:abstractNumId w:val="29"/>
  </w:num>
  <w:num w:numId="19">
    <w:abstractNumId w:val="19"/>
  </w:num>
  <w:num w:numId="20">
    <w:abstractNumId w:val="5"/>
  </w:num>
  <w:num w:numId="21">
    <w:abstractNumId w:val="17"/>
  </w:num>
  <w:num w:numId="22">
    <w:abstractNumId w:val="20"/>
  </w:num>
  <w:num w:numId="23">
    <w:abstractNumId w:val="9"/>
  </w:num>
  <w:num w:numId="24">
    <w:abstractNumId w:val="10"/>
  </w:num>
  <w:num w:numId="25">
    <w:abstractNumId w:val="30"/>
  </w:num>
  <w:num w:numId="26">
    <w:abstractNumId w:val="11"/>
  </w:num>
  <w:num w:numId="27">
    <w:abstractNumId w:val="26"/>
  </w:num>
  <w:num w:numId="28">
    <w:abstractNumId w:val="28"/>
  </w:num>
  <w:num w:numId="29">
    <w:abstractNumId w:val="21"/>
  </w:num>
  <w:num w:numId="30">
    <w:abstractNumId w:val="22"/>
  </w:num>
  <w:num w:numId="31">
    <w:abstractNumId w:val="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zOGI4ZjM5MTZmOWU4M2ZjMTBhMzJkYzhmYzkzNTA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4D39"/>
    <w:rsid w:val="0005501B"/>
    <w:rsid w:val="000554C7"/>
    <w:rsid w:val="00055A61"/>
    <w:rsid w:val="00056118"/>
    <w:rsid w:val="000578A3"/>
    <w:rsid w:val="00057FC8"/>
    <w:rsid w:val="000600BA"/>
    <w:rsid w:val="00061A3C"/>
    <w:rsid w:val="000620B0"/>
    <w:rsid w:val="000646CA"/>
    <w:rsid w:val="00064D05"/>
    <w:rsid w:val="00065868"/>
    <w:rsid w:val="000665C4"/>
    <w:rsid w:val="00067821"/>
    <w:rsid w:val="0006785E"/>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5674"/>
    <w:rsid w:val="000A5A46"/>
    <w:rsid w:val="000B0E04"/>
    <w:rsid w:val="000B4B56"/>
    <w:rsid w:val="000B53F1"/>
    <w:rsid w:val="000B54C1"/>
    <w:rsid w:val="000B62AC"/>
    <w:rsid w:val="000B6BDF"/>
    <w:rsid w:val="000C0A43"/>
    <w:rsid w:val="000C1ADE"/>
    <w:rsid w:val="000C1C38"/>
    <w:rsid w:val="000C222C"/>
    <w:rsid w:val="000C2264"/>
    <w:rsid w:val="000C4727"/>
    <w:rsid w:val="000C47AE"/>
    <w:rsid w:val="000C51AD"/>
    <w:rsid w:val="000C5374"/>
    <w:rsid w:val="000C5EC0"/>
    <w:rsid w:val="000C6688"/>
    <w:rsid w:val="000C7BEB"/>
    <w:rsid w:val="000D11E5"/>
    <w:rsid w:val="000D1D28"/>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C1F"/>
    <w:rsid w:val="001B219B"/>
    <w:rsid w:val="001B2703"/>
    <w:rsid w:val="001B2ABD"/>
    <w:rsid w:val="001B46B2"/>
    <w:rsid w:val="001B4CA8"/>
    <w:rsid w:val="001B572D"/>
    <w:rsid w:val="001B738E"/>
    <w:rsid w:val="001B7B69"/>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FA2"/>
    <w:rsid w:val="00240F67"/>
    <w:rsid w:val="00241144"/>
    <w:rsid w:val="00242009"/>
    <w:rsid w:val="00242510"/>
    <w:rsid w:val="00243F5D"/>
    <w:rsid w:val="0024415B"/>
    <w:rsid w:val="00247422"/>
    <w:rsid w:val="00247BA2"/>
    <w:rsid w:val="00251CB4"/>
    <w:rsid w:val="002531BD"/>
    <w:rsid w:val="002533FE"/>
    <w:rsid w:val="002537FC"/>
    <w:rsid w:val="002543EF"/>
    <w:rsid w:val="00255146"/>
    <w:rsid w:val="0025631F"/>
    <w:rsid w:val="00256986"/>
    <w:rsid w:val="00257246"/>
    <w:rsid w:val="00263044"/>
    <w:rsid w:val="00263759"/>
    <w:rsid w:val="0026385E"/>
    <w:rsid w:val="002645DB"/>
    <w:rsid w:val="0026470B"/>
    <w:rsid w:val="0026486D"/>
    <w:rsid w:val="00264CEB"/>
    <w:rsid w:val="002660C3"/>
    <w:rsid w:val="00266DE1"/>
    <w:rsid w:val="00266E08"/>
    <w:rsid w:val="00267E43"/>
    <w:rsid w:val="00273C5F"/>
    <w:rsid w:val="00274C6D"/>
    <w:rsid w:val="002751CA"/>
    <w:rsid w:val="0027544D"/>
    <w:rsid w:val="002778AB"/>
    <w:rsid w:val="002802A5"/>
    <w:rsid w:val="00281BCB"/>
    <w:rsid w:val="00282CA4"/>
    <w:rsid w:val="0028583E"/>
    <w:rsid w:val="00285FF3"/>
    <w:rsid w:val="0028744E"/>
    <w:rsid w:val="0028766A"/>
    <w:rsid w:val="00287936"/>
    <w:rsid w:val="002903C5"/>
    <w:rsid w:val="00290A99"/>
    <w:rsid w:val="00290EAF"/>
    <w:rsid w:val="0029159A"/>
    <w:rsid w:val="00292AA1"/>
    <w:rsid w:val="0029499D"/>
    <w:rsid w:val="00294A13"/>
    <w:rsid w:val="00295073"/>
    <w:rsid w:val="0029704D"/>
    <w:rsid w:val="002979C5"/>
    <w:rsid w:val="00297AF5"/>
    <w:rsid w:val="002A02D6"/>
    <w:rsid w:val="002A07C4"/>
    <w:rsid w:val="002A0921"/>
    <w:rsid w:val="002A2001"/>
    <w:rsid w:val="002A4EB3"/>
    <w:rsid w:val="002A51D9"/>
    <w:rsid w:val="002A5275"/>
    <w:rsid w:val="002A74FA"/>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EDB"/>
    <w:rsid w:val="00312378"/>
    <w:rsid w:val="00312DFC"/>
    <w:rsid w:val="0031318C"/>
    <w:rsid w:val="00313C9D"/>
    <w:rsid w:val="00314C5A"/>
    <w:rsid w:val="0031531A"/>
    <w:rsid w:val="00315394"/>
    <w:rsid w:val="00315A0E"/>
    <w:rsid w:val="00315D77"/>
    <w:rsid w:val="00316CDE"/>
    <w:rsid w:val="00317012"/>
    <w:rsid w:val="0032226B"/>
    <w:rsid w:val="00324B2F"/>
    <w:rsid w:val="00326106"/>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60304"/>
    <w:rsid w:val="00365427"/>
    <w:rsid w:val="003669C8"/>
    <w:rsid w:val="00366CEB"/>
    <w:rsid w:val="00366D8A"/>
    <w:rsid w:val="003679D3"/>
    <w:rsid w:val="00367A87"/>
    <w:rsid w:val="003703CE"/>
    <w:rsid w:val="00371C6D"/>
    <w:rsid w:val="003726FA"/>
    <w:rsid w:val="00372C89"/>
    <w:rsid w:val="00372E9A"/>
    <w:rsid w:val="00374677"/>
    <w:rsid w:val="0037632F"/>
    <w:rsid w:val="00377B26"/>
    <w:rsid w:val="00381014"/>
    <w:rsid w:val="00381F60"/>
    <w:rsid w:val="00382C74"/>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24"/>
    <w:rsid w:val="003A03EF"/>
    <w:rsid w:val="003A12B6"/>
    <w:rsid w:val="003A20D5"/>
    <w:rsid w:val="003A24CC"/>
    <w:rsid w:val="003A2EE8"/>
    <w:rsid w:val="003A373C"/>
    <w:rsid w:val="003A5378"/>
    <w:rsid w:val="003A5567"/>
    <w:rsid w:val="003A7E2B"/>
    <w:rsid w:val="003A7E40"/>
    <w:rsid w:val="003B0336"/>
    <w:rsid w:val="003B0A3A"/>
    <w:rsid w:val="003B4810"/>
    <w:rsid w:val="003B514E"/>
    <w:rsid w:val="003B5E0A"/>
    <w:rsid w:val="003B613B"/>
    <w:rsid w:val="003B636A"/>
    <w:rsid w:val="003C011C"/>
    <w:rsid w:val="003C0EB6"/>
    <w:rsid w:val="003C435B"/>
    <w:rsid w:val="003C4EBE"/>
    <w:rsid w:val="003C685A"/>
    <w:rsid w:val="003C6E9C"/>
    <w:rsid w:val="003C7F12"/>
    <w:rsid w:val="003D03D6"/>
    <w:rsid w:val="003D04C3"/>
    <w:rsid w:val="003D14C8"/>
    <w:rsid w:val="003D1517"/>
    <w:rsid w:val="003D2DA0"/>
    <w:rsid w:val="003D34C3"/>
    <w:rsid w:val="003D5ADB"/>
    <w:rsid w:val="003D663E"/>
    <w:rsid w:val="003D6793"/>
    <w:rsid w:val="003D6B03"/>
    <w:rsid w:val="003D75D8"/>
    <w:rsid w:val="003E0746"/>
    <w:rsid w:val="003E0E7C"/>
    <w:rsid w:val="003E336A"/>
    <w:rsid w:val="003E60DA"/>
    <w:rsid w:val="003E61F6"/>
    <w:rsid w:val="003E6439"/>
    <w:rsid w:val="003E6E00"/>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739A"/>
    <w:rsid w:val="004475F7"/>
    <w:rsid w:val="00447DFB"/>
    <w:rsid w:val="00450B22"/>
    <w:rsid w:val="004533CE"/>
    <w:rsid w:val="004543AB"/>
    <w:rsid w:val="00454BF5"/>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64C6"/>
    <w:rsid w:val="00477247"/>
    <w:rsid w:val="004776BB"/>
    <w:rsid w:val="00480DC5"/>
    <w:rsid w:val="00481886"/>
    <w:rsid w:val="00482288"/>
    <w:rsid w:val="00483984"/>
    <w:rsid w:val="00483BC7"/>
    <w:rsid w:val="00483CF0"/>
    <w:rsid w:val="00484D4D"/>
    <w:rsid w:val="0048664F"/>
    <w:rsid w:val="004868AD"/>
    <w:rsid w:val="00486D00"/>
    <w:rsid w:val="00487FE1"/>
    <w:rsid w:val="00490707"/>
    <w:rsid w:val="00490815"/>
    <w:rsid w:val="004914E8"/>
    <w:rsid w:val="00492B76"/>
    <w:rsid w:val="0049333E"/>
    <w:rsid w:val="0049418F"/>
    <w:rsid w:val="00495DC6"/>
    <w:rsid w:val="00497AAD"/>
    <w:rsid w:val="00497D1A"/>
    <w:rsid w:val="00497FE6"/>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0E0"/>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F7"/>
    <w:rsid w:val="0058767F"/>
    <w:rsid w:val="00587D7B"/>
    <w:rsid w:val="005901B7"/>
    <w:rsid w:val="005904DB"/>
    <w:rsid w:val="00592825"/>
    <w:rsid w:val="005931BD"/>
    <w:rsid w:val="00594437"/>
    <w:rsid w:val="005955EB"/>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ADC"/>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4AA8"/>
    <w:rsid w:val="00635B73"/>
    <w:rsid w:val="006368A8"/>
    <w:rsid w:val="00636CC7"/>
    <w:rsid w:val="00637F27"/>
    <w:rsid w:val="00643F89"/>
    <w:rsid w:val="00644BED"/>
    <w:rsid w:val="00644E2E"/>
    <w:rsid w:val="00645CB4"/>
    <w:rsid w:val="006470DC"/>
    <w:rsid w:val="00651F59"/>
    <w:rsid w:val="00652CF5"/>
    <w:rsid w:val="0065343E"/>
    <w:rsid w:val="00653C7C"/>
    <w:rsid w:val="006558CD"/>
    <w:rsid w:val="00656D49"/>
    <w:rsid w:val="00656E4D"/>
    <w:rsid w:val="006576BA"/>
    <w:rsid w:val="00662401"/>
    <w:rsid w:val="00662D3D"/>
    <w:rsid w:val="00662F1F"/>
    <w:rsid w:val="00664936"/>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78D"/>
    <w:rsid w:val="006C09CC"/>
    <w:rsid w:val="006C09F4"/>
    <w:rsid w:val="006C3EFE"/>
    <w:rsid w:val="006C4D29"/>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E60AC"/>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604D"/>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7BF9"/>
    <w:rsid w:val="007F2C38"/>
    <w:rsid w:val="007F30C6"/>
    <w:rsid w:val="007F3651"/>
    <w:rsid w:val="007F3752"/>
    <w:rsid w:val="007F4318"/>
    <w:rsid w:val="007F47DA"/>
    <w:rsid w:val="007F4E52"/>
    <w:rsid w:val="007F4F84"/>
    <w:rsid w:val="007F55A4"/>
    <w:rsid w:val="007F661E"/>
    <w:rsid w:val="007F75BB"/>
    <w:rsid w:val="00800766"/>
    <w:rsid w:val="00801D90"/>
    <w:rsid w:val="0080348B"/>
    <w:rsid w:val="00803EB0"/>
    <w:rsid w:val="00803EEF"/>
    <w:rsid w:val="008052CE"/>
    <w:rsid w:val="008052DB"/>
    <w:rsid w:val="0080705B"/>
    <w:rsid w:val="0081000F"/>
    <w:rsid w:val="0081264E"/>
    <w:rsid w:val="00812A1A"/>
    <w:rsid w:val="00812DFF"/>
    <w:rsid w:val="0081383A"/>
    <w:rsid w:val="00814DE6"/>
    <w:rsid w:val="00814FC7"/>
    <w:rsid w:val="00816FE0"/>
    <w:rsid w:val="00817416"/>
    <w:rsid w:val="00817583"/>
    <w:rsid w:val="00817FAD"/>
    <w:rsid w:val="00821306"/>
    <w:rsid w:val="00821D85"/>
    <w:rsid w:val="0082207E"/>
    <w:rsid w:val="00823FFD"/>
    <w:rsid w:val="0082427D"/>
    <w:rsid w:val="0082646C"/>
    <w:rsid w:val="00830052"/>
    <w:rsid w:val="008300D0"/>
    <w:rsid w:val="0083257C"/>
    <w:rsid w:val="00833307"/>
    <w:rsid w:val="00833583"/>
    <w:rsid w:val="00833B5B"/>
    <w:rsid w:val="00833E9A"/>
    <w:rsid w:val="00834FEF"/>
    <w:rsid w:val="00836323"/>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94A"/>
    <w:rsid w:val="008C1570"/>
    <w:rsid w:val="008C2059"/>
    <w:rsid w:val="008C58E7"/>
    <w:rsid w:val="008C65F4"/>
    <w:rsid w:val="008C7368"/>
    <w:rsid w:val="008D0E65"/>
    <w:rsid w:val="008D1FAF"/>
    <w:rsid w:val="008D2259"/>
    <w:rsid w:val="008D33FE"/>
    <w:rsid w:val="008D3B9F"/>
    <w:rsid w:val="008D3D02"/>
    <w:rsid w:val="008D54C0"/>
    <w:rsid w:val="008D5760"/>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9000F2"/>
    <w:rsid w:val="0090079D"/>
    <w:rsid w:val="00900D2C"/>
    <w:rsid w:val="00901F0E"/>
    <w:rsid w:val="0090408F"/>
    <w:rsid w:val="0090446A"/>
    <w:rsid w:val="00904DC3"/>
    <w:rsid w:val="00905469"/>
    <w:rsid w:val="0090629C"/>
    <w:rsid w:val="009065C6"/>
    <w:rsid w:val="00906EA2"/>
    <w:rsid w:val="00907278"/>
    <w:rsid w:val="009128B8"/>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A45"/>
    <w:rsid w:val="00A4534D"/>
    <w:rsid w:val="00A46C6D"/>
    <w:rsid w:val="00A472B8"/>
    <w:rsid w:val="00A502F5"/>
    <w:rsid w:val="00A504F4"/>
    <w:rsid w:val="00A51577"/>
    <w:rsid w:val="00A51B47"/>
    <w:rsid w:val="00A526CE"/>
    <w:rsid w:val="00A54DC0"/>
    <w:rsid w:val="00A550C9"/>
    <w:rsid w:val="00A55228"/>
    <w:rsid w:val="00A564DE"/>
    <w:rsid w:val="00A61B91"/>
    <w:rsid w:val="00A63335"/>
    <w:rsid w:val="00A63685"/>
    <w:rsid w:val="00A63DDD"/>
    <w:rsid w:val="00A66473"/>
    <w:rsid w:val="00A66E28"/>
    <w:rsid w:val="00A70590"/>
    <w:rsid w:val="00A71542"/>
    <w:rsid w:val="00A71FA0"/>
    <w:rsid w:val="00A72C1A"/>
    <w:rsid w:val="00A74021"/>
    <w:rsid w:val="00A7463E"/>
    <w:rsid w:val="00A765B1"/>
    <w:rsid w:val="00A772F2"/>
    <w:rsid w:val="00A77828"/>
    <w:rsid w:val="00A8073D"/>
    <w:rsid w:val="00A807A2"/>
    <w:rsid w:val="00A80D02"/>
    <w:rsid w:val="00A812A8"/>
    <w:rsid w:val="00A82D32"/>
    <w:rsid w:val="00A82EAE"/>
    <w:rsid w:val="00A839DC"/>
    <w:rsid w:val="00A84BA2"/>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971"/>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56B8"/>
    <w:rsid w:val="00B37B8E"/>
    <w:rsid w:val="00B40222"/>
    <w:rsid w:val="00B404C3"/>
    <w:rsid w:val="00B40BA6"/>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ED9"/>
    <w:rsid w:val="00BA2C82"/>
    <w:rsid w:val="00BA2E8A"/>
    <w:rsid w:val="00BA583B"/>
    <w:rsid w:val="00BA5EC7"/>
    <w:rsid w:val="00BA6319"/>
    <w:rsid w:val="00BA63CE"/>
    <w:rsid w:val="00BA6551"/>
    <w:rsid w:val="00BA6791"/>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64A"/>
    <w:rsid w:val="00BD2B4D"/>
    <w:rsid w:val="00BD2DAE"/>
    <w:rsid w:val="00BD2FB9"/>
    <w:rsid w:val="00BD31C2"/>
    <w:rsid w:val="00BD450A"/>
    <w:rsid w:val="00BD4717"/>
    <w:rsid w:val="00BD48BC"/>
    <w:rsid w:val="00BD48EA"/>
    <w:rsid w:val="00BD4BA8"/>
    <w:rsid w:val="00BD6B0E"/>
    <w:rsid w:val="00BD7941"/>
    <w:rsid w:val="00BE0C55"/>
    <w:rsid w:val="00BE11A2"/>
    <w:rsid w:val="00BE246C"/>
    <w:rsid w:val="00BE2657"/>
    <w:rsid w:val="00BE37AE"/>
    <w:rsid w:val="00BE73C3"/>
    <w:rsid w:val="00BF03C0"/>
    <w:rsid w:val="00BF21D4"/>
    <w:rsid w:val="00BF4A15"/>
    <w:rsid w:val="00BF4E27"/>
    <w:rsid w:val="00BF6D77"/>
    <w:rsid w:val="00C0378E"/>
    <w:rsid w:val="00C04258"/>
    <w:rsid w:val="00C05AFD"/>
    <w:rsid w:val="00C0724C"/>
    <w:rsid w:val="00C07AEF"/>
    <w:rsid w:val="00C07C11"/>
    <w:rsid w:val="00C10015"/>
    <w:rsid w:val="00C12ECB"/>
    <w:rsid w:val="00C1373A"/>
    <w:rsid w:val="00C13AD4"/>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68F9"/>
    <w:rsid w:val="00C405C8"/>
    <w:rsid w:val="00C41E09"/>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22F"/>
    <w:rsid w:val="00C8779E"/>
    <w:rsid w:val="00C87850"/>
    <w:rsid w:val="00C87BD0"/>
    <w:rsid w:val="00C90B95"/>
    <w:rsid w:val="00C90CA9"/>
    <w:rsid w:val="00C9354F"/>
    <w:rsid w:val="00C93B40"/>
    <w:rsid w:val="00C93D48"/>
    <w:rsid w:val="00C93DB5"/>
    <w:rsid w:val="00C97DD7"/>
    <w:rsid w:val="00CA0492"/>
    <w:rsid w:val="00CA0A04"/>
    <w:rsid w:val="00CA3CAB"/>
    <w:rsid w:val="00CA6A2E"/>
    <w:rsid w:val="00CB52A4"/>
    <w:rsid w:val="00CB537C"/>
    <w:rsid w:val="00CB6675"/>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D0336E"/>
    <w:rsid w:val="00D04F01"/>
    <w:rsid w:val="00D04F8B"/>
    <w:rsid w:val="00D054EF"/>
    <w:rsid w:val="00D05637"/>
    <w:rsid w:val="00D05BA9"/>
    <w:rsid w:val="00D06E71"/>
    <w:rsid w:val="00D0764E"/>
    <w:rsid w:val="00D07D82"/>
    <w:rsid w:val="00D10BE1"/>
    <w:rsid w:val="00D11FE3"/>
    <w:rsid w:val="00D13D50"/>
    <w:rsid w:val="00D14919"/>
    <w:rsid w:val="00D14E25"/>
    <w:rsid w:val="00D152D6"/>
    <w:rsid w:val="00D16525"/>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154B"/>
    <w:rsid w:val="00DB3490"/>
    <w:rsid w:val="00DB4F12"/>
    <w:rsid w:val="00DB5256"/>
    <w:rsid w:val="00DB53A2"/>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43006"/>
    <w:rsid w:val="00E43551"/>
    <w:rsid w:val="00E43C59"/>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D0B"/>
    <w:rsid w:val="00E93195"/>
    <w:rsid w:val="00E93F21"/>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4CD1"/>
    <w:rsid w:val="00F15115"/>
    <w:rsid w:val="00F15D8C"/>
    <w:rsid w:val="00F16E1A"/>
    <w:rsid w:val="00F20197"/>
    <w:rsid w:val="00F20607"/>
    <w:rsid w:val="00F208BB"/>
    <w:rsid w:val="00F20D7A"/>
    <w:rsid w:val="00F210BE"/>
    <w:rsid w:val="00F211FC"/>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642"/>
    <w:rsid w:val="00F419B8"/>
    <w:rsid w:val="00F41C0F"/>
    <w:rsid w:val="00F42856"/>
    <w:rsid w:val="00F43390"/>
    <w:rsid w:val="00F43EF6"/>
    <w:rsid w:val="00F4482B"/>
    <w:rsid w:val="00F44F02"/>
    <w:rsid w:val="00F4526B"/>
    <w:rsid w:val="00F462DF"/>
    <w:rsid w:val="00F4662D"/>
    <w:rsid w:val="00F468AC"/>
    <w:rsid w:val="00F47316"/>
    <w:rsid w:val="00F47507"/>
    <w:rsid w:val="00F5052D"/>
    <w:rsid w:val="00F50BF0"/>
    <w:rsid w:val="00F51A82"/>
    <w:rsid w:val="00F5254B"/>
    <w:rsid w:val="00F53A44"/>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786"/>
    <w:rsid w:val="00F67E81"/>
    <w:rsid w:val="00F719B2"/>
    <w:rsid w:val="00F71C68"/>
    <w:rsid w:val="00F724E2"/>
    <w:rsid w:val="00F72A89"/>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AE2"/>
    <w:rsid w:val="00FD5546"/>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F0B4F"/>
    <w:rsid w:val="00FF1AD3"/>
    <w:rsid w:val="00FF49F4"/>
    <w:rsid w:val="00FF651D"/>
    <w:rsid w:val="00FF68CA"/>
    <w:rsid w:val="010651D9"/>
    <w:rsid w:val="017B3C02"/>
    <w:rsid w:val="01AA1480"/>
    <w:rsid w:val="01AE00F5"/>
    <w:rsid w:val="022C2B30"/>
    <w:rsid w:val="02DA0C0E"/>
    <w:rsid w:val="02F474A0"/>
    <w:rsid w:val="032E3C03"/>
    <w:rsid w:val="03B9487A"/>
    <w:rsid w:val="03BB23AC"/>
    <w:rsid w:val="03DD35E4"/>
    <w:rsid w:val="057940B5"/>
    <w:rsid w:val="05CB07C7"/>
    <w:rsid w:val="065A6178"/>
    <w:rsid w:val="06A76C94"/>
    <w:rsid w:val="075562B7"/>
    <w:rsid w:val="083225A7"/>
    <w:rsid w:val="087D5842"/>
    <w:rsid w:val="0895534F"/>
    <w:rsid w:val="096B2097"/>
    <w:rsid w:val="09BE6112"/>
    <w:rsid w:val="0A5B7E63"/>
    <w:rsid w:val="0B335FE1"/>
    <w:rsid w:val="0C4C405B"/>
    <w:rsid w:val="0C6048D0"/>
    <w:rsid w:val="0C87121B"/>
    <w:rsid w:val="0DC12A1D"/>
    <w:rsid w:val="0DEF71E2"/>
    <w:rsid w:val="0DF702FE"/>
    <w:rsid w:val="0E3177FA"/>
    <w:rsid w:val="0E3F698B"/>
    <w:rsid w:val="0EA370F2"/>
    <w:rsid w:val="0F21508F"/>
    <w:rsid w:val="0F2C31E8"/>
    <w:rsid w:val="0F816ACD"/>
    <w:rsid w:val="0FC573EF"/>
    <w:rsid w:val="103C0F1F"/>
    <w:rsid w:val="10B00808"/>
    <w:rsid w:val="10B047CF"/>
    <w:rsid w:val="10F460E3"/>
    <w:rsid w:val="10FC16EA"/>
    <w:rsid w:val="118963A1"/>
    <w:rsid w:val="127723A9"/>
    <w:rsid w:val="13072A44"/>
    <w:rsid w:val="139D37F3"/>
    <w:rsid w:val="145044FA"/>
    <w:rsid w:val="16232329"/>
    <w:rsid w:val="178763DD"/>
    <w:rsid w:val="1837793B"/>
    <w:rsid w:val="195C5947"/>
    <w:rsid w:val="199A412C"/>
    <w:rsid w:val="1A4B1C44"/>
    <w:rsid w:val="1B2A271F"/>
    <w:rsid w:val="1B890139"/>
    <w:rsid w:val="1B8A0C83"/>
    <w:rsid w:val="1C157672"/>
    <w:rsid w:val="1C4E71BE"/>
    <w:rsid w:val="1D266CE1"/>
    <w:rsid w:val="1D3963AF"/>
    <w:rsid w:val="1D526A56"/>
    <w:rsid w:val="1E294A87"/>
    <w:rsid w:val="1E610255"/>
    <w:rsid w:val="1E714A66"/>
    <w:rsid w:val="1EC4411D"/>
    <w:rsid w:val="1F090C74"/>
    <w:rsid w:val="1F5B65F2"/>
    <w:rsid w:val="1FAC33EA"/>
    <w:rsid w:val="1FC9027D"/>
    <w:rsid w:val="1FD1489B"/>
    <w:rsid w:val="1FE868A9"/>
    <w:rsid w:val="201F539F"/>
    <w:rsid w:val="20F87059"/>
    <w:rsid w:val="211E26D6"/>
    <w:rsid w:val="21283D08"/>
    <w:rsid w:val="25A55F80"/>
    <w:rsid w:val="25B440B3"/>
    <w:rsid w:val="26E6252A"/>
    <w:rsid w:val="27446F4F"/>
    <w:rsid w:val="27BC197A"/>
    <w:rsid w:val="27BC7535"/>
    <w:rsid w:val="27F03E2A"/>
    <w:rsid w:val="295E519C"/>
    <w:rsid w:val="2AA1365A"/>
    <w:rsid w:val="2B57684C"/>
    <w:rsid w:val="2BE91131"/>
    <w:rsid w:val="2C067EBA"/>
    <w:rsid w:val="2C605298"/>
    <w:rsid w:val="2DD15014"/>
    <w:rsid w:val="2E923807"/>
    <w:rsid w:val="2FD25781"/>
    <w:rsid w:val="30120C14"/>
    <w:rsid w:val="319C6071"/>
    <w:rsid w:val="31E9231A"/>
    <w:rsid w:val="32DB72BE"/>
    <w:rsid w:val="332C1CA5"/>
    <w:rsid w:val="342E63AB"/>
    <w:rsid w:val="345D260B"/>
    <w:rsid w:val="35243365"/>
    <w:rsid w:val="35E30B2B"/>
    <w:rsid w:val="365302AE"/>
    <w:rsid w:val="36CB0CA8"/>
    <w:rsid w:val="372B2789"/>
    <w:rsid w:val="37680E84"/>
    <w:rsid w:val="39224DAA"/>
    <w:rsid w:val="3986639D"/>
    <w:rsid w:val="39A13F14"/>
    <w:rsid w:val="39B527DE"/>
    <w:rsid w:val="3A19387C"/>
    <w:rsid w:val="3A3B384F"/>
    <w:rsid w:val="3A6A646E"/>
    <w:rsid w:val="3AF10C17"/>
    <w:rsid w:val="3C5F759A"/>
    <w:rsid w:val="3CA84C0C"/>
    <w:rsid w:val="3D5C78D4"/>
    <w:rsid w:val="3E570308"/>
    <w:rsid w:val="3E7C1B1C"/>
    <w:rsid w:val="3EA175B2"/>
    <w:rsid w:val="411B48E7"/>
    <w:rsid w:val="42E1381E"/>
    <w:rsid w:val="43FB717C"/>
    <w:rsid w:val="4488714B"/>
    <w:rsid w:val="44C24001"/>
    <w:rsid w:val="450F6FB8"/>
    <w:rsid w:val="451E447A"/>
    <w:rsid w:val="45345B76"/>
    <w:rsid w:val="471A6376"/>
    <w:rsid w:val="47307808"/>
    <w:rsid w:val="4862712B"/>
    <w:rsid w:val="486F747C"/>
    <w:rsid w:val="48802209"/>
    <w:rsid w:val="49906437"/>
    <w:rsid w:val="49C371CF"/>
    <w:rsid w:val="4A894B63"/>
    <w:rsid w:val="4D861CF6"/>
    <w:rsid w:val="4EC015B1"/>
    <w:rsid w:val="4F3F1A48"/>
    <w:rsid w:val="4FD70497"/>
    <w:rsid w:val="505E73A8"/>
    <w:rsid w:val="50983A7B"/>
    <w:rsid w:val="50A1573D"/>
    <w:rsid w:val="51071719"/>
    <w:rsid w:val="51A0432A"/>
    <w:rsid w:val="523D0E4F"/>
    <w:rsid w:val="527140E5"/>
    <w:rsid w:val="5292508F"/>
    <w:rsid w:val="52A96B6F"/>
    <w:rsid w:val="54CC7EAC"/>
    <w:rsid w:val="54ED70F1"/>
    <w:rsid w:val="550764A4"/>
    <w:rsid w:val="551261CC"/>
    <w:rsid w:val="551926E0"/>
    <w:rsid w:val="563727A7"/>
    <w:rsid w:val="56515F3B"/>
    <w:rsid w:val="572B71CA"/>
    <w:rsid w:val="579D6E26"/>
    <w:rsid w:val="58AE4F0C"/>
    <w:rsid w:val="5A2A7C7B"/>
    <w:rsid w:val="5A921B96"/>
    <w:rsid w:val="5B527A35"/>
    <w:rsid w:val="5C0F5926"/>
    <w:rsid w:val="5C3A6E47"/>
    <w:rsid w:val="5C80234E"/>
    <w:rsid w:val="5DB34EE4"/>
    <w:rsid w:val="5E261785"/>
    <w:rsid w:val="5EC31348"/>
    <w:rsid w:val="5FCC5339"/>
    <w:rsid w:val="605D4DC7"/>
    <w:rsid w:val="60CC0C16"/>
    <w:rsid w:val="60D256C3"/>
    <w:rsid w:val="60E53485"/>
    <w:rsid w:val="61054A27"/>
    <w:rsid w:val="611D2366"/>
    <w:rsid w:val="62494122"/>
    <w:rsid w:val="62885958"/>
    <w:rsid w:val="62DE42A4"/>
    <w:rsid w:val="632D5BB8"/>
    <w:rsid w:val="63F73D10"/>
    <w:rsid w:val="64CE2EAA"/>
    <w:rsid w:val="662001A3"/>
    <w:rsid w:val="662E75B1"/>
    <w:rsid w:val="66342C2E"/>
    <w:rsid w:val="663E784C"/>
    <w:rsid w:val="67DD4B2A"/>
    <w:rsid w:val="68077AAE"/>
    <w:rsid w:val="685867EC"/>
    <w:rsid w:val="686E167F"/>
    <w:rsid w:val="68A66960"/>
    <w:rsid w:val="69D43C36"/>
    <w:rsid w:val="6A051F0D"/>
    <w:rsid w:val="6B1E5B86"/>
    <w:rsid w:val="6B981494"/>
    <w:rsid w:val="6C5F0204"/>
    <w:rsid w:val="6D071793"/>
    <w:rsid w:val="6DB4632D"/>
    <w:rsid w:val="6DF2323C"/>
    <w:rsid w:val="6E8E12EF"/>
    <w:rsid w:val="6EF538D0"/>
    <w:rsid w:val="6F17582A"/>
    <w:rsid w:val="6FFB2258"/>
    <w:rsid w:val="718874D8"/>
    <w:rsid w:val="71CA25C3"/>
    <w:rsid w:val="71D43752"/>
    <w:rsid w:val="722021E3"/>
    <w:rsid w:val="72762A5C"/>
    <w:rsid w:val="739C3AEB"/>
    <w:rsid w:val="73DD6243"/>
    <w:rsid w:val="7413559A"/>
    <w:rsid w:val="7458490C"/>
    <w:rsid w:val="749C4185"/>
    <w:rsid w:val="758F74DF"/>
    <w:rsid w:val="75DA2C18"/>
    <w:rsid w:val="76CD7981"/>
    <w:rsid w:val="7733722C"/>
    <w:rsid w:val="775319EF"/>
    <w:rsid w:val="77C55BC5"/>
    <w:rsid w:val="790F1C77"/>
    <w:rsid w:val="79132DE8"/>
    <w:rsid w:val="791660EE"/>
    <w:rsid w:val="79C27F0E"/>
    <w:rsid w:val="7A67303B"/>
    <w:rsid w:val="7AAB1D04"/>
    <w:rsid w:val="7ABA4368"/>
    <w:rsid w:val="7B0F6403"/>
    <w:rsid w:val="7B257FFD"/>
    <w:rsid w:val="7B4B7D30"/>
    <w:rsid w:val="7C2B1DA5"/>
    <w:rsid w:val="7C5432D3"/>
    <w:rsid w:val="7D5C0DC0"/>
    <w:rsid w:val="7DF4317E"/>
    <w:rsid w:val="7E64308B"/>
    <w:rsid w:val="7E6D4A02"/>
    <w:rsid w:val="7EA46E41"/>
    <w:rsid w:val="7F1A5E1B"/>
    <w:rsid w:val="7F4B2907"/>
    <w:rsid w:val="7F7F275F"/>
    <w:rsid w:val="D7916D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link w:val="629"/>
    <w:qFormat/>
    <w:uiPriority w:val="9"/>
    <w:pPr>
      <w:keepNext/>
      <w:keepLines/>
      <w:numPr>
        <w:ilvl w:val="0"/>
        <w:numId w:val="0"/>
      </w:numPr>
      <w:adjustRightInd/>
      <w:spacing w:line="360" w:lineRule="auto"/>
      <w:ind w:left="431" w:hanging="431"/>
      <w:jc w:val="left"/>
      <w:outlineLvl w:val="1"/>
    </w:pPr>
    <w:rPr>
      <w:rFonts w:ascii="宋体" w:hAnsi="宋体" w:eastAsia="宋体" w:cs="宋体"/>
      <w:b/>
      <w:bCs/>
      <w:sz w:val="32"/>
      <w:szCs w:val="32"/>
      <w:lang w:val="zh-CN"/>
    </w:rPr>
  </w:style>
  <w:style w:type="paragraph" w:styleId="2">
    <w:name w:val="heading 3"/>
    <w:basedOn w:val="1"/>
    <w:next w:val="1"/>
    <w:link w:val="630"/>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2"/>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2"/>
    <w:qFormat/>
    <w:uiPriority w:val="0"/>
    <w:pPr>
      <w:jc w:val="left"/>
    </w:pPr>
  </w:style>
  <w:style w:type="paragraph" w:styleId="20">
    <w:name w:val="Salutation"/>
    <w:basedOn w:val="1"/>
    <w:next w:val="1"/>
    <w:link w:val="480"/>
    <w:qFormat/>
    <w:uiPriority w:val="0"/>
    <w:rPr>
      <w:rFonts w:ascii="仿宋_GB2312" w:eastAsia="仿宋_GB2312"/>
      <w:sz w:val="28"/>
      <w:szCs w:val="20"/>
    </w:rPr>
  </w:style>
  <w:style w:type="paragraph" w:styleId="21">
    <w:name w:val="Body Text 3"/>
    <w:basedOn w:val="1"/>
    <w:link w:val="579"/>
    <w:qFormat/>
    <w:uiPriority w:val="0"/>
    <w:pPr>
      <w:jc w:val="center"/>
    </w:pPr>
    <w:rPr>
      <w:szCs w:val="20"/>
    </w:rPr>
  </w:style>
  <w:style w:type="paragraph" w:styleId="22">
    <w:name w:val="Body Text"/>
    <w:basedOn w:val="1"/>
    <w:next w:val="1"/>
    <w:link w:val="510"/>
    <w:qFormat/>
    <w:uiPriority w:val="0"/>
    <w:pPr>
      <w:autoSpaceDE w:val="0"/>
      <w:autoSpaceDN w:val="0"/>
      <w:spacing w:line="360" w:lineRule="auto"/>
    </w:pPr>
    <w:rPr>
      <w:rFonts w:ascii="宋体"/>
      <w:sz w:val="24"/>
      <w:szCs w:val="21"/>
      <w:lang w:val="zh-CN"/>
    </w:rPr>
  </w:style>
  <w:style w:type="paragraph" w:styleId="23">
    <w:name w:val="Body Text Indent"/>
    <w:basedOn w:val="1"/>
    <w:next w:val="1"/>
    <w:link w:val="473"/>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87"/>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6"/>
    <w:qFormat/>
    <w:uiPriority w:val="0"/>
    <w:pPr>
      <w:ind w:left="100" w:leftChars="2500"/>
    </w:pPr>
    <w:rPr>
      <w:rFonts w:ascii="宋体"/>
      <w:sz w:val="24"/>
      <w:szCs w:val="21"/>
      <w:lang w:val="zh-CN"/>
    </w:rPr>
  </w:style>
  <w:style w:type="paragraph" w:styleId="35">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6">
    <w:name w:val="Balloon Text"/>
    <w:basedOn w:val="1"/>
    <w:link w:val="613"/>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471"/>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6"/>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1"/>
    <w:next w:val="1"/>
    <w:link w:val="543"/>
    <w:qFormat/>
    <w:uiPriority w:val="0"/>
    <w:pPr>
      <w:ind w:firstLine="420"/>
    </w:pPr>
    <w:rPr>
      <w:szCs w:val="20"/>
    </w:rPr>
  </w:style>
  <w:style w:type="paragraph" w:styleId="59">
    <w:name w:val="Body Text First Indent 2"/>
    <w:basedOn w:val="23"/>
    <w:link w:val="500"/>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qFormat/>
    <w:uiPriority w:val="0"/>
    <w:pPr>
      <w:tabs>
        <w:tab w:val="left" w:pos="2790"/>
        <w:tab w:val="left" w:pos="4230"/>
      </w:tabs>
      <w:spacing w:before="312" w:beforeLines="100"/>
      <w:jc w:val="left"/>
    </w:pPr>
  </w:style>
  <w:style w:type="paragraph" w:customStyle="1" w:styleId="7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qFormat/>
    <w:uiPriority w:val="0"/>
    <w:pPr>
      <w:adjustRightInd/>
      <w:spacing w:line="288" w:lineRule="auto"/>
      <w:ind w:firstLine="425" w:firstLineChars="200"/>
    </w:pPr>
  </w:style>
  <w:style w:type="paragraph" w:customStyle="1" w:styleId="76">
    <w:name w:val="Char1 Char Char Char"/>
    <w:basedOn w:val="1"/>
    <w:qFormat/>
    <w:uiPriority w:val="0"/>
    <w:rPr>
      <w:rFonts w:ascii="Tahoma" w:hAnsi="Tahoma"/>
      <w:sz w:val="24"/>
      <w:szCs w:val="20"/>
    </w:rPr>
  </w:style>
  <w:style w:type="paragraph" w:customStyle="1" w:styleId="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qFormat/>
    <w:uiPriority w:val="0"/>
    <w:pPr>
      <w:spacing w:after="156" w:afterLines="50"/>
      <w:jc w:val="left"/>
      <w:outlineLvl w:val="3"/>
    </w:pPr>
    <w:rPr>
      <w:sz w:val="24"/>
      <w:szCs w:val="24"/>
    </w:rPr>
  </w:style>
  <w:style w:type="paragraph" w:customStyle="1" w:styleId="8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qFormat/>
    <w:uiPriority w:val="0"/>
    <w:pPr>
      <w:numPr>
        <w:ilvl w:val="1"/>
        <w:numId w:val="3"/>
      </w:numPr>
      <w:adjustRightInd/>
    </w:pPr>
  </w:style>
  <w:style w:type="paragraph" w:customStyle="1" w:styleId="84">
    <w:name w:val="Char3"/>
    <w:basedOn w:val="1"/>
    <w:qFormat/>
    <w:uiPriority w:val="0"/>
    <w:pPr>
      <w:adjustRightInd/>
    </w:pPr>
    <w:rPr>
      <w:rFonts w:ascii="仿宋_GB2312" w:eastAsia="仿宋_GB2312"/>
      <w:b/>
      <w:sz w:val="32"/>
      <w:szCs w:val="32"/>
    </w:rPr>
  </w:style>
  <w:style w:type="paragraph" w:customStyle="1" w:styleId="85">
    <w:name w:val="Char Char1 Char Char Char Char Char Char"/>
    <w:basedOn w:val="1"/>
    <w:qFormat/>
    <w:uiPriority w:val="0"/>
    <w:rPr>
      <w:rFonts w:ascii="仿宋_GB2312" w:eastAsia="仿宋_GB2312"/>
      <w:b/>
      <w:sz w:val="32"/>
      <w:szCs w:val="20"/>
    </w:rPr>
  </w:style>
  <w:style w:type="paragraph" w:customStyle="1" w:styleId="86">
    <w:name w:val="文本正文 Char"/>
    <w:basedOn w:val="1"/>
    <w:qFormat/>
    <w:uiPriority w:val="0"/>
    <w:pPr>
      <w:spacing w:line="360" w:lineRule="auto"/>
      <w:ind w:firstLine="200" w:firstLineChars="200"/>
    </w:pPr>
    <w:rPr>
      <w:kern w:val="0"/>
      <w:sz w:val="24"/>
      <w:szCs w:val="20"/>
    </w:rPr>
  </w:style>
  <w:style w:type="paragraph" w:customStyle="1" w:styleId="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4"/>
    <w:next w:val="1"/>
    <w:qFormat/>
    <w:uiPriority w:val="0"/>
    <w:pPr>
      <w:numPr>
        <w:numId w:val="0"/>
      </w:numPr>
      <w:tabs>
        <w:tab w:val="left" w:pos="425"/>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6">
    <w:name w:val="Char1"/>
    <w:basedOn w:val="1"/>
    <w:qFormat/>
    <w:uiPriority w:val="0"/>
    <w:rPr>
      <w:rFonts w:ascii="仿宋_GB2312" w:eastAsia="仿宋_GB2312"/>
      <w:b/>
      <w:sz w:val="32"/>
      <w:szCs w:val="32"/>
    </w:rPr>
  </w:style>
  <w:style w:type="paragraph" w:customStyle="1" w:styleId="97">
    <w:name w:val="CM14"/>
    <w:basedOn w:val="98"/>
    <w:next w:val="98"/>
    <w:qFormat/>
    <w:uiPriority w:val="0"/>
    <w:pPr>
      <w:spacing w:after="68"/>
    </w:pPr>
    <w:rPr>
      <w:rFonts w:ascii="FHLHE E+ Futura Bk" w:eastAsia="FHLHE E+ Futura Bk" w:cs="Times New Roman"/>
      <w:color w:val="auto"/>
    </w:rPr>
  </w:style>
  <w:style w:type="paragraph" w:customStyle="1" w:styleId="98">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qFormat/>
    <w:uiPriority w:val="0"/>
    <w:pPr>
      <w:widowControl/>
      <w:numPr>
        <w:ilvl w:val="0"/>
        <w:numId w:val="3"/>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qFormat/>
    <w:uiPriority w:val="0"/>
    <w:pPr>
      <w:spacing w:line="360" w:lineRule="auto"/>
      <w:ind w:firstLine="200" w:firstLineChars="200"/>
    </w:pPr>
    <w:rPr>
      <w:rFonts w:eastAsia="楷体_GB2312" w:cs="Lucida Sans"/>
      <w:sz w:val="24"/>
    </w:rPr>
  </w:style>
  <w:style w:type="paragraph" w:customStyle="1" w:styleId="10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qFormat/>
    <w:uiPriority w:val="0"/>
    <w:rPr>
      <w:rFonts w:ascii="仿宋_GB2312" w:eastAsia="仿宋_GB2312"/>
      <w:b/>
      <w:sz w:val="32"/>
      <w:szCs w:val="32"/>
    </w:rPr>
  </w:style>
  <w:style w:type="paragraph" w:customStyle="1" w:styleId="1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qFormat/>
    <w:uiPriority w:val="0"/>
    <w:rPr>
      <w:rFonts w:ascii="Tahoma" w:hAnsi="Tahoma"/>
      <w:sz w:val="24"/>
      <w:szCs w:val="20"/>
    </w:rPr>
  </w:style>
  <w:style w:type="paragraph" w:customStyle="1" w:styleId="1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2">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qFormat/>
    <w:uiPriority w:val="0"/>
    <w:pPr>
      <w:spacing w:line="360" w:lineRule="auto"/>
      <w:ind w:firstLine="480" w:firstLineChars="200"/>
    </w:pPr>
    <w:rPr>
      <w:rFonts w:hAnsi="宋体"/>
      <w:sz w:val="24"/>
      <w:szCs w:val="20"/>
    </w:rPr>
  </w:style>
  <w:style w:type="paragraph" w:customStyle="1" w:styleId="119">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qFormat/>
    <w:uiPriority w:val="0"/>
    <w:pPr>
      <w:adjustRightInd/>
      <w:spacing w:line="400" w:lineRule="exact"/>
      <w:ind w:firstLine="200" w:firstLineChars="200"/>
    </w:pPr>
    <w:rPr>
      <w:rFonts w:ascii="Arial" w:hAnsi="Arial"/>
    </w:rPr>
  </w:style>
  <w:style w:type="paragraph" w:customStyle="1" w:styleId="1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qFormat/>
    <w:uiPriority w:val="0"/>
    <w:rPr>
      <w:rFonts w:ascii="Tahoma" w:hAnsi="Tahoma"/>
      <w:sz w:val="24"/>
      <w:szCs w:val="20"/>
    </w:rPr>
  </w:style>
  <w:style w:type="paragraph" w:customStyle="1" w:styleId="124">
    <w:name w:val="Char1 Char Char Char2"/>
    <w:basedOn w:val="1"/>
    <w:qFormat/>
    <w:uiPriority w:val="0"/>
    <w:pPr>
      <w:adjustRightInd/>
      <w:ind w:firstLine="200" w:firstLineChars="200"/>
    </w:pPr>
    <w:rPr>
      <w:rFonts w:ascii="Tahoma" w:hAnsi="Tahoma"/>
      <w:sz w:val="24"/>
      <w:szCs w:val="20"/>
    </w:rPr>
  </w:style>
  <w:style w:type="paragraph" w:customStyle="1" w:styleId="12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qFormat/>
    <w:uiPriority w:val="0"/>
    <w:pPr>
      <w:adjustRightInd/>
      <w:spacing w:line="360" w:lineRule="auto"/>
      <w:ind w:firstLine="480"/>
    </w:pPr>
    <w:rPr>
      <w:sz w:val="24"/>
    </w:rPr>
  </w:style>
  <w:style w:type="paragraph" w:customStyle="1" w:styleId="1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qFormat/>
    <w:uiPriority w:val="0"/>
    <w:pPr>
      <w:adjustRightInd/>
      <w:spacing w:line="300" w:lineRule="auto"/>
      <w:jc w:val="center"/>
    </w:pPr>
  </w:style>
  <w:style w:type="paragraph" w:customStyle="1" w:styleId="133">
    <w:name w:val="Char Char Char1 Char"/>
    <w:basedOn w:val="1"/>
    <w:qFormat/>
    <w:uiPriority w:val="0"/>
    <w:rPr>
      <w:szCs w:val="20"/>
    </w:rPr>
  </w:style>
  <w:style w:type="paragraph" w:customStyle="1" w:styleId="1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6">
    <w:name w:val="章标题"/>
    <w:next w:val="1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1">
    <w:name w:val="表文字"/>
    <w:qFormat/>
    <w:uiPriority w:val="0"/>
    <w:rPr>
      <w:rFonts w:ascii="宋体" w:hAnsi="Times New Roman" w:eastAsia="宋体" w:cs="Times New Roman"/>
      <w:kern w:val="2"/>
      <w:lang w:val="en-US" w:eastAsia="zh-CN" w:bidi="ar-SA"/>
    </w:rPr>
  </w:style>
  <w:style w:type="paragraph" w:customStyle="1" w:styleId="14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qFormat/>
    <w:uiPriority w:val="0"/>
    <w:pPr>
      <w:adjustRightInd/>
    </w:pPr>
    <w:rPr>
      <w:rFonts w:ascii="Tahoma" w:hAnsi="Tahoma"/>
      <w:sz w:val="24"/>
      <w:szCs w:val="20"/>
    </w:rPr>
  </w:style>
  <w:style w:type="paragraph" w:customStyle="1" w:styleId="15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qFormat/>
    <w:uiPriority w:val="0"/>
    <w:rPr>
      <w:rFonts w:ascii="仿宋_GB2312" w:eastAsia="仿宋_GB2312"/>
      <w:b/>
      <w:sz w:val="32"/>
      <w:szCs w:val="20"/>
    </w:rPr>
  </w:style>
  <w:style w:type="paragraph" w:customStyle="1" w:styleId="1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qFormat/>
    <w:uiPriority w:val="0"/>
    <w:pPr>
      <w:suppressAutoHyphens/>
      <w:adjustRightInd/>
      <w:ind w:firstLine="420"/>
    </w:pPr>
    <w:rPr>
      <w:kern w:val="1"/>
      <w:szCs w:val="20"/>
    </w:rPr>
  </w:style>
  <w:style w:type="paragraph" w:customStyle="1" w:styleId="1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qFormat/>
    <w:uiPriority w:val="0"/>
    <w:pPr>
      <w:spacing w:line="360" w:lineRule="auto"/>
    </w:pPr>
    <w:rPr>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qFormat/>
    <w:uiPriority w:val="0"/>
    <w:pPr>
      <w:adjustRightInd/>
      <w:ind w:firstLine="200" w:firstLineChars="200"/>
      <w:jc w:val="right"/>
    </w:pPr>
  </w:style>
  <w:style w:type="paragraph" w:customStyle="1" w:styleId="16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qFormat/>
    <w:uiPriority w:val="0"/>
    <w:pPr>
      <w:tabs>
        <w:tab w:val="left" w:pos="2356"/>
      </w:tabs>
    </w:pPr>
  </w:style>
  <w:style w:type="paragraph" w:customStyle="1" w:styleId="169">
    <w:name w:val="样式 标题 4h4H4Fab-4T5Ref Heading 1rh1Heading sqlsect 1.2.3...."/>
    <w:basedOn w:val="5"/>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qFormat/>
    <w:uiPriority w:val="0"/>
    <w:pPr>
      <w:numPr>
        <w:ilvl w:val="5"/>
        <w:numId w:val="3"/>
      </w:numPr>
      <w:tabs>
        <w:tab w:val="left" w:pos="1680"/>
        <w:tab w:val="left" w:pos="2100"/>
        <w:tab w:val="left" w:pos="2520"/>
      </w:tabs>
      <w:outlineLvl w:val="5"/>
    </w:pPr>
  </w:style>
  <w:style w:type="paragraph" w:customStyle="1" w:styleId="171">
    <w:name w:val="三级条标题"/>
    <w:basedOn w:val="172"/>
    <w:next w:val="137"/>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qFormat/>
    <w:uiPriority w:val="0"/>
    <w:pPr>
      <w:numPr>
        <w:ilvl w:val="3"/>
        <w:numId w:val="3"/>
      </w:numPr>
      <w:tabs>
        <w:tab w:val="left" w:pos="1680"/>
      </w:tabs>
      <w:ind w:left="0"/>
      <w:outlineLvl w:val="3"/>
    </w:pPr>
  </w:style>
  <w:style w:type="paragraph" w:customStyle="1" w:styleId="173">
    <w:name w:val="一级条标题"/>
    <w:basedOn w:val="136"/>
    <w:next w:val="137"/>
    <w:qFormat/>
    <w:uiPriority w:val="0"/>
    <w:pPr>
      <w:tabs>
        <w:tab w:val="left" w:pos="1680"/>
        <w:tab w:val="clear" w:pos="1260"/>
      </w:tabs>
      <w:spacing w:before="0" w:beforeLines="0" w:after="0" w:afterLines="0"/>
      <w:ind w:left="1680"/>
      <w:outlineLvl w:val="2"/>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2"/>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4"/>
    <w:qFormat/>
    <w:uiPriority w:val="0"/>
    <w:pPr>
      <w:numPr>
        <w:numId w:val="0"/>
      </w:numPr>
      <w:tabs>
        <w:tab w:val="left" w:pos="432"/>
      </w:tabs>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qFormat/>
    <w:uiPriority w:val="0"/>
    <w:pPr>
      <w:adjustRightInd/>
      <w:spacing w:before="156" w:beforeLines="50" w:line="360" w:lineRule="auto"/>
    </w:pPr>
    <w:rPr>
      <w:b/>
      <w:sz w:val="24"/>
    </w:rPr>
  </w:style>
  <w:style w:type="paragraph" w:customStyle="1" w:styleId="199">
    <w:name w:val="样式 标题 3H3 + 两端对齐"/>
    <w:basedOn w:val="2"/>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5"/>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7"/>
    <w:next w:val="1"/>
    <w:qFormat/>
    <w:uiPriority w:val="0"/>
    <w:pPr>
      <w:numPr>
        <w:numId w:val="4"/>
      </w:numPr>
      <w:tabs>
        <w:tab w:val="left" w:pos="480"/>
        <w:tab w:val="left" w:pos="1080"/>
        <w:tab w:val="clear" w:pos="1152"/>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3"/>
    <w:qFormat/>
    <w:uiPriority w:val="0"/>
    <w:pPr>
      <w:snapToGrid w:val="0"/>
      <w:spacing w:line="360" w:lineRule="auto"/>
    </w:pPr>
    <w:rPr>
      <w:rFonts w:ascii="宋体"/>
      <w:b/>
      <w:sz w:val="24"/>
      <w:szCs w:val="20"/>
    </w:rPr>
  </w:style>
  <w:style w:type="paragraph" w:customStyle="1" w:styleId="228">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5"/>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4"/>
    <w:qFormat/>
    <w:uiPriority w:val="0"/>
    <w:pPr>
      <w:widowControl/>
      <w:tabs>
        <w:tab w:val="left" w:pos="432"/>
      </w:tabs>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3"/>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4"/>
    <w:qFormat/>
    <w:uiPriority w:val="0"/>
    <w:pPr>
      <w:numPr>
        <w:numId w:val="0"/>
      </w:numPr>
      <w:tabs>
        <w:tab w:val="left" w:pos="432"/>
      </w:tabs>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styleId="29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4"/>
    <w:qFormat/>
    <w:uiPriority w:val="0"/>
    <w:pPr>
      <w:numPr>
        <w:numId w:val="0"/>
      </w:numPr>
      <w:tabs>
        <w:tab w:val="left" w:pos="860"/>
        <w:tab w:val="left" w:pos="1260"/>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5"/>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2"/>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4"/>
    <w:qFormat/>
    <w:uiPriority w:val="0"/>
    <w:pPr>
      <w:widowControl/>
      <w:tabs>
        <w:tab w:val="left" w:pos="432"/>
      </w:tabs>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4"/>
    <w:next w:val="1"/>
    <w:qFormat/>
    <w:uiPriority w:val="0"/>
    <w:pPr>
      <w:numPr>
        <w:ilvl w:val="1"/>
        <w:numId w:val="4"/>
      </w:numPr>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2"/>
    <w:qFormat/>
    <w:uiPriority w:val="0"/>
    <w:pPr>
      <w:numPr>
        <w:numId w:val="3"/>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qFormat/>
    <w:uiPriority w:val="0"/>
    <w:pPr>
      <w:snapToGrid w:val="0"/>
      <w:spacing w:line="360" w:lineRule="auto"/>
    </w:pPr>
  </w:style>
  <w:style w:type="paragraph" w:customStyle="1" w:styleId="370">
    <w:name w:val="表格题注"/>
    <w:next w:val="1"/>
    <w:qFormat/>
    <w:uiPriority w:val="0"/>
    <w:pPr>
      <w:keepLines/>
      <w:numPr>
        <w:ilvl w:val="8"/>
        <w:numId w:val="3"/>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4"/>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qFormat/>
    <w:uiPriority w:val="0"/>
    <w:pPr>
      <w:numPr>
        <w:numId w:val="4"/>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qFormat/>
    <w:uiPriority w:val="0"/>
    <w:pPr>
      <w:numPr>
        <w:numId w:val="3"/>
      </w:numPr>
      <w:tabs>
        <w:tab w:val="left" w:pos="840"/>
        <w:tab w:val="left" w:pos="2520"/>
        <w:tab w:val="clear" w:pos="1008"/>
      </w:tabs>
      <w:adjustRightInd/>
    </w:pPr>
  </w:style>
  <w:style w:type="paragraph" w:customStyle="1" w:styleId="409">
    <w:name w:val="样式 标题 3标题 3 Char第二层条h33Bold Headbh章标题1小标题level_3PIM 3..."/>
    <w:basedOn w:val="2"/>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3"/>
    <w:next w:val="1"/>
    <w:qFormat/>
    <w:uiPriority w:val="0"/>
    <w:pPr>
      <w:numPr>
        <w:numId w:val="4"/>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2"/>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3"/>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39"/>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9"/>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Char"/>
    <w:link w:val="47"/>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3"/>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8"/>
    <w:qFormat/>
    <w:uiPriority w:val="0"/>
    <w:rPr>
      <w:b/>
      <w:bCs/>
      <w:kern w:val="2"/>
      <w:sz w:val="24"/>
      <w:szCs w:val="24"/>
    </w:rPr>
  </w:style>
  <w:style w:type="character" w:customStyle="1" w:styleId="480">
    <w:name w:val="称呼 Char"/>
    <w:link w:val="20"/>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4"/>
    <w:qFormat/>
    <w:uiPriority w:val="0"/>
    <w:rPr>
      <w:rFonts w:ascii="Arial" w:hAnsi="Arial" w:eastAsia="隶书"/>
      <w:b/>
      <w:bCs/>
      <w:kern w:val="28"/>
      <w:sz w:val="44"/>
      <w:szCs w:val="32"/>
      <w:lang w:val="en-US" w:eastAsia="zh-CN" w:bidi="ar-SA"/>
    </w:rPr>
  </w:style>
  <w:style w:type="character" w:customStyle="1" w:styleId="487">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59"/>
    <w:qFormat/>
    <w:uiPriority w:val="0"/>
    <w:rPr>
      <w:rFonts w:ascii="宋体" w:hAnsi="宋体"/>
      <w:kern w:val="2"/>
      <w:sz w:val="21"/>
      <w:szCs w:val="24"/>
    </w:rPr>
  </w:style>
  <w:style w:type="character" w:customStyle="1" w:styleId="501">
    <w:name w:val="正文文本缩进 2 Char"/>
    <w:link w:val="35"/>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2"/>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0"/>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4"/>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58"/>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3"/>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28"/>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6"/>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1"/>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0"/>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4"/>
    <w:qFormat/>
    <w:uiPriority w:val="0"/>
    <w:rPr>
      <w:rFonts w:ascii="宋体"/>
      <w:kern w:val="2"/>
      <w:sz w:val="24"/>
      <w:szCs w:val="21"/>
      <w:lang w:val="zh-CN"/>
    </w:rPr>
  </w:style>
  <w:style w:type="character" w:customStyle="1" w:styleId="597">
    <w:name w:val="标题 4 Char"/>
    <w:link w:val="5"/>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7"/>
    <w:qFormat/>
    <w:uiPriority w:val="0"/>
    <w:rPr>
      <w:rFonts w:ascii="Arial" w:hAnsi="Arial" w:eastAsia="黑体"/>
      <w:b/>
      <w:bCs/>
      <w:kern w:val="2"/>
      <w:sz w:val="24"/>
      <w:szCs w:val="24"/>
    </w:rPr>
  </w:style>
  <w:style w:type="character" w:customStyle="1" w:styleId="611">
    <w:name w:val="正文缩进 Char2"/>
    <w:link w:val="15"/>
    <w:qFormat/>
    <w:uiPriority w:val="0"/>
    <w:rPr>
      <w:rFonts w:ascii="宋体" w:eastAsia="宋体"/>
      <w:snapToGrid w:val="0"/>
      <w:color w:val="000000"/>
      <w:kern w:val="28"/>
      <w:sz w:val="28"/>
      <w:lang w:val="en-US" w:eastAsia="zh-CN" w:bidi="ar-SA"/>
    </w:rPr>
  </w:style>
  <w:style w:type="character" w:customStyle="1" w:styleId="612">
    <w:name w:val="批注文字 Char1"/>
    <w:link w:val="19"/>
    <w:qFormat/>
    <w:uiPriority w:val="0"/>
    <w:rPr>
      <w:kern w:val="2"/>
      <w:sz w:val="21"/>
      <w:szCs w:val="24"/>
    </w:rPr>
  </w:style>
  <w:style w:type="character" w:customStyle="1" w:styleId="613">
    <w:name w:val="批注框文本 Char"/>
    <w:link w:val="36"/>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character" w:customStyle="1" w:styleId="629">
    <w:name w:val="标题 2 Char1"/>
    <w:link w:val="4"/>
    <w:qFormat/>
    <w:uiPriority w:val="9"/>
    <w:rPr>
      <w:rFonts w:ascii="宋体" w:hAnsi="宋体" w:eastAsia="宋体" w:cs="宋体"/>
      <w:b/>
      <w:bCs/>
      <w:sz w:val="32"/>
      <w:szCs w:val="32"/>
      <w:lang w:val="zh-CN"/>
    </w:rPr>
  </w:style>
  <w:style w:type="character" w:customStyle="1" w:styleId="630">
    <w:name w:val="标题 3 Char"/>
    <w:link w:val="2"/>
    <w:qFormat/>
    <w:uiPriority w:val="0"/>
    <w:rPr>
      <w:b/>
      <w:bCs/>
      <w:sz w:val="32"/>
      <w:szCs w:val="32"/>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正文_1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extobjs>
    <extobj name="ECB019B1-382A-4266-B25C-5B523AA43C14-1">
      <extobjdata type="ECB019B1-382A-4266-B25C-5B523AA43C14" data="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76</Pages>
  <Words>39020</Words>
  <Characters>40469</Characters>
  <Lines>397</Lines>
  <Paragraphs>111</Paragraphs>
  <TotalTime>2</TotalTime>
  <ScaleCrop>false</ScaleCrop>
  <LinksUpToDate>false</LinksUpToDate>
  <CharactersWithSpaces>44843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钱妍</cp:lastModifiedBy>
  <cp:lastPrinted>2022-01-11T16:15:00Z</cp:lastPrinted>
  <dcterms:modified xsi:type="dcterms:W3CDTF">2024-09-18T09:38:23Z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E2A2FE9D4FC54E248951A966852CFB35_13</vt:lpwstr>
  </property>
</Properties>
</file>