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adjustRightInd/>
        <w:spacing w:line="360" w:lineRule="auto"/>
        <w:jc w:val="center"/>
        <w:rPr>
          <w:rFonts w:ascii="宋体" w:hAnsi="宋体" w:cs="宋体"/>
          <w:b/>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lang w:eastAsia="zh-CN"/>
        </w:rPr>
      </w:pPr>
      <w:bookmarkStart w:id="0" w:name="OLE_LINK4"/>
      <w:r>
        <w:rPr>
          <w:rFonts w:hint="eastAsia" w:ascii="宋体" w:hAnsi="宋体" w:cs="宋体"/>
          <w:color w:val="auto"/>
          <w:sz w:val="48"/>
          <w:szCs w:val="48"/>
          <w:highlight w:val="none"/>
          <w:lang w:eastAsia="zh-CN"/>
        </w:rPr>
        <w:t>2025医疗废弃物收运处置服务</w:t>
      </w:r>
      <w:bookmarkEnd w:id="0"/>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w:t>
      </w:r>
      <w:bookmarkStart w:id="1" w:name="OLE_LINK5"/>
      <w:r>
        <w:rPr>
          <w:rFonts w:hint="eastAsia" w:ascii="宋体" w:hAnsi="宋体" w:cs="宋体"/>
          <w:color w:val="auto"/>
          <w:sz w:val="30"/>
          <w:szCs w:val="30"/>
          <w:highlight w:val="none"/>
          <w:lang w:eastAsia="zh-CN"/>
        </w:rPr>
        <w:t>ZJ-2530498</w:t>
      </w:r>
      <w:bookmarkEnd w:id="1"/>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杭州市第三人民医院</w:t>
      </w:r>
    </w:p>
    <w:p>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浙江国际招投标有限公司</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二〇二五年三月</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2" w:name="_Hlt67893495"/>
      <w:bookmarkEnd w:id="2"/>
    </w:p>
    <w:p>
      <w:pPr>
        <w:pStyle w:val="637"/>
        <w:rPr>
          <w:color w:val="auto"/>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adjustRightInd/>
        <w:spacing w:line="360" w:lineRule="auto"/>
        <w:jc w:val="center"/>
        <w:outlineLvl w:val="0"/>
        <w:rPr>
          <w:rFonts w:ascii="宋体" w:hAnsi="宋体" w:cs="宋体"/>
          <w:b/>
          <w:color w:val="auto"/>
          <w:sz w:val="36"/>
          <w:szCs w:val="20"/>
          <w:highlight w:val="none"/>
        </w:rPr>
      </w:pPr>
      <w:bookmarkStart w:id="3" w:name="_Hlt91233176"/>
      <w:bookmarkEnd w:id="3"/>
      <w:bookmarkStart w:id="4" w:name="_Toc91899869"/>
      <w:bookmarkStart w:id="5" w:name="第一部分"/>
      <w:r>
        <w:rPr>
          <w:rFonts w:hint="eastAsia" w:ascii="宋体" w:hAnsi="宋体" w:cs="宋体"/>
          <w:b/>
          <w:color w:val="auto"/>
          <w:sz w:val="36"/>
          <w:szCs w:val="36"/>
          <w:highlight w:val="none"/>
        </w:rPr>
        <w:br w:type="page"/>
      </w:r>
      <w:bookmarkEnd w:id="4"/>
      <w:bookmarkEnd w:id="5"/>
      <w:bookmarkStart w:id="6" w:name="_Hlt74649545"/>
      <w:bookmarkEnd w:id="6"/>
      <w:bookmarkStart w:id="7" w:name="_Hlt74729822"/>
      <w:bookmarkEnd w:id="7"/>
      <w:bookmarkStart w:id="8" w:name="_Hlt74728647"/>
      <w:bookmarkEnd w:id="8"/>
      <w:bookmarkStart w:id="9" w:name="_Hlt74707423"/>
      <w:bookmarkEnd w:id="9"/>
      <w:bookmarkStart w:id="10" w:name="第二部分"/>
      <w:bookmarkStart w:id="11" w:name="_Toc91899870"/>
      <w:bookmarkStart w:id="12"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2025医疗废弃物收运处置服务</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w:t>
      </w:r>
      <w:r>
        <w:rPr>
          <w:rStyle w:val="76"/>
          <w:rFonts w:hint="eastAsia" w:ascii="宋体" w:hAnsi="宋体" w:cs="宋体"/>
          <w:snapToGrid/>
          <w:color w:val="auto"/>
          <w:kern w:val="2"/>
          <w:sz w:val="24"/>
          <w:szCs w:val="24"/>
          <w:highlight w:val="none"/>
          <w:lang w:eastAsia="zh-CN"/>
        </w:rPr>
        <w:t>25年4月21</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eastAsia="zh-CN"/>
        </w:rPr>
        <w:t>14点00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一、项目基本情况</w:t>
      </w:r>
    </w:p>
    <w:p>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ZJ-2530498</w:t>
      </w:r>
    </w:p>
    <w:p>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color w:val="auto"/>
          <w:sz w:val="24"/>
          <w:highlight w:val="none"/>
          <w:lang w:eastAsia="zh-CN"/>
        </w:rPr>
        <w:t>2025医疗废弃物收运处置服务</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00000.00</w:t>
      </w:r>
    </w:p>
    <w:p>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p>
    <w:p>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2025医疗废弃物收运处置服务</w:t>
      </w:r>
      <w:r>
        <w:rPr>
          <w:rFonts w:hint="eastAsia" w:hAnsi="宋体" w:cs="宋体"/>
          <w:bCs/>
          <w:snapToGrid/>
          <w:color w:val="auto"/>
          <w:kern w:val="2"/>
          <w:sz w:val="24"/>
          <w:szCs w:val="24"/>
          <w:highlight w:val="none"/>
        </w:rPr>
        <w:t>主要内容：</w:t>
      </w:r>
      <w:r>
        <w:rPr>
          <w:rFonts w:hint="eastAsia" w:hAnsi="宋体" w:cs="宋体"/>
          <w:bCs/>
          <w:snapToGrid/>
          <w:color w:val="auto"/>
          <w:kern w:val="2"/>
          <w:sz w:val="24"/>
          <w:szCs w:val="24"/>
          <w:highlight w:val="none"/>
          <w:lang w:eastAsia="zh-CN"/>
        </w:rPr>
        <w:t>杭州市第三人民医院2025医疗废弃物收运处置服务</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136"/>
        <w:ind w:firstLine="482"/>
        <w:outlineLvl w:val="2"/>
        <w:rPr>
          <w:rFonts w:hint="eastAsia" w:ascii="宋体" w:hAnsi="宋体" w:eastAsia="宋体" w:cs="宋体"/>
          <w:color w:val="auto"/>
          <w:highlight w:val="none"/>
          <w:lang w:val="en-US" w:eastAsia="zh-CN"/>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1年</w:t>
      </w:r>
      <w:r>
        <w:rPr>
          <w:rFonts w:hint="eastAsia" w:ascii="宋体" w:hAnsi="宋体" w:eastAsia="宋体" w:cs="宋体"/>
          <w:b/>
          <w:color w:val="auto"/>
          <w:highlight w:val="none"/>
          <w:lang w:eastAsia="zh-CN"/>
        </w:rPr>
        <w:t>。</w:t>
      </w:r>
    </w:p>
    <w:p>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1"/>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bookmarkStart w:id="13" w:name="OLE_LINK7"/>
        </w:sdtContent>
      </w:sdt>
      <w:r>
        <w:rPr>
          <w:rFonts w:hint="eastAsia" w:ascii="宋体" w:hAnsi="宋体" w:cs="宋体"/>
          <w:color w:val="auto"/>
          <w:sz w:val="24"/>
          <w:highlight w:val="none"/>
        </w:rPr>
        <w:t>服务全部由符合政策要求的中小企业承接，提供中小企业声明函</w:t>
      </w:r>
      <w:bookmarkEnd w:id="13"/>
      <w:r>
        <w:rPr>
          <w:rFonts w:hint="eastAsia" w:ascii="宋体" w:hAnsi="宋体" w:cs="宋体"/>
          <w:color w:val="auto"/>
          <w:sz w:val="24"/>
          <w:highlight w:val="none"/>
        </w:rPr>
        <w:t>；</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pPr>
        <w:rPr>
          <w:rFonts w:ascii="宋体" w:hAnsi="宋体" w:cs="宋体"/>
          <w:color w:val="auto"/>
          <w:highlight w:val="none"/>
        </w:rPr>
      </w:pP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要求以联合体形式参加，提供联合协议和中小企业声明函，联合协议中中小企业合同金额应当达到%，其中小微企业合同金额应当达到%;</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 ，其中小微企业合同金额应当达到%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47466463"/>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ascii="宋体" w:hAnsi="宋体" w:cs="宋体"/>
          <w:color w:val="auto"/>
          <w:kern w:val="0"/>
          <w:sz w:val="24"/>
          <w:highlight w:val="none"/>
        </w:rPr>
        <w:t>无。</w:t>
      </w:r>
    </w:p>
    <w:p>
      <w:pPr>
        <w:snapToGrid w:val="0"/>
        <w:spacing w:line="360" w:lineRule="auto"/>
        <w:ind w:firstLine="480" w:firstLineChars="200"/>
        <w:rPr>
          <w:rFonts w:hint="eastAsia" w:ascii="宋体" w:hAnsi="宋体" w:cs="宋体"/>
          <w:color w:val="auto"/>
          <w:spacing w:val="8"/>
          <w:kern w:val="0"/>
          <w:sz w:val="24"/>
          <w:highlight w:val="none"/>
        </w:rPr>
      </w:pPr>
      <w:sdt>
        <w:sdtPr>
          <w:rPr>
            <w:rFonts w:hint="eastAsia" w:ascii="宋体" w:hAnsi="宋体" w:cs="宋体"/>
            <w:color w:val="auto"/>
            <w:kern w:val="0"/>
            <w:sz w:val="24"/>
            <w:highlight w:val="none"/>
          </w:rPr>
          <w:id w:val="813445193"/>
        </w:sdtPr>
        <w:sdtEndPr>
          <w:rPr>
            <w:rFonts w:hint="eastAsia" w:ascii="宋体" w:hAnsi="宋体" w:cs="宋体"/>
            <w:color w:val="auto"/>
            <w:kern w:val="0"/>
            <w:sz w:val="24"/>
            <w:highlight w:val="none"/>
          </w:rPr>
        </w:sdtEndPr>
        <w:sdtContent>
          <w:sdt>
            <w:sdtPr>
              <w:rPr>
                <w:rFonts w:hint="eastAsia" w:ascii="宋体" w:hAnsi="宋体" w:cs="宋体"/>
                <w:color w:val="auto"/>
                <w:kern w:val="0"/>
                <w:sz w:val="24"/>
                <w:highlight w:val="none"/>
              </w:rPr>
              <w:id w:val="147466463"/>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FE"/>
              </w:r>
            </w:sdtContent>
          </w:sdt>
        </w:sdtContent>
      </w:sdt>
      <w:r>
        <w:rPr>
          <w:rFonts w:hint="eastAsia" w:ascii="宋体" w:hAnsi="宋体" w:cs="宋体"/>
          <w:color w:val="auto"/>
          <w:sz w:val="24"/>
          <w:highlight w:val="none"/>
        </w:rPr>
        <w:t>有特定资格要求：</w:t>
      </w:r>
      <w:bookmarkStart w:id="525" w:name="_GoBack"/>
      <w:r>
        <w:rPr>
          <w:rFonts w:hint="eastAsia" w:ascii="宋体" w:hAnsi="宋体" w:cs="宋体"/>
          <w:color w:val="auto"/>
          <w:sz w:val="24"/>
          <w:highlight w:val="none"/>
        </w:rPr>
        <w:t>具有县级以上人民政府环境保护行政主管部门核发的危险废物经营许可证(许可证经营范围包括医疗废物的收集、转运)该特定条件的法律，法规依据:《医疗废物管理条例》</w:t>
      </w:r>
      <w:r>
        <w:rPr>
          <w:rFonts w:hint="eastAsia" w:ascii="宋体" w:hAnsi="宋体" w:cs="宋体"/>
          <w:color w:val="auto"/>
          <w:spacing w:val="8"/>
          <w:kern w:val="0"/>
          <w:sz w:val="24"/>
          <w:highlight w:val="none"/>
        </w:rPr>
        <w:t>。</w:t>
      </w:r>
      <w:bookmarkEnd w:id="525"/>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w:t>
      </w:r>
      <w:r>
        <w:rPr>
          <w:rFonts w:hint="eastAsia" w:ascii="宋体" w:hAnsi="宋体" w:cs="宋体"/>
          <w:color w:val="auto"/>
          <w:sz w:val="24"/>
          <w:highlight w:val="none"/>
          <w:u w:val="single"/>
          <w:lang w:eastAsia="zh-CN"/>
        </w:rPr>
        <w:t>25年4月21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w:t>
      </w:r>
      <w:r>
        <w:rPr>
          <w:rFonts w:hint="eastAsia" w:ascii="宋体" w:hAnsi="宋体" w:cs="宋体"/>
          <w:color w:val="auto"/>
          <w:sz w:val="24"/>
          <w:highlight w:val="none"/>
          <w:u w:val="single"/>
          <w:lang w:eastAsia="zh-CN"/>
        </w:rPr>
        <w:t>25年4月21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eastAsia="zh-CN"/>
        </w:rPr>
        <w:t>14点00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请登录政采云投标客户端投标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w:t>
      </w:r>
      <w:r>
        <w:rPr>
          <w:rFonts w:hint="eastAsia" w:ascii="宋体" w:hAnsi="宋体" w:cs="宋体"/>
          <w:color w:val="auto"/>
          <w:sz w:val="24"/>
          <w:highlight w:val="none"/>
          <w:u w:val="single"/>
          <w:lang w:eastAsia="zh-CN"/>
        </w:rPr>
        <w:t>25年4月21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eastAsia="zh-CN"/>
        </w:rPr>
        <w:t>14点00</w:t>
      </w:r>
      <w:r>
        <w:rPr>
          <w:rFonts w:hint="eastAsia" w:ascii="宋体" w:hAnsi="宋体" w:cs="宋体"/>
          <w:color w:val="auto"/>
          <w:sz w:val="24"/>
          <w:highlight w:val="none"/>
          <w:u w:val="single"/>
        </w:rPr>
        <w:t>分00秒</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杭州市第三人民医院</w:t>
      </w:r>
    </w:p>
    <w:p>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杭州市西湖大道</w:t>
      </w:r>
      <w:r>
        <w:rPr>
          <w:rFonts w:hint="eastAsia" w:ascii="宋体" w:hAnsi="宋体" w:cs="宋体"/>
          <w:color w:val="auto"/>
          <w:sz w:val="24"/>
          <w:highlight w:val="none"/>
          <w:lang w:val="en-US" w:eastAsia="zh-CN"/>
        </w:rPr>
        <w:t>38</w:t>
      </w:r>
      <w:r>
        <w:rPr>
          <w:rFonts w:hint="eastAsia" w:ascii="宋体" w:hAnsi="宋体" w:cs="宋体"/>
          <w:color w:val="auto"/>
          <w:sz w:val="24"/>
          <w:highlight w:val="none"/>
          <w:lang w:eastAsia="zh-CN"/>
        </w:rPr>
        <w:t>号</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项目联系人（询问）：周丽娜</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项目联系方式（询问）：0571-87823182</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质疑联系人：吴晓云</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质疑联系方式：0571-87823159（请通过以下路径在线提起质疑：政采云-项目采购-询问质疑投诉-质疑列表）</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称：浙江国际招投标有限公司</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地    址：杭州市文三路90号东部软件园1号楼3楼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真：0571-88473430</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苑洪春</w:t>
      </w:r>
      <w:r>
        <w:rPr>
          <w:rFonts w:hint="eastAsia" w:ascii="宋体" w:hAnsi="宋体" w:cs="宋体"/>
          <w:color w:val="auto"/>
          <w:sz w:val="21"/>
          <w:szCs w:val="21"/>
          <w:highlight w:val="none"/>
        </w:rPr>
        <w:t>、李博</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仿宋" w:hAnsi="仿宋" w:eastAsia="仿宋"/>
          <w:color w:val="auto"/>
          <w:sz w:val="24"/>
          <w:highlight w:val="none"/>
        </w:rPr>
        <w:t>0571-81061814</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张域</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质疑联系方式：0571-8106181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（请通过以下路径在线提起质疑：政采云-项目采购-询问质疑投诉-质疑列表）</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监督投诉电话：0571-87227671,0571-87800218</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政策咨询电话：沈先生、陈先生，电话：0571-89580457、0571-89580460。</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10"/>
      <w:r>
        <w:rPr>
          <w:rFonts w:hint="eastAsia" w:ascii="宋体" w:hAnsi="宋体" w:cs="宋体"/>
          <w:b/>
          <w:color w:val="auto"/>
          <w:sz w:val="36"/>
          <w:szCs w:val="20"/>
          <w:highlight w:val="none"/>
        </w:rPr>
        <w:t xml:space="preserve"> 投标人须知</w:t>
      </w:r>
      <w:bookmarkEnd w:id="11"/>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tcBorders>
              <w:tl2br w:val="nil"/>
              <w:tr2bl w:val="nil"/>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7"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l2br w:val="nil"/>
              <w:tr2bl w:val="nil"/>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l2br w:val="nil"/>
              <w:tr2bl w:val="nil"/>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标的：</w:t>
            </w:r>
            <w:r>
              <w:rPr>
                <w:rFonts w:hint="eastAsia" w:ascii="宋体" w:hAnsi="宋体" w:cs="宋体"/>
                <w:color w:val="auto"/>
                <w:sz w:val="24"/>
                <w:highlight w:val="none"/>
                <w:u w:val="single"/>
                <w:lang w:eastAsia="zh-CN"/>
              </w:rPr>
              <w:t>2025医疗废弃物收运处置服务</w:t>
            </w:r>
            <w:r>
              <w:rPr>
                <w:rFonts w:hint="eastAsia" w:ascii="宋体" w:hAnsi="宋体" w:cs="宋体"/>
                <w:color w:val="auto"/>
                <w:sz w:val="24"/>
                <w:highlight w:val="none"/>
                <w:u w:val="single"/>
              </w:rPr>
              <w:t>服务</w:t>
            </w:r>
            <w:r>
              <w:rPr>
                <w:rFonts w:hint="eastAsia" w:ascii="宋体" w:hAnsi="宋体" w:cs="宋体"/>
                <w:color w:val="auto"/>
                <w:sz w:val="24"/>
                <w:highlight w:val="none"/>
              </w:rPr>
              <w:t>，属于</w:t>
            </w:r>
            <w:r>
              <w:rPr>
                <w:rFonts w:hint="eastAsia" w:ascii="宋体" w:hAnsi="宋体" w:cs="宋体"/>
                <w:color w:val="auto"/>
                <w:sz w:val="24"/>
                <w:highlight w:val="none"/>
                <w:u w:val="single"/>
                <w:lang w:eastAsia="zh-CN"/>
              </w:rPr>
              <w:t>其他未列明行业</w:t>
            </w:r>
            <w:r>
              <w:rPr>
                <w:rFonts w:hint="eastAsia" w:ascii="宋体" w:hAnsi="宋体" w:cs="宋体"/>
                <w:color w:val="auto"/>
                <w:sz w:val="24"/>
                <w:highlight w:val="none"/>
              </w:rPr>
              <w:t>。</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根据《关于印发中小企业划型标准规定的通知》（工信部联企业〔2011〕300）第四条第（二）项规定：其他未列明行业中，从业人员300人以下的为中小微型企业。</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其中，</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（1）从业人员100人及以上，300人以下的为中型企业；</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（2）从业人员10人及以上，100人以下的为小型企业；</w:t>
            </w:r>
          </w:p>
          <w:p>
            <w:pPr>
              <w:spacing w:line="360" w:lineRule="auto"/>
              <w:rPr>
                <w:rFonts w:ascii="宋体" w:hAnsi="宋体" w:cs="宋体"/>
                <w:color w:val="auto"/>
                <w:highlight w:val="none"/>
              </w:rPr>
            </w:pPr>
            <w:r>
              <w:rPr>
                <w:rFonts w:hint="eastAsia" w:ascii="宋体" w:hAnsi="宋体" w:cs="宋体"/>
                <w:color w:val="auto"/>
                <w:sz w:val="24"/>
                <w:highlight w:val="none"/>
              </w:rPr>
              <w:t>（3）从业人员10人以下的为微型企业。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1350"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l2br w:val="nil"/>
              <w:tr2bl w:val="nil"/>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可以就采购进口产品。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1667"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l2br w:val="nil"/>
              <w:tr2bl w:val="nil"/>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l2br w:val="nil"/>
              <w:tr2bl w:val="nil"/>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培训</w:t>
            </w:r>
            <w:r>
              <w:rPr>
                <w:rFonts w:hint="eastAsia" w:ascii="宋体" w:hAnsi="宋体" w:cs="宋体"/>
                <w:color w:val="auto"/>
                <w:sz w:val="24"/>
                <w:highlight w:val="none"/>
              </w:rPr>
              <w:t>工作分包。</w:t>
            </w:r>
          </w:p>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l2br w:val="nil"/>
              <w:tr2bl w:val="nil"/>
            </w:tcBorders>
            <w:vAlign w:val="center"/>
          </w:tcPr>
          <w:p>
            <w:pPr>
              <w:pStyle w:val="84"/>
              <w:spacing w:line="360" w:lineRule="auto"/>
              <w:ind w:firstLine="0" w:firstLineChars="0"/>
              <w:rPr>
                <w:rFonts w:ascii="宋体" w:hAnsi="宋体" w:cs="宋体"/>
                <w:color w:val="auto"/>
                <w:sz w:val="24"/>
                <w:highlight w:val="none"/>
              </w:rPr>
            </w:pPr>
            <w:sdt>
              <w:sdtPr>
                <w:rPr>
                  <w:rFonts w:hint="eastAsia" w:ascii="宋体" w:hAnsi="宋体" w:cs="宋体"/>
                  <w:color w:val="auto"/>
                  <w:sz w:val="24"/>
                  <w:highlight w:val="none"/>
                </w:rPr>
                <w:id w:val="186549752"/>
              </w:sdtPr>
              <w:sdtEndPr>
                <w:rPr>
                  <w:rFonts w:hint="eastAsia" w:ascii="宋体" w:hAnsi="宋体" w:cs="宋体"/>
                  <w:color w:val="auto"/>
                  <w:sz w:val="24"/>
                  <w:highlight w:val="none"/>
                </w:rPr>
              </w:sdtEndPr>
              <w:sdtContent>
                <w:r>
                  <w:rPr>
                    <w:rFonts w:ascii="Wingdings" w:hAnsi="Wingdings" w:eastAsia="MS Gothic" w:cs="宋体"/>
                    <w:color w:val="auto"/>
                    <w:sz w:val="24"/>
                    <w:highlight w:val="none"/>
                  </w:rPr>
                  <w:t></w:t>
                </w:r>
              </w:sdtContent>
            </w:sdt>
            <w:r>
              <w:rPr>
                <w:rFonts w:hint="eastAsia" w:ascii="宋体" w:hAnsi="宋体" w:cs="宋体"/>
                <w:color w:val="auto"/>
                <w:sz w:val="24"/>
                <w:highlight w:val="none"/>
              </w:rPr>
              <w:t>A不组织。</w:t>
            </w:r>
          </w:p>
          <w:p>
            <w:pPr>
              <w:pStyle w:val="84"/>
              <w:spacing w:line="360" w:lineRule="auto"/>
              <w:ind w:firstLine="0" w:firstLineChars="0"/>
              <w:rPr>
                <w:rFonts w:ascii="宋体" w:hAnsi="宋体" w:cs="宋体"/>
                <w:color w:val="auto"/>
                <w:sz w:val="24"/>
                <w:szCs w:val="20"/>
                <w:highlight w:val="none"/>
              </w:rPr>
            </w:pPr>
            <w:sdt>
              <w:sdtPr>
                <w:rPr>
                  <w:rFonts w:hint="eastAsia" w:ascii="宋体" w:hAnsi="宋体" w:cs="宋体"/>
                  <w:color w:val="auto"/>
                  <w:sz w:val="24"/>
                  <w:highlight w:val="none"/>
                </w:rPr>
                <w:id w:val="388999054"/>
              </w:sdtPr>
              <w:sdtEndPr>
                <w:rPr>
                  <w:rFonts w:hint="eastAsia" w:ascii="宋体" w:hAnsi="宋体" w:cs="宋体"/>
                  <w:color w:val="auto"/>
                  <w:sz w:val="24"/>
                  <w:highlight w:val="none"/>
                </w:rPr>
              </w:sdtEndPr>
              <w:sdtContent>
                <w:r>
                  <w:rPr>
                    <w:rFonts w:hint="eastAsia" w:ascii="MS Gothic" w:hAnsi="MS Gothic" w:cs="宋体"/>
                    <w:color w:val="auto"/>
                    <w:sz w:val="24"/>
                    <w:highlight w:val="none"/>
                  </w:rPr>
                  <w:t>☐</w:t>
                </w:r>
              </w:sdtContent>
            </w:sdt>
            <w:r>
              <w:rPr>
                <w:rFonts w:hint="eastAsia" w:ascii="宋体" w:hAnsi="宋体" w:cs="宋体"/>
                <w:color w:val="auto"/>
                <w:sz w:val="24"/>
                <w:highlight w:val="none"/>
              </w:rPr>
              <w:t>B组织，时间：,地点：，联系人：，联系方式：</w:t>
            </w:r>
            <w:r>
              <w:rPr>
                <w:rFonts w:hint="eastAsia" w:ascii="宋体" w:hAnsi="宋体" w:cs="宋体"/>
                <w:color w:val="auto"/>
                <w:sz w:val="24"/>
                <w:szCs w:val="20"/>
                <w:highlight w:val="none"/>
              </w:rPr>
              <w:t>。</w:t>
            </w:r>
          </w:p>
          <w:p>
            <w:pPr>
              <w:pStyle w:val="84"/>
              <w:ind w:firstLine="0" w:firstLineChars="0"/>
              <w:rPr>
                <w:color w:val="auto"/>
                <w:highlight w:val="none"/>
              </w:rPr>
            </w:pPr>
            <w:r>
              <w:rPr>
                <w:rFonts w:hint="eastAsia" w:ascii="宋体" w:hAnsi="宋体" w:eastAsia="宋体" w:cs="宋体"/>
                <w:color w:val="auto"/>
                <w:sz w:val="24"/>
                <w:szCs w:val="24"/>
                <w:highlight w:val="none"/>
              </w:rPr>
              <w:t>☐C不统一组织，供应商在获取采购文件后，自行至项目现场考察。地点： ，联系人： ，联系方式：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l2br w:val="nil"/>
              <w:tr2bl w:val="nil"/>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kern w:val="0"/>
                <w:sz w:val="24"/>
                <w:highlight w:val="none"/>
              </w:rPr>
              <w:t>；地点：；联系人</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l2br w:val="nil"/>
              <w:tr2bl w:val="nil"/>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l2br w:val="nil"/>
              <w:tr2bl w:val="nil"/>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l2br w:val="nil"/>
              <w:tr2bl w:val="nil"/>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tcBorders>
              <w:tl2br w:val="nil"/>
              <w:tr2bl w:val="nil"/>
            </w:tcBorders>
          </w:tcPr>
          <w:p>
            <w:pPr>
              <w:snapToGrid w:val="0"/>
              <w:spacing w:line="360" w:lineRule="auto"/>
              <w:jc w:val="center"/>
              <w:rPr>
                <w:rFonts w:ascii="宋体" w:hAnsi="宋体" w:cs="宋体"/>
                <w:color w:val="auto"/>
                <w:sz w:val="24"/>
                <w:highlight w:val="none"/>
              </w:rPr>
            </w:pPr>
          </w:p>
        </w:tc>
        <w:tc>
          <w:tcPr>
            <w:tcW w:w="1843" w:type="dxa"/>
            <w:vMerge w:val="continue"/>
            <w:tcBorders>
              <w:tl2br w:val="nil"/>
              <w:tr2bl w:val="nil"/>
            </w:tcBorders>
            <w:vAlign w:val="center"/>
          </w:tcPr>
          <w:p>
            <w:pPr>
              <w:snapToGrid w:val="0"/>
              <w:spacing w:line="360" w:lineRule="auto"/>
              <w:jc w:val="center"/>
              <w:rPr>
                <w:rFonts w:ascii="宋体" w:hAnsi="宋体" w:cs="宋体"/>
                <w:b/>
                <w:color w:val="auto"/>
                <w:sz w:val="24"/>
                <w:highlight w:val="none"/>
              </w:rPr>
            </w:pPr>
          </w:p>
        </w:tc>
        <w:tc>
          <w:tcPr>
            <w:tcW w:w="6095" w:type="dxa"/>
            <w:tcBorders>
              <w:tl2br w:val="nil"/>
              <w:tr2bl w:val="nil"/>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l2br w:val="nil"/>
              <w:tr2bl w:val="nil"/>
            </w:tcBorders>
            <w:vAlign w:val="center"/>
          </w:tcPr>
          <w:p>
            <w:pPr>
              <w:pStyle w:val="84"/>
              <w:snapToGrid w:val="0"/>
              <w:spacing w:line="360" w:lineRule="auto"/>
              <w:ind w:firstLine="0" w:firstLineChars="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pStyle w:val="84"/>
              <w:ind w:firstLine="480"/>
              <w:jc w:val="both"/>
              <w:rPr>
                <w:rFonts w:ascii="宋体" w:hAnsi="宋体" w:eastAsia="宋体" w:cs="宋体"/>
                <w:color w:val="auto"/>
                <w:kern w:val="2"/>
                <w:sz w:val="24"/>
                <w:szCs w:val="24"/>
                <w:highlight w:val="none"/>
              </w:rPr>
            </w:pPr>
            <w:sdt>
              <w:sdtPr>
                <w:rPr>
                  <w:rFonts w:hint="eastAsia" w:ascii="宋体" w:hAnsi="宋体" w:eastAsia="宋体" w:cs="宋体"/>
                  <w:color w:val="auto"/>
                  <w:kern w:val="2"/>
                  <w:sz w:val="24"/>
                  <w:szCs w:val="24"/>
                  <w:highlight w:val="none"/>
                </w:rPr>
                <w:id w:val="147461840"/>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 xml:space="preserve">强制采购。产品：    </w:t>
            </w:r>
          </w:p>
          <w:p>
            <w:pPr>
              <w:pStyle w:val="84"/>
              <w:ind w:firstLine="480"/>
              <w:jc w:val="both"/>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□优先采购节能产品。产品：   </w:t>
            </w:r>
          </w:p>
          <w:p>
            <w:pPr>
              <w:pStyle w:val="84"/>
              <w:ind w:firstLine="480"/>
              <w:jc w:val="both"/>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□优先采购环保产品。产品：    </w:t>
            </w:r>
          </w:p>
          <w:p>
            <w:pPr>
              <w:pStyle w:val="84"/>
              <w:ind w:firstLine="480"/>
              <w:jc w:val="both"/>
              <w:rPr>
                <w:color w:val="auto"/>
                <w:highlight w:val="none"/>
              </w:rPr>
            </w:pPr>
            <w:r>
              <w:rPr>
                <w:rFonts w:hint="eastAsia" w:ascii="宋体" w:hAnsi="宋体" w:eastAsia="宋体" w:cs="宋体"/>
                <w:color w:val="auto"/>
                <w:kern w:val="2"/>
                <w:sz w:val="24"/>
                <w:szCs w:val="24"/>
                <w:highlight w:val="none"/>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l2br w:val="nil"/>
              <w:tr2bl w:val="nil"/>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2559"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l2br w:val="nil"/>
              <w:tr2bl w:val="nil"/>
            </w:tcBorders>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l2br w:val="nil"/>
              <w:tr2bl w:val="nil"/>
            </w:tcBorders>
            <w:vAlign w:val="center"/>
          </w:tcPr>
          <w:p>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杭州市文三路90号东部软件园1号楼3楼307室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eastAsia="zh-CN"/>
              </w:rPr>
              <w:t>13065702633</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tcBorders>
              <w:tl2br w:val="nil"/>
              <w:tr2bl w:val="nil"/>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l2br w:val="nil"/>
              <w:tr2bl w:val="nil"/>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l2br w:val="nil"/>
              <w:tr2bl w:val="nil"/>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tcBorders>
              <w:tl2br w:val="nil"/>
              <w:tr2bl w:val="nil"/>
            </w:tcBorders>
          </w:tcPr>
          <w:p>
            <w:pPr>
              <w:snapToGrid w:val="0"/>
              <w:spacing w:line="360" w:lineRule="auto"/>
              <w:jc w:val="center"/>
              <w:rPr>
                <w:rFonts w:ascii="宋体" w:hAnsi="宋体" w:cs="宋体"/>
                <w:color w:val="auto"/>
                <w:sz w:val="24"/>
                <w:highlight w:val="none"/>
              </w:rPr>
            </w:pPr>
          </w:p>
        </w:tc>
        <w:tc>
          <w:tcPr>
            <w:tcW w:w="1843" w:type="dxa"/>
            <w:vMerge w:val="continue"/>
            <w:tcBorders>
              <w:tl2br w:val="nil"/>
              <w:tr2bl w:val="nil"/>
            </w:tcBorders>
            <w:vAlign w:val="center"/>
          </w:tcPr>
          <w:p>
            <w:pPr>
              <w:snapToGrid w:val="0"/>
              <w:spacing w:line="360" w:lineRule="auto"/>
              <w:jc w:val="center"/>
              <w:rPr>
                <w:rFonts w:ascii="宋体" w:hAnsi="宋体" w:cs="宋体"/>
                <w:b/>
                <w:color w:val="auto"/>
                <w:sz w:val="24"/>
                <w:highlight w:val="none"/>
              </w:rPr>
            </w:pPr>
          </w:p>
        </w:tc>
        <w:tc>
          <w:tcPr>
            <w:tcW w:w="6095" w:type="dxa"/>
            <w:tcBorders>
              <w:tl2br w:val="nil"/>
              <w:tr2bl w:val="nil"/>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tcBorders>
              <w:tl2br w:val="nil"/>
              <w:tr2bl w:val="nil"/>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843" w:type="dxa"/>
            <w:tcBorders>
              <w:tl2br w:val="nil"/>
              <w:tr2bl w:val="nil"/>
            </w:tcBorders>
            <w:vAlign w:val="center"/>
          </w:tcPr>
          <w:p>
            <w:pPr>
              <w:snapToGrid w:val="0"/>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中标候选人数量</w:t>
            </w:r>
          </w:p>
        </w:tc>
        <w:tc>
          <w:tcPr>
            <w:tcW w:w="6095" w:type="dxa"/>
            <w:tcBorders>
              <w:tl2br w:val="nil"/>
              <w:tr2bl w:val="nil"/>
            </w:tcBorders>
            <w:vAlign w:val="center"/>
          </w:tcPr>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本项目推荐的中标候选人数量：</w:t>
            </w:r>
            <w:r>
              <w:rPr>
                <w:rFonts w:hint="eastAsia" w:ascii="宋体" w:hAnsi="宋体" w:cs="宋体"/>
                <w:color w:val="auto"/>
                <w:kern w:val="0"/>
                <w:sz w:val="24"/>
                <w:highlight w:val="none"/>
                <w:u w:val="single"/>
              </w:rPr>
              <w:t>1</w:t>
            </w:r>
            <w:r>
              <w:rPr>
                <w:rFonts w:hint="eastAsia" w:ascii="宋体" w:hAnsi="宋体" w:cs="宋体"/>
                <w:color w:val="auto"/>
                <w:kern w:val="0"/>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tcBorders>
              <w:tl2br w:val="nil"/>
              <w:tr2bl w:val="nil"/>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15</w:t>
            </w:r>
          </w:p>
        </w:tc>
        <w:tc>
          <w:tcPr>
            <w:tcW w:w="1843" w:type="dxa"/>
            <w:tcBorders>
              <w:tl2br w:val="nil"/>
              <w:tr2bl w:val="nil"/>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代理费用收取方式及标准</w:t>
            </w:r>
          </w:p>
        </w:tc>
        <w:tc>
          <w:tcPr>
            <w:tcW w:w="6095" w:type="dxa"/>
            <w:tcBorders>
              <w:tl2br w:val="nil"/>
              <w:tr2bl w:val="nil"/>
            </w:tcBorders>
            <w:vAlign w:val="center"/>
          </w:tcPr>
          <w:p>
            <w:pPr>
              <w:snapToGrid w:val="0"/>
              <w:spacing w:line="40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本项目的采购代理费由中标人支付，以预算金额作为收费的计算基数，费用按以下计费标准的80%收取：</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2"/>
              <w:gridCol w:w="2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vAlign w:val="center"/>
                </w:tcPr>
                <w:p>
                  <w:pPr>
                    <w:snapToGrid w:val="0"/>
                    <w:spacing w:line="40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中标金额P（万元）</w:t>
                  </w:r>
                </w:p>
              </w:tc>
              <w:tc>
                <w:tcPr>
                  <w:tcW w:w="2852" w:type="dxa"/>
                  <w:noWrap/>
                  <w:vAlign w:val="center"/>
                </w:tcPr>
                <w:p>
                  <w:pPr>
                    <w:snapToGrid w:val="0"/>
                    <w:spacing w:line="40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采购代理费（万元人民币）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100以下</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P*1.5%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100-500</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0.7+P*0.8%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500-1000</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2.45+P*0.45%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1000-5000</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4.45+P*0.25%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5000-10000</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11.95+P*0.1%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62" w:type="dxa"/>
                  <w:noWrap/>
                </w:tcPr>
                <w:p>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10000-100000</w:t>
                  </w:r>
                </w:p>
              </w:tc>
              <w:tc>
                <w:tcPr>
                  <w:tcW w:w="2852" w:type="dxa"/>
                  <w:noWrap/>
                  <w:vAlign w:val="center"/>
                </w:tcPr>
                <w:p>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highlight w:val="none"/>
                    </w:rPr>
                    <w:t>16.95+P*0.05%</w:t>
                  </w:r>
                </w:p>
              </w:tc>
            </w:tr>
          </w:tbl>
          <w:p>
            <w:pPr>
              <w:snapToGrid w:val="0"/>
              <w:spacing w:line="400" w:lineRule="exact"/>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结算方式及时间为：中标之日起5个工作日之内一次性支付给招标代理公司。</w:t>
            </w:r>
          </w:p>
          <w:p>
            <w:pPr>
              <w:pStyle w:val="32"/>
              <w:snapToGrid w:val="0"/>
              <w:spacing w:line="400" w:lineRule="exact"/>
              <w:rPr>
                <w:rFonts w:hint="eastAsia" w:ascii="宋体" w:hAnsi="宋体" w:eastAsia="宋体" w:cs="宋体"/>
                <w:snapToGrid/>
                <w:color w:val="auto"/>
                <w:kern w:val="28"/>
                <w:sz w:val="24"/>
                <w:szCs w:val="24"/>
                <w:highlight w:val="none"/>
              </w:rPr>
            </w:pPr>
            <w:r>
              <w:rPr>
                <w:rFonts w:hint="eastAsia" w:ascii="宋体" w:hAnsi="宋体" w:eastAsia="宋体" w:cs="宋体"/>
                <w:snapToGrid/>
                <w:color w:val="auto"/>
                <w:kern w:val="28"/>
                <w:sz w:val="24"/>
                <w:szCs w:val="24"/>
                <w:highlight w:val="none"/>
              </w:rPr>
              <w:t>付款账号：</w:t>
            </w:r>
          </w:p>
          <w:p>
            <w:pPr>
              <w:snapToGrid w:val="0"/>
              <w:spacing w:line="400" w:lineRule="exact"/>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收款单位（户名）：</w:t>
            </w:r>
            <w:r>
              <w:rPr>
                <w:rFonts w:hint="eastAsia" w:ascii="宋体" w:hAnsi="宋体" w:eastAsia="宋体" w:cs="宋体"/>
                <w:color w:val="auto"/>
                <w:sz w:val="24"/>
                <w:highlight w:val="none"/>
              </w:rPr>
              <w:t>浙江国际招投标有限公司</w:t>
            </w:r>
          </w:p>
          <w:p>
            <w:pPr>
              <w:snapToGrid w:val="0"/>
              <w:spacing w:line="400" w:lineRule="exact"/>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开户银行：中国工商银行杭州武林支行</w:t>
            </w:r>
          </w:p>
          <w:p>
            <w:pPr>
              <w:snapToGrid w:val="0"/>
              <w:spacing w:line="400" w:lineRule="exact"/>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银行账号：1202021209906782015</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snapToGrid w:val="0"/>
                <w:color w:val="auto"/>
                <w:kern w:val="28"/>
                <w:sz w:val="24"/>
                <w:highlight w:val="none"/>
              </w:rPr>
              <w:t>说明：中标、成交供应商放弃中标、成交资格导致重新采购的，应当承担支付代理费和专家评审费等费用在内的赔偿责任。</w:t>
            </w:r>
          </w:p>
        </w:tc>
      </w:tr>
    </w:tbl>
    <w:p>
      <w:pPr>
        <w:snapToGrid w:val="0"/>
        <w:spacing w:line="360" w:lineRule="auto"/>
        <w:jc w:val="center"/>
        <w:rPr>
          <w:rFonts w:ascii="宋体" w:hAnsi="宋体" w:cs="宋体"/>
          <w:b/>
          <w:color w:val="auto"/>
          <w:sz w:val="32"/>
          <w:szCs w:val="20"/>
          <w:highlight w:val="none"/>
        </w:rPr>
      </w:pPr>
    </w:p>
    <w:bookmarkEnd w:id="12"/>
    <w:p>
      <w:pPr>
        <w:adjustRightInd/>
        <w:spacing w:line="360" w:lineRule="auto"/>
        <w:ind w:firstLine="3845" w:firstLineChars="1197"/>
        <w:outlineLvl w:val="0"/>
        <w:rPr>
          <w:rFonts w:ascii="宋体" w:hAnsi="宋体" w:cs="宋体"/>
          <w:b/>
          <w:color w:val="auto"/>
          <w:sz w:val="32"/>
          <w:szCs w:val="20"/>
          <w:highlight w:val="none"/>
        </w:rPr>
      </w:pPr>
      <w:bookmarkStart w:id="14" w:name="第三部分"/>
      <w:bookmarkStart w:id="15" w:name="_Toc164416483"/>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首台套、“制造精品”、“专精特新”等创新产品按规定享受政府采购支持政策。</w:t>
      </w:r>
    </w:p>
    <w:p>
      <w:pPr>
        <w:pStyle w:val="3"/>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3.4.2采购人应当贯彻落实知识产权保护相关法律法规，应当采购使用正版软件。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4.5 补偿救济</w:t>
      </w:r>
    </w:p>
    <w:p>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pPr>
        <w:adjustRightInd/>
        <w:spacing w:line="360" w:lineRule="auto"/>
        <w:jc w:val="center"/>
        <w:outlineLvl w:val="0"/>
        <w:rPr>
          <w:rFonts w:ascii="宋体" w:hAnsi="宋体" w:cs="宋体"/>
          <w:b/>
          <w:color w:val="auto"/>
          <w:sz w:val="32"/>
          <w:szCs w:val="20"/>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二、招标文件的构成、澄清、修改</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color w:val="auto"/>
          <w:sz w:val="18"/>
          <w:szCs w:val="18"/>
          <w:highlight w:val="none"/>
          <w:lang w:val="en-US"/>
        </w:rPr>
      </w:pP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eastAsia="zh-CN"/>
        </w:rPr>
        <w:t>：</w:t>
      </w:r>
      <w:r>
        <w:rPr>
          <w:rFonts w:hint="eastAsia"/>
          <w:color w:val="auto"/>
          <w:highlight w:val="none"/>
          <w:lang w:val="en-US" w:eastAsia="zh-CN"/>
        </w:rPr>
        <w:t>中小企业声明函</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pPr>
        <w:spacing w:line="360" w:lineRule="auto"/>
        <w:ind w:firstLine="720" w:firstLineChars="300"/>
        <w:rPr>
          <w:color w:val="auto"/>
          <w:highlight w:val="none"/>
        </w:rPr>
      </w:pPr>
      <w:r>
        <w:rPr>
          <w:rFonts w:hint="eastAsia"/>
          <w:color w:val="auto"/>
          <w:sz w:val="24"/>
          <w:highlight w:val="none"/>
          <w:shd w:val="clear" w:color="auto" w:fill="FFFFFF"/>
        </w:rPr>
        <w:t>投标人应对投标文件中材料的真实性、合法性负责。投标人可事先在公开官网查询、核对相关证书和报告内容，确保投标（响应）文件资料准确无误。</w:t>
      </w:r>
    </w:p>
    <w:p>
      <w:pPr>
        <w:pStyle w:val="136"/>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36"/>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6"/>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36"/>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6"/>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6"/>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36"/>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36"/>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6"/>
        <w:spacing w:before="0"/>
        <w:ind w:firstLine="643"/>
        <w:rPr>
          <w:rFonts w:ascii="宋体" w:hAnsi="宋体" w:cs="宋体"/>
          <w:b/>
          <w:color w:val="auto"/>
          <w:sz w:val="32"/>
          <w:highlight w:val="none"/>
        </w:rPr>
      </w:pPr>
    </w:p>
    <w:p>
      <w:pPr>
        <w:pStyle w:val="136"/>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p>
    <w:p>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pPr>
        <w:pStyle w:val="13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3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6"/>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36"/>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6" w:name="_Toc91899903"/>
      <w:r>
        <w:rPr>
          <w:rFonts w:hint="eastAsia" w:ascii="宋体" w:hAnsi="宋体" w:cs="宋体"/>
          <w:b/>
          <w:color w:val="auto"/>
          <w:sz w:val="24"/>
          <w:highlight w:val="none"/>
        </w:rPr>
        <w:t>21.</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36"/>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pPr>
        <w:pStyle w:val="136"/>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7" w:name="_Hlk101184471"/>
      <w:r>
        <w:rPr>
          <w:rFonts w:hint="eastAsia" w:ascii="宋体" w:hAnsi="宋体" w:cs="宋体"/>
          <w:color w:val="auto"/>
          <w:sz w:val="24"/>
          <w:highlight w:val="none"/>
        </w:rPr>
        <w:t>资格审查情况、评审专家抽取规则、符合性审查情况、</w:t>
      </w:r>
      <w:bookmarkEnd w:id="17"/>
      <w:r>
        <w:rPr>
          <w:rFonts w:hint="eastAsia" w:ascii="宋体" w:hAnsi="宋体" w:cs="宋体"/>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pStyle w:val="136"/>
        <w:snapToGrid w:val="0"/>
        <w:spacing w:before="0"/>
        <w:ind w:firstLine="482"/>
        <w:rPr>
          <w:rStyle w:val="78"/>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pPr>
        <w:pStyle w:val="85"/>
        <w:rPr>
          <w:color w:val="auto"/>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6"/>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6"/>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pPr>
        <w:pStyle w:val="3"/>
        <w:rPr>
          <w:color w:val="auto"/>
          <w:highlight w:val="none"/>
        </w:rPr>
      </w:pPr>
      <w:r>
        <w:rPr>
          <w:rFonts w:ascii="宋体" w:hAnsi="宋体" w:eastAsia="宋体"/>
          <w:color w:val="auto"/>
          <w:sz w:val="24"/>
          <w:highlight w:val="none"/>
          <w:lang w:val="en-US"/>
        </w:rPr>
        <w:t>27.预付款</w:t>
      </w:r>
    </w:p>
    <w:p>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采云金融专线95763</w:t>
      </w:r>
      <w:r>
        <w:rPr>
          <w:rFonts w:ascii="宋体" w:hAnsi="宋体"/>
          <w:color w:val="auto"/>
          <w:sz w:val="24"/>
          <w:highlight w:val="none"/>
        </w:rPr>
        <w:t>。</w:t>
      </w:r>
    </w:p>
    <w:p>
      <w:pPr>
        <w:rPr>
          <w:color w:val="auto"/>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36"/>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36"/>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36"/>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4"/>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pPr>
        <w:pStyle w:val="85"/>
        <w:rPr>
          <w:color w:val="auto"/>
          <w:highlight w:val="none"/>
        </w:rPr>
      </w:pPr>
    </w:p>
    <w:bookmarkEnd w:id="16"/>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8" w:name="_Hlt75236011"/>
      <w:bookmarkEnd w:id="18"/>
      <w:bookmarkStart w:id="19" w:name="_Hlt74707468"/>
      <w:bookmarkEnd w:id="19"/>
      <w:bookmarkStart w:id="20" w:name="_Hlt74729768"/>
      <w:bookmarkEnd w:id="20"/>
      <w:bookmarkStart w:id="21" w:name="_Hlt68403820"/>
      <w:bookmarkEnd w:id="21"/>
      <w:bookmarkStart w:id="22" w:name="_Hlt68057669"/>
      <w:bookmarkEnd w:id="22"/>
      <w:bookmarkStart w:id="23" w:name="_Hlt68073093"/>
      <w:bookmarkEnd w:id="23"/>
      <w:bookmarkStart w:id="24" w:name="_Hlt68072998"/>
      <w:bookmarkEnd w:id="24"/>
      <w:bookmarkStart w:id="25" w:name="_Hlt68072990"/>
      <w:bookmarkEnd w:id="25"/>
      <w:bookmarkStart w:id="26" w:name="_Hlt74730295"/>
      <w:bookmarkEnd w:id="26"/>
      <w:bookmarkStart w:id="27" w:name="_Hlt74714665"/>
      <w:bookmarkEnd w:id="27"/>
      <w:bookmarkStart w:id="28" w:name="_Hlt75236101"/>
      <w:bookmarkEnd w:id="28"/>
      <w:bookmarkStart w:id="29" w:name="_Hlt75236290"/>
      <w:bookmarkEnd w:id="29"/>
    </w:p>
    <w:bookmarkEnd w:id="14"/>
    <w:bookmarkEnd w:id="15"/>
    <w:p>
      <w:pPr>
        <w:spacing w:line="360" w:lineRule="auto"/>
        <w:jc w:val="center"/>
        <w:outlineLvl w:val="0"/>
        <w:rPr>
          <w:rFonts w:ascii="宋体" w:hAnsi="宋体" w:cs="宋体"/>
          <w:b/>
          <w:color w:val="auto"/>
          <w:sz w:val="36"/>
          <w:szCs w:val="36"/>
          <w:highlight w:val="none"/>
        </w:rPr>
      </w:pPr>
      <w:bookmarkStart w:id="30" w:name="第四部分"/>
      <w:r>
        <w:rPr>
          <w:rFonts w:hint="eastAsia" w:ascii="宋体" w:hAnsi="宋体" w:cs="宋体"/>
          <w:b/>
          <w:color w:val="auto"/>
          <w:sz w:val="36"/>
          <w:szCs w:val="36"/>
          <w:highlight w:val="none"/>
        </w:rPr>
        <w:t>第三部分   采购需求</w:t>
      </w:r>
    </w:p>
    <w:p>
      <w:pPr>
        <w:spacing w:line="360" w:lineRule="auto"/>
        <w:rPr>
          <w:rFonts w:hint="eastAsia" w:ascii="宋体" w:hAnsi="宋体" w:eastAsia="宋体" w:cs="宋体"/>
          <w:b/>
          <w:bCs/>
          <w:color w:val="auto"/>
          <w:sz w:val="24"/>
          <w:szCs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一、概况</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本项目为杭州市第三人民医院2025医疗废弃物收运处置服务。负责院区每日医疗废弃物集中代处置，下沙制剂室按需进行医疗废弃物集中代处置，包括感染性、病理性及药物性医废处置，</w:t>
      </w:r>
      <w:r>
        <w:rPr>
          <w:rFonts w:hint="eastAsia" w:ascii="宋体" w:hAnsi="宋体" w:eastAsia="宋体" w:cs="宋体"/>
          <w:color w:val="auto"/>
          <w:sz w:val="24"/>
          <w:highlight w:val="none"/>
          <w:lang w:val="en-US" w:eastAsia="zh-CN"/>
        </w:rPr>
        <w:t>负</w:t>
      </w:r>
      <w:r>
        <w:rPr>
          <w:rFonts w:hint="eastAsia" w:ascii="宋体" w:hAnsi="宋体" w:eastAsia="宋体" w:cs="宋体"/>
          <w:color w:val="auto"/>
          <w:sz w:val="24"/>
          <w:highlight w:val="none"/>
        </w:rPr>
        <w:t>责医疗废弃物转运桶（箱）、各规格型号锐器盒、医疗垃圾袋、各种标识的扎带等材料提供以及负责院外的转运。</w:t>
      </w:r>
    </w:p>
    <w:p>
      <w:pPr>
        <w:spacing w:line="360" w:lineRule="auto"/>
        <w:rPr>
          <w:rFonts w:hint="eastAsia" w:ascii="宋体" w:hAnsi="宋体" w:eastAsia="宋体" w:cs="宋体"/>
          <w:b/>
          <w:bCs/>
          <w:color w:val="auto"/>
          <w:sz w:val="24"/>
          <w:highlight w:val="none"/>
        </w:rPr>
      </w:pPr>
    </w:p>
    <w:p>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二、服务要求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1、服务范围：采购人院区内所有医疗废弃物收运处置，医疗废弃物是指国家卫生行政部门发布的《医疗废物分类目录》所描述分类及项下内容。</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2、必须日产日清，每日到服务地点对采购人产生的医疗废弃物进行集中收集转运；下沙制剂室</w:t>
      </w:r>
      <w:bookmarkStart w:id="31" w:name="OLE_LINK3"/>
      <w:r>
        <w:rPr>
          <w:rFonts w:hint="eastAsia" w:ascii="宋体" w:hAnsi="宋体" w:eastAsia="宋体" w:cs="宋体"/>
          <w:color w:val="auto"/>
          <w:sz w:val="24"/>
          <w:highlight w:val="none"/>
        </w:rPr>
        <w:t>按需（预估每周一次，具体</w:t>
      </w:r>
      <w:r>
        <w:rPr>
          <w:rFonts w:hint="eastAsia" w:ascii="宋体" w:hAnsi="宋体" w:eastAsia="宋体" w:cs="宋体"/>
          <w:color w:val="auto"/>
          <w:sz w:val="24"/>
          <w:highlight w:val="none"/>
          <w:lang w:val="en-US" w:eastAsia="zh-CN"/>
        </w:rPr>
        <w:t>以</w:t>
      </w:r>
      <w:r>
        <w:rPr>
          <w:rFonts w:hint="eastAsia" w:ascii="宋体" w:hAnsi="宋体" w:eastAsia="宋体" w:cs="宋体"/>
          <w:color w:val="auto"/>
          <w:sz w:val="24"/>
          <w:highlight w:val="none"/>
        </w:rPr>
        <w:t>采购人</w:t>
      </w:r>
      <w:r>
        <w:rPr>
          <w:rFonts w:hint="eastAsia" w:ascii="宋体" w:hAnsi="宋体" w:eastAsia="宋体" w:cs="宋体"/>
          <w:color w:val="auto"/>
          <w:sz w:val="24"/>
          <w:highlight w:val="none"/>
          <w:lang w:val="en-US" w:eastAsia="zh-CN"/>
        </w:rPr>
        <w:t>要求的为准</w:t>
      </w:r>
      <w:r>
        <w:rPr>
          <w:rFonts w:hint="eastAsia" w:ascii="宋体" w:hAnsi="宋体" w:eastAsia="宋体" w:cs="宋体"/>
          <w:color w:val="auto"/>
          <w:sz w:val="24"/>
          <w:highlight w:val="none"/>
        </w:rPr>
        <w:t>）到服务地点</w:t>
      </w:r>
      <w:bookmarkEnd w:id="31"/>
      <w:r>
        <w:rPr>
          <w:rFonts w:hint="eastAsia" w:ascii="宋体" w:hAnsi="宋体" w:eastAsia="宋体" w:cs="宋体"/>
          <w:color w:val="auto"/>
          <w:sz w:val="24"/>
          <w:highlight w:val="none"/>
        </w:rPr>
        <w:t>进行医疗废弃物集中收集转运。</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3、装运时必须密封整洁，不得随意打开废弃物转运容器。</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bookmarkStart w:id="32" w:name="OLE_LINK1"/>
      <w:r>
        <w:rPr>
          <w:rFonts w:hint="eastAsia" w:ascii="宋体" w:hAnsi="宋体" w:eastAsia="宋体" w:cs="宋体"/>
          <w:color w:val="auto"/>
          <w:sz w:val="24"/>
          <w:highlight w:val="none"/>
        </w:rPr>
        <w:t>收集的医疗废弃物必须转运至供应商指定处置地点，去向明确，不能随意转运。</w:t>
      </w:r>
    </w:p>
    <w:bookmarkEnd w:id="32"/>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5、供应商的清运车辆需有明显医疗废物标识，达到防渗漏、防遗撒要求，且不得承接其他任何运输业务。</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6、垃圾运输所需油料费、车辆修理费、年检年审费、过路过桥费等所有费用由供应商负责。</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7、谨慎驾驶，严防事故。如发生交通事故或其他安全生产事故，一切责任均由供应商负责。</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8、供应商需提供与采购人产生的医用垃圾相适应的标准废弃物包装容器，包括医疗废物专用垃圾袋、利器盒、转运箱、扎带等物料，供应商列明这些货物的清单。</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9、供应商收集转运人员应严格遵守医疗废物管理相关规定，确保安全转运，在每日清运时须与采购人指定回收人员进行现场交接，并在相关交接记录上签名，收集完毕须提供相关收集凭证给采购人。</w:t>
      </w:r>
    </w:p>
    <w:p>
      <w:pPr>
        <w:spacing w:line="360" w:lineRule="auto"/>
        <w:rPr>
          <w:rFonts w:hint="eastAsia" w:ascii="宋体" w:hAnsi="宋体" w:eastAsia="宋体" w:cs="宋体"/>
          <w:color w:val="auto"/>
          <w:sz w:val="24"/>
          <w:highlight w:val="none"/>
        </w:rPr>
      </w:pPr>
      <w:r>
        <w:rPr>
          <w:rFonts w:hint="eastAsia" w:ascii="宋体" w:hAnsi="宋体" w:eastAsia="宋体" w:cs="宋体"/>
          <w:strike w:val="0"/>
          <w:color w:val="auto"/>
          <w:sz w:val="24"/>
          <w:highlight w:val="none"/>
        </w:rPr>
        <w:t>10</w:t>
      </w:r>
      <w:r>
        <w:rPr>
          <w:rFonts w:hint="eastAsia" w:ascii="宋体" w:hAnsi="宋体" w:eastAsia="宋体" w:cs="宋体"/>
          <w:color w:val="auto"/>
          <w:sz w:val="24"/>
          <w:highlight w:val="none"/>
        </w:rPr>
        <w:t>、在收集转运过程中，发生各种意外事故由供应商自行依照法律法规妥善处理。</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11、收集转运时作业车辆应停放适当地点，供应商需详细说明比如那些适合地点。</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12、收集转运时作业车辆不影响行人和交通。</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13、供应商应指定1名专职项目管理人员，与采购人具体工作需求进行对接，提供该人员的名单，证书，工作经历。</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14、管理人员应有一定的管理经验，具备一定沟通能力，能确保本项目工作的顺利开展，提供以往的工作经验。</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15、其他还应提供收集转运人员的名单及职责分工。</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16、收集转运人员应积极配合采购人工作，及时将收集转运过程中遇到需改进的事项报项目管理人员处理解决。</w:t>
      </w:r>
    </w:p>
    <w:p>
      <w:pPr>
        <w:pStyle w:val="3"/>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17、供应商在作业时应对采购人的财物、设施等进行保护，不得损坏，如有需照价赔偿。</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18、采购人有权对所委托的医用垃圾收运情况进行了解和监督，若发现不妥之处，可随时向有关部门进行投诉。</w:t>
      </w:r>
    </w:p>
    <w:p>
      <w:pPr>
        <w:spacing w:line="360" w:lineRule="auto"/>
        <w:rPr>
          <w:rFonts w:hint="eastAsia" w:ascii="宋体" w:hAnsi="宋体" w:eastAsia="宋体" w:cs="宋体"/>
          <w:b/>
          <w:bCs/>
          <w:color w:val="auto"/>
          <w:sz w:val="24"/>
          <w:highlight w:val="none"/>
        </w:rPr>
      </w:pPr>
    </w:p>
    <w:p>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三、其他要求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1、供应商自</w:t>
      </w:r>
      <w:r>
        <w:rPr>
          <w:rFonts w:hint="eastAsia" w:ascii="宋体" w:hAnsi="宋体" w:eastAsia="宋体" w:cs="宋体"/>
          <w:bCs/>
          <w:color w:val="auto"/>
          <w:sz w:val="24"/>
          <w:highlight w:val="none"/>
        </w:rPr>
        <w:t>2022年1月1日起</w:t>
      </w:r>
      <w:r>
        <w:rPr>
          <w:rFonts w:hint="eastAsia" w:ascii="宋体" w:hAnsi="宋体" w:eastAsia="宋体" w:cs="宋体"/>
          <w:color w:val="auto"/>
          <w:sz w:val="24"/>
          <w:highlight w:val="none"/>
        </w:rPr>
        <w:t>具有医疗废弃物收运处置服务项目服务业绩的，提供合同复印件；</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2、供应商需具有科学的管理服务模式、正确的工作流程、管理承诺；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3、供应商需提供医用垃圾收运、防止交叉感染和消毒隔离各项管理制度和服务标准；</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4、供应商需具有防止交叉感染和消毒隔离措施；</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5、供应商需提供应急响应方案及措施。突发事件</w:t>
      </w:r>
      <w:r>
        <w:rPr>
          <w:rFonts w:hint="eastAsia" w:ascii="宋体" w:hAnsi="宋体" w:eastAsia="宋体" w:cs="宋体"/>
          <w:bCs/>
          <w:color w:val="auto"/>
          <w:sz w:val="24"/>
          <w:highlight w:val="none"/>
        </w:rPr>
        <w:t>（包括发生台风、暴雨等灾害性天气及设备设施突发故障）</w:t>
      </w:r>
      <w:r>
        <w:rPr>
          <w:rFonts w:hint="eastAsia" w:ascii="宋体" w:hAnsi="宋体" w:eastAsia="宋体" w:cs="宋体"/>
          <w:color w:val="auto"/>
          <w:sz w:val="24"/>
          <w:highlight w:val="none"/>
        </w:rPr>
        <w:t>时应立即作出回应，并在1小时内提供解决方案；提供突发事件（包括发生台风、暴雨等灾害性天气及其他突发事件）时应急处理措施和针对本行业制定的紧急预案；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6、供应商需提供医用垃圾的收运处置方案；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7、供应商需</w:t>
      </w:r>
      <w:r>
        <w:rPr>
          <w:rFonts w:hint="eastAsia" w:ascii="宋体" w:hAnsi="宋体" w:eastAsia="宋体" w:cs="宋体"/>
          <w:bCs/>
          <w:color w:val="auto"/>
          <w:sz w:val="24"/>
          <w:highlight w:val="none"/>
        </w:rPr>
        <w:t>结合本项目的服务要求，对可能出现的重点、难点问题进行分析，并提出合理可行的措施。</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8、供应商需对医用垃圾分类、包装容器使用、封箱、安全防护等提供必要培训，详细说明日常培训计划及安排。</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9、供应商需针对本项目具体要求提供总体服务方案，方案内容应完整，具有针对性并充分考虑采购人的需求。</w:t>
      </w:r>
    </w:p>
    <w:p>
      <w:pPr>
        <w:spacing w:line="360" w:lineRule="auto"/>
        <w:rPr>
          <w:rFonts w:hint="eastAsia" w:ascii="宋体" w:hAnsi="宋体" w:eastAsia="宋体" w:cs="宋体"/>
          <w:b/>
          <w:bCs/>
          <w:color w:val="auto"/>
          <w:sz w:val="24"/>
          <w:highlight w:val="none"/>
        </w:rPr>
      </w:pPr>
    </w:p>
    <w:p>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四、商务要求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1、本次报价方式为单价。投标报价应包括人工、材料费、工具、设备、保险、交通、利润、验收、税金（包含须由供应商承担的各种税费）、其它需供应商承担的费用及潜在可能涉及的一切费用。</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报价1为杭州市第三人民医院院区内医疗固体废物收集转运费用：单价（元/床/日）。</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报价2为杭州市第三人民医院下沙制剂室医疗固体废物收集转运费用：单价（元/月）。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2、结算：每月结算一次；次月支付，具体以招标人实际情况为准。</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（1）院区内：按出院者实际占用床位数结算，即中标单价（元/床/日）×出院者实际占用床位数（当月）；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（2）下沙制剂室：中标价（元/月）；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3、验收要求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3.1验收标准：《中华人民共和国传染病防治法》、《中华人民共和国固体废物污染环境防治法》、《医疗废物管理条例》、《医疗卫生机构医疗废物管理办法》等文件关于医疗固体医疗废弃物属危险废物的管理范围规定，严格按照相关标准实行收集转运。</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3.2供应商应提供有关项目有效验收文件，经用户认可后，作为验收标准。用户对项目验收合格后，双方共同签署验收合格证书并加盖公章。验收中发现达不到验收标准或合同规定内容，供应商必须修改相应内容，以满足用户需求。</w:t>
      </w:r>
    </w:p>
    <w:p>
      <w:pPr>
        <w:spacing w:line="360" w:lineRule="auto"/>
        <w:rPr>
          <w:rFonts w:ascii="宋体" w:hAnsi="宋体" w:cs="宋体"/>
          <w:color w:val="auto"/>
          <w:sz w:val="24"/>
          <w:highlight w:val="none"/>
        </w:rPr>
      </w:pPr>
      <w:r>
        <w:rPr>
          <w:rFonts w:hint="eastAsia" w:ascii="宋体" w:hAnsi="宋体" w:eastAsia="宋体" w:cs="宋体"/>
          <w:color w:val="auto"/>
          <w:sz w:val="24"/>
          <w:highlight w:val="none"/>
        </w:rPr>
        <w:t>3.3验收费用：履约验收产生的费用，首次验收过程中产生的，由采购人承担；属于首次验收不合格，重新验收过程中产生的由中标供应商承担。</w:t>
      </w:r>
    </w:p>
    <w:p>
      <w:pPr>
        <w:widowControl/>
        <w:ind w:firstLine="720" w:firstLineChars="300"/>
        <w:jc w:val="left"/>
        <w:rPr>
          <w:rFonts w:ascii="宋体" w:hAnsi="宋体" w:cs="宋体"/>
          <w:bCs/>
          <w:color w:val="auto"/>
          <w:sz w:val="24"/>
          <w:highlight w:val="none"/>
        </w:rPr>
      </w:pPr>
    </w:p>
    <w:p>
      <w:pPr>
        <w:rPr>
          <w:rFonts w:ascii="宋体" w:hAnsi="宋体" w:cs="宋体"/>
          <w:snapToGrid w:val="0"/>
          <w:color w:val="auto"/>
          <w:kern w:val="0"/>
          <w:sz w:val="24"/>
          <w:highlight w:val="none"/>
        </w:rPr>
      </w:pP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3" w:name="_Toc184314466"/>
      <w:bookmarkEnd w:id="33"/>
      <w:bookmarkStart w:id="34" w:name="_Toc184314449"/>
      <w:bookmarkEnd w:id="34"/>
      <w:bookmarkStart w:id="35" w:name="_Toc184314472"/>
      <w:bookmarkEnd w:id="35"/>
      <w:bookmarkStart w:id="36" w:name="_Toc184310304"/>
      <w:bookmarkEnd w:id="36"/>
      <w:bookmarkStart w:id="37" w:name="_Toc184308049"/>
      <w:bookmarkEnd w:id="37"/>
      <w:bookmarkStart w:id="38" w:name="_Toc184312134"/>
      <w:bookmarkEnd w:id="38"/>
      <w:bookmarkStart w:id="39" w:name="_Toc184308037"/>
      <w:bookmarkEnd w:id="39"/>
      <w:bookmarkStart w:id="40" w:name="_Toc184310328"/>
      <w:bookmarkEnd w:id="40"/>
      <w:bookmarkStart w:id="41" w:name="_Toc184313282"/>
      <w:bookmarkEnd w:id="41"/>
      <w:bookmarkStart w:id="42" w:name="_Toc184314460"/>
      <w:bookmarkEnd w:id="42"/>
      <w:bookmarkStart w:id="43" w:name="_Toc184310342"/>
      <w:bookmarkEnd w:id="43"/>
      <w:bookmarkStart w:id="44" w:name="_Toc184313240"/>
      <w:bookmarkEnd w:id="44"/>
      <w:bookmarkStart w:id="45" w:name="_Toc184313287"/>
      <w:bookmarkEnd w:id="45"/>
      <w:bookmarkStart w:id="46" w:name="_Toc184314418"/>
      <w:bookmarkEnd w:id="46"/>
      <w:bookmarkStart w:id="47" w:name="_Toc184314427"/>
      <w:bookmarkEnd w:id="47"/>
      <w:bookmarkStart w:id="48" w:name="_Toc184308079"/>
      <w:bookmarkEnd w:id="48"/>
      <w:bookmarkStart w:id="49" w:name="_Toc184313307"/>
      <w:bookmarkEnd w:id="49"/>
      <w:bookmarkStart w:id="50" w:name="_Toc184310317"/>
      <w:bookmarkEnd w:id="50"/>
      <w:bookmarkStart w:id="51" w:name="_Toc184308089"/>
      <w:bookmarkEnd w:id="51"/>
      <w:bookmarkStart w:id="52" w:name="_Toc184310327"/>
      <w:bookmarkEnd w:id="52"/>
      <w:bookmarkStart w:id="53" w:name="_Toc184314452"/>
      <w:bookmarkEnd w:id="53"/>
      <w:bookmarkStart w:id="54" w:name="_Toc184312122"/>
      <w:bookmarkEnd w:id="54"/>
      <w:bookmarkStart w:id="55" w:name="_Toc184308101"/>
      <w:bookmarkEnd w:id="55"/>
      <w:bookmarkStart w:id="56" w:name="_Toc184310278"/>
      <w:bookmarkEnd w:id="56"/>
      <w:bookmarkStart w:id="57" w:name="_Toc184310298"/>
      <w:bookmarkEnd w:id="57"/>
      <w:bookmarkStart w:id="58" w:name="_Toc184314416"/>
      <w:bookmarkEnd w:id="58"/>
      <w:bookmarkStart w:id="59" w:name="_Toc184310283"/>
      <w:bookmarkEnd w:id="59"/>
      <w:bookmarkStart w:id="60" w:name="_Toc184308042"/>
      <w:bookmarkEnd w:id="60"/>
      <w:bookmarkStart w:id="61" w:name="_Toc184310310"/>
      <w:bookmarkEnd w:id="61"/>
      <w:bookmarkStart w:id="62" w:name="_Toc184312111"/>
      <w:bookmarkEnd w:id="62"/>
      <w:bookmarkStart w:id="63" w:name="_Toc184310303"/>
      <w:bookmarkEnd w:id="63"/>
      <w:bookmarkStart w:id="64" w:name="_Toc184310341"/>
      <w:bookmarkEnd w:id="64"/>
      <w:bookmarkStart w:id="65" w:name="_Toc184314431"/>
      <w:bookmarkEnd w:id="65"/>
      <w:bookmarkStart w:id="66" w:name="_Toc184308099"/>
      <w:bookmarkEnd w:id="66"/>
      <w:bookmarkStart w:id="67" w:name="_Toc184308095"/>
      <w:bookmarkEnd w:id="67"/>
      <w:bookmarkStart w:id="68" w:name="_Toc184308062"/>
      <w:bookmarkEnd w:id="68"/>
      <w:bookmarkStart w:id="69" w:name="_Toc184314428"/>
      <w:bookmarkEnd w:id="69"/>
      <w:bookmarkStart w:id="70" w:name="_Toc184308056"/>
      <w:bookmarkEnd w:id="70"/>
      <w:bookmarkStart w:id="71" w:name="_Toc184310331"/>
      <w:bookmarkEnd w:id="71"/>
      <w:bookmarkStart w:id="72" w:name="_Toc184310292"/>
      <w:bookmarkEnd w:id="72"/>
      <w:bookmarkStart w:id="73" w:name="_Toc184313286"/>
      <w:bookmarkEnd w:id="73"/>
      <w:bookmarkStart w:id="74" w:name="_Toc184308070"/>
      <w:bookmarkEnd w:id="74"/>
      <w:bookmarkStart w:id="75" w:name="_Toc184310314"/>
      <w:bookmarkEnd w:id="75"/>
      <w:bookmarkStart w:id="76" w:name="_Toc184312113"/>
      <w:bookmarkEnd w:id="76"/>
      <w:bookmarkStart w:id="77" w:name="_Toc184314410"/>
      <w:bookmarkEnd w:id="77"/>
      <w:bookmarkStart w:id="78" w:name="_Toc184314471"/>
      <w:bookmarkEnd w:id="78"/>
      <w:bookmarkStart w:id="79" w:name="_Toc184314469"/>
      <w:bookmarkEnd w:id="79"/>
      <w:bookmarkStart w:id="80" w:name="_Toc184313276"/>
      <w:bookmarkEnd w:id="80"/>
      <w:bookmarkStart w:id="81" w:name="_Toc184313271"/>
      <w:bookmarkEnd w:id="81"/>
      <w:bookmarkStart w:id="82" w:name="_Toc184310280"/>
      <w:bookmarkEnd w:id="82"/>
      <w:bookmarkStart w:id="83" w:name="_Toc184313274"/>
      <w:bookmarkEnd w:id="83"/>
      <w:bookmarkStart w:id="84" w:name="_Toc184312069"/>
      <w:bookmarkEnd w:id="84"/>
      <w:bookmarkStart w:id="85" w:name="_Toc184314475"/>
      <w:bookmarkEnd w:id="85"/>
      <w:bookmarkStart w:id="86" w:name="_Toc184314413"/>
      <w:bookmarkEnd w:id="86"/>
      <w:bookmarkStart w:id="87" w:name="_Toc184314430"/>
      <w:bookmarkEnd w:id="87"/>
      <w:bookmarkStart w:id="88" w:name="_Toc184310323"/>
      <w:bookmarkEnd w:id="88"/>
      <w:bookmarkStart w:id="89" w:name="_Toc184308065"/>
      <w:bookmarkEnd w:id="89"/>
      <w:bookmarkStart w:id="90" w:name="_Toc184314473"/>
      <w:bookmarkEnd w:id="90"/>
      <w:bookmarkStart w:id="91" w:name="_Toc184314421"/>
      <w:bookmarkEnd w:id="91"/>
      <w:bookmarkStart w:id="92" w:name="_Toc184312101"/>
      <w:bookmarkEnd w:id="92"/>
      <w:bookmarkStart w:id="93" w:name="_Toc184310302"/>
      <w:bookmarkEnd w:id="93"/>
      <w:bookmarkStart w:id="94" w:name="_Toc184310279"/>
      <w:bookmarkEnd w:id="94"/>
      <w:bookmarkStart w:id="95" w:name="_Toc184314432"/>
      <w:bookmarkEnd w:id="95"/>
      <w:bookmarkStart w:id="96" w:name="_Toc184314433"/>
      <w:bookmarkEnd w:id="96"/>
      <w:bookmarkStart w:id="97" w:name="_Toc184310294"/>
      <w:bookmarkEnd w:id="97"/>
      <w:bookmarkStart w:id="98" w:name="_Toc184310312"/>
      <w:bookmarkEnd w:id="98"/>
      <w:bookmarkStart w:id="99" w:name="_Toc184314415"/>
      <w:bookmarkEnd w:id="99"/>
      <w:bookmarkStart w:id="100" w:name="_Toc184314439"/>
      <w:bookmarkEnd w:id="100"/>
      <w:bookmarkStart w:id="101" w:name="_Toc184314477"/>
      <w:bookmarkEnd w:id="101"/>
      <w:bookmarkStart w:id="102" w:name="_Toc184314426"/>
      <w:bookmarkEnd w:id="102"/>
      <w:bookmarkStart w:id="103" w:name="_Toc184310324"/>
      <w:bookmarkEnd w:id="103"/>
      <w:bookmarkStart w:id="104" w:name="_Toc184312087"/>
      <w:bookmarkEnd w:id="104"/>
      <w:bookmarkStart w:id="105" w:name="_Toc184310319"/>
      <w:bookmarkEnd w:id="105"/>
      <w:bookmarkStart w:id="106" w:name="_Toc184310329"/>
      <w:bookmarkEnd w:id="106"/>
      <w:bookmarkStart w:id="107" w:name="_Toc184310308"/>
      <w:bookmarkEnd w:id="107"/>
      <w:bookmarkStart w:id="108" w:name="_Toc184313278"/>
      <w:bookmarkEnd w:id="108"/>
      <w:bookmarkStart w:id="109" w:name="_Toc184313284"/>
      <w:bookmarkEnd w:id="109"/>
      <w:bookmarkStart w:id="110" w:name="_Toc184310293"/>
      <w:bookmarkEnd w:id="110"/>
      <w:bookmarkStart w:id="111" w:name="_Toc184312118"/>
      <w:bookmarkEnd w:id="111"/>
      <w:bookmarkStart w:id="112" w:name="_Toc184312095"/>
      <w:bookmarkEnd w:id="112"/>
      <w:bookmarkStart w:id="113" w:name="_Toc184312139"/>
      <w:bookmarkEnd w:id="113"/>
      <w:bookmarkStart w:id="114" w:name="_Toc184312075"/>
      <w:bookmarkEnd w:id="114"/>
      <w:bookmarkStart w:id="115" w:name="_Toc184308041"/>
      <w:bookmarkEnd w:id="115"/>
      <w:bookmarkStart w:id="116" w:name="_Toc184312117"/>
      <w:bookmarkEnd w:id="116"/>
      <w:bookmarkStart w:id="117" w:name="_Toc184312076"/>
      <w:bookmarkEnd w:id="117"/>
      <w:bookmarkStart w:id="118" w:name="_Toc184314438"/>
      <w:bookmarkEnd w:id="118"/>
      <w:bookmarkStart w:id="119" w:name="_Toc184313254"/>
      <w:bookmarkEnd w:id="119"/>
      <w:bookmarkStart w:id="120" w:name="_Toc184308048"/>
      <w:bookmarkEnd w:id="120"/>
      <w:bookmarkStart w:id="121" w:name="_Toc184313247"/>
      <w:bookmarkEnd w:id="121"/>
      <w:bookmarkStart w:id="122" w:name="_Toc184314482"/>
      <w:bookmarkEnd w:id="122"/>
      <w:bookmarkStart w:id="123" w:name="_Toc184310289"/>
      <w:bookmarkEnd w:id="123"/>
      <w:bookmarkStart w:id="124" w:name="_Toc184310290"/>
      <w:bookmarkEnd w:id="124"/>
      <w:bookmarkStart w:id="125" w:name="_Toc184308108"/>
      <w:bookmarkEnd w:id="125"/>
      <w:bookmarkStart w:id="126" w:name="_Toc184313279"/>
      <w:bookmarkEnd w:id="126"/>
      <w:bookmarkStart w:id="127" w:name="_Toc184308039"/>
      <w:bookmarkEnd w:id="127"/>
      <w:bookmarkStart w:id="128" w:name="_Toc184314436"/>
      <w:bookmarkEnd w:id="128"/>
      <w:bookmarkStart w:id="129" w:name="_Toc184310335"/>
      <w:bookmarkEnd w:id="129"/>
      <w:bookmarkStart w:id="130" w:name="_Toc184312105"/>
      <w:bookmarkEnd w:id="130"/>
      <w:bookmarkStart w:id="131" w:name="_Toc184313310"/>
      <w:bookmarkEnd w:id="131"/>
      <w:bookmarkStart w:id="132" w:name="_Toc184308071"/>
      <w:bookmarkEnd w:id="132"/>
      <w:bookmarkStart w:id="133" w:name="_Toc184314480"/>
      <w:bookmarkEnd w:id="133"/>
      <w:bookmarkStart w:id="134" w:name="_Toc184313275"/>
      <w:bookmarkEnd w:id="134"/>
      <w:bookmarkStart w:id="135" w:name="_Toc184308046"/>
      <w:bookmarkEnd w:id="135"/>
      <w:bookmarkStart w:id="136" w:name="_Toc184312102"/>
      <w:bookmarkEnd w:id="136"/>
      <w:bookmarkStart w:id="137" w:name="_Toc184313293"/>
      <w:bookmarkEnd w:id="137"/>
      <w:bookmarkStart w:id="138" w:name="_Toc184310337"/>
      <w:bookmarkEnd w:id="138"/>
      <w:bookmarkStart w:id="139" w:name="_Toc184314417"/>
      <w:bookmarkEnd w:id="139"/>
      <w:bookmarkStart w:id="140" w:name="_Toc184312088"/>
      <w:bookmarkEnd w:id="140"/>
      <w:bookmarkStart w:id="141" w:name="_Toc184310311"/>
      <w:bookmarkEnd w:id="141"/>
      <w:bookmarkStart w:id="142" w:name="_Toc184308080"/>
      <w:bookmarkEnd w:id="142"/>
      <w:bookmarkStart w:id="143" w:name="_Toc184310332"/>
      <w:bookmarkEnd w:id="143"/>
      <w:bookmarkStart w:id="144" w:name="_Toc184308068"/>
      <w:bookmarkEnd w:id="144"/>
      <w:bookmarkStart w:id="145" w:name="_Toc184312086"/>
      <w:bookmarkEnd w:id="145"/>
      <w:bookmarkStart w:id="146" w:name="_Toc184312077"/>
      <w:bookmarkEnd w:id="146"/>
      <w:bookmarkStart w:id="147" w:name="_Toc184308059"/>
      <w:bookmarkEnd w:id="147"/>
      <w:bookmarkStart w:id="148" w:name="_Toc184312114"/>
      <w:bookmarkEnd w:id="148"/>
      <w:bookmarkStart w:id="149" w:name="_Toc184313263"/>
      <w:bookmarkEnd w:id="149"/>
      <w:bookmarkStart w:id="150" w:name="_Toc184313290"/>
      <w:bookmarkEnd w:id="150"/>
      <w:bookmarkStart w:id="151" w:name="_Toc184310277"/>
      <w:bookmarkEnd w:id="151"/>
      <w:bookmarkStart w:id="152" w:name="_Toc184314425"/>
      <w:bookmarkEnd w:id="152"/>
      <w:bookmarkStart w:id="153" w:name="_Toc184308103"/>
      <w:bookmarkEnd w:id="153"/>
      <w:bookmarkStart w:id="154" w:name="_Toc184310315"/>
      <w:bookmarkEnd w:id="154"/>
      <w:bookmarkStart w:id="155" w:name="_Toc184313304"/>
      <w:bookmarkEnd w:id="155"/>
      <w:bookmarkStart w:id="156" w:name="_Toc184314464"/>
      <w:bookmarkEnd w:id="156"/>
      <w:bookmarkStart w:id="157" w:name="_Toc184313246"/>
      <w:bookmarkEnd w:id="157"/>
      <w:bookmarkStart w:id="158" w:name="_Toc184310297"/>
      <w:bookmarkEnd w:id="158"/>
      <w:bookmarkStart w:id="159" w:name="_Toc184313261"/>
      <w:bookmarkEnd w:id="159"/>
      <w:bookmarkStart w:id="160" w:name="_Toc184314476"/>
      <w:bookmarkEnd w:id="160"/>
      <w:bookmarkStart w:id="161" w:name="_Toc184312104"/>
      <w:bookmarkEnd w:id="161"/>
      <w:bookmarkStart w:id="162" w:name="_Toc184313298"/>
      <w:bookmarkEnd w:id="162"/>
      <w:bookmarkStart w:id="163" w:name="_Toc184312130"/>
      <w:bookmarkEnd w:id="163"/>
      <w:bookmarkStart w:id="164" w:name="_Toc184312131"/>
      <w:bookmarkEnd w:id="164"/>
      <w:bookmarkStart w:id="165" w:name="_Toc184308083"/>
      <w:bookmarkEnd w:id="165"/>
      <w:bookmarkStart w:id="166" w:name="_Toc184313288"/>
      <w:bookmarkEnd w:id="166"/>
      <w:bookmarkStart w:id="167" w:name="_Toc184310300"/>
      <w:bookmarkEnd w:id="167"/>
      <w:bookmarkStart w:id="168" w:name="_Toc184314443"/>
      <w:bookmarkEnd w:id="168"/>
      <w:bookmarkStart w:id="169" w:name="_Toc184310281"/>
      <w:bookmarkEnd w:id="169"/>
      <w:bookmarkStart w:id="170" w:name="_Toc184312107"/>
      <w:bookmarkEnd w:id="170"/>
      <w:bookmarkStart w:id="171" w:name="_Toc184313289"/>
      <w:bookmarkEnd w:id="171"/>
      <w:bookmarkStart w:id="172" w:name="_Toc184314450"/>
      <w:bookmarkEnd w:id="172"/>
      <w:bookmarkStart w:id="173" w:name="_Toc184312079"/>
      <w:bookmarkEnd w:id="173"/>
      <w:bookmarkStart w:id="174" w:name="_Toc184312094"/>
      <w:bookmarkEnd w:id="174"/>
      <w:bookmarkStart w:id="175" w:name="_Toc184312129"/>
      <w:bookmarkEnd w:id="175"/>
      <w:bookmarkStart w:id="176" w:name="_Toc184314453"/>
      <w:bookmarkEnd w:id="176"/>
      <w:bookmarkStart w:id="177" w:name="_Toc184312096"/>
      <w:bookmarkEnd w:id="177"/>
      <w:bookmarkStart w:id="178" w:name="_Toc184312072"/>
      <w:bookmarkEnd w:id="178"/>
      <w:bookmarkStart w:id="179" w:name="_Toc184310321"/>
      <w:bookmarkEnd w:id="179"/>
      <w:bookmarkStart w:id="180" w:name="_Toc184310305"/>
      <w:bookmarkEnd w:id="180"/>
      <w:bookmarkStart w:id="181" w:name="_Toc184308096"/>
      <w:bookmarkEnd w:id="181"/>
      <w:bookmarkStart w:id="182" w:name="_Toc184308082"/>
      <w:bookmarkEnd w:id="182"/>
      <w:bookmarkStart w:id="183" w:name="_Toc184310285"/>
      <w:bookmarkEnd w:id="183"/>
      <w:bookmarkStart w:id="184" w:name="_Toc184313295"/>
      <w:bookmarkEnd w:id="184"/>
      <w:bookmarkStart w:id="185" w:name="_Toc184314468"/>
      <w:bookmarkEnd w:id="185"/>
      <w:bookmarkStart w:id="186" w:name="_Toc184313242"/>
      <w:bookmarkEnd w:id="186"/>
      <w:bookmarkStart w:id="187" w:name="_Toc184314467"/>
      <w:bookmarkEnd w:id="187"/>
      <w:bookmarkStart w:id="188" w:name="_Toc184312137"/>
      <w:bookmarkEnd w:id="188"/>
      <w:bookmarkStart w:id="189" w:name="_Toc184314420"/>
      <w:bookmarkEnd w:id="189"/>
      <w:bookmarkStart w:id="190" w:name="_Toc184313297"/>
      <w:bookmarkEnd w:id="190"/>
      <w:bookmarkStart w:id="191" w:name="_Toc184313301"/>
      <w:bookmarkEnd w:id="191"/>
      <w:bookmarkStart w:id="192" w:name="_Toc184313244"/>
      <w:bookmarkEnd w:id="192"/>
      <w:bookmarkStart w:id="193" w:name="_Toc184314458"/>
      <w:bookmarkEnd w:id="193"/>
      <w:bookmarkStart w:id="194" w:name="_Toc184312120"/>
      <w:bookmarkEnd w:id="194"/>
      <w:bookmarkStart w:id="195" w:name="_Toc184310340"/>
      <w:bookmarkEnd w:id="195"/>
      <w:bookmarkStart w:id="196" w:name="_Toc184313294"/>
      <w:bookmarkEnd w:id="196"/>
      <w:bookmarkStart w:id="197" w:name="_Toc184310313"/>
      <w:bookmarkEnd w:id="197"/>
      <w:bookmarkStart w:id="198" w:name="_Toc184313245"/>
      <w:bookmarkEnd w:id="198"/>
      <w:bookmarkStart w:id="199" w:name="_Toc184310322"/>
      <w:bookmarkEnd w:id="199"/>
      <w:bookmarkStart w:id="200" w:name="_Toc184310306"/>
      <w:bookmarkEnd w:id="200"/>
      <w:bookmarkStart w:id="201" w:name="_Toc184308073"/>
      <w:bookmarkEnd w:id="201"/>
      <w:bookmarkStart w:id="202" w:name="_Toc184308038"/>
      <w:bookmarkEnd w:id="202"/>
      <w:bookmarkStart w:id="203" w:name="_Toc184313291"/>
      <w:bookmarkEnd w:id="203"/>
      <w:bookmarkStart w:id="204" w:name="_Toc184312098"/>
      <w:bookmarkEnd w:id="204"/>
      <w:bookmarkStart w:id="205" w:name="_Toc184314454"/>
      <w:bookmarkEnd w:id="205"/>
      <w:bookmarkStart w:id="206" w:name="_Toc184313250"/>
      <w:bookmarkEnd w:id="206"/>
      <w:bookmarkStart w:id="207" w:name="_Toc184308092"/>
      <w:bookmarkEnd w:id="207"/>
      <w:bookmarkStart w:id="208" w:name="_Toc184312108"/>
      <w:bookmarkEnd w:id="208"/>
      <w:bookmarkStart w:id="209" w:name="_Toc184314455"/>
      <w:bookmarkEnd w:id="209"/>
      <w:bookmarkStart w:id="210" w:name="_Toc184312082"/>
      <w:bookmarkEnd w:id="210"/>
      <w:bookmarkStart w:id="211" w:name="_Toc184310288"/>
      <w:bookmarkEnd w:id="211"/>
      <w:bookmarkStart w:id="212" w:name="_Toc184308058"/>
      <w:bookmarkEnd w:id="212"/>
      <w:bookmarkStart w:id="213" w:name="_Toc184312119"/>
      <w:bookmarkEnd w:id="213"/>
      <w:bookmarkStart w:id="214" w:name="_Toc184313257"/>
      <w:bookmarkEnd w:id="214"/>
      <w:bookmarkStart w:id="215" w:name="_Toc184313266"/>
      <w:bookmarkEnd w:id="215"/>
      <w:bookmarkStart w:id="216" w:name="_Toc184308086"/>
      <w:bookmarkEnd w:id="216"/>
      <w:bookmarkStart w:id="217" w:name="_Toc184308054"/>
      <w:bookmarkEnd w:id="217"/>
      <w:bookmarkStart w:id="218" w:name="_Toc184308076"/>
      <w:bookmarkEnd w:id="218"/>
      <w:bookmarkStart w:id="219" w:name="_Toc184314411"/>
      <w:bookmarkEnd w:id="219"/>
      <w:bookmarkStart w:id="220" w:name="_Toc184310273"/>
      <w:bookmarkEnd w:id="220"/>
      <w:bookmarkStart w:id="221" w:name="_Toc184313260"/>
      <w:bookmarkEnd w:id="221"/>
      <w:bookmarkStart w:id="222" w:name="_Toc184312067"/>
      <w:bookmarkEnd w:id="222"/>
      <w:bookmarkStart w:id="223" w:name="_Toc184314451"/>
      <w:bookmarkEnd w:id="223"/>
      <w:bookmarkStart w:id="224" w:name="_Toc184314457"/>
      <w:bookmarkEnd w:id="224"/>
      <w:bookmarkStart w:id="225" w:name="_Toc184313251"/>
      <w:bookmarkEnd w:id="225"/>
      <w:bookmarkStart w:id="226" w:name="_Toc184312121"/>
      <w:bookmarkEnd w:id="226"/>
      <w:bookmarkStart w:id="227" w:name="_Toc184313249"/>
      <w:bookmarkEnd w:id="227"/>
      <w:bookmarkStart w:id="228" w:name="_Toc184312127"/>
      <w:bookmarkEnd w:id="228"/>
      <w:bookmarkStart w:id="229" w:name="_Toc184308036"/>
      <w:bookmarkEnd w:id="229"/>
      <w:bookmarkStart w:id="230" w:name="_Toc184312092"/>
      <w:bookmarkEnd w:id="230"/>
      <w:bookmarkStart w:id="231" w:name="_Toc184308093"/>
      <w:bookmarkEnd w:id="231"/>
      <w:bookmarkStart w:id="232" w:name="_Toc184312124"/>
      <w:bookmarkEnd w:id="232"/>
      <w:bookmarkStart w:id="233" w:name="_Toc184308052"/>
      <w:bookmarkEnd w:id="233"/>
      <w:bookmarkStart w:id="234" w:name="_Toc184310299"/>
      <w:bookmarkEnd w:id="234"/>
      <w:bookmarkStart w:id="235" w:name="_Toc184310275"/>
      <w:bookmarkEnd w:id="235"/>
      <w:bookmarkStart w:id="236" w:name="_Toc184314419"/>
      <w:bookmarkEnd w:id="236"/>
      <w:bookmarkStart w:id="237" w:name="_Toc184313277"/>
      <w:bookmarkEnd w:id="237"/>
      <w:bookmarkStart w:id="238" w:name="_Toc184313258"/>
      <w:bookmarkEnd w:id="238"/>
      <w:bookmarkStart w:id="239" w:name="_Toc184312138"/>
      <w:bookmarkEnd w:id="239"/>
      <w:bookmarkStart w:id="240" w:name="_Toc184312106"/>
      <w:bookmarkEnd w:id="240"/>
      <w:bookmarkStart w:id="241" w:name="_Toc184308107"/>
      <w:bookmarkEnd w:id="241"/>
      <w:bookmarkStart w:id="242" w:name="_Toc184308051"/>
      <w:bookmarkEnd w:id="242"/>
      <w:bookmarkStart w:id="243" w:name="_Toc184314465"/>
      <w:bookmarkEnd w:id="243"/>
      <w:bookmarkStart w:id="244" w:name="_Toc184312071"/>
      <w:bookmarkEnd w:id="244"/>
      <w:bookmarkStart w:id="245" w:name="_Toc184313302"/>
      <w:bookmarkEnd w:id="245"/>
      <w:bookmarkStart w:id="246" w:name="_Toc184310309"/>
      <w:bookmarkEnd w:id="246"/>
      <w:bookmarkStart w:id="247" w:name="_Toc184310295"/>
      <w:bookmarkEnd w:id="247"/>
      <w:bookmarkStart w:id="248" w:name="_Toc184314463"/>
      <w:bookmarkEnd w:id="248"/>
      <w:bookmarkStart w:id="249" w:name="_Toc184312112"/>
      <w:bookmarkEnd w:id="249"/>
      <w:bookmarkStart w:id="250" w:name="_Toc184308088"/>
      <w:bookmarkEnd w:id="250"/>
      <w:bookmarkStart w:id="251" w:name="_Toc184310272"/>
      <w:bookmarkEnd w:id="251"/>
      <w:bookmarkStart w:id="252" w:name="_Toc184308091"/>
      <w:bookmarkEnd w:id="252"/>
      <w:bookmarkStart w:id="253" w:name="_Toc184308105"/>
      <w:bookmarkEnd w:id="253"/>
      <w:bookmarkStart w:id="254" w:name="_Toc184312070"/>
      <w:bookmarkEnd w:id="254"/>
      <w:bookmarkStart w:id="255" w:name="_Toc184314456"/>
      <w:bookmarkEnd w:id="255"/>
      <w:bookmarkStart w:id="256" w:name="_Toc184308104"/>
      <w:bookmarkEnd w:id="256"/>
      <w:bookmarkStart w:id="257" w:name="_Toc184313283"/>
      <w:bookmarkEnd w:id="257"/>
      <w:bookmarkStart w:id="258" w:name="_Toc184312100"/>
      <w:bookmarkEnd w:id="258"/>
      <w:bookmarkStart w:id="259" w:name="_Toc184308066"/>
      <w:bookmarkEnd w:id="259"/>
      <w:bookmarkStart w:id="260" w:name="_Toc184308074"/>
      <w:bookmarkEnd w:id="260"/>
      <w:bookmarkStart w:id="261" w:name="_Toc184310325"/>
      <w:bookmarkEnd w:id="261"/>
      <w:bookmarkStart w:id="262" w:name="_Toc184308100"/>
      <w:bookmarkEnd w:id="262"/>
      <w:bookmarkStart w:id="263" w:name="_Toc184312089"/>
      <w:bookmarkEnd w:id="263"/>
      <w:bookmarkStart w:id="264" w:name="_Toc184312080"/>
      <w:bookmarkEnd w:id="264"/>
      <w:bookmarkStart w:id="265" w:name="_Toc184314414"/>
      <w:bookmarkEnd w:id="265"/>
      <w:bookmarkStart w:id="266" w:name="_Toc184314461"/>
      <w:bookmarkEnd w:id="266"/>
      <w:bookmarkStart w:id="267" w:name="_Toc184313238"/>
      <w:bookmarkEnd w:id="267"/>
      <w:bookmarkStart w:id="268" w:name="_Toc184313265"/>
      <w:bookmarkEnd w:id="268"/>
      <w:bookmarkStart w:id="269" w:name="_Toc184312133"/>
      <w:bookmarkEnd w:id="269"/>
      <w:bookmarkStart w:id="270" w:name="_Toc184314445"/>
      <w:bookmarkEnd w:id="270"/>
      <w:bookmarkStart w:id="271" w:name="_Toc184310326"/>
      <w:bookmarkEnd w:id="271"/>
      <w:bookmarkStart w:id="272" w:name="_Toc184314441"/>
      <w:bookmarkEnd w:id="272"/>
      <w:bookmarkStart w:id="273" w:name="_Toc184310339"/>
      <w:bookmarkEnd w:id="273"/>
      <w:bookmarkStart w:id="274" w:name="_Toc184310336"/>
      <w:bookmarkEnd w:id="274"/>
      <w:bookmarkStart w:id="275" w:name="_Toc184308047"/>
      <w:bookmarkEnd w:id="275"/>
      <w:bookmarkStart w:id="276" w:name="_Toc184308078"/>
      <w:bookmarkEnd w:id="276"/>
      <w:bookmarkStart w:id="277" w:name="_Toc184310344"/>
      <w:bookmarkEnd w:id="277"/>
      <w:bookmarkStart w:id="278" w:name="_Toc184310333"/>
      <w:bookmarkEnd w:id="278"/>
      <w:bookmarkStart w:id="279" w:name="_Toc184313253"/>
      <w:bookmarkEnd w:id="279"/>
      <w:bookmarkStart w:id="280" w:name="_Toc184312073"/>
      <w:bookmarkEnd w:id="280"/>
      <w:bookmarkStart w:id="281" w:name="_Toc184312109"/>
      <w:bookmarkEnd w:id="281"/>
      <w:bookmarkStart w:id="282" w:name="_Toc184308050"/>
      <w:bookmarkEnd w:id="282"/>
      <w:bookmarkStart w:id="283" w:name="_Toc184312132"/>
      <w:bookmarkEnd w:id="283"/>
      <w:bookmarkStart w:id="284" w:name="_Toc184310318"/>
      <w:bookmarkEnd w:id="284"/>
      <w:bookmarkStart w:id="285" w:name="_Toc184308085"/>
      <w:bookmarkEnd w:id="285"/>
      <w:bookmarkStart w:id="286" w:name="_Toc184313308"/>
      <w:bookmarkEnd w:id="286"/>
      <w:bookmarkStart w:id="287" w:name="_Toc184314479"/>
      <w:bookmarkEnd w:id="287"/>
      <w:bookmarkStart w:id="288" w:name="_Toc184308061"/>
      <w:bookmarkEnd w:id="288"/>
      <w:bookmarkStart w:id="289" w:name="_Toc184312068"/>
      <w:bookmarkEnd w:id="289"/>
      <w:bookmarkStart w:id="290" w:name="_Toc184308043"/>
      <w:bookmarkEnd w:id="290"/>
      <w:bookmarkStart w:id="291" w:name="_Toc184308055"/>
      <w:bookmarkEnd w:id="291"/>
      <w:bookmarkStart w:id="292" w:name="_Toc184308072"/>
      <w:bookmarkEnd w:id="292"/>
      <w:bookmarkStart w:id="293" w:name="_Toc184308040"/>
      <w:bookmarkEnd w:id="293"/>
      <w:bookmarkStart w:id="294" w:name="_Toc184312115"/>
      <w:bookmarkEnd w:id="294"/>
      <w:bookmarkStart w:id="295" w:name="_Toc184308045"/>
      <w:bookmarkEnd w:id="295"/>
      <w:bookmarkStart w:id="296" w:name="_Toc184313256"/>
      <w:bookmarkEnd w:id="296"/>
      <w:bookmarkStart w:id="297" w:name="_Toc184314435"/>
      <w:bookmarkEnd w:id="297"/>
      <w:bookmarkStart w:id="298" w:name="_Toc184312103"/>
      <w:bookmarkEnd w:id="298"/>
      <w:bookmarkStart w:id="299" w:name="_Toc184313241"/>
      <w:bookmarkEnd w:id="299"/>
      <w:bookmarkStart w:id="300" w:name="_Toc184313243"/>
      <w:bookmarkEnd w:id="300"/>
      <w:bookmarkStart w:id="301" w:name="_Toc184314459"/>
      <w:bookmarkEnd w:id="301"/>
      <w:bookmarkStart w:id="302" w:name="_Toc184314434"/>
      <w:bookmarkEnd w:id="302"/>
      <w:bookmarkStart w:id="303" w:name="_Toc184313262"/>
      <w:bookmarkEnd w:id="303"/>
      <w:bookmarkStart w:id="304" w:name="_Toc184314478"/>
      <w:bookmarkEnd w:id="304"/>
      <w:bookmarkStart w:id="305" w:name="_Toc184314446"/>
      <w:bookmarkEnd w:id="305"/>
      <w:bookmarkStart w:id="306" w:name="_Toc184314447"/>
      <w:bookmarkEnd w:id="306"/>
      <w:bookmarkStart w:id="307" w:name="_Toc184314437"/>
      <w:bookmarkEnd w:id="307"/>
      <w:bookmarkStart w:id="308" w:name="_Toc184313255"/>
      <w:bookmarkEnd w:id="308"/>
      <w:bookmarkStart w:id="309" w:name="_Toc184312085"/>
      <w:bookmarkEnd w:id="309"/>
      <w:bookmarkStart w:id="310" w:name="_Toc184313252"/>
      <w:bookmarkEnd w:id="310"/>
      <w:bookmarkStart w:id="311" w:name="_Toc184312110"/>
      <w:bookmarkEnd w:id="311"/>
      <w:bookmarkStart w:id="312" w:name="_Toc184308090"/>
      <w:bookmarkEnd w:id="312"/>
      <w:bookmarkStart w:id="313" w:name="_Toc184308063"/>
      <w:bookmarkEnd w:id="313"/>
      <w:bookmarkStart w:id="314" w:name="_Toc184314412"/>
      <w:bookmarkEnd w:id="314"/>
      <w:bookmarkStart w:id="315" w:name="_Toc184308098"/>
      <w:bookmarkEnd w:id="315"/>
      <w:bookmarkStart w:id="316" w:name="_Toc184312116"/>
      <w:bookmarkEnd w:id="316"/>
      <w:bookmarkStart w:id="317" w:name="_Toc184308064"/>
      <w:bookmarkEnd w:id="317"/>
      <w:bookmarkStart w:id="318" w:name="_Toc184310316"/>
      <w:bookmarkEnd w:id="318"/>
      <w:bookmarkStart w:id="319" w:name="_Toc184310291"/>
      <w:bookmarkEnd w:id="319"/>
      <w:bookmarkStart w:id="320" w:name="_Toc184310338"/>
      <w:bookmarkEnd w:id="320"/>
      <w:bookmarkStart w:id="321" w:name="_Toc184314440"/>
      <w:bookmarkEnd w:id="321"/>
      <w:bookmarkStart w:id="322" w:name="_Toc184314474"/>
      <w:bookmarkEnd w:id="322"/>
      <w:bookmarkStart w:id="323" w:name="_Toc184310286"/>
      <w:bookmarkEnd w:id="323"/>
      <w:bookmarkStart w:id="324" w:name="_Toc184312078"/>
      <w:bookmarkEnd w:id="324"/>
      <w:bookmarkStart w:id="325" w:name="_Toc184314481"/>
      <w:bookmarkEnd w:id="325"/>
      <w:bookmarkStart w:id="326" w:name="_Toc184312135"/>
      <w:bookmarkEnd w:id="326"/>
      <w:bookmarkStart w:id="327" w:name="_Toc184312128"/>
      <w:bookmarkEnd w:id="327"/>
      <w:bookmarkStart w:id="328" w:name="_Toc184312084"/>
      <w:bookmarkEnd w:id="328"/>
      <w:bookmarkStart w:id="329" w:name="_Toc184312081"/>
      <w:bookmarkEnd w:id="329"/>
      <w:bookmarkStart w:id="330" w:name="_Toc184313259"/>
      <w:bookmarkEnd w:id="330"/>
      <w:bookmarkStart w:id="331" w:name="_Toc184308053"/>
      <w:bookmarkEnd w:id="331"/>
      <w:bookmarkStart w:id="332" w:name="_Toc184308044"/>
      <w:bookmarkEnd w:id="332"/>
      <w:bookmarkStart w:id="333" w:name="_Toc184308094"/>
      <w:bookmarkEnd w:id="333"/>
      <w:bookmarkStart w:id="334" w:name="_Toc184312074"/>
      <w:bookmarkEnd w:id="334"/>
      <w:bookmarkStart w:id="335" w:name="_Toc184313299"/>
      <w:bookmarkEnd w:id="335"/>
      <w:bookmarkStart w:id="336" w:name="_Toc184308102"/>
      <w:bookmarkEnd w:id="336"/>
      <w:bookmarkStart w:id="337" w:name="_Toc184310307"/>
      <w:bookmarkEnd w:id="337"/>
      <w:bookmarkStart w:id="338" w:name="_Toc184308075"/>
      <w:bookmarkEnd w:id="338"/>
      <w:bookmarkStart w:id="339" w:name="_Toc184310284"/>
      <w:bookmarkEnd w:id="339"/>
      <w:bookmarkStart w:id="340" w:name="_Toc184314422"/>
      <w:bookmarkEnd w:id="340"/>
      <w:bookmarkStart w:id="341" w:name="_Toc184310334"/>
      <w:bookmarkEnd w:id="341"/>
      <w:bookmarkStart w:id="342" w:name="_Toc184313248"/>
      <w:bookmarkEnd w:id="342"/>
      <w:bookmarkStart w:id="343" w:name="_Toc184308084"/>
      <w:bookmarkEnd w:id="343"/>
      <w:bookmarkStart w:id="344" w:name="_Toc184312123"/>
      <w:bookmarkEnd w:id="344"/>
      <w:bookmarkStart w:id="345" w:name="_Toc184314448"/>
      <w:bookmarkEnd w:id="345"/>
      <w:bookmarkStart w:id="346" w:name="_Toc184310282"/>
      <w:bookmarkEnd w:id="346"/>
      <w:bookmarkStart w:id="347" w:name="_Toc184312090"/>
      <w:bookmarkEnd w:id="347"/>
      <w:bookmarkStart w:id="348" w:name="_Toc184312099"/>
      <w:bookmarkEnd w:id="348"/>
      <w:bookmarkStart w:id="349" w:name="_Toc184313270"/>
      <w:bookmarkEnd w:id="349"/>
      <w:bookmarkStart w:id="350" w:name="_Toc184313267"/>
      <w:bookmarkEnd w:id="350"/>
      <w:bookmarkStart w:id="351" w:name="_Toc184313269"/>
      <w:bookmarkEnd w:id="351"/>
      <w:bookmarkStart w:id="352" w:name="_Toc184312093"/>
      <w:bookmarkEnd w:id="352"/>
      <w:bookmarkStart w:id="353" w:name="_Toc184314462"/>
      <w:bookmarkEnd w:id="353"/>
      <w:bookmarkStart w:id="354" w:name="_Toc184308087"/>
      <w:bookmarkEnd w:id="354"/>
      <w:bookmarkStart w:id="355" w:name="_Toc184314442"/>
      <w:bookmarkEnd w:id="355"/>
      <w:bookmarkStart w:id="356" w:name="_Toc184312083"/>
      <w:bookmarkEnd w:id="356"/>
      <w:bookmarkStart w:id="357" w:name="_Toc184310287"/>
      <w:bookmarkEnd w:id="357"/>
      <w:bookmarkStart w:id="358" w:name="_Toc184310320"/>
      <w:bookmarkEnd w:id="358"/>
      <w:bookmarkStart w:id="359" w:name="_Toc184313285"/>
      <w:bookmarkEnd w:id="359"/>
      <w:bookmarkStart w:id="360" w:name="_Toc184314429"/>
      <w:bookmarkEnd w:id="360"/>
      <w:bookmarkStart w:id="361" w:name="_Toc184310274"/>
      <w:bookmarkEnd w:id="361"/>
      <w:bookmarkStart w:id="362" w:name="_Toc184308081"/>
      <w:bookmarkEnd w:id="362"/>
      <w:bookmarkStart w:id="363" w:name="_Toc184310296"/>
      <w:bookmarkEnd w:id="363"/>
      <w:bookmarkStart w:id="364" w:name="_Toc184313300"/>
      <w:bookmarkEnd w:id="364"/>
      <w:bookmarkStart w:id="365" w:name="_Toc184313268"/>
      <w:bookmarkEnd w:id="365"/>
      <w:bookmarkStart w:id="366" w:name="_Toc184312097"/>
      <w:bookmarkEnd w:id="366"/>
      <w:bookmarkStart w:id="367" w:name="_Toc184310343"/>
      <w:bookmarkEnd w:id="367"/>
      <w:bookmarkStart w:id="368" w:name="_Toc184308067"/>
      <w:bookmarkEnd w:id="368"/>
      <w:bookmarkStart w:id="369" w:name="_Toc184313309"/>
      <w:bookmarkEnd w:id="369"/>
      <w:bookmarkStart w:id="370" w:name="_Toc184314424"/>
      <w:bookmarkEnd w:id="370"/>
      <w:bookmarkStart w:id="371" w:name="_Toc184310330"/>
      <w:bookmarkEnd w:id="371"/>
      <w:bookmarkStart w:id="372" w:name="_Toc184308106"/>
      <w:bookmarkEnd w:id="372"/>
      <w:bookmarkStart w:id="373" w:name="_Toc184312126"/>
      <w:bookmarkEnd w:id="373"/>
      <w:bookmarkStart w:id="374" w:name="_Toc184314444"/>
      <w:bookmarkEnd w:id="374"/>
      <w:bookmarkStart w:id="375" w:name="_Toc184313303"/>
      <w:bookmarkEnd w:id="375"/>
      <w:bookmarkStart w:id="376" w:name="_Toc184313296"/>
      <w:bookmarkEnd w:id="376"/>
      <w:bookmarkStart w:id="377" w:name="_Toc184310301"/>
      <w:bookmarkEnd w:id="377"/>
      <w:bookmarkStart w:id="378" w:name="_Toc184308097"/>
      <w:bookmarkEnd w:id="378"/>
      <w:bookmarkStart w:id="379" w:name="_Toc184312125"/>
      <w:bookmarkEnd w:id="379"/>
      <w:bookmarkStart w:id="380" w:name="_Toc184308077"/>
      <w:bookmarkEnd w:id="380"/>
      <w:bookmarkStart w:id="381" w:name="_Toc184313272"/>
      <w:bookmarkEnd w:id="381"/>
      <w:bookmarkStart w:id="382" w:name="_Toc184308057"/>
      <w:bookmarkEnd w:id="382"/>
      <w:bookmarkStart w:id="383" w:name="_Toc184314470"/>
      <w:bookmarkEnd w:id="383"/>
      <w:bookmarkStart w:id="384" w:name="_Toc184313280"/>
      <w:bookmarkEnd w:id="384"/>
      <w:bookmarkStart w:id="385" w:name="_Toc184313264"/>
      <w:bookmarkEnd w:id="385"/>
      <w:bookmarkStart w:id="386" w:name="_Toc184312091"/>
      <w:bookmarkEnd w:id="386"/>
      <w:bookmarkStart w:id="387" w:name="_Toc184314423"/>
      <w:bookmarkEnd w:id="387"/>
      <w:bookmarkStart w:id="388" w:name="_Toc184313281"/>
      <w:bookmarkEnd w:id="388"/>
      <w:bookmarkStart w:id="389" w:name="_Toc184312136"/>
      <w:bookmarkEnd w:id="389"/>
      <w:bookmarkStart w:id="390" w:name="_Toc184313292"/>
      <w:bookmarkEnd w:id="390"/>
      <w:bookmarkStart w:id="391" w:name="_Toc184310276"/>
      <w:bookmarkEnd w:id="391"/>
      <w:bookmarkStart w:id="392" w:name="_Toc184313273"/>
      <w:bookmarkEnd w:id="392"/>
      <w:bookmarkStart w:id="393" w:name="_Toc184313305"/>
      <w:bookmarkEnd w:id="393"/>
      <w:bookmarkStart w:id="394" w:name="_Toc184308069"/>
      <w:bookmarkEnd w:id="394"/>
      <w:bookmarkStart w:id="395" w:name="_Toc184308060"/>
      <w:bookmarkEnd w:id="395"/>
      <w:bookmarkStart w:id="396" w:name="_Toc184313239"/>
      <w:bookmarkEnd w:id="396"/>
      <w:bookmarkStart w:id="397" w:name="_Toc184313306"/>
      <w:bookmarkEnd w:id="397"/>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701" w:type="dxa"/>
        <w:jc w:val="center"/>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Layout w:type="fixed"/>
        <w:tblCellMar>
          <w:top w:w="0" w:type="dxa"/>
          <w:left w:w="0" w:type="dxa"/>
          <w:bottom w:w="0" w:type="dxa"/>
          <w:right w:w="0" w:type="dxa"/>
        </w:tblCellMar>
      </w:tblPr>
      <w:tblGrid>
        <w:gridCol w:w="625"/>
        <w:gridCol w:w="1039"/>
        <w:gridCol w:w="5341"/>
        <w:gridCol w:w="662"/>
        <w:gridCol w:w="754"/>
        <w:gridCol w:w="1280"/>
      </w:tblGrid>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6380" w:type="dxa"/>
            <w:gridSpan w:val="2"/>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评分标准</w:t>
            </w:r>
          </w:p>
        </w:tc>
        <w:tc>
          <w:tcPr>
            <w:tcW w:w="662"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754"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主观分/客观分属性</w:t>
            </w:r>
          </w:p>
        </w:tc>
        <w:tc>
          <w:tcPr>
            <w:tcW w:w="1280"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投标文件中评标标准相应的商务技术资料目录*</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资信情况</w:t>
            </w:r>
          </w:p>
        </w:tc>
        <w:tc>
          <w:tcPr>
            <w:tcW w:w="5341"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业绩：供应商</w:t>
            </w:r>
            <w:bookmarkStart w:id="398" w:name="OLE_LINK2"/>
            <w:r>
              <w:rPr>
                <w:rFonts w:hint="eastAsia" w:ascii="宋体" w:hAnsi="宋体" w:eastAsia="宋体" w:cs="宋体"/>
                <w:color w:val="auto"/>
                <w:sz w:val="24"/>
                <w:szCs w:val="24"/>
                <w:highlight w:val="none"/>
              </w:rPr>
              <w:t>自2022年1月1日</w:t>
            </w:r>
            <w:bookmarkEnd w:id="398"/>
            <w:r>
              <w:rPr>
                <w:rFonts w:hint="eastAsia" w:ascii="宋体" w:hAnsi="宋体" w:eastAsia="宋体" w:cs="宋体"/>
                <w:color w:val="auto"/>
                <w:sz w:val="24"/>
                <w:szCs w:val="24"/>
                <w:highlight w:val="none"/>
              </w:rPr>
              <w:t>起完成过医疗废弃物收运处置服务的业绩情况，每提供一个有效业绩得0.5分，最高得1分。提供合同复印件，同一用户不重复得分。</w:t>
            </w:r>
          </w:p>
        </w:tc>
        <w:tc>
          <w:tcPr>
            <w:tcW w:w="662"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w:t>
            </w:r>
          </w:p>
        </w:tc>
        <w:tc>
          <w:tcPr>
            <w:tcW w:w="754"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客观分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符合度</w:t>
            </w:r>
          </w:p>
        </w:tc>
        <w:tc>
          <w:tcPr>
            <w:tcW w:w="5341"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bookmarkStart w:id="399" w:name="OLE_LINK9"/>
            <w:r>
              <w:rPr>
                <w:rFonts w:hint="eastAsia" w:ascii="宋体" w:hAnsi="宋体" w:eastAsia="宋体" w:cs="宋体"/>
                <w:color w:val="auto"/>
                <w:sz w:val="24"/>
                <w:szCs w:val="24"/>
                <w:highlight w:val="none"/>
              </w:rPr>
              <w:t>采购需求响应：对应于采购文件“第三部分 二、服务要求”的响应情况，全部响应得</w:t>
            </w:r>
            <w:r>
              <w:rPr>
                <w:rFonts w:hint="eastAsia" w:ascii="宋体" w:hAnsi="宋体" w:cs="宋体"/>
                <w:color w:val="auto"/>
                <w:sz w:val="24"/>
                <w:szCs w:val="24"/>
                <w:highlight w:val="none"/>
                <w:lang w:val="en-US" w:eastAsia="zh-CN"/>
              </w:rPr>
              <w:t>64</w:t>
            </w:r>
            <w:r>
              <w:rPr>
                <w:rFonts w:hint="eastAsia" w:ascii="宋体" w:hAnsi="宋体" w:eastAsia="宋体" w:cs="宋体"/>
                <w:color w:val="auto"/>
                <w:sz w:val="24"/>
                <w:szCs w:val="24"/>
                <w:highlight w:val="none"/>
              </w:rPr>
              <w:t>分，每一条不能完全响应的扣</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分，扣完为止。</w:t>
            </w:r>
            <w:bookmarkEnd w:id="399"/>
          </w:p>
        </w:tc>
        <w:tc>
          <w:tcPr>
            <w:tcW w:w="662" w:type="dxa"/>
            <w:noWrap/>
            <w:tcMar>
              <w:top w:w="12" w:type="dxa"/>
              <w:left w:w="12" w:type="dxa"/>
              <w:right w:w="12" w:type="dxa"/>
            </w:tcMar>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64</w:t>
            </w:r>
          </w:p>
        </w:tc>
        <w:tc>
          <w:tcPr>
            <w:tcW w:w="754"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客观分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总体服务方案</w:t>
            </w:r>
          </w:p>
        </w:tc>
        <w:tc>
          <w:tcPr>
            <w:tcW w:w="5341"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总体服务方案完整，无缺漏项，充分考虑用户需求，</w:t>
            </w:r>
            <w:r>
              <w:rPr>
                <w:rFonts w:hint="eastAsia" w:ascii="宋体" w:hAnsi="宋体" w:eastAsia="宋体" w:cs="宋体"/>
                <w:color w:val="auto"/>
                <w:sz w:val="24"/>
                <w:szCs w:val="24"/>
                <w:highlight w:val="none"/>
                <w:lang w:val="en-US" w:eastAsia="zh-CN"/>
              </w:rPr>
              <w:t>对方案的</w:t>
            </w:r>
            <w:r>
              <w:rPr>
                <w:rFonts w:hint="eastAsia" w:ascii="宋体" w:hAnsi="宋体" w:eastAsia="宋体" w:cs="宋体"/>
                <w:color w:val="auto"/>
                <w:sz w:val="24"/>
                <w:szCs w:val="24"/>
                <w:highlight w:val="none"/>
              </w:rPr>
              <w:t>针对性及可行性</w:t>
            </w:r>
            <w:r>
              <w:rPr>
                <w:rFonts w:hint="eastAsia" w:ascii="宋体" w:hAnsi="宋体" w:eastAsia="宋体" w:cs="宋体"/>
                <w:color w:val="auto"/>
                <w:sz w:val="24"/>
                <w:szCs w:val="24"/>
                <w:highlight w:val="none"/>
                <w:lang w:val="en-US" w:eastAsia="zh-CN"/>
              </w:rPr>
              <w:t>进行评审。</w:t>
            </w:r>
            <w:r>
              <w:rPr>
                <w:rFonts w:hint="eastAsia" w:ascii="宋体" w:hAnsi="宋体" w:eastAsia="宋体" w:cs="宋体"/>
                <w:color w:val="auto"/>
                <w:sz w:val="24"/>
                <w:szCs w:val="24"/>
                <w:highlight w:val="none"/>
              </w:rPr>
              <w:t>（评分分值：5，4，3，2，1，0）</w:t>
            </w:r>
          </w:p>
        </w:tc>
        <w:tc>
          <w:tcPr>
            <w:tcW w:w="662"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重点、难点分析</w:t>
            </w:r>
          </w:p>
        </w:tc>
        <w:tc>
          <w:tcPr>
            <w:tcW w:w="5341" w:type="dxa"/>
            <w:noWrap/>
            <w:tcMar>
              <w:top w:w="12" w:type="dxa"/>
              <w:left w:w="12" w:type="dxa"/>
              <w:right w:w="12" w:type="dxa"/>
            </w:tcMar>
            <w:vAlign w:val="center"/>
          </w:tcPr>
          <w:p>
            <w:pPr>
              <w:spacing w:line="360" w:lineRule="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供应商结合本项目的服务要求，对可能出现的重点、难点问题进行分析，并提出合理可行的措施，评标委员会根据分析的合理性、措施的可行性进行</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（评分分值：5，4，3，2，1，0）</w:t>
            </w:r>
          </w:p>
        </w:tc>
        <w:tc>
          <w:tcPr>
            <w:tcW w:w="662"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754"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防止交叉感染和消毒隔离措施</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针对供应商防止交叉感染和消毒隔离措施</w:t>
            </w:r>
            <w:r>
              <w:rPr>
                <w:rFonts w:hint="eastAsia" w:ascii="宋体" w:hAnsi="宋体" w:eastAsia="宋体" w:cs="宋体"/>
                <w:color w:val="auto"/>
                <w:sz w:val="24"/>
                <w:szCs w:val="24"/>
                <w:highlight w:val="none"/>
                <w:lang w:eastAsia="zh-CN"/>
              </w:rPr>
              <w:t>内容的完整性、可行性</w:t>
            </w:r>
            <w:r>
              <w:rPr>
                <w:rFonts w:hint="eastAsia" w:ascii="宋体" w:hAnsi="宋体" w:eastAsia="宋体" w:cs="宋体"/>
                <w:color w:val="auto"/>
                <w:sz w:val="24"/>
                <w:szCs w:val="24"/>
                <w:highlight w:val="none"/>
              </w:rPr>
              <w:t>进行</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（评分分值：3，2，1，0）</w:t>
            </w:r>
          </w:p>
        </w:tc>
        <w:tc>
          <w:tcPr>
            <w:tcW w:w="662"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培训方案</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根据供应商提供的培训方案内容的完整性、合理性及可行性进行评审。（评分分值：4，3，2，1，0）</w:t>
            </w:r>
          </w:p>
        </w:tc>
        <w:tc>
          <w:tcPr>
            <w:tcW w:w="662"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039" w:type="dxa"/>
            <w:noWrap/>
            <w:tcMar>
              <w:top w:w="12" w:type="dxa"/>
              <w:left w:w="12" w:type="dxa"/>
              <w:right w:w="12" w:type="dxa"/>
            </w:tcMar>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突发事件时间响应</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对于突发事件（包括发生台风、暴雨等灾害性天气及设备设施突发故障）的响应时间及处理时间的响应承诺情况。满足采购文件要求的得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分，不满足不得分。</w:t>
            </w:r>
          </w:p>
        </w:tc>
        <w:tc>
          <w:tcPr>
            <w:tcW w:w="662"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754" w:type="dxa"/>
            <w:noWrap/>
            <w:tcMar>
              <w:top w:w="12" w:type="dxa"/>
              <w:left w:w="12" w:type="dxa"/>
              <w:right w:w="12" w:type="dxa"/>
            </w:tcMar>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eastAsia="zh-CN"/>
              </w:rPr>
            </w:pPr>
            <w:bookmarkStart w:id="400" w:name="OLE_LINK10" w:colFirst="1" w:colLast="2"/>
            <w:r>
              <w:rPr>
                <w:rFonts w:hint="eastAsia" w:ascii="宋体" w:hAnsi="宋体" w:cs="宋体"/>
                <w:color w:val="auto"/>
                <w:sz w:val="24"/>
                <w:szCs w:val="24"/>
                <w:highlight w:val="none"/>
                <w:lang w:val="en-US" w:eastAsia="zh-CN"/>
              </w:rPr>
              <w:t>8</w:t>
            </w:r>
          </w:p>
        </w:tc>
        <w:tc>
          <w:tcPr>
            <w:tcW w:w="1039" w:type="dxa"/>
            <w:noWrap/>
            <w:tcMar>
              <w:top w:w="12" w:type="dxa"/>
              <w:left w:w="12" w:type="dxa"/>
              <w:right w:w="12" w:type="dxa"/>
            </w:tcMar>
            <w:vAlign w:val="center"/>
          </w:tcPr>
          <w:p>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突发事件</w:t>
            </w:r>
            <w:r>
              <w:rPr>
                <w:rFonts w:hint="eastAsia" w:ascii="宋体" w:hAnsi="宋体" w:eastAsia="宋体" w:cs="宋体"/>
                <w:color w:val="auto"/>
                <w:sz w:val="24"/>
                <w:szCs w:val="24"/>
                <w:highlight w:val="none"/>
                <w:lang w:val="en-US" w:eastAsia="zh-CN"/>
              </w:rPr>
              <w:t>处理措施</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对突发事件（包括发生台风、暴雨等灾害性天气及设备设施突发故障）的应急响应及相应的措施评审。（评分分值：5，4，3，2，1，0）</w:t>
            </w:r>
          </w:p>
        </w:tc>
        <w:tc>
          <w:tcPr>
            <w:tcW w:w="662"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bookmarkEnd w:id="400"/>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c>
          <w:tcPr>
            <w:tcW w:w="662"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rPr>
            </w:pP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9.1</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报价1</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有效投标报价的最低价作为评标基准价，其最低报价为满分；按［投标报价得分=（评标基准价/投标报价）*8］的计算公式计算。</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落实政府采购政策说明：本项目</w:t>
            </w:r>
            <w:r>
              <w:rPr>
                <w:rFonts w:hint="eastAsia" w:ascii="宋体" w:hAnsi="宋体" w:eastAsia="宋体" w:cs="宋体"/>
                <w:color w:val="auto"/>
                <w:sz w:val="24"/>
                <w:szCs w:val="24"/>
                <w:highlight w:val="none"/>
              </w:rPr>
              <w:t>专门</w:t>
            </w:r>
            <w:r>
              <w:rPr>
                <w:rFonts w:hint="eastAsia" w:ascii="宋体" w:hAnsi="宋体" w:eastAsia="宋体" w:cs="宋体"/>
                <w:color w:val="auto"/>
                <w:sz w:val="24"/>
                <w:szCs w:val="24"/>
                <w:highlight w:val="none"/>
                <w:lang w:val="zh-CN"/>
              </w:rPr>
              <w:t>面向</w:t>
            </w:r>
            <w:r>
              <w:rPr>
                <w:rFonts w:hint="eastAsia" w:ascii="宋体" w:hAnsi="宋体" w:eastAsia="宋体" w:cs="宋体"/>
                <w:color w:val="auto"/>
                <w:sz w:val="24"/>
                <w:szCs w:val="24"/>
                <w:highlight w:val="none"/>
              </w:rPr>
              <w:t>中小</w:t>
            </w:r>
            <w:r>
              <w:rPr>
                <w:rFonts w:hint="eastAsia" w:ascii="宋体" w:hAnsi="宋体" w:eastAsia="宋体" w:cs="宋体"/>
                <w:color w:val="auto"/>
                <w:sz w:val="24"/>
                <w:szCs w:val="24"/>
                <w:highlight w:val="none"/>
                <w:lang w:val="zh-CN"/>
              </w:rPr>
              <w:t>企业采购，</w:t>
            </w:r>
            <w:r>
              <w:rPr>
                <w:rFonts w:hint="eastAsia" w:ascii="宋体" w:hAnsi="宋体" w:eastAsia="宋体" w:cs="宋体"/>
                <w:color w:val="auto"/>
                <w:sz w:val="24"/>
                <w:szCs w:val="24"/>
                <w:highlight w:val="none"/>
              </w:rPr>
              <w:t>小微企业</w:t>
            </w:r>
            <w:r>
              <w:rPr>
                <w:rFonts w:hint="eastAsia" w:ascii="宋体" w:hAnsi="宋体" w:eastAsia="宋体" w:cs="宋体"/>
                <w:color w:val="auto"/>
                <w:sz w:val="24"/>
                <w:szCs w:val="24"/>
                <w:highlight w:val="none"/>
                <w:lang w:val="zh-CN"/>
              </w:rPr>
              <w:t>不进行价格扣除或价格分加分。</w:t>
            </w:r>
          </w:p>
        </w:tc>
        <w:tc>
          <w:tcPr>
            <w:tcW w:w="662" w:type="dxa"/>
            <w:shd w:val="clear" w:color="auto" w:fill="auto"/>
            <w:noWrap/>
            <w:tcMar>
              <w:top w:w="12" w:type="dxa"/>
              <w:left w:w="12" w:type="dxa"/>
              <w:right w:w="12" w:type="dxa"/>
            </w:tcMar>
            <w:vAlign w:val="center"/>
          </w:tcPr>
          <w:p>
            <w:pPr>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8</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客观分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0" w:type="dxa"/>
            <w:bottom w:w="0" w:type="dxa"/>
            <w:right w:w="0" w:type="dxa"/>
          </w:tblCellMar>
        </w:tblPrEx>
        <w:trPr>
          <w:jc w:val="center"/>
        </w:trPr>
        <w:tc>
          <w:tcPr>
            <w:tcW w:w="625" w:type="dxa"/>
            <w:noWrap/>
            <w:tcMar>
              <w:top w:w="12" w:type="dxa"/>
              <w:left w:w="12" w:type="dxa"/>
              <w:right w:w="12" w:type="dxa"/>
            </w:tcMar>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6.2</w:t>
            </w:r>
          </w:p>
        </w:tc>
        <w:tc>
          <w:tcPr>
            <w:tcW w:w="1039"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报价2</w:t>
            </w:r>
          </w:p>
        </w:tc>
        <w:tc>
          <w:tcPr>
            <w:tcW w:w="5341" w:type="dxa"/>
            <w:shd w:val="clear" w:color="auto" w:fill="auto"/>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有效投标报价的最低价作为评标基准价，其最低报价为满分；按［投标报价得分=（评标基准价/投标报价）*2］的计算公式计算。</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落实政府采购政策说明：本项目</w:t>
            </w:r>
            <w:r>
              <w:rPr>
                <w:rFonts w:hint="eastAsia" w:ascii="宋体" w:hAnsi="宋体" w:eastAsia="宋体" w:cs="宋体"/>
                <w:color w:val="auto"/>
                <w:sz w:val="24"/>
                <w:szCs w:val="24"/>
                <w:highlight w:val="none"/>
              </w:rPr>
              <w:t>专门</w:t>
            </w:r>
            <w:r>
              <w:rPr>
                <w:rFonts w:hint="eastAsia" w:ascii="宋体" w:hAnsi="宋体" w:eastAsia="宋体" w:cs="宋体"/>
                <w:color w:val="auto"/>
                <w:sz w:val="24"/>
                <w:szCs w:val="24"/>
                <w:highlight w:val="none"/>
                <w:lang w:val="zh-CN"/>
              </w:rPr>
              <w:t>面向</w:t>
            </w:r>
            <w:r>
              <w:rPr>
                <w:rFonts w:hint="eastAsia" w:ascii="宋体" w:hAnsi="宋体" w:eastAsia="宋体" w:cs="宋体"/>
                <w:color w:val="auto"/>
                <w:sz w:val="24"/>
                <w:szCs w:val="24"/>
                <w:highlight w:val="none"/>
              </w:rPr>
              <w:t>中小</w:t>
            </w:r>
            <w:r>
              <w:rPr>
                <w:rFonts w:hint="eastAsia" w:ascii="宋体" w:hAnsi="宋体" w:eastAsia="宋体" w:cs="宋体"/>
                <w:color w:val="auto"/>
                <w:sz w:val="24"/>
                <w:szCs w:val="24"/>
                <w:highlight w:val="none"/>
                <w:lang w:val="zh-CN"/>
              </w:rPr>
              <w:t>企业采购，</w:t>
            </w:r>
            <w:r>
              <w:rPr>
                <w:rFonts w:hint="eastAsia" w:ascii="宋体" w:hAnsi="宋体" w:eastAsia="宋体" w:cs="宋体"/>
                <w:color w:val="auto"/>
                <w:sz w:val="24"/>
                <w:szCs w:val="24"/>
                <w:highlight w:val="none"/>
              </w:rPr>
              <w:t>小微企业</w:t>
            </w:r>
            <w:r>
              <w:rPr>
                <w:rFonts w:hint="eastAsia" w:ascii="宋体" w:hAnsi="宋体" w:eastAsia="宋体" w:cs="宋体"/>
                <w:color w:val="auto"/>
                <w:sz w:val="24"/>
                <w:szCs w:val="24"/>
                <w:highlight w:val="none"/>
                <w:lang w:val="zh-CN"/>
              </w:rPr>
              <w:t>不进行价格扣除或价格分加分。</w:t>
            </w:r>
          </w:p>
        </w:tc>
        <w:tc>
          <w:tcPr>
            <w:tcW w:w="662" w:type="dxa"/>
            <w:shd w:val="clear" w:color="auto" w:fill="auto"/>
            <w:noWrap/>
            <w:tcMar>
              <w:top w:w="12" w:type="dxa"/>
              <w:left w:w="12" w:type="dxa"/>
              <w:right w:w="12" w:type="dxa"/>
            </w:tcMar>
            <w:vAlign w:val="center"/>
          </w:tcPr>
          <w:p>
            <w:pPr>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2</w:t>
            </w:r>
          </w:p>
        </w:tc>
        <w:tc>
          <w:tcPr>
            <w:tcW w:w="754" w:type="dxa"/>
            <w:shd w:val="clear" w:color="auto" w:fill="auto"/>
            <w:noWrap/>
            <w:tcMar>
              <w:top w:w="12" w:type="dxa"/>
              <w:left w:w="12" w:type="dxa"/>
              <w:right w:w="12" w:type="dxa"/>
            </w:tcMar>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客观分</w:t>
            </w:r>
          </w:p>
        </w:tc>
        <w:tc>
          <w:tcPr>
            <w:tcW w:w="1280" w:type="dxa"/>
            <w:noWrap/>
            <w:tcMar>
              <w:top w:w="12" w:type="dxa"/>
              <w:left w:w="12" w:type="dxa"/>
              <w:right w:w="12" w:type="dxa"/>
            </w:tcMar>
            <w:vAlign w:val="center"/>
          </w:tcPr>
          <w:p>
            <w:pPr>
              <w:spacing w:line="360" w:lineRule="auto"/>
              <w:rPr>
                <w:rFonts w:hint="eastAsia" w:ascii="宋体" w:hAnsi="宋体" w:eastAsia="宋体" w:cs="宋体"/>
                <w:color w:val="auto"/>
                <w:sz w:val="24"/>
                <w:szCs w:val="24"/>
                <w:highlight w:val="none"/>
              </w:rPr>
            </w:pPr>
          </w:p>
        </w:tc>
      </w:tr>
    </w:tbl>
    <w:p>
      <w:pPr>
        <w:rPr>
          <w:color w:val="auto"/>
          <w:highlight w:val="none"/>
        </w:rPr>
      </w:pPr>
    </w:p>
    <w:p>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pPr>
        <w:rPr>
          <w:rFonts w:hint="eastAsia" w:ascii="宋体" w:hAnsi="宋体" w:cs="宋体"/>
          <w:b/>
          <w:color w:val="auto"/>
          <w:sz w:val="32"/>
          <w:highlight w:val="none"/>
        </w:rPr>
      </w:pPr>
      <w:r>
        <w:rPr>
          <w:rFonts w:hint="eastAsia" w:ascii="宋体" w:hAnsi="宋体" w:cs="宋体"/>
          <w:b/>
          <w:color w:val="auto"/>
          <w:sz w:val="32"/>
          <w:highlight w:val="none"/>
        </w:rPr>
        <w:br w:type="page"/>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6"/>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本项目不适用）</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6"/>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4.2.8投标人对根据修正原则修正后的报价不确认的；</w:t>
      </w:r>
    </w:p>
    <w:p>
      <w:pPr>
        <w:spacing w:line="360" w:lineRule="auto"/>
        <w:ind w:firstLine="480" w:firstLineChars="200"/>
        <w:rPr>
          <w:color w:val="auto"/>
          <w:highlight w:val="none"/>
        </w:rPr>
      </w:pPr>
      <w:r>
        <w:rPr>
          <w:rFonts w:hint="eastAsia" w:ascii="宋体" w:hAnsi="宋体" w:cs="宋体"/>
          <w:color w:val="auto"/>
          <w:kern w:val="0"/>
          <w:sz w:val="24"/>
          <w:highlight w:val="none"/>
        </w:rPr>
        <w:t>4.2.9投标人提供虚假材料投标的；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4.2.10投标人有恶意串通、妨碍其他投标人的竞争行为、损害采购人或者其他投标人的合法权益情形的；</w:t>
      </w:r>
    </w:p>
    <w:p>
      <w:pPr>
        <w:spacing w:line="360" w:lineRule="auto"/>
        <w:ind w:firstLine="480" w:firstLineChars="200"/>
        <w:rPr>
          <w:color w:val="auto"/>
          <w:highlight w:val="none"/>
        </w:rPr>
      </w:pPr>
      <w:r>
        <w:rPr>
          <w:rFonts w:hint="eastAsia" w:ascii="宋体" w:hAnsi="宋体" w:cs="宋体"/>
          <w:color w:val="auto"/>
          <w:kern w:val="0"/>
          <w:sz w:val="24"/>
          <w:highlight w:val="none"/>
        </w:rPr>
        <w:t>4.2.11 参与同一个采购包（标段）的供应商存在下列情形之一且无法合理解释的，其投标（响应）文件无效：1.不同供应商的电子投标（响应）文件上传计算机的IP地址、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24"/>
        <w:snapToGrid w:val="0"/>
        <w:spacing w:line="360" w:lineRule="auto"/>
        <w:rPr>
          <w:rFonts w:cs="宋体"/>
          <w:color w:val="auto"/>
          <w:highlight w:val="none"/>
        </w:rPr>
      </w:pPr>
      <w:r>
        <w:rPr>
          <w:rFonts w:hint="eastAsia" w:cs="宋体"/>
          <w:color w:val="auto"/>
          <w:highlight w:val="none"/>
        </w:rPr>
        <w:t>5.4因重大变故，采购任务取消的。</w:t>
      </w:r>
    </w:p>
    <w:p>
      <w:pPr>
        <w:pStyle w:val="24"/>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color w:val="auto"/>
          <w:highlight w:val="none"/>
        </w:rPr>
      </w:pPr>
    </w:p>
    <w:bookmarkEnd w:id="30"/>
    <w:p>
      <w:pPr>
        <w:spacing w:line="360" w:lineRule="auto"/>
        <w:ind w:left="720" w:leftChars="343" w:firstLine="1084" w:firstLineChars="300"/>
        <w:outlineLvl w:val="0"/>
        <w:rPr>
          <w:rFonts w:ascii="宋体" w:hAnsi="宋体" w:cs="宋体"/>
          <w:b/>
          <w:color w:val="auto"/>
          <w:sz w:val="36"/>
          <w:szCs w:val="36"/>
          <w:highlight w:val="none"/>
        </w:rPr>
      </w:pPr>
      <w:bookmarkStart w:id="401" w:name="第五部分"/>
      <w:bookmarkStart w:id="402" w:name="_Toc86217003"/>
    </w:p>
    <w:p>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pPr>
        <w:spacing w:before="120" w:line="22" w:lineRule="atLeast"/>
        <w:rPr>
          <w:rFonts w:ascii="宋体" w:hAnsi="宋体" w:cs="宋体"/>
          <w:color w:val="auto"/>
          <w:sz w:val="24"/>
          <w:highlight w:val="none"/>
        </w:rPr>
      </w:pPr>
    </w:p>
    <w:p>
      <w:pPr>
        <w:pStyle w:val="3"/>
        <w:rPr>
          <w:color w:val="auto"/>
          <w:highlight w:val="none"/>
        </w:rPr>
      </w:pPr>
    </w:p>
    <w:p>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p>
    <w:p>
      <w:pPr>
        <w:pStyle w:val="599"/>
        <w:spacing w:before="120" w:line="22" w:lineRule="atLeast"/>
        <w:rPr>
          <w:rFonts w:ascii="宋体" w:hAnsi="宋体" w:eastAsia="宋体" w:cs="宋体"/>
          <w:color w:val="auto"/>
          <w:szCs w:val="24"/>
          <w:highlight w:val="none"/>
        </w:rPr>
      </w:pPr>
    </w:p>
    <w:p>
      <w:pPr>
        <w:pStyle w:val="599"/>
        <w:spacing w:before="120" w:line="22" w:lineRule="atLeast"/>
        <w:rPr>
          <w:rFonts w:ascii="宋体" w:hAnsi="宋体" w:eastAsia="宋体" w:cs="宋体"/>
          <w:color w:val="auto"/>
          <w:szCs w:val="24"/>
          <w:highlight w:val="none"/>
        </w:rPr>
      </w:pP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签订日期：年月日</w:t>
      </w:r>
    </w:p>
    <w:p>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pPr>
        <w:rPr>
          <w:rFonts w:ascii="宋体" w:hAnsi="宋体" w:cs="宋体"/>
          <w:b/>
          <w:color w:val="auto"/>
          <w:sz w:val="24"/>
          <w:highlight w:val="none"/>
        </w:rPr>
      </w:pP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年月日</w:t>
      </w:r>
      <w:r>
        <w:rPr>
          <w:rFonts w:hint="eastAsia" w:ascii="宋体" w:hAnsi="宋体"/>
          <w:color w:val="auto"/>
          <w:sz w:val="24"/>
          <w:highlight w:val="none"/>
        </w:rPr>
        <w:t>，</w:t>
      </w:r>
      <w:r>
        <w:rPr>
          <w:rFonts w:hint="eastAsia" w:ascii="宋体" w:hAnsi="宋体" w:cs="宋体"/>
          <w:color w:val="auto"/>
          <w:sz w:val="24"/>
          <w:highlight w:val="none"/>
          <w:u w:val="single"/>
          <w:lang w:eastAsia="zh-CN"/>
        </w:rPr>
        <w:t>杭州市第三人民医院</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eastAsia="宋体" w:cs="宋体"/>
          <w:color w:val="auto"/>
          <w:sz w:val="24"/>
          <w:highlight w:val="none"/>
          <w:u w:val="single"/>
          <w:lang w:eastAsia="zh-CN"/>
        </w:rPr>
        <w:t xml:space="preserve">公开招标方式 </w:t>
      </w:r>
      <w:r>
        <w:rPr>
          <w:rFonts w:ascii="宋体" w:hAnsi="宋体"/>
          <w:color w:val="auto"/>
          <w:sz w:val="24"/>
          <w:highlight w:val="none"/>
          <w:u w:val="single"/>
        </w:rPr>
        <w:t xml:space="preserve"> </w:t>
      </w:r>
      <w:r>
        <w:rPr>
          <w:rFonts w:hint="eastAsia" w:ascii="宋体" w:hAnsi="宋体"/>
          <w:color w:val="auto"/>
          <w:sz w:val="24"/>
          <w:highlight w:val="none"/>
        </w:rPr>
        <w:t>对</w:t>
      </w:r>
      <w:r>
        <w:rPr>
          <w:rFonts w:hint="eastAsia" w:ascii="宋体" w:hAnsi="宋体" w:cs="宋体"/>
          <w:color w:val="auto"/>
          <w:sz w:val="24"/>
          <w:highlight w:val="none"/>
          <w:u w:val="single"/>
          <w:lang w:eastAsia="zh-CN"/>
        </w:rPr>
        <w:t>2025医疗废弃物收运处置服务</w:t>
      </w:r>
      <w:r>
        <w:rPr>
          <w:rFonts w:hint="eastAsia" w:ascii="宋体" w:hAnsi="宋体" w:cs="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杭州市第三人民医院</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spacing w:line="560" w:lineRule="exact"/>
        <w:ind w:firstLine="482" w:firstLineChars="200"/>
        <w:outlineLvl w:val="0"/>
        <w:rPr>
          <w:rFonts w:ascii="宋体" w:hAnsi="宋体"/>
          <w:color w:val="auto"/>
          <w:sz w:val="24"/>
          <w:highlight w:val="none"/>
        </w:rPr>
      </w:pPr>
      <w:bookmarkStart w:id="403" w:name="_Toc15367"/>
      <w:bookmarkStart w:id="404" w:name="_Toc20421"/>
      <w:bookmarkStart w:id="405" w:name="_Toc22967"/>
      <w:bookmarkStart w:id="406" w:name="_Toc28855"/>
      <w:bookmarkStart w:id="407" w:name="_Toc19273"/>
      <w:r>
        <w:rPr>
          <w:rFonts w:ascii="宋体" w:hAnsi="宋体"/>
          <w:b/>
          <w:color w:val="auto"/>
          <w:sz w:val="24"/>
          <w:highlight w:val="none"/>
        </w:rPr>
        <w:t xml:space="preserve">1.1 </w:t>
      </w:r>
      <w:r>
        <w:rPr>
          <w:rFonts w:hint="eastAsia" w:ascii="宋体" w:hAnsi="宋体"/>
          <w:b/>
          <w:color w:val="auto"/>
          <w:sz w:val="24"/>
          <w:highlight w:val="none"/>
        </w:rPr>
        <w:t>合同组成部分</w:t>
      </w:r>
      <w:bookmarkEnd w:id="403"/>
      <w:bookmarkEnd w:id="404"/>
      <w:bookmarkEnd w:id="405"/>
      <w:bookmarkEnd w:id="406"/>
      <w:bookmarkEnd w:id="407"/>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spacing w:line="560" w:lineRule="exact"/>
        <w:ind w:firstLine="482" w:firstLineChars="200"/>
        <w:outlineLvl w:val="0"/>
        <w:rPr>
          <w:rFonts w:ascii="宋体" w:hAnsi="宋体"/>
          <w:b/>
          <w:color w:val="auto"/>
          <w:sz w:val="24"/>
          <w:highlight w:val="none"/>
        </w:rPr>
      </w:pPr>
      <w:bookmarkStart w:id="408" w:name="_Toc2918"/>
      <w:bookmarkStart w:id="409" w:name="_Toc6773"/>
      <w:bookmarkStart w:id="410" w:name="_Toc6311"/>
      <w:bookmarkStart w:id="411" w:name="_Toc22185"/>
      <w:bookmarkStart w:id="412"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8"/>
      <w:bookmarkEnd w:id="409"/>
      <w:bookmarkEnd w:id="410"/>
      <w:bookmarkEnd w:id="411"/>
      <w:bookmarkEnd w:id="412"/>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hint="eastAsia" w:ascii="仿宋" w:hAnsi="仿宋" w:eastAsia="仿宋"/>
          <w:i/>
          <w:iCs/>
          <w:color w:val="auto"/>
          <w:sz w:val="24"/>
          <w:highlight w:val="none"/>
          <w:u w:val="single"/>
        </w:rPr>
        <w:t>合同专用条款</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hint="eastAsia" w:ascii="仿宋" w:hAnsi="仿宋" w:eastAsia="仿宋"/>
          <w:i/>
          <w:iCs/>
          <w:color w:val="auto"/>
          <w:sz w:val="24"/>
          <w:highlight w:val="none"/>
          <w:u w:val="single"/>
        </w:rPr>
        <w:t>合同专用条款</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hint="eastAsia" w:ascii="仿宋" w:hAnsi="仿宋" w:eastAsia="仿宋"/>
          <w:i/>
          <w:iCs/>
          <w:color w:val="auto"/>
          <w:sz w:val="24"/>
          <w:highlight w:val="none"/>
          <w:u w:val="single"/>
        </w:rPr>
        <w:t>合同专用条款</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rPr>
        <w:t>；</w:t>
      </w:r>
    </w:p>
    <w:p>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color w:val="auto"/>
          <w:highlight w:val="none"/>
        </w:rPr>
      </w:pPr>
      <w:r>
        <w:rPr>
          <w:rFonts w:hint="eastAsia" w:ascii="宋体" w:hAnsi="宋体" w:eastAsia="宋体"/>
          <w:color w:val="auto"/>
          <w:sz w:val="24"/>
          <w:highlight w:val="none"/>
        </w:rPr>
        <w:t>1.2.5合同（是/否）涉及货物。若涉及货物的，则：</w:t>
      </w:r>
    </w:p>
    <w:p>
      <w:pPr>
        <w:spacing w:line="560" w:lineRule="exact"/>
        <w:ind w:firstLine="480" w:firstLineChars="200"/>
        <w:rPr>
          <w:rFonts w:ascii="宋体" w:hAnsi="宋体" w:cs="宋体"/>
          <w:color w:val="auto"/>
          <w:sz w:val="24"/>
          <w:highlight w:val="none"/>
          <w:u w:val="single"/>
        </w:rPr>
      </w:pPr>
      <w:bookmarkStart w:id="413" w:name="_Toc13918"/>
      <w:bookmarkStart w:id="414" w:name="_Toc21124"/>
      <w:bookmarkStart w:id="415" w:name="_Toc1386"/>
      <w:bookmarkStart w:id="416" w:name="_Toc4929"/>
      <w:bookmarkStart w:id="417" w:name="_Toc5635"/>
      <w:r>
        <w:rPr>
          <w:rFonts w:hint="eastAsia" w:ascii="宋体" w:hAnsi="宋体" w:cs="宋体"/>
          <w:color w:val="auto"/>
          <w:sz w:val="24"/>
          <w:highlight w:val="none"/>
        </w:rPr>
        <w:t>1.2.5.1 货物名称、品牌、规格型号、花色：；</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13"/>
      <w:bookmarkEnd w:id="414"/>
      <w:bookmarkEnd w:id="415"/>
      <w:bookmarkEnd w:id="416"/>
      <w:bookmarkEnd w:id="417"/>
    </w:p>
    <w:p>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1.3.2</w:t>
      </w:r>
      <w:r>
        <w:rPr>
          <w:rFonts w:ascii="仿宋" w:hAnsi="仿宋" w:eastAsia="仿宋"/>
          <w:color w:val="auto"/>
          <w:sz w:val="24"/>
          <w:highlight w:val="none"/>
          <w:u w:val="single"/>
        </w:rPr>
        <w:t xml:space="preserve">    </w:t>
      </w:r>
      <w:r>
        <w:rPr>
          <w:rFonts w:hint="eastAsia" w:ascii="宋体" w:hAnsi="宋体" w:cs="宋体"/>
          <w:color w:val="auto"/>
          <w:sz w:val="24"/>
          <w:highlight w:val="none"/>
        </w:rPr>
        <w:t>条款规定的计价方式计价。</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rPr>
        <w:t>元</w:t>
      </w:r>
      <w:r>
        <w:rPr>
          <w:rFonts w:hint="eastAsia" w:ascii="宋体" w:hAnsi="宋体"/>
          <w:color w:val="auto"/>
          <w:sz w:val="24"/>
          <w:highlight w:val="none"/>
        </w:rPr>
        <w:t>（大写：元人民币）</w:t>
      </w:r>
      <w:r>
        <w:rPr>
          <w:rFonts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2"/>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322"/>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322"/>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2"/>
              <w:spacing w:line="560" w:lineRule="exact"/>
              <w:ind w:firstLine="200"/>
              <w:jc w:val="center"/>
              <w:rPr>
                <w:rFonts w:hAnsi="宋体"/>
                <w:color w:val="auto"/>
                <w:sz w:val="24"/>
                <w:szCs w:val="24"/>
                <w:highlight w:val="none"/>
              </w:rPr>
            </w:pPr>
          </w:p>
        </w:tc>
        <w:tc>
          <w:tcPr>
            <w:tcW w:w="3402" w:type="dxa"/>
            <w:vAlign w:val="center"/>
          </w:tcPr>
          <w:p>
            <w:pPr>
              <w:pStyle w:val="322"/>
              <w:spacing w:line="560" w:lineRule="exact"/>
              <w:ind w:firstLine="200"/>
              <w:jc w:val="center"/>
              <w:rPr>
                <w:rFonts w:hAnsi="宋体"/>
                <w:color w:val="auto"/>
                <w:sz w:val="24"/>
                <w:szCs w:val="24"/>
                <w:highlight w:val="none"/>
              </w:rPr>
            </w:pPr>
          </w:p>
        </w:tc>
        <w:tc>
          <w:tcPr>
            <w:tcW w:w="2552" w:type="dxa"/>
            <w:vAlign w:val="center"/>
          </w:tcPr>
          <w:p>
            <w:pPr>
              <w:pStyle w:val="3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2"/>
              <w:spacing w:line="560" w:lineRule="exact"/>
              <w:ind w:firstLine="200"/>
              <w:jc w:val="center"/>
              <w:rPr>
                <w:rFonts w:hAnsi="宋体"/>
                <w:color w:val="auto"/>
                <w:sz w:val="24"/>
                <w:szCs w:val="24"/>
                <w:highlight w:val="none"/>
              </w:rPr>
            </w:pPr>
          </w:p>
        </w:tc>
        <w:tc>
          <w:tcPr>
            <w:tcW w:w="3402" w:type="dxa"/>
            <w:vAlign w:val="center"/>
          </w:tcPr>
          <w:p>
            <w:pPr>
              <w:pStyle w:val="322"/>
              <w:spacing w:line="560" w:lineRule="exact"/>
              <w:ind w:firstLine="200"/>
              <w:jc w:val="center"/>
              <w:rPr>
                <w:rFonts w:hAnsi="宋体"/>
                <w:color w:val="auto"/>
                <w:sz w:val="24"/>
                <w:szCs w:val="24"/>
                <w:highlight w:val="none"/>
              </w:rPr>
            </w:pPr>
          </w:p>
        </w:tc>
        <w:tc>
          <w:tcPr>
            <w:tcW w:w="2552" w:type="dxa"/>
            <w:vAlign w:val="center"/>
          </w:tcPr>
          <w:p>
            <w:pPr>
              <w:pStyle w:val="3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2"/>
              <w:spacing w:line="560" w:lineRule="exact"/>
              <w:ind w:firstLine="200"/>
              <w:jc w:val="center"/>
              <w:rPr>
                <w:rFonts w:hAnsi="宋体"/>
                <w:color w:val="auto"/>
                <w:sz w:val="24"/>
                <w:szCs w:val="24"/>
                <w:highlight w:val="none"/>
              </w:rPr>
            </w:pPr>
          </w:p>
        </w:tc>
        <w:tc>
          <w:tcPr>
            <w:tcW w:w="3402" w:type="dxa"/>
            <w:vAlign w:val="center"/>
          </w:tcPr>
          <w:p>
            <w:pPr>
              <w:pStyle w:val="322"/>
              <w:spacing w:line="560" w:lineRule="exact"/>
              <w:ind w:firstLine="200"/>
              <w:jc w:val="center"/>
              <w:rPr>
                <w:rFonts w:hAnsi="宋体"/>
                <w:color w:val="auto"/>
                <w:sz w:val="24"/>
                <w:szCs w:val="24"/>
                <w:highlight w:val="none"/>
              </w:rPr>
            </w:pPr>
          </w:p>
        </w:tc>
        <w:tc>
          <w:tcPr>
            <w:tcW w:w="2552" w:type="dxa"/>
            <w:vAlign w:val="center"/>
          </w:tcPr>
          <w:p>
            <w:pPr>
              <w:pStyle w:val="3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2"/>
              <w:spacing w:line="560" w:lineRule="exact"/>
              <w:ind w:firstLine="200"/>
              <w:jc w:val="center"/>
              <w:rPr>
                <w:rFonts w:hAnsi="宋体"/>
                <w:color w:val="auto"/>
                <w:sz w:val="24"/>
                <w:szCs w:val="24"/>
                <w:highlight w:val="none"/>
              </w:rPr>
            </w:pPr>
          </w:p>
        </w:tc>
        <w:tc>
          <w:tcPr>
            <w:tcW w:w="3402" w:type="dxa"/>
            <w:vAlign w:val="center"/>
          </w:tcPr>
          <w:p>
            <w:pPr>
              <w:pStyle w:val="322"/>
              <w:spacing w:line="560" w:lineRule="exact"/>
              <w:ind w:firstLine="200"/>
              <w:jc w:val="center"/>
              <w:rPr>
                <w:rFonts w:hAnsi="宋体"/>
                <w:color w:val="auto"/>
                <w:sz w:val="24"/>
                <w:szCs w:val="24"/>
                <w:highlight w:val="none"/>
              </w:rPr>
            </w:pPr>
          </w:p>
        </w:tc>
        <w:tc>
          <w:tcPr>
            <w:tcW w:w="2552" w:type="dxa"/>
            <w:vAlign w:val="center"/>
          </w:tcPr>
          <w:p>
            <w:pPr>
              <w:pStyle w:val="3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2"/>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322"/>
              <w:spacing w:line="560" w:lineRule="exact"/>
              <w:ind w:firstLine="200"/>
              <w:jc w:val="center"/>
              <w:rPr>
                <w:rFonts w:hAnsi="宋体"/>
                <w:color w:val="auto"/>
                <w:sz w:val="24"/>
                <w:szCs w:val="24"/>
                <w:highlight w:val="none"/>
              </w:rPr>
            </w:pPr>
          </w:p>
        </w:tc>
      </w:tr>
    </w:tbl>
    <w:p>
      <w:pPr>
        <w:spacing w:line="560" w:lineRule="exact"/>
        <w:ind w:firstLine="480" w:firstLineChars="200"/>
        <w:rPr>
          <w:rFonts w:ascii="宋体" w:hAnsi="宋体"/>
          <w:color w:val="auto"/>
          <w:sz w:val="24"/>
          <w:highlight w:val="none"/>
        </w:rPr>
      </w:pPr>
      <w:bookmarkStart w:id="418" w:name="_Toc26916"/>
      <w:bookmarkStart w:id="419" w:name="_Toc3654"/>
      <w:bookmarkStart w:id="420" w:name="_Toc14993"/>
      <w:bookmarkStart w:id="421" w:name="_Toc30158"/>
      <w:bookmarkStart w:id="422" w:name="_Toc30506"/>
      <w:r>
        <w:rPr>
          <w:rFonts w:hint="eastAsia" w:ascii="宋体" w:hAnsi="宋体"/>
          <w:bCs/>
          <w:color w:val="auto"/>
          <w:sz w:val="24"/>
          <w:highlight w:val="none"/>
        </w:rPr>
        <w:t>1.3.2单价合同，本合同单价（含税）标准为：</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cs="宋体"/>
          <w:b/>
          <w:i/>
          <w:color w:val="auto"/>
          <w:sz w:val="24"/>
          <w:highlight w:val="none"/>
          <w:u w:val="single"/>
        </w:rPr>
        <w:t>合同专用条款</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rPr>
        <w:t>元</w:t>
      </w:r>
      <w:r>
        <w:rPr>
          <w:rFonts w:hint="eastAsia" w:ascii="宋体" w:hAnsi="宋体"/>
          <w:color w:val="auto"/>
          <w:sz w:val="24"/>
          <w:highlight w:val="none"/>
        </w:rPr>
        <w:t>（大写：元人民币）。</w:t>
      </w:r>
    </w:p>
    <w:p>
      <w:pPr>
        <w:pStyle w:val="3"/>
        <w:ind w:left="433" w:leftChars="202" w:hanging="9" w:hangingChars="4"/>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bookmarkEnd w:id="418"/>
    <w:bookmarkEnd w:id="419"/>
    <w:bookmarkEnd w:id="420"/>
    <w:bookmarkEnd w:id="421"/>
    <w:bookmarkEnd w:id="422"/>
    <w:p>
      <w:pPr>
        <w:pStyle w:val="960"/>
        <w:spacing w:before="0" w:beforeAutospacing="0" w:after="0" w:afterAutospacing="0" w:line="360" w:lineRule="auto"/>
        <w:ind w:firstLine="480"/>
        <w:rPr>
          <w:b/>
          <w:color w:val="auto"/>
          <w:highlight w:val="none"/>
        </w:rPr>
      </w:pPr>
      <w:bookmarkStart w:id="423" w:name="_Toc1814"/>
      <w:bookmarkStart w:id="424" w:name="_Toc22618"/>
      <w:bookmarkStart w:id="425" w:name="_Toc10340"/>
      <w:bookmarkStart w:id="426" w:name="_Toc8772"/>
      <w:bookmarkStart w:id="427" w:name="_Toc3625"/>
      <w:bookmarkStart w:id="428" w:name="_Toc31421"/>
      <w:bookmarkStart w:id="429" w:name="_Toc11108"/>
      <w:bookmarkStart w:id="430" w:name="_Toc4760"/>
      <w:r>
        <w:rPr>
          <w:rFonts w:hint="eastAsia"/>
          <w:b/>
          <w:color w:val="auto"/>
          <w:highlight w:val="none"/>
        </w:rPr>
        <w:t>1.4履约保证金</w:t>
      </w:r>
    </w:p>
    <w:p>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 xml:space="preserve">否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ascii="宋体" w:hAnsi="宋体" w:cs="宋体"/>
          <w:color w:val="auto"/>
          <w:kern w:val="0"/>
          <w:sz w:val="24"/>
          <w:highlight w:val="none"/>
        </w:rPr>
        <w:t>%；</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ascii="宋体" w:hAnsi="宋体" w:cs="宋体"/>
          <w:color w:val="auto"/>
          <w:kern w:val="0"/>
          <w:sz w:val="24"/>
          <w:highlight w:val="none"/>
        </w:rPr>
        <w:t>；</w:t>
      </w:r>
    </w:p>
    <w:p>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23"/>
      <w:bookmarkEnd w:id="424"/>
      <w:bookmarkEnd w:id="425"/>
      <w:r>
        <w:rPr>
          <w:rFonts w:hint="eastAsia" w:ascii="宋体" w:hAnsi="宋体" w:cs="宋体"/>
          <w:b/>
          <w:color w:val="auto"/>
          <w:sz w:val="24"/>
          <w:highlight w:val="none"/>
        </w:rPr>
        <w:t>预付款</w:t>
      </w:r>
    </w:p>
    <w:p>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否</w:t>
      </w:r>
      <w:r>
        <w:rPr>
          <w:rFonts w:ascii="仿宋" w:hAnsi="仿宋" w:eastAsia="仿宋"/>
          <w:color w:val="auto"/>
          <w:sz w:val="24"/>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ascii="宋体" w:hAnsi="宋体" w:cs="宋体"/>
          <w:color w:val="auto"/>
          <w:kern w:val="0"/>
          <w:sz w:val="24"/>
          <w:highlight w:val="none"/>
        </w:rPr>
        <w:t>；</w:t>
      </w:r>
    </w:p>
    <w:p>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color w:val="auto"/>
          <w:highlight w:val="none"/>
        </w:rPr>
        <w:t>；</w:t>
      </w:r>
    </w:p>
    <w:p>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w:t>
      </w:r>
      <w:r>
        <w:rPr>
          <w:rFonts w:ascii="仿宋" w:hAnsi="仿宋" w:eastAsia="仿宋"/>
          <w:color w:val="auto"/>
          <w:sz w:val="24"/>
          <w:highlight w:val="none"/>
          <w:u w:val="single"/>
        </w:rPr>
        <w:t xml:space="preserve">   </w:t>
      </w:r>
      <w:r>
        <w:rPr>
          <w:rFonts w:hint="eastAsia"/>
          <w:color w:val="auto"/>
          <w:highlight w:val="none"/>
        </w:rPr>
        <w:t>。</w:t>
      </w:r>
    </w:p>
    <w:p>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6"/>
      <w:bookmarkEnd w:id="427"/>
      <w:bookmarkEnd w:id="428"/>
      <w:bookmarkEnd w:id="429"/>
      <w:bookmarkEnd w:id="430"/>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outlineLvl w:val="0"/>
        <w:rPr>
          <w:rFonts w:ascii="宋体" w:hAnsi="宋体"/>
          <w:bCs/>
          <w:color w:val="auto"/>
          <w:sz w:val="24"/>
          <w:highlight w:val="none"/>
        </w:rPr>
      </w:pPr>
      <w:bookmarkStart w:id="431" w:name="_Toc2375"/>
      <w:bookmarkStart w:id="432" w:name="_Toc24662"/>
      <w:bookmarkStart w:id="433" w:name="_Toc3079"/>
      <w:bookmarkStart w:id="434" w:name="_Toc5698"/>
      <w:bookmarkStart w:id="435" w:name="_Toc8586"/>
      <w:r>
        <w:rPr>
          <w:rFonts w:hint="eastAsia" w:ascii="宋体" w:hAnsi="宋体"/>
          <w:bCs/>
          <w:color w:val="auto"/>
          <w:sz w:val="24"/>
          <w:highlight w:val="none"/>
        </w:rPr>
        <w:t>1.7.4若服务</w:t>
      </w:r>
      <w:r>
        <w:rPr>
          <w:rFonts w:hint="eastAsia"/>
          <w:bCs/>
          <w:color w:val="auto"/>
          <w:sz w:val="24"/>
          <w:highlight w:val="none"/>
        </w:rPr>
        <w:t>涉及货物的，则货物的：</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lang w:val="en-US" w:eastAsia="zh-CN"/>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lang w:val="en-US" w:eastAsia="zh-CN"/>
        </w:rPr>
        <w:t>/</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lang w:val="en-US" w:eastAsia="zh-CN"/>
        </w:rPr>
        <w:t xml:space="preserve"> /</w:t>
      </w:r>
      <w:r>
        <w:rPr>
          <w:rFonts w:hint="eastAsia" w:ascii="宋体" w:hAnsi="宋体" w:cs="宋体"/>
          <w:color w:val="auto"/>
          <w:sz w:val="24"/>
          <w:highlight w:val="none"/>
        </w:rPr>
        <w:t>。</w:t>
      </w:r>
    </w:p>
    <w:p>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31"/>
      <w:bookmarkEnd w:id="432"/>
      <w:bookmarkEnd w:id="433"/>
      <w:bookmarkEnd w:id="434"/>
      <w:bookmarkEnd w:id="435"/>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lang w:val="en-US"/>
        </w:rPr>
        <w:t>（可根据情况修改） %计算，最高限额为本合同总价的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pPr>
        <w:spacing w:line="560" w:lineRule="exact"/>
        <w:ind w:firstLine="480" w:firstLineChars="200"/>
        <w:rPr>
          <w:rFonts w:ascii="宋体" w:hAnsi="宋体" w:cs="宋体"/>
          <w:color w:val="auto"/>
          <w:sz w:val="24"/>
          <w:highlight w:val="none"/>
        </w:rPr>
      </w:pPr>
      <w:bookmarkStart w:id="436" w:name="_Toc9497"/>
      <w:bookmarkStart w:id="437" w:name="_Toc32454"/>
      <w:bookmarkStart w:id="438" w:name="_Toc18683"/>
      <w:bookmarkStart w:id="439" w:name="_Toc26807"/>
      <w:bookmarkStart w:id="440" w:name="_Toc30329"/>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6"/>
    <w:bookmarkEnd w:id="437"/>
    <w:bookmarkEnd w:id="438"/>
    <w:bookmarkEnd w:id="439"/>
    <w:bookmarkEnd w:id="440"/>
    <w:p>
      <w:pPr>
        <w:spacing w:line="560" w:lineRule="exact"/>
        <w:ind w:firstLine="482" w:firstLineChars="200"/>
        <w:outlineLvl w:val="0"/>
        <w:rPr>
          <w:rFonts w:ascii="宋体" w:hAnsi="宋体" w:cs="宋体"/>
          <w:b/>
          <w:color w:val="auto"/>
          <w:sz w:val="24"/>
          <w:highlight w:val="none"/>
        </w:rPr>
      </w:pPr>
      <w:bookmarkStart w:id="441" w:name="_Toc15583"/>
      <w:bookmarkStart w:id="442" w:name="_Toc28375"/>
      <w:bookmarkStart w:id="443" w:name="_Toc16021"/>
      <w:r>
        <w:rPr>
          <w:rFonts w:hint="eastAsia" w:ascii="宋体" w:hAnsi="宋体" w:cs="宋体"/>
          <w:b/>
          <w:color w:val="auto"/>
          <w:sz w:val="24"/>
          <w:highlight w:val="none"/>
        </w:rPr>
        <w:t>1.9合同争议的解决</w:t>
      </w:r>
      <w:bookmarkEnd w:id="441"/>
      <w:bookmarkEnd w:id="442"/>
      <w:bookmarkEnd w:id="443"/>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lang w:val="en-US" w:eastAsia="zh-CN"/>
        </w:rPr>
        <w:t>1.9.2</w:t>
      </w:r>
      <w:r>
        <w:rPr>
          <w:rFonts w:ascii="仿宋" w:hAnsi="仿宋" w:eastAsia="仿宋"/>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bookmarkStart w:id="444" w:name="_Toc15322"/>
      <w:bookmarkStart w:id="445" w:name="_Toc11173"/>
      <w:bookmarkStart w:id="446" w:name="_Toc7245"/>
      <w:r>
        <w:rPr>
          <w:rFonts w:hint="eastAsia" w:ascii="宋体" w:hAnsi="宋体" w:cs="宋体"/>
          <w:b/>
          <w:color w:val="auto"/>
          <w:sz w:val="24"/>
          <w:highlight w:val="none"/>
        </w:rPr>
        <w:t>2.0 合同生效</w:t>
      </w:r>
      <w:bookmarkEnd w:id="444"/>
      <w:bookmarkEnd w:id="445"/>
      <w:bookmarkEnd w:id="446"/>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统一社会信用代码：统一社会信用代码或身份证号码：</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住所：住所：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法定代表人或法定代表人或</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联系人：联系人：</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约定送达地址：约定送达地址：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邮政编码：邮政编码：</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电子邮箱：电子邮箱：</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开户账号：开户账号：</w:t>
      </w:r>
    </w:p>
    <w:p>
      <w:pPr>
        <w:widowControl/>
        <w:adjustRightInd/>
        <w:jc w:val="left"/>
        <w:rPr>
          <w:rFonts w:ascii="宋体" w:hAnsi="宋体"/>
          <w:b/>
          <w:color w:val="auto"/>
          <w:sz w:val="24"/>
          <w:highlight w:val="none"/>
        </w:rPr>
      </w:pPr>
      <w:r>
        <w:rPr>
          <w:rFonts w:ascii="宋体" w:hAnsi="宋体"/>
          <w:b/>
          <w:color w:val="auto"/>
          <w:highlight w:val="none"/>
        </w:rPr>
        <w:br w:type="page"/>
      </w:r>
    </w:p>
    <w:p>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第二部分合同一般条款</w:t>
      </w:r>
    </w:p>
    <w:p>
      <w:pPr>
        <w:spacing w:line="560" w:lineRule="exact"/>
        <w:ind w:firstLine="482" w:firstLineChars="200"/>
        <w:outlineLvl w:val="0"/>
        <w:rPr>
          <w:rFonts w:ascii="宋体" w:hAnsi="宋体"/>
          <w:b/>
          <w:color w:val="auto"/>
          <w:sz w:val="24"/>
          <w:highlight w:val="none"/>
        </w:rPr>
      </w:pPr>
      <w:bookmarkStart w:id="447" w:name="_Toc25079"/>
      <w:bookmarkStart w:id="448" w:name="_Toc14021"/>
      <w:bookmarkStart w:id="449" w:name="_Toc19680"/>
      <w:bookmarkStart w:id="450" w:name="_Toc31297"/>
      <w:bookmarkStart w:id="451" w:name="_Toc5228"/>
      <w:r>
        <w:rPr>
          <w:rFonts w:ascii="宋体" w:hAnsi="宋体"/>
          <w:b/>
          <w:color w:val="auto"/>
          <w:sz w:val="24"/>
          <w:highlight w:val="none"/>
        </w:rPr>
        <w:t>2.1 定义</w:t>
      </w:r>
      <w:bookmarkEnd w:id="447"/>
      <w:bookmarkEnd w:id="448"/>
      <w:bookmarkEnd w:id="449"/>
      <w:bookmarkEnd w:id="450"/>
      <w:bookmarkEnd w:id="451"/>
    </w:p>
    <w:p>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pPr>
        <w:spacing w:line="560" w:lineRule="exact"/>
        <w:ind w:firstLine="482" w:firstLineChars="200"/>
        <w:outlineLvl w:val="0"/>
        <w:rPr>
          <w:rFonts w:ascii="宋体" w:hAnsi="宋体"/>
          <w:b/>
          <w:color w:val="auto"/>
          <w:sz w:val="24"/>
          <w:highlight w:val="none"/>
        </w:rPr>
      </w:pPr>
      <w:bookmarkStart w:id="452" w:name="_Toc19539"/>
      <w:bookmarkStart w:id="453" w:name="_Toc16752"/>
      <w:bookmarkStart w:id="454" w:name="_Toc3769"/>
      <w:bookmarkStart w:id="455" w:name="_Toc23289"/>
      <w:bookmarkStart w:id="456" w:name="_Toc31402"/>
      <w:r>
        <w:rPr>
          <w:rFonts w:ascii="宋体" w:hAnsi="宋体"/>
          <w:b/>
          <w:color w:val="auto"/>
          <w:sz w:val="24"/>
          <w:highlight w:val="none"/>
        </w:rPr>
        <w:t>2.2 技术规范</w:t>
      </w:r>
      <w:bookmarkEnd w:id="452"/>
      <w:bookmarkEnd w:id="453"/>
      <w:bookmarkEnd w:id="454"/>
      <w:bookmarkEnd w:id="455"/>
      <w:bookmarkEnd w:id="456"/>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pPr>
        <w:spacing w:line="560" w:lineRule="exact"/>
        <w:ind w:firstLine="482" w:firstLineChars="200"/>
        <w:outlineLvl w:val="0"/>
        <w:rPr>
          <w:rFonts w:ascii="宋体" w:hAnsi="宋体"/>
          <w:b/>
          <w:color w:val="auto"/>
          <w:sz w:val="24"/>
          <w:highlight w:val="none"/>
        </w:rPr>
      </w:pPr>
      <w:bookmarkStart w:id="457" w:name="_Toc13673"/>
      <w:bookmarkStart w:id="458" w:name="_Toc9161"/>
      <w:bookmarkStart w:id="459" w:name="_Toc27945"/>
      <w:bookmarkStart w:id="460" w:name="_Toc12412"/>
      <w:bookmarkStart w:id="461" w:name="_Toc4133"/>
      <w:r>
        <w:rPr>
          <w:rFonts w:ascii="宋体" w:hAnsi="宋体"/>
          <w:b/>
          <w:color w:val="auto"/>
          <w:sz w:val="24"/>
          <w:highlight w:val="none"/>
        </w:rPr>
        <w:t>2.3 知识产权</w:t>
      </w:r>
      <w:bookmarkEnd w:id="457"/>
      <w:bookmarkEnd w:id="458"/>
      <w:bookmarkEnd w:id="459"/>
      <w:bookmarkEnd w:id="460"/>
      <w:bookmarkEnd w:id="461"/>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highlight w:val="none"/>
        </w:rPr>
      </w:pPr>
      <w:bookmarkStart w:id="462" w:name="_Toc22011"/>
      <w:bookmarkStart w:id="463" w:name="_Toc26555"/>
      <w:bookmarkStart w:id="464" w:name="_Toc32670"/>
      <w:bookmarkStart w:id="465" w:name="_Toc31233"/>
      <w:bookmarkStart w:id="466" w:name="_Toc15447"/>
      <w:r>
        <w:rPr>
          <w:rFonts w:ascii="宋体" w:hAnsi="宋体"/>
          <w:b/>
          <w:color w:val="auto"/>
          <w:sz w:val="24"/>
          <w:highlight w:val="none"/>
        </w:rPr>
        <w:t>2.5 结算方式和付款条件</w:t>
      </w:r>
      <w:bookmarkEnd w:id="462"/>
      <w:bookmarkEnd w:id="463"/>
      <w:bookmarkEnd w:id="464"/>
      <w:bookmarkEnd w:id="465"/>
      <w:bookmarkEnd w:id="466"/>
    </w:p>
    <w:p>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67" w:name="_Toc30507"/>
      <w:bookmarkStart w:id="468" w:name="_Toc13467"/>
      <w:bookmarkStart w:id="469" w:name="_Toc13154"/>
      <w:bookmarkStart w:id="470" w:name="_Toc16163"/>
      <w:bookmarkStart w:id="471" w:name="_Toc18990"/>
      <w:r>
        <w:rPr>
          <w:rFonts w:ascii="宋体" w:hAnsi="宋体"/>
          <w:b/>
          <w:color w:val="auto"/>
          <w:sz w:val="24"/>
          <w:highlight w:val="none"/>
        </w:rPr>
        <w:t>2.6 技术资料和保密义务</w:t>
      </w:r>
      <w:bookmarkEnd w:id="467"/>
      <w:bookmarkEnd w:id="468"/>
      <w:bookmarkEnd w:id="469"/>
      <w:bookmarkEnd w:id="470"/>
      <w:bookmarkEnd w:id="471"/>
    </w:p>
    <w:p>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highlight w:val="none"/>
        </w:rPr>
      </w:pPr>
      <w:bookmarkStart w:id="472"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72"/>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highlight w:val="none"/>
        </w:rPr>
      </w:pPr>
      <w:bookmarkStart w:id="473"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73"/>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pPr>
        <w:spacing w:line="560" w:lineRule="exact"/>
        <w:ind w:firstLine="482" w:firstLineChars="200"/>
        <w:outlineLvl w:val="0"/>
        <w:rPr>
          <w:rFonts w:ascii="宋体" w:hAnsi="宋体"/>
          <w:b/>
          <w:color w:val="auto"/>
          <w:sz w:val="24"/>
          <w:highlight w:val="none"/>
        </w:rPr>
      </w:pPr>
      <w:bookmarkStart w:id="474"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74"/>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475" w:name="_Toc42"/>
      <w:bookmarkStart w:id="476" w:name="_Toc26689"/>
      <w:bookmarkStart w:id="477" w:name="_Toc23368"/>
      <w:bookmarkStart w:id="478" w:name="_Toc10663"/>
      <w:bookmarkStart w:id="479" w:name="_Toc21830"/>
      <w:r>
        <w:rPr>
          <w:rFonts w:ascii="宋体" w:hAnsi="宋体"/>
          <w:b/>
          <w:color w:val="auto"/>
          <w:sz w:val="24"/>
          <w:highlight w:val="none"/>
        </w:rPr>
        <w:t>2.10 合同转让和分包</w:t>
      </w:r>
      <w:bookmarkEnd w:id="475"/>
      <w:bookmarkEnd w:id="476"/>
      <w:bookmarkEnd w:id="477"/>
      <w:bookmarkEnd w:id="478"/>
      <w:bookmarkEnd w:id="479"/>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pPr>
        <w:spacing w:line="560" w:lineRule="exact"/>
        <w:ind w:firstLine="482" w:firstLineChars="200"/>
        <w:outlineLvl w:val="0"/>
        <w:rPr>
          <w:rFonts w:ascii="宋体" w:hAnsi="宋体"/>
          <w:b/>
          <w:color w:val="auto"/>
          <w:sz w:val="24"/>
          <w:highlight w:val="none"/>
        </w:rPr>
      </w:pPr>
      <w:bookmarkStart w:id="480" w:name="_Toc26633"/>
      <w:bookmarkStart w:id="481" w:name="_Toc14371"/>
      <w:bookmarkStart w:id="482" w:name="_Toc4720"/>
      <w:bookmarkStart w:id="483" w:name="_Toc25571"/>
      <w:bookmarkStart w:id="484" w:name="_Toc32494"/>
      <w:r>
        <w:rPr>
          <w:rFonts w:ascii="宋体" w:hAnsi="宋体"/>
          <w:b/>
          <w:color w:val="auto"/>
          <w:sz w:val="24"/>
          <w:highlight w:val="none"/>
        </w:rPr>
        <w:t>2.11 不可抗力</w:t>
      </w:r>
      <w:bookmarkEnd w:id="480"/>
      <w:bookmarkEnd w:id="481"/>
      <w:bookmarkEnd w:id="482"/>
      <w:bookmarkEnd w:id="483"/>
      <w:bookmarkEnd w:id="484"/>
    </w:p>
    <w:p>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85" w:name="_Toc24465"/>
      <w:bookmarkStart w:id="486" w:name="_Toc23854"/>
      <w:bookmarkStart w:id="487" w:name="_Toc3638"/>
      <w:bookmarkStart w:id="488" w:name="_Toc25783"/>
      <w:bookmarkStart w:id="489" w:name="_Toc14115"/>
      <w:r>
        <w:rPr>
          <w:rFonts w:ascii="宋体" w:hAnsi="宋体"/>
          <w:b/>
          <w:color w:val="auto"/>
          <w:sz w:val="24"/>
          <w:highlight w:val="none"/>
        </w:rPr>
        <w:t>2.12 税费</w:t>
      </w:r>
      <w:bookmarkEnd w:id="485"/>
      <w:bookmarkEnd w:id="486"/>
      <w:bookmarkEnd w:id="487"/>
      <w:bookmarkEnd w:id="488"/>
      <w:bookmarkEnd w:id="489"/>
    </w:p>
    <w:p>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pPr>
        <w:spacing w:line="560" w:lineRule="exact"/>
        <w:ind w:firstLine="482" w:firstLineChars="200"/>
        <w:outlineLvl w:val="0"/>
        <w:rPr>
          <w:rFonts w:ascii="宋体" w:hAnsi="宋体"/>
          <w:b/>
          <w:color w:val="auto"/>
          <w:sz w:val="24"/>
          <w:highlight w:val="none"/>
        </w:rPr>
      </w:pPr>
      <w:bookmarkStart w:id="490" w:name="_Toc7315"/>
      <w:bookmarkStart w:id="491" w:name="_Toc26883"/>
      <w:bookmarkStart w:id="492" w:name="_Toc30105"/>
      <w:bookmarkStart w:id="493" w:name="_Toc14814"/>
      <w:bookmarkStart w:id="494" w:name="_Toc25525"/>
      <w:r>
        <w:rPr>
          <w:rFonts w:ascii="宋体" w:hAnsi="宋体"/>
          <w:b/>
          <w:color w:val="auto"/>
          <w:sz w:val="24"/>
          <w:highlight w:val="none"/>
        </w:rPr>
        <w:t>2.13 乙方破产</w:t>
      </w:r>
      <w:bookmarkEnd w:id="490"/>
      <w:bookmarkEnd w:id="491"/>
      <w:bookmarkEnd w:id="492"/>
      <w:bookmarkEnd w:id="493"/>
      <w:bookmarkEnd w:id="494"/>
    </w:p>
    <w:p>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95" w:name="_Toc1123"/>
      <w:bookmarkStart w:id="496" w:name="_Toc23323"/>
      <w:bookmarkStart w:id="497" w:name="_Toc2016"/>
      <w:r>
        <w:rPr>
          <w:rFonts w:ascii="宋体" w:hAnsi="宋体"/>
          <w:b/>
          <w:color w:val="auto"/>
          <w:sz w:val="24"/>
          <w:highlight w:val="none"/>
        </w:rPr>
        <w:t>2.14 合同中止、终止</w:t>
      </w:r>
      <w:bookmarkEnd w:id="495"/>
      <w:bookmarkEnd w:id="496"/>
      <w:bookmarkEnd w:id="497"/>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498" w:name="_Toc1969"/>
      <w:bookmarkStart w:id="499" w:name="_Toc14525"/>
      <w:bookmarkStart w:id="500" w:name="_Toc17363"/>
      <w:r>
        <w:rPr>
          <w:rFonts w:ascii="宋体" w:hAnsi="宋体"/>
          <w:b/>
          <w:color w:val="auto"/>
          <w:sz w:val="24"/>
          <w:highlight w:val="none"/>
        </w:rPr>
        <w:t>2.15 检验和验收</w:t>
      </w:r>
      <w:bookmarkEnd w:id="498"/>
      <w:bookmarkEnd w:id="499"/>
      <w:bookmarkEnd w:id="500"/>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pPr>
        <w:spacing w:line="560" w:lineRule="exact"/>
        <w:ind w:firstLine="482" w:firstLineChars="200"/>
        <w:outlineLvl w:val="0"/>
        <w:rPr>
          <w:rFonts w:ascii="宋体" w:hAnsi="宋体"/>
          <w:b/>
          <w:color w:val="auto"/>
          <w:sz w:val="24"/>
          <w:highlight w:val="none"/>
        </w:rPr>
      </w:pPr>
      <w:bookmarkStart w:id="501" w:name="_Toc12666"/>
      <w:bookmarkStart w:id="502" w:name="_Toc25198"/>
      <w:bookmarkStart w:id="503" w:name="_Toc31892"/>
      <w:bookmarkStart w:id="504" w:name="_Toc9808"/>
      <w:bookmarkStart w:id="505" w:name="_Toc2308"/>
      <w:r>
        <w:rPr>
          <w:rFonts w:ascii="宋体" w:hAnsi="宋体"/>
          <w:b/>
          <w:color w:val="auto"/>
          <w:sz w:val="24"/>
          <w:highlight w:val="none"/>
        </w:rPr>
        <w:t>2.16 通知和送达</w:t>
      </w:r>
      <w:bookmarkEnd w:id="501"/>
      <w:bookmarkEnd w:id="502"/>
      <w:bookmarkEnd w:id="503"/>
      <w:bookmarkEnd w:id="504"/>
      <w:bookmarkEnd w:id="505"/>
    </w:p>
    <w:p>
      <w:pPr>
        <w:spacing w:line="560" w:lineRule="exact"/>
        <w:ind w:firstLine="480" w:firstLineChars="200"/>
        <w:rPr>
          <w:rFonts w:ascii="宋体" w:hAnsi="宋体"/>
          <w:color w:val="auto"/>
          <w:sz w:val="24"/>
          <w:highlight w:val="none"/>
        </w:rPr>
      </w:pPr>
      <w:bookmarkStart w:id="506" w:name="_Toc27674"/>
      <w:bookmarkStart w:id="507"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6"/>
      <w:bookmarkEnd w:id="507"/>
    </w:p>
    <w:p>
      <w:pPr>
        <w:spacing w:line="560" w:lineRule="exact"/>
        <w:ind w:firstLine="482" w:firstLineChars="200"/>
        <w:outlineLvl w:val="0"/>
        <w:rPr>
          <w:rFonts w:ascii="宋体" w:hAnsi="宋体"/>
          <w:b/>
          <w:color w:val="auto"/>
          <w:sz w:val="24"/>
          <w:highlight w:val="none"/>
        </w:rPr>
      </w:pPr>
      <w:bookmarkStart w:id="508" w:name="_Toc12254"/>
      <w:bookmarkStart w:id="509" w:name="_Toc5063"/>
      <w:bookmarkStart w:id="510" w:name="_Toc20808"/>
      <w:bookmarkStart w:id="511" w:name="_Toc28906"/>
      <w:bookmarkStart w:id="512"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8"/>
      <w:bookmarkEnd w:id="509"/>
      <w:bookmarkEnd w:id="510"/>
      <w:bookmarkEnd w:id="511"/>
      <w:bookmarkEnd w:id="512"/>
    </w:p>
    <w:p>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pPr>
        <w:spacing w:line="560" w:lineRule="exact"/>
        <w:ind w:firstLine="482" w:firstLineChars="200"/>
        <w:outlineLvl w:val="0"/>
        <w:rPr>
          <w:rFonts w:ascii="宋体" w:hAnsi="宋体" w:cs="宋体"/>
          <w:b/>
          <w:color w:val="auto"/>
          <w:sz w:val="24"/>
          <w:highlight w:val="none"/>
        </w:rPr>
      </w:pPr>
      <w:bookmarkStart w:id="513" w:name="_Toc4355"/>
      <w:bookmarkStart w:id="514" w:name="_Toc18540"/>
      <w:bookmarkStart w:id="515" w:name="_Toc30599"/>
      <w:r>
        <w:rPr>
          <w:rFonts w:hint="eastAsia" w:ascii="宋体" w:hAnsi="宋体" w:cs="宋体"/>
          <w:b/>
          <w:color w:val="auto"/>
          <w:sz w:val="24"/>
          <w:highlight w:val="none"/>
        </w:rPr>
        <w:t>2.18 计量单位</w:t>
      </w:r>
      <w:bookmarkEnd w:id="513"/>
      <w:bookmarkEnd w:id="514"/>
      <w:bookmarkEnd w:id="515"/>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bookmarkStart w:id="516" w:name="OLE_LINK8"/>
    </w:p>
    <w:bookmarkEnd w:id="516"/>
    <w:p>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7" w:name="_Toc331685784"/>
      <w:bookmarkEnd w:id="517"/>
      <w:r>
        <w:rPr>
          <w:rFonts w:hint="eastAsia" w:ascii="宋体" w:hAnsi="宋体" w:cs="宋体"/>
          <w:b/>
          <w:color w:val="auto"/>
          <w:sz w:val="24"/>
          <w:highlight w:val="none"/>
        </w:rPr>
        <w:t>第三部分  合同专用条款</w:t>
      </w:r>
    </w:p>
    <w:p>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69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4"/>
        <w:gridCol w:w="878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1.2.1 </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服务内容：按采购文件要求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服务标准：按采购文件要求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技术保障：按采购文件要求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1.3.2</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（1）院区内：按出院者实际占用床位数结算，即中标单价（元/床/日）×出院者实际占用床位数（当月）；</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（2）下沙制剂室：中标价（元/月）；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资金支付的方式、时间和条件：费用每月结算一次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次月支付，具体以</w:t>
            </w:r>
            <w:r>
              <w:rPr>
                <w:rFonts w:hint="eastAsia" w:ascii="宋体" w:hAnsi="宋体" w:eastAsia="宋体" w:cs="宋体"/>
                <w:color w:val="auto"/>
                <w:sz w:val="24"/>
                <w:szCs w:val="24"/>
                <w:highlight w:val="none"/>
                <w:lang w:val="en-US" w:eastAsia="zh-CN"/>
              </w:rPr>
              <w:t>甲方要求的</w:t>
            </w:r>
            <w:r>
              <w:rPr>
                <w:rFonts w:hint="eastAsia" w:ascii="宋体" w:hAnsi="宋体" w:eastAsia="宋体" w:cs="宋体"/>
                <w:color w:val="auto"/>
                <w:sz w:val="24"/>
                <w:szCs w:val="24"/>
                <w:highlight w:val="none"/>
              </w:rPr>
              <w:t>为准。</w:t>
            </w:r>
            <w:r>
              <w:rPr>
                <w:rFonts w:hint="eastAsia" w:ascii="宋体" w:hAnsi="宋体" w:eastAsia="宋体" w:cs="宋体"/>
                <w:color w:val="auto"/>
                <w:sz w:val="24"/>
                <w:szCs w:val="24"/>
                <w:highlight w:val="none"/>
                <w:lang w:val="en-US" w:eastAsia="zh-CN"/>
              </w:rPr>
              <w:t>付款前，乙方应向甲方提供等额有效的正式发票，经甲方核对无误后按照合同的约定予以付款。如乙方未提供发票或提供的发票不符合甲方要求，甲方有权不予支付相应款项直至乙方提供合格的发票，且甲方行为不构成违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本合同期1年，自   年  月  日至自   年  月  日止。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p>
        </w:tc>
        <w:tc>
          <w:tcPr>
            <w:tcW w:w="8785" w:type="dxa"/>
            <w:tcBorders>
              <w:top w:val="single" w:color="auto" w:sz="6" w:space="0"/>
              <w:left w:val="single" w:color="auto" w:sz="6" w:space="0"/>
              <w:bottom w:val="single" w:color="auto" w:sz="6" w:space="0"/>
              <w:right w:val="single" w:color="auto" w:sz="6" w:space="0"/>
            </w:tcBorders>
            <w:noWrap/>
            <w:vAlign w:val="center"/>
          </w:tcPr>
          <w:p>
            <w:pPr>
              <w:snapToGrid w:val="0"/>
              <w:spacing w:line="360" w:lineRule="auto"/>
              <w:outlineLvl w:val="1"/>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杭州市第三人民医院和杭州市第三人民医院下沙制剂室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每日到服务地点对采购人产生的医疗固体废物进行集中收集转运，下沙制剂：按需要进行收集转运（预估每周一次，具体</w:t>
            </w:r>
            <w:r>
              <w:rPr>
                <w:rFonts w:hint="eastAsia" w:ascii="宋体" w:hAnsi="宋体" w:eastAsia="宋体" w:cs="宋体"/>
                <w:color w:val="auto"/>
                <w:sz w:val="24"/>
                <w:szCs w:val="24"/>
                <w:highlight w:val="none"/>
                <w:lang w:val="en-US" w:eastAsia="zh-CN"/>
              </w:rPr>
              <w:t>以</w:t>
            </w:r>
            <w:r>
              <w:rPr>
                <w:rFonts w:hint="eastAsia" w:ascii="宋体" w:hAnsi="宋体" w:eastAsia="宋体" w:cs="宋体"/>
                <w:color w:val="auto"/>
                <w:sz w:val="24"/>
                <w:szCs w:val="24"/>
                <w:highlight w:val="none"/>
                <w:lang w:val="en-GB"/>
              </w:rPr>
              <w:t>甲方</w:t>
            </w:r>
            <w:r>
              <w:rPr>
                <w:rFonts w:hint="eastAsia" w:ascii="宋体" w:hAnsi="宋体" w:eastAsia="宋体" w:cs="宋体"/>
                <w:color w:val="auto"/>
                <w:sz w:val="24"/>
                <w:szCs w:val="24"/>
                <w:highlight w:val="none"/>
                <w:lang w:val="en-US" w:eastAsia="zh-CN"/>
              </w:rPr>
              <w:t>要求的为准</w:t>
            </w:r>
            <w:r>
              <w:rPr>
                <w:rFonts w:hint="eastAsia" w:ascii="宋体" w:hAnsi="宋体" w:eastAsia="宋体" w:cs="宋体"/>
                <w:color w:val="auto"/>
                <w:sz w:val="24"/>
                <w:szCs w:val="24"/>
                <w:highlight w:val="none"/>
                <w:lang w:val="en-GB"/>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1.8.7</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1.8.7.1乙方未按采购文件要求对甲方的医疗废物进行收集转运的，</w:t>
            </w:r>
            <w:bookmarkStart w:id="518" w:name="OLE_LINK6"/>
            <w:r>
              <w:rPr>
                <w:rFonts w:hint="eastAsia" w:ascii="宋体" w:hAnsi="宋体" w:eastAsia="宋体" w:cs="宋体"/>
                <w:color w:val="auto"/>
                <w:sz w:val="24"/>
                <w:szCs w:val="24"/>
                <w:highlight w:val="none"/>
                <w:lang w:val="en-US" w:eastAsia="zh-CN"/>
              </w:rPr>
              <w:t>每发生一次，应向甲方支付1000元违约金</w:t>
            </w:r>
            <w:bookmarkEnd w:id="518"/>
            <w:r>
              <w:rPr>
                <w:rFonts w:hint="eastAsia" w:ascii="宋体" w:hAnsi="宋体" w:eastAsia="宋体" w:cs="宋体"/>
                <w:color w:val="auto"/>
                <w:sz w:val="24"/>
                <w:szCs w:val="24"/>
                <w:highlight w:val="none"/>
                <w:lang w:val="en-US" w:eastAsia="zh-CN"/>
              </w:rPr>
              <w:t>；每半年发生超过三次的，乙方应赔偿甲方因此所遭受的损失，同时应向甲方偿付损失额2倍的金额作为违约金。</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1.8.7.2乙方未按采购文件要求向甲方提供包装容器的，每发生一次，应向甲方支付800元违约金；每半年发生超过三次的，乙方应赔偿甲方因此所遭受的损失，同时应向甲方偿付损失额2倍的金额作为违约金。</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1.8.7.3除本合同专用条款另有约定的外，如乙方未按采购文件要求履行其义务的，每发生一次，应向甲方支付500元违约金。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向甲方</w:t>
            </w:r>
            <w:r>
              <w:rPr>
                <w:rFonts w:hint="eastAsia" w:ascii="宋体" w:hAnsi="宋体" w:eastAsia="宋体" w:cs="宋体"/>
                <w:color w:val="auto"/>
                <w:sz w:val="24"/>
                <w:szCs w:val="24"/>
                <w:highlight w:val="none"/>
                <w:lang w:val="en-US" w:eastAsia="zh-CN"/>
              </w:rPr>
              <w:t>所在地</w:t>
            </w:r>
            <w:r>
              <w:rPr>
                <w:rFonts w:hint="eastAsia" w:ascii="宋体" w:hAnsi="宋体" w:eastAsia="宋体" w:cs="宋体"/>
                <w:color w:val="auto"/>
                <w:sz w:val="24"/>
                <w:szCs w:val="24"/>
                <w:highlight w:val="none"/>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合同涉及技术成果的归属和收益的分成办法的，本项目不适用。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2.5 </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结算方式和付款条件：每月结算一次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次月支付，具体以</w:t>
            </w:r>
            <w:r>
              <w:rPr>
                <w:rFonts w:hint="eastAsia" w:ascii="宋体" w:hAnsi="宋体" w:eastAsia="宋体" w:cs="宋体"/>
                <w:color w:val="auto"/>
                <w:sz w:val="24"/>
                <w:szCs w:val="24"/>
                <w:highlight w:val="none"/>
                <w:lang w:val="en-US" w:eastAsia="zh-CN"/>
              </w:rPr>
              <w:t>甲方要求的</w:t>
            </w:r>
            <w:r>
              <w:rPr>
                <w:rFonts w:hint="eastAsia" w:ascii="宋体" w:hAnsi="宋体" w:eastAsia="宋体" w:cs="宋体"/>
                <w:color w:val="auto"/>
                <w:sz w:val="24"/>
                <w:szCs w:val="24"/>
                <w:highlight w:val="none"/>
              </w:rPr>
              <w:t>为准。</w:t>
            </w:r>
            <w:r>
              <w:rPr>
                <w:rFonts w:hint="eastAsia" w:ascii="宋体" w:hAnsi="宋体" w:eastAsia="宋体" w:cs="宋体"/>
                <w:color w:val="auto"/>
                <w:sz w:val="24"/>
                <w:szCs w:val="24"/>
                <w:highlight w:val="none"/>
                <w:lang w:val="en-US" w:eastAsia="zh-CN"/>
              </w:rPr>
              <w:t>付款前，乙方应向甲方提供等额有效的正式发票，经甲方核对无误后按照合同的约定予以付款。如乙方未提供发票或提供的发票不符合甲方要求，甲方有权不予支付相应款项直至乙方提供合格的发票，且甲方行为不构成违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2.11.3</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因不可抗力致使合同有变更必要的，双方当事人应在30日内以书面形式变更合同；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2.11.4</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受不可抗力影响的一方在不可抗力发生后，应在30日内以书面形式通知对方当事人，并在30日内，将有关部门出具的证明文件送达对方当事人。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2.15.1</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乙方按照合同约定，每个月提交服务报告，甲方按照约定进行定期验收。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2.15.3 </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验和验收标准、程序等具体内容以及前述验收书的效力：《中华人民共和国传染病防治法》、《中华人民共和国固体废物污染环境防治法》、《医疗废物管理条例》、《医疗卫生机构医疗废物管理办法》等文件关于医疗固体医疗废弃物属危险废物的管理范围规定，严格按照相关标准实行收集转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2.19</w:t>
            </w:r>
          </w:p>
        </w:tc>
        <w:tc>
          <w:tcPr>
            <w:tcW w:w="8785" w:type="dxa"/>
            <w:tcBorders>
              <w:top w:val="single" w:color="auto" w:sz="6" w:space="0"/>
              <w:left w:val="single" w:color="auto" w:sz="6" w:space="0"/>
              <w:bottom w:val="single" w:color="auto" w:sz="6" w:space="0"/>
              <w:right w:val="single" w:color="auto" w:sz="6" w:space="0"/>
            </w:tcBorders>
            <w:noWrap/>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本合同一式陆份，甲方执肆份，乙方执贰份，经签字盖章后生效，具有同等法律效力。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14" w:type="dxa"/>
            <w:tcBorders>
              <w:top w:val="single" w:color="auto" w:sz="6" w:space="0"/>
              <w:left w:val="single" w:color="auto" w:sz="4" w:space="0"/>
              <w:bottom w:val="single" w:color="auto" w:sz="6" w:space="0"/>
              <w:right w:val="single" w:color="auto" w:sz="6" w:space="0"/>
            </w:tcBorders>
            <w:noWrap/>
            <w:vAlign w:val="center"/>
          </w:tcPr>
          <w:p>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2.20</w:t>
            </w:r>
          </w:p>
        </w:tc>
        <w:tc>
          <w:tcPr>
            <w:tcW w:w="8785" w:type="dxa"/>
            <w:tcBorders>
              <w:top w:val="single" w:color="auto" w:sz="6" w:space="0"/>
              <w:left w:val="single" w:color="auto" w:sz="6" w:space="0"/>
              <w:bottom w:val="single" w:color="auto" w:sz="6" w:space="0"/>
              <w:right w:val="single" w:color="auto" w:sz="6" w:space="0"/>
            </w:tcBorders>
            <w:noWrap/>
            <w:vAlign w:val="center"/>
          </w:tcPr>
          <w:p>
            <w:pPr>
              <w:snapToGrid w:val="0"/>
              <w:spacing w:line="360" w:lineRule="auto"/>
              <w:rPr>
                <w:rFonts w:hint="eastAsia" w:ascii="仿宋" w:hAnsi="仿宋" w:eastAsia="仿宋"/>
                <w:b/>
                <w:bCs w:val="0"/>
                <w:color w:val="auto"/>
                <w:sz w:val="24"/>
                <w:highlight w:val="none"/>
                <w:lang w:val="en-US" w:eastAsia="zh-CN"/>
              </w:rPr>
            </w:pPr>
            <w:r>
              <w:rPr>
                <w:rFonts w:hint="eastAsia" w:ascii="仿宋" w:hAnsi="仿宋" w:eastAsia="仿宋"/>
                <w:b/>
                <w:bCs w:val="0"/>
                <w:color w:val="auto"/>
                <w:sz w:val="24"/>
                <w:highlight w:val="none"/>
                <w:lang w:val="en-US" w:eastAsia="zh-CN"/>
              </w:rPr>
              <w:t>双方权利义务</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2.20.1 甲方有权要求乙方协助为其提供必要的医疗废弃物分类、包装、暂存等管理知识。</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2.20.2 甲方有权对采购文件中所委托的固体医疗废弃物的处置情况进行了解和监督，若发现处置不妥，可随时向有关部门进行投诉。</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2.20.3 甲方指定专人负责将临床所产生的医疗固体废弃物，从产生源头即要严格按照《医疗废物分类目录》进行分类收集。</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2.20.4 甲方应设专人负责完成医疗固体废弃物的院内收集，并存放于院内医疗固体废弃物暂存间，协助乙方完成医疗固体废弃物的交接手续，防止医疗固体废弃物的流失。</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2.20.5 甲方应爱护并合理使用由乙方提供的相关包装容器，各类包装容器使用量应与产生量相适应，防止浪费，遗失或损坏。</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2.20.6 乙方按照国家标准以及采购文件规定标准对固体医疗废弃物进行安全处置，并由乙方出具安全处置证明。</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2.20.7 乙方按照《医疗废物管理条例》规定应当至少每天到甲方收集运送一次医疗废物，下沙制剂室按需收运（预估每周一次，具体以甲方要求为准）。</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2.20.8 乙方对所接收的医疗废弃物的处置情况按照国家规定建立档案，有义务回答甲方对处置情况的质询。</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2.20.9 乙方需向甲方提供与其产生量相适应的标准废弃物包装袋等必要的包装容器，加强技术升级改造，使甲方享受优质服务。</w:t>
            </w:r>
          </w:p>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2.20.10 乙方应根据投标报价标准向甲方收取处置费用，不得抬高或变相抬高收费，甲方逾期支付费用的，乙方有权停止服务，并要求甲方付清逾期应支付乙方的费用。</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2.20.11 乙方自觉接受市民以及政府有关部门监督。</w:t>
            </w:r>
          </w:p>
        </w:tc>
      </w:tr>
    </w:tbl>
    <w:p>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1"/>
      <w:bookmarkEnd w:id="402"/>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浙江国际招投标有限公司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月日</w:t>
      </w: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4"/>
          <w:highlight w:val="none"/>
        </w:rPr>
      </w:pP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浙江国际招投标有限公司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9" w:name="_Hlk101257010"/>
      <w:r>
        <w:rPr>
          <w:rFonts w:hint="eastAsia" w:ascii="宋体" w:hAnsi="宋体" w:cs="宋体"/>
          <w:color w:val="auto"/>
          <w:sz w:val="24"/>
          <w:highlight w:val="none"/>
        </w:rPr>
        <w:t>（如果有)</w:t>
      </w:r>
      <w:bookmarkEnd w:id="519"/>
      <w:r>
        <w:rPr>
          <w:rFonts w:hint="eastAsia" w:ascii="宋体" w:hAnsi="宋体" w:cs="宋体"/>
          <w:snapToGrid w:val="0"/>
          <w:color w:val="auto"/>
          <w:kern w:val="28"/>
          <w:sz w:val="24"/>
          <w:szCs w:val="20"/>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eastAsia="宋体" w:cs="宋体"/>
          <w:color w:val="auto"/>
          <w:sz w:val="24"/>
          <w:highlight w:val="none"/>
        </w:rPr>
        <w:t>落实</w:t>
      </w:r>
      <w:r>
        <w:rPr>
          <w:rFonts w:hint="eastAsia" w:ascii="宋体" w:hAnsi="宋体" w:cs="宋体"/>
          <w:color w:val="auto"/>
          <w:sz w:val="24"/>
          <w:highlight w:val="none"/>
        </w:rPr>
        <w:t>政府采购政策需满足的资格要求</w:t>
      </w:r>
      <w:r>
        <w:rPr>
          <w:rFonts w:hint="eastAsia" w:ascii="宋体" w:hAnsi="宋体" w:cs="宋体"/>
          <w:color w:val="auto"/>
          <w:sz w:val="24"/>
          <w:highlight w:val="none"/>
          <w:lang w:eastAsia="zh-CN"/>
        </w:rPr>
        <w:t>：</w:t>
      </w:r>
      <w:r>
        <w:rPr>
          <w:rFonts w:hint="eastAsia"/>
          <w:color w:val="auto"/>
          <w:highlight w:val="none"/>
          <w:lang w:val="en-US" w:eastAsia="zh-CN"/>
        </w:rPr>
        <w:t>中小企业声明函</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ind w:firstLine="480" w:firstLineChars="200"/>
        <w:rPr>
          <w:rFonts w:ascii="宋体" w:hAnsi="宋体" w:cs="宋体"/>
          <w:color w:val="auto"/>
          <w:sz w:val="24"/>
          <w:highlight w:val="none"/>
          <w:shd w:val="clear" w:color="auto" w:fill="FFFFFF"/>
        </w:rPr>
      </w:pPr>
      <w:r>
        <w:rPr>
          <w:rFonts w:hint="eastAsia" w:ascii="宋体" w:hAnsi="宋体" w:cs="宋体"/>
          <w:color w:val="auto"/>
          <w:sz w:val="24"/>
          <w:highlight w:val="none"/>
        </w:rPr>
        <w:t>5、对</w:t>
      </w:r>
      <w:r>
        <w:rPr>
          <w:rFonts w:hint="eastAsia" w:ascii="宋体" w:hAnsi="宋体" w:cs="宋体"/>
          <w:color w:val="auto"/>
          <w:sz w:val="24"/>
          <w:highlight w:val="none"/>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6、其他补充说明:。</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浙江国际招投标有限公司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委托（姓名）为我方代理人（身份证号码：，手机：</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自年月日起至年月日止。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浙江国际招投标有限公司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委托（姓名）为我方代理人（身份证号码：，手机：</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自年月日起至年月日止。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54"/>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4"/>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54"/>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footerReference r:id="rId9" w:type="first"/>
          <w:footerReference r:id="rId8"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vAlign w:val="center"/>
          </w:tcPr>
          <w:p>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4</w:t>
            </w:r>
          </w:p>
        </w:tc>
        <w:tc>
          <w:tcPr>
            <w:tcW w:w="4991" w:type="dxa"/>
          </w:tcPr>
          <w:p>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vAlign w:val="center"/>
          </w:tcPr>
          <w:p>
            <w:pPr>
              <w:rPr>
                <w:rFonts w:ascii="宋体" w:hAnsi="宋体" w:cs="宋体"/>
                <w:color w:val="auto"/>
                <w:sz w:val="24"/>
                <w:highlight w:val="none"/>
              </w:rPr>
            </w:pPr>
          </w:p>
        </w:tc>
        <w:tc>
          <w:tcPr>
            <w:tcW w:w="1418" w:type="dxa"/>
          </w:tcPr>
          <w:p>
            <w:pPr>
              <w:rPr>
                <w:rFonts w:ascii="宋体" w:hAnsi="宋体" w:cs="宋体"/>
                <w:color w:val="auto"/>
                <w:sz w:val="24"/>
                <w:highlight w:val="none"/>
              </w:rPr>
            </w:pPr>
            <w:r>
              <w:rPr>
                <w:rFonts w:hint="eastAsia" w:ascii="宋体" w:hAnsi="宋体" w:cs="宋体"/>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kern w:val="0"/>
                <w:sz w:val="24"/>
                <w:highlight w:val="none"/>
              </w:rPr>
              <w:t>……</w:t>
            </w:r>
          </w:p>
        </w:tc>
        <w:tc>
          <w:tcPr>
            <w:tcW w:w="4991" w:type="dxa"/>
          </w:tcPr>
          <w:p>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vAlign w:val="center"/>
          </w:tcPr>
          <w:p>
            <w:pPr>
              <w:rPr>
                <w:rFonts w:ascii="宋体" w:hAnsi="宋体" w:cs="宋体"/>
                <w:color w:val="auto"/>
                <w:sz w:val="24"/>
                <w:highlight w:val="none"/>
              </w:rPr>
            </w:pPr>
          </w:p>
        </w:tc>
        <w:tc>
          <w:tcPr>
            <w:tcW w:w="1418" w:type="dxa"/>
          </w:tcPr>
          <w:p>
            <w:pPr>
              <w:rPr>
                <w:rFonts w:ascii="宋体" w:hAnsi="宋体" w:cs="宋体"/>
                <w:color w:val="auto"/>
                <w:sz w:val="24"/>
                <w:highlight w:val="none"/>
              </w:rPr>
            </w:pPr>
            <w:r>
              <w:rPr>
                <w:rFonts w:hint="eastAsia" w:ascii="宋体" w:hAnsi="宋体" w:cs="宋体"/>
                <w:color w:val="auto"/>
                <w:sz w:val="24"/>
                <w:highlight w:val="none"/>
              </w:rPr>
              <w:t>见投标文件第页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2、招标文件中实质性要求必须明确响应。</w:t>
      </w:r>
    </w:p>
    <w:p>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5465" w:type="dxa"/>
          </w:tcPr>
          <w:p>
            <w:pPr>
              <w:snapToGrid w:val="0"/>
              <w:spacing w:line="360" w:lineRule="auto"/>
              <w:jc w:val="center"/>
              <w:rPr>
                <w:rFonts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c>
          <w:tcPr>
            <w:tcW w:w="3046" w:type="dxa"/>
          </w:tcPr>
          <w:p>
            <w:pPr>
              <w:snapToGrid w:val="0"/>
              <w:spacing w:line="240" w:lineRule="atLeast"/>
              <w:jc w:val="center"/>
              <w:rPr>
                <w:rFonts w:ascii="宋体" w:hAnsi="宋体" w:cs="宋体"/>
                <w:bCs/>
                <w:color w:val="auto"/>
                <w:sz w:val="24"/>
                <w:highlight w:val="none"/>
              </w:rPr>
            </w:pPr>
            <w:r>
              <w:rPr>
                <w:rFonts w:hint="eastAsia" w:ascii="宋体" w:hAnsi="宋体" w:cs="宋体"/>
                <w:bCs/>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5465" w:type="dxa"/>
          </w:tcPr>
          <w:p>
            <w:pPr>
              <w:snapToGrid w:val="0"/>
              <w:spacing w:line="360" w:lineRule="auto"/>
              <w:jc w:val="center"/>
              <w:rPr>
                <w:rFonts w:ascii="宋体" w:hAnsi="宋体" w:cs="宋体"/>
                <w:bCs/>
                <w:color w:val="auto"/>
                <w:sz w:val="24"/>
                <w:highlight w:val="none"/>
              </w:rPr>
            </w:pPr>
          </w:p>
        </w:tc>
        <w:tc>
          <w:tcPr>
            <w:tcW w:w="3046" w:type="dxa"/>
          </w:tcPr>
          <w:p>
            <w:pPr>
              <w:jc w:val="center"/>
              <w:rPr>
                <w:rFonts w:ascii="宋体" w:hAnsi="宋体" w:cs="宋体"/>
                <w:bCs/>
                <w:color w:val="auto"/>
                <w:sz w:val="24"/>
                <w:highlight w:val="none"/>
              </w:rPr>
            </w:pPr>
            <w:r>
              <w:rPr>
                <w:rFonts w:hint="eastAsia" w:ascii="宋体" w:hAnsi="宋体" w:cs="宋体"/>
                <w:bCs/>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2</w:t>
            </w:r>
          </w:p>
        </w:tc>
        <w:tc>
          <w:tcPr>
            <w:tcW w:w="5465" w:type="dxa"/>
          </w:tcPr>
          <w:p>
            <w:pPr>
              <w:snapToGrid w:val="0"/>
              <w:spacing w:line="360" w:lineRule="auto"/>
              <w:jc w:val="center"/>
              <w:rPr>
                <w:rFonts w:ascii="宋体" w:hAnsi="宋体" w:cs="宋体"/>
                <w:bCs/>
                <w:color w:val="auto"/>
                <w:sz w:val="24"/>
                <w:highlight w:val="none"/>
              </w:rPr>
            </w:pPr>
          </w:p>
        </w:tc>
        <w:tc>
          <w:tcPr>
            <w:tcW w:w="3046" w:type="dxa"/>
          </w:tcPr>
          <w:p>
            <w:pPr>
              <w:jc w:val="center"/>
              <w:rPr>
                <w:rFonts w:ascii="宋体" w:hAnsi="宋体" w:cs="宋体"/>
                <w:bCs/>
                <w:color w:val="auto"/>
                <w:sz w:val="24"/>
                <w:highlight w:val="none"/>
              </w:rPr>
            </w:pPr>
            <w:r>
              <w:rPr>
                <w:rFonts w:hint="eastAsia" w:ascii="宋体" w:hAnsi="宋体" w:cs="宋体"/>
                <w:bCs/>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color w:val="auto"/>
                <w:sz w:val="24"/>
                <w:highlight w:val="none"/>
              </w:rPr>
            </w:pPr>
            <w:r>
              <w:rPr>
                <w:rFonts w:hint="eastAsia" w:ascii="宋体" w:hAnsi="宋体" w:cs="宋体"/>
                <w:color w:val="auto"/>
                <w:kern w:val="0"/>
                <w:sz w:val="24"/>
                <w:highlight w:val="none"/>
              </w:rPr>
              <w:t>……</w:t>
            </w:r>
          </w:p>
        </w:tc>
        <w:tc>
          <w:tcPr>
            <w:tcW w:w="5465" w:type="dxa"/>
          </w:tcPr>
          <w:p>
            <w:pPr>
              <w:snapToGrid w:val="0"/>
              <w:spacing w:line="360" w:lineRule="auto"/>
              <w:jc w:val="center"/>
              <w:rPr>
                <w:rFonts w:ascii="宋体" w:hAnsi="宋体" w:cs="宋体"/>
                <w:bCs/>
                <w:color w:val="auto"/>
                <w:sz w:val="24"/>
                <w:highlight w:val="none"/>
              </w:rPr>
            </w:pPr>
          </w:p>
        </w:tc>
        <w:tc>
          <w:tcPr>
            <w:tcW w:w="3046" w:type="dxa"/>
          </w:tcPr>
          <w:p>
            <w:pPr>
              <w:jc w:val="center"/>
              <w:rPr>
                <w:rFonts w:ascii="宋体" w:hAnsi="宋体" w:cs="宋体"/>
                <w:bCs/>
                <w:color w:val="auto"/>
                <w:sz w:val="24"/>
                <w:highlight w:val="none"/>
              </w:rPr>
            </w:pPr>
            <w:r>
              <w:rPr>
                <w:rFonts w:hint="eastAsia" w:ascii="宋体" w:hAnsi="宋体" w:cs="宋体"/>
                <w:bCs/>
                <w:color w:val="auto"/>
                <w:sz w:val="24"/>
                <w:highlight w:val="none"/>
              </w:rPr>
              <w:t>见投标文件第页</w:t>
            </w:r>
          </w:p>
        </w:tc>
      </w:tr>
    </w:tbl>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p>
      <w:pPr>
        <w:spacing w:line="360" w:lineRule="auto"/>
        <w:ind w:right="420"/>
        <w:rPr>
          <w:rFonts w:hint="eastAsia" w:ascii="宋体" w:hAnsi="宋体" w:cs="宋体"/>
          <w:color w:val="auto"/>
          <w:sz w:val="24"/>
          <w:highlight w:val="none"/>
        </w:rPr>
      </w:pPr>
    </w:p>
    <w:p>
      <w:pPr>
        <w:spacing w:line="360" w:lineRule="auto"/>
        <w:ind w:right="420"/>
        <w:rPr>
          <w:rFonts w:hint="eastAsia" w:ascii="宋体" w:hAnsi="宋体" w:cs="宋体"/>
          <w:color w:val="auto"/>
          <w:sz w:val="24"/>
          <w:highlight w:val="none"/>
        </w:rPr>
      </w:pPr>
    </w:p>
    <w:p>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浙江国际招投标有限公司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footerReference r:id="rId11" w:type="firs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1"/>
        </w:num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开标一览表（报价表）………………………………………………………（页码）</w:t>
      </w:r>
    </w:p>
    <w:p>
      <w:pPr>
        <w:pStyle w:val="85"/>
        <w:rPr>
          <w:color w:val="auto"/>
          <w:highlight w:val="none"/>
        </w:rPr>
      </w:pPr>
    </w:p>
    <w:p>
      <w:pPr>
        <w:pStyle w:val="85"/>
        <w:rPr>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杭州市第三人民医院</w:t>
      </w:r>
      <w:r>
        <w:rPr>
          <w:rFonts w:hint="eastAsia" w:ascii="宋体" w:hAnsi="宋体" w:cs="宋体"/>
          <w:color w:val="auto"/>
          <w:sz w:val="24"/>
          <w:highlight w:val="none"/>
        </w:rPr>
        <w:t>、浙江国际招投标有限公司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w:t>
      </w:r>
      <w:r>
        <w:rPr>
          <w:rFonts w:hint="eastAsia" w:ascii="宋体" w:hAnsi="宋体" w:cs="宋体"/>
          <w:color w:val="auto"/>
          <w:sz w:val="24"/>
          <w:highlight w:val="none"/>
          <w:lang w:eastAsia="zh-CN"/>
        </w:rPr>
        <w:t>2025医疗废弃物收运处置服务</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w:t>
      </w:r>
      <w:r>
        <w:rPr>
          <w:rFonts w:hint="eastAsia" w:ascii="宋体" w:hAnsi="宋体" w:cs="宋体"/>
          <w:color w:val="auto"/>
          <w:sz w:val="24"/>
          <w:highlight w:val="none"/>
          <w:lang w:eastAsia="zh-CN"/>
        </w:rPr>
        <w:t>ZJ-2530498</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4179"/>
        <w:gridCol w:w="3142"/>
        <w:gridCol w:w="2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698" w:type="dxa"/>
            <w:noWrap w:val="0"/>
            <w:vAlign w:val="center"/>
          </w:tcPr>
          <w:p>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179" w:type="dxa"/>
            <w:noWrap w:val="0"/>
            <w:vAlign w:val="center"/>
          </w:tcPr>
          <w:p>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3142" w:type="dxa"/>
            <w:noWrap w:val="0"/>
            <w:vAlign w:val="center"/>
          </w:tcPr>
          <w:p>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w:t>
            </w:r>
          </w:p>
        </w:tc>
        <w:tc>
          <w:tcPr>
            <w:tcW w:w="2084" w:type="dxa"/>
            <w:noWrap w:val="0"/>
            <w:vAlign w:val="center"/>
          </w:tcPr>
          <w:p>
            <w:pPr>
              <w:snapToGrid w:val="0"/>
              <w:spacing w:line="400" w:lineRule="exact"/>
              <w:jc w:val="center"/>
              <w:rPr>
                <w:rFonts w:hint="eastAsia" w:ascii="宋体" w:hAnsi="宋体" w:eastAsia="宋体" w:cs="宋体"/>
                <w:b/>
                <w:color w:val="auto"/>
                <w:sz w:val="24"/>
                <w:highlight w:val="none"/>
              </w:rPr>
            </w:pPr>
          </w:p>
          <w:p>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服务要求（年限）</w:t>
            </w:r>
          </w:p>
          <w:p>
            <w:pPr>
              <w:snapToGrid w:val="0"/>
              <w:spacing w:line="400" w:lineRule="exact"/>
              <w:jc w:val="center"/>
              <w:rPr>
                <w:rFonts w:hint="eastAsia" w:ascii="宋体" w:hAnsi="宋体" w:eastAsia="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98"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179"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院区医疗固体废物收集转运处置服务</w:t>
            </w:r>
          </w:p>
        </w:tc>
        <w:tc>
          <w:tcPr>
            <w:tcW w:w="3142"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元/床/日</w:t>
            </w:r>
          </w:p>
        </w:tc>
        <w:tc>
          <w:tcPr>
            <w:tcW w:w="2084"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98" w:type="dxa"/>
            <w:noWrap w:val="0"/>
            <w:vAlign w:val="top"/>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179"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下沙制剂室医疗固体废物收集转运处置服务</w:t>
            </w:r>
          </w:p>
        </w:tc>
        <w:tc>
          <w:tcPr>
            <w:tcW w:w="3142"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元/月</w:t>
            </w:r>
          </w:p>
        </w:tc>
        <w:tc>
          <w:tcPr>
            <w:tcW w:w="2084" w:type="dxa"/>
            <w:noWrap w:val="0"/>
            <w:vAlign w:val="center"/>
          </w:tcPr>
          <w:p>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1年</w:t>
            </w:r>
          </w:p>
        </w:tc>
      </w:tr>
    </w:tbl>
    <w:p>
      <w:pPr>
        <w:snapToGrid w:val="0"/>
        <w:spacing w:line="360" w:lineRule="auto"/>
        <w:ind w:left="480"/>
        <w:rPr>
          <w:rFonts w:hint="eastAsia" w:ascii="宋体" w:hAnsi="宋体" w:cs="宋体"/>
          <w:b/>
          <w:color w:val="auto"/>
          <w:kern w:val="0"/>
          <w:sz w:val="24"/>
          <w:highlight w:val="none"/>
          <w:lang w:val="zh-CN"/>
        </w:rPr>
      </w:pPr>
    </w:p>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5" w:type="default"/>
          <w:pgSz w:w="16838" w:h="11906" w:orient="landscape"/>
          <w:pgMar w:top="1418" w:right="1247" w:bottom="1418" w:left="1276"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p>
    <w:p>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520" w:name="OLE_LINK14"/>
      <w:bookmarkStart w:id="521" w:name="OLE_LINK13"/>
      <w:r>
        <w:rPr>
          <w:rFonts w:hint="eastAsia" w:ascii="宋体" w:hAnsi="宋体" w:cs="宋体"/>
          <w:b/>
          <w:color w:val="auto"/>
          <w:spacing w:val="6"/>
          <w:sz w:val="32"/>
          <w:szCs w:val="32"/>
          <w:highlight w:val="none"/>
        </w:rPr>
        <w:t>残疾人福利性单位声明函</w:t>
      </w:r>
    </w:p>
    <w:bookmarkEnd w:id="520"/>
    <w:bookmarkEnd w:id="521"/>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地址：邮编：</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联系人：联系电话：</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 邮编：</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质疑项目的编号：包号：</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p>
    <w:p>
      <w:pPr>
        <w:snapToGrid w:val="0"/>
        <w:spacing w:line="360" w:lineRule="auto"/>
        <w:rPr>
          <w:rFonts w:ascii="宋体" w:hAnsi="宋体" w:cs="宋体"/>
          <w:color w:val="auto"/>
          <w:sz w:val="24"/>
          <w:highlight w:val="none"/>
          <w:u w:val="dotted"/>
        </w:rPr>
      </w:pP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址：邮编：</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采购项目编号：包号：</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投诉人于年月日,向提出质疑，质疑事项为：</w:t>
      </w:r>
    </w:p>
    <w:p>
      <w:pPr>
        <w:spacing w:line="360" w:lineRule="auto"/>
        <w:rPr>
          <w:rFonts w:ascii="宋体" w:hAnsi="宋体" w:cs="宋体"/>
          <w:color w:val="auto"/>
          <w:sz w:val="24"/>
          <w:highlight w:val="none"/>
          <w:u w:val="dotted"/>
        </w:rPr>
      </w:pP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于年月日,就质疑事项作出了答复/没有在法定期限内作出答复。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p>
    <w:p>
      <w:pPr>
        <w:spacing w:line="360" w:lineRule="auto"/>
        <w:rPr>
          <w:rFonts w:ascii="宋体" w:hAnsi="宋体" w:cs="宋体"/>
          <w:color w:val="auto"/>
          <w:sz w:val="24"/>
          <w:highlight w:val="none"/>
          <w:u w:val="dotted"/>
        </w:rPr>
      </w:pP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p>
    <w:p>
      <w:pPr>
        <w:spacing w:line="360" w:lineRule="auto"/>
        <w:rPr>
          <w:rFonts w:ascii="宋体" w:hAnsi="宋体" w:cs="宋体"/>
          <w:color w:val="auto"/>
          <w:sz w:val="24"/>
          <w:highlight w:val="none"/>
          <w:u w:val="dotted"/>
        </w:rPr>
      </w:pP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jc w:val="center"/>
        <w:rPr>
          <w:rFonts w:ascii="宋体" w:hAnsi="宋体" w:cs="宋体"/>
          <w:b/>
          <w:color w:val="auto"/>
          <w:spacing w:val="6"/>
          <w:sz w:val="32"/>
          <w:szCs w:val="32"/>
          <w:highlight w:val="none"/>
        </w:rPr>
      </w:pPr>
    </w:p>
    <w:p>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杭州市第三人民医院</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浙江国际招投标有限公司</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2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2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2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23"/>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24" w:name="_Hlk101133173"/>
      <w:r>
        <w:rPr>
          <w:rFonts w:hint="eastAsia" w:ascii="宋体" w:hAnsi="宋体" w:cs="宋体"/>
          <w:color w:val="auto"/>
          <w:sz w:val="24"/>
          <w:highlight w:val="none"/>
        </w:rPr>
        <w:t>中小企业合同金额达到%，其中小微企业合同金额达到%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24"/>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rPr>
          <w:color w:val="auto"/>
          <w:highlight w:val="none"/>
        </w:rPr>
      </w:pP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2、中小企业合同金额达到%，小微企业合同金额达到%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sz w:val="24"/>
          <w:highlight w:val="none"/>
        </w:rPr>
        <w:t>中小企业合同金额达到%，小微企业合同金额达到%</w:t>
      </w:r>
      <w:r>
        <w:rPr>
          <w:rFonts w:hint="eastAsia" w:ascii="宋体" w:hAnsi="宋体" w:cs="宋体"/>
          <w:color w:val="auto"/>
          <w:kern w:val="0"/>
          <w:sz w:val="24"/>
          <w:highlight w:val="none"/>
          <w:lang w:val="zh-CN"/>
        </w:rPr>
        <w:t xml:space="preserve">  。</w:t>
      </w:r>
    </w:p>
    <w:p>
      <w:pPr>
        <w:snapToGrid w:val="0"/>
        <w:spacing w:line="360" w:lineRule="auto"/>
        <w:ind w:left="5758" w:leftChars="342" w:hanging="5040" w:hangingChars="210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left="5758" w:leftChars="342" w:hanging="5040" w:hangingChars="2100"/>
        <w:rPr>
          <w:rFonts w:hint="eastAsia" w:ascii="宋体" w:hAnsi="宋体" w:cs="宋体"/>
          <w:color w:val="auto"/>
          <w:kern w:val="0"/>
          <w:sz w:val="24"/>
          <w:highlight w:val="none"/>
          <w:lang w:val="zh-CN"/>
        </w:rPr>
      </w:pP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left"/>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杭州市第三人民医院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2025医疗废弃物收运处置服务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2025医疗废弃物收运处置服务</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其他未列明行业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ascii="仿宋" w:hAnsi="仿宋" w:eastAsia="仿宋"/>
          <w:color w:val="auto"/>
          <w:sz w:val="24"/>
          <w:highlight w:val="none"/>
          <w:u w:val="single"/>
        </w:rPr>
        <w:t xml:space="preserve">  </w:t>
      </w:r>
      <w:r>
        <w:rPr>
          <w:rFonts w:hint="eastAsia" w:ascii="宋体" w:hAnsi="宋体" w:cs="宋体"/>
          <w:color w:val="auto"/>
          <w:sz w:val="24"/>
          <w:highlight w:val="none"/>
        </w:rPr>
        <w:t>人，营业收入为</w:t>
      </w:r>
      <w:r>
        <w:rPr>
          <w:rFonts w:ascii="仿宋" w:hAnsi="仿宋" w:eastAsia="仿宋"/>
          <w:color w:val="auto"/>
          <w:sz w:val="24"/>
          <w:highlight w:val="none"/>
          <w:u w:val="single"/>
        </w:rPr>
        <w:t xml:space="preserve">  </w:t>
      </w:r>
      <w:r>
        <w:rPr>
          <w:rFonts w:hint="eastAsia" w:ascii="宋体" w:hAnsi="宋体" w:cs="宋体"/>
          <w:color w:val="auto"/>
          <w:sz w:val="24"/>
          <w:highlight w:val="none"/>
        </w:rPr>
        <w:t>万元，资产总额为</w:t>
      </w:r>
      <w:r>
        <w:rPr>
          <w:rFonts w:ascii="仿宋" w:hAnsi="仿宋" w:eastAsia="仿宋"/>
          <w:color w:val="auto"/>
          <w:sz w:val="24"/>
          <w:highlight w:val="none"/>
          <w:u w:val="single"/>
        </w:rPr>
        <w:t xml:space="preserve">  </w:t>
      </w:r>
      <w:r>
        <w:rPr>
          <w:rFonts w:hint="eastAsia" w:ascii="宋体" w:hAnsi="宋体" w:cs="宋体"/>
          <w:color w:val="auto"/>
          <w:sz w:val="24"/>
          <w:highlight w:val="none"/>
        </w:rPr>
        <w:t>万元属于</w:t>
      </w:r>
      <w:r>
        <w:rPr>
          <w:rFonts w:ascii="仿宋" w:hAnsi="仿宋" w:eastAsia="仿宋"/>
          <w:color w:val="auto"/>
          <w:sz w:val="24"/>
          <w:highlight w:val="none"/>
          <w:u w:val="single"/>
        </w:rPr>
        <w:t xml:space="preserve">  </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16" w:type="first"/>
      <w:footerReference r:id="rId19" w:type="firs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杭州市政府采购公开招标文件</w:t>
    </w:r>
    <w:r>
      <w:rPr>
        <w:rFonts w:hint="eastAsia"/>
      </w:rPr>
      <w:t>(服务类)</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r>
      <w:rPr>
        <w:rFonts w:hint="eastAsia"/>
      </w:rPr>
      <w:t>(服务类)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b/>
        <w:i/>
        <w:u w:val="single"/>
      </w:rPr>
    </w:pPr>
    <w:r>
      <w:t>杭州市政府采购公开招标文件</w:t>
    </w:r>
    <w:r>
      <w:rPr>
        <w:rFonts w:hint="eastAsia"/>
      </w:rPr>
      <w:t>(服务类)</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杭州市政府采购公开招标文件</w:t>
    </w:r>
    <w:r>
      <w:rPr>
        <w:rFonts w:hint="eastAsia"/>
      </w:rPr>
      <w:t>(服务类)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hYzg4ZDkyN2UxZWZiYzk3Y2M2Mjk1OWU3ODdhOGIifQ=="/>
    <w:docVar w:name="KSO_WPS_MARK_KEY" w:val="4c3c828c-e48d-4549-acf7-1afa01bb4744"/>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5D9"/>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D9D"/>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2DF6"/>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683"/>
    <w:rsid w:val="003B0A3A"/>
    <w:rsid w:val="003B0D79"/>
    <w:rsid w:val="003B2930"/>
    <w:rsid w:val="003B31A7"/>
    <w:rsid w:val="003B3BA0"/>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401"/>
    <w:rsid w:val="005864FD"/>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A98"/>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43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644B"/>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B7B59"/>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24FE"/>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97D30"/>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497"/>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8C9"/>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3"/>
    <w:rsid w:val="00DE2073"/>
    <w:rsid w:val="00DE30AC"/>
    <w:rsid w:val="00DE38D1"/>
    <w:rsid w:val="00DE3995"/>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33E9B"/>
    <w:rsid w:val="018D0F17"/>
    <w:rsid w:val="019F7441"/>
    <w:rsid w:val="01B37585"/>
    <w:rsid w:val="01CC1A40"/>
    <w:rsid w:val="01D17056"/>
    <w:rsid w:val="01D55165"/>
    <w:rsid w:val="01DF6BF8"/>
    <w:rsid w:val="01EC2C57"/>
    <w:rsid w:val="025F0711"/>
    <w:rsid w:val="026B2E25"/>
    <w:rsid w:val="02824D4D"/>
    <w:rsid w:val="02873BB9"/>
    <w:rsid w:val="02924A37"/>
    <w:rsid w:val="02BF15A4"/>
    <w:rsid w:val="02C848FD"/>
    <w:rsid w:val="02DC4B10"/>
    <w:rsid w:val="02DD76CE"/>
    <w:rsid w:val="02F36323"/>
    <w:rsid w:val="02F5619C"/>
    <w:rsid w:val="02F92D08"/>
    <w:rsid w:val="031F3DF1"/>
    <w:rsid w:val="0326446A"/>
    <w:rsid w:val="032D5555"/>
    <w:rsid w:val="036634D2"/>
    <w:rsid w:val="037B196F"/>
    <w:rsid w:val="03DD35E4"/>
    <w:rsid w:val="04076900"/>
    <w:rsid w:val="041A5A3B"/>
    <w:rsid w:val="042311BA"/>
    <w:rsid w:val="042B157A"/>
    <w:rsid w:val="048F763B"/>
    <w:rsid w:val="049A7BD3"/>
    <w:rsid w:val="049F330E"/>
    <w:rsid w:val="04AA775C"/>
    <w:rsid w:val="04AF1889"/>
    <w:rsid w:val="04C64E6C"/>
    <w:rsid w:val="04D550AF"/>
    <w:rsid w:val="04F66F48"/>
    <w:rsid w:val="05251E14"/>
    <w:rsid w:val="052D4EEB"/>
    <w:rsid w:val="05656233"/>
    <w:rsid w:val="05720B50"/>
    <w:rsid w:val="05A16594"/>
    <w:rsid w:val="05A7762D"/>
    <w:rsid w:val="05BB42A5"/>
    <w:rsid w:val="05BE5B43"/>
    <w:rsid w:val="05C23886"/>
    <w:rsid w:val="05E7509A"/>
    <w:rsid w:val="05ED6429"/>
    <w:rsid w:val="060E5941"/>
    <w:rsid w:val="06110FAF"/>
    <w:rsid w:val="06493CA7"/>
    <w:rsid w:val="065A6178"/>
    <w:rsid w:val="066F1CF3"/>
    <w:rsid w:val="06894493"/>
    <w:rsid w:val="06930BB8"/>
    <w:rsid w:val="06954AF6"/>
    <w:rsid w:val="06A66D03"/>
    <w:rsid w:val="06A905A2"/>
    <w:rsid w:val="07245D42"/>
    <w:rsid w:val="07264C62"/>
    <w:rsid w:val="07350087"/>
    <w:rsid w:val="074B78AB"/>
    <w:rsid w:val="0779354C"/>
    <w:rsid w:val="07911761"/>
    <w:rsid w:val="07A5520D"/>
    <w:rsid w:val="08055CAB"/>
    <w:rsid w:val="08061376"/>
    <w:rsid w:val="080D4B60"/>
    <w:rsid w:val="083640B7"/>
    <w:rsid w:val="08452D77"/>
    <w:rsid w:val="086401F8"/>
    <w:rsid w:val="08751CAA"/>
    <w:rsid w:val="087E4C40"/>
    <w:rsid w:val="08A871D0"/>
    <w:rsid w:val="08B651F8"/>
    <w:rsid w:val="08D00067"/>
    <w:rsid w:val="08D66AD6"/>
    <w:rsid w:val="08DA33A3"/>
    <w:rsid w:val="08DF64FD"/>
    <w:rsid w:val="08E80F13"/>
    <w:rsid w:val="08F63846"/>
    <w:rsid w:val="08FD2E27"/>
    <w:rsid w:val="0922463B"/>
    <w:rsid w:val="09335624"/>
    <w:rsid w:val="093F6F9B"/>
    <w:rsid w:val="0944690F"/>
    <w:rsid w:val="09532A47"/>
    <w:rsid w:val="09535675"/>
    <w:rsid w:val="095F057D"/>
    <w:rsid w:val="09642282"/>
    <w:rsid w:val="09733572"/>
    <w:rsid w:val="09772C16"/>
    <w:rsid w:val="097906FF"/>
    <w:rsid w:val="098353B5"/>
    <w:rsid w:val="09A3577C"/>
    <w:rsid w:val="09A92330"/>
    <w:rsid w:val="09B06B87"/>
    <w:rsid w:val="09C13146"/>
    <w:rsid w:val="09E04166"/>
    <w:rsid w:val="0A1C0718"/>
    <w:rsid w:val="0A3E7710"/>
    <w:rsid w:val="0A40121D"/>
    <w:rsid w:val="0A4E70E3"/>
    <w:rsid w:val="0A5B7E63"/>
    <w:rsid w:val="0AA07B41"/>
    <w:rsid w:val="0AA374A5"/>
    <w:rsid w:val="0AAB7649"/>
    <w:rsid w:val="0ABC5606"/>
    <w:rsid w:val="0AFA761E"/>
    <w:rsid w:val="0B100BEF"/>
    <w:rsid w:val="0B30404E"/>
    <w:rsid w:val="0B4C6C14"/>
    <w:rsid w:val="0B521208"/>
    <w:rsid w:val="0B547599"/>
    <w:rsid w:val="0B631A88"/>
    <w:rsid w:val="0B662F05"/>
    <w:rsid w:val="0B683D45"/>
    <w:rsid w:val="0B7F3F11"/>
    <w:rsid w:val="0B884417"/>
    <w:rsid w:val="0BB84DE3"/>
    <w:rsid w:val="0BBA6DAD"/>
    <w:rsid w:val="0BD25EA5"/>
    <w:rsid w:val="0BF6188C"/>
    <w:rsid w:val="0BF73C91"/>
    <w:rsid w:val="0C006EB6"/>
    <w:rsid w:val="0C05627A"/>
    <w:rsid w:val="0C170175"/>
    <w:rsid w:val="0C1C1816"/>
    <w:rsid w:val="0C2B1A59"/>
    <w:rsid w:val="0C3703FE"/>
    <w:rsid w:val="0C571A41"/>
    <w:rsid w:val="0C590374"/>
    <w:rsid w:val="0C5C1171"/>
    <w:rsid w:val="0C5E1CBC"/>
    <w:rsid w:val="0C615B50"/>
    <w:rsid w:val="0C8445DA"/>
    <w:rsid w:val="0C87121B"/>
    <w:rsid w:val="0C963376"/>
    <w:rsid w:val="0C971A52"/>
    <w:rsid w:val="0CC007F7"/>
    <w:rsid w:val="0CC617AC"/>
    <w:rsid w:val="0CE618DF"/>
    <w:rsid w:val="0CFA3905"/>
    <w:rsid w:val="0CFE707A"/>
    <w:rsid w:val="0D0429D6"/>
    <w:rsid w:val="0D063BDA"/>
    <w:rsid w:val="0D08375F"/>
    <w:rsid w:val="0D184CFB"/>
    <w:rsid w:val="0D1D5845"/>
    <w:rsid w:val="0D4234FE"/>
    <w:rsid w:val="0D4A7419"/>
    <w:rsid w:val="0D7C256C"/>
    <w:rsid w:val="0D7E4BE0"/>
    <w:rsid w:val="0D827401"/>
    <w:rsid w:val="0D84094E"/>
    <w:rsid w:val="0D8A00E9"/>
    <w:rsid w:val="0D8D589E"/>
    <w:rsid w:val="0D9A0C44"/>
    <w:rsid w:val="0DA01C73"/>
    <w:rsid w:val="0DD63300"/>
    <w:rsid w:val="0DF50604"/>
    <w:rsid w:val="0DF702FE"/>
    <w:rsid w:val="0E060E51"/>
    <w:rsid w:val="0E455054"/>
    <w:rsid w:val="0E552DBD"/>
    <w:rsid w:val="0E5604B2"/>
    <w:rsid w:val="0E664FCA"/>
    <w:rsid w:val="0E67321C"/>
    <w:rsid w:val="0E6D5D79"/>
    <w:rsid w:val="0E6F2699"/>
    <w:rsid w:val="0E7616B1"/>
    <w:rsid w:val="0E9D0089"/>
    <w:rsid w:val="0EB803EE"/>
    <w:rsid w:val="0EBF4348"/>
    <w:rsid w:val="0EEE7499"/>
    <w:rsid w:val="0EF34AB0"/>
    <w:rsid w:val="0EF94D4B"/>
    <w:rsid w:val="0F1669F0"/>
    <w:rsid w:val="0F3D21CF"/>
    <w:rsid w:val="0F4958DC"/>
    <w:rsid w:val="0F515DF7"/>
    <w:rsid w:val="0F596BA8"/>
    <w:rsid w:val="0F5F3EF3"/>
    <w:rsid w:val="0F6248D2"/>
    <w:rsid w:val="0F693536"/>
    <w:rsid w:val="0F6E2388"/>
    <w:rsid w:val="0F786D63"/>
    <w:rsid w:val="0F7B0511"/>
    <w:rsid w:val="0F7B76D9"/>
    <w:rsid w:val="0F816ACD"/>
    <w:rsid w:val="0F9832DB"/>
    <w:rsid w:val="0F9F0794"/>
    <w:rsid w:val="0FA91612"/>
    <w:rsid w:val="0FBF3FD2"/>
    <w:rsid w:val="0FBF7FF3"/>
    <w:rsid w:val="0FD22917"/>
    <w:rsid w:val="0FF00FEF"/>
    <w:rsid w:val="100920B1"/>
    <w:rsid w:val="100F5919"/>
    <w:rsid w:val="10240C99"/>
    <w:rsid w:val="10463305"/>
    <w:rsid w:val="104A6951"/>
    <w:rsid w:val="10646583"/>
    <w:rsid w:val="107D4B15"/>
    <w:rsid w:val="108A3C80"/>
    <w:rsid w:val="108D4A90"/>
    <w:rsid w:val="10C26171"/>
    <w:rsid w:val="10F33360"/>
    <w:rsid w:val="10FC16EA"/>
    <w:rsid w:val="110F1D40"/>
    <w:rsid w:val="11266F33"/>
    <w:rsid w:val="11567578"/>
    <w:rsid w:val="118963A1"/>
    <w:rsid w:val="119836EC"/>
    <w:rsid w:val="11C6522A"/>
    <w:rsid w:val="11CB3AC2"/>
    <w:rsid w:val="11DD37F5"/>
    <w:rsid w:val="11E104CC"/>
    <w:rsid w:val="11E20309"/>
    <w:rsid w:val="121E0096"/>
    <w:rsid w:val="12255233"/>
    <w:rsid w:val="123E4294"/>
    <w:rsid w:val="12530213"/>
    <w:rsid w:val="127723A9"/>
    <w:rsid w:val="12862074"/>
    <w:rsid w:val="12883966"/>
    <w:rsid w:val="12900868"/>
    <w:rsid w:val="129E45B4"/>
    <w:rsid w:val="12B502CE"/>
    <w:rsid w:val="12C329EB"/>
    <w:rsid w:val="12D270D2"/>
    <w:rsid w:val="12D544CC"/>
    <w:rsid w:val="12D81596"/>
    <w:rsid w:val="13072A44"/>
    <w:rsid w:val="132A2A6A"/>
    <w:rsid w:val="135A334F"/>
    <w:rsid w:val="135F4BE2"/>
    <w:rsid w:val="13655850"/>
    <w:rsid w:val="13765CAF"/>
    <w:rsid w:val="139B1A0A"/>
    <w:rsid w:val="139D25C7"/>
    <w:rsid w:val="13BF3CE4"/>
    <w:rsid w:val="13CE750E"/>
    <w:rsid w:val="141008D8"/>
    <w:rsid w:val="14125FE6"/>
    <w:rsid w:val="143F0797"/>
    <w:rsid w:val="146D271E"/>
    <w:rsid w:val="14982588"/>
    <w:rsid w:val="149A5AD9"/>
    <w:rsid w:val="14A7619D"/>
    <w:rsid w:val="150536C3"/>
    <w:rsid w:val="15080B89"/>
    <w:rsid w:val="150C1963"/>
    <w:rsid w:val="151447A0"/>
    <w:rsid w:val="153C6A85"/>
    <w:rsid w:val="154A6454"/>
    <w:rsid w:val="154C4F1A"/>
    <w:rsid w:val="15602773"/>
    <w:rsid w:val="15762120"/>
    <w:rsid w:val="15787ABD"/>
    <w:rsid w:val="15B61EEF"/>
    <w:rsid w:val="15DA2525"/>
    <w:rsid w:val="15E45152"/>
    <w:rsid w:val="15F555B1"/>
    <w:rsid w:val="15F81224"/>
    <w:rsid w:val="16111CBF"/>
    <w:rsid w:val="16322361"/>
    <w:rsid w:val="164D0F49"/>
    <w:rsid w:val="165C118C"/>
    <w:rsid w:val="167E55A7"/>
    <w:rsid w:val="16A11295"/>
    <w:rsid w:val="16A8729C"/>
    <w:rsid w:val="16B33777"/>
    <w:rsid w:val="16BC70A7"/>
    <w:rsid w:val="16C6339E"/>
    <w:rsid w:val="16D72F09"/>
    <w:rsid w:val="16DC051F"/>
    <w:rsid w:val="16E66CA8"/>
    <w:rsid w:val="17147CB9"/>
    <w:rsid w:val="17163A31"/>
    <w:rsid w:val="172F2D79"/>
    <w:rsid w:val="172F68A1"/>
    <w:rsid w:val="17557BEF"/>
    <w:rsid w:val="17D349C1"/>
    <w:rsid w:val="17F92A0B"/>
    <w:rsid w:val="17FB6783"/>
    <w:rsid w:val="1830729E"/>
    <w:rsid w:val="1870062C"/>
    <w:rsid w:val="18817102"/>
    <w:rsid w:val="18830A15"/>
    <w:rsid w:val="18852B28"/>
    <w:rsid w:val="188B5321"/>
    <w:rsid w:val="192B5601"/>
    <w:rsid w:val="19687E48"/>
    <w:rsid w:val="197113F3"/>
    <w:rsid w:val="19932372"/>
    <w:rsid w:val="199D3F96"/>
    <w:rsid w:val="19A20DD5"/>
    <w:rsid w:val="19AE03F1"/>
    <w:rsid w:val="19B27315"/>
    <w:rsid w:val="19D674A8"/>
    <w:rsid w:val="1A071A03"/>
    <w:rsid w:val="1A0F6516"/>
    <w:rsid w:val="1A1F16AE"/>
    <w:rsid w:val="1A22449B"/>
    <w:rsid w:val="1A3B5C77"/>
    <w:rsid w:val="1A9133CF"/>
    <w:rsid w:val="1A984BAD"/>
    <w:rsid w:val="1AB8220E"/>
    <w:rsid w:val="1AE4166C"/>
    <w:rsid w:val="1AF06CFB"/>
    <w:rsid w:val="1AF11B8D"/>
    <w:rsid w:val="1B11359C"/>
    <w:rsid w:val="1B2A271F"/>
    <w:rsid w:val="1B530544"/>
    <w:rsid w:val="1B6D7998"/>
    <w:rsid w:val="1B713184"/>
    <w:rsid w:val="1B860A5A"/>
    <w:rsid w:val="1BA209CF"/>
    <w:rsid w:val="1BAC6712"/>
    <w:rsid w:val="1BB4777D"/>
    <w:rsid w:val="1BD75AB8"/>
    <w:rsid w:val="1BE35EAC"/>
    <w:rsid w:val="1C0459C2"/>
    <w:rsid w:val="1C1B3B4A"/>
    <w:rsid w:val="1C250273"/>
    <w:rsid w:val="1C2D0CA1"/>
    <w:rsid w:val="1C2F4C4D"/>
    <w:rsid w:val="1C4701E9"/>
    <w:rsid w:val="1C88086E"/>
    <w:rsid w:val="1D04257E"/>
    <w:rsid w:val="1D1502E7"/>
    <w:rsid w:val="1D1C3424"/>
    <w:rsid w:val="1D266CE1"/>
    <w:rsid w:val="1D2D5631"/>
    <w:rsid w:val="1D3963AF"/>
    <w:rsid w:val="1D552DD9"/>
    <w:rsid w:val="1D6A673C"/>
    <w:rsid w:val="1D7F39B2"/>
    <w:rsid w:val="1D9247AE"/>
    <w:rsid w:val="1DB567EC"/>
    <w:rsid w:val="1DF51A98"/>
    <w:rsid w:val="1E2C3B3A"/>
    <w:rsid w:val="1E3D060F"/>
    <w:rsid w:val="1E3F7D2E"/>
    <w:rsid w:val="1E4134E4"/>
    <w:rsid w:val="1E5062B3"/>
    <w:rsid w:val="1E523514"/>
    <w:rsid w:val="1E714A66"/>
    <w:rsid w:val="1E802593"/>
    <w:rsid w:val="1E851A71"/>
    <w:rsid w:val="1E894AE9"/>
    <w:rsid w:val="1E8B6156"/>
    <w:rsid w:val="1EA703CC"/>
    <w:rsid w:val="1EB117A8"/>
    <w:rsid w:val="1EB7330C"/>
    <w:rsid w:val="1F022AED"/>
    <w:rsid w:val="1F0A0FF3"/>
    <w:rsid w:val="1F464788"/>
    <w:rsid w:val="1F4849A4"/>
    <w:rsid w:val="1F5771FF"/>
    <w:rsid w:val="1F772570"/>
    <w:rsid w:val="1F7A2683"/>
    <w:rsid w:val="1FAD2A59"/>
    <w:rsid w:val="1FBE07C2"/>
    <w:rsid w:val="1FD52DD5"/>
    <w:rsid w:val="1FE868A9"/>
    <w:rsid w:val="1FFE1506"/>
    <w:rsid w:val="20034907"/>
    <w:rsid w:val="20173E4B"/>
    <w:rsid w:val="201900EE"/>
    <w:rsid w:val="20256A93"/>
    <w:rsid w:val="203211B0"/>
    <w:rsid w:val="204E48BC"/>
    <w:rsid w:val="204F3B10"/>
    <w:rsid w:val="20511721"/>
    <w:rsid w:val="20713A86"/>
    <w:rsid w:val="208921B3"/>
    <w:rsid w:val="20973DEB"/>
    <w:rsid w:val="20B26522"/>
    <w:rsid w:val="20B44310"/>
    <w:rsid w:val="20C938C2"/>
    <w:rsid w:val="211116EB"/>
    <w:rsid w:val="215D225D"/>
    <w:rsid w:val="216133FC"/>
    <w:rsid w:val="21635AC5"/>
    <w:rsid w:val="217575A6"/>
    <w:rsid w:val="217F21D3"/>
    <w:rsid w:val="21867A08"/>
    <w:rsid w:val="21A97250"/>
    <w:rsid w:val="21BC3427"/>
    <w:rsid w:val="21D56769"/>
    <w:rsid w:val="21E52EF3"/>
    <w:rsid w:val="21FB5D7B"/>
    <w:rsid w:val="22015E94"/>
    <w:rsid w:val="220B1C3D"/>
    <w:rsid w:val="221D1D20"/>
    <w:rsid w:val="222A0391"/>
    <w:rsid w:val="22334A87"/>
    <w:rsid w:val="22631AF5"/>
    <w:rsid w:val="226D06CE"/>
    <w:rsid w:val="22934188"/>
    <w:rsid w:val="22BE6801"/>
    <w:rsid w:val="231F3C6E"/>
    <w:rsid w:val="233500BF"/>
    <w:rsid w:val="23377FF7"/>
    <w:rsid w:val="233A0AA7"/>
    <w:rsid w:val="23563407"/>
    <w:rsid w:val="23690370"/>
    <w:rsid w:val="236B425F"/>
    <w:rsid w:val="23836192"/>
    <w:rsid w:val="238C0BD7"/>
    <w:rsid w:val="23901F29"/>
    <w:rsid w:val="239C0061"/>
    <w:rsid w:val="23B908A4"/>
    <w:rsid w:val="23E95BEF"/>
    <w:rsid w:val="23FD0064"/>
    <w:rsid w:val="245375B0"/>
    <w:rsid w:val="24642C0A"/>
    <w:rsid w:val="248A5117"/>
    <w:rsid w:val="24B22173"/>
    <w:rsid w:val="24B95AD9"/>
    <w:rsid w:val="24BE24DA"/>
    <w:rsid w:val="24CF5825"/>
    <w:rsid w:val="24D663E6"/>
    <w:rsid w:val="24D77F2B"/>
    <w:rsid w:val="24E707BB"/>
    <w:rsid w:val="251D5F8B"/>
    <w:rsid w:val="253D487F"/>
    <w:rsid w:val="256911D0"/>
    <w:rsid w:val="258B00E2"/>
    <w:rsid w:val="25A917A6"/>
    <w:rsid w:val="25BE27CC"/>
    <w:rsid w:val="25D54702"/>
    <w:rsid w:val="25E97009"/>
    <w:rsid w:val="25F74A5C"/>
    <w:rsid w:val="2628662C"/>
    <w:rsid w:val="262D45DE"/>
    <w:rsid w:val="264A1001"/>
    <w:rsid w:val="26871DC8"/>
    <w:rsid w:val="26976211"/>
    <w:rsid w:val="26A53EF9"/>
    <w:rsid w:val="26A94201"/>
    <w:rsid w:val="26AC274F"/>
    <w:rsid w:val="27044A29"/>
    <w:rsid w:val="27054F28"/>
    <w:rsid w:val="270A69E3"/>
    <w:rsid w:val="271B299E"/>
    <w:rsid w:val="271D34C8"/>
    <w:rsid w:val="274A5031"/>
    <w:rsid w:val="275B723E"/>
    <w:rsid w:val="276142BF"/>
    <w:rsid w:val="27651E6B"/>
    <w:rsid w:val="27734588"/>
    <w:rsid w:val="27783712"/>
    <w:rsid w:val="27907362"/>
    <w:rsid w:val="27CB43C4"/>
    <w:rsid w:val="27F05BD9"/>
    <w:rsid w:val="28333E1D"/>
    <w:rsid w:val="28454BD6"/>
    <w:rsid w:val="28455253"/>
    <w:rsid w:val="28551971"/>
    <w:rsid w:val="285717B4"/>
    <w:rsid w:val="285B1C53"/>
    <w:rsid w:val="289F7086"/>
    <w:rsid w:val="28A95D87"/>
    <w:rsid w:val="28B05368"/>
    <w:rsid w:val="28C32028"/>
    <w:rsid w:val="28CC490F"/>
    <w:rsid w:val="28DE0127"/>
    <w:rsid w:val="28DE40AA"/>
    <w:rsid w:val="28E84B02"/>
    <w:rsid w:val="29257B04"/>
    <w:rsid w:val="29345E77"/>
    <w:rsid w:val="294C65AD"/>
    <w:rsid w:val="296C74E1"/>
    <w:rsid w:val="29806583"/>
    <w:rsid w:val="298B3C4C"/>
    <w:rsid w:val="29CA4207"/>
    <w:rsid w:val="29F26D24"/>
    <w:rsid w:val="29FB2613"/>
    <w:rsid w:val="2A15033F"/>
    <w:rsid w:val="2A1662C1"/>
    <w:rsid w:val="2A1C7367"/>
    <w:rsid w:val="2A2815FA"/>
    <w:rsid w:val="2A314286"/>
    <w:rsid w:val="2A41271B"/>
    <w:rsid w:val="2A6D6092"/>
    <w:rsid w:val="2A704DAF"/>
    <w:rsid w:val="2A7D76B4"/>
    <w:rsid w:val="2A8940C2"/>
    <w:rsid w:val="2AA607D0"/>
    <w:rsid w:val="2AAF1D7B"/>
    <w:rsid w:val="2AEF03C9"/>
    <w:rsid w:val="2AF05EF0"/>
    <w:rsid w:val="2B437463"/>
    <w:rsid w:val="2B4C75CA"/>
    <w:rsid w:val="2B51698E"/>
    <w:rsid w:val="2B7807EE"/>
    <w:rsid w:val="2B8C5C18"/>
    <w:rsid w:val="2B9B40AD"/>
    <w:rsid w:val="2BA50BF7"/>
    <w:rsid w:val="2BA967CA"/>
    <w:rsid w:val="2BBF00EC"/>
    <w:rsid w:val="2BC01D66"/>
    <w:rsid w:val="2BC37CFD"/>
    <w:rsid w:val="2BD1187D"/>
    <w:rsid w:val="2BD5237F"/>
    <w:rsid w:val="2BE536CE"/>
    <w:rsid w:val="2BE758D9"/>
    <w:rsid w:val="2C09049E"/>
    <w:rsid w:val="2C0A653C"/>
    <w:rsid w:val="2C191F85"/>
    <w:rsid w:val="2C4C53A8"/>
    <w:rsid w:val="2C583D4C"/>
    <w:rsid w:val="2CC66F08"/>
    <w:rsid w:val="2CE82D6F"/>
    <w:rsid w:val="2CF021D7"/>
    <w:rsid w:val="2D0F6B01"/>
    <w:rsid w:val="2D343236"/>
    <w:rsid w:val="2D524C40"/>
    <w:rsid w:val="2D856DC3"/>
    <w:rsid w:val="2DD15014"/>
    <w:rsid w:val="2DF72DE4"/>
    <w:rsid w:val="2E0220AF"/>
    <w:rsid w:val="2E4B082A"/>
    <w:rsid w:val="2E5D4E86"/>
    <w:rsid w:val="2E5D790B"/>
    <w:rsid w:val="2E692241"/>
    <w:rsid w:val="2E9A3C18"/>
    <w:rsid w:val="2E9C43C4"/>
    <w:rsid w:val="2EBB0FEE"/>
    <w:rsid w:val="2EC61441"/>
    <w:rsid w:val="2EC63002"/>
    <w:rsid w:val="2F0A6B38"/>
    <w:rsid w:val="2F1706C1"/>
    <w:rsid w:val="2F2F348A"/>
    <w:rsid w:val="2F430CE4"/>
    <w:rsid w:val="2F946CCB"/>
    <w:rsid w:val="2F950E14"/>
    <w:rsid w:val="2FC040E2"/>
    <w:rsid w:val="2FD25781"/>
    <w:rsid w:val="2FDC745C"/>
    <w:rsid w:val="2FE14059"/>
    <w:rsid w:val="2FFD7934"/>
    <w:rsid w:val="30077F63"/>
    <w:rsid w:val="301461DC"/>
    <w:rsid w:val="302428C3"/>
    <w:rsid w:val="30733ACD"/>
    <w:rsid w:val="308C3862"/>
    <w:rsid w:val="309379D8"/>
    <w:rsid w:val="30A270F7"/>
    <w:rsid w:val="30AB4D93"/>
    <w:rsid w:val="30AB6B41"/>
    <w:rsid w:val="30C145B6"/>
    <w:rsid w:val="30CE6CD3"/>
    <w:rsid w:val="30D342E9"/>
    <w:rsid w:val="30DF1478"/>
    <w:rsid w:val="30EC586F"/>
    <w:rsid w:val="30FD4EC2"/>
    <w:rsid w:val="310402C4"/>
    <w:rsid w:val="314550B7"/>
    <w:rsid w:val="31750EFD"/>
    <w:rsid w:val="31945827"/>
    <w:rsid w:val="319B6BB5"/>
    <w:rsid w:val="319C6071"/>
    <w:rsid w:val="31AC537E"/>
    <w:rsid w:val="31D9592F"/>
    <w:rsid w:val="31DB7B18"/>
    <w:rsid w:val="31E3679B"/>
    <w:rsid w:val="31E732FD"/>
    <w:rsid w:val="31EA10C3"/>
    <w:rsid w:val="31FE7144"/>
    <w:rsid w:val="32517576"/>
    <w:rsid w:val="329B2BE5"/>
    <w:rsid w:val="32A7158A"/>
    <w:rsid w:val="32BE5C2C"/>
    <w:rsid w:val="32FB6478"/>
    <w:rsid w:val="33024A12"/>
    <w:rsid w:val="331C63CE"/>
    <w:rsid w:val="33263B3F"/>
    <w:rsid w:val="33482BB8"/>
    <w:rsid w:val="336963EB"/>
    <w:rsid w:val="33792F26"/>
    <w:rsid w:val="33816EEB"/>
    <w:rsid w:val="33B26438"/>
    <w:rsid w:val="33B57CD6"/>
    <w:rsid w:val="33E81E5A"/>
    <w:rsid w:val="33EB55CD"/>
    <w:rsid w:val="33EC4C02"/>
    <w:rsid w:val="33F7209D"/>
    <w:rsid w:val="340622E0"/>
    <w:rsid w:val="340D2360"/>
    <w:rsid w:val="3410665D"/>
    <w:rsid w:val="34211214"/>
    <w:rsid w:val="342E63AB"/>
    <w:rsid w:val="343E1A7A"/>
    <w:rsid w:val="346516FC"/>
    <w:rsid w:val="34950E68"/>
    <w:rsid w:val="34986E94"/>
    <w:rsid w:val="34AF62C9"/>
    <w:rsid w:val="34CB4388"/>
    <w:rsid w:val="34DA79F4"/>
    <w:rsid w:val="34F52A80"/>
    <w:rsid w:val="34FA6E12"/>
    <w:rsid w:val="350031D3"/>
    <w:rsid w:val="35156C7E"/>
    <w:rsid w:val="351D3D85"/>
    <w:rsid w:val="354D7158"/>
    <w:rsid w:val="3554290A"/>
    <w:rsid w:val="356E2833"/>
    <w:rsid w:val="358D2CB9"/>
    <w:rsid w:val="358D5588"/>
    <w:rsid w:val="359C114E"/>
    <w:rsid w:val="35E2382D"/>
    <w:rsid w:val="362C0724"/>
    <w:rsid w:val="362F3D70"/>
    <w:rsid w:val="363A3B40"/>
    <w:rsid w:val="365302AE"/>
    <w:rsid w:val="36607A0A"/>
    <w:rsid w:val="366E227C"/>
    <w:rsid w:val="366F2E0D"/>
    <w:rsid w:val="367B6A5C"/>
    <w:rsid w:val="36910587"/>
    <w:rsid w:val="369E2CA4"/>
    <w:rsid w:val="36A4650C"/>
    <w:rsid w:val="36A74ADA"/>
    <w:rsid w:val="36AD60D5"/>
    <w:rsid w:val="36B224F9"/>
    <w:rsid w:val="36B44275"/>
    <w:rsid w:val="36EC0CC9"/>
    <w:rsid w:val="373B6744"/>
    <w:rsid w:val="373F410B"/>
    <w:rsid w:val="37445638"/>
    <w:rsid w:val="37564758"/>
    <w:rsid w:val="375F68D7"/>
    <w:rsid w:val="377063EE"/>
    <w:rsid w:val="37773C20"/>
    <w:rsid w:val="377A726D"/>
    <w:rsid w:val="37887BDC"/>
    <w:rsid w:val="37895702"/>
    <w:rsid w:val="37C14E9C"/>
    <w:rsid w:val="37D1318E"/>
    <w:rsid w:val="37EE7094"/>
    <w:rsid w:val="38296C89"/>
    <w:rsid w:val="383002EB"/>
    <w:rsid w:val="38586797"/>
    <w:rsid w:val="385E6B8E"/>
    <w:rsid w:val="386019F6"/>
    <w:rsid w:val="38BC0149"/>
    <w:rsid w:val="38C764E2"/>
    <w:rsid w:val="38D87D1C"/>
    <w:rsid w:val="3938118D"/>
    <w:rsid w:val="394A2C6F"/>
    <w:rsid w:val="39636459"/>
    <w:rsid w:val="396B7F6C"/>
    <w:rsid w:val="39AD3929"/>
    <w:rsid w:val="39B417A9"/>
    <w:rsid w:val="39FC5695"/>
    <w:rsid w:val="3A006D8E"/>
    <w:rsid w:val="3A3651E5"/>
    <w:rsid w:val="3A573895"/>
    <w:rsid w:val="3A5C534F"/>
    <w:rsid w:val="3A744481"/>
    <w:rsid w:val="3A8C7BEF"/>
    <w:rsid w:val="3A906246"/>
    <w:rsid w:val="3AF15A98"/>
    <w:rsid w:val="3AF7180A"/>
    <w:rsid w:val="3B1D063B"/>
    <w:rsid w:val="3B1E43B3"/>
    <w:rsid w:val="3B2349B7"/>
    <w:rsid w:val="3B5D312D"/>
    <w:rsid w:val="3B616CFF"/>
    <w:rsid w:val="3B6259F6"/>
    <w:rsid w:val="3B8E1539"/>
    <w:rsid w:val="3B976654"/>
    <w:rsid w:val="3BC01EFC"/>
    <w:rsid w:val="3BC65F1E"/>
    <w:rsid w:val="3BCA786A"/>
    <w:rsid w:val="3BD31E2F"/>
    <w:rsid w:val="3BF15831"/>
    <w:rsid w:val="3C105946"/>
    <w:rsid w:val="3C430575"/>
    <w:rsid w:val="3C432323"/>
    <w:rsid w:val="3C471448"/>
    <w:rsid w:val="3C577B7C"/>
    <w:rsid w:val="3C5F759A"/>
    <w:rsid w:val="3C6C525A"/>
    <w:rsid w:val="3C877579"/>
    <w:rsid w:val="3C8841DA"/>
    <w:rsid w:val="3CCE23CB"/>
    <w:rsid w:val="3CD17D17"/>
    <w:rsid w:val="3CE358B4"/>
    <w:rsid w:val="3D127F47"/>
    <w:rsid w:val="3D3C7F39"/>
    <w:rsid w:val="3D440F09"/>
    <w:rsid w:val="3D4504A0"/>
    <w:rsid w:val="3D8734BB"/>
    <w:rsid w:val="3D9A11D4"/>
    <w:rsid w:val="3DA16D89"/>
    <w:rsid w:val="3DA364BE"/>
    <w:rsid w:val="3DE041CB"/>
    <w:rsid w:val="3E0D48F6"/>
    <w:rsid w:val="3E1868B4"/>
    <w:rsid w:val="3E23240C"/>
    <w:rsid w:val="3E247F32"/>
    <w:rsid w:val="3E377251"/>
    <w:rsid w:val="3E42664B"/>
    <w:rsid w:val="3E5A7334"/>
    <w:rsid w:val="3E7B5D6B"/>
    <w:rsid w:val="3E843E66"/>
    <w:rsid w:val="3E8F51FE"/>
    <w:rsid w:val="3E926F87"/>
    <w:rsid w:val="3E9A59DE"/>
    <w:rsid w:val="3EA5765F"/>
    <w:rsid w:val="3EAF4836"/>
    <w:rsid w:val="3EC33DFA"/>
    <w:rsid w:val="3EC3599D"/>
    <w:rsid w:val="3ED03C16"/>
    <w:rsid w:val="3EF3324B"/>
    <w:rsid w:val="3F060E16"/>
    <w:rsid w:val="3F1C6E5B"/>
    <w:rsid w:val="3F1D1096"/>
    <w:rsid w:val="3F2F0234"/>
    <w:rsid w:val="3F397A0D"/>
    <w:rsid w:val="3F4940F4"/>
    <w:rsid w:val="3F6363FE"/>
    <w:rsid w:val="3F756B8F"/>
    <w:rsid w:val="3F95482B"/>
    <w:rsid w:val="3FC80D62"/>
    <w:rsid w:val="3FFB4CC3"/>
    <w:rsid w:val="400973E0"/>
    <w:rsid w:val="4019356B"/>
    <w:rsid w:val="402C1320"/>
    <w:rsid w:val="4047615A"/>
    <w:rsid w:val="40493C80"/>
    <w:rsid w:val="404B17A6"/>
    <w:rsid w:val="40550877"/>
    <w:rsid w:val="40592157"/>
    <w:rsid w:val="406E1CAE"/>
    <w:rsid w:val="407231D7"/>
    <w:rsid w:val="40A0133A"/>
    <w:rsid w:val="40C31A53"/>
    <w:rsid w:val="40DE6ABE"/>
    <w:rsid w:val="40E65973"/>
    <w:rsid w:val="40FF545D"/>
    <w:rsid w:val="410067C8"/>
    <w:rsid w:val="41272213"/>
    <w:rsid w:val="418F0D2A"/>
    <w:rsid w:val="419378A9"/>
    <w:rsid w:val="41AE46E3"/>
    <w:rsid w:val="41B65345"/>
    <w:rsid w:val="41D01505"/>
    <w:rsid w:val="41F30347"/>
    <w:rsid w:val="41F540C0"/>
    <w:rsid w:val="42456128"/>
    <w:rsid w:val="42474939"/>
    <w:rsid w:val="424C3C57"/>
    <w:rsid w:val="42613FF3"/>
    <w:rsid w:val="42660D96"/>
    <w:rsid w:val="428667D2"/>
    <w:rsid w:val="42AA1BED"/>
    <w:rsid w:val="42CD1CE0"/>
    <w:rsid w:val="42CD6DEA"/>
    <w:rsid w:val="42E1381E"/>
    <w:rsid w:val="42ED6459"/>
    <w:rsid w:val="42FE58DD"/>
    <w:rsid w:val="43174B3D"/>
    <w:rsid w:val="434B790E"/>
    <w:rsid w:val="43572C1C"/>
    <w:rsid w:val="4360274F"/>
    <w:rsid w:val="4379487C"/>
    <w:rsid w:val="43977AB6"/>
    <w:rsid w:val="43A3342B"/>
    <w:rsid w:val="43C77C27"/>
    <w:rsid w:val="43CC52F4"/>
    <w:rsid w:val="43DE09EE"/>
    <w:rsid w:val="43F108B7"/>
    <w:rsid w:val="43F3462F"/>
    <w:rsid w:val="44002FAD"/>
    <w:rsid w:val="441B1DD7"/>
    <w:rsid w:val="449101DD"/>
    <w:rsid w:val="44A616A1"/>
    <w:rsid w:val="44DE1391"/>
    <w:rsid w:val="451B225C"/>
    <w:rsid w:val="452410C9"/>
    <w:rsid w:val="45317DFB"/>
    <w:rsid w:val="456D3CE4"/>
    <w:rsid w:val="4579042C"/>
    <w:rsid w:val="457F0571"/>
    <w:rsid w:val="45851176"/>
    <w:rsid w:val="45C63B94"/>
    <w:rsid w:val="45D264C6"/>
    <w:rsid w:val="45DD7344"/>
    <w:rsid w:val="45F36B68"/>
    <w:rsid w:val="460E7DA5"/>
    <w:rsid w:val="46276788"/>
    <w:rsid w:val="46364CA7"/>
    <w:rsid w:val="46422483"/>
    <w:rsid w:val="464F5D68"/>
    <w:rsid w:val="4659254A"/>
    <w:rsid w:val="465B0637"/>
    <w:rsid w:val="465E3F0D"/>
    <w:rsid w:val="46641814"/>
    <w:rsid w:val="466A16E6"/>
    <w:rsid w:val="46893F2B"/>
    <w:rsid w:val="46957C1F"/>
    <w:rsid w:val="469D0882"/>
    <w:rsid w:val="46AC6D17"/>
    <w:rsid w:val="46BB51AC"/>
    <w:rsid w:val="46C4686E"/>
    <w:rsid w:val="46DB13AA"/>
    <w:rsid w:val="472D7E58"/>
    <w:rsid w:val="475C073D"/>
    <w:rsid w:val="477B778F"/>
    <w:rsid w:val="478203EC"/>
    <w:rsid w:val="47B025FA"/>
    <w:rsid w:val="47C11327"/>
    <w:rsid w:val="4809698F"/>
    <w:rsid w:val="4811697D"/>
    <w:rsid w:val="484600D2"/>
    <w:rsid w:val="487A3E25"/>
    <w:rsid w:val="488B5503"/>
    <w:rsid w:val="48937E21"/>
    <w:rsid w:val="489A0361"/>
    <w:rsid w:val="48B30830"/>
    <w:rsid w:val="48B94FF3"/>
    <w:rsid w:val="48BD16AF"/>
    <w:rsid w:val="48E37AAB"/>
    <w:rsid w:val="48FD4B4C"/>
    <w:rsid w:val="490A68E0"/>
    <w:rsid w:val="491055FE"/>
    <w:rsid w:val="49200EFF"/>
    <w:rsid w:val="4921579A"/>
    <w:rsid w:val="4924528A"/>
    <w:rsid w:val="495F5B3E"/>
    <w:rsid w:val="496E6505"/>
    <w:rsid w:val="496F77D7"/>
    <w:rsid w:val="497654FD"/>
    <w:rsid w:val="497A134E"/>
    <w:rsid w:val="49B52386"/>
    <w:rsid w:val="49B64211"/>
    <w:rsid w:val="49E05655"/>
    <w:rsid w:val="49E54A1A"/>
    <w:rsid w:val="49E56AF9"/>
    <w:rsid w:val="49F6167F"/>
    <w:rsid w:val="4A064FA0"/>
    <w:rsid w:val="4A16615C"/>
    <w:rsid w:val="4A4424D7"/>
    <w:rsid w:val="4AB82D0F"/>
    <w:rsid w:val="4AD8632C"/>
    <w:rsid w:val="4AEB7664"/>
    <w:rsid w:val="4AFD7C19"/>
    <w:rsid w:val="4B0567D1"/>
    <w:rsid w:val="4B236AAE"/>
    <w:rsid w:val="4B65492A"/>
    <w:rsid w:val="4B707271"/>
    <w:rsid w:val="4B9739F7"/>
    <w:rsid w:val="4BA803F5"/>
    <w:rsid w:val="4BAE52DF"/>
    <w:rsid w:val="4BAF3531"/>
    <w:rsid w:val="4BEA27BB"/>
    <w:rsid w:val="4BEE2503"/>
    <w:rsid w:val="4C013661"/>
    <w:rsid w:val="4C066EC9"/>
    <w:rsid w:val="4C245A30"/>
    <w:rsid w:val="4C2630C7"/>
    <w:rsid w:val="4C7402D7"/>
    <w:rsid w:val="4C9B3AB5"/>
    <w:rsid w:val="4CB6685F"/>
    <w:rsid w:val="4CC367FE"/>
    <w:rsid w:val="4CE30FB8"/>
    <w:rsid w:val="4D077F3C"/>
    <w:rsid w:val="4D123355"/>
    <w:rsid w:val="4D1B4BF6"/>
    <w:rsid w:val="4D27359B"/>
    <w:rsid w:val="4D2A3B31"/>
    <w:rsid w:val="4D2E69CB"/>
    <w:rsid w:val="4D312C52"/>
    <w:rsid w:val="4D3F08E5"/>
    <w:rsid w:val="4D8B1D7C"/>
    <w:rsid w:val="4D905305"/>
    <w:rsid w:val="4D964A72"/>
    <w:rsid w:val="4D9C1254"/>
    <w:rsid w:val="4DC332C4"/>
    <w:rsid w:val="4E4F6905"/>
    <w:rsid w:val="4E5C7274"/>
    <w:rsid w:val="4E793892"/>
    <w:rsid w:val="4E800872"/>
    <w:rsid w:val="4E850579"/>
    <w:rsid w:val="4E8A3DE2"/>
    <w:rsid w:val="4E8C7B5A"/>
    <w:rsid w:val="4E9C3B15"/>
    <w:rsid w:val="4EB250E6"/>
    <w:rsid w:val="4EC569ED"/>
    <w:rsid w:val="4ED50EA1"/>
    <w:rsid w:val="4EEC050C"/>
    <w:rsid w:val="4F104EC3"/>
    <w:rsid w:val="4F381A8F"/>
    <w:rsid w:val="4F3B332E"/>
    <w:rsid w:val="4F47354A"/>
    <w:rsid w:val="4F6D4A83"/>
    <w:rsid w:val="4F911C54"/>
    <w:rsid w:val="4FA64C4B"/>
    <w:rsid w:val="4FE625E0"/>
    <w:rsid w:val="4FF534DD"/>
    <w:rsid w:val="5021480F"/>
    <w:rsid w:val="506230F3"/>
    <w:rsid w:val="506348EA"/>
    <w:rsid w:val="50901457"/>
    <w:rsid w:val="50962ECB"/>
    <w:rsid w:val="50A42E38"/>
    <w:rsid w:val="50A4577F"/>
    <w:rsid w:val="50B73D1F"/>
    <w:rsid w:val="50B769E4"/>
    <w:rsid w:val="50BD5BC9"/>
    <w:rsid w:val="50C11EEE"/>
    <w:rsid w:val="50D2381E"/>
    <w:rsid w:val="50E97CFC"/>
    <w:rsid w:val="50EE68AA"/>
    <w:rsid w:val="50FA4028"/>
    <w:rsid w:val="510D65B7"/>
    <w:rsid w:val="511157AB"/>
    <w:rsid w:val="5142540C"/>
    <w:rsid w:val="517D19DC"/>
    <w:rsid w:val="518832C8"/>
    <w:rsid w:val="518A40F8"/>
    <w:rsid w:val="51962A9D"/>
    <w:rsid w:val="519D3C50"/>
    <w:rsid w:val="51A0432A"/>
    <w:rsid w:val="51A40DA1"/>
    <w:rsid w:val="51A86090"/>
    <w:rsid w:val="51B7396D"/>
    <w:rsid w:val="51C92E73"/>
    <w:rsid w:val="51CB6BEB"/>
    <w:rsid w:val="51D3784E"/>
    <w:rsid w:val="51DB6702"/>
    <w:rsid w:val="51E24880"/>
    <w:rsid w:val="52173BDE"/>
    <w:rsid w:val="52293911"/>
    <w:rsid w:val="522E4CC3"/>
    <w:rsid w:val="52374280"/>
    <w:rsid w:val="5244713B"/>
    <w:rsid w:val="524F15CA"/>
    <w:rsid w:val="52615633"/>
    <w:rsid w:val="526F4DE4"/>
    <w:rsid w:val="527C7EE5"/>
    <w:rsid w:val="52977FD4"/>
    <w:rsid w:val="52A25790"/>
    <w:rsid w:val="52A96B6F"/>
    <w:rsid w:val="52B45975"/>
    <w:rsid w:val="52D94AA4"/>
    <w:rsid w:val="52E77A54"/>
    <w:rsid w:val="52EA3A62"/>
    <w:rsid w:val="52F50BB8"/>
    <w:rsid w:val="53097272"/>
    <w:rsid w:val="530A729F"/>
    <w:rsid w:val="532F31A9"/>
    <w:rsid w:val="53544462"/>
    <w:rsid w:val="537312E8"/>
    <w:rsid w:val="5397158E"/>
    <w:rsid w:val="53C658BC"/>
    <w:rsid w:val="53DB0C3B"/>
    <w:rsid w:val="53EC109A"/>
    <w:rsid w:val="54013861"/>
    <w:rsid w:val="54282699"/>
    <w:rsid w:val="54487265"/>
    <w:rsid w:val="544D6070"/>
    <w:rsid w:val="54605E1E"/>
    <w:rsid w:val="549C661D"/>
    <w:rsid w:val="54B3506A"/>
    <w:rsid w:val="54CA0D16"/>
    <w:rsid w:val="54DD4057"/>
    <w:rsid w:val="54E7490F"/>
    <w:rsid w:val="550348EE"/>
    <w:rsid w:val="550764A4"/>
    <w:rsid w:val="550B2BF6"/>
    <w:rsid w:val="55214EB5"/>
    <w:rsid w:val="5527238A"/>
    <w:rsid w:val="55342CF9"/>
    <w:rsid w:val="55364EFD"/>
    <w:rsid w:val="555D4828"/>
    <w:rsid w:val="557A4C8B"/>
    <w:rsid w:val="558931E1"/>
    <w:rsid w:val="55923347"/>
    <w:rsid w:val="55925180"/>
    <w:rsid w:val="55983B1B"/>
    <w:rsid w:val="55A8376B"/>
    <w:rsid w:val="55B31E70"/>
    <w:rsid w:val="55DC29B6"/>
    <w:rsid w:val="55DD4241"/>
    <w:rsid w:val="55F14746"/>
    <w:rsid w:val="563034C0"/>
    <w:rsid w:val="56424FA2"/>
    <w:rsid w:val="56462CE4"/>
    <w:rsid w:val="566B6D1E"/>
    <w:rsid w:val="568E6439"/>
    <w:rsid w:val="56A874FB"/>
    <w:rsid w:val="56B22127"/>
    <w:rsid w:val="56C8194B"/>
    <w:rsid w:val="56EA18C1"/>
    <w:rsid w:val="57032A2C"/>
    <w:rsid w:val="57044A0A"/>
    <w:rsid w:val="570F5219"/>
    <w:rsid w:val="5712706A"/>
    <w:rsid w:val="57415259"/>
    <w:rsid w:val="574D00A2"/>
    <w:rsid w:val="575D12B5"/>
    <w:rsid w:val="57610A87"/>
    <w:rsid w:val="57715B3F"/>
    <w:rsid w:val="57727B09"/>
    <w:rsid w:val="57773518"/>
    <w:rsid w:val="577B1140"/>
    <w:rsid w:val="577B7F21"/>
    <w:rsid w:val="577F181B"/>
    <w:rsid w:val="578D66F1"/>
    <w:rsid w:val="57921984"/>
    <w:rsid w:val="579737F0"/>
    <w:rsid w:val="57AB7B30"/>
    <w:rsid w:val="57AF5251"/>
    <w:rsid w:val="57B26373"/>
    <w:rsid w:val="57B63F04"/>
    <w:rsid w:val="57CD20C2"/>
    <w:rsid w:val="57D675AB"/>
    <w:rsid w:val="57D95FDD"/>
    <w:rsid w:val="57E44562"/>
    <w:rsid w:val="580F5357"/>
    <w:rsid w:val="581D3408"/>
    <w:rsid w:val="583F5C3D"/>
    <w:rsid w:val="585A2A77"/>
    <w:rsid w:val="585A65D3"/>
    <w:rsid w:val="586C6306"/>
    <w:rsid w:val="58917D2F"/>
    <w:rsid w:val="5894085C"/>
    <w:rsid w:val="58A3441E"/>
    <w:rsid w:val="58A41F44"/>
    <w:rsid w:val="58AE4F0C"/>
    <w:rsid w:val="58B303D9"/>
    <w:rsid w:val="58B85899"/>
    <w:rsid w:val="58CE6FC1"/>
    <w:rsid w:val="58E363A9"/>
    <w:rsid w:val="58ED7447"/>
    <w:rsid w:val="58F05189"/>
    <w:rsid w:val="5915699E"/>
    <w:rsid w:val="594B0611"/>
    <w:rsid w:val="595E1678"/>
    <w:rsid w:val="596D5BD4"/>
    <w:rsid w:val="597E3DD8"/>
    <w:rsid w:val="59A321FB"/>
    <w:rsid w:val="59AA358A"/>
    <w:rsid w:val="59BB5797"/>
    <w:rsid w:val="59F80043"/>
    <w:rsid w:val="5A09252F"/>
    <w:rsid w:val="5A0B2778"/>
    <w:rsid w:val="5A0F7891"/>
    <w:rsid w:val="5A1B6236"/>
    <w:rsid w:val="5A2A7C7B"/>
    <w:rsid w:val="5A33357F"/>
    <w:rsid w:val="5A3E2560"/>
    <w:rsid w:val="5A5D3B6E"/>
    <w:rsid w:val="5A637A76"/>
    <w:rsid w:val="5A6D33BA"/>
    <w:rsid w:val="5A792B1F"/>
    <w:rsid w:val="5A874767"/>
    <w:rsid w:val="5A8B6F17"/>
    <w:rsid w:val="5AA85BE2"/>
    <w:rsid w:val="5AAD6F28"/>
    <w:rsid w:val="5AB04BD0"/>
    <w:rsid w:val="5ACE14FA"/>
    <w:rsid w:val="5AD63A24"/>
    <w:rsid w:val="5AE12FDB"/>
    <w:rsid w:val="5AF50835"/>
    <w:rsid w:val="5AF54CD9"/>
    <w:rsid w:val="5B070568"/>
    <w:rsid w:val="5B2E1A1D"/>
    <w:rsid w:val="5B5E462C"/>
    <w:rsid w:val="5B725030"/>
    <w:rsid w:val="5B843A1C"/>
    <w:rsid w:val="5B873E3F"/>
    <w:rsid w:val="5B9444F1"/>
    <w:rsid w:val="5BAC183B"/>
    <w:rsid w:val="5C02690E"/>
    <w:rsid w:val="5C196DA7"/>
    <w:rsid w:val="5C2A048C"/>
    <w:rsid w:val="5C694180"/>
    <w:rsid w:val="5C797243"/>
    <w:rsid w:val="5C80234E"/>
    <w:rsid w:val="5C8A680C"/>
    <w:rsid w:val="5CB07109"/>
    <w:rsid w:val="5CD32DF8"/>
    <w:rsid w:val="5CF039A9"/>
    <w:rsid w:val="5CF35D1E"/>
    <w:rsid w:val="5D0C4701"/>
    <w:rsid w:val="5D0D455B"/>
    <w:rsid w:val="5D0F0395"/>
    <w:rsid w:val="5D221076"/>
    <w:rsid w:val="5D397964"/>
    <w:rsid w:val="5D5A391C"/>
    <w:rsid w:val="5D5F10C0"/>
    <w:rsid w:val="5D6121B1"/>
    <w:rsid w:val="5D891B7B"/>
    <w:rsid w:val="5DAB5B22"/>
    <w:rsid w:val="5DAD38EE"/>
    <w:rsid w:val="5DB669A1"/>
    <w:rsid w:val="5DE828D3"/>
    <w:rsid w:val="5E006862"/>
    <w:rsid w:val="5E0207B9"/>
    <w:rsid w:val="5E03770C"/>
    <w:rsid w:val="5E1834A1"/>
    <w:rsid w:val="5E261785"/>
    <w:rsid w:val="5E280B31"/>
    <w:rsid w:val="5E2F0501"/>
    <w:rsid w:val="5E483371"/>
    <w:rsid w:val="5E4A7017"/>
    <w:rsid w:val="5E552BBA"/>
    <w:rsid w:val="5E611C10"/>
    <w:rsid w:val="5E7A0F3F"/>
    <w:rsid w:val="5EBF3633"/>
    <w:rsid w:val="5ED13367"/>
    <w:rsid w:val="5ED663BE"/>
    <w:rsid w:val="5EFC7377"/>
    <w:rsid w:val="5EFD0600"/>
    <w:rsid w:val="5EFD5F0A"/>
    <w:rsid w:val="5F06174D"/>
    <w:rsid w:val="5F090D52"/>
    <w:rsid w:val="5F3A3602"/>
    <w:rsid w:val="5F45733B"/>
    <w:rsid w:val="5F6277C6"/>
    <w:rsid w:val="5F6D0B1D"/>
    <w:rsid w:val="5F8D0B82"/>
    <w:rsid w:val="5FB26DE4"/>
    <w:rsid w:val="5FCC5339"/>
    <w:rsid w:val="5FD05A86"/>
    <w:rsid w:val="5FE34A5B"/>
    <w:rsid w:val="5FFE1E36"/>
    <w:rsid w:val="60232584"/>
    <w:rsid w:val="60326087"/>
    <w:rsid w:val="606F1089"/>
    <w:rsid w:val="607330CE"/>
    <w:rsid w:val="60795A64"/>
    <w:rsid w:val="60825176"/>
    <w:rsid w:val="60980752"/>
    <w:rsid w:val="609F2AC4"/>
    <w:rsid w:val="60BD1DF5"/>
    <w:rsid w:val="60FA2EE8"/>
    <w:rsid w:val="60FA6BA5"/>
    <w:rsid w:val="60FC0DF8"/>
    <w:rsid w:val="610417D1"/>
    <w:rsid w:val="61054A27"/>
    <w:rsid w:val="610A52BC"/>
    <w:rsid w:val="611D2366"/>
    <w:rsid w:val="61377DF9"/>
    <w:rsid w:val="61421856"/>
    <w:rsid w:val="615227C4"/>
    <w:rsid w:val="61654E3F"/>
    <w:rsid w:val="6182292A"/>
    <w:rsid w:val="619863BE"/>
    <w:rsid w:val="619F7F92"/>
    <w:rsid w:val="61A905CB"/>
    <w:rsid w:val="61CB22EF"/>
    <w:rsid w:val="61F71336"/>
    <w:rsid w:val="61F94C26"/>
    <w:rsid w:val="62000E56"/>
    <w:rsid w:val="62013F63"/>
    <w:rsid w:val="62053A53"/>
    <w:rsid w:val="624F3E49"/>
    <w:rsid w:val="62612C54"/>
    <w:rsid w:val="62632286"/>
    <w:rsid w:val="62885958"/>
    <w:rsid w:val="62F40B65"/>
    <w:rsid w:val="62FC2CFE"/>
    <w:rsid w:val="63024505"/>
    <w:rsid w:val="6347265C"/>
    <w:rsid w:val="634B193A"/>
    <w:rsid w:val="635600A5"/>
    <w:rsid w:val="635B1DB5"/>
    <w:rsid w:val="63711FED"/>
    <w:rsid w:val="63807109"/>
    <w:rsid w:val="63880DDC"/>
    <w:rsid w:val="638D750D"/>
    <w:rsid w:val="63AC6CC0"/>
    <w:rsid w:val="63B07733"/>
    <w:rsid w:val="63CE60C7"/>
    <w:rsid w:val="63E15DFA"/>
    <w:rsid w:val="63EA73A4"/>
    <w:rsid w:val="64055776"/>
    <w:rsid w:val="640B2E77"/>
    <w:rsid w:val="64240056"/>
    <w:rsid w:val="643E143A"/>
    <w:rsid w:val="64491666"/>
    <w:rsid w:val="644A7E43"/>
    <w:rsid w:val="64607667"/>
    <w:rsid w:val="648B6EEF"/>
    <w:rsid w:val="64C158BF"/>
    <w:rsid w:val="64CE2EAA"/>
    <w:rsid w:val="65197815"/>
    <w:rsid w:val="653C3090"/>
    <w:rsid w:val="65646CE3"/>
    <w:rsid w:val="65854376"/>
    <w:rsid w:val="658767BE"/>
    <w:rsid w:val="65892531"/>
    <w:rsid w:val="65921AA2"/>
    <w:rsid w:val="65E9543A"/>
    <w:rsid w:val="66195831"/>
    <w:rsid w:val="662E75B1"/>
    <w:rsid w:val="66342C2E"/>
    <w:rsid w:val="663E784C"/>
    <w:rsid w:val="666A0329"/>
    <w:rsid w:val="668B6A45"/>
    <w:rsid w:val="66A51361"/>
    <w:rsid w:val="66B477F6"/>
    <w:rsid w:val="66CD08B8"/>
    <w:rsid w:val="66CF2882"/>
    <w:rsid w:val="66ED547A"/>
    <w:rsid w:val="66ED5E4D"/>
    <w:rsid w:val="67011F07"/>
    <w:rsid w:val="672F3F24"/>
    <w:rsid w:val="673E055F"/>
    <w:rsid w:val="675114E9"/>
    <w:rsid w:val="67551CE3"/>
    <w:rsid w:val="67582877"/>
    <w:rsid w:val="67A22552"/>
    <w:rsid w:val="67A45ABC"/>
    <w:rsid w:val="67B22DCC"/>
    <w:rsid w:val="67BE71AA"/>
    <w:rsid w:val="67D90273"/>
    <w:rsid w:val="67DE5875"/>
    <w:rsid w:val="67E55852"/>
    <w:rsid w:val="67EB1AB4"/>
    <w:rsid w:val="67FA1285"/>
    <w:rsid w:val="681F15E7"/>
    <w:rsid w:val="68541AF0"/>
    <w:rsid w:val="68551F4F"/>
    <w:rsid w:val="6874548F"/>
    <w:rsid w:val="687C10C9"/>
    <w:rsid w:val="68840C16"/>
    <w:rsid w:val="68872541"/>
    <w:rsid w:val="68876EFB"/>
    <w:rsid w:val="68884654"/>
    <w:rsid w:val="689F444F"/>
    <w:rsid w:val="68B96DBB"/>
    <w:rsid w:val="68C47A98"/>
    <w:rsid w:val="68CA2805"/>
    <w:rsid w:val="68E937A3"/>
    <w:rsid w:val="68F760C0"/>
    <w:rsid w:val="691664E5"/>
    <w:rsid w:val="692A78CC"/>
    <w:rsid w:val="693E15D3"/>
    <w:rsid w:val="693E784B"/>
    <w:rsid w:val="69627681"/>
    <w:rsid w:val="69674FF3"/>
    <w:rsid w:val="6977531D"/>
    <w:rsid w:val="69CC2BFF"/>
    <w:rsid w:val="69EC54F9"/>
    <w:rsid w:val="69FD55B8"/>
    <w:rsid w:val="6A0B1C62"/>
    <w:rsid w:val="6A2406C8"/>
    <w:rsid w:val="6A2B7DCF"/>
    <w:rsid w:val="6A5F3F1C"/>
    <w:rsid w:val="6ABC311D"/>
    <w:rsid w:val="6ADE0BD1"/>
    <w:rsid w:val="6AE96859"/>
    <w:rsid w:val="6B056872"/>
    <w:rsid w:val="6B120F8F"/>
    <w:rsid w:val="6B147746"/>
    <w:rsid w:val="6B217424"/>
    <w:rsid w:val="6B24787C"/>
    <w:rsid w:val="6B573233"/>
    <w:rsid w:val="6B5B6274"/>
    <w:rsid w:val="6B657311"/>
    <w:rsid w:val="6B881251"/>
    <w:rsid w:val="6B935D53"/>
    <w:rsid w:val="6BAE6F0A"/>
    <w:rsid w:val="6BD46244"/>
    <w:rsid w:val="6C1256EA"/>
    <w:rsid w:val="6C150D37"/>
    <w:rsid w:val="6C196F71"/>
    <w:rsid w:val="6C20148A"/>
    <w:rsid w:val="6C226FCB"/>
    <w:rsid w:val="6C2B055A"/>
    <w:rsid w:val="6C31226F"/>
    <w:rsid w:val="6C552F0B"/>
    <w:rsid w:val="6C67530A"/>
    <w:rsid w:val="6C69396B"/>
    <w:rsid w:val="6C8C67B7"/>
    <w:rsid w:val="6C983716"/>
    <w:rsid w:val="6C9D744C"/>
    <w:rsid w:val="6CB322FE"/>
    <w:rsid w:val="6CBE317C"/>
    <w:rsid w:val="6CD26C28"/>
    <w:rsid w:val="6CD429A0"/>
    <w:rsid w:val="6D0F39D8"/>
    <w:rsid w:val="6D167928"/>
    <w:rsid w:val="6D1A237D"/>
    <w:rsid w:val="6D26299B"/>
    <w:rsid w:val="6D2C27DC"/>
    <w:rsid w:val="6D3671B7"/>
    <w:rsid w:val="6D4772EC"/>
    <w:rsid w:val="6D4F555D"/>
    <w:rsid w:val="6D604233"/>
    <w:rsid w:val="6D9078AF"/>
    <w:rsid w:val="6DAA3FEF"/>
    <w:rsid w:val="6DC0172B"/>
    <w:rsid w:val="6DCA3DA3"/>
    <w:rsid w:val="6DCB690C"/>
    <w:rsid w:val="6DD41A5B"/>
    <w:rsid w:val="6DF43C2E"/>
    <w:rsid w:val="6DF51CA3"/>
    <w:rsid w:val="6E0C6169"/>
    <w:rsid w:val="6E8335BD"/>
    <w:rsid w:val="6E8E12EF"/>
    <w:rsid w:val="6E9323E7"/>
    <w:rsid w:val="6E972936"/>
    <w:rsid w:val="6EAB7730"/>
    <w:rsid w:val="6EBE56B6"/>
    <w:rsid w:val="6ED446C5"/>
    <w:rsid w:val="6F2A7D94"/>
    <w:rsid w:val="6F347726"/>
    <w:rsid w:val="6F8331F1"/>
    <w:rsid w:val="6FAE1A09"/>
    <w:rsid w:val="6FD75BF8"/>
    <w:rsid w:val="6FF72EC3"/>
    <w:rsid w:val="70251764"/>
    <w:rsid w:val="703F2826"/>
    <w:rsid w:val="704B4683"/>
    <w:rsid w:val="7053007F"/>
    <w:rsid w:val="707029DF"/>
    <w:rsid w:val="707723D0"/>
    <w:rsid w:val="70785D38"/>
    <w:rsid w:val="70B825D8"/>
    <w:rsid w:val="70C96594"/>
    <w:rsid w:val="70D311C0"/>
    <w:rsid w:val="70D84614"/>
    <w:rsid w:val="70F5661B"/>
    <w:rsid w:val="70F76C5D"/>
    <w:rsid w:val="71360107"/>
    <w:rsid w:val="713B688E"/>
    <w:rsid w:val="714B0D57"/>
    <w:rsid w:val="714F6A99"/>
    <w:rsid w:val="71630796"/>
    <w:rsid w:val="7164006A"/>
    <w:rsid w:val="71681909"/>
    <w:rsid w:val="71AD37BF"/>
    <w:rsid w:val="71D43752"/>
    <w:rsid w:val="71F1796A"/>
    <w:rsid w:val="721314DB"/>
    <w:rsid w:val="72154626"/>
    <w:rsid w:val="72262B5D"/>
    <w:rsid w:val="72283FF7"/>
    <w:rsid w:val="722E7212"/>
    <w:rsid w:val="72330169"/>
    <w:rsid w:val="723A0474"/>
    <w:rsid w:val="725923E4"/>
    <w:rsid w:val="72676064"/>
    <w:rsid w:val="726A7902"/>
    <w:rsid w:val="7285473C"/>
    <w:rsid w:val="72864BF7"/>
    <w:rsid w:val="729023FC"/>
    <w:rsid w:val="72F01BB6"/>
    <w:rsid w:val="72F5541E"/>
    <w:rsid w:val="7372081D"/>
    <w:rsid w:val="73C0646E"/>
    <w:rsid w:val="73E6120B"/>
    <w:rsid w:val="73E7CF11"/>
    <w:rsid w:val="741E6BF6"/>
    <w:rsid w:val="742222F5"/>
    <w:rsid w:val="74476126"/>
    <w:rsid w:val="745D14CD"/>
    <w:rsid w:val="745E6FF3"/>
    <w:rsid w:val="746C5BB4"/>
    <w:rsid w:val="74706664"/>
    <w:rsid w:val="747F3682"/>
    <w:rsid w:val="748F3555"/>
    <w:rsid w:val="749C4185"/>
    <w:rsid w:val="74C07CAE"/>
    <w:rsid w:val="74C37339"/>
    <w:rsid w:val="74E514C2"/>
    <w:rsid w:val="750162FC"/>
    <w:rsid w:val="75067759"/>
    <w:rsid w:val="752E6DCD"/>
    <w:rsid w:val="7551380D"/>
    <w:rsid w:val="75600BE5"/>
    <w:rsid w:val="7564475C"/>
    <w:rsid w:val="75834F63"/>
    <w:rsid w:val="7583797F"/>
    <w:rsid w:val="758D5DE2"/>
    <w:rsid w:val="75D20F1D"/>
    <w:rsid w:val="75DA2C18"/>
    <w:rsid w:val="75F54412"/>
    <w:rsid w:val="761D08E0"/>
    <w:rsid w:val="762F6E99"/>
    <w:rsid w:val="7641097A"/>
    <w:rsid w:val="765D347C"/>
    <w:rsid w:val="76826699"/>
    <w:rsid w:val="76876CD5"/>
    <w:rsid w:val="76A258BD"/>
    <w:rsid w:val="76C0123F"/>
    <w:rsid w:val="76C87133"/>
    <w:rsid w:val="76CD08D5"/>
    <w:rsid w:val="76D812DE"/>
    <w:rsid w:val="76DB4B92"/>
    <w:rsid w:val="76F1414E"/>
    <w:rsid w:val="76FD013A"/>
    <w:rsid w:val="77002950"/>
    <w:rsid w:val="77052AA4"/>
    <w:rsid w:val="77136511"/>
    <w:rsid w:val="77340A39"/>
    <w:rsid w:val="77351FD0"/>
    <w:rsid w:val="77364257"/>
    <w:rsid w:val="77472422"/>
    <w:rsid w:val="775F555C"/>
    <w:rsid w:val="777F31F2"/>
    <w:rsid w:val="77A83FA1"/>
    <w:rsid w:val="77D1700D"/>
    <w:rsid w:val="77EC04CC"/>
    <w:rsid w:val="77F65158"/>
    <w:rsid w:val="780A371A"/>
    <w:rsid w:val="782C7B34"/>
    <w:rsid w:val="78715547"/>
    <w:rsid w:val="78775729"/>
    <w:rsid w:val="7880578A"/>
    <w:rsid w:val="78A42DB0"/>
    <w:rsid w:val="78A656AB"/>
    <w:rsid w:val="78B2245C"/>
    <w:rsid w:val="78BE4504"/>
    <w:rsid w:val="78CE2999"/>
    <w:rsid w:val="78D930EC"/>
    <w:rsid w:val="78E026CC"/>
    <w:rsid w:val="78E172CC"/>
    <w:rsid w:val="78EA1D1F"/>
    <w:rsid w:val="78FF0DA4"/>
    <w:rsid w:val="7904172F"/>
    <w:rsid w:val="790F7E27"/>
    <w:rsid w:val="792A231A"/>
    <w:rsid w:val="79316829"/>
    <w:rsid w:val="79703A50"/>
    <w:rsid w:val="797D7F1B"/>
    <w:rsid w:val="797E66A9"/>
    <w:rsid w:val="798017B9"/>
    <w:rsid w:val="798518A4"/>
    <w:rsid w:val="79A97383"/>
    <w:rsid w:val="79B31B8F"/>
    <w:rsid w:val="79E27E8B"/>
    <w:rsid w:val="79E93803"/>
    <w:rsid w:val="79F850CE"/>
    <w:rsid w:val="79FD443C"/>
    <w:rsid w:val="7A1B7E60"/>
    <w:rsid w:val="7A1D1975"/>
    <w:rsid w:val="7A340F22"/>
    <w:rsid w:val="7A3E5150"/>
    <w:rsid w:val="7A432F13"/>
    <w:rsid w:val="7A4670D6"/>
    <w:rsid w:val="7A534B63"/>
    <w:rsid w:val="7A615382"/>
    <w:rsid w:val="7A67303B"/>
    <w:rsid w:val="7A9E45ED"/>
    <w:rsid w:val="7AAB1D04"/>
    <w:rsid w:val="7ABA4368"/>
    <w:rsid w:val="7AD05746"/>
    <w:rsid w:val="7B257FFD"/>
    <w:rsid w:val="7B273D20"/>
    <w:rsid w:val="7B343476"/>
    <w:rsid w:val="7B5A2978"/>
    <w:rsid w:val="7B5A7E4C"/>
    <w:rsid w:val="7B667AF9"/>
    <w:rsid w:val="7B7468F8"/>
    <w:rsid w:val="7B8F3F36"/>
    <w:rsid w:val="7BA9702E"/>
    <w:rsid w:val="7BDA3403"/>
    <w:rsid w:val="7BDD2EF3"/>
    <w:rsid w:val="7BEE0103"/>
    <w:rsid w:val="7C0A0FE4"/>
    <w:rsid w:val="7C254906"/>
    <w:rsid w:val="7C590818"/>
    <w:rsid w:val="7C790527"/>
    <w:rsid w:val="7C7C10F6"/>
    <w:rsid w:val="7C853BEA"/>
    <w:rsid w:val="7C881368"/>
    <w:rsid w:val="7CE27788"/>
    <w:rsid w:val="7CFA25FA"/>
    <w:rsid w:val="7D0C32F1"/>
    <w:rsid w:val="7D0F408D"/>
    <w:rsid w:val="7D491C6C"/>
    <w:rsid w:val="7D5429C0"/>
    <w:rsid w:val="7D6E6D43"/>
    <w:rsid w:val="7D733B0F"/>
    <w:rsid w:val="7D9F2B56"/>
    <w:rsid w:val="7DB57A34"/>
    <w:rsid w:val="7DE60973"/>
    <w:rsid w:val="7DEF0916"/>
    <w:rsid w:val="7E1E5218"/>
    <w:rsid w:val="7E372D8F"/>
    <w:rsid w:val="7E6E42D6"/>
    <w:rsid w:val="7E955D07"/>
    <w:rsid w:val="7E9A4E1F"/>
    <w:rsid w:val="7EA7723A"/>
    <w:rsid w:val="7EF56FBB"/>
    <w:rsid w:val="7F0768EB"/>
    <w:rsid w:val="7F143BEC"/>
    <w:rsid w:val="7F376DBE"/>
    <w:rsid w:val="7F405C73"/>
    <w:rsid w:val="7F460DAF"/>
    <w:rsid w:val="7F6E7457"/>
    <w:rsid w:val="7F715AF2"/>
    <w:rsid w:val="7F7D0C75"/>
    <w:rsid w:val="7F886E69"/>
    <w:rsid w:val="7F8B387B"/>
    <w:rsid w:val="7F9B559F"/>
    <w:rsid w:val="7FAE52D2"/>
    <w:rsid w:val="BB7FA927"/>
    <w:rsid w:val="F5FFD31F"/>
    <w:rsid w:val="F6FF69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33"/>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6"/>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1"/>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8"/>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30"/>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5"/>
    <w:qFormat/>
    <w:uiPriority w:val="0"/>
    <w:pPr>
      <w:ind w:left="100" w:leftChars="2500"/>
    </w:pPr>
    <w:rPr>
      <w:rFonts w:ascii="宋体"/>
      <w:sz w:val="24"/>
      <w:szCs w:val="21"/>
      <w:lang w:val="zh-CN"/>
    </w:rPr>
  </w:style>
  <w:style w:type="paragraph" w:styleId="36">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92"/>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2"/>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4"/>
    <w:qFormat/>
    <w:uiPriority w:val="0"/>
    <w:pPr>
      <w:spacing w:after="120" w:line="480" w:lineRule="auto"/>
    </w:pPr>
  </w:style>
  <w:style w:type="paragraph" w:styleId="56">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101"/>
    <w:qFormat/>
    <w:uiPriority w:val="0"/>
    <w:rPr>
      <w:b/>
      <w:bCs/>
    </w:rPr>
  </w:style>
  <w:style w:type="paragraph" w:styleId="60">
    <w:name w:val="Body Text First Indent"/>
    <w:basedOn w:val="23"/>
    <w:link w:val="323"/>
    <w:qFormat/>
    <w:uiPriority w:val="0"/>
    <w:pPr>
      <w:ind w:firstLine="420"/>
    </w:pPr>
    <w:rPr>
      <w:rFonts w:hAnsi="Calibri" w:cs="Times New Roman"/>
      <w:snapToGrid/>
      <w:szCs w:val="20"/>
    </w:rPr>
  </w:style>
  <w:style w:type="paragraph" w:styleId="61">
    <w:name w:val="Body Text First Indent 2"/>
    <w:basedOn w:val="24"/>
    <w:link w:val="126"/>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字符"/>
    <w:qFormat/>
    <w:uiPriority w:val="1"/>
    <w:rPr>
      <w:rFonts w:ascii="仿宋_GB2312" w:hAnsi="Times New Roman" w:eastAsia="仿宋_GB2312" w:cs="Times New Roman"/>
      <w:b/>
      <w:kern w:val="2"/>
      <w:sz w:val="24"/>
      <w:lang w:val="zh-CN"/>
    </w:rPr>
  </w:style>
  <w:style w:type="paragraph" w:styleId="80">
    <w:name w:val="List Paragraph"/>
    <w:basedOn w:val="1"/>
    <w:qFormat/>
    <w:uiPriority w:val="34"/>
    <w:pPr>
      <w:spacing w:line="360" w:lineRule="auto"/>
      <w:ind w:firstLine="200" w:firstLineChars="200"/>
    </w:pPr>
    <w:rPr>
      <w:rFonts w:eastAsia="楷体_GB2312" w:cs="Lucida Sans"/>
      <w:sz w:val="24"/>
    </w:rPr>
  </w:style>
  <w:style w:type="character" w:customStyle="1" w:styleId="81">
    <w:name w:val="正文缩进 字符"/>
    <w:qFormat/>
    <w:uiPriority w:val="0"/>
    <w:rPr>
      <w:rFonts w:ascii="宋体" w:eastAsia="宋体"/>
      <w:snapToGrid w:val="0"/>
      <w:color w:val="000000"/>
      <w:kern w:val="28"/>
      <w:sz w:val="28"/>
      <w:lang w:val="en-US" w:eastAsia="zh-CN" w:bidi="ar-SA"/>
    </w:rPr>
  </w:style>
  <w:style w:type="character" w:customStyle="1" w:styleId="82">
    <w:name w:val="正文文本 Char"/>
    <w:qFormat/>
    <w:uiPriority w:val="0"/>
    <w:rPr>
      <w:rFonts w:eastAsia="宋体"/>
      <w:kern w:val="2"/>
      <w:sz w:val="24"/>
      <w:szCs w:val="24"/>
      <w:lang w:val="en-US" w:eastAsia="zh-CN" w:bidi="ar-SA"/>
    </w:rPr>
  </w:style>
  <w:style w:type="character" w:customStyle="1" w:styleId="83">
    <w:name w:val="标题 4 字符"/>
    <w:qFormat/>
    <w:uiPriority w:val="9"/>
    <w:rPr>
      <w:rFonts w:ascii="等线 Light" w:hAnsi="等线 Light" w:eastAsia="等线 Light" w:cs="Times New Roman"/>
      <w:b/>
      <w:bCs/>
      <w:snapToGrid w:val="0"/>
      <w:kern w:val="0"/>
      <w:sz w:val="28"/>
      <w:szCs w:val="28"/>
    </w:rPr>
  </w:style>
  <w:style w:type="paragraph" w:customStyle="1" w:styleId="8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5">
    <w:name w:val="正文空2字"/>
    <w:basedOn w:val="8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6">
    <w:name w:val="左对齐正文"/>
    <w:qFormat/>
    <w:uiPriority w:val="99"/>
    <w:rPr>
      <w:rFonts w:ascii="Calibri" w:hAnsi="Calibri" w:eastAsia="仿宋_GB2312" w:cs="Calibri"/>
      <w:kern w:val="2"/>
      <w:sz w:val="32"/>
      <w:szCs w:val="32"/>
      <w:lang w:val="en-US" w:eastAsia="zh-CN" w:bidi="ar-SA"/>
    </w:rPr>
  </w:style>
  <w:style w:type="character" w:customStyle="1" w:styleId="87">
    <w:name w:val="表格非标题文字 Char"/>
    <w:link w:val="88"/>
    <w:qFormat/>
    <w:uiPriority w:val="0"/>
    <w:rPr>
      <w:rFonts w:ascii="Futura Bk" w:hAnsi="Futura Bk"/>
      <w:kern w:val="2"/>
      <w:sz w:val="18"/>
      <w:szCs w:val="21"/>
      <w:lang w:val="en-US" w:eastAsia="zh-CN" w:bidi="ar-SA"/>
    </w:rPr>
  </w:style>
  <w:style w:type="paragraph" w:customStyle="1" w:styleId="88">
    <w:name w:val="表格非标题文字"/>
    <w:link w:val="8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9">
    <w:name w:val="*正文 Char"/>
    <w:link w:val="90"/>
    <w:qFormat/>
    <w:locked/>
    <w:uiPriority w:val="0"/>
    <w:rPr>
      <w:rFonts w:ascii="宋体" w:hAnsi="宋体"/>
      <w:sz w:val="24"/>
    </w:rPr>
  </w:style>
  <w:style w:type="paragraph" w:customStyle="1" w:styleId="90">
    <w:name w:val="*正文"/>
    <w:basedOn w:val="1"/>
    <w:link w:val="89"/>
    <w:qFormat/>
    <w:uiPriority w:val="0"/>
    <w:pPr>
      <w:snapToGrid w:val="0"/>
      <w:spacing w:line="360" w:lineRule="auto"/>
      <w:ind w:firstLine="482"/>
      <w:jc w:val="left"/>
    </w:pPr>
    <w:rPr>
      <w:rFonts w:ascii="宋体" w:hAnsi="宋体"/>
      <w:kern w:val="0"/>
      <w:sz w:val="24"/>
      <w:szCs w:val="20"/>
    </w:rPr>
  </w:style>
  <w:style w:type="character" w:customStyle="1" w:styleId="91">
    <w:name w:val="Char Char71"/>
    <w:semiHidden/>
    <w:qFormat/>
    <w:uiPriority w:val="0"/>
    <w:rPr>
      <w:rFonts w:eastAsia="宋体"/>
      <w:kern w:val="2"/>
      <w:sz w:val="21"/>
      <w:szCs w:val="24"/>
      <w:lang w:val="en-US" w:eastAsia="zh-CN" w:bidi="ar-SA"/>
    </w:rPr>
  </w:style>
  <w:style w:type="character" w:customStyle="1" w:styleId="92">
    <w:name w:val="Char Char6"/>
    <w:qFormat/>
    <w:uiPriority w:val="0"/>
    <w:rPr>
      <w:rFonts w:eastAsia="宋体"/>
      <w:kern w:val="2"/>
      <w:sz w:val="21"/>
      <w:szCs w:val="24"/>
      <w:lang w:val="en-US" w:eastAsia="zh-CN" w:bidi="ar-SA"/>
    </w:rPr>
  </w:style>
  <w:style w:type="character" w:customStyle="1" w:styleId="93">
    <w:name w:val="正文缩进 Char"/>
    <w:qFormat/>
    <w:uiPriority w:val="0"/>
    <w:rPr>
      <w:rFonts w:eastAsia="宋体"/>
      <w:kern w:val="2"/>
      <w:sz w:val="21"/>
      <w:lang w:val="en-US" w:eastAsia="zh-CN"/>
    </w:rPr>
  </w:style>
  <w:style w:type="character" w:customStyle="1" w:styleId="94">
    <w:name w:val="正文首行缩进 Char1"/>
    <w:qFormat/>
    <w:uiPriority w:val="0"/>
    <w:rPr>
      <w:rFonts w:ascii="宋体" w:hAnsi="Times New Roman" w:eastAsia="宋体" w:cs="Times New Roman"/>
      <w:snapToGrid w:val="0"/>
      <w:kern w:val="2"/>
      <w:sz w:val="24"/>
      <w:szCs w:val="21"/>
      <w:lang w:val="zh-CN"/>
    </w:rPr>
  </w:style>
  <w:style w:type="character" w:customStyle="1" w:styleId="95">
    <w:name w:val="Char Char28"/>
    <w:qFormat/>
    <w:uiPriority w:val="6"/>
    <w:rPr>
      <w:rFonts w:ascii="仿宋_GB2312" w:hAnsi="仿宋_GB2312" w:eastAsia="仿宋_GB2312"/>
      <w:kern w:val="1"/>
      <w:sz w:val="28"/>
    </w:rPr>
  </w:style>
  <w:style w:type="character" w:customStyle="1" w:styleId="9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7">
    <w:name w:val="Heading 1 Char"/>
    <w:qFormat/>
    <w:uiPriority w:val="6"/>
    <w:rPr>
      <w:rFonts w:ascii="Times New Roman" w:hAnsi="Times New Roman" w:eastAsia="黑体" w:cs="Times New Roman"/>
      <w:b/>
      <w:kern w:val="0"/>
      <w:sz w:val="24"/>
      <w:szCs w:val="24"/>
    </w:rPr>
  </w:style>
  <w:style w:type="character" w:customStyle="1" w:styleId="98">
    <w:name w:val="U_正文 Char"/>
    <w:link w:val="99"/>
    <w:qFormat/>
    <w:uiPriority w:val="0"/>
    <w:rPr>
      <w:sz w:val="24"/>
      <w:szCs w:val="24"/>
    </w:rPr>
  </w:style>
  <w:style w:type="paragraph" w:customStyle="1" w:styleId="99">
    <w:name w:val="U_正文"/>
    <w:basedOn w:val="1"/>
    <w:link w:val="98"/>
    <w:qFormat/>
    <w:uiPriority w:val="0"/>
    <w:pPr>
      <w:adjustRightInd/>
      <w:spacing w:beforeLines="20" w:afterLines="20" w:line="300" w:lineRule="auto"/>
      <w:ind w:firstLine="200" w:firstLineChars="200"/>
    </w:pPr>
    <w:rPr>
      <w:kern w:val="0"/>
      <w:sz w:val="24"/>
    </w:rPr>
  </w:style>
  <w:style w:type="character" w:customStyle="1" w:styleId="100">
    <w:name w:val="HTML 地址 Char1"/>
    <w:qFormat/>
    <w:uiPriority w:val="0"/>
    <w:rPr>
      <w:rFonts w:ascii="Times New Roman" w:hAnsi="Times New Roman" w:eastAsia="宋体" w:cs="Times New Roman"/>
      <w:i/>
      <w:iCs/>
      <w:szCs w:val="24"/>
    </w:rPr>
  </w:style>
  <w:style w:type="character" w:customStyle="1" w:styleId="101">
    <w:name w:val="批注主题 Char1"/>
    <w:link w:val="59"/>
    <w:qFormat/>
    <w:uiPriority w:val="0"/>
    <w:rPr>
      <w:b/>
      <w:bCs/>
      <w:kern w:val="2"/>
      <w:sz w:val="21"/>
      <w:szCs w:val="24"/>
    </w:rPr>
  </w:style>
  <w:style w:type="character" w:customStyle="1" w:styleId="102">
    <w:name w:val="Char Char51"/>
    <w:qFormat/>
    <w:uiPriority w:val="0"/>
    <w:rPr>
      <w:rFonts w:ascii="宋体" w:hAnsi="Courier New" w:eastAsia="宋体"/>
      <w:kern w:val="2"/>
      <w:sz w:val="21"/>
      <w:lang w:val="en-US" w:eastAsia="zh-CN"/>
    </w:rPr>
  </w:style>
  <w:style w:type="character" w:customStyle="1" w:styleId="103">
    <w:name w:val="表正文 Char"/>
    <w:qFormat/>
    <w:uiPriority w:val="0"/>
    <w:rPr>
      <w:rFonts w:ascii="宋体" w:eastAsia="宋体"/>
      <w:snapToGrid w:val="0"/>
      <w:color w:val="000000"/>
      <w:kern w:val="28"/>
      <w:sz w:val="28"/>
      <w:lang w:val="en-US" w:eastAsia="zh-CN" w:bidi="ar-SA"/>
    </w:rPr>
  </w:style>
  <w:style w:type="character" w:customStyle="1" w:styleId="104">
    <w:name w:val="Char Char34"/>
    <w:qFormat/>
    <w:uiPriority w:val="6"/>
    <w:rPr>
      <w:b/>
      <w:kern w:val="1"/>
      <w:sz w:val="28"/>
      <w:szCs w:val="28"/>
    </w:rPr>
  </w:style>
  <w:style w:type="character" w:customStyle="1" w:styleId="10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6">
    <w:name w:val="哈哈正文 Char"/>
    <w:link w:val="107"/>
    <w:qFormat/>
    <w:uiPriority w:val="0"/>
    <w:rPr>
      <w:rFonts w:ascii="宋体" w:hAnsi="宋体" w:eastAsia="宋体"/>
      <w:kern w:val="2"/>
      <w:sz w:val="24"/>
      <w:lang w:bidi="ar-SA"/>
    </w:rPr>
  </w:style>
  <w:style w:type="paragraph" w:customStyle="1" w:styleId="107">
    <w:name w:val="哈哈正文"/>
    <w:basedOn w:val="1"/>
    <w:link w:val="106"/>
    <w:qFormat/>
    <w:uiPriority w:val="0"/>
    <w:pPr>
      <w:adjustRightInd/>
      <w:spacing w:line="360" w:lineRule="auto"/>
      <w:ind w:firstLine="200" w:firstLineChars="200"/>
    </w:pPr>
    <w:rPr>
      <w:rFonts w:ascii="宋体" w:hAnsi="宋体"/>
      <w:sz w:val="24"/>
      <w:szCs w:val="20"/>
    </w:rPr>
  </w:style>
  <w:style w:type="character" w:customStyle="1" w:styleId="108">
    <w:name w:val="未处理的提及1"/>
    <w:qFormat/>
    <w:uiPriority w:val="0"/>
    <w:rPr>
      <w:color w:val="808080"/>
      <w:shd w:val="clear" w:color="auto" w:fill="E6E6E6"/>
    </w:rPr>
  </w:style>
  <w:style w:type="character" w:customStyle="1" w:styleId="109">
    <w:name w:val="txt"/>
    <w:qFormat/>
    <w:uiPriority w:val="0"/>
    <w:rPr>
      <w:rFonts w:ascii="仿宋_GB2312" w:eastAsia="微软雅黑"/>
      <w:b/>
      <w:kern w:val="2"/>
      <w:sz w:val="32"/>
      <w:szCs w:val="32"/>
      <w:lang w:val="en-US" w:eastAsia="zh-CN" w:bidi="ar-SA"/>
    </w:rPr>
  </w:style>
  <w:style w:type="character" w:customStyle="1" w:styleId="110">
    <w:name w:val="二级标题 Char Char"/>
    <w:qFormat/>
    <w:uiPriority w:val="0"/>
    <w:rPr>
      <w:rFonts w:ascii="宋体" w:hAnsi="宋体" w:eastAsia="宋体"/>
      <w:b/>
      <w:snapToGrid w:val="0"/>
      <w:kern w:val="2"/>
      <w:sz w:val="24"/>
      <w:szCs w:val="24"/>
      <w:lang w:val="en-US" w:eastAsia="zh-CN" w:bidi="ar-SA"/>
    </w:rPr>
  </w:style>
  <w:style w:type="character" w:customStyle="1" w:styleId="111">
    <w:name w:val="Char Char32"/>
    <w:qFormat/>
    <w:uiPriority w:val="6"/>
    <w:rPr>
      <w:b/>
      <w:kern w:val="1"/>
      <w:sz w:val="24"/>
      <w:szCs w:val="24"/>
    </w:rPr>
  </w:style>
  <w:style w:type="character" w:customStyle="1" w:styleId="112">
    <w:name w:val="PI Char1"/>
    <w:qFormat/>
    <w:uiPriority w:val="0"/>
    <w:rPr>
      <w:rFonts w:ascii="宋体" w:hAnsi="宋体"/>
      <w:kern w:val="2"/>
      <w:sz w:val="24"/>
      <w:szCs w:val="24"/>
    </w:rPr>
  </w:style>
  <w:style w:type="character" w:customStyle="1" w:styleId="113">
    <w:name w:val="tw4winTerm"/>
    <w:qFormat/>
    <w:uiPriority w:val="0"/>
    <w:rPr>
      <w:color w:val="0000FF"/>
    </w:rPr>
  </w:style>
  <w:style w:type="character" w:customStyle="1" w:styleId="114">
    <w:name w:val="Footer Char"/>
    <w:qFormat/>
    <w:locked/>
    <w:uiPriority w:val="0"/>
    <w:rPr>
      <w:rFonts w:eastAsia="宋体"/>
      <w:kern w:val="2"/>
      <w:sz w:val="18"/>
      <w:lang w:val="en-US" w:eastAsia="zh-CN" w:bidi="ar-SA"/>
    </w:rPr>
  </w:style>
  <w:style w:type="character" w:customStyle="1" w:styleId="115">
    <w:name w:val="普通文字 Char Char1"/>
    <w:qFormat/>
    <w:uiPriority w:val="0"/>
    <w:rPr>
      <w:rFonts w:ascii="宋体" w:hAnsi="Courier New"/>
      <w:kern w:val="2"/>
      <w:sz w:val="21"/>
    </w:rPr>
  </w:style>
  <w:style w:type="character" w:customStyle="1" w:styleId="116">
    <w:name w:val="Char Char101"/>
    <w:qFormat/>
    <w:uiPriority w:val="6"/>
    <w:rPr>
      <w:rFonts w:ascii="宋体" w:hAnsi="宋体"/>
      <w:kern w:val="2"/>
      <w:sz w:val="21"/>
      <w:szCs w:val="24"/>
      <w:lang w:val="en-US" w:eastAsia="zh-CN"/>
    </w:rPr>
  </w:style>
  <w:style w:type="character" w:customStyle="1" w:styleId="117">
    <w:name w:val="标题 4 Char"/>
    <w:qFormat/>
    <w:uiPriority w:val="0"/>
    <w:rPr>
      <w:rFonts w:ascii="Arial" w:hAnsi="Arial" w:eastAsia="黑体"/>
      <w:b/>
      <w:kern w:val="2"/>
      <w:sz w:val="28"/>
    </w:rPr>
  </w:style>
  <w:style w:type="character" w:customStyle="1" w:styleId="118">
    <w:name w:val="链接"/>
    <w:qFormat/>
    <w:uiPriority w:val="0"/>
    <w:rPr>
      <w:color w:val="0000FF"/>
      <w:sz w:val="21"/>
      <w:szCs w:val="21"/>
      <w:u w:val="single"/>
    </w:rPr>
  </w:style>
  <w:style w:type="character" w:customStyle="1" w:styleId="119">
    <w:name w:val="h4 Char"/>
    <w:qFormat/>
    <w:uiPriority w:val="0"/>
    <w:rPr>
      <w:rFonts w:ascii="Arial" w:hAnsi="Arial" w:eastAsia="黑体"/>
      <w:b/>
      <w:bCs/>
      <w:kern w:val="2"/>
      <w:sz w:val="28"/>
      <w:szCs w:val="28"/>
      <w:lang w:val="zh-CN" w:eastAsia="zh-CN" w:bidi="ar-SA"/>
    </w:rPr>
  </w:style>
  <w:style w:type="character" w:customStyle="1" w:styleId="120">
    <w:name w:val="5正文 Char"/>
    <w:link w:val="121"/>
    <w:qFormat/>
    <w:uiPriority w:val="0"/>
    <w:rPr>
      <w:rFonts w:ascii="仿宋_GB2312" w:hAnsi="微软雅黑" w:eastAsia="仿宋_GB2312"/>
      <w:sz w:val="28"/>
      <w:szCs w:val="21"/>
    </w:rPr>
  </w:style>
  <w:style w:type="paragraph" w:customStyle="1" w:styleId="121">
    <w:name w:val="5正文"/>
    <w:basedOn w:val="1"/>
    <w:link w:val="120"/>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2">
    <w:name w:val="标题 3 字符"/>
    <w:qFormat/>
    <w:uiPriority w:val="9"/>
    <w:rPr>
      <w:b/>
      <w:bCs/>
      <w:kern w:val="2"/>
      <w:sz w:val="32"/>
      <w:szCs w:val="32"/>
    </w:rPr>
  </w:style>
  <w:style w:type="character" w:customStyle="1" w:styleId="123">
    <w:name w:val="样式6 Char"/>
    <w:qFormat/>
    <w:uiPriority w:val="0"/>
    <w:rPr>
      <w:rFonts w:ascii="仿宋_GB2312" w:hAnsi="宋体" w:eastAsia="仿宋_GB2312"/>
      <w:b/>
      <w:bCs/>
      <w:kern w:val="2"/>
      <w:sz w:val="24"/>
      <w:szCs w:val="24"/>
      <w:lang w:val="en-US" w:eastAsia="zh-CN" w:bidi="ar-SA"/>
    </w:rPr>
  </w:style>
  <w:style w:type="character" w:customStyle="1" w:styleId="124">
    <w:name w:val="Char Char14"/>
    <w:qFormat/>
    <w:uiPriority w:val="6"/>
    <w:rPr>
      <w:rFonts w:ascii="黑体" w:hAnsi="黑体" w:eastAsia="黑体"/>
    </w:rPr>
  </w:style>
  <w:style w:type="character" w:customStyle="1" w:styleId="125">
    <w:name w:val="Heading 2 Hidden Char"/>
    <w:qFormat/>
    <w:uiPriority w:val="0"/>
    <w:rPr>
      <w:rFonts w:ascii="仿宋_GB2312" w:eastAsia="仿宋_GB2312"/>
      <w:b/>
      <w:bCs/>
      <w:kern w:val="2"/>
      <w:sz w:val="24"/>
      <w:szCs w:val="24"/>
      <w:lang w:val="zh-CN" w:eastAsia="zh-CN" w:bidi="ar-SA"/>
    </w:rPr>
  </w:style>
  <w:style w:type="character" w:customStyle="1" w:styleId="126">
    <w:name w:val="正文首行缩进 2 Char"/>
    <w:link w:val="61"/>
    <w:qFormat/>
    <w:uiPriority w:val="0"/>
    <w:rPr>
      <w:rFonts w:ascii="宋体" w:hAnsi="宋体"/>
      <w:kern w:val="2"/>
      <w:sz w:val="21"/>
      <w:szCs w:val="24"/>
    </w:rPr>
  </w:style>
  <w:style w:type="character" w:customStyle="1" w:styleId="127">
    <w:name w:val="font11"/>
    <w:qFormat/>
    <w:uiPriority w:val="0"/>
    <w:rPr>
      <w:rFonts w:hint="default" w:ascii="Times New Roman" w:hAnsi="Times New Roman" w:cs="Times New Roman"/>
      <w:color w:val="000000"/>
      <w:sz w:val="22"/>
      <w:szCs w:val="22"/>
      <w:u w:val="none"/>
    </w:rPr>
  </w:style>
  <w:style w:type="character" w:customStyle="1" w:styleId="128">
    <w:name w:val="表正文 Char1"/>
    <w:qFormat/>
    <w:uiPriority w:val="0"/>
    <w:rPr>
      <w:rFonts w:ascii="宋体" w:eastAsia="宋体"/>
      <w:snapToGrid w:val="0"/>
      <w:color w:val="000000"/>
      <w:kern w:val="28"/>
      <w:sz w:val="28"/>
    </w:rPr>
  </w:style>
  <w:style w:type="character" w:customStyle="1" w:styleId="129">
    <w:name w:val="blue1"/>
    <w:basedOn w:val="69"/>
    <w:qFormat/>
    <w:uiPriority w:val="0"/>
    <w:rPr>
      <w:rFonts w:ascii="Arial" w:hAnsi="Arial" w:eastAsia="黑体" w:cs="Arial"/>
      <w:snapToGrid w:val="0"/>
      <w:kern w:val="0"/>
      <w:szCs w:val="21"/>
    </w:rPr>
  </w:style>
  <w:style w:type="character" w:customStyle="1" w:styleId="13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31">
    <w:name w:val="标书1 Char"/>
    <w:qFormat/>
    <w:uiPriority w:val="0"/>
    <w:rPr>
      <w:rFonts w:eastAsia="宋体"/>
      <w:b/>
      <w:bCs/>
      <w:kern w:val="44"/>
      <w:sz w:val="44"/>
      <w:szCs w:val="44"/>
      <w:lang w:val="en-US" w:eastAsia="zh-CN" w:bidi="ar-SA"/>
    </w:rPr>
  </w:style>
  <w:style w:type="character" w:customStyle="1" w:styleId="132">
    <w:name w:val="样式5 Char"/>
    <w:qFormat/>
    <w:uiPriority w:val="0"/>
    <w:rPr>
      <w:rFonts w:ascii="仿宋_GB2312" w:hAnsi="仿宋" w:eastAsia="仿宋_GB2312"/>
      <w:kern w:val="2"/>
      <w:sz w:val="24"/>
      <w:szCs w:val="24"/>
    </w:rPr>
  </w:style>
  <w:style w:type="character" w:customStyle="1" w:styleId="133">
    <w:name w:val="样式4 Char"/>
    <w:qFormat/>
    <w:uiPriority w:val="0"/>
    <w:rPr>
      <w:rFonts w:ascii="仿宋_GB2312" w:hAnsi="仿宋" w:eastAsia="仿宋_GB2312"/>
      <w:b/>
      <w:kern w:val="2"/>
      <w:sz w:val="32"/>
      <w:szCs w:val="32"/>
      <w:lang w:bidi="ar-SA"/>
    </w:rPr>
  </w:style>
  <w:style w:type="character" w:customStyle="1" w:styleId="134">
    <w:name w:val="插图说明 Char"/>
    <w:qFormat/>
    <w:uiPriority w:val="0"/>
    <w:rPr>
      <w:rFonts w:eastAsia="黑体"/>
      <w:sz w:val="24"/>
      <w:lang w:val="en-US" w:eastAsia="zh-CN"/>
    </w:rPr>
  </w:style>
  <w:style w:type="character" w:customStyle="1" w:styleId="135">
    <w:name w:val="正文2 Char Char"/>
    <w:link w:val="136"/>
    <w:qFormat/>
    <w:uiPriority w:val="0"/>
    <w:rPr>
      <w:rFonts w:eastAsia="宋体"/>
      <w:kern w:val="2"/>
      <w:sz w:val="24"/>
      <w:lang w:val="en-US" w:eastAsia="zh-CN" w:bidi="ar-SA"/>
    </w:rPr>
  </w:style>
  <w:style w:type="paragraph" w:customStyle="1" w:styleId="136">
    <w:name w:val="正文2"/>
    <w:basedOn w:val="1"/>
    <w:link w:val="135"/>
    <w:qFormat/>
    <w:uiPriority w:val="0"/>
    <w:pPr>
      <w:spacing w:before="156" w:line="360" w:lineRule="auto"/>
      <w:ind w:firstLine="510" w:firstLineChars="200"/>
    </w:pPr>
    <w:rPr>
      <w:sz w:val="24"/>
      <w:szCs w:val="20"/>
    </w:rPr>
  </w:style>
  <w:style w:type="character" w:customStyle="1" w:styleId="137">
    <w:name w:val="Char Char24"/>
    <w:qFormat/>
    <w:uiPriority w:val="6"/>
    <w:rPr>
      <w:kern w:val="1"/>
      <w:sz w:val="21"/>
    </w:rPr>
  </w:style>
  <w:style w:type="character" w:customStyle="1" w:styleId="138">
    <w:name w:val="副标题 Char"/>
    <w:link w:val="46"/>
    <w:qFormat/>
    <w:uiPriority w:val="0"/>
    <w:rPr>
      <w:rFonts w:ascii="Arial" w:hAnsi="Arial" w:eastAsia="隶书"/>
      <w:b/>
      <w:bCs/>
      <w:kern w:val="28"/>
      <w:sz w:val="44"/>
      <w:szCs w:val="32"/>
      <w:lang w:val="en-US" w:eastAsia="zh-CN" w:bidi="ar-SA"/>
    </w:rPr>
  </w:style>
  <w:style w:type="character" w:customStyle="1" w:styleId="139">
    <w:name w:val="普通文字 Char1 Char"/>
    <w:qFormat/>
    <w:uiPriority w:val="0"/>
    <w:rPr>
      <w:rFonts w:ascii="宋体" w:hAnsi="Courier New" w:eastAsia="宋体"/>
      <w:kern w:val="2"/>
      <w:sz w:val="21"/>
      <w:szCs w:val="24"/>
      <w:lang w:val="en-US" w:eastAsia="zh-CN" w:bidi="ar-SA"/>
    </w:rPr>
  </w:style>
  <w:style w:type="character" w:customStyle="1" w:styleId="140">
    <w:name w:val="h3 Char1"/>
    <w:qFormat/>
    <w:uiPriority w:val="0"/>
    <w:rPr>
      <w:rFonts w:eastAsia="宋体"/>
      <w:b/>
      <w:bCs/>
      <w:kern w:val="2"/>
      <w:sz w:val="32"/>
      <w:szCs w:val="32"/>
      <w:lang w:bidi="ar-SA"/>
    </w:rPr>
  </w:style>
  <w:style w:type="character" w:customStyle="1" w:styleId="141">
    <w:name w:val="标题 Char1"/>
    <w:qFormat/>
    <w:uiPriority w:val="0"/>
    <w:rPr>
      <w:rFonts w:ascii="Cambria" w:hAnsi="Cambria" w:eastAsia="宋体" w:cs="Times New Roman"/>
      <w:b/>
      <w:bCs/>
      <w:sz w:val="32"/>
      <w:szCs w:val="32"/>
      <w:lang w:bidi="ar-SA"/>
    </w:rPr>
  </w:style>
  <w:style w:type="character" w:customStyle="1" w:styleId="142">
    <w:name w:val="gf正文1 Char"/>
    <w:qFormat/>
    <w:uiPriority w:val="0"/>
    <w:rPr>
      <w:rFonts w:ascii="宋体" w:hAnsi="宋体" w:eastAsia="宋体" w:cs="宋体"/>
      <w:kern w:val="2"/>
      <w:sz w:val="24"/>
      <w:szCs w:val="24"/>
      <w:lang w:val="en-US" w:eastAsia="zh-CN" w:bidi="ar-SA"/>
    </w:rPr>
  </w:style>
  <w:style w:type="character" w:customStyle="1" w:styleId="143">
    <w:name w:val="正文文本缩进 Char1"/>
    <w:qFormat/>
    <w:uiPriority w:val="0"/>
    <w:rPr>
      <w:rFonts w:ascii="Calibri" w:hAnsi="Calibri"/>
      <w:sz w:val="28"/>
    </w:rPr>
  </w:style>
  <w:style w:type="character" w:customStyle="1" w:styleId="144">
    <w:name w:val="No Spacing Char"/>
    <w:link w:val="145"/>
    <w:qFormat/>
    <w:uiPriority w:val="1"/>
    <w:rPr>
      <w:sz w:val="22"/>
      <w:szCs w:val="22"/>
      <w:lang w:val="en-US" w:eastAsia="zh-CN" w:bidi="ar-SA"/>
    </w:rPr>
  </w:style>
  <w:style w:type="paragraph" w:customStyle="1" w:styleId="145">
    <w:name w:val="无间隔1"/>
    <w:link w:val="144"/>
    <w:qFormat/>
    <w:uiPriority w:val="1"/>
    <w:rPr>
      <w:rFonts w:ascii="Times New Roman" w:hAnsi="Times New Roman" w:eastAsia="宋体" w:cs="Times New Roman"/>
      <w:sz w:val="22"/>
      <w:szCs w:val="22"/>
      <w:lang w:val="en-US" w:eastAsia="zh-CN" w:bidi="ar-SA"/>
    </w:rPr>
  </w:style>
  <w:style w:type="character" w:customStyle="1" w:styleId="146">
    <w:name w:val="样式7 Char"/>
    <w:qFormat/>
    <w:uiPriority w:val="0"/>
    <w:rPr>
      <w:rFonts w:ascii="仿宋_GB2312" w:hAnsi="仿宋" w:eastAsia="仿宋_GB2312"/>
      <w:b/>
      <w:kern w:val="2"/>
      <w:sz w:val="24"/>
      <w:szCs w:val="24"/>
    </w:rPr>
  </w:style>
  <w:style w:type="character" w:customStyle="1" w:styleId="147">
    <w:name w:val="font12gray1"/>
    <w:qFormat/>
    <w:uiPriority w:val="0"/>
    <w:rPr>
      <w:rFonts w:ascii="仿宋_GB2312" w:eastAsia="微软雅黑"/>
      <w:b/>
      <w:spacing w:val="300"/>
      <w:kern w:val="2"/>
      <w:sz w:val="18"/>
      <w:szCs w:val="18"/>
      <w:lang w:val="en-US" w:eastAsia="zh-CN" w:bidi="ar-SA"/>
    </w:rPr>
  </w:style>
  <w:style w:type="character" w:customStyle="1" w:styleId="148">
    <w:name w:val="Char Char7"/>
    <w:semiHidden/>
    <w:qFormat/>
    <w:uiPriority w:val="0"/>
    <w:rPr>
      <w:rFonts w:eastAsia="宋体"/>
      <w:kern w:val="2"/>
      <w:sz w:val="21"/>
      <w:szCs w:val="24"/>
      <w:lang w:val="en-US" w:eastAsia="zh-CN" w:bidi="ar-SA"/>
    </w:rPr>
  </w:style>
  <w:style w:type="character" w:customStyle="1" w:styleId="149">
    <w:name w:val="表名 Char"/>
    <w:qFormat/>
    <w:uiPriority w:val="0"/>
    <w:rPr>
      <w:rFonts w:eastAsia="宋体"/>
      <w:b/>
      <w:bCs/>
      <w:kern w:val="2"/>
      <w:sz w:val="24"/>
      <w:szCs w:val="24"/>
      <w:lang w:val="en-US" w:eastAsia="zh-CN" w:bidi="ar-SA"/>
    </w:rPr>
  </w:style>
  <w:style w:type="character" w:customStyle="1" w:styleId="150">
    <w:name w:val="Document Map Char"/>
    <w:qFormat/>
    <w:locked/>
    <w:uiPriority w:val="0"/>
    <w:rPr>
      <w:rFonts w:eastAsia="宋体"/>
      <w:kern w:val="2"/>
      <w:sz w:val="21"/>
      <w:szCs w:val="24"/>
      <w:lang w:val="en-US" w:eastAsia="zh-CN" w:bidi="ar-SA"/>
    </w:rPr>
  </w:style>
  <w:style w:type="character" w:customStyle="1" w:styleId="151">
    <w:name w:val="font41"/>
    <w:qFormat/>
    <w:uiPriority w:val="0"/>
    <w:rPr>
      <w:rFonts w:hint="eastAsia" w:ascii="仿宋_GB2312" w:eastAsia="仿宋_GB2312" w:cs="仿宋_GB2312"/>
      <w:color w:val="000000"/>
      <w:sz w:val="22"/>
      <w:szCs w:val="22"/>
      <w:u w:val="none"/>
    </w:rPr>
  </w:style>
  <w:style w:type="character" w:customStyle="1" w:styleId="152">
    <w:name w:val="标题 6 Char"/>
    <w:link w:val="8"/>
    <w:qFormat/>
    <w:uiPriority w:val="0"/>
    <w:rPr>
      <w:rFonts w:ascii="Arial" w:hAnsi="Arial" w:eastAsia="黑体"/>
      <w:b/>
      <w:bCs/>
      <w:kern w:val="2"/>
      <w:sz w:val="24"/>
      <w:szCs w:val="24"/>
    </w:rPr>
  </w:style>
  <w:style w:type="character" w:customStyle="1" w:styleId="153">
    <w:name w:val="纯文本 Char_0"/>
    <w:link w:val="154"/>
    <w:qFormat/>
    <w:uiPriority w:val="0"/>
    <w:rPr>
      <w:rFonts w:ascii="宋体" w:hAnsi="Courier New"/>
      <w:kern w:val="2"/>
      <w:sz w:val="21"/>
      <w:szCs w:val="21"/>
      <w:lang w:val="en-US" w:eastAsia="zh-CN"/>
    </w:rPr>
  </w:style>
  <w:style w:type="paragraph" w:customStyle="1" w:styleId="154">
    <w:name w:val="纯文本_0_0"/>
    <w:basedOn w:val="155"/>
    <w:link w:val="153"/>
    <w:qFormat/>
    <w:uiPriority w:val="0"/>
    <w:rPr>
      <w:rFonts w:ascii="宋体" w:hAnsi="Courier New"/>
      <w:szCs w:val="21"/>
    </w:rPr>
  </w:style>
  <w:style w:type="paragraph" w:customStyle="1" w:styleId="15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Balloon Text Char"/>
    <w:qFormat/>
    <w:locked/>
    <w:uiPriority w:val="0"/>
    <w:rPr>
      <w:rFonts w:eastAsia="宋体"/>
      <w:kern w:val="2"/>
      <w:sz w:val="18"/>
      <w:szCs w:val="18"/>
      <w:lang w:val="en-US" w:eastAsia="zh-CN" w:bidi="ar-SA"/>
    </w:rPr>
  </w:style>
  <w:style w:type="character" w:customStyle="1" w:styleId="157">
    <w:name w:val="正文 项目2 Char"/>
    <w:basedOn w:val="158"/>
    <w:qFormat/>
    <w:uiPriority w:val="0"/>
    <w:rPr>
      <w:rFonts w:ascii="仿宋_GB2312" w:hAnsi="仿宋_GB2312" w:eastAsia="仿宋_GB2312"/>
      <w:kern w:val="2"/>
      <w:sz w:val="24"/>
      <w:lang w:bidi="ar-SA"/>
    </w:rPr>
  </w:style>
  <w:style w:type="character" w:customStyle="1" w:styleId="158">
    <w:name w:val="正文 项目 Char"/>
    <w:qFormat/>
    <w:uiPriority w:val="0"/>
    <w:rPr>
      <w:rFonts w:ascii="仿宋_GB2312" w:hAnsi="仿宋_GB2312" w:eastAsia="仿宋_GB2312"/>
      <w:kern w:val="2"/>
      <w:sz w:val="24"/>
      <w:lang w:bidi="ar-SA"/>
    </w:rPr>
  </w:style>
  <w:style w:type="character" w:customStyle="1" w:styleId="159">
    <w:name w:val="h Char Char1"/>
    <w:qFormat/>
    <w:uiPriority w:val="0"/>
    <w:rPr>
      <w:rFonts w:eastAsia="宋体"/>
      <w:kern w:val="2"/>
      <w:sz w:val="18"/>
      <w:szCs w:val="18"/>
      <w:lang w:val="en-US" w:eastAsia="zh-CN" w:bidi="ar-SA"/>
    </w:rPr>
  </w:style>
  <w:style w:type="character" w:customStyle="1" w:styleId="160">
    <w:name w:val="Char Char27"/>
    <w:qFormat/>
    <w:uiPriority w:val="6"/>
    <w:rPr>
      <w:rFonts w:ascii="宋体" w:hAnsi="宋体" w:eastAsia="宋体"/>
      <w:color w:val="000000"/>
      <w:kern w:val="1"/>
      <w:sz w:val="28"/>
      <w:lang w:val="en-US" w:eastAsia="zh-CN" w:bidi="ar-SA"/>
    </w:rPr>
  </w:style>
  <w:style w:type="character" w:customStyle="1" w:styleId="161">
    <w:name w:val="px14"/>
    <w:qFormat/>
    <w:uiPriority w:val="0"/>
    <w:rPr>
      <w:rFonts w:ascii="仿宋_GB2312" w:eastAsia="微软雅黑" w:cs="Times New Roman"/>
      <w:b/>
      <w:kern w:val="2"/>
      <w:sz w:val="32"/>
      <w:szCs w:val="32"/>
      <w:lang w:val="en-US" w:eastAsia="zh-CN" w:bidi="ar-SA"/>
    </w:rPr>
  </w:style>
  <w:style w:type="character" w:customStyle="1" w:styleId="162">
    <w:name w:val="HTML 预设格式 Char1"/>
    <w:qFormat/>
    <w:uiPriority w:val="0"/>
    <w:rPr>
      <w:rFonts w:ascii="Courier New" w:hAnsi="Courier New" w:eastAsia="宋体" w:cs="Courier New"/>
      <w:sz w:val="20"/>
      <w:szCs w:val="20"/>
    </w:rPr>
  </w:style>
  <w:style w:type="character" w:customStyle="1" w:styleId="163">
    <w:name w:val="普通文字 Char1"/>
    <w:qFormat/>
    <w:uiPriority w:val="0"/>
    <w:rPr>
      <w:rFonts w:ascii="宋体" w:hAnsi="Courier New" w:eastAsia="宋体"/>
      <w:kern w:val="2"/>
      <w:sz w:val="21"/>
      <w:lang w:val="en-US" w:eastAsia="zh-CN"/>
    </w:rPr>
  </w:style>
  <w:style w:type="character" w:customStyle="1" w:styleId="164">
    <w:name w:val="hei16b1"/>
    <w:qFormat/>
    <w:uiPriority w:val="0"/>
    <w:rPr>
      <w:rFonts w:hint="default" w:ascii="Arial" w:hAnsi="Arial" w:cs="Arial"/>
      <w:b/>
      <w:bCs/>
      <w:color w:val="000000"/>
      <w:sz w:val="24"/>
      <w:szCs w:val="24"/>
    </w:rPr>
  </w:style>
  <w:style w:type="character" w:customStyle="1" w:styleId="165">
    <w:name w:val="正文（绿盟科技） Char"/>
    <w:link w:val="166"/>
    <w:qFormat/>
    <w:uiPriority w:val="0"/>
    <w:rPr>
      <w:rFonts w:ascii="Arial" w:hAnsi="Arial"/>
      <w:sz w:val="21"/>
      <w:szCs w:val="21"/>
    </w:rPr>
  </w:style>
  <w:style w:type="paragraph" w:customStyle="1" w:styleId="166">
    <w:name w:val="正文（绿盟科技）"/>
    <w:link w:val="165"/>
    <w:qFormat/>
    <w:uiPriority w:val="0"/>
    <w:pPr>
      <w:spacing w:line="300" w:lineRule="auto"/>
    </w:pPr>
    <w:rPr>
      <w:rFonts w:ascii="Arial" w:hAnsi="Arial" w:eastAsia="宋体" w:cs="Times New Roman"/>
      <w:sz w:val="21"/>
      <w:szCs w:val="21"/>
      <w:lang w:val="en-US" w:eastAsia="zh-CN" w:bidi="ar-SA"/>
    </w:rPr>
  </w:style>
  <w:style w:type="character" w:customStyle="1" w:styleId="167">
    <w:name w:val="Char Char19"/>
    <w:qFormat/>
    <w:uiPriority w:val="6"/>
    <w:rPr>
      <w:rFonts w:ascii="宋体" w:hAnsi="宋体"/>
      <w:i/>
      <w:sz w:val="24"/>
      <w:szCs w:val="24"/>
    </w:rPr>
  </w:style>
  <w:style w:type="character" w:customStyle="1" w:styleId="168">
    <w:name w:val="页脚 Char"/>
    <w:qFormat/>
    <w:uiPriority w:val="0"/>
    <w:rPr>
      <w:rFonts w:eastAsia="仿宋_GB2312"/>
      <w:kern w:val="2"/>
      <w:sz w:val="18"/>
      <w:lang w:val="en-US" w:eastAsia="zh-CN"/>
    </w:rPr>
  </w:style>
  <w:style w:type="character" w:customStyle="1" w:styleId="169">
    <w:name w:val="批注主题 Char"/>
    <w:qFormat/>
    <w:uiPriority w:val="0"/>
    <w:rPr>
      <w:rFonts w:eastAsia="宋体"/>
      <w:b/>
      <w:bCs/>
      <w:kern w:val="2"/>
      <w:sz w:val="21"/>
      <w:szCs w:val="24"/>
      <w:lang w:val="en-US" w:eastAsia="zh-CN" w:bidi="ar-SA"/>
    </w:rPr>
  </w:style>
  <w:style w:type="character" w:customStyle="1" w:styleId="170">
    <w:name w:val="Comment Text Char"/>
    <w:qFormat/>
    <w:locked/>
    <w:uiPriority w:val="0"/>
    <w:rPr>
      <w:rFonts w:ascii="宋体" w:hAnsi="宋体" w:eastAsia="宋体"/>
      <w:kern w:val="2"/>
      <w:sz w:val="24"/>
      <w:lang w:val="en-US" w:eastAsia="zh-CN" w:bidi="ar-SA"/>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3"/>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Char"/>
    <w:link w:val="35"/>
    <w:qFormat/>
    <w:uiPriority w:val="0"/>
    <w:rPr>
      <w:rFonts w:ascii="宋体"/>
      <w:kern w:val="2"/>
      <w:sz w:val="24"/>
      <w:szCs w:val="21"/>
      <w:lang w:val="zh-CN"/>
    </w:rPr>
  </w:style>
  <w:style w:type="character" w:customStyle="1" w:styleId="186">
    <w:name w:val="标题 9 Char"/>
    <w:link w:val="11"/>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Char"/>
    <w:link w:val="38"/>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5"/>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Char1"/>
    <w:link w:val="18"/>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69"/>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Char"/>
    <w:link w:val="29"/>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6"/>
    <w:link w:val="22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Char"/>
    <w:link w:val="16"/>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239"/>
    <w:qFormat/>
    <w:uiPriority w:val="0"/>
    <w:rPr>
      <w:rFonts w:ascii="仿宋_GB2312" w:eastAsia="仿宋_GB2312" w:cs="仿宋_GB2312"/>
      <w:color w:val="000000"/>
      <w:sz w:val="24"/>
      <w:szCs w:val="24"/>
      <w:lang w:val="en-US" w:eastAsia="zh-CN" w:bidi="ar-SA"/>
    </w:rPr>
  </w:style>
  <w:style w:type="paragraph" w:customStyle="1" w:styleId="239">
    <w:name w:val="Default"/>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0">
    <w:name w:val="style91"/>
    <w:qFormat/>
    <w:uiPriority w:val="0"/>
    <w:rPr>
      <w:color w:val="333333"/>
    </w:rPr>
  </w:style>
  <w:style w:type="character" w:customStyle="1" w:styleId="241">
    <w:name w:val="列出段落 Char2"/>
    <w:qFormat/>
    <w:uiPriority w:val="34"/>
    <w:rPr>
      <w:rFonts w:ascii="Calibri" w:hAnsi="Calibri"/>
      <w:kern w:val="2"/>
      <w:sz w:val="28"/>
    </w:rPr>
  </w:style>
  <w:style w:type="character" w:customStyle="1" w:styleId="242">
    <w:name w:val="mdeck"/>
    <w:qFormat/>
    <w:uiPriority w:val="0"/>
    <w:rPr>
      <w:rFonts w:ascii="仿宋_GB2312" w:eastAsia="微软雅黑"/>
      <w:b/>
      <w:kern w:val="2"/>
      <w:sz w:val="32"/>
      <w:szCs w:val="32"/>
      <w:lang w:val="en-US" w:eastAsia="zh-CN" w:bidi="ar-SA"/>
    </w:rPr>
  </w:style>
  <w:style w:type="character" w:customStyle="1" w:styleId="243">
    <w:name w:val="unnamed11"/>
    <w:qFormat/>
    <w:uiPriority w:val="0"/>
    <w:rPr>
      <w:sz w:val="20"/>
      <w:szCs w:val="20"/>
    </w:rPr>
  </w:style>
  <w:style w:type="character" w:customStyle="1" w:styleId="244">
    <w:name w:val="正文文本 Char2"/>
    <w:semiHidden/>
    <w:qFormat/>
    <w:uiPriority w:val="99"/>
    <w:rPr>
      <w:rFonts w:ascii="Times New Roman" w:hAnsi="Times New Roman" w:eastAsia="宋体" w:cs="Times New Roman"/>
      <w:snapToGrid w:val="0"/>
      <w:kern w:val="0"/>
      <w:szCs w:val="24"/>
    </w:rPr>
  </w:style>
  <w:style w:type="character" w:customStyle="1" w:styleId="245">
    <w:name w:val="标书正文格式 Char"/>
    <w:qFormat/>
    <w:uiPriority w:val="0"/>
    <w:rPr>
      <w:rFonts w:eastAsia="楷体_GB2312"/>
      <w:kern w:val="2"/>
      <w:sz w:val="24"/>
      <w:szCs w:val="24"/>
      <w:lang w:bidi="ar-SA"/>
    </w:rPr>
  </w:style>
  <w:style w:type="character" w:customStyle="1" w:styleId="246">
    <w:name w:val="Char Char11"/>
    <w:qFormat/>
    <w:locked/>
    <w:uiPriority w:val="0"/>
    <w:rPr>
      <w:rFonts w:ascii="宋体" w:hAnsi="宋体" w:eastAsia="宋体"/>
      <w:b/>
      <w:kern w:val="2"/>
      <w:sz w:val="24"/>
      <w:szCs w:val="24"/>
      <w:lang w:val="en-US" w:eastAsia="zh-CN" w:bidi="ar-SA"/>
    </w:rPr>
  </w:style>
  <w:style w:type="character" w:customStyle="1" w:styleId="247">
    <w:name w:val="ca-131"/>
    <w:qFormat/>
    <w:uiPriority w:val="0"/>
    <w:rPr>
      <w:rFonts w:hint="eastAsia" w:ascii="仿宋_GB2312" w:eastAsia="仿宋_GB2312"/>
      <w:b/>
      <w:bCs/>
      <w:color w:val="000000"/>
      <w:spacing w:val="-20"/>
      <w:sz w:val="24"/>
      <w:szCs w:val="24"/>
    </w:rPr>
  </w:style>
  <w:style w:type="character" w:customStyle="1" w:styleId="248">
    <w:name w:val="tw4winMark"/>
    <w:qFormat/>
    <w:uiPriority w:val="0"/>
    <w:rPr>
      <w:rFonts w:ascii="Courier New" w:hAnsi="Courier New" w:cs="Courier New"/>
      <w:vanish/>
      <w:color w:val="800080"/>
      <w:sz w:val="24"/>
      <w:szCs w:val="24"/>
      <w:vertAlign w:val="subscript"/>
    </w:rPr>
  </w:style>
  <w:style w:type="character" w:customStyle="1" w:styleId="249">
    <w:name w:val="正文样式 Char"/>
    <w:link w:val="250"/>
    <w:qFormat/>
    <w:uiPriority w:val="0"/>
    <w:rPr>
      <w:rFonts w:ascii="Calibri" w:hAnsi="Calibri"/>
      <w:sz w:val="24"/>
      <w:szCs w:val="24"/>
    </w:rPr>
  </w:style>
  <w:style w:type="paragraph" w:customStyle="1" w:styleId="250">
    <w:name w:val="正文样式"/>
    <w:basedOn w:val="1"/>
    <w:link w:val="249"/>
    <w:qFormat/>
    <w:uiPriority w:val="0"/>
    <w:pPr>
      <w:adjustRightInd/>
      <w:spacing w:line="360" w:lineRule="auto"/>
      <w:ind w:firstLine="480" w:firstLineChars="200"/>
    </w:pPr>
    <w:rPr>
      <w:kern w:val="0"/>
      <w:sz w:val="24"/>
    </w:rPr>
  </w:style>
  <w:style w:type="character" w:customStyle="1" w:styleId="251">
    <w:name w:val="表正文 Char3"/>
    <w:qFormat/>
    <w:uiPriority w:val="0"/>
    <w:rPr>
      <w:rFonts w:eastAsia="宋体"/>
    </w:rPr>
  </w:style>
  <w:style w:type="character" w:customStyle="1" w:styleId="252">
    <w:name w:val="H5 Char"/>
    <w:qFormat/>
    <w:uiPriority w:val="0"/>
    <w:rPr>
      <w:b/>
      <w:bCs/>
      <w:kern w:val="2"/>
      <w:sz w:val="28"/>
      <w:szCs w:val="28"/>
    </w:rPr>
  </w:style>
  <w:style w:type="character" w:customStyle="1" w:styleId="253">
    <w:name w:val="Char Char3"/>
    <w:qFormat/>
    <w:uiPriority w:val="0"/>
    <w:rPr>
      <w:rFonts w:eastAsia="宋体"/>
      <w:kern w:val="2"/>
      <w:sz w:val="21"/>
      <w:szCs w:val="24"/>
      <w:lang w:val="en-US" w:eastAsia="zh-CN" w:bidi="ar-SA"/>
    </w:rPr>
  </w:style>
  <w:style w:type="character" w:customStyle="1" w:styleId="254">
    <w:name w:val="正文 编号 Char"/>
    <w:qFormat/>
    <w:uiPriority w:val="0"/>
    <w:rPr>
      <w:rFonts w:ascii="仿宋_GB2312" w:hAnsi="仿宋_GB2312" w:eastAsia="仿宋_GB2312"/>
      <w:kern w:val="2"/>
      <w:sz w:val="24"/>
      <w:lang w:bidi="ar-SA"/>
    </w:rPr>
  </w:style>
  <w:style w:type="character" w:customStyle="1" w:styleId="255">
    <w:name w:val="question-title2"/>
    <w:qFormat/>
    <w:uiPriority w:val="6"/>
    <w:rPr>
      <w:rFonts w:ascii="Arial" w:hAnsi="Arial" w:eastAsia="黑体" w:cs="Arial"/>
      <w:snapToGrid w:val="0"/>
      <w:kern w:val="0"/>
      <w:szCs w:val="21"/>
    </w:rPr>
  </w:style>
  <w:style w:type="character" w:customStyle="1" w:styleId="256">
    <w:name w:val="gf正文1 Char Char"/>
    <w:link w:val="257"/>
    <w:qFormat/>
    <w:uiPriority w:val="0"/>
    <w:rPr>
      <w:rFonts w:ascii="宋体" w:hAnsi="宋体" w:cs="宋体"/>
      <w:kern w:val="2"/>
      <w:sz w:val="24"/>
      <w:szCs w:val="24"/>
    </w:rPr>
  </w:style>
  <w:style w:type="paragraph" w:customStyle="1" w:styleId="257">
    <w:name w:val="gf正文1"/>
    <w:basedOn w:val="1"/>
    <w:link w:val="256"/>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qFormat/>
    <w:uiPriority w:val="6"/>
    <w:rPr>
      <w:rFonts w:ascii="宋体" w:hAnsi="宋体"/>
      <w:kern w:val="1"/>
      <w:sz w:val="21"/>
    </w:rPr>
  </w:style>
  <w:style w:type="character" w:customStyle="1" w:styleId="259">
    <w:name w:val="正文缩进 Char3"/>
    <w:qFormat/>
    <w:uiPriority w:val="0"/>
    <w:rPr>
      <w:rFonts w:ascii="宋体" w:eastAsia="宋体"/>
      <w:snapToGrid w:val="0"/>
      <w:color w:val="000000"/>
      <w:kern w:val="28"/>
      <w:sz w:val="28"/>
      <w:lang w:val="en-US" w:eastAsia="zh-CN" w:bidi="ar-SA"/>
    </w:rPr>
  </w:style>
  <w:style w:type="character" w:customStyle="1" w:styleId="260">
    <w:name w:val="列出段落 Char1"/>
    <w:link w:val="261"/>
    <w:qFormat/>
    <w:uiPriority w:val="0"/>
    <w:rPr>
      <w:rFonts w:ascii="Calibri" w:hAnsi="Calibri"/>
      <w:sz w:val="24"/>
      <w:lang w:eastAsia="en-US"/>
    </w:rPr>
  </w:style>
  <w:style w:type="paragraph" w:customStyle="1" w:styleId="261">
    <w:name w:val="列表1"/>
    <w:basedOn w:val="1"/>
    <w:next w:val="80"/>
    <w:link w:val="260"/>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4"/>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2"/>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58"/>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7"/>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0"/>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HTML 预设格式 Char"/>
    <w:link w:val="56"/>
    <w:qFormat/>
    <w:uiPriority w:val="0"/>
    <w:rPr>
      <w:rFonts w:ascii="黑体" w:hAnsi="Courier New" w:eastAsia="黑体"/>
    </w:rPr>
  </w:style>
  <w:style w:type="character" w:customStyle="1" w:styleId="304">
    <w:name w:val="正文文本 2 Char1"/>
    <w:link w:val="55"/>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9"/>
    <w:qFormat/>
    <w:uiPriority w:val="0"/>
    <w:rPr>
      <w:b/>
      <w:bCs/>
      <w:kern w:val="2"/>
      <w:sz w:val="24"/>
      <w:szCs w:val="24"/>
    </w:rPr>
  </w:style>
  <w:style w:type="character" w:customStyle="1" w:styleId="310">
    <w:name w:val="正文文本缩进 2 Char"/>
    <w:link w:val="36"/>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49"/>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0"/>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6"/>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99"/>
    <w:rPr>
      <w:kern w:val="2"/>
      <w:sz w:val="21"/>
      <w:szCs w:val="24"/>
    </w:rPr>
  </w:style>
  <w:style w:type="character" w:customStyle="1" w:styleId="347">
    <w:name w:val="签名 Char"/>
    <w:link w:val="41"/>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6"/>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9"/>
    <w:next w:val="239"/>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9"/>
    <w:next w:val="239"/>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Lines="0" w:afterLines="0"/>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Lines="50"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80"/>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8565075-17AE-4B01-B84A-5FF0B78B5FC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35913</Words>
  <Characters>38055</Characters>
  <Lines>289</Lines>
  <Paragraphs>81</Paragraphs>
  <TotalTime>2</TotalTime>
  <ScaleCrop>false</ScaleCrop>
  <LinksUpToDate>false</LinksUpToDate>
  <CharactersWithSpaces>39459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苑洪春</cp:lastModifiedBy>
  <cp:lastPrinted>2021-12-28T03:06:00Z</cp:lastPrinted>
  <dcterms:modified xsi:type="dcterms:W3CDTF">2025-03-31T08:50:48Z</dcterms:modified>
  <dc:title>杭州市市民卡扩大发卡工程</dc:title>
  <cp:revision>306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C865E057CA734CA48968CDA8754D05E7_13</vt:lpwstr>
  </property>
  <property fmtid="{D5CDD505-2E9C-101B-9397-08002B2CF9AE}" pid="5" name="KSOTemplateDocerSaveRecord">
    <vt:lpwstr>eyJoZGlkIjoiMDZhOTNhZDU1NjQyYTg1NTM1M2FiYjk5YmFmNDc3OTciLCJ1c2VySWQiOiI0MjY5NDY4MTgifQ==</vt:lpwstr>
  </property>
</Properties>
</file>