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8"/>
          <w:szCs w:val="48"/>
          <w:highlight w:val="none"/>
        </w:rPr>
      </w:pPr>
    </w:p>
    <w:p>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杭州市第三人民医院</w:t>
      </w:r>
    </w:p>
    <w:p>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制剂包装材料塑料内包材采购</w:t>
      </w:r>
    </w:p>
    <w:p>
      <w:pPr>
        <w:pStyle w:val="60"/>
        <w:rPr>
          <w:color w:val="auto"/>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项目编号:</w:t>
      </w:r>
      <w:r>
        <w:rPr>
          <w:rFonts w:hint="eastAsia" w:ascii="仿宋" w:hAnsi="仿宋" w:eastAsia="仿宋" w:cs="仿宋"/>
          <w:color w:val="auto"/>
          <w:w w:val="80"/>
          <w:sz w:val="30"/>
          <w:szCs w:val="30"/>
          <w:highlight w:val="none"/>
          <w:lang w:eastAsia="zh-CN" w:bidi="th-TH"/>
        </w:rPr>
        <w:t>ZJ-2433185-02二次</w:t>
      </w:r>
    </w:p>
    <w:p>
      <w:pPr>
        <w:spacing w:line="360" w:lineRule="auto"/>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仿宋" w:hAnsi="仿宋" w:eastAsia="仿宋" w:cs="仿宋"/>
          <w:color w:val="auto"/>
          <w:sz w:val="24"/>
          <w:highlight w:val="none"/>
        </w:rPr>
      </w:pPr>
    </w:p>
    <w:p>
      <w:pPr>
        <w:rPr>
          <w:rFonts w:ascii="仿宋" w:hAnsi="仿宋" w:eastAsia="仿宋" w:cs="仿宋"/>
          <w:color w:val="auto"/>
          <w:highlight w:val="none"/>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杭州市第三人民医院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12</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bookmarkStart w:id="0" w:name="_Hlt67893495"/>
      <w:bookmarkEnd w:id="0"/>
    </w:p>
    <w:p>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杭州市第三人民医院制剂包装材料塑料内包材采购</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2025年1月10日</w:t>
      </w:r>
      <w:r>
        <w:rPr>
          <w:rFonts w:hint="eastAsia" w:ascii="仿宋" w:hAnsi="仿宋" w:eastAsia="仿宋" w:cs="仿宋"/>
          <w:color w:val="auto"/>
          <w:sz w:val="24"/>
          <w:highlight w:val="none"/>
          <w:u w:val="single"/>
          <w:lang w:val="en-US" w:eastAsia="zh-CN"/>
        </w:rPr>
        <w:t>13点30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ZJ-2433185-02二次</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杭州市第三人民医院制剂包装材料塑料内包材采购</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bCs/>
          <w:color w:val="auto"/>
          <w:sz w:val="24"/>
          <w:highlight w:val="none"/>
        </w:rPr>
        <w:t>.00</w:t>
      </w:r>
    </w:p>
    <w:p>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color w:val="auto"/>
          <w:sz w:val="24"/>
          <w:szCs w:val="24"/>
          <w:highlight w:val="none"/>
          <w:lang w:val="en-US" w:eastAsia="zh-CN"/>
        </w:rPr>
        <w:t>.00</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5"/>
        <w:spacing w:line="360" w:lineRule="auto"/>
        <w:ind w:firstLine="480"/>
        <w:rPr>
          <w:rFonts w:hint="eastAsia" w:ascii="仿宋" w:hAnsi="仿宋" w:eastAsia="仿宋" w:cs="仿宋"/>
          <w:b/>
          <w:snapToGrid/>
          <w:color w:val="auto"/>
          <w:kern w:val="2"/>
          <w:sz w:val="24"/>
          <w:szCs w:val="24"/>
          <w:highlight w:val="none"/>
          <w:lang w:eastAsia="zh-CN"/>
        </w:rPr>
      </w:pPr>
      <w:r>
        <w:rPr>
          <w:rFonts w:hint="eastAsia" w:ascii="仿宋" w:hAnsi="仿宋" w:eastAsia="仿宋" w:cs="仿宋"/>
          <w:b/>
          <w:snapToGrid/>
          <w:color w:val="auto"/>
          <w:kern w:val="2"/>
          <w:sz w:val="24"/>
          <w:szCs w:val="24"/>
          <w:highlight w:val="none"/>
        </w:rPr>
        <w:t>标项</w:t>
      </w:r>
      <w:r>
        <w:rPr>
          <w:rFonts w:hint="eastAsia" w:ascii="仿宋" w:hAnsi="仿宋" w:eastAsia="仿宋" w:cs="仿宋"/>
          <w:b/>
          <w:snapToGrid/>
          <w:color w:val="auto"/>
          <w:kern w:val="2"/>
          <w:sz w:val="24"/>
          <w:szCs w:val="24"/>
          <w:highlight w:val="none"/>
          <w:lang w:eastAsia="zh-CN"/>
        </w:rPr>
        <w:t>一</w:t>
      </w:r>
    </w:p>
    <w:p>
      <w:pPr>
        <w:pStyle w:val="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snapToGrid/>
          <w:color w:val="auto"/>
          <w:kern w:val="2"/>
          <w:sz w:val="24"/>
          <w:szCs w:val="24"/>
          <w:highlight w:val="none"/>
          <w:lang w:eastAsia="zh-CN"/>
        </w:rPr>
        <w:t>制剂包装材料塑料内包材采购</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数量：1批</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00000</w:t>
      </w:r>
      <w:r>
        <w:rPr>
          <w:rFonts w:hint="eastAsia" w:ascii="仿宋" w:hAnsi="仿宋" w:eastAsia="仿宋" w:cs="仿宋"/>
          <w:snapToGrid/>
          <w:color w:val="auto"/>
          <w:kern w:val="2"/>
          <w:sz w:val="24"/>
          <w:szCs w:val="24"/>
          <w:highlight w:val="none"/>
        </w:rPr>
        <w:t>.00</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snapToGrid/>
          <w:color w:val="auto"/>
          <w:kern w:val="2"/>
          <w:sz w:val="24"/>
          <w:szCs w:val="24"/>
          <w:highlight w:val="none"/>
          <w:lang w:eastAsia="zh-CN"/>
        </w:rPr>
        <w:t>制剂包装材料塑料内包材采购</w:t>
      </w:r>
      <w:r>
        <w:rPr>
          <w:rFonts w:hint="eastAsia" w:ascii="仿宋" w:hAnsi="仿宋" w:eastAsia="仿宋" w:cs="仿宋"/>
          <w:color w:val="auto"/>
          <w:sz w:val="24"/>
          <w:highlight w:val="none"/>
        </w:rPr>
        <w:t>1批</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pStyle w:val="5"/>
        <w:spacing w:line="360" w:lineRule="auto"/>
        <w:ind w:firstLine="0"/>
        <w:rPr>
          <w:rFonts w:ascii="仿宋" w:hAnsi="仿宋" w:eastAsia="仿宋" w:cs="仿宋"/>
          <w:b/>
          <w:color w:val="auto"/>
          <w:sz w:val="24"/>
          <w:highlight w:val="none"/>
        </w:rPr>
      </w:pP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合同履约期限：按照招标文件要求。</w:t>
      </w:r>
    </w:p>
    <w:p>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47467252"/>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_GB2312" w:hAnsi="仿宋" w:eastAsia="仿宋_GB2312"/>
                  <w:color w:val="auto"/>
                  <w:sz w:val="24"/>
                  <w:highlight w:val="none"/>
                </w:rPr>
                <w:t>货物全部由符合政策要求的中小企业制造，提供中小企业声明函</w:t>
              </w:r>
            </w:sdtContent>
          </w:sdt>
          <w:r>
            <w:rPr>
              <w:rFonts w:hint="eastAsia" w:ascii="仿宋" w:hAnsi="仿宋" w:eastAsia="仿宋" w:cs="仿宋"/>
              <w:color w:val="auto"/>
              <w:sz w:val="24"/>
              <w:highlight w:val="none"/>
            </w:rPr>
            <w:t xml:space="preserve">； </w:t>
          </w:r>
        </w:sdtContent>
      </w:sdt>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i w:val="0"/>
          <w:iCs w:val="0"/>
          <w:caps w:val="0"/>
          <w:color w:val="auto"/>
          <w:spacing w:val="0"/>
          <w:sz w:val="22"/>
          <w:szCs w:val="22"/>
          <w:highlight w:val="none"/>
          <w:lang w:val="en-US" w:eastAsia="zh-CN"/>
        </w:rPr>
        <w:t>无</w:t>
      </w:r>
      <w:r>
        <w:rPr>
          <w:rFonts w:hint="eastAsia" w:ascii="仿宋" w:hAnsi="仿宋" w:eastAsia="仿宋" w:cs="仿宋"/>
          <w:color w:val="auto"/>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2025年1月10日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2025年1月10日</w:t>
      </w:r>
      <w:r>
        <w:rPr>
          <w:rFonts w:hint="eastAsia" w:ascii="仿宋" w:hAnsi="仿宋" w:eastAsia="仿宋" w:cs="仿宋"/>
          <w:color w:val="auto"/>
          <w:sz w:val="24"/>
          <w:highlight w:val="none"/>
          <w:u w:val="single"/>
          <w:lang w:val="en-US" w:eastAsia="zh-CN"/>
        </w:rPr>
        <w:t>13点30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2025年1月10日</w:t>
      </w:r>
      <w:r>
        <w:rPr>
          <w:rFonts w:hint="eastAsia" w:ascii="仿宋" w:hAnsi="仿宋" w:eastAsia="仿宋" w:cs="仿宋"/>
          <w:color w:val="auto"/>
          <w:sz w:val="24"/>
          <w:highlight w:val="none"/>
          <w:u w:val="single"/>
          <w:lang w:val="en-US" w:eastAsia="zh-CN"/>
        </w:rPr>
        <w:t>13点30</w:t>
      </w:r>
      <w:r>
        <w:rPr>
          <w:rFonts w:hint="eastAsia" w:ascii="仿宋" w:hAnsi="仿宋" w:eastAsia="仿宋" w:cs="仿宋"/>
          <w:color w:val="auto"/>
          <w:sz w:val="24"/>
          <w:highlight w:val="none"/>
          <w:u w:val="single"/>
        </w:rPr>
        <w:t>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pacing w:line="360" w:lineRule="auto"/>
        <w:rPr>
          <w:rStyle w:val="76"/>
          <w:rFonts w:hint="eastAsia"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https://zfcg.czt.zj.gov.cn/site/detail?parentId=600007&amp;articleId=mgMPOcmslXRNn3bbhK2bYA%3D%3D&amp;utm=site.site-PC-37000.979-pc-websitegroup-zhejiang-secondPage-front.39.8596f510c16311ee81e045cc5cb4bdd0</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杭州市第三人民医院</w:t>
      </w:r>
      <w:r>
        <w:rPr>
          <w:rFonts w:hint="eastAsia" w:ascii="仿宋" w:hAnsi="仿宋" w:eastAsia="仿宋" w:cs="仿宋"/>
          <w:color w:val="auto"/>
          <w:sz w:val="24"/>
          <w:szCs w:val="24"/>
          <w:highlight w:val="none"/>
        </w:rPr>
        <w:t>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 </w:t>
      </w:r>
      <w:r>
        <w:rPr>
          <w:rFonts w:ascii="仿宋" w:hAnsi="仿宋" w:eastAsia="仿宋" w:cs="仿宋"/>
          <w:color w:val="auto"/>
          <w:szCs w:val="21"/>
          <w:highlight w:val="none"/>
        </w:rPr>
        <w:t>杭州市上城区</w:t>
      </w:r>
      <w:r>
        <w:rPr>
          <w:rFonts w:hint="eastAsia" w:ascii="仿宋" w:hAnsi="仿宋" w:eastAsia="仿宋" w:cs="仿宋"/>
          <w:color w:val="auto"/>
          <w:szCs w:val="21"/>
          <w:highlight w:val="none"/>
        </w:rPr>
        <w:t>西湖大道38</w:t>
      </w:r>
      <w:r>
        <w:rPr>
          <w:rFonts w:ascii="仿宋" w:hAnsi="仿宋" w:eastAsia="仿宋" w:cs="仿宋"/>
          <w:color w:val="auto"/>
          <w:szCs w:val="21"/>
          <w:highlight w:val="none"/>
        </w:rPr>
        <w:t>号</w:t>
      </w:r>
      <w:r>
        <w:rPr>
          <w:rFonts w:hint="eastAsia" w:ascii="仿宋" w:hAnsi="仿宋" w:eastAsia="仿宋" w:cs="仿宋"/>
          <w:color w:val="auto"/>
          <w:sz w:val="24"/>
          <w:szCs w:val="24"/>
          <w:highlight w:val="none"/>
        </w:rPr>
        <w:t>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项目联系人（询问）：  </w:t>
      </w:r>
      <w:r>
        <w:rPr>
          <w:rFonts w:hint="eastAsia" w:ascii="仿宋" w:hAnsi="仿宋" w:eastAsia="仿宋" w:cs="仿宋"/>
          <w:color w:val="auto"/>
          <w:sz w:val="24"/>
          <w:szCs w:val="24"/>
          <w:highlight w:val="none"/>
          <w:lang w:val="en-US" w:eastAsia="zh-CN"/>
        </w:rPr>
        <w:t>徐主任</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项目联系方式（询问）：0571-87823128</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_GB2312" w:hAnsi="仿宋" w:eastAsia="仿宋_GB2312"/>
          <w:color w:val="auto"/>
          <w:sz w:val="24"/>
          <w:highlight w:val="none"/>
          <w:lang w:val="en-US" w:eastAsia="zh-CN"/>
        </w:rPr>
        <w:t>吴晓云</w:t>
      </w:r>
      <w:r>
        <w:rPr>
          <w:rFonts w:hint="eastAsia" w:ascii="仿宋" w:hAnsi="仿宋" w:eastAsia="仿宋" w:cs="仿宋"/>
          <w:color w:val="auto"/>
          <w:sz w:val="24"/>
          <w:szCs w:val="24"/>
          <w:highlight w:val="none"/>
        </w:rPr>
        <w:t>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_GB2312" w:hAnsi="仿宋" w:eastAsia="仿宋_GB2312"/>
          <w:color w:val="auto"/>
          <w:sz w:val="24"/>
          <w:highlight w:val="none"/>
          <w:lang w:val="en-US" w:eastAsia="zh-CN"/>
        </w:rPr>
        <w:t>0571-87823159</w:t>
      </w:r>
      <w:r>
        <w:rPr>
          <w:rFonts w:hint="eastAsia" w:ascii="仿宋" w:hAnsi="仿宋" w:eastAsia="仿宋" w:cs="仿宋"/>
          <w:color w:val="auto"/>
          <w:sz w:val="24"/>
          <w:szCs w:val="24"/>
          <w:highlight w:val="none"/>
        </w:rPr>
        <w:t>（请通过以下路径在线提起质疑：政采云-项目采购-询问质疑投诉-质疑列表）</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2.采购代理机构信息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称：浙江国际招投标有限公司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址：浙江省杭州市西湖区文三路90号东部软件园1号楼3楼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 w:hAnsi="仿宋" w:eastAsia="仿宋" w:cs="仿宋"/>
          <w:color w:val="auto"/>
          <w:sz w:val="24"/>
          <w:szCs w:val="24"/>
          <w:highlight w:val="none"/>
          <w:lang w:val="en-US" w:eastAsia="zh-CN"/>
        </w:rPr>
        <w:t>苑洪春</w:t>
      </w:r>
      <w:r>
        <w:rPr>
          <w:rFonts w:hint="eastAsia" w:ascii="仿宋" w:hAnsi="仿宋" w:eastAsia="仿宋" w:cs="仿宋"/>
          <w:color w:val="auto"/>
          <w:sz w:val="24"/>
          <w:szCs w:val="24"/>
          <w:highlight w:val="none"/>
        </w:rPr>
        <w:t>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项目联系方式（询问）：0571-81061814</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张域</w:t>
      </w:r>
      <w:r>
        <w:rPr>
          <w:rFonts w:hint="eastAsia" w:ascii="仿宋" w:hAnsi="仿宋" w:eastAsia="仿宋" w:cs="仿宋"/>
          <w:color w:val="auto"/>
          <w:sz w:val="24"/>
          <w:szCs w:val="24"/>
          <w:highlight w:val="none"/>
        </w:rPr>
        <w:t>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（请通过以下路径在线提起质疑：政采云-项目采购-询问质疑投诉-质疑列表）　　　　　　     </w:t>
      </w:r>
    </w:p>
    <w:p>
      <w:pPr>
        <w:pStyle w:val="57"/>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3.</w:t>
      </w:r>
      <w:r>
        <w:rPr>
          <w:rStyle w:val="79"/>
          <w:rFonts w:hint="eastAsia" w:ascii="仿宋" w:hAnsi="仿宋" w:eastAsia="仿宋" w:cs="仿宋"/>
          <w:color w:val="auto"/>
          <w:sz w:val="24"/>
          <w:szCs w:val="24"/>
          <w:highlight w:val="none"/>
        </w:rPr>
        <w:t>同级政府采购监督管理部门</w:t>
      </w:r>
    </w:p>
    <w:p>
      <w:pPr>
        <w:pStyle w:val="57"/>
        <w:spacing w:before="0" w:beforeAutospacing="0" w:after="0"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   名    称：杭州市财政局政府采购监管处、浙江省政府采购行政裁决服务中心（杭州）</w:t>
      </w:r>
    </w:p>
    <w:p>
      <w:pPr>
        <w:pStyle w:val="57"/>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地    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p>
    <w:p>
      <w:pPr>
        <w:pStyle w:val="57"/>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传    真：</w:t>
      </w:r>
    </w:p>
    <w:p>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pPr>
        <w:pStyle w:val="57"/>
        <w:keepNext w:val="0"/>
        <w:keepLines w:val="0"/>
        <w:pageBreakBefore w:val="0"/>
        <w:widowControl/>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监督投诉电话：0571-8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（仅限投诉事项）</w:t>
      </w:r>
    </w:p>
    <w:p>
      <w:pPr>
        <w:spacing w:line="360" w:lineRule="auto"/>
        <w:rPr>
          <w:rFonts w:hint="eastAsia" w:ascii="仿宋" w:hAnsi="仿宋" w:eastAsia="仿宋" w:cs="仿宋"/>
          <w:color w:val="auto"/>
          <w:sz w:val="24"/>
          <w:highlight w:val="none"/>
          <w:lang w:eastAsia="zh-CN"/>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261"/>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投标人须知</w:t>
      </w:r>
      <w:bookmarkEnd w:id="10"/>
      <w:bookmarkEnd w:id="12"/>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仿宋" w:hAnsi="仿宋" w:eastAsia="宋体" w:cs="仿宋"/>
                <w:color w:val="auto"/>
                <w:sz w:val="24"/>
                <w:highlight w:val="none"/>
                <w:lang w:eastAsia="zh-CN"/>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u w:val="single"/>
                <w:lang w:val="en-US" w:eastAsia="zh-CN" w:bidi="ar"/>
              </w:rPr>
              <w:t>100mlPET棕色瓶</w:t>
            </w:r>
            <w:r>
              <w:rPr>
                <w:rFonts w:hint="eastAsia" w:ascii="仿宋" w:hAnsi="仿宋" w:eastAsia="仿宋" w:cs="仿宋"/>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（1）标的：</w:t>
            </w:r>
            <w:r>
              <w:rPr>
                <w:rFonts w:hint="eastAsia" w:ascii="仿宋" w:hAnsi="仿宋" w:eastAsia="仿宋" w:cs="仿宋"/>
                <w:color w:val="auto"/>
                <w:kern w:val="2"/>
                <w:sz w:val="24"/>
                <w:szCs w:val="24"/>
                <w:highlight w:val="none"/>
                <w:u w:val="single"/>
                <w:lang w:val="en-US" w:eastAsia="zh-CN" w:bidi="ar"/>
              </w:rPr>
              <w:t>100mlPET棕色瓶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（2）标的：</w:t>
            </w:r>
            <w:r>
              <w:rPr>
                <w:rFonts w:hint="eastAsia" w:ascii="仿宋" w:hAnsi="仿宋" w:eastAsia="仿宋" w:cs="仿宋"/>
                <w:color w:val="auto"/>
                <w:kern w:val="2"/>
                <w:sz w:val="24"/>
                <w:szCs w:val="24"/>
                <w:highlight w:val="none"/>
                <w:u w:val="single"/>
                <w:lang w:val="en-US" w:eastAsia="zh-CN" w:bidi="ar"/>
              </w:rPr>
              <w:t>200mlPET无色瓶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kern w:val="2"/>
                <w:sz w:val="24"/>
                <w:szCs w:val="24"/>
                <w:highlight w:val="none"/>
                <w:u w:val="single"/>
                <w:lang w:val="en-US" w:eastAsia="zh-CN" w:bidi="ar"/>
              </w:rPr>
            </w:pPr>
            <w:r>
              <w:rPr>
                <w:rFonts w:hint="eastAsia" w:ascii="仿宋" w:hAnsi="仿宋" w:eastAsia="仿宋" w:cs="仿宋"/>
                <w:color w:val="auto"/>
                <w:sz w:val="24"/>
                <w:highlight w:val="none"/>
                <w:lang w:val="en-US" w:eastAsia="zh-CN"/>
              </w:rPr>
              <w:t>（3）标的：</w:t>
            </w:r>
            <w:r>
              <w:rPr>
                <w:rFonts w:hint="eastAsia" w:ascii="仿宋" w:hAnsi="仿宋" w:eastAsia="仿宋" w:cs="仿宋"/>
                <w:color w:val="auto"/>
                <w:kern w:val="2"/>
                <w:sz w:val="24"/>
                <w:szCs w:val="24"/>
                <w:highlight w:val="none"/>
                <w:u w:val="single"/>
                <w:lang w:val="en-US" w:eastAsia="zh-CN" w:bidi="ar"/>
              </w:rPr>
              <w:t>500mlPET棕色瓶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（4）标的：</w:t>
            </w:r>
            <w:r>
              <w:rPr>
                <w:rFonts w:hint="eastAsia" w:ascii="仿宋" w:hAnsi="仿宋" w:eastAsia="仿宋" w:cs="仿宋"/>
                <w:color w:val="auto"/>
                <w:kern w:val="2"/>
                <w:sz w:val="24"/>
                <w:szCs w:val="24"/>
                <w:highlight w:val="none"/>
                <w:u w:val="single"/>
                <w:lang w:val="en-US" w:eastAsia="zh-CN" w:bidi="ar"/>
              </w:rPr>
              <w:t>500mlPET无色瓶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（5）标的：</w:t>
            </w:r>
            <w:r>
              <w:rPr>
                <w:rFonts w:hint="eastAsia" w:ascii="仿宋" w:hAnsi="仿宋" w:eastAsia="仿宋" w:cs="仿宋"/>
                <w:color w:val="auto"/>
                <w:kern w:val="2"/>
                <w:sz w:val="24"/>
                <w:szCs w:val="24"/>
                <w:highlight w:val="none"/>
                <w:u w:val="single"/>
                <w:lang w:val="en-US" w:eastAsia="zh-CN" w:bidi="ar"/>
              </w:rPr>
              <w:t>20mlLDPE棕色瓶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（6）标的：</w:t>
            </w:r>
            <w:r>
              <w:rPr>
                <w:rFonts w:hint="eastAsia" w:ascii="仿宋" w:hAnsi="仿宋" w:eastAsia="仿宋" w:cs="仿宋"/>
                <w:color w:val="auto"/>
                <w:kern w:val="2"/>
                <w:sz w:val="24"/>
                <w:szCs w:val="24"/>
                <w:highlight w:val="none"/>
                <w:u w:val="single"/>
                <w:lang w:val="en-US" w:eastAsia="zh-CN" w:bidi="ar"/>
              </w:rPr>
              <w:t>10mlLDPE无色滴眼瓶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（7）标的：</w:t>
            </w:r>
            <w:r>
              <w:rPr>
                <w:rFonts w:hint="eastAsia" w:ascii="仿宋" w:hAnsi="仿宋" w:eastAsia="仿宋" w:cs="仿宋"/>
                <w:color w:val="auto"/>
                <w:kern w:val="2"/>
                <w:sz w:val="24"/>
                <w:szCs w:val="24"/>
                <w:highlight w:val="none"/>
                <w:u w:val="single"/>
                <w:lang w:val="en-US" w:eastAsia="zh-CN" w:bidi="ar"/>
              </w:rPr>
              <w:t>100mlHDPE白色瓶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（8）标的：</w:t>
            </w:r>
            <w:r>
              <w:rPr>
                <w:rFonts w:hint="eastAsia" w:ascii="仿宋" w:hAnsi="仿宋" w:eastAsia="仿宋" w:cs="仿宋"/>
                <w:color w:val="auto"/>
                <w:kern w:val="2"/>
                <w:sz w:val="24"/>
                <w:szCs w:val="24"/>
                <w:highlight w:val="none"/>
                <w:u w:val="single"/>
                <w:lang w:val="en-US" w:eastAsia="zh-CN" w:bidi="ar"/>
              </w:rPr>
              <w:t>100mlHDPE蓝色瓶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color w:val="auto"/>
                <w:highlight w:val="none"/>
              </w:rPr>
            </w:pPr>
            <w:r>
              <w:rPr>
                <w:rFonts w:hint="eastAsia" w:ascii="仿宋" w:hAnsi="仿宋" w:eastAsia="仿宋" w:cs="仿宋"/>
                <w:color w:val="auto"/>
                <w:sz w:val="24"/>
                <w:highlight w:val="none"/>
                <w:lang w:val="en-US" w:eastAsia="zh-CN"/>
              </w:rPr>
              <w:t>（9）标的：</w:t>
            </w:r>
            <w:r>
              <w:rPr>
                <w:rFonts w:hint="eastAsia" w:ascii="仿宋" w:hAnsi="仿宋" w:eastAsia="仿宋" w:cs="仿宋"/>
                <w:color w:val="auto"/>
                <w:kern w:val="2"/>
                <w:sz w:val="24"/>
                <w:szCs w:val="24"/>
                <w:highlight w:val="none"/>
                <w:u w:val="single"/>
                <w:lang w:val="en-US" w:eastAsia="zh-CN" w:bidi="ar"/>
              </w:rPr>
              <w:t>30gHDPE固体瓶</w:t>
            </w:r>
            <w:r>
              <w:rPr>
                <w:rFonts w:hint="eastAsia" w:ascii="仿宋" w:hAnsi="仿宋" w:eastAsia="仿宋" w:cs="仿宋"/>
                <w:color w:val="auto"/>
                <w:sz w:val="24"/>
                <w:highlight w:val="none"/>
                <w:lang w:val="en-US" w:eastAsia="zh-CN"/>
              </w:rPr>
              <w:t xml:space="preserve">，属于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lang w:val="en-US" w:eastAsia="zh-CN"/>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2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pStyle w:val="19"/>
              <w:spacing w:line="360" w:lineRule="auto"/>
              <w:rPr>
                <w:rFonts w:ascii="仿宋" w:hAnsi="仿宋" w:eastAsia="仿宋" w:cs="仿宋"/>
                <w:color w:val="auto"/>
                <w:kern w:val="0"/>
                <w:sz w:val="24"/>
                <w:highlight w:val="none"/>
              </w:rPr>
            </w:pPr>
            <w:r>
              <w:rPr>
                <w:rFonts w:hint="eastAsia" w:ascii="Wingdings" w:hAnsi="Wingdings"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highlight w:val="none"/>
              </w:rPr>
              <w:t>B要求提供，</w:t>
            </w:r>
            <w:r>
              <w:rPr>
                <w:rFonts w:hint="eastAsia" w:ascii="仿宋" w:hAnsi="仿宋" w:eastAsia="仿宋" w:cs="仿宋"/>
                <w:snapToGrid w:val="0"/>
                <w:color w:val="auto"/>
                <w:kern w:val="28"/>
                <w:sz w:val="24"/>
                <w:highlight w:val="none"/>
                <w:lang w:eastAsia="zh-CN"/>
              </w:rPr>
              <w:t>（未提供样品或提供样品不满足采购需求实质性条件的供应商，投标无效）</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详见采购文件第三部分采购需求“四、样品要求”</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国家食品药品监督管理局药品审评中心（https://www.cde.org.cn/）原辅包登记平台具备登记号，且</w:t>
            </w:r>
            <w:r>
              <w:rPr>
                <w:rFonts w:hint="eastAsia" w:ascii="仿宋" w:hAnsi="仿宋" w:eastAsia="仿宋" w:cs="仿宋"/>
                <w:color w:val="auto"/>
                <w:sz w:val="24"/>
                <w:highlight w:val="none"/>
                <w:u w:val="single"/>
              </w:rPr>
              <w:t>与制剂共同审评审批结果</w:t>
            </w:r>
            <w:r>
              <w:rPr>
                <w:rFonts w:hint="eastAsia" w:ascii="仿宋" w:hAnsi="仿宋" w:eastAsia="仿宋" w:cs="仿宋"/>
                <w:color w:val="auto"/>
                <w:sz w:val="24"/>
                <w:highlight w:val="none"/>
                <w:u w:val="single"/>
                <w:lang w:val="en-US" w:eastAsia="zh-CN"/>
              </w:rPr>
              <w:t>为“A”</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br w:type="textWrapping"/>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snapToGrid w:val="0"/>
                <w:color w:val="auto"/>
                <w:kern w:val="28"/>
                <w:sz w:val="24"/>
                <w:highlight w:val="none"/>
              </w:rPr>
              <w:t>样品分未超过价格分的50%；</w:t>
            </w:r>
          </w:p>
          <w:p>
            <w:pPr>
              <w:numPr>
                <w:ilvl w:val="0"/>
                <w:numId w:val="0"/>
              </w:numPr>
              <w:snapToGrid w:val="0"/>
              <w:spacing w:line="360" w:lineRule="auto"/>
              <w:ind w:left="0"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☐样品分超过价格分的50%，理由            。</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Wingdings" w:hAnsi="Wingdings"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否；</w:t>
            </w:r>
            <w:sdt>
              <w:sdtPr>
                <w:rPr>
                  <w:rFonts w:hint="eastAsia" w:ascii="仿宋" w:hAnsi="仿宋" w:eastAsia="仿宋" w:cs="仿宋"/>
                  <w:b w:val="0"/>
                  <w:bCs w:val="0"/>
                  <w:color w:val="auto"/>
                  <w:kern w:val="0"/>
                  <w:sz w:val="24"/>
                  <w:highlight w:val="none"/>
                </w:rPr>
                <w:id w:val="1621728433"/>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Wingdings" w:hAnsi="Wingdings" w:eastAsia="仿宋" w:cs="仿宋"/>
                    <w:b w:val="0"/>
                    <w:bCs w:val="0"/>
                    <w:color w:val="auto"/>
                    <w:kern w:val="0"/>
                    <w:sz w:val="24"/>
                    <w:szCs w:val="24"/>
                    <w:highlight w:val="none"/>
                    <w:lang w:val="en-US" w:eastAsia="zh-CN" w:bidi="ar-SA"/>
                  </w:rPr>
                  <w:t>þ</w:t>
                </w:r>
              </w:sdtContent>
            </w:sdt>
            <w:r>
              <w:rPr>
                <w:rFonts w:hint="eastAsia" w:ascii="仿宋" w:hAnsi="仿宋" w:eastAsia="仿宋" w:cs="仿宋"/>
                <w:b w:val="0"/>
                <w:bCs w:val="0"/>
                <w:color w:val="auto"/>
                <w:kern w:val="0"/>
                <w:sz w:val="24"/>
                <w:highlight w:val="none"/>
              </w:rPr>
              <w:t>是，检测机构的要求</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具有CMA认证的药品包装材料检测机构</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；检测内容</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按照标准包材全检</w:t>
            </w:r>
            <w:r>
              <w:rPr>
                <w:rFonts w:hint="eastAsia" w:ascii="仿宋" w:hAnsi="仿宋" w:eastAsia="仿宋" w:cs="仿宋"/>
                <w:b w:val="0"/>
                <w:bCs w:val="0"/>
                <w:color w:val="auto"/>
                <w:kern w:val="0"/>
                <w:sz w:val="24"/>
                <w:highlight w:val="none"/>
              </w:rPr>
              <w:t>。</w:t>
            </w:r>
          </w:p>
          <w:p>
            <w:pPr>
              <w:numPr>
                <w:ilvl w:val="0"/>
                <w:numId w:val="2"/>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投标截止时间前（可提前一个工作日递交）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杭州市文三路90号1号楼3楼307室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苑洪春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13065702633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numPr>
                <w:ilvl w:val="0"/>
                <w:numId w:val="2"/>
              </w:num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2"/>
              </w:numPr>
              <w:snapToGrid w:val="0"/>
              <w:spacing w:line="360" w:lineRule="auto"/>
              <w:ind w:left="425" w:leftChars="0" w:hanging="425"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43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l2br w:val="nil"/>
              <w:tr2bl w:val="nil"/>
            </w:tcBorders>
            <w:vAlign w:val="center"/>
          </w:tcPr>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zh-CN"/>
              </w:rPr>
              <w:t>对产品名称</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lang w:val="zh-CN"/>
              </w:rPr>
              <w:t>实施政府强制采购，投标人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p>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14748171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Wingdings" w:hAnsi="Wingdings" w:eastAsia="仿宋" w:cs="仿宋"/>
                    <w:color w:val="auto"/>
                    <w:kern w:val="0"/>
                    <w:sz w:val="24"/>
                    <w:szCs w:val="24"/>
                    <w:highlight w:val="none"/>
                    <w:lang w:val="zh-CN" w:eastAsia="zh-CN" w:bidi="ar-SA"/>
                  </w:rPr>
                  <w:t>þ</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napToGrid w:val="0"/>
              <w:spacing w:line="360" w:lineRule="auto"/>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l2br w:val="nil"/>
              <w:tr2bl w:val="nil"/>
            </w:tcBorders>
            <w:vAlign w:val="center"/>
          </w:tcPr>
          <w:p>
            <w:pPr>
              <w:pStyle w:val="32"/>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pPr>
              <w:pStyle w:val="32"/>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szCs w:val="24"/>
                <w:highlight w:val="none"/>
                <w:u w:val="single"/>
                <w:lang w:val="en-US" w:eastAsia="zh-CN"/>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13065702633</w:t>
            </w:r>
            <w:r>
              <w:rPr>
                <w:rFonts w:hint="eastAsia" w:ascii="仿宋" w:hAnsi="仿宋" w:eastAsia="仿宋" w:cs="仿宋"/>
                <w:color w:val="auto"/>
                <w:sz w:val="24"/>
                <w:szCs w:val="24"/>
                <w:highlight w:val="none"/>
              </w:rPr>
              <w:t>。</w:t>
            </w:r>
          </w:p>
          <w:p>
            <w:pPr>
              <w:pStyle w:val="32"/>
              <w:snapToGrid w:val="0"/>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采购代理服务费</w:t>
            </w:r>
          </w:p>
        </w:tc>
        <w:tc>
          <w:tcPr>
            <w:tcW w:w="6095" w:type="dxa"/>
            <w:tcBorders>
              <w:tl2br w:val="nil"/>
              <w:tr2bl w:val="nil"/>
            </w:tcBorders>
            <w:vAlign w:val="center"/>
          </w:tcPr>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本项目的采购代理费由中标人支付，以</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金额作为收费的计算基数，费用按以下计费标准的80%收取：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0.35%</w:t>
                  </w:r>
                </w:p>
              </w:tc>
            </w:tr>
          </w:tbl>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结算方式及时间为：中标之日起5个工作日之内一次性支付给招标代理公司。</w:t>
            </w:r>
          </w:p>
          <w:p>
            <w:pPr>
              <w:pStyle w:val="32"/>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收款单位（户名）：</w:t>
            </w:r>
            <w:r>
              <w:rPr>
                <w:rFonts w:hint="eastAsia" w:ascii="仿宋" w:hAnsi="仿宋" w:eastAsia="仿宋" w:cs="仿宋"/>
                <w:color w:val="auto"/>
                <w:sz w:val="24"/>
                <w:szCs w:val="24"/>
                <w:highlight w:val="none"/>
              </w:rPr>
              <w:t>浙江国际招投标有限公司</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开户银行：中国工商银行杭州武林支行</w:t>
            </w:r>
          </w:p>
          <w:p>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rPr>
              <w:t>银行账号：1202021209906782015</w:t>
            </w:r>
            <w:r>
              <w:rPr>
                <w:rFonts w:hint="eastAsia" w:ascii="仿宋" w:hAnsi="仿宋" w:eastAsia="仿宋" w:cs="仿宋"/>
                <w:snapToGrid w:val="0"/>
                <w:color w:val="auto"/>
                <w:kern w:val="28"/>
                <w:sz w:val="24"/>
                <w:szCs w:val="24"/>
                <w:highlight w:val="none"/>
              </w:rPr>
              <w:br w:type="textWrapping"/>
            </w: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2"/>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803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2"/>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546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2"/>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snapToGrid w:val="0"/>
              <w:spacing w:line="360" w:lineRule="auto"/>
              <w:rPr>
                <w:rFonts w:hint="eastAsia" w:ascii="仿宋" w:hAnsi="仿宋" w:eastAsia="仿宋" w:cs="仿宋"/>
                <w:snapToGrid w:val="0"/>
                <w:color w:val="auto"/>
                <w:kern w:val="28"/>
                <w:sz w:val="24"/>
                <w:highlight w:val="none"/>
                <w:u w:val="singl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lang w:val="en-US" w:eastAsia="zh-CN"/>
              </w:rPr>
              <w:t>以联合体形式参加政府采购活动的，其质疑应当由组成联合体的所有供应商共同提出。</w:t>
            </w:r>
          </w:p>
          <w:p>
            <w:pPr>
              <w:pStyle w:val="23"/>
              <w:autoSpaceDE/>
              <w:autoSpaceDN/>
              <w:snapToGrid w:val="0"/>
              <w:spacing w:line="360" w:lineRule="auto"/>
              <w:rPr>
                <w:rFonts w:ascii="仿宋" w:hAnsi="仿宋" w:eastAsia="仿宋" w:cs="仿宋"/>
                <w:color w:val="auto"/>
                <w:highlight w:val="none"/>
              </w:rPr>
            </w:pP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pPr>
        <w:snapToGrid w:val="0"/>
        <w:spacing w:line="360" w:lineRule="auto"/>
        <w:rPr>
          <w:rFonts w:ascii="仿宋" w:hAnsi="仿宋" w:eastAsia="仿宋" w:cs="仿宋"/>
          <w:b/>
          <w:color w:val="auto"/>
          <w:sz w:val="32"/>
          <w:szCs w:val="20"/>
          <w:highlight w:val="none"/>
        </w:rPr>
      </w:pPr>
    </w:p>
    <w:bookmarkEnd w:id="11"/>
    <w:p>
      <w:pPr>
        <w:rPr>
          <w:rFonts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pPr>
        <w:numPr>
          <w:ilvl w:val="1"/>
          <w:numId w:val="4"/>
        </w:num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60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支持绿色发展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auto"/>
          <w:sz w:val="24"/>
          <w:highlight w:val="none"/>
          <w:lang w:eastAsia="zh-CN"/>
        </w:rPr>
        <w:t>。</w:t>
      </w:r>
    </w:p>
    <w:p>
      <w:pPr>
        <w:numPr>
          <w:ilvl w:val="2"/>
          <w:numId w:val="4"/>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支持创新发展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提出质疑的供应商应当是参与所质疑项目采购活动的供应商。以联合体形式参加政府采购活动的，其</w:t>
      </w:r>
      <w:r>
        <w:rPr>
          <w:rFonts w:hint="eastAsia" w:ascii="仿宋" w:hAnsi="仿宋" w:eastAsia="仿宋" w:cs="仿宋"/>
          <w:bCs/>
          <w:color w:val="auto"/>
          <w:sz w:val="24"/>
          <w:highlight w:val="none"/>
          <w:lang w:val="zh-CN" w:eastAsia="zh-CN"/>
        </w:rPr>
        <w:t>质疑</w:t>
      </w:r>
      <w:r>
        <w:rPr>
          <w:rFonts w:hint="eastAsia" w:ascii="仿宋" w:hAnsi="仿宋" w:eastAsia="仿宋" w:cs="仿宋"/>
          <w:bCs/>
          <w:color w:val="auto"/>
          <w:sz w:val="24"/>
          <w:highlight w:val="none"/>
          <w:lang w:val="zh-CN"/>
        </w:rPr>
        <w:t>应当由组成联合体的所有供应商共同提出。潜在供应商已依法获取其可质疑的招标文件的，可以对该文件提出质疑。</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询问或者质疑事项可能影响采购结果的，采购人应当暂停签订合同，已经签订合同的，应当中止履行合同。</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pPr>
        <w:numPr>
          <w:ilvl w:val="2"/>
          <w:numId w:val="4"/>
        </w:numPr>
        <w:tabs>
          <w:tab w:val="left" w:pos="210"/>
        </w:tabs>
        <w:snapToGrid w:val="0"/>
        <w:spacing w:line="360" w:lineRule="auto"/>
        <w:ind w:left="0" w:firstLine="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投诉材料可寄送浙江省政府采购行政裁决服务中心（杭州），地址：杭州市上城区四季青街道新业路市民之家G03办公室，收件人：朱女士</w:t>
      </w:r>
      <w:r>
        <w:rPr>
          <w:rFonts w:hint="eastAsia" w:ascii="仿宋" w:hAnsi="仿宋" w:eastAsia="仿宋" w:cs="仿宋"/>
          <w:bCs/>
          <w:color w:val="auto"/>
          <w:sz w:val="24"/>
          <w:highlight w:val="none"/>
          <w:lang w:val="en-US" w:eastAsia="zh-CN"/>
        </w:rPr>
        <w:t>/王女士</w:t>
      </w:r>
      <w:r>
        <w:rPr>
          <w:rFonts w:hint="eastAsia" w:ascii="仿宋" w:hAnsi="仿宋" w:eastAsia="仿宋" w:cs="仿宋"/>
          <w:bCs/>
          <w:color w:val="auto"/>
          <w:sz w:val="24"/>
          <w:highlight w:val="none"/>
          <w:lang w:val="zh-CN"/>
        </w:rPr>
        <w:t>，电话：0571-87227671,0571-87800218。</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pPr>
        <w:rPr>
          <w:rFonts w:ascii="仿宋" w:hAnsi="仿宋" w:eastAsia="仿宋" w:cs="仿宋"/>
          <w:color w:val="auto"/>
          <w:highlight w:val="none"/>
        </w:rPr>
      </w:pP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pPr>
        <w:spacing w:line="360" w:lineRule="auto"/>
        <w:ind w:firstLine="42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pStyle w:val="32"/>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落实政府采购政策需满足的资格要求：中小企业声明函；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w:t>
      </w:r>
      <w:r>
        <w:rPr>
          <w:rFonts w:hint="eastAsia" w:ascii="仿宋" w:hAnsi="仿宋" w:eastAsia="仿宋" w:cs="仿宋"/>
          <w:b w:val="0"/>
          <w:bCs/>
          <w:i w:val="0"/>
          <w:iCs w:val="0"/>
          <w:caps w:val="0"/>
          <w:color w:val="auto"/>
          <w:spacing w:val="0"/>
          <w:sz w:val="24"/>
          <w:szCs w:val="24"/>
          <w:highlight w:val="none"/>
          <w:lang w:val="en-US" w:eastAsia="zh-CN"/>
        </w:rPr>
        <w:t>无</w:t>
      </w:r>
      <w:r>
        <w:rPr>
          <w:rFonts w:hint="eastAsia" w:ascii="仿宋" w:hAnsi="仿宋" w:eastAsia="仿宋" w:cs="仿宋"/>
          <w:bCs/>
          <w:color w:val="auto"/>
          <w:sz w:val="24"/>
          <w:highlight w:val="none"/>
        </w:rPr>
        <w:t>。</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授权代表最近一个月在投标单位缴纳社保的参保证明</w:t>
      </w:r>
      <w:r>
        <w:rPr>
          <w:rFonts w:hint="eastAsia" w:ascii="仿宋" w:hAnsi="仿宋" w:eastAsia="仿宋" w:cs="仿宋"/>
          <w:bCs/>
          <w:color w:val="auto"/>
          <w:sz w:val="24"/>
          <w:highlight w:val="none"/>
        </w:rPr>
        <w:t>；</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_GB2312" w:hAnsi="仿宋" w:eastAsia="仿宋_GB2312"/>
          <w:bCs/>
          <w:color w:val="auto"/>
          <w:sz w:val="24"/>
          <w:highlight w:val="none"/>
          <w:lang w:val="en-US" w:eastAsia="zh-CN"/>
        </w:rPr>
        <w:t>技术响应表；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报价明细表；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bCs/>
          <w:color w:val="auto"/>
          <w:sz w:val="24"/>
          <w:highlight w:val="none"/>
        </w:rPr>
        <w:t>；</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中标服务费支付承诺书和中标服务费结算信息表。</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pPr>
        <w:pStyle w:val="139"/>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pPr>
        <w:pStyle w:val="24"/>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auto"/>
          <w:sz w:val="24"/>
          <w:highlight w:val="none"/>
          <w:lang w:eastAsia="zh-CN"/>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在投标截止时间起至投标有效期届满，供应商投标文件不可撤销。</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开标后，</w:t>
      </w:r>
      <w:r>
        <w:rPr>
          <w:rFonts w:hint="eastAsia" w:ascii="仿宋" w:hAnsi="仿宋" w:eastAsia="仿宋" w:cs="仿宋"/>
          <w:bCs/>
          <w:color w:val="auto"/>
          <w:sz w:val="24"/>
          <w:highlight w:val="none"/>
        </w:rPr>
        <w:t>采购人或采购代理机构依据法律法规和招标文件的规定，对投标人的资格进行审查。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投标人未按照招标文件要求提供与资格条件相应的有效资格证明材料的，视为投标人不具备招标文件中规定的资格要求，其投标无效。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kern w:val="0"/>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评标</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pPr>
        <w:pStyle w:val="139"/>
        <w:snapToGrid w:val="0"/>
        <w:spacing w:before="0"/>
        <w:ind w:firstLine="420" w:firstLineChars="175"/>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highlight w:val="none"/>
        </w:rPr>
      </w:pPr>
      <w:r>
        <w:rPr>
          <w:rFonts w:hint="eastAsia" w:ascii="仿宋" w:hAnsi="仿宋" w:eastAsia="仿宋" w:cs="仿宋"/>
          <w:bCs/>
          <w:color w:val="auto"/>
          <w:sz w:val="24"/>
          <w:highlight w:val="none"/>
        </w:rPr>
        <w:t>公告期限为1个工作日。</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合同授予</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
          <w:color w:val="auto"/>
          <w:highlight w:val="none"/>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pPr>
        <w:pStyle w:val="24"/>
        <w:rPr>
          <w:rFonts w:ascii="仿宋" w:hAnsi="仿宋" w:eastAsia="仿宋" w:cs="仿宋"/>
          <w:color w:val="auto"/>
          <w:highlight w:val="none"/>
        </w:rPr>
      </w:pPr>
      <w:r>
        <w:rPr>
          <w:rFonts w:hint="eastAsia" w:ascii="仿宋" w:hAnsi="仿宋" w:eastAsia="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pPr>
        <w:pStyle w:val="139"/>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pPr>
        <w:numPr>
          <w:ilvl w:val="0"/>
          <w:numId w:val="4"/>
        </w:numPr>
        <w:tabs>
          <w:tab w:val="left" w:pos="210"/>
        </w:tabs>
        <w:snapToGrid w:val="0"/>
        <w:spacing w:line="360" w:lineRule="auto"/>
        <w:ind w:left="403" w:hanging="403"/>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验收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9"/>
        <w:snapToGrid w:val="0"/>
        <w:spacing w:before="0"/>
        <w:ind w:firstLine="480"/>
        <w:rPr>
          <w:rFonts w:ascii="仿宋" w:hAnsi="仿宋" w:eastAsia="仿宋" w:cs="仿宋"/>
          <w:color w:val="auto"/>
          <w:highlight w:val="none"/>
        </w:rPr>
      </w:pPr>
      <w:bookmarkStart w:id="16" w:name="_Hlt68403820"/>
      <w:bookmarkEnd w:id="16"/>
      <w:bookmarkStart w:id="17" w:name="_Hlt68057669"/>
      <w:bookmarkEnd w:id="17"/>
      <w:bookmarkStart w:id="18" w:name="_Hlt74729768"/>
      <w:bookmarkEnd w:id="18"/>
      <w:bookmarkStart w:id="19" w:name="_Hlt74714665"/>
      <w:bookmarkEnd w:id="19"/>
      <w:bookmarkStart w:id="20" w:name="_Hlt74707468"/>
      <w:bookmarkEnd w:id="20"/>
      <w:bookmarkStart w:id="21" w:name="_Hlt68073093"/>
      <w:bookmarkEnd w:id="21"/>
      <w:bookmarkStart w:id="22" w:name="_Hlt75236011"/>
      <w:bookmarkEnd w:id="22"/>
      <w:bookmarkStart w:id="23" w:name="_Hlt68072990"/>
      <w:bookmarkEnd w:id="23"/>
      <w:bookmarkStart w:id="24" w:name="_Hlt68072998"/>
      <w:bookmarkEnd w:id="24"/>
      <w:bookmarkStart w:id="25" w:name="_Hlt75236101"/>
      <w:bookmarkEnd w:id="25"/>
      <w:bookmarkStart w:id="26" w:name="_Hlt75236290"/>
      <w:bookmarkEnd w:id="26"/>
      <w:bookmarkStart w:id="27" w:name="_Hlt74730295"/>
      <w:bookmarkEnd w:id="27"/>
    </w:p>
    <w:p>
      <w:pPr>
        <w:pStyle w:val="139"/>
        <w:snapToGrid w:val="0"/>
        <w:spacing w:before="0"/>
        <w:ind w:firstLine="480"/>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pPr>
        <w:numPr>
          <w:ilvl w:val="0"/>
          <w:numId w:val="5"/>
        </w:numPr>
        <w:adjustRightInd/>
        <w:spacing w:line="360" w:lineRule="auto"/>
        <w:jc w:val="center"/>
        <w:outlineLvl w:val="0"/>
        <w:rPr>
          <w:rFonts w:ascii="仿宋" w:hAnsi="仿宋" w:eastAsia="仿宋" w:cs="仿宋"/>
          <w:b/>
          <w:color w:val="auto"/>
          <w:sz w:val="36"/>
          <w:szCs w:val="20"/>
          <w:highlight w:val="none"/>
        </w:rPr>
      </w:pPr>
      <w:bookmarkStart w:id="28" w:name="_Toc5571"/>
      <w:bookmarkStart w:id="29" w:name="第四部分"/>
      <w:r>
        <w:rPr>
          <w:rFonts w:hint="eastAsia" w:ascii="仿宋" w:hAnsi="仿宋" w:eastAsia="仿宋" w:cs="仿宋"/>
          <w:b/>
          <w:color w:val="auto"/>
          <w:sz w:val="36"/>
          <w:szCs w:val="20"/>
          <w:highlight w:val="none"/>
        </w:rPr>
        <w:t xml:space="preserve"> 采购需求</w:t>
      </w:r>
      <w:bookmarkEnd w:id="28"/>
    </w:p>
    <w:p>
      <w:pPr>
        <w:spacing w:line="360" w:lineRule="auto"/>
        <w:ind w:firstLine="480" w:firstLineChars="200"/>
        <w:rPr>
          <w:rFonts w:hint="eastAsia" w:ascii="仿宋" w:hAnsi="仿宋" w:eastAsia="仿宋" w:cs="仿宋"/>
          <w:color w:val="auto"/>
          <w:sz w:val="24"/>
          <w:szCs w:val="24"/>
          <w:highlight w:val="none"/>
        </w:rPr>
      </w:pPr>
      <w:bookmarkStart w:id="30" w:name="_Toc422946256"/>
      <w:r>
        <w:rPr>
          <w:rFonts w:hint="eastAsia" w:ascii="仿宋" w:hAnsi="仿宋" w:eastAsia="仿宋" w:cs="仿宋"/>
          <w:color w:val="auto"/>
          <w:sz w:val="24"/>
          <w:szCs w:val="24"/>
          <w:highlight w:val="none"/>
        </w:rPr>
        <w:t>一、采购内容</w:t>
      </w:r>
      <w:bookmarkEnd w:id="30"/>
    </w:p>
    <w:p>
      <w:pPr>
        <w:spacing w:line="360" w:lineRule="auto"/>
        <w:ind w:firstLine="480" w:firstLineChars="200"/>
        <w:rPr>
          <w:rFonts w:hint="eastAsia" w:ascii="仿宋" w:hAnsi="仿宋" w:eastAsia="仿宋" w:cs="仿宋"/>
          <w:color w:val="auto"/>
          <w:sz w:val="24"/>
          <w:szCs w:val="24"/>
          <w:highlight w:val="none"/>
        </w:rPr>
      </w:pPr>
      <w:bookmarkStart w:id="31" w:name="_Toc426996356"/>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本次招标的内容为</w:t>
      </w:r>
      <w:r>
        <w:rPr>
          <w:rFonts w:hint="default" w:ascii="仿宋" w:hAnsi="仿宋" w:eastAsia="仿宋" w:cs="仿宋"/>
          <w:color w:val="auto"/>
          <w:sz w:val="24"/>
          <w:szCs w:val="24"/>
          <w:highlight w:val="none"/>
          <w:lang w:val="en-US" w:eastAsia="zh-CN"/>
        </w:rPr>
        <w:t>药包材，规格包括10ml、20ml、30g、100ml、200ml及500ml</w:t>
      </w:r>
      <w:r>
        <w:rPr>
          <w:rFonts w:hint="eastAsia" w:ascii="仿宋" w:hAnsi="仿宋" w:eastAsia="仿宋" w:cs="仿宋"/>
          <w:color w:val="auto"/>
          <w:sz w:val="24"/>
          <w:szCs w:val="24"/>
          <w:highlight w:val="none"/>
          <w:lang w:val="en-US" w:eastAsia="zh-CN"/>
        </w:rPr>
        <w:t>等</w:t>
      </w:r>
      <w:r>
        <w:rPr>
          <w:rFonts w:hint="default" w:ascii="仿宋" w:hAnsi="仿宋" w:eastAsia="仿宋" w:cs="仿宋"/>
          <w:color w:val="auto"/>
          <w:sz w:val="24"/>
          <w:szCs w:val="24"/>
          <w:highlight w:val="none"/>
          <w:lang w:val="en-US" w:eastAsia="zh-CN"/>
        </w:rPr>
        <w:t>，用于我院外用液体或固体自制制剂包装材料。</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需提供各项货物的</w:t>
      </w:r>
      <w:r>
        <w:rPr>
          <w:rFonts w:hint="eastAsia" w:ascii="仿宋" w:hAnsi="仿宋" w:eastAsia="仿宋" w:cs="仿宋"/>
          <w:color w:val="auto"/>
          <w:sz w:val="24"/>
          <w:szCs w:val="24"/>
          <w:highlight w:val="none"/>
          <w:lang w:val="en-US" w:eastAsia="zh-CN"/>
        </w:rPr>
        <w:t>模具、</w:t>
      </w:r>
      <w:r>
        <w:rPr>
          <w:rFonts w:hint="eastAsia" w:ascii="仿宋" w:hAnsi="仿宋" w:eastAsia="仿宋" w:cs="仿宋"/>
          <w:color w:val="auto"/>
          <w:sz w:val="24"/>
          <w:szCs w:val="24"/>
          <w:highlight w:val="none"/>
        </w:rPr>
        <w:t>制</w:t>
      </w:r>
      <w:r>
        <w:rPr>
          <w:rFonts w:hint="eastAsia" w:ascii="仿宋" w:hAnsi="仿宋" w:eastAsia="仿宋" w:cs="仿宋"/>
          <w:color w:val="auto"/>
          <w:sz w:val="24"/>
          <w:szCs w:val="24"/>
          <w:highlight w:val="none"/>
          <w:lang w:val="en-US" w:eastAsia="zh-CN"/>
        </w:rPr>
        <w:t>作</w:t>
      </w:r>
      <w:r>
        <w:rPr>
          <w:rFonts w:hint="eastAsia" w:ascii="仿宋" w:hAnsi="仿宋" w:eastAsia="仿宋" w:cs="仿宋"/>
          <w:color w:val="auto"/>
          <w:sz w:val="24"/>
          <w:szCs w:val="24"/>
          <w:highlight w:val="none"/>
        </w:rPr>
        <w:t>、配送、运输和售后服务等一切与清单有关的附随服务工作。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投标人应根据招标文件和产品清单所提出的技术规格、参数、数量和服务要求，选择具有最佳性能价格比的</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rPr>
        <w:t>前来投标。</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应具备规范的管理体系</w:t>
      </w:r>
      <w:r>
        <w:rPr>
          <w:rFonts w:hint="eastAsia" w:ascii="仿宋" w:hAnsi="仿宋" w:eastAsia="仿宋" w:cs="仿宋"/>
          <w:color w:val="auto"/>
          <w:sz w:val="24"/>
          <w:szCs w:val="24"/>
          <w:highlight w:val="none"/>
          <w:lang w:eastAsia="zh-CN"/>
        </w:rPr>
        <w:t>（具有有效期内</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eastAsia="zh-CN"/>
        </w:rPr>
        <w:t>质量管理体系认证证书、环境管理体系认证证书）</w:t>
      </w:r>
      <w:r>
        <w:rPr>
          <w:rFonts w:hint="eastAsia" w:ascii="仿宋" w:hAnsi="仿宋" w:eastAsia="仿宋" w:cs="仿宋"/>
          <w:color w:val="auto"/>
          <w:sz w:val="24"/>
          <w:szCs w:val="24"/>
          <w:highlight w:val="none"/>
          <w:lang w:val="en-US" w:eastAsia="zh-CN"/>
        </w:rPr>
        <w:t>及同类产品（材质为</w:t>
      </w:r>
      <w:r>
        <w:rPr>
          <w:rFonts w:hint="default" w:ascii="仿宋" w:hAnsi="仿宋" w:eastAsia="仿宋" w:cs="仿宋"/>
          <w:color w:val="auto"/>
          <w:sz w:val="24"/>
          <w:szCs w:val="24"/>
          <w:highlight w:val="none"/>
          <w:lang w:val="en-US" w:eastAsia="zh-CN"/>
        </w:rPr>
        <w:t>HDPE、LDPE及PET</w:t>
      </w:r>
      <w:r>
        <w:rPr>
          <w:rFonts w:hint="eastAsia" w:ascii="仿宋" w:hAnsi="仿宋" w:eastAsia="仿宋" w:cs="仿宋"/>
          <w:color w:val="auto"/>
          <w:sz w:val="24"/>
          <w:szCs w:val="24"/>
          <w:highlight w:val="none"/>
          <w:lang w:val="en-US" w:eastAsia="zh-CN"/>
        </w:rPr>
        <w:t>的医用制剂包装产品）的供货业绩。</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w:t>
      </w:r>
      <w:r>
        <w:rPr>
          <w:rFonts w:hint="eastAsia" w:ascii="仿宋" w:hAnsi="仿宋" w:eastAsia="仿宋" w:cs="仿宋"/>
          <w:color w:val="auto"/>
          <w:sz w:val="24"/>
          <w:szCs w:val="24"/>
          <w:highlight w:val="none"/>
        </w:rPr>
        <w:t>应具备完善的管理制度和服务标准，提供管理服务模式、工作流程说明。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、投标人应设立仓库，提供物流保障方案，如运输方案、配送方案，以确保服务期内，货源的正常提供。</w:t>
      </w:r>
    </w:p>
    <w:p>
      <w:pPr>
        <w:spacing w:line="360" w:lineRule="auto"/>
        <w:ind w:firstLine="480" w:firstLineChars="200"/>
        <w:rPr>
          <w:rFonts w:hint="eastAsia" w:ascii="Calibri" w:hAnsi="Calibri" w:eastAsia="微软雅黑" w:cs="Times New Roman"/>
          <w:color w:val="auto"/>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投标人提供详细的售后服务承诺书</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7、投标人可针对本项目实施提出合理化建议</w:t>
      </w:r>
      <w:r>
        <w:rPr>
          <w:rFonts w:hint="eastAsia" w:ascii="仿宋" w:hAnsi="仿宋" w:eastAsia="仿宋" w:cs="仿宋"/>
          <w:color w:val="auto"/>
          <w:sz w:val="24"/>
          <w:szCs w:val="24"/>
          <w:highlight w:val="none"/>
          <w:lang w:eastAsia="zh-CN"/>
        </w:rPr>
        <w:t>。</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8、项目服务期：一年</w:t>
      </w:r>
      <w:r>
        <w:rPr>
          <w:rFonts w:hint="eastAsia" w:ascii="仿宋" w:hAnsi="仿宋" w:eastAsia="仿宋" w:cs="仿宋"/>
          <w:color w:val="auto"/>
          <w:sz w:val="24"/>
          <w:highlight w:val="none"/>
        </w:rPr>
        <w:t>或如合同期内采购总金额已达中标总价，合同自动终止，以二者中的先到时间为准。</w:t>
      </w:r>
    </w:p>
    <w:p>
      <w:pPr>
        <w:pStyle w:val="23"/>
        <w:rPr>
          <w:rFonts w:hint="eastAsia"/>
          <w:color w:val="auto"/>
          <w:highlight w:val="none"/>
          <w:lang w:val="en-US" w:eastAsia="zh-CN"/>
        </w:rPr>
      </w:pP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产品清单及技术要求</w:t>
      </w:r>
      <w:r>
        <w:rPr>
          <w:rFonts w:hint="eastAsia" w:ascii="仿宋" w:hAnsi="仿宋" w:eastAsia="仿宋" w:cs="仿宋"/>
          <w:color w:val="auto"/>
          <w:sz w:val="24"/>
          <w:szCs w:val="24"/>
          <w:highlight w:val="none"/>
          <w:lang w:eastAsia="zh-CN"/>
        </w:rPr>
        <w:t>：</w:t>
      </w:r>
    </w:p>
    <w:bookmarkEnd w:id="31"/>
    <w:tbl>
      <w:tblPr>
        <w:tblStyle w:val="62"/>
        <w:tblW w:w="85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1119"/>
        <w:gridCol w:w="2250"/>
        <w:gridCol w:w="1850"/>
        <w:gridCol w:w="1300"/>
        <w:gridCol w:w="12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doub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119"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产品名称</w:t>
            </w:r>
          </w:p>
        </w:tc>
        <w:tc>
          <w:tcPr>
            <w:tcW w:w="2250"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用途</w:t>
            </w:r>
          </w:p>
        </w:tc>
        <w:tc>
          <w:tcPr>
            <w:tcW w:w="1850"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材质</w:t>
            </w:r>
          </w:p>
        </w:tc>
        <w:tc>
          <w:tcPr>
            <w:tcW w:w="1300"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规格型号</w:t>
            </w:r>
          </w:p>
        </w:tc>
        <w:tc>
          <w:tcPr>
            <w:tcW w:w="1267" w:type="dxa"/>
            <w:tcBorders>
              <w:top w:val="doub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年预估</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100mlPET棕色瓶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复方炉甘石樟脑搽剂、复方醋酸地塞米松搽剂、氯霉素氢化可的松搽剂、倍他米松二甲亚砜搽剂、水杨酸涂剂、硫樟脑涂剂、复方水杨酸米诺地尔搽剂、硫代硫酸钠溶液</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着色半透明药用聚酯（PET）瓶</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307200瓶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200mlPET无色瓶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复方醋酸铝搽剂</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无色药用聚酯（PET）</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281600瓶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500mlPET棕色瓶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硼酸氯霉素溶液</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着色半透明药用聚酯（PET）</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500mlPET无色瓶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醋酸溶液</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无色药用聚酯（PET）瓶</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35850瓶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20mlLDPE棕色瓶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碘水杨酸涂剂</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着色不透明低密度聚乙烯（LDPE）</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14240瓶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10mlLDPE无色滴眼瓶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滴鼻滴耳液</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无色低密度聚乙烯（LDPE）</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100mlHDPE白色瓶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醋酸氯己定溶液</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白色半透明高密度聚乙烯（HDPE）</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19"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100mlHDPE蓝色瓶</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肤宁洗剂</w:t>
            </w:r>
          </w:p>
        </w:tc>
        <w:tc>
          <w:tcPr>
            <w:tcW w:w="185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着色不透明高密度聚乙烯（HDPE）</w:t>
            </w:r>
          </w:p>
        </w:tc>
        <w:tc>
          <w:tcPr>
            <w:tcW w:w="130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100ml</w:t>
            </w:r>
          </w:p>
        </w:tc>
        <w:tc>
          <w:tcPr>
            <w:tcW w:w="1267"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700000瓶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7" w:type="dxa"/>
            <w:tcBorders>
              <w:top w:val="single" w:color="auto" w:sz="4" w:space="0"/>
              <w:left w:val="doub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119"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30gHDPE固体瓶</w:t>
            </w:r>
          </w:p>
        </w:tc>
        <w:tc>
          <w:tcPr>
            <w:tcW w:w="2250"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锌硼散（Ⅰ）</w:t>
            </w:r>
          </w:p>
        </w:tc>
        <w:tc>
          <w:tcPr>
            <w:tcW w:w="1850"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白色不透明高密度聚乙烯（HDPE）</w:t>
            </w:r>
          </w:p>
        </w:tc>
        <w:tc>
          <w:tcPr>
            <w:tcW w:w="1300"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30g</w:t>
            </w:r>
          </w:p>
        </w:tc>
        <w:tc>
          <w:tcPr>
            <w:tcW w:w="1267" w:type="dxa"/>
            <w:tcBorders>
              <w:top w:val="single" w:color="auto" w:sz="4" w:space="0"/>
              <w:left w:val="single" w:color="auto" w:sz="4" w:space="0"/>
              <w:bottom w:val="doub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5526瓶</w:t>
            </w:r>
          </w:p>
        </w:tc>
      </w:tr>
    </w:tbl>
    <w:p>
      <w:pPr>
        <w:keepNext w:val="0"/>
        <w:keepLines w:val="0"/>
        <w:widowControl/>
        <w:suppressLineNumbers w:val="0"/>
        <w:spacing w:before="0" w:beforeLines="0" w:beforeAutospacing="0" w:after="0" w:afterLines="0" w:afterAutospacing="0" w:line="360" w:lineRule="auto"/>
        <w:ind w:left="0" w:right="0"/>
        <w:jc w:val="both"/>
        <w:textAlignment w:val="bottom"/>
        <w:rPr>
          <w:rFonts w:hint="eastAsia" w:ascii="仿宋" w:hAnsi="仿宋" w:eastAsia="仿宋" w:cs="仿宋"/>
          <w:color w:val="auto"/>
          <w:kern w:val="0"/>
          <w:sz w:val="24"/>
          <w:szCs w:val="24"/>
          <w:highlight w:val="none"/>
          <w:lang w:val="en-US" w:eastAsia="zh-CN" w:bidi="ar"/>
        </w:rPr>
      </w:pPr>
    </w:p>
    <w:p>
      <w:pPr>
        <w:keepNext w:val="0"/>
        <w:keepLines w:val="0"/>
        <w:widowControl/>
        <w:suppressLineNumbers w:val="0"/>
        <w:spacing w:before="0" w:beforeLines="0" w:beforeAutospacing="0" w:after="0" w:afterLines="0" w:afterAutospacing="0" w:line="360" w:lineRule="auto"/>
        <w:ind w:left="0" w:right="0"/>
        <w:jc w:val="both"/>
        <w:textAlignment w:val="bottom"/>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三、技术要</w:t>
      </w:r>
      <w:r>
        <w:rPr>
          <w:rFonts w:hint="eastAsia" w:ascii="仿宋" w:hAnsi="仿宋" w:eastAsia="仿宋" w:cs="仿宋"/>
          <w:color w:val="auto"/>
          <w:sz w:val="24"/>
          <w:szCs w:val="24"/>
          <w:highlight w:val="none"/>
        </w:rPr>
        <w:t>求</w:t>
      </w:r>
    </w:p>
    <w:p>
      <w:pPr>
        <w:spacing w:line="360" w:lineRule="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rPr>
        <w:t>包材在国家食品药品监督管理局药品审评中心</w:t>
      </w:r>
    </w:p>
    <w:p>
      <w:pPr>
        <w:spacing w:line="360" w:lineRule="auto"/>
        <w:rPr>
          <w:rFonts w:hint="eastAsia" w:ascii="仿宋" w:hAnsi="仿宋" w:eastAsia="仿宋" w:cs="仿宋"/>
          <w:color w:val="auto"/>
          <w:sz w:val="24"/>
          <w:szCs w:val="24"/>
          <w:highlight w:val="none"/>
          <w:lang w:val="en-US" w:eastAsia="zh-CN"/>
        </w:rPr>
      </w:pPr>
      <w:r>
        <w:rPr>
          <w:rFonts w:hint="eastAsia" w:ascii="Times New Roman" w:hAnsi="Times New Roman" w:eastAsia="仿宋" w:cs="Times New Roman"/>
          <w:color w:val="auto"/>
          <w:sz w:val="24"/>
          <w:szCs w:val="24"/>
          <w:highlight w:val="none"/>
        </w:rPr>
        <w:t>（https://www.cde.org.cn/）</w:t>
      </w:r>
      <w:r>
        <w:rPr>
          <w:rFonts w:hint="default" w:ascii="仿宋" w:hAnsi="仿宋" w:eastAsia="仿宋" w:cs="仿宋"/>
          <w:color w:val="auto"/>
          <w:sz w:val="24"/>
          <w:szCs w:val="24"/>
          <w:highlight w:val="none"/>
        </w:rPr>
        <w:t>原辅包登记平台具备登记号，</w:t>
      </w:r>
      <w:r>
        <w:rPr>
          <w:rFonts w:hint="eastAsia" w:ascii="仿宋" w:hAnsi="仿宋" w:eastAsia="仿宋" w:cs="仿宋"/>
          <w:color w:val="auto"/>
          <w:sz w:val="24"/>
          <w:szCs w:val="24"/>
          <w:highlight w:val="none"/>
          <w:lang w:val="en-US" w:eastAsia="zh-CN"/>
        </w:rPr>
        <w:t>且</w:t>
      </w:r>
      <w:r>
        <w:rPr>
          <w:rFonts w:hint="default" w:ascii="仿宋" w:hAnsi="仿宋" w:eastAsia="仿宋" w:cs="仿宋"/>
          <w:color w:val="auto"/>
          <w:sz w:val="24"/>
          <w:szCs w:val="24"/>
          <w:highlight w:val="none"/>
        </w:rPr>
        <w:t>与制剂共同审评审批结果为“A”</w:t>
      </w:r>
      <w:r>
        <w:rPr>
          <w:rFonts w:hint="eastAsia" w:ascii="仿宋" w:hAnsi="仿宋" w:eastAsia="仿宋" w:cs="仿宋"/>
          <w:color w:val="auto"/>
          <w:sz w:val="24"/>
          <w:szCs w:val="24"/>
          <w:highlight w:val="none"/>
          <w:lang w:eastAsia="zh-CN"/>
        </w:rPr>
        <w:t>。</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外观及规格要求：在自然光线明亮处，正视目测。应具有均匀一致的色泽，不得有明显色差。瓶的表面应光洁、平整，不得有变形和明显的擦痕，不得有砂眼、油污、气泡。瓶口应平整、光滑。规格100ml及以上包材瓶口防盗盖和铝塑盖通用。</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（1）100mlPET棕色瓶</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满口容量131.8±2.0ml</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 xml:space="preserve">要求           </w:t>
      </w:r>
    </w:p>
    <w:tbl>
      <w:tblPr>
        <w:tblStyle w:val="62"/>
        <w:tblW w:w="8000" w:type="dxa"/>
        <w:tblInd w:w="20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2848"/>
        <w:gridCol w:w="25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瓶身高</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100.5</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瓶身宽</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45.9</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瓶口外径</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24.9</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瓶口内径</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21.8</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35"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≥15.8g</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adjustRightInd/>
        <w:spacing w:line="360" w:lineRule="auto"/>
        <w:jc w:val="center"/>
        <w:rPr>
          <w:rFonts w:hint="eastAsia" w:ascii="仿宋" w:hAnsi="仿宋" w:eastAsia="仿宋" w:cs="仿宋"/>
          <w:color w:val="auto"/>
          <w:sz w:val="24"/>
          <w:szCs w:val="24"/>
          <w:highlight w:val="none"/>
        </w:rPr>
      </w:pP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（2）200mlPET无色瓶</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标示装量200.0±5.0ml，满口容量237.0±3.0ml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3）其他：瓶身印字，字迹要求清晰。 </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p>
      <w:pPr>
        <w:adjustRightInd/>
        <w:jc w:val="center"/>
        <w:rPr>
          <w:rFonts w:ascii="Times New Roman" w:hAnsi="Times New Roman" w:eastAsia="宋体" w:cs="Times New Roman"/>
          <w:color w:val="auto"/>
          <w:highlight w:val="none"/>
        </w:rPr>
      </w:pPr>
      <w:r>
        <w:rPr>
          <w:rFonts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lang w:val="en-US" w:eastAsia="zh-CN"/>
        </w:rPr>
        <w:t xml:space="preserve"> </w:t>
      </w:r>
    </w:p>
    <w:tbl>
      <w:tblPr>
        <w:tblStyle w:val="62"/>
        <w:tblW w:w="8025" w:type="dxa"/>
        <w:tblInd w:w="18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848"/>
        <w:gridCol w:w="251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瓶身高</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134.2</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瓶身宽</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51.4</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瓶口内径</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21.0</w:t>
            </w:r>
            <w:r>
              <w:rPr>
                <w:rFonts w:hint="eastAsia" w:ascii="仿宋" w:hAnsi="仿宋" w:eastAsia="仿宋" w:cs="仿宋"/>
                <w:color w:val="auto"/>
                <w:sz w:val="24"/>
                <w:szCs w:val="24"/>
                <w:highlight w:val="none"/>
                <w:lang w:val="en-US" w:eastAsia="zh-CN"/>
              </w:rPr>
              <w:t>mm</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w:t>
            </w:r>
          </w:p>
        </w:tc>
        <w:tc>
          <w:tcPr>
            <w:tcW w:w="284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≥26.0g</w:t>
            </w:r>
          </w:p>
        </w:tc>
        <w:tc>
          <w:tcPr>
            <w:tcW w:w="2517"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（3）500mlPET棕色瓶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标示装量500.0±5.0ml    满口容量582.0±5.0ml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tbl>
      <w:tblPr>
        <w:tblStyle w:val="62"/>
        <w:tblW w:w="8063" w:type="dxa"/>
        <w:tblInd w:w="16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668"/>
        <w:gridCol w:w="27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瓶身外径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75.2</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瓶口内径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21.9</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瓶全高</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174.0</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≥30.0g</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numPr>
          <w:ilvl w:val="0"/>
          <w:numId w:val="0"/>
        </w:numPr>
        <w:spacing w:line="360" w:lineRule="auto"/>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 xml:space="preserve"> </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（4）500mlPET无色瓶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标示装量500.0±5.0ml    满口容量582.0±5.0ml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tbl>
      <w:tblPr>
        <w:tblStyle w:val="62"/>
        <w:tblW w:w="8063" w:type="dxa"/>
        <w:tblInd w:w="16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668"/>
        <w:gridCol w:w="27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瓶身外径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75.2</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瓶口内径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21.9</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瓶全高</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174.0</w:t>
            </w:r>
            <w:r>
              <w:rPr>
                <w:rFonts w:hint="eastAsia" w:ascii="仿宋" w:hAnsi="仿宋" w:eastAsia="仿宋" w:cs="仿宋"/>
                <w:color w:val="auto"/>
                <w:sz w:val="24"/>
                <w:szCs w:val="24"/>
                <w:highlight w:val="none"/>
                <w:lang w:val="en-US" w:eastAsia="zh-CN"/>
              </w:rPr>
              <w:t>mm</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≥30.0g</w:t>
            </w:r>
          </w:p>
        </w:tc>
        <w:tc>
          <w:tcPr>
            <w:tcW w:w="2722"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adjustRightInd/>
        <w:spacing w:line="360" w:lineRule="auto"/>
        <w:jc w:val="both"/>
        <w:rPr>
          <w:rFonts w:hint="default" w:ascii="仿宋" w:hAnsi="仿宋" w:eastAsia="仿宋" w:cs="仿宋"/>
          <w:b/>
          <w:bCs/>
          <w:i w:val="0"/>
          <w:color w:val="auto"/>
          <w:kern w:val="0"/>
          <w:sz w:val="21"/>
          <w:szCs w:val="21"/>
          <w:highlight w:val="none"/>
          <w:u w:val="none"/>
          <w:lang w:val="en-US" w:eastAsia="zh-CN" w:bidi="ar"/>
        </w:rPr>
      </w:pPr>
    </w:p>
    <w:p>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（5）20ml棕色瓶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满口容量23.1±0.8ml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3）瓶身要求</w:t>
      </w:r>
    </w:p>
    <w:tbl>
      <w:tblPr>
        <w:tblStyle w:val="62"/>
        <w:tblW w:w="804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831"/>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top w:val="double" w:color="auto" w:sz="4" w:space="0"/>
              <w:lef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831" w:type="dxa"/>
            <w:tcBorders>
              <w:top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544" w:type="dxa"/>
            <w:tcBorders>
              <w:top w:val="double" w:color="auto" w:sz="4" w:space="0"/>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瓶身外径</w:t>
            </w:r>
          </w:p>
        </w:tc>
        <w:tc>
          <w:tcPr>
            <w:tcW w:w="2831" w:type="dxa"/>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25.0</w:t>
            </w:r>
            <w:r>
              <w:rPr>
                <w:rFonts w:hint="default" w:ascii="仿宋" w:hAnsi="仿宋" w:eastAsia="仿宋" w:cs="仿宋"/>
                <w:color w:val="auto"/>
                <w:sz w:val="24"/>
                <w:szCs w:val="24"/>
                <w:highlight w:val="none"/>
                <w:lang w:val="en-US" w:eastAsia="zh-CN"/>
              </w:rPr>
              <w:t>mm</w:t>
            </w:r>
          </w:p>
        </w:tc>
        <w:tc>
          <w:tcPr>
            <w:tcW w:w="2544" w:type="dxa"/>
            <w:tcBorders>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瓶口外径</w:t>
            </w:r>
          </w:p>
        </w:tc>
        <w:tc>
          <w:tcPr>
            <w:tcW w:w="2831" w:type="dxa"/>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3.8</w:t>
            </w:r>
            <w:r>
              <w:rPr>
                <w:rFonts w:hint="default" w:ascii="仿宋" w:hAnsi="仿宋" w:eastAsia="仿宋" w:cs="仿宋"/>
                <w:color w:val="auto"/>
                <w:sz w:val="24"/>
                <w:szCs w:val="24"/>
                <w:highlight w:val="none"/>
                <w:lang w:val="en-US" w:eastAsia="zh-CN"/>
              </w:rPr>
              <w:t>mm</w:t>
            </w:r>
          </w:p>
        </w:tc>
        <w:tc>
          <w:tcPr>
            <w:tcW w:w="2544" w:type="dxa"/>
            <w:tcBorders>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瓶颈外径</w:t>
            </w:r>
          </w:p>
        </w:tc>
        <w:tc>
          <w:tcPr>
            <w:tcW w:w="2831" w:type="dxa"/>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8.3</w:t>
            </w:r>
            <w:r>
              <w:rPr>
                <w:rFonts w:hint="default" w:ascii="仿宋" w:hAnsi="仿宋" w:eastAsia="仿宋" w:cs="仿宋"/>
                <w:color w:val="auto"/>
                <w:sz w:val="24"/>
                <w:szCs w:val="24"/>
                <w:highlight w:val="none"/>
                <w:lang w:val="en-US" w:eastAsia="zh-CN"/>
              </w:rPr>
              <w:t>mm</w:t>
            </w:r>
          </w:p>
        </w:tc>
        <w:tc>
          <w:tcPr>
            <w:tcW w:w="2544" w:type="dxa"/>
            <w:tcBorders>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瓶全高</w:t>
            </w:r>
          </w:p>
        </w:tc>
        <w:tc>
          <w:tcPr>
            <w:tcW w:w="2831" w:type="dxa"/>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89.4</w:t>
            </w:r>
            <w:r>
              <w:rPr>
                <w:rFonts w:hint="default" w:ascii="仿宋" w:hAnsi="仿宋" w:eastAsia="仿宋" w:cs="仿宋"/>
                <w:color w:val="auto"/>
                <w:sz w:val="24"/>
                <w:szCs w:val="24"/>
                <w:highlight w:val="none"/>
                <w:lang w:val="en-US" w:eastAsia="zh-CN"/>
              </w:rPr>
              <w:t>mm</w:t>
            </w:r>
          </w:p>
        </w:tc>
        <w:tc>
          <w:tcPr>
            <w:tcW w:w="2544" w:type="dxa"/>
            <w:tcBorders>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Borders>
              <w:left w:val="double" w:color="auto" w:sz="4" w:space="0"/>
              <w:bottom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瓶重（g）</w:t>
            </w:r>
          </w:p>
        </w:tc>
        <w:tc>
          <w:tcPr>
            <w:tcW w:w="2831" w:type="dxa"/>
            <w:tcBorders>
              <w:bottom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rPr>
              <w:t>≥2.1</w:t>
            </w:r>
            <w:r>
              <w:rPr>
                <w:rFonts w:hint="default" w:ascii="仿宋" w:hAnsi="仿宋" w:eastAsia="仿宋" w:cs="仿宋"/>
                <w:color w:val="auto"/>
                <w:sz w:val="24"/>
                <w:szCs w:val="24"/>
                <w:highlight w:val="none"/>
                <w:lang w:val="en-US" w:eastAsia="zh-CN"/>
              </w:rPr>
              <w:t>g</w:t>
            </w:r>
          </w:p>
        </w:tc>
        <w:tc>
          <w:tcPr>
            <w:tcW w:w="2544" w:type="dxa"/>
            <w:tcBorders>
              <w:bottom w:val="double" w:color="auto" w:sz="4" w:space="0"/>
              <w:right w:val="double" w:color="auto" w:sz="4" w:space="0"/>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numPr>
          <w:ilvl w:val="0"/>
          <w:numId w:val="0"/>
        </w:numPr>
        <w:spacing w:line="360" w:lineRule="auto"/>
        <w:rPr>
          <w:rFonts w:hint="default" w:ascii="仿宋" w:hAnsi="仿宋" w:eastAsia="仿宋" w:cs="仿宋"/>
          <w:color w:val="auto"/>
          <w:sz w:val="24"/>
          <w:szCs w:val="24"/>
          <w:highlight w:val="none"/>
          <w:lang w:val="en-US" w:eastAsia="zh-CN"/>
        </w:rPr>
      </w:pPr>
    </w:p>
    <w:p>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（6）10mlLDPE无色滴眼瓶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满口容量12.5±0.8ml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p>
      <w:pPr>
        <w:jc w:val="center"/>
        <w:rPr>
          <w:color w:val="auto"/>
          <w:szCs w:val="21"/>
          <w:highlight w:val="none"/>
        </w:rPr>
      </w:pPr>
      <w:r>
        <w:rPr>
          <w:b/>
          <w:bCs/>
          <w:color w:val="auto"/>
          <w:szCs w:val="21"/>
          <w:highlight w:val="none"/>
        </w:rPr>
        <w:t xml:space="preserve">     </w:t>
      </w:r>
    </w:p>
    <w:tbl>
      <w:tblPr>
        <w:tblStyle w:val="62"/>
        <w:tblW w:w="8025" w:type="dxa"/>
        <w:tblInd w:w="10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3"/>
        <w:gridCol w:w="2668"/>
        <w:gridCol w:w="27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项目</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要求</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瓶身外径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瓶口</w:t>
            </w:r>
            <w:r>
              <w:rPr>
                <w:rFonts w:hint="eastAsia" w:ascii="仿宋" w:hAnsi="仿宋" w:eastAsia="仿宋" w:cs="仿宋"/>
                <w:color w:val="auto"/>
                <w:sz w:val="24"/>
                <w:szCs w:val="24"/>
                <w:highlight w:val="none"/>
              </w:rPr>
              <w:t>内</w:t>
            </w:r>
            <w:r>
              <w:rPr>
                <w:rFonts w:hint="default" w:ascii="仿宋" w:hAnsi="仿宋" w:eastAsia="仿宋" w:cs="仿宋"/>
                <w:color w:val="auto"/>
                <w:sz w:val="24"/>
                <w:szCs w:val="24"/>
                <w:highlight w:val="none"/>
              </w:rPr>
              <w:t>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w:t>
            </w:r>
            <w:r>
              <w:rPr>
                <w:rFonts w:hint="eastAsia" w:ascii="仿宋" w:hAnsi="仿宋" w:eastAsia="仿宋" w:cs="仿宋"/>
                <w:color w:val="auto"/>
                <w:sz w:val="24"/>
                <w:szCs w:val="24"/>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w:t>
            </w:r>
            <w:r>
              <w:rPr>
                <w:rFonts w:hint="eastAsia" w:ascii="仿宋" w:hAnsi="仿宋" w:eastAsia="仿宋" w:cs="仿宋"/>
                <w:color w:val="auto"/>
                <w:sz w:val="24"/>
                <w:szCs w:val="24"/>
                <w:highlight w:val="none"/>
              </w:rPr>
              <w:t>塞</w:t>
            </w:r>
            <w:r>
              <w:rPr>
                <w:rFonts w:hint="default" w:ascii="仿宋" w:hAnsi="仿宋" w:eastAsia="仿宋" w:cs="仿宋"/>
                <w:color w:val="auto"/>
                <w:sz w:val="24"/>
                <w:szCs w:val="24"/>
                <w:highlight w:val="none"/>
              </w:rPr>
              <w:t>外径</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12.8</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瓶全高</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53.3</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0.8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c>
          <w:tcPr>
            <w:tcW w:w="2623"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瓶重</w:t>
            </w:r>
          </w:p>
        </w:tc>
        <w:tc>
          <w:tcPr>
            <w:tcW w:w="2668"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rPr>
              <w:t>2.8</w:t>
            </w:r>
            <w:r>
              <w:rPr>
                <w:rFonts w:hint="default" w:ascii="仿宋" w:hAnsi="仿宋" w:eastAsia="仿宋" w:cs="仿宋"/>
                <w:color w:val="auto"/>
                <w:sz w:val="24"/>
                <w:szCs w:val="24"/>
                <w:highlight w:val="none"/>
              </w:rPr>
              <w:t>g</w:t>
            </w:r>
          </w:p>
        </w:tc>
        <w:tc>
          <w:tcPr>
            <w:tcW w:w="2734" w:type="dxa"/>
            <w:tcBorders>
              <w:tl2br w:val="nil"/>
              <w:tr2bl w:val="nil"/>
            </w:tcBorders>
            <w:noWrap w:val="0"/>
            <w:vAlign w:val="top"/>
          </w:tcPr>
          <w:p>
            <w:pPr>
              <w:keepNext w:val="0"/>
              <w:keepLines w:val="0"/>
              <w:suppressLineNumbers w:val="0"/>
              <w:adjustRightInd/>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w:t>
            </w:r>
          </w:p>
        </w:tc>
      </w:tr>
    </w:tbl>
    <w:p>
      <w:pPr>
        <w:numPr>
          <w:ilvl w:val="0"/>
          <w:numId w:val="0"/>
        </w:numPr>
        <w:spacing w:line="360" w:lineRule="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 xml:space="preserve">  </w:t>
      </w:r>
    </w:p>
    <w:p>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（7）100mlHDPE白色瓶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标示容量100.0±2.0ml ； 满口容量120.0±2.0ml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3）</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tbl>
      <w:tblPr>
        <w:tblStyle w:val="62"/>
        <w:tblW w:w="8025" w:type="dxa"/>
        <w:tblInd w:w="23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668"/>
        <w:gridCol w:w="27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要求</w:t>
            </w:r>
          </w:p>
        </w:tc>
        <w:tc>
          <w:tcPr>
            <w:tcW w:w="2747"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瓶身外径</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44.8mm</w:t>
            </w:r>
          </w:p>
        </w:tc>
        <w:tc>
          <w:tcPr>
            <w:tcW w:w="2747"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瓶口内径</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21.7mm</w:t>
            </w:r>
          </w:p>
        </w:tc>
        <w:tc>
          <w:tcPr>
            <w:tcW w:w="2747"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瓶全高</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106.9mm</w:t>
            </w:r>
          </w:p>
        </w:tc>
        <w:tc>
          <w:tcPr>
            <w:tcW w:w="2747"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瓶重</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3.0</w:t>
            </w:r>
            <w:r>
              <w:rPr>
                <w:rFonts w:hint="default" w:ascii="仿宋" w:hAnsi="仿宋" w:eastAsia="仿宋" w:cs="仿宋"/>
                <w:color w:val="auto"/>
                <w:sz w:val="24"/>
                <w:szCs w:val="24"/>
                <w:highlight w:val="none"/>
                <w:lang w:val="en-US" w:eastAsia="zh-CN"/>
              </w:rPr>
              <w:t>g</w:t>
            </w:r>
          </w:p>
        </w:tc>
        <w:tc>
          <w:tcPr>
            <w:tcW w:w="2747"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p>
        </w:tc>
      </w:tr>
    </w:tbl>
    <w:p>
      <w:pPr>
        <w:numPr>
          <w:ilvl w:val="0"/>
          <w:numId w:val="0"/>
        </w:numPr>
        <w:spacing w:line="360" w:lineRule="auto"/>
        <w:rPr>
          <w:rFonts w:hint="default" w:ascii="仿宋" w:hAnsi="仿宋" w:eastAsia="仿宋" w:cs="仿宋"/>
          <w:color w:val="auto"/>
          <w:kern w:val="0"/>
          <w:sz w:val="21"/>
          <w:szCs w:val="21"/>
          <w:highlight w:val="none"/>
          <w:lang w:val="en-US" w:eastAsia="zh-CN" w:bidi="ar"/>
        </w:rPr>
      </w:pP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（8）100mlHDPE蓝色瓶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满口容量141.8±5.0ml</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numPr>
          <w:ilvl w:val="0"/>
          <w:numId w:val="0"/>
        </w:num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 瓶身印字，字迹要求清晰。</w:t>
      </w:r>
    </w:p>
    <w:p>
      <w:pPr>
        <w:adjustRightInd/>
        <w:spacing w:line="360" w:lineRule="auto"/>
        <w:jc w:val="both"/>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4）</w:t>
      </w:r>
      <w:r>
        <w:rPr>
          <w:rFonts w:hint="default" w:ascii="仿宋" w:hAnsi="仿宋" w:eastAsia="仿宋" w:cs="仿宋"/>
          <w:color w:val="auto"/>
          <w:sz w:val="24"/>
          <w:szCs w:val="24"/>
          <w:highlight w:val="none"/>
        </w:rPr>
        <w:t>瓶身</w:t>
      </w:r>
      <w:r>
        <w:rPr>
          <w:rFonts w:hint="eastAsia" w:ascii="仿宋" w:hAnsi="仿宋" w:eastAsia="仿宋" w:cs="仿宋"/>
          <w:color w:val="auto"/>
          <w:sz w:val="24"/>
          <w:szCs w:val="24"/>
          <w:highlight w:val="none"/>
          <w:lang w:val="en-US" w:eastAsia="zh-CN"/>
        </w:rPr>
        <w:t>要求</w:t>
      </w:r>
    </w:p>
    <w:tbl>
      <w:tblPr>
        <w:tblStyle w:val="62"/>
        <w:tblW w:w="7987" w:type="dxa"/>
        <w:tblInd w:w="23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2668"/>
        <w:gridCol w:w="2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要求</w:t>
            </w:r>
          </w:p>
        </w:tc>
        <w:tc>
          <w:tcPr>
            <w:tcW w:w="2709"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瓶身长</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97.4</w:t>
            </w:r>
            <w:r>
              <w:rPr>
                <w:rFonts w:hint="eastAsia" w:ascii="仿宋" w:hAnsi="仿宋" w:eastAsia="仿宋" w:cs="仿宋"/>
                <w:color w:val="auto"/>
                <w:sz w:val="24"/>
                <w:szCs w:val="24"/>
                <w:highlight w:val="none"/>
                <w:lang w:val="en-US" w:eastAsia="zh-CN"/>
              </w:rPr>
              <w:t>mm</w:t>
            </w:r>
          </w:p>
        </w:tc>
        <w:tc>
          <w:tcPr>
            <w:tcW w:w="2709"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瓶身宽</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49.3</w:t>
            </w:r>
            <w:r>
              <w:rPr>
                <w:rFonts w:hint="eastAsia" w:ascii="仿宋" w:hAnsi="仿宋" w:eastAsia="仿宋" w:cs="仿宋"/>
                <w:color w:val="auto"/>
                <w:sz w:val="24"/>
                <w:szCs w:val="24"/>
                <w:highlight w:val="none"/>
                <w:lang w:val="en-US" w:eastAsia="zh-CN"/>
              </w:rPr>
              <w:t>mm</w:t>
            </w:r>
          </w:p>
        </w:tc>
        <w:tc>
          <w:tcPr>
            <w:tcW w:w="2709"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瓶全高</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117.3</w:t>
            </w:r>
            <w:r>
              <w:rPr>
                <w:rFonts w:hint="eastAsia" w:ascii="仿宋" w:hAnsi="仿宋" w:eastAsia="仿宋" w:cs="仿宋"/>
                <w:color w:val="auto"/>
                <w:sz w:val="24"/>
                <w:szCs w:val="24"/>
                <w:highlight w:val="none"/>
                <w:lang w:val="en-US" w:eastAsia="zh-CN"/>
              </w:rPr>
              <w:t>mm</w:t>
            </w:r>
          </w:p>
        </w:tc>
        <w:tc>
          <w:tcPr>
            <w:tcW w:w="2709"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10"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瓶重</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≥11.3g</w:t>
            </w:r>
          </w:p>
        </w:tc>
        <w:tc>
          <w:tcPr>
            <w:tcW w:w="2709"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p>
        </w:tc>
      </w:tr>
    </w:tbl>
    <w:p>
      <w:pPr>
        <w:numPr>
          <w:ilvl w:val="0"/>
          <w:numId w:val="0"/>
        </w:numPr>
        <w:spacing w:line="360" w:lineRule="auto"/>
        <w:ind w:leftChars="0"/>
        <w:rPr>
          <w:rFonts w:hint="default" w:ascii="仿宋" w:hAnsi="仿宋" w:eastAsia="仿宋" w:cs="仿宋"/>
          <w:color w:val="auto"/>
          <w:kern w:val="0"/>
          <w:sz w:val="21"/>
          <w:szCs w:val="21"/>
          <w:highlight w:val="none"/>
          <w:lang w:val="en-US" w:eastAsia="zh-CN" w:bidi="ar"/>
        </w:rPr>
      </w:pP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（9）30gHDPE固体瓶</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1）规格： 满口容量68.2±1.0g</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2）尺寸： 应符合该容器所需的规定容量。</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 </w:t>
      </w:r>
      <w:r>
        <w:rPr>
          <w:rFonts w:hint="default" w:ascii="仿宋" w:hAnsi="仿宋" w:eastAsia="仿宋" w:cs="仿宋"/>
          <w:color w:val="auto"/>
          <w:sz w:val="24"/>
          <w:szCs w:val="24"/>
          <w:highlight w:val="none"/>
          <w:lang w:val="en-US" w:eastAsia="zh-CN"/>
        </w:rPr>
        <w:t>瓶身</w:t>
      </w:r>
      <w:r>
        <w:rPr>
          <w:rFonts w:hint="eastAsia" w:ascii="仿宋" w:hAnsi="仿宋" w:eastAsia="仿宋" w:cs="仿宋"/>
          <w:color w:val="auto"/>
          <w:sz w:val="24"/>
          <w:szCs w:val="24"/>
          <w:highlight w:val="none"/>
          <w:lang w:val="en-US" w:eastAsia="zh-CN"/>
        </w:rPr>
        <w:t xml:space="preserve">要求                    </w:t>
      </w:r>
    </w:p>
    <w:tbl>
      <w:tblPr>
        <w:tblStyle w:val="62"/>
        <w:tblW w:w="8075" w:type="dxa"/>
        <w:tblInd w:w="16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668"/>
        <w:gridCol w:w="27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项目</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要求</w:t>
            </w:r>
          </w:p>
        </w:tc>
        <w:tc>
          <w:tcPr>
            <w:tcW w:w="2734"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极限偏差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瓶身长</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49.0</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瓶身宽</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33.0</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瓶全高</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74.0</w:t>
            </w:r>
            <w:r>
              <w:rPr>
                <w:rFonts w:hint="eastAsia" w:ascii="仿宋" w:hAnsi="仿宋" w:eastAsia="仿宋" w:cs="仿宋"/>
                <w:color w:val="auto"/>
                <w:sz w:val="24"/>
                <w:szCs w:val="24"/>
                <w:highlight w:val="none"/>
                <w:lang w:val="en-US" w:eastAsia="zh-CN"/>
              </w:rPr>
              <w:t>mm</w:t>
            </w:r>
          </w:p>
        </w:tc>
        <w:tc>
          <w:tcPr>
            <w:tcW w:w="2734"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73"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瓶重</w:t>
            </w:r>
          </w:p>
        </w:tc>
        <w:tc>
          <w:tcPr>
            <w:tcW w:w="2668"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≥8.0g</w:t>
            </w:r>
          </w:p>
        </w:tc>
        <w:tc>
          <w:tcPr>
            <w:tcW w:w="2734" w:type="dxa"/>
            <w:tcBorders>
              <w:tl2br w:val="nil"/>
              <w:tr2bl w:val="nil"/>
            </w:tcBorders>
            <w:noWrap w:val="0"/>
            <w:vAlign w:val="top"/>
          </w:tcPr>
          <w:p>
            <w:pPr>
              <w:keepNext w:val="0"/>
              <w:keepLines w:val="0"/>
              <w:numPr>
                <w:ilvl w:val="0"/>
                <w:numId w:val="0"/>
              </w:numPr>
              <w:suppressLineNumbers w:val="0"/>
              <w:spacing w:before="0" w:beforeAutospacing="0" w:after="0" w:afterAutospacing="0" w:line="360" w:lineRule="auto"/>
              <w:ind w:left="0" w:right="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w:t>
            </w:r>
          </w:p>
        </w:tc>
      </w:tr>
    </w:tbl>
    <w:p>
      <w:pPr>
        <w:keepNext w:val="0"/>
        <w:keepLines w:val="0"/>
        <w:pageBreakBefore w:val="0"/>
        <w:numPr>
          <w:ilvl w:val="0"/>
          <w:numId w:val="0"/>
        </w:numPr>
        <w:kinsoku/>
        <w:wordWrap/>
        <w:overflowPunct/>
        <w:topLinePunct w:val="0"/>
        <w:autoSpaceDE/>
        <w:autoSpaceDN/>
        <w:bidi w:val="0"/>
        <w:spacing w:line="360" w:lineRule="auto"/>
        <w:ind w:firstLine="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三、样品要求</w:t>
      </w:r>
    </w:p>
    <w:tbl>
      <w:tblPr>
        <w:tblStyle w:val="62"/>
        <w:tblW w:w="79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0"/>
        <w:gridCol w:w="2250"/>
        <w:gridCol w:w="2550"/>
        <w:gridCol w:w="1788"/>
        <w:gridCol w:w="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样品名称</w:t>
            </w:r>
          </w:p>
        </w:tc>
        <w:tc>
          <w:tcPr>
            <w:tcW w:w="255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工艺材料</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图示</w:t>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1</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100mlPET棕色瓶</w:t>
            </w:r>
          </w:p>
        </w:tc>
        <w:tc>
          <w:tcPr>
            <w:tcW w:w="255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液体</w:t>
            </w:r>
            <w:r>
              <w:rPr>
                <w:rFonts w:hint="eastAsia" w:ascii="仿宋" w:hAnsi="仿宋" w:eastAsia="仿宋" w:cs="仿宋"/>
                <w:color w:val="auto"/>
                <w:kern w:val="0"/>
                <w:sz w:val="24"/>
                <w:szCs w:val="24"/>
                <w:highlight w:val="none"/>
                <w:lang w:bidi="ar"/>
              </w:rPr>
              <w:t>药用聚酯</w:t>
            </w:r>
            <w:r>
              <w:rPr>
                <w:rFonts w:hint="eastAsia" w:ascii="仿宋" w:hAnsi="仿宋" w:eastAsia="仿宋" w:cs="仿宋"/>
                <w:color w:val="auto"/>
                <w:kern w:val="0"/>
                <w:sz w:val="24"/>
                <w:szCs w:val="24"/>
                <w:highlight w:val="none"/>
                <w:lang w:val="en-US" w:eastAsia="zh-CN" w:bidi="ar"/>
              </w:rPr>
              <w:t>瓶</w:t>
            </w:r>
            <w:r>
              <w:rPr>
                <w:rFonts w:hint="eastAsia" w:ascii="仿宋" w:hAnsi="仿宋" w:eastAsia="仿宋" w:cs="仿宋"/>
                <w:color w:val="auto"/>
                <w:kern w:val="0"/>
                <w:sz w:val="24"/>
                <w:szCs w:val="24"/>
                <w:highlight w:val="none"/>
                <w:lang w:bidi="ar"/>
              </w:rPr>
              <w:t>（PET）</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86765" cy="343535"/>
                  <wp:effectExtent l="0" t="0" r="1333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786765" cy="343535"/>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2</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200mlPET无色瓶</w:t>
            </w:r>
          </w:p>
        </w:tc>
        <w:tc>
          <w:tcPr>
            <w:tcW w:w="255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液体</w:t>
            </w:r>
            <w:r>
              <w:rPr>
                <w:rFonts w:hint="eastAsia" w:ascii="仿宋" w:hAnsi="仿宋" w:eastAsia="仿宋" w:cs="仿宋"/>
                <w:color w:val="auto"/>
                <w:kern w:val="0"/>
                <w:sz w:val="24"/>
                <w:szCs w:val="24"/>
                <w:highlight w:val="none"/>
                <w:lang w:bidi="ar"/>
              </w:rPr>
              <w:t>药用聚酯</w:t>
            </w:r>
            <w:r>
              <w:rPr>
                <w:rFonts w:hint="eastAsia" w:ascii="仿宋" w:hAnsi="仿宋" w:eastAsia="仿宋" w:cs="仿宋"/>
                <w:color w:val="auto"/>
                <w:kern w:val="0"/>
                <w:sz w:val="24"/>
                <w:szCs w:val="24"/>
                <w:highlight w:val="none"/>
                <w:lang w:val="en-US" w:eastAsia="zh-CN" w:bidi="ar"/>
              </w:rPr>
              <w:t>瓶</w:t>
            </w:r>
            <w:r>
              <w:rPr>
                <w:rFonts w:hint="eastAsia" w:ascii="仿宋" w:hAnsi="仿宋" w:eastAsia="仿宋" w:cs="仿宋"/>
                <w:color w:val="auto"/>
                <w:kern w:val="0"/>
                <w:sz w:val="24"/>
                <w:szCs w:val="24"/>
                <w:highlight w:val="none"/>
                <w:lang w:bidi="ar"/>
              </w:rPr>
              <w:t>（PET）</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73430" cy="31750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773430" cy="31750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3</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500mlPET棕色瓶</w:t>
            </w:r>
          </w:p>
        </w:tc>
        <w:tc>
          <w:tcPr>
            <w:tcW w:w="255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液体</w:t>
            </w:r>
            <w:r>
              <w:rPr>
                <w:rFonts w:hint="eastAsia" w:ascii="仿宋" w:hAnsi="仿宋" w:eastAsia="仿宋" w:cs="仿宋"/>
                <w:color w:val="auto"/>
                <w:kern w:val="0"/>
                <w:sz w:val="24"/>
                <w:szCs w:val="24"/>
                <w:highlight w:val="none"/>
                <w:lang w:bidi="ar"/>
              </w:rPr>
              <w:t>药用聚酯</w:t>
            </w:r>
            <w:r>
              <w:rPr>
                <w:rFonts w:hint="eastAsia" w:ascii="仿宋" w:hAnsi="仿宋" w:eastAsia="仿宋" w:cs="仿宋"/>
                <w:color w:val="auto"/>
                <w:kern w:val="0"/>
                <w:sz w:val="24"/>
                <w:szCs w:val="24"/>
                <w:highlight w:val="none"/>
                <w:lang w:val="en-US" w:eastAsia="zh-CN" w:bidi="ar"/>
              </w:rPr>
              <w:t>瓶</w:t>
            </w:r>
            <w:r>
              <w:rPr>
                <w:rFonts w:hint="eastAsia" w:ascii="仿宋" w:hAnsi="仿宋" w:eastAsia="仿宋" w:cs="仿宋"/>
                <w:color w:val="auto"/>
                <w:kern w:val="0"/>
                <w:sz w:val="24"/>
                <w:szCs w:val="24"/>
                <w:highlight w:val="none"/>
                <w:lang w:bidi="ar"/>
              </w:rPr>
              <w:t>（PET）</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60730" cy="309880"/>
                  <wp:effectExtent l="0" t="0" r="1270"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0"/>
                          <a:stretch>
                            <a:fillRect/>
                          </a:stretch>
                        </pic:blipFill>
                        <pic:spPr>
                          <a:xfrm>
                            <a:off x="0" y="0"/>
                            <a:ext cx="760730" cy="30988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4</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500mlPET无色瓶</w:t>
            </w:r>
          </w:p>
        </w:tc>
        <w:tc>
          <w:tcPr>
            <w:tcW w:w="255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液体</w:t>
            </w:r>
            <w:r>
              <w:rPr>
                <w:rFonts w:hint="eastAsia" w:ascii="仿宋" w:hAnsi="仿宋" w:eastAsia="仿宋" w:cs="仿宋"/>
                <w:color w:val="auto"/>
                <w:kern w:val="0"/>
                <w:sz w:val="24"/>
                <w:szCs w:val="24"/>
                <w:highlight w:val="none"/>
                <w:lang w:bidi="ar"/>
              </w:rPr>
              <w:t>药用聚酯</w:t>
            </w:r>
            <w:r>
              <w:rPr>
                <w:rFonts w:hint="eastAsia" w:ascii="仿宋" w:hAnsi="仿宋" w:eastAsia="仿宋" w:cs="仿宋"/>
                <w:color w:val="auto"/>
                <w:kern w:val="0"/>
                <w:sz w:val="24"/>
                <w:szCs w:val="24"/>
                <w:highlight w:val="none"/>
                <w:lang w:val="en-US" w:eastAsia="zh-CN" w:bidi="ar"/>
              </w:rPr>
              <w:t>瓶</w:t>
            </w:r>
            <w:r>
              <w:rPr>
                <w:rFonts w:hint="eastAsia" w:ascii="仿宋" w:hAnsi="仿宋" w:eastAsia="仿宋" w:cs="仿宋"/>
                <w:color w:val="auto"/>
                <w:kern w:val="0"/>
                <w:sz w:val="24"/>
                <w:szCs w:val="24"/>
                <w:highlight w:val="none"/>
                <w:lang w:bidi="ar"/>
              </w:rPr>
              <w:t>（PET）</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52475" cy="309880"/>
                  <wp:effectExtent l="0" t="0" r="952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1"/>
                          <a:stretch>
                            <a:fillRect/>
                          </a:stretch>
                        </pic:blipFill>
                        <pic:spPr>
                          <a:xfrm>
                            <a:off x="0" y="0"/>
                            <a:ext cx="752475" cy="30988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5</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20mlLDPE棕色瓶</w:t>
            </w:r>
          </w:p>
        </w:tc>
        <w:tc>
          <w:tcPr>
            <w:tcW w:w="2550" w:type="dxa"/>
            <w:tcBorders>
              <w:tl2br w:val="nil"/>
              <w:tr2bl w:val="nil"/>
            </w:tcBorders>
            <w:noWrap w:val="0"/>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低密度聚乙烯（LDPE）</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91210" cy="242570"/>
                  <wp:effectExtent l="0" t="0" r="8890" b="50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2"/>
                          <a:stretch>
                            <a:fillRect/>
                          </a:stretch>
                        </pic:blipFill>
                        <pic:spPr>
                          <a:xfrm>
                            <a:off x="0" y="0"/>
                            <a:ext cx="791210" cy="24257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6</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10mlLDPE无色滴眼瓶</w:t>
            </w:r>
          </w:p>
        </w:tc>
        <w:tc>
          <w:tcPr>
            <w:tcW w:w="2550" w:type="dxa"/>
            <w:tcBorders>
              <w:tl2br w:val="nil"/>
              <w:tr2bl w:val="nil"/>
            </w:tcBorders>
            <w:noWrap w:val="0"/>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低密度聚乙烯（LDPE）</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98195" cy="275590"/>
                  <wp:effectExtent l="0" t="0" r="1905" b="1016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3"/>
                          <a:stretch>
                            <a:fillRect/>
                          </a:stretch>
                        </pic:blipFill>
                        <pic:spPr>
                          <a:xfrm>
                            <a:off x="0" y="0"/>
                            <a:ext cx="798195" cy="27559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7</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100mlHDPE白色瓶</w:t>
            </w:r>
          </w:p>
        </w:tc>
        <w:tc>
          <w:tcPr>
            <w:tcW w:w="2550" w:type="dxa"/>
            <w:tcBorders>
              <w:tl2br w:val="nil"/>
              <w:tr2bl w:val="nil"/>
            </w:tcBorders>
            <w:noWrap w:val="0"/>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高密度聚乙烯（HDPE）</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41045" cy="303530"/>
                  <wp:effectExtent l="0" t="0" r="1905" b="12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4"/>
                          <a:stretch>
                            <a:fillRect/>
                          </a:stretch>
                        </pic:blipFill>
                        <pic:spPr>
                          <a:xfrm>
                            <a:off x="0" y="0"/>
                            <a:ext cx="741045" cy="303530"/>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tcBorders>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8</w:t>
            </w:r>
          </w:p>
        </w:tc>
        <w:tc>
          <w:tcPr>
            <w:tcW w:w="2250" w:type="dxa"/>
            <w:tcBorders>
              <w:tl2br w:val="nil"/>
              <w:tr2bl w:val="nil"/>
            </w:tcBorders>
            <w:noWrap w:val="0"/>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100mlHDPE蓝色瓶</w:t>
            </w:r>
          </w:p>
        </w:tc>
        <w:tc>
          <w:tcPr>
            <w:tcW w:w="2550" w:type="dxa"/>
            <w:tcBorders>
              <w:tl2br w:val="nil"/>
              <w:tr2bl w:val="nil"/>
            </w:tcBorders>
            <w:noWrap w:val="0"/>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高密度聚乙烯（HDPE）</w:t>
            </w:r>
          </w:p>
        </w:tc>
        <w:tc>
          <w:tcPr>
            <w:tcW w:w="1788"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783590" cy="310515"/>
                  <wp:effectExtent l="0" t="0" r="16510" b="1333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5"/>
                          <a:stretch>
                            <a:fillRect/>
                          </a:stretch>
                        </pic:blipFill>
                        <pic:spPr>
                          <a:xfrm>
                            <a:off x="0" y="0"/>
                            <a:ext cx="783590" cy="310515"/>
                          </a:xfrm>
                          <a:prstGeom prst="rect">
                            <a:avLst/>
                          </a:prstGeom>
                          <a:noFill/>
                          <a:ln>
                            <a:noFill/>
                          </a:ln>
                        </pic:spPr>
                      </pic:pic>
                    </a:graphicData>
                  </a:graphic>
                </wp:inline>
              </w:drawing>
            </w:r>
          </w:p>
        </w:tc>
        <w:tc>
          <w:tcPr>
            <w:tcW w:w="830"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10" w:type="dxa"/>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9</w:t>
            </w:r>
          </w:p>
        </w:tc>
        <w:tc>
          <w:tcPr>
            <w:tcW w:w="2250" w:type="dxa"/>
            <w:vAlign w:val="top"/>
          </w:tcPr>
          <w:p>
            <w:pPr>
              <w:keepNext w:val="0"/>
              <w:keepLines w:val="0"/>
              <w:widowControl w:val="0"/>
              <w:suppressLineNumbers w:val="0"/>
              <w:adjustRightInd w:val="0"/>
              <w:spacing w:before="0" w:beforeLines="0" w:beforeAutospacing="0" w:after="0" w:afterLines="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
              </w:rPr>
              <w:t>30gHDPE固体瓶</w:t>
            </w:r>
          </w:p>
        </w:tc>
        <w:tc>
          <w:tcPr>
            <w:tcW w:w="2550" w:type="dxa"/>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高密度聚乙烯（HDPE）</w:t>
            </w:r>
          </w:p>
        </w:tc>
        <w:tc>
          <w:tcPr>
            <w:tcW w:w="1788" w:type="dxa"/>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114300" distR="114300">
                  <wp:extent cx="517525" cy="316865"/>
                  <wp:effectExtent l="0" t="0" r="15875" b="698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26"/>
                          <a:stretch>
                            <a:fillRect/>
                          </a:stretch>
                        </pic:blipFill>
                        <pic:spPr>
                          <a:xfrm>
                            <a:off x="0" y="0"/>
                            <a:ext cx="517525" cy="316865"/>
                          </a:xfrm>
                          <a:prstGeom prst="rect">
                            <a:avLst/>
                          </a:prstGeom>
                          <a:noFill/>
                          <a:ln>
                            <a:noFill/>
                          </a:ln>
                        </pic:spPr>
                      </pic:pic>
                    </a:graphicData>
                  </a:graphic>
                </wp:inline>
              </w:drawing>
            </w:r>
          </w:p>
        </w:tc>
        <w:tc>
          <w:tcPr>
            <w:tcW w:w="830" w:type="dxa"/>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1个</w:t>
            </w:r>
          </w:p>
        </w:tc>
      </w:tr>
    </w:tbl>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p>
    <w:p>
      <w:pPr>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highlight w:val="none"/>
        </w:rPr>
        <w:t>▲</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kern w:val="0"/>
          <w:sz w:val="24"/>
          <w:highlight w:val="none"/>
        </w:rPr>
        <w:t>未提供样品或提供样品不满足采购需求实质性条件的供应商，投标无效</w:t>
      </w:r>
      <w:r>
        <w:rPr>
          <w:rFonts w:hint="eastAsia" w:ascii="仿宋" w:hAnsi="仿宋" w:eastAsia="仿宋" w:cs="仿宋"/>
          <w:color w:val="auto"/>
          <w:kern w:val="0"/>
          <w:sz w:val="24"/>
          <w:highlight w:val="none"/>
          <w:lang w:eastAsia="zh-CN"/>
        </w:rPr>
        <w:t>。</w:t>
      </w:r>
    </w:p>
    <w:p>
      <w:pPr>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bCs/>
          <w:color w:val="auto"/>
          <w:sz w:val="24"/>
          <w:highlight w:val="none"/>
          <w:lang w:eastAsia="zh-CN"/>
        </w:rPr>
        <w:t>样品集中装在一个盒子或袋子内，密封递交，</w:t>
      </w:r>
      <w:r>
        <w:rPr>
          <w:rFonts w:hint="eastAsia" w:ascii="仿宋" w:hAnsi="仿宋" w:eastAsia="仿宋" w:cs="仿宋"/>
          <w:b/>
          <w:bCs/>
          <w:color w:val="auto"/>
          <w:sz w:val="24"/>
          <w:szCs w:val="24"/>
          <w:highlight w:val="none"/>
          <w:lang w:val="en-US" w:eastAsia="zh-CN"/>
        </w:rPr>
        <w:t>样品均需标明供应商全称、样品编号及名称。</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样本均不退还</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中标人的样品由采购人封存保管，并作为验收的依据之一。</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4、提供上图产品相同材质的类似产品。</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四、其他要求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供货要求：签订合同后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需求确定之日起30个工作日内，</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将根据订单约定数量生产备货，根据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书面通知数量按批次进行供货，</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接到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个工作日内交付使用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应急货物24小时内到货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，同时提交产品相关的资料，包括送货单等送货单和检验报告等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并通过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验收。</w:t>
      </w:r>
      <w:r>
        <w:rPr>
          <w:rFonts w:hint="eastAsia" w:ascii="仿宋" w:hAnsi="仿宋" w:eastAsia="仿宋" w:cs="Times New Roman"/>
          <w:color w:val="auto"/>
          <w:sz w:val="24"/>
          <w:highlight w:val="none"/>
          <w:lang w:val="en-US" w:eastAsia="zh-CN"/>
        </w:rPr>
        <w:t>未发货产品投标人代为保管，直至发完</w:t>
      </w:r>
      <w:r>
        <w:rPr>
          <w:rFonts w:hint="eastAsia" w:ascii="仿宋" w:hAnsi="仿宋" w:eastAsia="仿宋" w:cs="Times New Roman"/>
          <w:color w:val="auto"/>
          <w:sz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产品</w:t>
      </w:r>
      <w:r>
        <w:rPr>
          <w:rFonts w:hint="eastAsia" w:ascii="仿宋" w:hAnsi="仿宋" w:eastAsia="仿宋" w:cs="仿宋"/>
          <w:color w:val="auto"/>
          <w:sz w:val="24"/>
          <w:szCs w:val="24"/>
          <w:highlight w:val="none"/>
        </w:rPr>
        <w:t>供货运输并卸货指定地点。投标人负责将货物按签订合同的具体数量、具体地点免费运送到最终目的地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投标人交付的货物（服务）存在数量短缺、交付不符、假冒伪劣或质量瑕疵等情形，招标人当场验收产品时发现的，有权决定拒绝收货或立即要求退换货。如招标人收货后发现上述瑕疵的，则于招标人发现之日起十五个工作日内向投标人的指定联系人提出异议，投标人应按照招标人异议要求立即退换货或承担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售后服务与校验</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供应商需在0.5小时内响应</w:t>
      </w:r>
      <w:r>
        <w:rPr>
          <w:rFonts w:hint="eastAsia" w:ascii="仿宋" w:hAnsi="仿宋" w:eastAsia="仿宋" w:cs="仿宋"/>
          <w:color w:val="auto"/>
          <w:sz w:val="24"/>
          <w:szCs w:val="24"/>
          <w:highlight w:val="none"/>
          <w:lang w:val="en-US" w:eastAsia="zh-CN"/>
        </w:rPr>
        <w:t>采购人的需求</w:t>
      </w:r>
      <w:r>
        <w:rPr>
          <w:rFonts w:hint="eastAsia" w:ascii="仿宋" w:hAnsi="仿宋" w:eastAsia="仿宋" w:cs="仿宋"/>
          <w:color w:val="auto"/>
          <w:sz w:val="24"/>
          <w:szCs w:val="24"/>
          <w:highlight w:val="none"/>
        </w:rPr>
        <w:t>，2小时解决问题和采购人提出的合理要求，在投标书中请提供详细的售后服务</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承诺书。</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五、商务要求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1、报价</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 投标人应按照产品清单及技术要求报价，并在投标文件中明确提供投标货物的名称、规格和配置。</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1.2 </w:t>
      </w:r>
      <w:r>
        <w:rPr>
          <w:rFonts w:hint="eastAsia" w:ascii="仿宋" w:hAnsi="仿宋" w:eastAsia="仿宋" w:cs="仿宋"/>
          <w:color w:val="auto"/>
          <w:sz w:val="24"/>
          <w:szCs w:val="24"/>
          <w:highlight w:val="none"/>
        </w:rPr>
        <w:t>投标人的报价均已包括了为实施和完成合同所需的制作、</w:t>
      </w:r>
      <w:r>
        <w:rPr>
          <w:rFonts w:hint="eastAsia" w:ascii="仿宋" w:hAnsi="仿宋" w:eastAsia="仿宋" w:cs="仿宋"/>
          <w:color w:val="auto"/>
          <w:sz w:val="24"/>
          <w:szCs w:val="24"/>
          <w:highlight w:val="none"/>
          <w:lang w:val="en-US" w:eastAsia="zh-CN"/>
        </w:rPr>
        <w:t>开模、包装、</w:t>
      </w:r>
      <w:r>
        <w:rPr>
          <w:rFonts w:hint="eastAsia" w:ascii="仿宋" w:hAnsi="仿宋" w:eastAsia="仿宋" w:cs="仿宋"/>
          <w:color w:val="auto"/>
          <w:sz w:val="24"/>
          <w:szCs w:val="24"/>
          <w:highlight w:val="none"/>
        </w:rPr>
        <w:t>运输、验收、材料、售后服务、管理、保险、利润、税金、政策性调价、市场变化以及合同明示的所有责任、义务和风险等所需的一切费用。因投标人报价漏算少计，中标后不予追加。</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2、合同及违约要求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中标人应在中标通知书发出后</w:t>
      </w:r>
      <w:r>
        <w:rPr>
          <w:rFonts w:hint="eastAsia" w:ascii="仿宋" w:hAnsi="仿宋" w:eastAsia="仿宋" w:cs="仿宋"/>
          <w:color w:val="auto"/>
          <w:sz w:val="24"/>
          <w:szCs w:val="24"/>
          <w:highlight w:val="none"/>
          <w:lang w:eastAsia="zh-CN"/>
        </w:rPr>
        <w:t>30日</w:t>
      </w:r>
      <w:r>
        <w:rPr>
          <w:rFonts w:hint="eastAsia" w:ascii="仿宋" w:hAnsi="仿宋" w:eastAsia="仿宋" w:cs="仿宋"/>
          <w:color w:val="auto"/>
          <w:sz w:val="24"/>
          <w:szCs w:val="24"/>
          <w:highlight w:val="none"/>
        </w:rPr>
        <w:t>内与招标人签订合同。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中标人在供货期内有下列行为，造成不当的损失而产生的费用，要从当</w:t>
      </w:r>
      <w:r>
        <w:rPr>
          <w:rFonts w:hint="eastAsia" w:ascii="仿宋" w:hAnsi="仿宋" w:eastAsia="仿宋" w:cs="仿宋"/>
          <w:color w:val="auto"/>
          <w:sz w:val="24"/>
          <w:szCs w:val="24"/>
          <w:highlight w:val="none"/>
          <w:lang w:val="en-US" w:eastAsia="zh-CN"/>
        </w:rPr>
        <w:t>月</w:t>
      </w:r>
      <w:r>
        <w:rPr>
          <w:rFonts w:hint="eastAsia" w:ascii="仿宋" w:hAnsi="仿宋" w:eastAsia="仿宋" w:cs="仿宋"/>
          <w:color w:val="auto"/>
          <w:sz w:val="24"/>
          <w:szCs w:val="24"/>
          <w:highlight w:val="none"/>
        </w:rPr>
        <w:t>支付给中标人的费用中扣除：中标人要爱护与保管招标人的财产，如损坏招标人的设备设施等，按实际损失价值赔偿；有严重影响招标人有关科室的正常工作及招标人形象行为的，按实际损失价值赔偿。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2.3除另有约定的外，</w:t>
      </w:r>
      <w:r>
        <w:rPr>
          <w:rFonts w:hint="eastAsia" w:ascii="仿宋" w:hAnsi="仿宋" w:eastAsia="仿宋" w:cs="仿宋"/>
          <w:color w:val="auto"/>
          <w:sz w:val="24"/>
          <w:szCs w:val="24"/>
          <w:highlight w:val="none"/>
        </w:rPr>
        <w:t>中标人存在如下违约情况时，招标人有权单方面解除合同并要求中标人按照</w:t>
      </w:r>
      <w:r>
        <w:rPr>
          <w:rFonts w:hint="eastAsia" w:ascii="仿宋" w:hAnsi="仿宋" w:eastAsia="仿宋" w:cs="仿宋"/>
          <w:color w:val="auto"/>
          <w:sz w:val="24"/>
          <w:szCs w:val="24"/>
          <w:highlight w:val="none"/>
          <w:lang w:val="en-US" w:eastAsia="zh-CN"/>
        </w:rPr>
        <w:t>已采购金额总额的</w:t>
      </w:r>
      <w:r>
        <w:rPr>
          <w:rFonts w:hint="eastAsia" w:ascii="仿宋" w:hAnsi="仿宋" w:eastAsia="仿宋" w:cs="仿宋"/>
          <w:color w:val="auto"/>
          <w:sz w:val="24"/>
          <w:szCs w:val="24"/>
          <w:highlight w:val="none"/>
        </w:rPr>
        <w:t>30%向</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如前述违约金不足以弥补招标人因此所遭受的损失</w:t>
      </w:r>
      <w:r>
        <w:rPr>
          <w:rFonts w:hint="eastAsia" w:ascii="仿宋" w:hAnsi="仿宋" w:eastAsia="仿宋" w:cs="Times New Roman"/>
          <w:color w:val="auto"/>
          <w:sz w:val="24"/>
          <w:highlight w:val="none"/>
          <w:lang w:val="en-US" w:eastAsia="zh-CN"/>
        </w:rPr>
        <w:t>（该损失包括但不限于直接损失、间接损失以及招标人因维权而产生的诉讼费、律师费、保全费、保全担保费、公证费、鉴定费和执行费等一切损失）</w:t>
      </w:r>
      <w:r>
        <w:rPr>
          <w:rFonts w:hint="eastAsia" w:ascii="仿宋" w:hAnsi="仿宋" w:eastAsia="仿宋" w:cs="仿宋"/>
          <w:color w:val="auto"/>
          <w:sz w:val="24"/>
          <w:szCs w:val="24"/>
          <w:highlight w:val="none"/>
          <w:lang w:val="en-US" w:eastAsia="zh-CN"/>
        </w:rPr>
        <w:t>，中标人应予全额补足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中标人当月存在3次及以上在招标人派单后未及时到现场查看核对或产品逾期交货超过10个工作日的，但法定不可抗力因素或有特殊情况需与招标人商议后经招标人同意后方可延迟的情形除外；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中标人交付的货物（服务）存在数量短缺、交付</w:t>
      </w:r>
      <w:r>
        <w:rPr>
          <w:rFonts w:hint="eastAsia" w:ascii="仿宋" w:hAnsi="仿宋" w:eastAsia="仿宋" w:cs="仿宋"/>
          <w:color w:val="auto"/>
          <w:sz w:val="24"/>
          <w:szCs w:val="24"/>
          <w:highlight w:val="none"/>
          <w:lang w:val="en-US" w:eastAsia="zh-CN"/>
        </w:rPr>
        <w:t>产品的名称/材质/规格型号/质量等</w:t>
      </w:r>
      <w:r>
        <w:rPr>
          <w:rFonts w:hint="eastAsia" w:ascii="仿宋" w:hAnsi="仿宋" w:eastAsia="仿宋" w:cs="仿宋"/>
          <w:color w:val="auto"/>
          <w:sz w:val="24"/>
          <w:szCs w:val="24"/>
          <w:highlight w:val="none"/>
        </w:rPr>
        <w:t>不符</w:t>
      </w:r>
      <w:r>
        <w:rPr>
          <w:rFonts w:hint="eastAsia" w:ascii="仿宋" w:hAnsi="仿宋" w:eastAsia="仿宋" w:cs="仿宋"/>
          <w:color w:val="auto"/>
          <w:sz w:val="24"/>
          <w:szCs w:val="24"/>
          <w:highlight w:val="none"/>
          <w:lang w:val="en-US" w:eastAsia="zh-CN"/>
        </w:rPr>
        <w:t>的情形</w:t>
      </w:r>
      <w:r>
        <w:rPr>
          <w:rFonts w:hint="eastAsia" w:ascii="仿宋" w:hAnsi="仿宋" w:eastAsia="仿宋" w:cs="仿宋"/>
          <w:color w:val="auto"/>
          <w:sz w:val="24"/>
          <w:szCs w:val="24"/>
          <w:highlight w:val="none"/>
        </w:rPr>
        <w:t>，或招标人就前述情况向中标人提出异议后，中标人未按照招标人要求立即退换货的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或退换货后再行提供的货物仍存在前述情形的</w:t>
      </w:r>
      <w:r>
        <w:rPr>
          <w:rFonts w:hint="eastAsia" w:ascii="仿宋" w:hAnsi="仿宋" w:eastAsia="仿宋" w:cs="Times New Roman"/>
          <w:color w:val="auto"/>
          <w:sz w:val="24"/>
          <w:highlight w:val="none"/>
          <w:lang w:val="en-US" w:eastAsia="zh-CN"/>
        </w:rPr>
        <w:t>，总共累计5次及以上</w:t>
      </w:r>
      <w:r>
        <w:rPr>
          <w:rFonts w:hint="eastAsia" w:ascii="仿宋" w:hAnsi="仿宋" w:eastAsia="仿宋" w:cs="仿宋"/>
          <w:color w:val="auto"/>
          <w:sz w:val="24"/>
          <w:szCs w:val="24"/>
          <w:highlight w:val="none"/>
        </w:rPr>
        <w:t>。</w:t>
      </w:r>
    </w:p>
    <w:p>
      <w:pPr>
        <w:pStyle w:val="23"/>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2.4违约要求余条款详见合同文本。</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3、结算和支付方式</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3.1根据每月实际采购数量进行结算。</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结算清单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经双方核对无误后</w:t>
      </w:r>
      <w:r>
        <w:rPr>
          <w:rFonts w:hint="eastAsia" w:ascii="仿宋" w:hAnsi="仿宋" w:eastAsia="仿宋" w:cs="仿宋"/>
          <w:color w:val="auto"/>
          <w:sz w:val="24"/>
          <w:szCs w:val="24"/>
          <w:highlight w:val="none"/>
        </w:rPr>
        <w:t>开具正式合格</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方可</w:t>
      </w:r>
      <w:r>
        <w:rPr>
          <w:rFonts w:hint="eastAsia" w:ascii="仿宋" w:hAnsi="仿宋" w:eastAsia="仿宋" w:cs="仿宋"/>
          <w:color w:val="auto"/>
          <w:sz w:val="24"/>
          <w:szCs w:val="24"/>
          <w:highlight w:val="none"/>
        </w:rPr>
        <w:t>进行入库，</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入库后</w:t>
      </w:r>
      <w:r>
        <w:rPr>
          <w:rFonts w:hint="eastAsia" w:ascii="仿宋" w:hAnsi="仿宋" w:eastAsia="仿宋" w:cs="仿宋"/>
          <w:color w:val="auto"/>
          <w:sz w:val="24"/>
          <w:szCs w:val="24"/>
          <w:highlight w:val="none"/>
          <w:lang w:val="en-US" w:eastAsia="zh-CN"/>
        </w:rPr>
        <w:t>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承诺其开具发票的形式与内容真实、合法、准确、完整、有效，不开具或开具不合格发票的，招标人有权延迟支付应付款项且不承担违约责任，直至中标人开具合格的经招标人审核无误的发票，在此期间中标人仍应按照合同的约定履行合同的义务。</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kern w:val="0"/>
          <w:sz w:val="24"/>
          <w:szCs w:val="24"/>
          <w:highlight w:val="none"/>
          <w:lang w:val="en-US" w:eastAsia="zh-CN"/>
        </w:rPr>
        <w:t>预付款：</w:t>
      </w:r>
      <w:r>
        <w:rPr>
          <w:rFonts w:hint="eastAsia" w:ascii="仿宋" w:hAnsi="仿宋" w:eastAsia="仿宋" w:cs="仿宋"/>
          <w:color w:val="auto"/>
          <w:kern w:val="0"/>
          <w:sz w:val="24"/>
          <w:szCs w:val="24"/>
          <w:highlight w:val="none"/>
        </w:rPr>
        <w:t>在合同生效以及具备实施条件后5个工作日内支付</w:t>
      </w:r>
      <w:r>
        <w:rPr>
          <w:rFonts w:hint="eastAsia" w:ascii="仿宋" w:hAnsi="仿宋" w:eastAsia="仿宋" w:cs="仿宋"/>
          <w:color w:val="auto"/>
          <w:kern w:val="0"/>
          <w:sz w:val="24"/>
          <w:szCs w:val="24"/>
          <w:highlight w:val="none"/>
          <w:lang w:val="en-US" w:eastAsia="zh-CN"/>
        </w:rPr>
        <w:t>合同总价</w:t>
      </w:r>
      <w:r>
        <w:rPr>
          <w:rFonts w:hint="eastAsia" w:ascii="仿宋" w:hAnsi="仿宋" w:eastAsia="仿宋" w:cs="仿宋"/>
          <w:color w:val="auto"/>
          <w:kern w:val="0"/>
          <w:sz w:val="24"/>
          <w:szCs w:val="24"/>
          <w:highlight w:val="none"/>
        </w:rPr>
        <w:t>的40%，</w:t>
      </w:r>
      <w:r>
        <w:rPr>
          <w:rFonts w:hint="eastAsia" w:ascii="仿宋" w:hAnsi="仿宋" w:eastAsia="仿宋" w:cs="仿宋"/>
          <w:color w:val="auto"/>
          <w:sz w:val="24"/>
          <w:szCs w:val="24"/>
          <w:highlight w:val="none"/>
          <w:lang w:val="en-US" w:eastAsia="zh-CN"/>
        </w:rPr>
        <w:t>第一个月度结算款中进行抵扣，第一个月度货款不足抵扣，在第二月度付款中继续抵扣。</w:t>
      </w:r>
      <w:r>
        <w:rPr>
          <w:rFonts w:hint="eastAsia" w:ascii="仿宋" w:hAnsi="仿宋" w:eastAsia="仿宋" w:cs="仿宋"/>
          <w:color w:val="auto"/>
          <w:kern w:val="0"/>
          <w:sz w:val="24"/>
          <w:szCs w:val="24"/>
          <w:highlight w:val="none"/>
        </w:rPr>
        <w:t>如</w:t>
      </w:r>
      <w:r>
        <w:rPr>
          <w:rFonts w:hint="eastAsia" w:ascii="仿宋" w:hAnsi="仿宋" w:eastAsia="仿宋" w:cs="仿宋"/>
          <w:color w:val="auto"/>
          <w:kern w:val="0"/>
          <w:sz w:val="24"/>
          <w:szCs w:val="24"/>
          <w:highlight w:val="none"/>
          <w:lang w:val="en-US" w:eastAsia="zh-CN"/>
        </w:rPr>
        <w:t>中标人</w:t>
      </w:r>
      <w:r>
        <w:rPr>
          <w:rFonts w:hint="eastAsia" w:ascii="仿宋" w:hAnsi="仿宋" w:eastAsia="仿宋" w:cs="仿宋"/>
          <w:color w:val="auto"/>
          <w:kern w:val="0"/>
          <w:sz w:val="24"/>
          <w:szCs w:val="24"/>
          <w:highlight w:val="none"/>
        </w:rPr>
        <w:t>明确表示不需支付预付款的，则不予支付。</w:t>
      </w:r>
    </w:p>
    <w:p>
      <w:pPr>
        <w:widowControl/>
        <w:autoSpaceDE w:val="0"/>
        <w:autoSpaceDN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b w:val="0"/>
          <w:bCs/>
          <w:color w:val="auto"/>
          <w:sz w:val="24"/>
          <w:highlight w:val="none"/>
          <w:lang w:val="en-US" w:eastAsia="zh-CN"/>
        </w:rPr>
        <w:t>4、</w:t>
      </w:r>
      <w:r>
        <w:rPr>
          <w:rFonts w:hint="eastAsia" w:ascii="仿宋" w:hAnsi="仿宋" w:eastAsia="仿宋" w:cs="仿宋"/>
          <w:color w:val="auto"/>
          <w:sz w:val="24"/>
          <w:highlight w:val="none"/>
          <w:lang w:val="en-US" w:eastAsia="zh-CN"/>
        </w:rPr>
        <w:t>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采购人依据</w:t>
      </w:r>
      <w:r>
        <w:rPr>
          <w:rFonts w:hint="eastAsia" w:ascii="仿宋" w:hAnsi="仿宋" w:eastAsia="仿宋" w:cs="仿宋"/>
          <w:color w:val="auto"/>
          <w:sz w:val="24"/>
          <w:szCs w:val="24"/>
          <w:highlight w:val="none"/>
          <w:lang w:val="en-US" w:eastAsia="zh-CN"/>
        </w:rPr>
        <w:t>本单位要求</w:t>
      </w:r>
      <w:r>
        <w:rPr>
          <w:rFonts w:hint="eastAsia" w:ascii="仿宋" w:hAnsi="仿宋" w:eastAsia="仿宋" w:cs="仿宋"/>
          <w:color w:val="auto"/>
          <w:sz w:val="24"/>
          <w:szCs w:val="24"/>
          <w:highlight w:val="none"/>
        </w:rPr>
        <w:t>组织验收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货物到货后20个工作日内验收完成</w:t>
      </w:r>
      <w:r>
        <w:rPr>
          <w:rFonts w:hint="eastAsia" w:ascii="仿宋" w:hAnsi="仿宋" w:eastAsia="仿宋" w:cs="仿宋"/>
          <w:color w:val="auto"/>
          <w:sz w:val="24"/>
          <w:szCs w:val="24"/>
          <w:highlight w:val="none"/>
        </w:rPr>
        <w:t>。验收中发现达不到验收标准或合同规定的，中标人必须配合直至验收通过，并且赔偿由此给用户造成的损失。</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验收费用根据“杭州市政府采购履约验收暂行办法”第二十条规定，首次验收过程中产生的，由采购人承担；属于首次验收不合格，重新验收过程中产生的由中标供应商承担</w:t>
      </w:r>
      <w:r>
        <w:rPr>
          <w:rFonts w:hint="eastAsia" w:ascii="仿宋" w:hAnsi="仿宋" w:eastAsia="仿宋" w:cs="仿宋"/>
          <w:color w:val="auto"/>
          <w:sz w:val="24"/>
          <w:szCs w:val="24"/>
          <w:highlight w:val="none"/>
          <w:lang w:val="en-US" w:eastAsia="zh-CN"/>
        </w:rPr>
        <w:t>。</w:t>
      </w:r>
    </w:p>
    <w:p>
      <w:pPr>
        <w:pStyle w:val="5"/>
        <w:numPr>
          <w:ilvl w:val="0"/>
          <w:numId w:val="6"/>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交货地点：杭州市钱塘区白杨街道21号大街233号。</w:t>
      </w:r>
    </w:p>
    <w:p>
      <w:pPr>
        <w:pStyle w:val="5"/>
        <w:keepNext w:val="0"/>
        <w:keepLines w:val="0"/>
        <w:pageBreakBefore w:val="0"/>
        <w:numPr>
          <w:ilvl w:val="0"/>
          <w:numId w:val="6"/>
        </w:numPr>
        <w:kinsoku/>
        <w:wordWrap/>
        <w:overflowPunct/>
        <w:topLinePunct w:val="0"/>
        <w:autoSpaceDE/>
        <w:autoSpaceDN/>
        <w:bidi w:val="0"/>
        <w:adjustRightInd w:val="0"/>
        <w:spacing w:line="360" w:lineRule="auto"/>
        <w:ind w:left="0" w:leftChars="0" w:firstLine="567"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其他要求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b/>
          <w:bCs/>
          <w:color w:val="auto"/>
          <w:sz w:val="24"/>
          <w:szCs w:val="24"/>
          <w:highlight w:val="none"/>
          <w:lang w:val="en-US" w:eastAsia="zh-CN"/>
        </w:rPr>
        <w:t>不同生产厂家药包材验证要求：根据《浙江省医疗机构制剂注册管理细则》要求及参照《已上市化学药品药学变更研究技术指导原则（试行）》规定，药包材产地变更需进行相关验证工作，如采购人根据需要进行验证，所涉及的包材委托检验、稳定性试验等技术性工作，支出费用由中标人负责，验证通过后方能供货，如验证不合格，不予采购，所造成的损失由中标人承担，采购合同终止。</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color w:val="auto"/>
          <w:sz w:val="24"/>
          <w:szCs w:val="24"/>
          <w:highlight w:val="none"/>
          <w:lang w:val="en-US" w:eastAsia="zh-CN"/>
        </w:rPr>
        <w:t>6.2投标人需每年提供一次具有CMA认证的药包材检测机构出具的全检报告单。</w:t>
      </w:r>
    </w:p>
    <w:p>
      <w:pPr>
        <w:pStyle w:val="24"/>
        <w:numPr>
          <w:ilvl w:val="0"/>
          <w:numId w:val="7"/>
        </w:numPr>
        <w:ind w:firstLine="482"/>
        <w:rPr>
          <w:rFonts w:ascii="仿宋" w:hAnsi="仿宋" w:eastAsia="仿宋" w:cs="仿宋"/>
          <w:b/>
          <w:color w:val="auto"/>
          <w:highlight w:val="none"/>
        </w:rPr>
      </w:pPr>
      <w:r>
        <w:rPr>
          <w:rFonts w:hint="eastAsia" w:ascii="仿宋" w:hAnsi="仿宋" w:eastAsia="仿宋" w:cs="仿宋"/>
          <w:b/>
          <w:color w:val="auto"/>
          <w:highlight w:val="none"/>
        </w:rPr>
        <w:br w:type="page"/>
      </w:r>
    </w:p>
    <w:p>
      <w:pPr>
        <w:numPr>
          <w:ilvl w:val="0"/>
          <w:numId w:val="5"/>
        </w:numPr>
        <w:spacing w:line="360" w:lineRule="auto"/>
        <w:ind w:left="0" w:leftChars="0" w:firstLine="0" w:firstLineChars="0"/>
        <w:jc w:val="center"/>
        <w:outlineLvl w:val="0"/>
        <w:rPr>
          <w:rFonts w:hint="eastAsia" w:ascii="仿宋" w:hAnsi="仿宋" w:eastAsia="仿宋" w:cs="仿宋"/>
          <w:b/>
          <w:color w:val="auto"/>
          <w:sz w:val="36"/>
          <w:szCs w:val="36"/>
          <w:highlight w:val="none"/>
        </w:rPr>
      </w:pPr>
      <w:bookmarkStart w:id="32" w:name="_Toc28740"/>
      <w:r>
        <w:rPr>
          <w:rFonts w:hint="eastAsia" w:ascii="仿宋" w:hAnsi="仿宋" w:eastAsia="仿宋" w:cs="仿宋"/>
          <w:b/>
          <w:color w:val="auto"/>
          <w:sz w:val="36"/>
          <w:szCs w:val="36"/>
          <w:highlight w:val="none"/>
        </w:rPr>
        <w:t xml:space="preserve"> </w:t>
      </w:r>
      <w:bookmarkStart w:id="33" w:name="_Toc184314470"/>
      <w:bookmarkEnd w:id="33"/>
      <w:bookmarkStart w:id="34" w:name="_Toc184312085"/>
      <w:bookmarkEnd w:id="34"/>
      <w:bookmarkStart w:id="35" w:name="_Toc184310273"/>
      <w:bookmarkEnd w:id="35"/>
      <w:bookmarkStart w:id="36" w:name="_Toc184314419"/>
      <w:bookmarkEnd w:id="36"/>
      <w:bookmarkStart w:id="37" w:name="_Toc184312099"/>
      <w:bookmarkEnd w:id="37"/>
      <w:bookmarkStart w:id="38" w:name="_Toc184313283"/>
      <w:bookmarkEnd w:id="38"/>
      <w:bookmarkStart w:id="39" w:name="_Toc184312084"/>
      <w:bookmarkEnd w:id="39"/>
      <w:bookmarkStart w:id="40" w:name="_Toc184313310"/>
      <w:bookmarkEnd w:id="40"/>
      <w:bookmarkStart w:id="41" w:name="_Toc184308063"/>
      <w:bookmarkEnd w:id="41"/>
      <w:bookmarkStart w:id="42" w:name="_Toc184312105"/>
      <w:bookmarkEnd w:id="42"/>
      <w:bookmarkStart w:id="43" w:name="_Toc184314448"/>
      <w:bookmarkEnd w:id="43"/>
      <w:bookmarkStart w:id="44" w:name="_Toc184314430"/>
      <w:bookmarkEnd w:id="44"/>
      <w:bookmarkStart w:id="45" w:name="_Toc184308070"/>
      <w:bookmarkEnd w:id="45"/>
      <w:bookmarkStart w:id="46" w:name="_Toc184308087"/>
      <w:bookmarkEnd w:id="46"/>
      <w:bookmarkStart w:id="47" w:name="_Toc184313254"/>
      <w:bookmarkEnd w:id="47"/>
      <w:bookmarkStart w:id="48" w:name="_Toc184308099"/>
      <w:bookmarkEnd w:id="48"/>
      <w:bookmarkStart w:id="49" w:name="_Toc184308039"/>
      <w:bookmarkEnd w:id="49"/>
      <w:bookmarkStart w:id="50" w:name="_Toc184313260"/>
      <w:bookmarkEnd w:id="50"/>
      <w:bookmarkStart w:id="51" w:name="_Toc184308083"/>
      <w:bookmarkEnd w:id="51"/>
      <w:bookmarkStart w:id="52" w:name="_Toc184314416"/>
      <w:bookmarkEnd w:id="52"/>
      <w:bookmarkStart w:id="53" w:name="_Toc184312125"/>
      <w:bookmarkEnd w:id="53"/>
      <w:bookmarkStart w:id="54" w:name="_Toc184312100"/>
      <w:bookmarkEnd w:id="54"/>
      <w:bookmarkStart w:id="55" w:name="_Toc184310310"/>
      <w:bookmarkEnd w:id="55"/>
      <w:bookmarkStart w:id="56" w:name="_Toc184308048"/>
      <w:bookmarkEnd w:id="56"/>
      <w:bookmarkStart w:id="57" w:name="_Toc184312077"/>
      <w:bookmarkEnd w:id="57"/>
      <w:bookmarkStart w:id="58" w:name="_Toc184308072"/>
      <w:bookmarkEnd w:id="58"/>
      <w:bookmarkStart w:id="59" w:name="_Toc184308049"/>
      <w:bookmarkEnd w:id="59"/>
      <w:bookmarkStart w:id="60" w:name="_Toc184308100"/>
      <w:bookmarkEnd w:id="60"/>
      <w:bookmarkStart w:id="61" w:name="_Toc184314480"/>
      <w:bookmarkEnd w:id="61"/>
      <w:bookmarkStart w:id="62" w:name="_Toc184310331"/>
      <w:bookmarkEnd w:id="62"/>
      <w:bookmarkStart w:id="63" w:name="_Toc184312096"/>
      <w:bookmarkEnd w:id="63"/>
      <w:bookmarkStart w:id="64" w:name="_Toc184313304"/>
      <w:bookmarkEnd w:id="64"/>
      <w:bookmarkStart w:id="65" w:name="_Toc184308093"/>
      <w:bookmarkEnd w:id="65"/>
      <w:bookmarkStart w:id="66" w:name="_Toc184314454"/>
      <w:bookmarkEnd w:id="66"/>
      <w:bookmarkStart w:id="67" w:name="_Toc184308077"/>
      <w:bookmarkEnd w:id="67"/>
      <w:bookmarkStart w:id="68" w:name="_Toc184312091"/>
      <w:bookmarkEnd w:id="68"/>
      <w:bookmarkStart w:id="69" w:name="_Toc184308089"/>
      <w:bookmarkEnd w:id="69"/>
      <w:bookmarkStart w:id="70" w:name="_Toc184313287"/>
      <w:bookmarkEnd w:id="70"/>
      <w:bookmarkStart w:id="71" w:name="_Toc184308056"/>
      <w:bookmarkEnd w:id="71"/>
      <w:bookmarkStart w:id="72" w:name="_Toc184312102"/>
      <w:bookmarkEnd w:id="72"/>
      <w:bookmarkStart w:id="73" w:name="_Toc184313271"/>
      <w:bookmarkEnd w:id="73"/>
      <w:bookmarkStart w:id="74" w:name="_Toc184314461"/>
      <w:bookmarkEnd w:id="74"/>
      <w:bookmarkStart w:id="75" w:name="_Toc184308065"/>
      <w:bookmarkEnd w:id="75"/>
      <w:bookmarkStart w:id="76" w:name="_Toc184310294"/>
      <w:bookmarkEnd w:id="76"/>
      <w:bookmarkStart w:id="77" w:name="_Toc184313252"/>
      <w:bookmarkEnd w:id="77"/>
      <w:bookmarkStart w:id="78" w:name="_Toc184308071"/>
      <w:bookmarkEnd w:id="78"/>
      <w:bookmarkStart w:id="79" w:name="_Toc184313284"/>
      <w:bookmarkEnd w:id="79"/>
      <w:bookmarkStart w:id="80" w:name="_Toc184314469"/>
      <w:bookmarkEnd w:id="80"/>
      <w:bookmarkStart w:id="81" w:name="_Toc184313273"/>
      <w:bookmarkEnd w:id="81"/>
      <w:bookmarkStart w:id="82" w:name="_Toc184310292"/>
      <w:bookmarkEnd w:id="82"/>
      <w:bookmarkStart w:id="83" w:name="_Toc184310342"/>
      <w:bookmarkEnd w:id="83"/>
      <w:bookmarkStart w:id="84" w:name="_Toc184308095"/>
      <w:bookmarkEnd w:id="84"/>
      <w:bookmarkStart w:id="85" w:name="_Toc184314455"/>
      <w:bookmarkEnd w:id="85"/>
      <w:bookmarkStart w:id="86" w:name="_Toc184308057"/>
      <w:bookmarkEnd w:id="86"/>
      <w:bookmarkStart w:id="87" w:name="_Toc184310325"/>
      <w:bookmarkEnd w:id="87"/>
      <w:bookmarkStart w:id="88" w:name="_Toc184312067"/>
      <w:bookmarkEnd w:id="88"/>
      <w:bookmarkStart w:id="89" w:name="_Toc184310295"/>
      <w:bookmarkEnd w:id="89"/>
      <w:bookmarkStart w:id="90" w:name="_Toc184312124"/>
      <w:bookmarkEnd w:id="90"/>
      <w:bookmarkStart w:id="91" w:name="_Toc184312088"/>
      <w:bookmarkEnd w:id="91"/>
      <w:bookmarkStart w:id="92" w:name="_Toc184310326"/>
      <w:bookmarkEnd w:id="92"/>
      <w:bookmarkStart w:id="93" w:name="_Toc184310305"/>
      <w:bookmarkEnd w:id="93"/>
      <w:bookmarkStart w:id="94" w:name="_Toc184308107"/>
      <w:bookmarkEnd w:id="94"/>
      <w:bookmarkStart w:id="95" w:name="_Toc184308101"/>
      <w:bookmarkEnd w:id="95"/>
      <w:bookmarkStart w:id="96" w:name="_Toc184310281"/>
      <w:bookmarkEnd w:id="96"/>
      <w:bookmarkStart w:id="97" w:name="_Toc184310303"/>
      <w:bookmarkEnd w:id="97"/>
      <w:bookmarkStart w:id="98" w:name="_Toc184310317"/>
      <w:bookmarkEnd w:id="98"/>
      <w:bookmarkStart w:id="99" w:name="_Toc184313258"/>
      <w:bookmarkEnd w:id="99"/>
      <w:bookmarkStart w:id="100" w:name="_Toc184308098"/>
      <w:bookmarkEnd w:id="100"/>
      <w:bookmarkStart w:id="101" w:name="_Toc184313251"/>
      <w:bookmarkEnd w:id="101"/>
      <w:bookmarkStart w:id="102" w:name="_Toc184314443"/>
      <w:bookmarkEnd w:id="102"/>
      <w:bookmarkStart w:id="103" w:name="_Toc184308064"/>
      <w:bookmarkEnd w:id="103"/>
      <w:bookmarkStart w:id="104" w:name="_Toc184310328"/>
      <w:bookmarkEnd w:id="104"/>
      <w:bookmarkStart w:id="105" w:name="_Toc184314481"/>
      <w:bookmarkEnd w:id="105"/>
      <w:bookmarkStart w:id="106" w:name="_Toc184314456"/>
      <w:bookmarkEnd w:id="106"/>
      <w:bookmarkStart w:id="107" w:name="_Toc184308055"/>
      <w:bookmarkEnd w:id="107"/>
      <w:bookmarkStart w:id="108" w:name="_Toc184310336"/>
      <w:bookmarkEnd w:id="108"/>
      <w:bookmarkStart w:id="109" w:name="_Toc184310308"/>
      <w:bookmarkEnd w:id="109"/>
      <w:bookmarkStart w:id="110" w:name="_Toc184314472"/>
      <w:bookmarkEnd w:id="110"/>
      <w:bookmarkStart w:id="111" w:name="_Toc184313263"/>
      <w:bookmarkEnd w:id="111"/>
      <w:bookmarkStart w:id="112" w:name="_Toc184313275"/>
      <w:bookmarkEnd w:id="112"/>
      <w:bookmarkStart w:id="113" w:name="_Toc184308051"/>
      <w:bookmarkEnd w:id="113"/>
      <w:bookmarkStart w:id="114" w:name="_Toc184313293"/>
      <w:bookmarkEnd w:id="114"/>
      <w:bookmarkStart w:id="115" w:name="_Toc184313255"/>
      <w:bookmarkEnd w:id="115"/>
      <w:bookmarkStart w:id="116" w:name="_Toc184310338"/>
      <w:bookmarkEnd w:id="116"/>
      <w:bookmarkStart w:id="117" w:name="_Toc184314460"/>
      <w:bookmarkEnd w:id="117"/>
      <w:bookmarkStart w:id="118" w:name="_Toc184310314"/>
      <w:bookmarkEnd w:id="118"/>
      <w:bookmarkStart w:id="119" w:name="_Toc184310316"/>
      <w:bookmarkEnd w:id="119"/>
      <w:bookmarkStart w:id="120" w:name="_Toc184313243"/>
      <w:bookmarkEnd w:id="120"/>
      <w:bookmarkStart w:id="121" w:name="_Toc184308053"/>
      <w:bookmarkEnd w:id="121"/>
      <w:bookmarkStart w:id="122" w:name="_Toc184312103"/>
      <w:bookmarkEnd w:id="122"/>
      <w:bookmarkStart w:id="123" w:name="_Toc184314465"/>
      <w:bookmarkEnd w:id="123"/>
      <w:bookmarkStart w:id="124" w:name="_Toc184314459"/>
      <w:bookmarkEnd w:id="124"/>
      <w:bookmarkStart w:id="125" w:name="_Toc184312121"/>
      <w:bookmarkEnd w:id="125"/>
      <w:bookmarkStart w:id="126" w:name="_Toc184308038"/>
      <w:bookmarkEnd w:id="126"/>
      <w:bookmarkStart w:id="127" w:name="_Toc184310288"/>
      <w:bookmarkEnd w:id="127"/>
      <w:bookmarkStart w:id="128" w:name="_Toc184308052"/>
      <w:bookmarkEnd w:id="128"/>
      <w:bookmarkStart w:id="129" w:name="_Toc184312112"/>
      <w:bookmarkEnd w:id="129"/>
      <w:bookmarkStart w:id="130" w:name="_Toc184310278"/>
      <w:bookmarkEnd w:id="130"/>
      <w:bookmarkStart w:id="131" w:name="_Toc184313250"/>
      <w:bookmarkEnd w:id="131"/>
      <w:bookmarkStart w:id="132" w:name="_Toc184308060"/>
      <w:bookmarkEnd w:id="132"/>
      <w:bookmarkStart w:id="133" w:name="_Toc184312117"/>
      <w:bookmarkEnd w:id="133"/>
      <w:bookmarkStart w:id="134" w:name="_Toc184314425"/>
      <w:bookmarkEnd w:id="134"/>
      <w:bookmarkStart w:id="135" w:name="_Toc184314475"/>
      <w:bookmarkEnd w:id="135"/>
      <w:bookmarkStart w:id="136" w:name="_Toc184308045"/>
      <w:bookmarkEnd w:id="136"/>
      <w:bookmarkStart w:id="137" w:name="_Toc184313302"/>
      <w:bookmarkEnd w:id="137"/>
      <w:bookmarkStart w:id="138" w:name="_Toc184312119"/>
      <w:bookmarkEnd w:id="138"/>
      <w:bookmarkStart w:id="139" w:name="_Toc184308084"/>
      <w:bookmarkEnd w:id="139"/>
      <w:bookmarkStart w:id="140" w:name="_Toc184314426"/>
      <w:bookmarkEnd w:id="140"/>
      <w:bookmarkStart w:id="141" w:name="_Toc184308085"/>
      <w:bookmarkEnd w:id="141"/>
      <w:bookmarkStart w:id="142" w:name="_Toc184313294"/>
      <w:bookmarkEnd w:id="142"/>
      <w:bookmarkStart w:id="143" w:name="_Toc184312081"/>
      <w:bookmarkEnd w:id="143"/>
      <w:bookmarkStart w:id="144" w:name="_Toc184313292"/>
      <w:bookmarkEnd w:id="144"/>
      <w:bookmarkStart w:id="145" w:name="_Toc184313265"/>
      <w:bookmarkEnd w:id="145"/>
      <w:bookmarkStart w:id="146" w:name="_Toc184308067"/>
      <w:bookmarkEnd w:id="146"/>
      <w:bookmarkStart w:id="147" w:name="_Toc184312073"/>
      <w:bookmarkEnd w:id="147"/>
      <w:bookmarkStart w:id="148" w:name="_Toc184310320"/>
      <w:bookmarkEnd w:id="148"/>
      <w:bookmarkStart w:id="149" w:name="_Toc184310301"/>
      <w:bookmarkEnd w:id="149"/>
      <w:bookmarkStart w:id="150" w:name="_Toc184310307"/>
      <w:bookmarkEnd w:id="150"/>
      <w:bookmarkStart w:id="151" w:name="_Toc184308103"/>
      <w:bookmarkEnd w:id="151"/>
      <w:bookmarkStart w:id="152" w:name="_Toc184310334"/>
      <w:bookmarkEnd w:id="152"/>
      <w:bookmarkStart w:id="153" w:name="_Toc184310274"/>
      <w:bookmarkEnd w:id="153"/>
      <w:bookmarkStart w:id="154" w:name="_Toc184310340"/>
      <w:bookmarkEnd w:id="154"/>
      <w:bookmarkStart w:id="155" w:name="_Toc184308081"/>
      <w:bookmarkEnd w:id="155"/>
      <w:bookmarkStart w:id="156" w:name="_Toc184312114"/>
      <w:bookmarkEnd w:id="156"/>
      <w:bookmarkStart w:id="157" w:name="_Toc184313276"/>
      <w:bookmarkEnd w:id="157"/>
      <w:bookmarkStart w:id="158" w:name="_Toc184314412"/>
      <w:bookmarkEnd w:id="158"/>
      <w:bookmarkStart w:id="159" w:name="_Toc184312130"/>
      <w:bookmarkEnd w:id="159"/>
      <w:bookmarkStart w:id="160" w:name="_Toc184308042"/>
      <w:bookmarkEnd w:id="160"/>
      <w:bookmarkStart w:id="161" w:name="_Toc184314433"/>
      <w:bookmarkEnd w:id="161"/>
      <w:bookmarkStart w:id="162" w:name="_Toc184313242"/>
      <w:bookmarkEnd w:id="162"/>
      <w:bookmarkStart w:id="163" w:name="_Toc184312106"/>
      <w:bookmarkEnd w:id="163"/>
      <w:bookmarkStart w:id="164" w:name="_Toc184310289"/>
      <w:bookmarkEnd w:id="164"/>
      <w:bookmarkStart w:id="165" w:name="_Toc184313238"/>
      <w:bookmarkEnd w:id="165"/>
      <w:bookmarkStart w:id="166" w:name="_Toc184313308"/>
      <w:bookmarkEnd w:id="166"/>
      <w:bookmarkStart w:id="167" w:name="_Toc184310333"/>
      <w:bookmarkEnd w:id="167"/>
      <w:bookmarkStart w:id="168" w:name="_Toc184310286"/>
      <w:bookmarkEnd w:id="168"/>
      <w:bookmarkStart w:id="169" w:name="_Toc184312109"/>
      <w:bookmarkEnd w:id="169"/>
      <w:bookmarkStart w:id="170" w:name="_Toc184312071"/>
      <w:bookmarkEnd w:id="170"/>
      <w:bookmarkStart w:id="171" w:name="_Toc184310297"/>
      <w:bookmarkEnd w:id="171"/>
      <w:bookmarkStart w:id="172" w:name="_Toc184312093"/>
      <w:bookmarkEnd w:id="172"/>
      <w:bookmarkStart w:id="173" w:name="_Toc184312079"/>
      <w:bookmarkEnd w:id="173"/>
      <w:bookmarkStart w:id="174" w:name="_Toc184310311"/>
      <w:bookmarkEnd w:id="174"/>
      <w:bookmarkStart w:id="175" w:name="_Toc184313262"/>
      <w:bookmarkEnd w:id="175"/>
      <w:bookmarkStart w:id="176" w:name="_Toc184310302"/>
      <w:bookmarkEnd w:id="176"/>
      <w:bookmarkStart w:id="177" w:name="_Toc184314467"/>
      <w:bookmarkEnd w:id="177"/>
      <w:bookmarkStart w:id="178" w:name="_Toc184313277"/>
      <w:bookmarkEnd w:id="178"/>
      <w:bookmarkStart w:id="179" w:name="_Toc184308040"/>
      <w:bookmarkEnd w:id="179"/>
      <w:bookmarkStart w:id="180" w:name="_Toc184313301"/>
      <w:bookmarkEnd w:id="180"/>
      <w:bookmarkStart w:id="181" w:name="_Toc184314427"/>
      <w:bookmarkEnd w:id="181"/>
      <w:bookmarkStart w:id="182" w:name="_Toc184312080"/>
      <w:bookmarkEnd w:id="182"/>
      <w:bookmarkStart w:id="183" w:name="_Toc184308061"/>
      <w:bookmarkEnd w:id="183"/>
      <w:bookmarkStart w:id="184" w:name="_Toc184312082"/>
      <w:bookmarkEnd w:id="184"/>
      <w:bookmarkStart w:id="185" w:name="_Toc184314424"/>
      <w:bookmarkEnd w:id="185"/>
      <w:bookmarkStart w:id="186" w:name="_Toc184310327"/>
      <w:bookmarkEnd w:id="186"/>
      <w:bookmarkStart w:id="187" w:name="_Toc184312068"/>
      <w:bookmarkEnd w:id="187"/>
      <w:bookmarkStart w:id="188" w:name="_Toc184310322"/>
      <w:bookmarkEnd w:id="188"/>
      <w:bookmarkStart w:id="189" w:name="_Toc184313281"/>
      <w:bookmarkEnd w:id="189"/>
      <w:bookmarkStart w:id="190" w:name="_Toc184314420"/>
      <w:bookmarkEnd w:id="190"/>
      <w:bookmarkStart w:id="191" w:name="_Toc184314411"/>
      <w:bookmarkEnd w:id="191"/>
      <w:bookmarkStart w:id="192" w:name="_Toc184314438"/>
      <w:bookmarkEnd w:id="192"/>
      <w:bookmarkStart w:id="193" w:name="_Toc184313300"/>
      <w:bookmarkEnd w:id="193"/>
      <w:bookmarkStart w:id="194" w:name="_Toc184314432"/>
      <w:bookmarkEnd w:id="194"/>
      <w:bookmarkStart w:id="195" w:name="_Toc184312115"/>
      <w:bookmarkEnd w:id="195"/>
      <w:bookmarkStart w:id="196" w:name="_Toc184308096"/>
      <w:bookmarkEnd w:id="196"/>
      <w:bookmarkStart w:id="197" w:name="_Toc184314437"/>
      <w:bookmarkEnd w:id="197"/>
      <w:bookmarkStart w:id="198" w:name="_Toc184308080"/>
      <w:bookmarkEnd w:id="198"/>
      <w:bookmarkStart w:id="199" w:name="_Toc184312113"/>
      <w:bookmarkEnd w:id="199"/>
      <w:bookmarkStart w:id="200" w:name="_Toc184312094"/>
      <w:bookmarkEnd w:id="200"/>
      <w:bookmarkStart w:id="201" w:name="_Toc184314482"/>
      <w:bookmarkEnd w:id="201"/>
      <w:bookmarkStart w:id="202" w:name="_Toc184308075"/>
      <w:bookmarkEnd w:id="202"/>
      <w:bookmarkStart w:id="203" w:name="_Toc184312131"/>
      <w:bookmarkEnd w:id="203"/>
      <w:bookmarkStart w:id="204" w:name="_Toc184312132"/>
      <w:bookmarkEnd w:id="204"/>
      <w:bookmarkStart w:id="205" w:name="_Toc184308091"/>
      <w:bookmarkEnd w:id="205"/>
      <w:bookmarkStart w:id="206" w:name="_Toc184312072"/>
      <w:bookmarkEnd w:id="206"/>
      <w:bookmarkStart w:id="207" w:name="_Toc184312086"/>
      <w:bookmarkEnd w:id="207"/>
      <w:bookmarkStart w:id="208" w:name="_Toc184308050"/>
      <w:bookmarkEnd w:id="208"/>
      <w:bookmarkStart w:id="209" w:name="_Toc184312107"/>
      <w:bookmarkEnd w:id="209"/>
      <w:bookmarkStart w:id="210" w:name="_Toc184314462"/>
      <w:bookmarkEnd w:id="210"/>
      <w:bookmarkStart w:id="211" w:name="_Toc184314435"/>
      <w:bookmarkEnd w:id="211"/>
      <w:bookmarkStart w:id="212" w:name="_Toc184310324"/>
      <w:bookmarkEnd w:id="212"/>
      <w:bookmarkStart w:id="213" w:name="_Toc184308073"/>
      <w:bookmarkEnd w:id="213"/>
      <w:bookmarkStart w:id="214" w:name="_Toc184308059"/>
      <w:bookmarkEnd w:id="214"/>
      <w:bookmarkStart w:id="215" w:name="_Toc184308037"/>
      <w:bookmarkEnd w:id="215"/>
      <w:bookmarkStart w:id="216" w:name="_Toc184308068"/>
      <w:bookmarkEnd w:id="216"/>
      <w:bookmarkStart w:id="217" w:name="_Toc184310318"/>
      <w:bookmarkEnd w:id="217"/>
      <w:bookmarkStart w:id="218" w:name="_Toc184310272"/>
      <w:bookmarkEnd w:id="218"/>
      <w:bookmarkStart w:id="219" w:name="_Toc184308086"/>
      <w:bookmarkEnd w:id="219"/>
      <w:bookmarkStart w:id="220" w:name="_Toc184312095"/>
      <w:bookmarkEnd w:id="220"/>
      <w:bookmarkStart w:id="221" w:name="_Toc184314453"/>
      <w:bookmarkEnd w:id="221"/>
      <w:bookmarkStart w:id="222" w:name="_Toc184312074"/>
      <w:bookmarkEnd w:id="222"/>
      <w:bookmarkStart w:id="223" w:name="_Toc184312118"/>
      <w:bookmarkEnd w:id="223"/>
      <w:bookmarkStart w:id="224" w:name="_Toc184308076"/>
      <w:bookmarkEnd w:id="224"/>
      <w:bookmarkStart w:id="225" w:name="_Toc184312090"/>
      <w:bookmarkEnd w:id="225"/>
      <w:bookmarkStart w:id="226" w:name="_Toc184313256"/>
      <w:bookmarkEnd w:id="226"/>
      <w:bookmarkStart w:id="227" w:name="_Toc184308106"/>
      <w:bookmarkEnd w:id="227"/>
      <w:bookmarkStart w:id="228" w:name="_Toc184314449"/>
      <w:bookmarkEnd w:id="228"/>
      <w:bookmarkStart w:id="229" w:name="_Toc184308088"/>
      <w:bookmarkEnd w:id="229"/>
      <w:bookmarkStart w:id="230" w:name="_Toc184314441"/>
      <w:bookmarkEnd w:id="230"/>
      <w:bookmarkStart w:id="231" w:name="_Toc184308047"/>
      <w:bookmarkEnd w:id="231"/>
      <w:bookmarkStart w:id="232" w:name="_Toc184313241"/>
      <w:bookmarkEnd w:id="232"/>
      <w:bookmarkStart w:id="233" w:name="_Toc184310344"/>
      <w:bookmarkEnd w:id="233"/>
      <w:bookmarkStart w:id="234" w:name="_Toc184314463"/>
      <w:bookmarkEnd w:id="234"/>
      <w:bookmarkStart w:id="235" w:name="_Toc184308078"/>
      <w:bookmarkEnd w:id="235"/>
      <w:bookmarkStart w:id="236" w:name="_Toc184308104"/>
      <w:bookmarkEnd w:id="236"/>
      <w:bookmarkStart w:id="237" w:name="_Toc184312076"/>
      <w:bookmarkEnd w:id="237"/>
      <w:bookmarkStart w:id="238" w:name="_Toc184314415"/>
      <w:bookmarkEnd w:id="238"/>
      <w:bookmarkStart w:id="239" w:name="_Toc184312134"/>
      <w:bookmarkEnd w:id="239"/>
      <w:bookmarkStart w:id="240" w:name="_Toc184310276"/>
      <w:bookmarkEnd w:id="240"/>
      <w:bookmarkStart w:id="241" w:name="_Toc184310319"/>
      <w:bookmarkEnd w:id="241"/>
      <w:bookmarkStart w:id="242" w:name="_Toc184310285"/>
      <w:bookmarkEnd w:id="242"/>
      <w:bookmarkStart w:id="243" w:name="_Toc184313270"/>
      <w:bookmarkEnd w:id="243"/>
      <w:bookmarkStart w:id="244" w:name="_Toc184312075"/>
      <w:bookmarkEnd w:id="244"/>
      <w:bookmarkStart w:id="245" w:name="_Toc184310306"/>
      <w:bookmarkEnd w:id="245"/>
      <w:bookmarkStart w:id="246" w:name="_Toc184313248"/>
      <w:bookmarkEnd w:id="246"/>
      <w:bookmarkStart w:id="247" w:name="_Toc184313257"/>
      <w:bookmarkEnd w:id="247"/>
      <w:bookmarkStart w:id="248" w:name="_Toc184308108"/>
      <w:bookmarkEnd w:id="248"/>
      <w:bookmarkStart w:id="249" w:name="_Toc184312127"/>
      <w:bookmarkEnd w:id="249"/>
      <w:bookmarkStart w:id="250" w:name="_Toc184313285"/>
      <w:bookmarkEnd w:id="250"/>
      <w:bookmarkStart w:id="251" w:name="_Toc184314479"/>
      <w:bookmarkEnd w:id="251"/>
      <w:bookmarkStart w:id="252" w:name="_Toc184313244"/>
      <w:bookmarkEnd w:id="252"/>
      <w:bookmarkStart w:id="253" w:name="_Toc184313253"/>
      <w:bookmarkEnd w:id="253"/>
      <w:bookmarkStart w:id="254" w:name="_Toc184313306"/>
      <w:bookmarkEnd w:id="254"/>
      <w:bookmarkStart w:id="255" w:name="_Toc184312111"/>
      <w:bookmarkEnd w:id="255"/>
      <w:bookmarkStart w:id="256" w:name="_Toc184313279"/>
      <w:bookmarkEnd w:id="256"/>
      <w:bookmarkStart w:id="257" w:name="_Toc184313249"/>
      <w:bookmarkEnd w:id="257"/>
      <w:bookmarkStart w:id="258" w:name="_Toc184310293"/>
      <w:bookmarkEnd w:id="258"/>
      <w:bookmarkStart w:id="259" w:name="_Toc184314428"/>
      <w:bookmarkEnd w:id="259"/>
      <w:bookmarkStart w:id="260" w:name="_Toc184314421"/>
      <w:bookmarkEnd w:id="260"/>
      <w:bookmarkStart w:id="261" w:name="_Toc184310309"/>
      <w:bookmarkEnd w:id="261"/>
      <w:bookmarkStart w:id="262" w:name="_Toc184314434"/>
      <w:bookmarkEnd w:id="262"/>
      <w:bookmarkStart w:id="263" w:name="_Toc184313247"/>
      <w:bookmarkEnd w:id="263"/>
      <w:bookmarkStart w:id="264" w:name="_Toc184314478"/>
      <w:bookmarkEnd w:id="264"/>
      <w:bookmarkStart w:id="265" w:name="_Toc184310283"/>
      <w:bookmarkEnd w:id="265"/>
      <w:bookmarkStart w:id="266" w:name="_Toc184312087"/>
      <w:bookmarkEnd w:id="266"/>
      <w:bookmarkStart w:id="267" w:name="_Toc184314418"/>
      <w:bookmarkEnd w:id="267"/>
      <w:bookmarkStart w:id="268" w:name="_Toc184312136"/>
      <w:bookmarkEnd w:id="268"/>
      <w:bookmarkStart w:id="269" w:name="_Toc184312104"/>
      <w:bookmarkEnd w:id="269"/>
      <w:bookmarkStart w:id="270" w:name="_Toc184312098"/>
      <w:bookmarkEnd w:id="270"/>
      <w:bookmarkStart w:id="271" w:name="_Toc184310300"/>
      <w:bookmarkEnd w:id="271"/>
      <w:bookmarkStart w:id="272" w:name="_Toc184312138"/>
      <w:bookmarkEnd w:id="272"/>
      <w:bookmarkStart w:id="273" w:name="_Toc184314423"/>
      <w:bookmarkEnd w:id="273"/>
      <w:bookmarkStart w:id="274" w:name="_Toc184313290"/>
      <w:bookmarkEnd w:id="274"/>
      <w:bookmarkStart w:id="275" w:name="_Toc184312137"/>
      <w:bookmarkEnd w:id="275"/>
      <w:bookmarkStart w:id="276" w:name="_Toc184313298"/>
      <w:bookmarkEnd w:id="276"/>
      <w:bookmarkStart w:id="277" w:name="_Toc184314471"/>
      <w:bookmarkEnd w:id="277"/>
      <w:bookmarkStart w:id="278" w:name="_Toc184310341"/>
      <w:bookmarkEnd w:id="278"/>
      <w:bookmarkStart w:id="279" w:name="_Toc184308074"/>
      <w:bookmarkEnd w:id="279"/>
      <w:bookmarkStart w:id="280" w:name="_Toc184313266"/>
      <w:bookmarkEnd w:id="280"/>
      <w:bookmarkStart w:id="281" w:name="_Toc184310291"/>
      <w:bookmarkEnd w:id="281"/>
      <w:bookmarkStart w:id="282" w:name="_Toc184308046"/>
      <w:bookmarkEnd w:id="282"/>
      <w:bookmarkStart w:id="283" w:name="_Toc184313240"/>
      <w:bookmarkEnd w:id="283"/>
      <w:bookmarkStart w:id="284" w:name="_Toc184314458"/>
      <w:bookmarkEnd w:id="284"/>
      <w:bookmarkStart w:id="285" w:name="_Toc184312139"/>
      <w:bookmarkEnd w:id="285"/>
      <w:bookmarkStart w:id="286" w:name="_Toc184308041"/>
      <w:bookmarkEnd w:id="286"/>
      <w:bookmarkStart w:id="287" w:name="_Toc184313288"/>
      <w:bookmarkEnd w:id="287"/>
      <w:bookmarkStart w:id="288" w:name="_Toc184308082"/>
      <w:bookmarkEnd w:id="288"/>
      <w:bookmarkStart w:id="289" w:name="_Toc184314445"/>
      <w:bookmarkEnd w:id="289"/>
      <w:bookmarkStart w:id="290" w:name="_Toc184310323"/>
      <w:bookmarkEnd w:id="290"/>
      <w:bookmarkStart w:id="291" w:name="_Toc184312092"/>
      <w:bookmarkEnd w:id="291"/>
      <w:bookmarkStart w:id="292" w:name="_Toc184312101"/>
      <w:bookmarkEnd w:id="292"/>
      <w:bookmarkStart w:id="293" w:name="_Toc184312110"/>
      <w:bookmarkEnd w:id="293"/>
      <w:bookmarkStart w:id="294" w:name="_Toc184310313"/>
      <w:bookmarkEnd w:id="294"/>
      <w:bookmarkStart w:id="295" w:name="_Toc184313268"/>
      <w:bookmarkEnd w:id="295"/>
      <w:bookmarkStart w:id="296" w:name="_Toc184308054"/>
      <w:bookmarkEnd w:id="296"/>
      <w:bookmarkStart w:id="297" w:name="_Toc184312083"/>
      <w:bookmarkEnd w:id="297"/>
      <w:bookmarkStart w:id="298" w:name="_Toc184312126"/>
      <w:bookmarkEnd w:id="298"/>
      <w:bookmarkStart w:id="299" w:name="_Toc184308044"/>
      <w:bookmarkEnd w:id="299"/>
      <w:bookmarkStart w:id="300" w:name="_Toc184314422"/>
      <w:bookmarkEnd w:id="300"/>
      <w:bookmarkStart w:id="301" w:name="_Toc184313296"/>
      <w:bookmarkEnd w:id="301"/>
      <w:bookmarkStart w:id="302" w:name="_Toc184310315"/>
      <w:bookmarkEnd w:id="302"/>
      <w:bookmarkStart w:id="303" w:name="_Toc184314414"/>
      <w:bookmarkEnd w:id="303"/>
      <w:bookmarkStart w:id="304" w:name="_Toc184314466"/>
      <w:bookmarkEnd w:id="304"/>
      <w:bookmarkStart w:id="305" w:name="_Toc184308092"/>
      <w:bookmarkEnd w:id="305"/>
      <w:bookmarkStart w:id="306" w:name="_Toc184314476"/>
      <w:bookmarkEnd w:id="306"/>
      <w:bookmarkStart w:id="307" w:name="_Toc184314474"/>
      <w:bookmarkEnd w:id="307"/>
      <w:bookmarkStart w:id="308" w:name="_Toc184313295"/>
      <w:bookmarkEnd w:id="308"/>
      <w:bookmarkStart w:id="309" w:name="_Toc184310296"/>
      <w:bookmarkEnd w:id="309"/>
      <w:bookmarkStart w:id="310" w:name="_Toc184310282"/>
      <w:bookmarkEnd w:id="310"/>
      <w:bookmarkStart w:id="311" w:name="_Toc184313305"/>
      <w:bookmarkEnd w:id="311"/>
      <w:bookmarkStart w:id="312" w:name="_Toc184308105"/>
      <w:bookmarkEnd w:id="312"/>
      <w:bookmarkStart w:id="313" w:name="_Toc184310321"/>
      <w:bookmarkEnd w:id="313"/>
      <w:bookmarkStart w:id="314" w:name="_Toc184314468"/>
      <w:bookmarkEnd w:id="314"/>
      <w:bookmarkStart w:id="315" w:name="_Toc184312097"/>
      <w:bookmarkEnd w:id="315"/>
      <w:bookmarkStart w:id="316" w:name="_Toc184313272"/>
      <w:bookmarkEnd w:id="316"/>
      <w:bookmarkStart w:id="317" w:name="_Toc184314436"/>
      <w:bookmarkEnd w:id="317"/>
      <w:bookmarkStart w:id="318" w:name="_Toc184314452"/>
      <w:bookmarkEnd w:id="318"/>
      <w:bookmarkStart w:id="319" w:name="_Toc184313307"/>
      <w:bookmarkEnd w:id="319"/>
      <w:bookmarkStart w:id="320" w:name="_Toc184310312"/>
      <w:bookmarkEnd w:id="320"/>
      <w:bookmarkStart w:id="321" w:name="_Toc184314446"/>
      <w:bookmarkEnd w:id="321"/>
      <w:bookmarkStart w:id="322" w:name="_Toc184312123"/>
      <w:bookmarkEnd w:id="322"/>
      <w:bookmarkStart w:id="323" w:name="_Toc184314410"/>
      <w:bookmarkEnd w:id="323"/>
      <w:bookmarkStart w:id="324" w:name="_Toc184313269"/>
      <w:bookmarkEnd w:id="324"/>
      <w:bookmarkStart w:id="325" w:name="_Toc184313274"/>
      <w:bookmarkEnd w:id="325"/>
      <w:bookmarkStart w:id="326" w:name="_Toc184310343"/>
      <w:bookmarkEnd w:id="326"/>
      <w:bookmarkStart w:id="327" w:name="_Toc184313245"/>
      <w:bookmarkEnd w:id="327"/>
      <w:bookmarkStart w:id="328" w:name="_Toc184308062"/>
      <w:bookmarkEnd w:id="328"/>
      <w:bookmarkStart w:id="329" w:name="_Toc184313259"/>
      <w:bookmarkEnd w:id="329"/>
      <w:bookmarkStart w:id="330" w:name="_Toc184314451"/>
      <w:bookmarkEnd w:id="330"/>
      <w:bookmarkStart w:id="331" w:name="_Toc184310290"/>
      <w:bookmarkEnd w:id="331"/>
      <w:bookmarkStart w:id="332" w:name="_Toc184310275"/>
      <w:bookmarkEnd w:id="332"/>
      <w:bookmarkStart w:id="333" w:name="_Toc184312069"/>
      <w:bookmarkEnd w:id="333"/>
      <w:bookmarkStart w:id="334" w:name="_Toc184313299"/>
      <w:bookmarkEnd w:id="334"/>
      <w:bookmarkStart w:id="335" w:name="_Toc184312078"/>
      <w:bookmarkEnd w:id="335"/>
      <w:bookmarkStart w:id="336" w:name="_Toc184314444"/>
      <w:bookmarkEnd w:id="336"/>
      <w:bookmarkStart w:id="337" w:name="_Toc184314450"/>
      <w:bookmarkEnd w:id="337"/>
      <w:bookmarkStart w:id="338" w:name="_Toc184310287"/>
      <w:bookmarkEnd w:id="338"/>
      <w:bookmarkStart w:id="339" w:name="_Toc184310339"/>
      <w:bookmarkEnd w:id="339"/>
      <w:bookmarkStart w:id="340" w:name="_Toc184314440"/>
      <w:bookmarkEnd w:id="340"/>
      <w:bookmarkStart w:id="341" w:name="_Toc184314442"/>
      <w:bookmarkEnd w:id="341"/>
      <w:bookmarkStart w:id="342" w:name="_Toc184312120"/>
      <w:bookmarkEnd w:id="342"/>
      <w:bookmarkStart w:id="343" w:name="_Toc184313309"/>
      <w:bookmarkEnd w:id="343"/>
      <w:bookmarkStart w:id="344" w:name="_Toc184312128"/>
      <w:bookmarkEnd w:id="344"/>
      <w:bookmarkStart w:id="345" w:name="_Toc184310280"/>
      <w:bookmarkEnd w:id="345"/>
      <w:bookmarkStart w:id="346" w:name="_Toc184310304"/>
      <w:bookmarkEnd w:id="346"/>
      <w:bookmarkStart w:id="347" w:name="_Toc184314447"/>
      <w:bookmarkEnd w:id="347"/>
      <w:bookmarkStart w:id="348" w:name="_Toc184308036"/>
      <w:bookmarkEnd w:id="348"/>
      <w:bookmarkStart w:id="349" w:name="_Toc184312135"/>
      <w:bookmarkEnd w:id="349"/>
      <w:bookmarkStart w:id="350" w:name="_Toc184310299"/>
      <w:bookmarkEnd w:id="350"/>
      <w:bookmarkStart w:id="351" w:name="_Toc184314477"/>
      <w:bookmarkEnd w:id="351"/>
      <w:bookmarkStart w:id="352" w:name="_Toc184314439"/>
      <w:bookmarkEnd w:id="352"/>
      <w:bookmarkStart w:id="353" w:name="_Toc184310284"/>
      <w:bookmarkEnd w:id="353"/>
      <w:bookmarkStart w:id="354" w:name="_Toc184308079"/>
      <w:bookmarkEnd w:id="354"/>
      <w:bookmarkStart w:id="355" w:name="_Toc184312070"/>
      <w:bookmarkEnd w:id="355"/>
      <w:bookmarkStart w:id="356" w:name="_Toc184308090"/>
      <w:bookmarkEnd w:id="356"/>
      <w:bookmarkStart w:id="357" w:name="_Toc184313239"/>
      <w:bookmarkEnd w:id="357"/>
      <w:bookmarkStart w:id="358" w:name="_Toc184308097"/>
      <w:bookmarkEnd w:id="358"/>
      <w:bookmarkStart w:id="359" w:name="_Toc184310279"/>
      <w:bookmarkEnd w:id="359"/>
      <w:bookmarkStart w:id="360" w:name="_Toc184308043"/>
      <w:bookmarkEnd w:id="360"/>
      <w:bookmarkStart w:id="361" w:name="_Toc184312116"/>
      <w:bookmarkEnd w:id="361"/>
      <w:bookmarkStart w:id="362" w:name="_Toc184313264"/>
      <w:bookmarkEnd w:id="362"/>
      <w:bookmarkStart w:id="363" w:name="_Toc184313278"/>
      <w:bookmarkEnd w:id="363"/>
      <w:bookmarkStart w:id="364" w:name="_Toc184310335"/>
      <w:bookmarkEnd w:id="364"/>
      <w:bookmarkStart w:id="365" w:name="_Toc184314417"/>
      <w:bookmarkEnd w:id="365"/>
      <w:bookmarkStart w:id="366" w:name="_Toc184308069"/>
      <w:bookmarkEnd w:id="366"/>
      <w:bookmarkStart w:id="367" w:name="_Toc184313246"/>
      <w:bookmarkEnd w:id="367"/>
      <w:bookmarkStart w:id="368" w:name="_Toc184314464"/>
      <w:bookmarkEnd w:id="368"/>
      <w:bookmarkStart w:id="369" w:name="_Toc184314413"/>
      <w:bookmarkEnd w:id="369"/>
      <w:bookmarkStart w:id="370" w:name="_Toc184308058"/>
      <w:bookmarkEnd w:id="370"/>
      <w:bookmarkStart w:id="371" w:name="_Toc184313297"/>
      <w:bookmarkEnd w:id="371"/>
      <w:bookmarkStart w:id="372" w:name="_Toc184313282"/>
      <w:bookmarkEnd w:id="372"/>
      <w:bookmarkStart w:id="373" w:name="_Toc184313286"/>
      <w:bookmarkEnd w:id="373"/>
      <w:bookmarkStart w:id="374" w:name="_Toc184308066"/>
      <w:bookmarkEnd w:id="374"/>
      <w:bookmarkStart w:id="375" w:name="_Toc184308102"/>
      <w:bookmarkEnd w:id="375"/>
      <w:bookmarkStart w:id="376" w:name="_Toc184314429"/>
      <w:bookmarkEnd w:id="376"/>
      <w:bookmarkStart w:id="377" w:name="_Toc184312133"/>
      <w:bookmarkEnd w:id="377"/>
      <w:bookmarkStart w:id="378" w:name="_Toc184313280"/>
      <w:bookmarkEnd w:id="378"/>
      <w:bookmarkStart w:id="379" w:name="_Toc184314473"/>
      <w:bookmarkEnd w:id="379"/>
      <w:bookmarkStart w:id="380" w:name="_Toc184310298"/>
      <w:bookmarkEnd w:id="380"/>
      <w:bookmarkStart w:id="381" w:name="_Toc184313267"/>
      <w:bookmarkEnd w:id="381"/>
      <w:bookmarkStart w:id="382" w:name="_Toc184310329"/>
      <w:bookmarkEnd w:id="382"/>
      <w:bookmarkStart w:id="383" w:name="_Toc184313261"/>
      <w:bookmarkEnd w:id="383"/>
      <w:bookmarkStart w:id="384" w:name="_Toc184314457"/>
      <w:bookmarkEnd w:id="384"/>
      <w:bookmarkStart w:id="385" w:name="_Toc184314431"/>
      <w:bookmarkEnd w:id="385"/>
      <w:bookmarkStart w:id="386" w:name="_Toc184312089"/>
      <w:bookmarkEnd w:id="386"/>
      <w:bookmarkStart w:id="387" w:name="_Toc184310277"/>
      <w:bookmarkEnd w:id="387"/>
      <w:bookmarkStart w:id="388" w:name="_Toc184312122"/>
      <w:bookmarkEnd w:id="388"/>
      <w:bookmarkStart w:id="389" w:name="_Toc184312129"/>
      <w:bookmarkEnd w:id="389"/>
      <w:bookmarkStart w:id="390" w:name="_Toc184310332"/>
      <w:bookmarkEnd w:id="390"/>
      <w:bookmarkStart w:id="391" w:name="_Toc184308094"/>
      <w:bookmarkEnd w:id="391"/>
      <w:bookmarkStart w:id="392" w:name="_Toc184313289"/>
      <w:bookmarkEnd w:id="392"/>
      <w:bookmarkStart w:id="393" w:name="_Toc184313303"/>
      <w:bookmarkEnd w:id="393"/>
      <w:bookmarkStart w:id="394" w:name="_Toc184312108"/>
      <w:bookmarkEnd w:id="394"/>
      <w:bookmarkStart w:id="395" w:name="_Toc184310337"/>
      <w:bookmarkEnd w:id="395"/>
      <w:bookmarkStart w:id="396" w:name="_Toc184310330"/>
      <w:bookmarkEnd w:id="396"/>
      <w:bookmarkStart w:id="397" w:name="_Toc184313291"/>
      <w:bookmarkEnd w:id="397"/>
      <w:r>
        <w:rPr>
          <w:rFonts w:hint="eastAsia" w:ascii="仿宋" w:hAnsi="仿宋" w:eastAsia="仿宋" w:cs="仿宋"/>
          <w:b/>
          <w:color w:val="auto"/>
          <w:sz w:val="36"/>
          <w:szCs w:val="36"/>
          <w:highlight w:val="none"/>
        </w:rPr>
        <w:t>评标办法</w:t>
      </w:r>
      <w:bookmarkEnd w:id="32"/>
    </w:p>
    <w:p>
      <w:pPr>
        <w:snapToGrid w:val="0"/>
        <w:spacing w:beforeLines="50" w:afterLines="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pPr w:leftFromText="180" w:rightFromText="180" w:vertAnchor="text" w:horzAnchor="page" w:tblpX="1896" w:tblpY="659"/>
        <w:tblOverlap w:val="never"/>
        <w:tblW w:w="86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12"/>
        <w:gridCol w:w="727"/>
        <w:gridCol w:w="1036"/>
        <w:gridCol w:w="20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rPr>
            </w:pPr>
            <w:bookmarkStart w:id="398" w:name="_Toc17588"/>
            <w:r>
              <w:rPr>
                <w:rFonts w:hint="eastAsia" w:ascii="仿宋" w:hAnsi="仿宋" w:eastAsia="仿宋" w:cs="仿宋"/>
                <w:bCs/>
                <w:color w:val="auto"/>
                <w:sz w:val="24"/>
                <w:szCs w:val="24"/>
                <w:highlight w:val="none"/>
              </w:rPr>
              <w:t>序号</w:t>
            </w:r>
            <w:bookmarkEnd w:id="398"/>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firstLine="0" w:firstLineChars="0"/>
              <w:jc w:val="center"/>
              <w:outlineLvl w:val="0"/>
              <w:rPr>
                <w:rFonts w:hint="eastAsia" w:ascii="仿宋" w:hAnsi="仿宋" w:eastAsia="仿宋" w:cs="仿宋"/>
                <w:bCs/>
                <w:color w:val="auto"/>
                <w:sz w:val="24"/>
                <w:szCs w:val="24"/>
                <w:highlight w:val="none"/>
              </w:rPr>
            </w:pPr>
            <w:bookmarkStart w:id="399" w:name="_Toc22841"/>
            <w:r>
              <w:rPr>
                <w:rFonts w:hint="eastAsia" w:ascii="仿宋" w:hAnsi="仿宋" w:eastAsia="仿宋" w:cs="仿宋"/>
                <w:bCs/>
                <w:color w:val="auto"/>
                <w:sz w:val="24"/>
                <w:szCs w:val="24"/>
                <w:highlight w:val="none"/>
              </w:rPr>
              <w:t>评标标准</w:t>
            </w:r>
            <w:bookmarkEnd w:id="399"/>
          </w:p>
        </w:tc>
        <w:tc>
          <w:tcPr>
            <w:tcW w:w="72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Cs/>
                <w:color w:val="auto"/>
                <w:sz w:val="24"/>
                <w:szCs w:val="24"/>
                <w:highlight w:val="none"/>
              </w:rPr>
            </w:pPr>
            <w:bookmarkStart w:id="400" w:name="_Toc27932"/>
            <w:r>
              <w:rPr>
                <w:rFonts w:hint="eastAsia" w:ascii="仿宋" w:hAnsi="仿宋" w:eastAsia="仿宋" w:cs="仿宋"/>
                <w:bCs/>
                <w:color w:val="auto"/>
                <w:sz w:val="24"/>
                <w:szCs w:val="24"/>
                <w:highlight w:val="none"/>
              </w:rPr>
              <w:t>权重</w:t>
            </w:r>
            <w:bookmarkEnd w:id="400"/>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bCs/>
                <w:color w:val="auto"/>
                <w:sz w:val="24"/>
                <w:szCs w:val="24"/>
                <w:highlight w:val="none"/>
              </w:rPr>
            </w:pPr>
            <w:bookmarkStart w:id="401" w:name="_Toc26704"/>
            <w:r>
              <w:rPr>
                <w:rFonts w:hint="eastAsia" w:ascii="仿宋" w:hAnsi="仿宋" w:eastAsia="仿宋" w:cs="仿宋"/>
                <w:bCs/>
                <w:color w:val="auto"/>
                <w:sz w:val="24"/>
                <w:szCs w:val="24"/>
                <w:highlight w:val="none"/>
              </w:rPr>
              <w:t>主观分/客观分属性</w:t>
            </w:r>
          </w:p>
        </w:tc>
        <w:tc>
          <w:tcPr>
            <w:tcW w:w="20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w:t>
            </w:r>
            <w:bookmarkEnd w:id="40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suppressLineNumbers w:val="0"/>
              <w:snapToGrid w:val="0"/>
              <w:spacing w:before="0" w:beforeAutospacing="0" w:after="0" w:afterAutospacing="0" w:line="400" w:lineRule="exact"/>
              <w:ind w:left="0" w:right="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1</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rPr>
              <w:t>质量管理体系认证证书、环境管理体系认证证书，每</w:t>
            </w:r>
            <w:r>
              <w:rPr>
                <w:rFonts w:hint="eastAsia" w:ascii="仿宋" w:hAnsi="仿宋" w:eastAsia="仿宋" w:cs="仿宋"/>
                <w:color w:val="auto"/>
                <w:sz w:val="24"/>
                <w:szCs w:val="24"/>
                <w:highlight w:val="none"/>
                <w:lang w:val="en-US" w:eastAsia="zh-CN"/>
              </w:rPr>
              <w:t>类</w:t>
            </w:r>
            <w:r>
              <w:rPr>
                <w:rFonts w:hint="eastAsia" w:ascii="仿宋" w:hAnsi="仿宋" w:eastAsia="仿宋" w:cs="仿宋"/>
                <w:color w:val="auto"/>
                <w:sz w:val="24"/>
                <w:szCs w:val="24"/>
                <w:highlight w:val="none"/>
              </w:rPr>
              <w:t>证书得1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val="en-US" w:eastAsia="zh-CN"/>
              </w:rPr>
              <w:t>多3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提供证书复印件</w:t>
            </w:r>
            <w:r>
              <w:rPr>
                <w:rFonts w:hint="eastAsia" w:ascii="仿宋" w:hAnsi="仿宋" w:eastAsia="仿宋" w:cs="仿宋"/>
                <w:color w:val="auto"/>
                <w:kern w:val="0"/>
                <w:sz w:val="24"/>
                <w:highlight w:val="none"/>
                <w:lang w:val="en-US" w:eastAsia="zh-CN" w:bidi="ar"/>
              </w:rPr>
              <w:t>及国家认证认可平台的网站查询截图</w:t>
            </w:r>
            <w:r>
              <w:rPr>
                <w:rFonts w:hint="eastAsia" w:ascii="仿宋" w:hAnsi="仿宋" w:eastAsia="仿宋" w:cs="仿宋"/>
                <w:color w:val="auto"/>
                <w:sz w:val="24"/>
                <w:szCs w:val="24"/>
                <w:highlight w:val="none"/>
              </w:rPr>
              <w:t>。</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suppressLineNumbers w:val="0"/>
              <w:snapToGrid w:val="0"/>
              <w:spacing w:before="0" w:beforeAutospacing="0" w:after="0" w:afterAutospacing="0" w:line="400" w:lineRule="exact"/>
              <w:ind w:left="0" w:right="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2</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eastAsia="zh-CN"/>
              </w:rPr>
              <w:t>2021年7月1日</w:t>
            </w:r>
            <w:r>
              <w:rPr>
                <w:rFonts w:hint="eastAsia" w:ascii="仿宋" w:hAnsi="仿宋" w:eastAsia="仿宋" w:cs="仿宋"/>
                <w:color w:val="auto"/>
                <w:sz w:val="24"/>
                <w:szCs w:val="24"/>
                <w:highlight w:val="none"/>
              </w:rPr>
              <w:t>以来（以合同签订时间为准）完成的</w:t>
            </w:r>
            <w:r>
              <w:rPr>
                <w:rFonts w:hint="eastAsia" w:ascii="仿宋" w:hAnsi="仿宋" w:eastAsia="仿宋" w:cs="仿宋"/>
                <w:color w:val="auto"/>
                <w:sz w:val="24"/>
                <w:szCs w:val="24"/>
                <w:highlight w:val="none"/>
                <w:lang w:val="en-US" w:eastAsia="zh-CN"/>
              </w:rPr>
              <w:t>材质为HDPE、LDPE及PET的医用制剂包装产品的供货</w:t>
            </w:r>
            <w:r>
              <w:rPr>
                <w:rFonts w:hint="eastAsia" w:ascii="仿宋" w:hAnsi="仿宋" w:eastAsia="仿宋" w:cs="仿宋"/>
                <w:color w:val="auto"/>
                <w:sz w:val="24"/>
                <w:szCs w:val="24"/>
                <w:highlight w:val="none"/>
              </w:rPr>
              <w:t>业绩，每提供一个</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分。提供合同复印件，</w:t>
            </w:r>
            <w:r>
              <w:rPr>
                <w:rFonts w:hint="eastAsia" w:ascii="仿宋" w:hAnsi="仿宋" w:eastAsia="仿宋" w:cs="仿宋"/>
                <w:color w:val="auto"/>
                <w:sz w:val="24"/>
                <w:szCs w:val="24"/>
                <w:highlight w:val="none"/>
                <w:lang w:val="en-US" w:eastAsia="zh-CN"/>
              </w:rPr>
              <w:t>合同中需同时体现HDPE、LDPE及PET材质，同一用户</w:t>
            </w:r>
            <w:r>
              <w:rPr>
                <w:rFonts w:hint="eastAsia" w:ascii="仿宋" w:hAnsi="仿宋" w:eastAsia="仿宋" w:cs="仿宋"/>
                <w:color w:val="auto"/>
                <w:sz w:val="24"/>
                <w:szCs w:val="24"/>
                <w:highlight w:val="none"/>
              </w:rPr>
              <w:t>不重复得分。</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suppressLineNumbers w:val="0"/>
              <w:snapToGrid w:val="0"/>
              <w:spacing w:before="0" w:beforeAutospacing="0" w:after="0" w:afterAutospacing="0" w:line="400" w:lineRule="exact"/>
              <w:ind w:left="0" w:right="0"/>
              <w:jc w:val="center"/>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3</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采购需求响应：投标文件根据采购文件第三部分“二、</w:t>
            </w:r>
            <w:r>
              <w:rPr>
                <w:rFonts w:hint="eastAsia" w:ascii="仿宋" w:hAnsi="仿宋" w:eastAsia="仿宋" w:cs="仿宋"/>
                <w:color w:val="auto"/>
                <w:sz w:val="24"/>
                <w:szCs w:val="24"/>
                <w:highlight w:val="none"/>
              </w:rPr>
              <w:t>产品清单及技术要求</w:t>
            </w:r>
            <w:r>
              <w:rPr>
                <w:rFonts w:hint="eastAsia" w:ascii="仿宋" w:hAnsi="仿宋" w:eastAsia="仿宋" w:cs="仿宋"/>
                <w:color w:val="auto"/>
                <w:sz w:val="24"/>
                <w:szCs w:val="24"/>
                <w:highlight w:val="none"/>
                <w:lang w:val="en-US" w:eastAsia="zh-CN"/>
              </w:rPr>
              <w:t>”中“（二）技术要求”的响应情况，</w:t>
            </w:r>
            <w:r>
              <w:rPr>
                <w:rFonts w:hint="eastAsia" w:ascii="仿宋" w:hAnsi="仿宋" w:eastAsia="仿宋" w:cs="仿宋"/>
                <w:color w:val="auto"/>
                <w:sz w:val="24"/>
                <w:szCs w:val="24"/>
                <w:highlight w:val="none"/>
                <w:lang w:eastAsia="zh-CN"/>
              </w:rPr>
              <w:t>标注</w:t>
            </w:r>
            <w:r>
              <w:rPr>
                <w:rFonts w:hint="eastAsia" w:ascii="仿宋" w:hAnsi="仿宋" w:eastAsia="仿宋" w:cs="仿宋"/>
                <w:color w:val="auto"/>
                <w:sz w:val="24"/>
                <w:szCs w:val="24"/>
                <w:highlight w:val="none"/>
              </w:rPr>
              <w:t>▲条款出现负偏离的投标无效。所有</w:t>
            </w:r>
            <w:r>
              <w:rPr>
                <w:rFonts w:hint="eastAsia" w:ascii="仿宋" w:hAnsi="仿宋" w:eastAsia="仿宋" w:cs="仿宋"/>
                <w:color w:val="auto"/>
                <w:sz w:val="24"/>
                <w:szCs w:val="24"/>
                <w:highlight w:val="none"/>
                <w:lang w:eastAsia="zh-CN"/>
              </w:rPr>
              <w:t>技术要求</w:t>
            </w:r>
            <w:r>
              <w:rPr>
                <w:rFonts w:hint="eastAsia" w:ascii="仿宋" w:hAnsi="仿宋" w:eastAsia="仿宋" w:cs="仿宋"/>
                <w:color w:val="auto"/>
                <w:sz w:val="24"/>
                <w:szCs w:val="24"/>
                <w:highlight w:val="none"/>
              </w:rPr>
              <w:t>均满足</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每一项</w:t>
            </w:r>
            <w:r>
              <w:rPr>
                <w:rFonts w:hint="eastAsia" w:ascii="仿宋" w:hAnsi="仿宋" w:eastAsia="仿宋" w:cs="仿宋"/>
                <w:color w:val="auto"/>
                <w:sz w:val="24"/>
                <w:szCs w:val="24"/>
                <w:highlight w:val="none"/>
              </w:rPr>
              <w:t>（凡标有最低一级序号的指标项即为一项）</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负偏离</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，扣完为止。</w:t>
            </w:r>
          </w:p>
          <w:p>
            <w:pPr>
              <w:pStyle w:val="80"/>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商务技术偏离表（技术要求须一对一响应）和招标文件所要求的技术支持资料或证明文件。</w:t>
            </w:r>
          </w:p>
        </w:tc>
        <w:tc>
          <w:tcPr>
            <w:tcW w:w="72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客观分</w:t>
            </w:r>
          </w:p>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pStyle w:val="80"/>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针对投标人的各项管理制度和服务标准，管理服务模式、工作流程进行评分。管理服务模式、工作流程内容完整、合理、规范且可行的得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分；管理服务模式、工作流程内容较完整、较合理、较规范且较可行的得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分；管理服务模式、工作流程内容普通的得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分；管理服务模式、工作流程内容存在瑕疵</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管理服务模式、工作流程内容不明确、多处不足的得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分；未提供管理服务模式、工作流程得0分。</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pStyle w:val="80"/>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根据供应商物流保障方案（包括仓库情况、运输方案、配送方案）进行评分。方案考虑周全、措施内容全面可行、重点突出的得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分；方案合理、可行得</w:t>
            </w: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rPr>
              <w:t>分；方案合理措施一般得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分；方案措施内容不全得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分；无方案得0分。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4.5</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10" w:type="dxa"/>
            <w:tcBorders>
              <w:tl2br w:val="nil"/>
              <w:tr2bl w:val="nil"/>
            </w:tcBorders>
            <w:vAlign w:val="center"/>
          </w:tcPr>
          <w:p>
            <w:pPr>
              <w:pStyle w:val="80"/>
              <w:keepNext w:val="0"/>
              <w:keepLines w:val="0"/>
              <w:suppressLineNumbers w:val="0"/>
              <w:spacing w:before="0" w:beforeAutospacing="0" w:after="0" w:afterAutospacing="0" w:line="360" w:lineRule="auto"/>
              <w:ind w:left="0" w:right="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4212" w:type="dxa"/>
            <w:tcBorders>
              <w:tl2br w:val="nil"/>
              <w:tr2bl w:val="nil"/>
            </w:tcBorders>
            <w:vAlign w:val="center"/>
          </w:tcPr>
          <w:p>
            <w:pPr>
              <w:pStyle w:val="80"/>
              <w:keepNext w:val="0"/>
              <w:keepLines w:val="0"/>
              <w:suppressLineNumbers w:val="0"/>
              <w:spacing w:before="0" w:beforeAutospacing="0" w:after="0" w:afterAutospacing="0" w:line="360" w:lineRule="auto"/>
              <w:ind w:left="0" w:leftChars="0" w:right="0" w:right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针对投标人的供应物资质量管控方案进行评分，方案内容完整、合理、规范且可行的得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分；方案内容较完整、较合理、较规范且较可行的得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分；方案内容普通的得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分；方案内容存在瑕疵的得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方案内容不明确、多处不足的得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分；未提供方案得0分。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4212" w:type="dxa"/>
            <w:tcBorders>
              <w:tl2br w:val="nil"/>
              <w:tr2bl w:val="nil"/>
            </w:tcBorders>
            <w:vAlign w:val="top"/>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售后服务方案和承诺的可行性、完整性以及承诺落实的保障措施进行评议。服务流程规范、服务承诺满足服务要求，方案完整、合理、可行性强得3分；服务流程基本规范、服务承诺基本满足服务要求，方案基本合理可行,2分；服务流程不够规范、服务承诺部分满足服务要求，方案笼统或存在一定缺漏得1分；未提供方案不得分。</w:t>
            </w:r>
          </w:p>
        </w:tc>
        <w:tc>
          <w:tcPr>
            <w:tcW w:w="72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合理化建议：根据供应商针对本项目实施提出的合理化建议进行评分。建议切实可行、贴合实际需求、有利于本项目实施的得2分；建议与项目实施内容较相符的得1分；建议与本项目相关的得0.5分；未提供得0分。</w:t>
            </w:r>
          </w:p>
        </w:tc>
        <w:tc>
          <w:tcPr>
            <w:tcW w:w="727"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103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9.1</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每个样品的材质满足采购文件要求的得0.5分，最高得4.5分。</w:t>
            </w:r>
          </w:p>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证明材料：需提供具有CMA认证的药品包装材料检测机构出具的检测报告复印件，以该检测报告显示材质为评分依据。未按要求出具证明材料的不得分。</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9.2</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样品1（</w:t>
            </w:r>
            <w:r>
              <w:rPr>
                <w:rFonts w:hint="eastAsia" w:ascii="仿宋" w:hAnsi="仿宋" w:eastAsia="仿宋" w:cs="仿宋"/>
                <w:color w:val="auto"/>
                <w:kern w:val="2"/>
                <w:sz w:val="24"/>
                <w:szCs w:val="24"/>
                <w:highlight w:val="none"/>
                <w:lang w:val="en-US" w:eastAsia="zh-CN" w:bidi="ar"/>
              </w:rPr>
              <w:t>100mlPET棕色瓶）</w:t>
            </w:r>
            <w:r>
              <w:rPr>
                <w:rFonts w:hint="eastAsia" w:ascii="仿宋" w:hAnsi="仿宋" w:eastAsia="仿宋" w:cs="仿宋"/>
                <w:color w:val="auto"/>
                <w:sz w:val="24"/>
                <w:szCs w:val="24"/>
                <w:highlight w:val="none"/>
                <w:lang w:val="en-US" w:eastAsia="zh-CN"/>
              </w:rPr>
              <w:t>制作工艺：样品款式与采购要求相同或类似，需着色，应具有均匀一致的色泽，不得有明显色差。瓶的表面应光洁、平整，不得有变形和明显的擦痕，不得有砂眼、油污、气泡。瓶口应平整、光滑，防盗盖和铝塑盖通用：制作工艺精良得1.5分；制作工艺普通得1分；制作工艺欠缺，外形有瑕疵得0.5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9.3</w:t>
            </w:r>
          </w:p>
        </w:tc>
        <w:tc>
          <w:tcPr>
            <w:tcW w:w="4212" w:type="dxa"/>
            <w:tcBorders>
              <w:tl2br w:val="nil"/>
              <w:tr2bl w:val="nil"/>
            </w:tcBorders>
            <w:vAlign w:val="center"/>
          </w:tcPr>
          <w:p>
            <w:pPr>
              <w:keepNext w:val="0"/>
              <w:keepLines w:val="0"/>
              <w:suppressLineNumbers w:val="0"/>
              <w:adjustRightInd/>
              <w:spacing w:before="0" w:beforeAutospacing="0" w:after="0" w:afterAutospacing="0" w:line="360" w:lineRule="auto"/>
              <w:ind w:left="0" w:leftChars="0" w:right="0" w:right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样品2（</w:t>
            </w:r>
            <w:r>
              <w:rPr>
                <w:rFonts w:hint="eastAsia" w:ascii="仿宋" w:hAnsi="仿宋" w:eastAsia="仿宋" w:cs="仿宋"/>
                <w:color w:val="auto"/>
                <w:kern w:val="2"/>
                <w:sz w:val="24"/>
                <w:szCs w:val="24"/>
                <w:highlight w:val="none"/>
                <w:lang w:val="en-US" w:eastAsia="zh-CN" w:bidi="ar"/>
              </w:rPr>
              <w:t>200mlPET无色瓶）</w:t>
            </w:r>
            <w:r>
              <w:rPr>
                <w:rFonts w:hint="eastAsia" w:ascii="仿宋" w:hAnsi="仿宋" w:eastAsia="仿宋" w:cs="仿宋"/>
                <w:color w:val="auto"/>
                <w:sz w:val="24"/>
                <w:szCs w:val="24"/>
                <w:highlight w:val="none"/>
                <w:lang w:val="en-US" w:eastAsia="zh-CN"/>
              </w:rPr>
              <w:t>制作工艺：样品需印字，样品款式与采购要求相同或类似，应具有均匀一致的色泽，不得有明显色差。瓶的表面应光洁、平整，不得有变形和明显的擦痕，不得有砂眼、油污、气泡。瓶口应平整、光滑，防盗盖和铝塑盖通用。瓶身印字，字迹要求清晰：制作工艺精良得1.5分；制作工艺普通得1分；制作工艺欠缺，外形有瑕疵得0.5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9.4</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样品3（</w:t>
            </w:r>
            <w:r>
              <w:rPr>
                <w:rFonts w:hint="eastAsia" w:ascii="仿宋" w:hAnsi="仿宋" w:eastAsia="仿宋" w:cs="仿宋"/>
                <w:color w:val="auto"/>
                <w:kern w:val="2"/>
                <w:sz w:val="24"/>
                <w:szCs w:val="24"/>
                <w:highlight w:val="none"/>
                <w:lang w:val="en-US" w:eastAsia="zh-CN" w:bidi="ar"/>
              </w:rPr>
              <w:t>500mlPET棕色瓶）</w:t>
            </w:r>
            <w:r>
              <w:rPr>
                <w:rFonts w:hint="eastAsia" w:ascii="仿宋" w:hAnsi="仿宋" w:eastAsia="仿宋" w:cs="仿宋"/>
                <w:color w:val="auto"/>
                <w:sz w:val="24"/>
                <w:szCs w:val="24"/>
                <w:highlight w:val="none"/>
                <w:lang w:val="en-US" w:eastAsia="zh-CN"/>
              </w:rPr>
              <w:t>制作工艺：同样品1：制作工艺精良得1分；制作工艺普通得0.5分；制作工艺欠缺，外形有瑕疵得0.1分；未提供不得分。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9.5</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样品4（</w:t>
            </w:r>
            <w:r>
              <w:rPr>
                <w:rFonts w:hint="eastAsia" w:ascii="仿宋" w:hAnsi="仿宋" w:eastAsia="仿宋" w:cs="仿宋"/>
                <w:color w:val="auto"/>
                <w:kern w:val="2"/>
                <w:sz w:val="24"/>
                <w:szCs w:val="24"/>
                <w:highlight w:val="none"/>
                <w:lang w:val="en-US" w:eastAsia="zh-CN" w:bidi="ar"/>
              </w:rPr>
              <w:t>500mlPET无色瓶）</w:t>
            </w:r>
            <w:r>
              <w:rPr>
                <w:rFonts w:hint="eastAsia" w:ascii="仿宋" w:hAnsi="仿宋" w:eastAsia="仿宋" w:cs="仿宋"/>
                <w:color w:val="auto"/>
                <w:sz w:val="24"/>
                <w:szCs w:val="24"/>
                <w:highlight w:val="none"/>
                <w:lang w:val="en-US" w:eastAsia="zh-CN"/>
              </w:rPr>
              <w:t>制作工艺：样品款式与采购要求相同或类似，应具有均匀一致的色泽，不得有明显色差。瓶的表面应光洁、平整，不得有变形和明显的擦痕，不得有砂眼、油污、气泡。瓶口应平整、光滑，防盗盖和铝塑盖通用：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9.6</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样品5（</w:t>
            </w:r>
            <w:r>
              <w:rPr>
                <w:rFonts w:hint="eastAsia" w:ascii="仿宋" w:hAnsi="仿宋" w:eastAsia="仿宋" w:cs="仿宋"/>
                <w:color w:val="auto"/>
                <w:kern w:val="2"/>
                <w:sz w:val="24"/>
                <w:szCs w:val="24"/>
                <w:highlight w:val="none"/>
                <w:lang w:val="en-US" w:eastAsia="zh-CN" w:bidi="ar"/>
              </w:rPr>
              <w:t>20mlLDPE棕色瓶）</w:t>
            </w:r>
            <w:r>
              <w:rPr>
                <w:rFonts w:hint="eastAsia" w:ascii="仿宋" w:hAnsi="仿宋" w:eastAsia="仿宋" w:cs="仿宋"/>
                <w:color w:val="auto"/>
                <w:sz w:val="24"/>
                <w:szCs w:val="24"/>
                <w:highlight w:val="none"/>
                <w:lang w:val="en-US" w:eastAsia="zh-CN"/>
              </w:rPr>
              <w:t>制作工艺：样品款式与采购要求相同或类似，</w:t>
            </w:r>
            <w:r>
              <w:rPr>
                <w:rFonts w:hint="eastAsia" w:ascii="仿宋" w:hAnsi="仿宋" w:eastAsia="仿宋" w:cs="仿宋"/>
                <w:color w:val="auto"/>
                <w:kern w:val="2"/>
                <w:sz w:val="24"/>
                <w:szCs w:val="24"/>
                <w:highlight w:val="none"/>
                <w:lang w:val="en-US" w:eastAsia="zh-CN" w:bidi="ar"/>
              </w:rPr>
              <w:t>需着色，</w:t>
            </w:r>
            <w:r>
              <w:rPr>
                <w:rFonts w:hint="eastAsia" w:ascii="仿宋" w:hAnsi="仿宋" w:eastAsia="仿宋" w:cs="仿宋"/>
                <w:color w:val="auto"/>
                <w:sz w:val="24"/>
                <w:szCs w:val="24"/>
                <w:highlight w:val="none"/>
                <w:lang w:val="en-US" w:eastAsia="zh-CN"/>
              </w:rPr>
              <w:t>在自然光线明亮处，正视目测。应具有均匀一致的色泽，不得有明显色差。瓶的表面应光洁、平整，不得有变形和明显的擦痕，不得有砂眼、油污、气泡。瓶口应平整、光滑：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9.7</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样品6（</w:t>
            </w:r>
            <w:r>
              <w:rPr>
                <w:rFonts w:hint="eastAsia" w:ascii="仿宋" w:hAnsi="仿宋" w:eastAsia="仿宋" w:cs="仿宋"/>
                <w:color w:val="auto"/>
                <w:kern w:val="2"/>
                <w:sz w:val="24"/>
                <w:szCs w:val="24"/>
                <w:highlight w:val="none"/>
                <w:lang w:val="en-US" w:eastAsia="zh-CN" w:bidi="ar"/>
              </w:rPr>
              <w:t>10mlLDPE无色滴眼瓶）</w:t>
            </w:r>
            <w:r>
              <w:rPr>
                <w:rFonts w:hint="eastAsia" w:ascii="仿宋" w:hAnsi="仿宋" w:eastAsia="仿宋" w:cs="仿宋"/>
                <w:color w:val="auto"/>
                <w:sz w:val="24"/>
                <w:szCs w:val="24"/>
                <w:highlight w:val="none"/>
                <w:lang w:val="en-US" w:eastAsia="zh-CN"/>
              </w:rPr>
              <w:t>制作工艺：样品款式与采购要求相同或类似，在自然光线明亮处，正视目测。应具有均匀一致的色泽，不得有明显色差。瓶的表面应光洁、平整，不得有变形和明显的擦痕，不得有砂眼、油污、气泡。瓶口应平整、光滑：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9.8</w:t>
            </w:r>
          </w:p>
        </w:tc>
        <w:tc>
          <w:tcPr>
            <w:tcW w:w="4212" w:type="dxa"/>
            <w:tcBorders>
              <w:tl2br w:val="nil"/>
              <w:tr2bl w:val="nil"/>
            </w:tcBorders>
            <w:vAlign w:val="center"/>
          </w:tcPr>
          <w:p>
            <w:pPr>
              <w:keepNext w:val="0"/>
              <w:keepLines w:val="0"/>
              <w:numPr>
                <w:ilvl w:val="0"/>
                <w:numId w:val="0"/>
              </w:numPr>
              <w:suppressLineNumbers w:val="0"/>
              <w:spacing w:before="0" w:beforeAutospacing="0" w:after="0" w:afterAutospacing="0" w:line="360" w:lineRule="auto"/>
              <w:ind w:left="0" w:leftChars="0" w:right="0" w:right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样品7（</w:t>
            </w:r>
            <w:r>
              <w:rPr>
                <w:rFonts w:hint="eastAsia" w:ascii="仿宋" w:hAnsi="仿宋" w:eastAsia="仿宋" w:cs="仿宋"/>
                <w:color w:val="auto"/>
                <w:kern w:val="2"/>
                <w:sz w:val="24"/>
                <w:szCs w:val="24"/>
                <w:highlight w:val="none"/>
                <w:lang w:val="en-US" w:eastAsia="zh-CN" w:bidi="ar"/>
              </w:rPr>
              <w:t>100mlHDPE白色瓶）</w:t>
            </w:r>
            <w:r>
              <w:rPr>
                <w:rFonts w:hint="eastAsia" w:ascii="仿宋" w:hAnsi="仿宋" w:eastAsia="仿宋" w:cs="仿宋"/>
                <w:color w:val="auto"/>
                <w:sz w:val="24"/>
                <w:szCs w:val="24"/>
                <w:highlight w:val="none"/>
                <w:lang w:val="en-US" w:eastAsia="zh-CN"/>
              </w:rPr>
              <w:t>制作工艺：样品款式与采购要求相同或类似，在自然光线明亮处，正视目测。应具有均匀一致的色泽，不得有明显色差。瓶的表面应光洁、平整，不得有变形和明显的擦痕，不得有砂眼、油污、气泡。瓶口应平整、光滑，防盗盖和铝塑盖通用：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9.9</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样品8（</w:t>
            </w:r>
            <w:r>
              <w:rPr>
                <w:rFonts w:hint="eastAsia" w:ascii="仿宋" w:hAnsi="仿宋" w:eastAsia="仿宋" w:cs="仿宋"/>
                <w:color w:val="auto"/>
                <w:kern w:val="0"/>
                <w:sz w:val="24"/>
                <w:szCs w:val="24"/>
                <w:highlight w:val="none"/>
                <w:lang w:val="en-US" w:eastAsia="zh-CN" w:bidi="ar"/>
              </w:rPr>
              <w:t>100mlHDPE蓝色瓶）</w:t>
            </w:r>
            <w:r>
              <w:rPr>
                <w:rFonts w:hint="eastAsia" w:ascii="仿宋" w:hAnsi="仿宋" w:eastAsia="仿宋" w:cs="仿宋"/>
                <w:color w:val="auto"/>
                <w:sz w:val="24"/>
                <w:szCs w:val="24"/>
                <w:highlight w:val="none"/>
                <w:lang w:val="en-US" w:eastAsia="zh-CN"/>
              </w:rPr>
              <w:t>制作工艺：样品款式与采购要求相同或类似，需着色和印字，在自然光线明亮处，正视目测。应具有均匀一致的色泽，不得有明显色差。瓶的表面应光洁、平整，不得有变形和明显的擦痕，不得有砂眼、油污、气泡。瓶口应平整、光滑，防盗盖和铝塑盖通用：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9.10</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样品9（</w:t>
            </w:r>
            <w:r>
              <w:rPr>
                <w:rFonts w:hint="eastAsia" w:ascii="仿宋" w:hAnsi="仿宋" w:eastAsia="仿宋" w:cs="仿宋"/>
                <w:color w:val="auto"/>
                <w:kern w:val="2"/>
                <w:sz w:val="24"/>
                <w:szCs w:val="24"/>
                <w:highlight w:val="none"/>
                <w:lang w:val="en-US" w:eastAsia="zh-CN" w:bidi="ar"/>
              </w:rPr>
              <w:t>30gHDPE固体瓶）</w:t>
            </w:r>
            <w:r>
              <w:rPr>
                <w:rFonts w:hint="eastAsia" w:ascii="仿宋" w:hAnsi="仿宋" w:eastAsia="仿宋" w:cs="仿宋"/>
                <w:color w:val="auto"/>
                <w:sz w:val="24"/>
                <w:szCs w:val="24"/>
                <w:highlight w:val="none"/>
                <w:lang w:val="en-US" w:eastAsia="zh-CN"/>
              </w:rPr>
              <w:t>制作工艺：样品款式与采购要求相同或类似，在自然光线明亮处，正视目测。应具有均匀一致的色泽，不得有明显色差。瓶的表面应光洁、平整，不得有变形和明显的擦痕，不得有砂眼、油污、气泡。瓶口应平整、光滑，防盗盖和铝塑盖通用：制作工艺精良得1分；制作工艺普通得0.5分；制作工艺欠缺，外形有瑕疵得0.1分；未提供不得分。</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主观分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投标产品节能性、环保性评价</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sz w:val="24"/>
                <w:szCs w:val="24"/>
                <w:highlight w:val="none"/>
                <w:lang w:val="en-US" w:eastAsia="zh-CN"/>
              </w:rPr>
            </w:pP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10.1</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投标产品取得有效的节能产品认证证书的，每个产品0.5分，最多得1分（列入强制采购节能产品清单目录的产品不计分）证明材料：提供国家确定的认证机构出具的、处于有效期之内的认证证书复印件</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10.2</w:t>
            </w:r>
          </w:p>
        </w:tc>
        <w:tc>
          <w:tcPr>
            <w:tcW w:w="4212"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投标产品取得有效的环境标志产品认证证书的，每个产品得0.5分，最多得1分。</w:t>
            </w:r>
          </w:p>
          <w:p>
            <w:pPr>
              <w:keepNext w:val="0"/>
              <w:keepLines w:val="0"/>
              <w:suppressLineNumbers w:val="0"/>
              <w:spacing w:before="0" w:beforeAutospacing="0" w:after="0" w:afterAutospacing="0" w:line="360" w:lineRule="auto"/>
              <w:ind w:left="0" w:leftChars="0" w:right="0" w:rightChars="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证明材料：提供国家确定的认证机构出具的、处于有效期之内的认证证书复印件</w:t>
            </w:r>
          </w:p>
        </w:tc>
        <w:tc>
          <w:tcPr>
            <w:tcW w:w="727"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2003"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dxa"/>
            <w:tcBorders>
              <w:tl2br w:val="nil"/>
              <w:tr2bl w:val="nil"/>
            </w:tcBorders>
            <w:vAlign w:val="center"/>
          </w:tcPr>
          <w:p>
            <w:pPr>
              <w:keepNext w:val="0"/>
              <w:keepLines w:val="0"/>
              <w:suppressLineNumbers w:val="0"/>
              <w:spacing w:before="0" w:beforeAutospacing="0" w:after="0" w:afterAutospacing="0" w:line="360" w:lineRule="auto"/>
              <w:ind w:left="0" w:right="0" w:firstLine="240" w:firstLineChars="100"/>
              <w:jc w:val="both"/>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212" w:type="dxa"/>
            <w:tcBorders>
              <w:tl2br w:val="nil"/>
              <w:tr2bl w:val="nil"/>
            </w:tcBorders>
            <w:shd w:val="clear" w:color="auto" w:fill="auto"/>
            <w:vAlign w:val="center"/>
          </w:tcPr>
          <w:p>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有效投标报价的最低价作为评标基准价，其最低报价为满分；按［投标报价1得分=（评标基准价/投标报价）*30］的计算公式计算。</w:t>
            </w:r>
          </w:p>
          <w:p>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727" w:type="dxa"/>
            <w:tcBorders>
              <w:tl2br w:val="nil"/>
              <w:tr2bl w:val="nil"/>
            </w:tcBorders>
            <w:shd w:val="clear" w:color="auto" w:fill="auto"/>
            <w:vAlign w:val="center"/>
          </w:tcPr>
          <w:p>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30</w:t>
            </w:r>
          </w:p>
        </w:tc>
        <w:tc>
          <w:tcPr>
            <w:tcW w:w="1036" w:type="dxa"/>
            <w:tcBorders>
              <w:tl2br w:val="nil"/>
              <w:tr2bl w:val="nil"/>
            </w:tcBorders>
            <w:vAlign w:val="center"/>
          </w:tcPr>
          <w:p>
            <w:pPr>
              <w:keepNext w:val="0"/>
              <w:keepLines w:val="0"/>
              <w:suppressLineNumbers w:val="0"/>
              <w:spacing w:before="0" w:beforeAutospacing="0" w:after="0" w:afterAutospacing="0" w:line="360" w:lineRule="auto"/>
              <w:ind w:left="0" w:right="0"/>
              <w:jc w:val="both"/>
              <w:outlineLvl w:val="0"/>
              <w:rPr>
                <w:rFonts w:hint="eastAsia" w:ascii="仿宋" w:hAnsi="仿宋" w:eastAsia="仿宋" w:cs="仿宋"/>
                <w:bCs/>
                <w:color w:val="auto"/>
                <w:kern w:val="2"/>
                <w:sz w:val="24"/>
                <w:szCs w:val="24"/>
                <w:highlight w:val="none"/>
                <w:lang w:val="en-US" w:eastAsia="zh-CN" w:bidi="ar-SA"/>
              </w:rPr>
            </w:pPr>
            <w:bookmarkStart w:id="402" w:name="_Toc19432"/>
            <w:r>
              <w:rPr>
                <w:rFonts w:hint="eastAsia" w:ascii="仿宋" w:hAnsi="仿宋" w:eastAsia="仿宋" w:cs="仿宋"/>
                <w:bCs/>
                <w:color w:val="auto"/>
                <w:sz w:val="24"/>
                <w:szCs w:val="24"/>
                <w:highlight w:val="none"/>
                <w:lang w:val="en-US" w:eastAsia="zh-CN"/>
              </w:rPr>
              <w:t>客观分</w:t>
            </w:r>
          </w:p>
          <w:bookmarkEnd w:id="402"/>
        </w:tc>
        <w:tc>
          <w:tcPr>
            <w:tcW w:w="2003" w:type="dxa"/>
            <w:tcBorders>
              <w:tl2br w:val="nil"/>
              <w:tr2bl w:val="nil"/>
            </w:tcBorders>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bl>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r>
        <w:rPr>
          <w:rFonts w:ascii="仿宋" w:hAnsi="仿宋" w:eastAsia="仿宋" w:cs="仿宋"/>
          <w:b/>
          <w:color w:val="auto"/>
          <w:sz w:val="32"/>
          <w:highlight w:val="none"/>
        </w:rPr>
        <w:br w:type="page"/>
      </w:r>
    </w:p>
    <w:p>
      <w:pPr>
        <w:numPr>
          <w:ilvl w:val="0"/>
          <w:numId w:val="8"/>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评标方法</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numPr>
          <w:ilvl w:val="0"/>
          <w:numId w:val="8"/>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pPr>
        <w:numPr>
          <w:ilvl w:val="0"/>
          <w:numId w:val="8"/>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评标程序</w:t>
      </w:r>
    </w:p>
    <w:p>
      <w:pPr>
        <w:numPr>
          <w:ilvl w:val="1"/>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9"/>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numPr>
          <w:ilvl w:val="1"/>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numPr>
          <w:ilvl w:val="255"/>
          <w:numId w:val="0"/>
        </w:num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9"/>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pPr>
        <w:numPr>
          <w:ilvl w:val="2"/>
          <w:numId w:val="9"/>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pPr>
        <w:numPr>
          <w:ilvl w:val="3"/>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pPr>
        <w:numPr>
          <w:ilvl w:val="3"/>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pPr>
        <w:numPr>
          <w:ilvl w:val="3"/>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pPr>
        <w:numPr>
          <w:ilvl w:val="3"/>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pPr>
        <w:numPr>
          <w:ilvl w:val="3"/>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9"/>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pPr>
        <w:numPr>
          <w:ilvl w:val="2"/>
          <w:numId w:val="9"/>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pPr>
        <w:numPr>
          <w:ilvl w:val="2"/>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9"/>
        </w:numPr>
        <w:snapToGrid w:val="0"/>
        <w:spacing w:line="360" w:lineRule="auto"/>
        <w:ind w:left="0" w:firstLine="0"/>
        <w:jc w:val="left"/>
        <w:rPr>
          <w:rFonts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rPr>
        <w:t>排序与推荐。</w:t>
      </w: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r>
        <w:rPr>
          <w:rFonts w:hint="eastAsia" w:ascii="仿宋" w:hAnsi="仿宋" w:eastAsia="仿宋" w:cs="仿宋"/>
          <w:b w:val="0"/>
          <w:bCs w:val="0"/>
          <w:color w:val="auto"/>
          <w:kern w:val="0"/>
          <w:sz w:val="24"/>
          <w:highlight w:val="none"/>
        </w:rPr>
        <w:t>。</w:t>
      </w:r>
    </w:p>
    <w:p>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9"/>
        </w:numPr>
        <w:snapToGrid w:val="0"/>
        <w:spacing w:line="360" w:lineRule="auto"/>
        <w:ind w:left="0" w:firstLine="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评分时保留小数点后1位小数，计算评分值时保留小数点后2位小数。</w:t>
      </w:r>
    </w:p>
    <w:p>
      <w:pPr>
        <w:numPr>
          <w:ilvl w:val="1"/>
          <w:numId w:val="9"/>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pPr>
        <w:numPr>
          <w:ilvl w:val="1"/>
          <w:numId w:val="10"/>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0"/>
        </w:numPr>
        <w:tabs>
          <w:tab w:val="left" w:pos="21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0"/>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同一标项下出现下列情况，供应商不能作出合理解释的，投标无效：</w:t>
      </w:r>
    </w:p>
    <w:p>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不同供应商的电子投标（响应）文件上传计算机的</w:t>
      </w:r>
      <w:r>
        <w:rPr>
          <w:rFonts w:hint="eastAsia" w:ascii="仿宋" w:hAnsi="仿宋" w:eastAsia="仿宋" w:cs="仿宋"/>
          <w:b/>
          <w:bCs/>
          <w:color w:val="auto"/>
          <w:highlight w:val="none"/>
          <w:lang w:val="en-US" w:eastAsia="zh-CN"/>
        </w:rPr>
        <w:t>IP地址、</w:t>
      </w:r>
      <w:r>
        <w:rPr>
          <w:rFonts w:hint="eastAsia" w:ascii="仿宋" w:hAnsi="仿宋" w:eastAsia="仿宋" w:cs="仿宋"/>
          <w:b/>
          <w:bCs/>
          <w:color w:val="auto"/>
          <w:highlight w:val="none"/>
        </w:rPr>
        <w:t>网卡MAC地址、CPU序列号和硬盘序列号等硬件信息相同的；</w:t>
      </w:r>
    </w:p>
    <w:p>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上传的电子投标（响应）文件若出现使用本项目其他投标（响应）供应商的数字证书加密的，或者加盖本项目其他投标（响应）供应商的电子印章的；</w:t>
      </w:r>
    </w:p>
    <w:p>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不同供应商的投标（响应）文件的内容存在三处（含）以上错误一致；</w:t>
      </w:r>
    </w:p>
    <w:p>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不同供应商联系人为同一人或不同联系人的联系电话一致。</w:t>
      </w:r>
    </w:p>
    <w:p>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pPr>
        <w:numPr>
          <w:ilvl w:val="0"/>
          <w:numId w:val="10"/>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pPr>
        <w:numPr>
          <w:ilvl w:val="1"/>
          <w:numId w:val="10"/>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pPr>
        <w:numPr>
          <w:ilvl w:val="1"/>
          <w:numId w:val="10"/>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pPr>
        <w:numPr>
          <w:ilvl w:val="1"/>
          <w:numId w:val="10"/>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pPr>
        <w:numPr>
          <w:ilvl w:val="1"/>
          <w:numId w:val="10"/>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pPr>
        <w:pStyle w:val="24"/>
        <w:snapToGrid w:val="0"/>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numPr>
          <w:ilvl w:val="0"/>
          <w:numId w:val="10"/>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0"/>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pStyle w:val="24"/>
        <w:rPr>
          <w:rFonts w:ascii="仿宋" w:hAnsi="仿宋" w:eastAsia="仿宋" w:cs="仿宋"/>
          <w:color w:val="auto"/>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pStyle w:val="700"/>
        <w:jc w:val="center"/>
        <w:rPr>
          <w:rFonts w:ascii="仿宋" w:hAnsi="仿宋" w:eastAsia="仿宋" w:cs="仿宋"/>
          <w:color w:val="auto"/>
          <w:szCs w:val="24"/>
          <w:highlight w:val="none"/>
        </w:rPr>
      </w:pPr>
    </w:p>
    <w:p>
      <w:pPr>
        <w:rPr>
          <w:rFonts w:ascii="仿宋" w:hAnsi="仿宋" w:eastAsia="仿宋" w:cs="仿宋"/>
          <w:b/>
          <w:color w:val="auto"/>
          <w:highlight w:val="none"/>
        </w:rPr>
      </w:pPr>
      <w:r>
        <w:rPr>
          <w:rFonts w:hint="eastAsia" w:ascii="仿宋" w:hAnsi="仿宋" w:eastAsia="仿宋" w:cs="仿宋"/>
          <w:b/>
          <w:color w:val="auto"/>
          <w:highlight w:val="none"/>
        </w:rPr>
        <w:br w:type="page"/>
      </w:r>
    </w:p>
    <w:p>
      <w:pPr>
        <w:snapToGrid w:val="0"/>
        <w:spacing w:beforeLines="50" w:afterLines="50"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合同书</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597"/>
        <w:spacing w:before="120" w:line="22" w:lineRule="atLeast"/>
        <w:rPr>
          <w:rFonts w:ascii="仿宋" w:hAnsi="仿宋" w:eastAsia="仿宋" w:cs="仿宋"/>
          <w:color w:val="auto"/>
          <w:szCs w:val="24"/>
          <w:highlight w:val="none"/>
        </w:rPr>
      </w:pPr>
    </w:p>
    <w:p>
      <w:pPr>
        <w:pStyle w:val="597"/>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杭州市第三人民医院</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pPr>
        <w:widowControl/>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s="仿宋"/>
          <w:color w:val="auto"/>
          <w:sz w:val="24"/>
          <w:highlight w:val="none"/>
          <w:u w:val="single"/>
          <w:lang w:val="zh-CN"/>
        </w:rPr>
      </w:pPr>
    </w:p>
    <w:bookmarkEnd w:id="29"/>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03" w:name="第五部分"/>
      <w:bookmarkStart w:id="404" w:name="_Toc86217003"/>
      <w:bookmarkStart w:id="405" w:name="_Toc12455"/>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公开招标</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为该项目中标供应商。现于中标通知书发出之日起三十日内，按照采购文件确定的事项签订本合同。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杭州市第三人民医院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pStyle w:val="24"/>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auto"/>
          <w:sz w:val="24"/>
          <w:highlight w:val="none"/>
        </w:rPr>
      </w:pPr>
      <w:bookmarkStart w:id="406" w:name="_Toc3029"/>
      <w:bookmarkStart w:id="407" w:name="_Toc2232"/>
      <w:bookmarkStart w:id="408"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6"/>
      <w:bookmarkEnd w:id="407"/>
      <w:bookmarkEnd w:id="40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w:t>
      </w:r>
      <w:r>
        <w:rPr>
          <w:rFonts w:hint="eastAsia" w:ascii="仿宋" w:hAnsi="仿宋" w:eastAsia="仿宋"/>
          <w:color w:val="auto"/>
          <w:sz w:val="24"/>
          <w:highlight w:val="none"/>
          <w:lang w:eastAsia="zh-CN"/>
        </w:rPr>
        <w:t>或者响应</w:t>
      </w:r>
      <w:r>
        <w:rPr>
          <w:rFonts w:hint="eastAsia" w:ascii="仿宋" w:hAnsi="仿宋" w:eastAsia="仿宋"/>
          <w:color w:val="auto"/>
          <w:sz w:val="24"/>
          <w:highlight w:val="none"/>
        </w:rPr>
        <w:t>文件（含澄清或者说明文件）；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 xml:space="preserve">1.1.4 </w:t>
      </w:r>
      <w:r>
        <w:rPr>
          <w:rFonts w:hint="eastAsia" w:ascii="仿宋" w:hAnsi="仿宋" w:eastAsia="仿宋"/>
          <w:color w:val="auto"/>
          <w:sz w:val="24"/>
          <w:highlight w:val="none"/>
          <w:lang w:eastAsia="zh-CN"/>
        </w:rPr>
        <w:t>招标</w:t>
      </w:r>
      <w:r>
        <w:rPr>
          <w:rFonts w:hint="eastAsia" w:ascii="仿宋" w:hAnsi="仿宋" w:eastAsia="仿宋"/>
          <w:color w:val="auto"/>
          <w:sz w:val="24"/>
          <w:highlight w:val="none"/>
        </w:rPr>
        <w:t>文件（含澄清或者修改文件）；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bidi w:val="0"/>
        <w:rPr>
          <w:color w:val="auto"/>
          <w:highlight w:val="none"/>
        </w:rPr>
      </w:pPr>
      <w:bookmarkStart w:id="409" w:name="_Toc21295"/>
      <w:bookmarkStart w:id="410" w:name="_Toc24300"/>
      <w:bookmarkStart w:id="411" w:name="_Toc27126"/>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1.2 货物</w:t>
      </w:r>
      <w:bookmarkEnd w:id="409"/>
      <w:bookmarkEnd w:id="410"/>
      <w:bookmarkEnd w:id="4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hint="eastAsia" w:ascii="仿宋" w:hAnsi="仿宋" w:eastAsia="仿宋"/>
          <w:color w:val="auto"/>
          <w:sz w:val="24"/>
          <w:highlight w:val="none"/>
          <w:lang w:val="en-US" w:eastAsia="zh-CN"/>
        </w:rPr>
        <w:t>材质</w:t>
      </w:r>
      <w:r>
        <w:rPr>
          <w:rFonts w:hint="eastAsia" w:ascii="仿宋" w:hAnsi="仿宋" w:eastAsia="仿宋"/>
          <w:color w:val="auto"/>
          <w:sz w:val="24"/>
          <w:highlight w:val="none"/>
        </w:rPr>
        <w:t>、规格型号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数量</w:t>
      </w:r>
      <w:r>
        <w:rPr>
          <w:rFonts w:hint="eastAsia" w:ascii="仿宋" w:hAnsi="仿宋" w:eastAsia="仿宋"/>
          <w:color w:val="auto"/>
          <w:sz w:val="24"/>
          <w:highlight w:val="none"/>
        </w:rPr>
        <w:t>：</w:t>
      </w:r>
      <w:r>
        <w:rPr>
          <w:rFonts w:hint="eastAsia" w:ascii="仿宋" w:hAnsi="仿宋" w:eastAsia="仿宋"/>
          <w:color w:val="auto"/>
          <w:sz w:val="24"/>
          <w:highlight w:val="none"/>
          <w:u w:val="single"/>
          <w:lang w:val="en-US" w:eastAsia="zh-CN"/>
        </w:rPr>
        <w:t>详见如下产品清单</w:t>
      </w:r>
      <w:r>
        <w:rPr>
          <w:rFonts w:hint="eastAsia" w:ascii="仿宋" w:hAnsi="仿宋" w:eastAsia="仿宋"/>
          <w:color w:val="auto"/>
          <w:sz w:val="24"/>
          <w:highlight w:val="none"/>
        </w:rPr>
        <w:t>；</w:t>
      </w:r>
    </w:p>
    <w:p>
      <w:pPr>
        <w:pStyle w:val="23"/>
        <w:ind w:firstLine="480" w:firstLineChars="200"/>
        <w:rPr>
          <w:rFonts w:hint="default" w:eastAsia="仿宋"/>
          <w:color w:val="auto"/>
          <w:highlight w:val="none"/>
          <w:lang w:val="en-US" w:eastAsia="zh-CN"/>
        </w:rPr>
      </w:pPr>
      <w:r>
        <w:rPr>
          <w:rFonts w:hint="eastAsia" w:ascii="仿宋" w:hAnsi="仿宋" w:eastAsia="仿宋"/>
          <w:color w:val="auto"/>
          <w:sz w:val="24"/>
          <w:highlight w:val="none"/>
          <w:lang w:val="en-US" w:eastAsia="zh-CN"/>
        </w:rPr>
        <w:t>产品清单：</w:t>
      </w:r>
    </w:p>
    <w:tbl>
      <w:tblPr>
        <w:tblStyle w:val="62"/>
        <w:tblW w:w="80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2202"/>
        <w:gridCol w:w="1880"/>
        <w:gridCol w:w="1928"/>
        <w:gridCol w:w="15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doub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sz w:val="21"/>
                <w:szCs w:val="21"/>
                <w:highlight w:val="none"/>
              </w:rPr>
            </w:pPr>
            <w:bookmarkStart w:id="412" w:name="_Toc21551"/>
            <w:bookmarkStart w:id="413" w:name="_Toc23292"/>
            <w:bookmarkStart w:id="414" w:name="_Toc21631"/>
            <w:r>
              <w:rPr>
                <w:rFonts w:hint="eastAsia" w:ascii="仿宋" w:hAnsi="仿宋" w:eastAsia="仿宋" w:cs="仿宋"/>
                <w:color w:val="auto"/>
                <w:kern w:val="0"/>
                <w:sz w:val="21"/>
                <w:szCs w:val="21"/>
                <w:highlight w:val="none"/>
                <w:lang w:bidi="ar"/>
              </w:rPr>
              <w:t>序号</w:t>
            </w:r>
          </w:p>
        </w:tc>
        <w:tc>
          <w:tcPr>
            <w:tcW w:w="2202"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
              </w:rPr>
              <w:t>货物名称</w:t>
            </w:r>
          </w:p>
        </w:tc>
        <w:tc>
          <w:tcPr>
            <w:tcW w:w="1880"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材质</w:t>
            </w:r>
          </w:p>
        </w:tc>
        <w:tc>
          <w:tcPr>
            <w:tcW w:w="1928" w:type="dxa"/>
            <w:tcBorders>
              <w:top w:val="doub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规格</w:t>
            </w:r>
            <w:r>
              <w:rPr>
                <w:rFonts w:hint="eastAsia" w:ascii="仿宋" w:hAnsi="仿宋" w:eastAsia="仿宋" w:cs="仿宋"/>
                <w:color w:val="auto"/>
                <w:kern w:val="0"/>
                <w:sz w:val="21"/>
                <w:szCs w:val="21"/>
                <w:highlight w:val="none"/>
                <w:lang w:val="en-US" w:eastAsia="zh-CN" w:bidi="ar"/>
              </w:rPr>
              <w:t>型号</w:t>
            </w:r>
          </w:p>
        </w:tc>
        <w:tc>
          <w:tcPr>
            <w:tcW w:w="1500" w:type="dxa"/>
            <w:tcBorders>
              <w:top w:val="doub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suppressLineNumbers w:val="0"/>
              <w:spacing w:before="0" w:beforeLines="0" w:beforeAutospacing="0" w:after="0" w:afterLines="0" w:afterAutospacing="0" w:line="360" w:lineRule="auto"/>
              <w:ind w:left="0" w:right="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预估</w:t>
            </w:r>
            <w:r>
              <w:rPr>
                <w:rFonts w:hint="eastAsia" w:ascii="仿宋" w:hAnsi="仿宋" w:eastAsia="仿宋" w:cs="仿宋"/>
                <w:color w:val="auto"/>
                <w:sz w:val="21"/>
                <w:szCs w:val="21"/>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100mlPET棕色瓶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药用聚酯（PET）</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307200瓶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200mlPET无色瓶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药用聚酯（PET）</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281600瓶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500mlPET棕色瓶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药用聚酯（PET）</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54000瓶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500mlPET无色瓶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药用聚酯（PET）</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500ml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35850瓶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20mlLDPE棕色瓶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低密度聚乙烯（LDPE）</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14240瓶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6</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10mlLDPE无色滴眼瓶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adjustRightInd w:val="0"/>
              <w:spacing w:before="0" w:beforeLines="0" w:beforeAutospacing="0" w:after="0" w:afterLines="0" w:afterAutospacing="0" w:line="360" w:lineRule="auto"/>
              <w:ind w:left="0" w:leftChars="0" w:right="0" w:rightChars="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低密度聚乙烯（LDPE）</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22000瓶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7</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100mlHDPE白色瓶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高密度聚乙烯（HDPE）</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18000瓶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val="en-US" w:eastAsia="zh-CN" w:bidi="ar"/>
              </w:rPr>
              <w:t>8</w:t>
            </w:r>
          </w:p>
        </w:tc>
        <w:tc>
          <w:tcPr>
            <w:tcW w:w="2202"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100mlHDPE蓝色瓶</w:t>
            </w:r>
          </w:p>
        </w:tc>
        <w:tc>
          <w:tcPr>
            <w:tcW w:w="1880"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高密度聚乙烯（HDPE）</w:t>
            </w:r>
          </w:p>
        </w:tc>
        <w:tc>
          <w:tcPr>
            <w:tcW w:w="1928" w:type="dxa"/>
            <w:tcBorders>
              <w:top w:val="single" w:color="auto" w:sz="4" w:space="0"/>
              <w:left w:val="single" w:color="auto" w:sz="4" w:space="0"/>
              <w:bottom w:val="sing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100ml</w:t>
            </w:r>
          </w:p>
        </w:tc>
        <w:tc>
          <w:tcPr>
            <w:tcW w:w="1500" w:type="dxa"/>
            <w:tcBorders>
              <w:top w:val="single" w:color="auto" w:sz="4" w:space="0"/>
              <w:left w:val="single" w:color="auto" w:sz="4" w:space="0"/>
              <w:bottom w:val="sing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val="en-US" w:eastAsia="zh-CN" w:bidi="ar"/>
              </w:rPr>
              <w:t>700000瓶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tcBorders>
              <w:top w:val="single" w:color="auto" w:sz="4" w:space="0"/>
              <w:left w:val="doub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9</w:t>
            </w:r>
          </w:p>
        </w:tc>
        <w:tc>
          <w:tcPr>
            <w:tcW w:w="2202"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top"/>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30gHDPE固体瓶</w:t>
            </w:r>
          </w:p>
        </w:tc>
        <w:tc>
          <w:tcPr>
            <w:tcW w:w="1880"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Lines="0" w:beforeAutospacing="0" w:after="0" w:afterLines="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高密度聚乙烯（HDPE）</w:t>
            </w:r>
          </w:p>
        </w:tc>
        <w:tc>
          <w:tcPr>
            <w:tcW w:w="1928" w:type="dxa"/>
            <w:tcBorders>
              <w:top w:val="single" w:color="auto" w:sz="4" w:space="0"/>
              <w:left w:val="single" w:color="auto" w:sz="4" w:space="0"/>
              <w:bottom w:val="double" w:color="auto" w:sz="4" w:space="0"/>
              <w:right w:val="sing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bidi="ar"/>
              </w:rPr>
              <w:t>30g</w:t>
            </w:r>
          </w:p>
        </w:tc>
        <w:tc>
          <w:tcPr>
            <w:tcW w:w="1500" w:type="dxa"/>
            <w:tcBorders>
              <w:top w:val="single" w:color="auto" w:sz="4" w:space="0"/>
              <w:left w:val="single" w:color="auto" w:sz="4" w:space="0"/>
              <w:bottom w:val="double" w:color="auto" w:sz="4" w:space="0"/>
              <w:right w:val="double" w:color="auto" w:sz="4" w:space="0"/>
              <w:tl2br w:val="nil"/>
              <w:tr2bl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bottom"/>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5526瓶</w:t>
            </w:r>
          </w:p>
        </w:tc>
      </w:tr>
    </w:tbl>
    <w:p>
      <w:pPr>
        <w:bidi w:val="0"/>
        <w:rPr>
          <w:color w:val="auto"/>
          <w:highlight w:val="none"/>
        </w:rPr>
      </w:pPr>
    </w:p>
    <w:p>
      <w:pPr>
        <w:adjustRightInd/>
        <w:spacing w:line="360" w:lineRule="auto"/>
        <w:jc w:val="both"/>
        <w:rPr>
          <w:rFonts w:hint="eastAsia" w:ascii="仿宋" w:hAnsi="仿宋" w:eastAsia="仿宋" w:cs="仿宋"/>
          <w:color w:val="auto"/>
          <w:sz w:val="24"/>
          <w:szCs w:val="24"/>
          <w:highlight w:val="none"/>
          <w:lang w:val="en-US" w:eastAsia="zh-CN"/>
        </w:rPr>
      </w:pPr>
      <w:r>
        <w:rPr>
          <w:rFonts w:ascii="仿宋" w:hAnsi="仿宋" w:eastAsia="仿宋"/>
          <w:color w:val="auto"/>
          <w:sz w:val="24"/>
          <w:highlight w:val="none"/>
        </w:rPr>
        <w:t>1.2.</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 xml:space="preserve"> </w:t>
      </w:r>
      <w:r>
        <w:rPr>
          <w:rFonts w:hint="eastAsia" w:ascii="仿宋" w:hAnsi="仿宋" w:eastAsia="仿宋"/>
          <w:color w:val="auto"/>
          <w:sz w:val="24"/>
          <w:highlight w:val="none"/>
        </w:rPr>
        <w:t>货物质量：</w:t>
      </w:r>
      <w:r>
        <w:rPr>
          <w:rFonts w:hint="eastAsia" w:eastAsia="仿宋" w:cs="Times New Roman"/>
          <w:color w:val="auto"/>
          <w:sz w:val="24"/>
          <w:highlight w:val="none"/>
          <w:u w:val="single"/>
          <w:lang w:val="en-US" w:eastAsia="zh-CN"/>
        </w:rPr>
        <w:t>包材在国家食品药品监督管理局药品审评中心（https://www.cde.org.cn/）原辅包登记平台具备登记号，且与制剂共同审评审批结果为“A”</w:t>
      </w:r>
      <w:r>
        <w:rPr>
          <w:rFonts w:hint="eastAsia" w:eastAsia="仿宋" w:cs="Times New Roman"/>
          <w:color w:val="auto"/>
          <w:sz w:val="24"/>
          <w:highlight w:val="none"/>
          <w:u w:val="single"/>
          <w:lang w:eastAsia="zh-CN"/>
        </w:rPr>
        <w:t>。</w:t>
      </w:r>
      <w:r>
        <w:rPr>
          <w:rFonts w:hint="eastAsia" w:ascii="仿宋" w:hAnsi="仿宋" w:eastAsia="仿宋" w:cs="仿宋"/>
          <w:color w:val="auto"/>
          <w:sz w:val="24"/>
          <w:szCs w:val="24"/>
          <w:highlight w:val="none"/>
          <w:u w:val="single"/>
          <w:lang w:val="en-US" w:eastAsia="zh-CN"/>
        </w:rPr>
        <w:t>塑料包材在自然光线明亮处，正视目测。应具有均匀一致的色泽，不得有明显色差。瓶的表面应光洁、平整，不得有变形和明显的擦痕，不得有砂眼、油污、气泡。瓶口应平整、光滑。规格100ml及以上包材瓶口防盗盖和铝塑盖通用</w:t>
      </w:r>
      <w:r>
        <w:rPr>
          <w:rFonts w:hint="eastAsia" w:ascii="仿宋" w:hAnsi="仿宋" w:eastAsia="仿宋" w:cs="仿宋"/>
          <w:color w:val="auto"/>
          <w:sz w:val="24"/>
          <w:szCs w:val="24"/>
          <w:highlight w:val="none"/>
          <w:u w:val="none"/>
          <w:lang w:val="en-US" w:eastAsia="zh-CN"/>
        </w:rPr>
        <w:t>。</w:t>
      </w:r>
    </w:p>
    <w:p>
      <w:pPr>
        <w:adjustRightInd/>
        <w:spacing w:line="360" w:lineRule="auto"/>
        <w:jc w:val="both"/>
        <w:rPr>
          <w:rFonts w:hint="default" w:ascii="Times New Roman" w:hAnsi="Times New Roman" w:eastAsia="仿宋"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1.3 价款</w:t>
      </w:r>
      <w:bookmarkEnd w:id="412"/>
      <w:bookmarkEnd w:id="413"/>
      <w:bookmarkEnd w:id="41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合同上限金额</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单价（元）</w:t>
            </w:r>
          </w:p>
        </w:tc>
        <w:tc>
          <w:tcPr>
            <w:tcW w:w="255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int="eastAsia" w:ascii="仿宋" w:hAnsi="仿宋" w:eastAsia="仿宋"/>
                <w:color w:val="auto"/>
                <w:sz w:val="24"/>
                <w:szCs w:val="24"/>
                <w:highlight w:val="none"/>
                <w:lang w:eastAsia="zh-CN"/>
              </w:rPr>
            </w:pPr>
            <w:r>
              <w:rPr>
                <w:rFonts w:hint="default" w:ascii="仿宋" w:hAnsi="仿宋" w:eastAsia="仿宋"/>
                <w:color w:val="auto"/>
                <w:sz w:val="24"/>
                <w:szCs w:val="24"/>
                <w:highlight w:val="none"/>
                <w:lang w:val="en-US"/>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1"/>
                <w:szCs w:val="21"/>
                <w:highlight w:val="none"/>
                <w:lang w:bidi="ar"/>
              </w:rPr>
              <w:t>100mlPET棕色瓶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ind w:firstLine="720" w:firstLineChars="300"/>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ind w:firstLine="720" w:firstLineChars="300"/>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1"/>
                <w:szCs w:val="21"/>
                <w:highlight w:val="none"/>
                <w:lang w:bidi="ar"/>
              </w:rPr>
              <w:t>200mlPET无色瓶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500mlPET棕色瓶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500mlPET无色瓶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5</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20mlLDPE棕色瓶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6</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10mlLDPE无色滴眼瓶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7</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100mlHDPE白色瓶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8</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100mlHDPE蓝色瓶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9</w:t>
            </w:r>
          </w:p>
        </w:tc>
        <w:tc>
          <w:tcPr>
            <w:tcW w:w="3402"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bottom"/>
              <w:rPr>
                <w:rFonts w:hint="eastAsia" w:eastAsia="仿宋"/>
                <w:color w:val="auto"/>
                <w:sz w:val="24"/>
                <w:szCs w:val="24"/>
                <w:highlight w:val="none"/>
              </w:rPr>
            </w:pPr>
            <w:r>
              <w:rPr>
                <w:rFonts w:hint="eastAsia" w:ascii="仿宋" w:hAnsi="仿宋" w:eastAsia="仿宋" w:cs="仿宋"/>
                <w:color w:val="auto"/>
                <w:kern w:val="0"/>
                <w:sz w:val="21"/>
                <w:szCs w:val="21"/>
                <w:highlight w:val="none"/>
                <w:lang w:bidi="ar"/>
              </w:rPr>
              <w:t>30gHDPE固体瓶</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default" w:ascii="仿宋" w:hAnsi="仿宋" w:eastAsia="仿宋"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5104"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ascii="仿宋" w:hAnsi="仿宋" w:eastAsia="仿宋"/>
                <w:color w:val="auto"/>
                <w:sz w:val="24"/>
                <w:szCs w:val="24"/>
                <w:highlight w:val="none"/>
              </w:rPr>
            </w:pPr>
          </w:p>
        </w:tc>
      </w:tr>
    </w:tbl>
    <w:p>
      <w:pPr>
        <w:bidi w:val="0"/>
        <w:rPr>
          <w:color w:val="auto"/>
          <w:highlight w:val="none"/>
        </w:rPr>
      </w:pPr>
      <w:bookmarkStart w:id="415" w:name="_Toc22618"/>
      <w:bookmarkStart w:id="416" w:name="_Toc10340"/>
      <w:bookmarkStart w:id="417" w:name="_Toc1814"/>
    </w:p>
    <w:bookmarkEnd w:id="415"/>
    <w:bookmarkEnd w:id="416"/>
    <w:bookmarkEnd w:id="417"/>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价格中</w:t>
      </w:r>
      <w:r>
        <w:rPr>
          <w:rFonts w:hint="eastAsia" w:ascii="仿宋" w:hAnsi="仿宋" w:eastAsia="仿宋" w:cs="仿宋"/>
          <w:color w:val="auto"/>
          <w:sz w:val="24"/>
          <w:szCs w:val="24"/>
          <w:highlight w:val="none"/>
        </w:rPr>
        <w:t>均已包括了为实施和完成合同所需的制作、</w:t>
      </w:r>
      <w:r>
        <w:rPr>
          <w:rFonts w:hint="eastAsia" w:ascii="仿宋" w:hAnsi="仿宋" w:eastAsia="仿宋" w:cs="仿宋"/>
          <w:color w:val="auto"/>
          <w:sz w:val="24"/>
          <w:szCs w:val="24"/>
          <w:highlight w:val="none"/>
          <w:lang w:val="en-US" w:eastAsia="zh-CN"/>
        </w:rPr>
        <w:t>开模、包装、</w:t>
      </w:r>
      <w:r>
        <w:rPr>
          <w:rFonts w:hint="eastAsia" w:ascii="仿宋" w:hAnsi="仿宋" w:eastAsia="仿宋" w:cs="仿宋"/>
          <w:color w:val="auto"/>
          <w:sz w:val="24"/>
          <w:szCs w:val="24"/>
          <w:highlight w:val="none"/>
        </w:rPr>
        <w:t>运输、验收、材料、售后服务、管理、保险、利润、税金、政策性调价、市场变化以及合同明示的所有责任、义务和风险等所需的一切费用。因</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报价漏算少计，中标后不予追加。</w:t>
      </w:r>
      <w:r>
        <w:rPr>
          <w:rFonts w:hint="eastAsia" w:ascii="仿宋" w:hAnsi="仿宋" w:eastAsia="仿宋" w:cs="仿宋"/>
          <w:color w:val="auto"/>
          <w:sz w:val="24"/>
          <w:highlight w:val="none"/>
        </w:rPr>
        <w:t>除</w:t>
      </w:r>
      <w:r>
        <w:rPr>
          <w:rFonts w:hint="eastAsia" w:ascii="仿宋" w:hAnsi="仿宋" w:eastAsia="仿宋" w:cs="仿宋"/>
          <w:color w:val="auto"/>
          <w:sz w:val="24"/>
          <w:highlight w:val="none"/>
          <w:lang w:val="en-US" w:eastAsia="zh-CN"/>
        </w:rPr>
        <w:t>按照上述单价和实际采购数量结算的费用</w:t>
      </w:r>
      <w:r>
        <w:rPr>
          <w:rFonts w:hint="eastAsia" w:ascii="仿宋" w:hAnsi="仿宋" w:eastAsia="仿宋" w:cs="仿宋"/>
          <w:color w:val="auto"/>
          <w:sz w:val="24"/>
          <w:highlight w:val="none"/>
        </w:rPr>
        <w:t>外，甲方无需再行向乙方支付任何其他费用。</w:t>
      </w:r>
    </w:p>
    <w:p>
      <w:pPr>
        <w:spacing w:line="360" w:lineRule="auto"/>
        <w:ind w:firstLine="480" w:firstLineChars="200"/>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预付款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u w:val="single"/>
          <w:lang w:val="en-US" w:eastAsia="zh-CN"/>
        </w:rPr>
        <w:t xml:space="preserve"> 否</w:t>
      </w:r>
      <w:r>
        <w:rPr>
          <w:rFonts w:hint="eastAsia" w:ascii="仿宋" w:hAnsi="仿宋" w:eastAsia="仿宋"/>
          <w:color w:val="auto"/>
          <w:sz w:val="24"/>
          <w:highlight w:val="none"/>
          <w:lang w:val="en-US" w:eastAsia="zh-CN"/>
        </w:rPr>
        <w:t>（是/否）需要支付预付款。若需要支付预付款的，则：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1.4.1预付款比例、支付方式、时间详见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 xml:space="preserve">合同专用条款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1.4.2预付款的扣回方式详见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1.4.3预付款的担保措施详见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资金支付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1.5.1甲方应严格履行合同约定的时间及时组织验收，验收合格后，凭乙方开具的发票及随货同行单进行单据入库，并按照合同支付约定将对应费用汇至乙方指定的账户。甲方不得以机构变动、人员更替、政策调整、单位放假等为由延迟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olor w:val="auto"/>
          <w:highlight w:val="none"/>
          <w:lang w:val="en-US" w:eastAsia="zh-CN"/>
        </w:rPr>
      </w:pPr>
      <w:r>
        <w:rPr>
          <w:rFonts w:hint="eastAsia" w:ascii="仿宋" w:hAnsi="仿宋" w:eastAsia="仿宋" w:cs="Times New Roman"/>
          <w:b/>
          <w:color w:val="auto"/>
          <w:sz w:val="24"/>
          <w:highlight w:val="none"/>
          <w:lang w:val="en-US" w:eastAsia="zh-CN"/>
        </w:rPr>
        <w:t xml:space="preserve">1.5.2 </w:t>
      </w:r>
      <w:r>
        <w:rPr>
          <w:rFonts w:hint="eastAsia" w:ascii="仿宋" w:hAnsi="仿宋" w:eastAsia="仿宋"/>
          <w:color w:val="auto"/>
          <w:sz w:val="24"/>
          <w:highlight w:val="none"/>
          <w:lang w:val="en-US" w:eastAsia="zh-CN"/>
        </w:rPr>
        <w:t>资金支付的方式、时间和条件详见</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pStyle w:val="5"/>
        <w:ind w:left="0" w:leftChars="0" w:firstLine="480" w:firstLineChars="200"/>
        <w:rPr>
          <w:rFonts w:hint="default"/>
          <w:color w:val="auto"/>
          <w:highlight w:val="none"/>
          <w:lang w:val="en-US" w:eastAsia="zh-CN"/>
        </w:rPr>
      </w:pPr>
      <w:r>
        <w:rPr>
          <w:rFonts w:hint="eastAsia" w:ascii="仿宋" w:hAnsi="仿宋" w:eastAsia="仿宋"/>
          <w:color w:val="auto"/>
          <w:sz w:val="24"/>
          <w:highlight w:val="none"/>
          <w:lang w:val="en-US" w:eastAsia="zh-CN"/>
        </w:rPr>
        <w:t>1.6 交货和验收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1.6.1 </w:t>
      </w:r>
      <w:r>
        <w:rPr>
          <w:rFonts w:hint="eastAsia" w:ascii="仿宋" w:hAnsi="仿宋" w:eastAsia="仿宋" w:cs="Times New Roman"/>
          <w:color w:val="auto"/>
          <w:sz w:val="24"/>
          <w:highlight w:val="none"/>
        </w:rPr>
        <w:t>货物交付期限：甲乙双方签订合同后，</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需求确定之日起30个工作日内，</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将根据订单约定数量生产备货，根据</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书面通知数量按批次进行供货，</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接到</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通知后10个工作日内交付使用（应急货物24小时内到货），同时提交产品相关的资料，包括送货单等送货单和检验报告等，并通过</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验收。</w:t>
      </w:r>
      <w:r>
        <w:rPr>
          <w:rFonts w:hint="eastAsia" w:ascii="仿宋" w:hAnsi="仿宋" w:eastAsia="仿宋" w:cs="Times New Roman"/>
          <w:color w:val="auto"/>
          <w:sz w:val="24"/>
          <w:highlight w:val="none"/>
          <w:lang w:val="en-US" w:eastAsia="zh-CN"/>
        </w:rPr>
        <w:t>未发货产品乙方代为保管，直至发完</w:t>
      </w:r>
      <w:r>
        <w:rPr>
          <w:rFonts w:hint="eastAsia" w:ascii="仿宋" w:hAnsi="仿宋" w:eastAsia="仿宋" w:cs="Times New Roman"/>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 xml:space="preserve">6.2 </w:t>
      </w:r>
      <w:r>
        <w:rPr>
          <w:rFonts w:hint="eastAsia" w:ascii="仿宋" w:hAnsi="仿宋" w:eastAsia="仿宋" w:cs="Times New Roman"/>
          <w:color w:val="auto"/>
          <w:sz w:val="24"/>
          <w:highlight w:val="none"/>
        </w:rPr>
        <w:t>交货地点：</w:t>
      </w:r>
      <w:r>
        <w:rPr>
          <w:rFonts w:hint="eastAsia" w:ascii="仿宋" w:hAnsi="仿宋" w:eastAsia="仿宋" w:cs="Times New Roman"/>
          <w:color w:val="auto"/>
          <w:sz w:val="24"/>
          <w:highlight w:val="none"/>
          <w:u w:val="none"/>
        </w:rPr>
        <w:t>甲方指定地点</w:t>
      </w:r>
      <w:r>
        <w:rPr>
          <w:rFonts w:hint="eastAsia" w:ascii="仿宋" w:hAnsi="仿宋" w:eastAsia="仿宋" w:cs="Times New Roman"/>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 xml:space="preserve">3 </w:t>
      </w:r>
      <w:r>
        <w:rPr>
          <w:rFonts w:hint="eastAsia" w:ascii="仿宋" w:hAnsi="仿宋" w:eastAsia="仿宋" w:cs="Times New Roman"/>
          <w:color w:val="auto"/>
          <w:sz w:val="24"/>
          <w:highlight w:val="none"/>
        </w:rPr>
        <w:t>运输方式及保险：到达甲方指定交付地点</w:t>
      </w:r>
      <w:r>
        <w:rPr>
          <w:rFonts w:hint="eastAsia" w:ascii="仿宋" w:hAnsi="仿宋" w:eastAsia="仿宋" w:cs="Times New Roman"/>
          <w:color w:val="auto"/>
          <w:sz w:val="24"/>
          <w:highlight w:val="none"/>
          <w:lang w:val="en-US" w:eastAsia="zh-CN"/>
        </w:rPr>
        <w:t>且通过甲方验收合格并入库</w:t>
      </w:r>
      <w:r>
        <w:rPr>
          <w:rFonts w:hint="eastAsia" w:ascii="仿宋" w:hAnsi="仿宋" w:eastAsia="仿宋" w:cs="Times New Roman"/>
          <w:color w:val="auto"/>
          <w:sz w:val="24"/>
          <w:highlight w:val="none"/>
        </w:rPr>
        <w:t>之前的产品运输、照看、监护保管、存储、保险、损失、变质、污染等一切相关</w:t>
      </w:r>
      <w:r>
        <w:rPr>
          <w:rFonts w:hint="eastAsia" w:ascii="仿宋" w:hAnsi="仿宋" w:eastAsia="仿宋" w:cs="Times New Roman"/>
          <w:color w:val="auto"/>
          <w:sz w:val="24"/>
          <w:highlight w:val="none"/>
          <w:lang w:val="en-US" w:eastAsia="zh-CN"/>
        </w:rPr>
        <w:t>风险和</w:t>
      </w:r>
      <w:r>
        <w:rPr>
          <w:rFonts w:hint="eastAsia" w:ascii="仿宋" w:hAnsi="仿宋" w:eastAsia="仿宋" w:cs="Times New Roman"/>
          <w:color w:val="auto"/>
          <w:sz w:val="24"/>
          <w:highlight w:val="none"/>
        </w:rPr>
        <w:t>费用由乙方承担。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 xml:space="preserve">1.6.4 </w:t>
      </w:r>
      <w:r>
        <w:rPr>
          <w:rFonts w:hint="eastAsia" w:ascii="仿宋" w:hAnsi="仿宋" w:eastAsia="仿宋" w:cs="Times New Roman"/>
          <w:color w:val="auto"/>
          <w:sz w:val="24"/>
          <w:highlight w:val="none"/>
        </w:rPr>
        <w:t>每批次产品交付至甲方指定的地点后</w:t>
      </w:r>
      <w:r>
        <w:rPr>
          <w:rFonts w:hint="eastAsia" w:ascii="仿宋" w:hAnsi="仿宋" w:eastAsia="仿宋" w:cs="Times New Roman"/>
          <w:color w:val="auto"/>
          <w:sz w:val="24"/>
          <w:highlight w:val="none"/>
          <w:lang w:val="en-US" w:eastAsia="zh-CN"/>
        </w:rPr>
        <w:t>20</w:t>
      </w:r>
      <w:r>
        <w:rPr>
          <w:rFonts w:hint="eastAsia" w:ascii="仿宋" w:hAnsi="仿宋" w:eastAsia="仿宋" w:cs="Times New Roman"/>
          <w:color w:val="auto"/>
          <w:sz w:val="24"/>
          <w:highlight w:val="none"/>
        </w:rPr>
        <w:t>个工作日内，甲方</w:t>
      </w:r>
      <w:r>
        <w:rPr>
          <w:rFonts w:hint="eastAsia" w:ascii="仿宋" w:hAnsi="仿宋" w:eastAsia="仿宋" w:cs="Times New Roman"/>
          <w:color w:val="auto"/>
          <w:sz w:val="24"/>
          <w:highlight w:val="none"/>
          <w:lang w:val="en-US" w:eastAsia="zh-CN"/>
        </w:rPr>
        <w:t>应</w:t>
      </w:r>
      <w:r>
        <w:rPr>
          <w:rFonts w:hint="eastAsia" w:ascii="仿宋" w:hAnsi="仿宋" w:eastAsia="仿宋" w:cs="Times New Roman"/>
          <w:color w:val="auto"/>
          <w:sz w:val="24"/>
          <w:highlight w:val="none"/>
        </w:rPr>
        <w:t>验收完毕。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 xml:space="preserve">1.6.5 </w:t>
      </w:r>
      <w:r>
        <w:rPr>
          <w:rFonts w:hint="eastAsia" w:ascii="仿宋" w:hAnsi="仿宋" w:eastAsia="仿宋" w:cs="Times New Roman"/>
          <w:color w:val="auto"/>
          <w:sz w:val="24"/>
          <w:highlight w:val="none"/>
        </w:rPr>
        <w:t>验收标准：产品外形、包装完好</w:t>
      </w:r>
      <w:r>
        <w:rPr>
          <w:rFonts w:hint="eastAsia" w:ascii="仿宋" w:hAnsi="仿宋" w:eastAsia="仿宋" w:cs="Times New Roman"/>
          <w:color w:val="auto"/>
          <w:sz w:val="24"/>
          <w:highlight w:val="none"/>
          <w:lang w:val="en-US" w:eastAsia="zh-CN"/>
        </w:rPr>
        <w:t>无损</w:t>
      </w:r>
      <w:r>
        <w:rPr>
          <w:rFonts w:hint="eastAsia" w:ascii="仿宋" w:hAnsi="仿宋" w:eastAsia="仿宋" w:cs="Times New Roman"/>
          <w:color w:val="auto"/>
          <w:sz w:val="24"/>
          <w:highlight w:val="none"/>
        </w:rPr>
        <w:t>、数量正确</w:t>
      </w:r>
      <w:r>
        <w:rPr>
          <w:rFonts w:hint="eastAsia" w:ascii="仿宋" w:hAnsi="仿宋" w:eastAsia="仿宋" w:cs="Times New Roman"/>
          <w:color w:val="auto"/>
          <w:sz w:val="24"/>
          <w:highlight w:val="none"/>
          <w:lang w:val="en-US" w:eastAsia="zh-CN"/>
        </w:rPr>
        <w:t>且产品的随货同行单</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相应的检测报告、发票</w:t>
      </w:r>
      <w:r>
        <w:rPr>
          <w:rFonts w:hint="eastAsia" w:ascii="仿宋" w:hAnsi="仿宋" w:eastAsia="仿宋" w:cs="Times New Roman"/>
          <w:color w:val="auto"/>
          <w:sz w:val="24"/>
          <w:highlight w:val="none"/>
          <w:lang w:val="en-US" w:eastAsia="zh-CN"/>
        </w:rPr>
        <w:t>齐全</w:t>
      </w:r>
      <w:r>
        <w:rPr>
          <w:rFonts w:hint="eastAsia" w:ascii="仿宋" w:hAnsi="仿宋" w:eastAsia="仿宋" w:cs="Times New Roman"/>
          <w:color w:val="auto"/>
          <w:sz w:val="24"/>
          <w:highlight w:val="none"/>
        </w:rPr>
        <w:t>；产品符合甲方要求的规格、性能、技术指标等相关技术及质量标准并满足</w:t>
      </w:r>
      <w:r>
        <w:rPr>
          <w:rFonts w:hint="eastAsia" w:ascii="仿宋" w:hAnsi="仿宋" w:eastAsia="仿宋" w:cs="Times New Roman"/>
          <w:color w:val="auto"/>
          <w:sz w:val="24"/>
          <w:highlight w:val="none"/>
          <w:lang w:val="en-US" w:eastAsia="zh-CN"/>
        </w:rPr>
        <w:t>甲方要求</w:t>
      </w:r>
      <w:r>
        <w:rPr>
          <w:rFonts w:hint="eastAsia" w:ascii="仿宋" w:hAnsi="仿宋" w:eastAsia="仿宋" w:cs="Times New Roman"/>
          <w:color w:val="auto"/>
          <w:sz w:val="24"/>
          <w:highlight w:val="none"/>
        </w:rPr>
        <w:t>。验收中发现达不到验收标准或合同规定的，</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必须</w:t>
      </w:r>
      <w:r>
        <w:rPr>
          <w:rFonts w:hint="eastAsia" w:ascii="仿宋" w:hAnsi="仿宋" w:eastAsia="仿宋" w:cs="Times New Roman"/>
          <w:color w:val="auto"/>
          <w:sz w:val="24"/>
          <w:highlight w:val="none"/>
          <w:lang w:val="en-US" w:eastAsia="zh-CN"/>
        </w:rPr>
        <w:t>免费无条件</w:t>
      </w:r>
      <w:r>
        <w:rPr>
          <w:rFonts w:hint="eastAsia" w:ascii="仿宋" w:hAnsi="仿宋" w:eastAsia="仿宋" w:cs="Times New Roman"/>
          <w:color w:val="auto"/>
          <w:sz w:val="24"/>
          <w:highlight w:val="none"/>
        </w:rPr>
        <w:t>配合直至</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验收通过，并且赔偿由此给</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造成的损失。如</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交付的货物（服务）存在数量短缺、交付不符、假冒伪劣或质量瑕疵等情形，</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当场验收产品时发现的，有权决定拒绝收货或立即要求退换货。如</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收货后发现上述瑕疵的，则于</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发现之日起十五个工作日内向</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的指定联系人提出异议，</w:t>
      </w:r>
      <w:r>
        <w:rPr>
          <w:rFonts w:hint="eastAsia" w:ascii="仿宋" w:hAnsi="仿宋" w:eastAsia="仿宋" w:cs="Times New Roman"/>
          <w:color w:val="auto"/>
          <w:sz w:val="24"/>
          <w:highlight w:val="none"/>
          <w:lang w:val="en-US" w:eastAsia="zh-CN"/>
        </w:rPr>
        <w:t>乙方</w:t>
      </w:r>
      <w:r>
        <w:rPr>
          <w:rFonts w:hint="eastAsia" w:ascii="仿宋" w:hAnsi="仿宋" w:eastAsia="仿宋" w:cs="Times New Roman"/>
          <w:color w:val="auto"/>
          <w:sz w:val="24"/>
          <w:highlight w:val="none"/>
        </w:rPr>
        <w:t>应按照</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异议要求立即退换货或承担违约责任。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auto"/>
          <w:sz w:val="24"/>
          <w:highlight w:val="none"/>
          <w:lang w:val="en-US" w:eastAsia="zh-CN"/>
        </w:rPr>
      </w:pPr>
      <w:r>
        <w:rPr>
          <w:rFonts w:hint="eastAsia" w:ascii="仿宋" w:hAnsi="仿宋" w:eastAsia="仿宋" w:cs="Times New Roman"/>
          <w:color w:val="auto"/>
          <w:sz w:val="24"/>
          <w:highlight w:val="none"/>
        </w:rPr>
        <w:t>1.6.6产品验收合格并实际入库的，视为该货物所有权转移，但验收合格不免除乙方对产品的瑕疵担保义务，乙方仍应对产品的质量负责。</w:t>
      </w:r>
    </w:p>
    <w:p>
      <w:pPr>
        <w:bidi w:val="0"/>
        <w:rPr>
          <w:rFonts w:eastAsia="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 xml:space="preserve"> 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auto"/>
          <w:sz w:val="24"/>
          <w:highlight w:val="none"/>
          <w:lang w:val="en-US" w:eastAsia="zh-CN"/>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逾期超过30日的，乙方应另行向甲方支付该货物</w:t>
      </w:r>
      <w:r>
        <w:rPr>
          <w:rFonts w:hint="eastAsia" w:ascii="仿宋" w:hAnsi="仿宋" w:eastAsia="仿宋"/>
          <w:color w:val="auto"/>
          <w:sz w:val="24"/>
          <w:highlight w:val="none"/>
        </w:rPr>
        <w:t>涉及的订单总金额的</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0%</w:t>
      </w:r>
      <w:r>
        <w:rPr>
          <w:rFonts w:hint="eastAsia" w:ascii="仿宋" w:hAnsi="仿宋" w:eastAsia="仿宋"/>
          <w:color w:val="auto"/>
          <w:sz w:val="24"/>
          <w:highlight w:val="none"/>
          <w:lang w:val="en-US" w:eastAsia="zh-CN"/>
        </w:rPr>
        <w:t>作为违约金，同时，</w:t>
      </w:r>
      <w:r>
        <w:rPr>
          <w:rFonts w:ascii="仿宋" w:hAnsi="仿宋" w:eastAsia="仿宋"/>
          <w:color w:val="auto"/>
          <w:sz w:val="24"/>
          <w:highlight w:val="none"/>
        </w:rPr>
        <w:t>甲方有权书面通知乙方解除本合同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如前述违约金不足以弥补甲方由此产生的全部损失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lang w:val="en-US" w:eastAsia="zh-CN"/>
        </w:rPr>
        <w:t>，乙方应予全额补足</w:t>
      </w:r>
      <w:r>
        <w:rPr>
          <w:rFonts w:ascii="仿宋" w:hAnsi="仿宋" w:eastAsia="仿宋"/>
          <w:color w:val="auto"/>
          <w:sz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.4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eastAsia="宋体"/>
          <w:color w:val="auto"/>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bidi w:val="0"/>
        <w:rPr>
          <w:rFonts w:eastAsia="宋体"/>
          <w:color w:val="auto"/>
          <w:highlight w:val="none"/>
        </w:rPr>
      </w:pPr>
    </w:p>
    <w:p>
      <w:pPr>
        <w:widowControl/>
        <w:adjustRightInd w:val="0"/>
        <w:snapToGrid w:val="0"/>
        <w:spacing w:line="480" w:lineRule="exact"/>
        <w:ind w:left="0" w:leftChars="0" w:firstLine="482" w:firstLineChars="200"/>
        <w:jc w:val="both"/>
        <w:rPr>
          <w:rFonts w:hint="eastAsia" w:ascii="仿宋" w:hAnsi="仿宋" w:eastAsia="仿宋" w:cs="Times New Roman"/>
          <w:b/>
          <w:snapToGrid/>
          <w:color w:val="auto"/>
          <w:kern w:val="2"/>
          <w:sz w:val="24"/>
          <w:szCs w:val="24"/>
          <w:highlight w:val="none"/>
          <w:lang w:val="en-US" w:eastAsia="zh-CN" w:bidi="ar-SA"/>
        </w:rPr>
      </w:pPr>
      <w:r>
        <w:rPr>
          <w:rFonts w:hint="eastAsia" w:ascii="仿宋" w:hAnsi="仿宋" w:eastAsia="仿宋" w:cs="Times New Roman"/>
          <w:b/>
          <w:snapToGrid/>
          <w:color w:val="auto"/>
          <w:kern w:val="2"/>
          <w:sz w:val="24"/>
          <w:szCs w:val="24"/>
          <w:highlight w:val="none"/>
          <w:lang w:val="en-US" w:eastAsia="zh-CN" w:bidi="ar-SA"/>
        </w:rPr>
        <w:t>1.8 其他约定</w:t>
      </w:r>
    </w:p>
    <w:p>
      <w:pPr>
        <w:widowControl/>
        <w:adjustRightInd w:val="0"/>
        <w:snapToGrid w:val="0"/>
        <w:spacing w:line="480" w:lineRule="exact"/>
        <w:ind w:left="0" w:leftChars="0" w:firstLine="480" w:firstLineChars="200"/>
        <w:jc w:val="both"/>
        <w:rPr>
          <w:rFonts w:hint="eastAsia"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1.8.1 甲方因根据需要对乙方提供产品进行包材委托检验、稳定性试验等技术性验证工作，支出费用由乙方负责，验证通过后方能供货，如验证不合格，不予采购，所造成的损失由乙方承担，采购合同终止。</w:t>
      </w:r>
    </w:p>
    <w:p>
      <w:pPr>
        <w:widowControl/>
        <w:adjustRightInd w:val="0"/>
        <w:snapToGrid w:val="0"/>
        <w:spacing w:line="480" w:lineRule="exact"/>
        <w:ind w:left="0" w:leftChars="0" w:firstLine="480" w:firstLineChars="200"/>
        <w:jc w:val="both"/>
        <w:rPr>
          <w:rFonts w:hint="default" w:ascii="仿宋" w:hAnsi="仿宋" w:eastAsia="仿宋" w:cs="Times New Roman"/>
          <w:b w:val="0"/>
          <w:bCs/>
          <w:snapToGrid/>
          <w:color w:val="auto"/>
          <w:kern w:val="2"/>
          <w:sz w:val="24"/>
          <w:szCs w:val="24"/>
          <w:highlight w:val="none"/>
          <w:lang w:val="en-US" w:eastAsia="zh-CN" w:bidi="ar-SA"/>
        </w:rPr>
      </w:pPr>
      <w:bookmarkStart w:id="418" w:name="OLE_LINK1"/>
      <w:r>
        <w:rPr>
          <w:rFonts w:hint="eastAsia" w:ascii="仿宋" w:hAnsi="仿宋" w:eastAsia="仿宋" w:cs="Times New Roman"/>
          <w:b w:val="0"/>
          <w:bCs/>
          <w:snapToGrid/>
          <w:color w:val="auto"/>
          <w:kern w:val="2"/>
          <w:sz w:val="24"/>
          <w:szCs w:val="24"/>
          <w:highlight w:val="none"/>
          <w:lang w:val="en-US" w:eastAsia="zh-CN" w:bidi="ar-SA"/>
        </w:rPr>
        <w:t>1.8.2不同生产厂家药包材验证要求：根据《浙江省医疗机构制剂注册管理细则》要求及参照《已上市化学药品药学变更研究技术指导原则（试行）》规定，药包材产地变更需进行相关验证工作，如甲方根据需要进行验证，所涉及的包材委托检验、稳定性试验等技术性工作，支出费用由乙方负责，验证通过后方能供货，如验证不合格，不予采购，所造成的损失由乙方承担，采购合同终止。</w:t>
      </w:r>
    </w:p>
    <w:bookmarkEnd w:id="418"/>
    <w:p>
      <w:pPr>
        <w:widowControl/>
        <w:adjustRightInd w:val="0"/>
        <w:snapToGrid w:val="0"/>
        <w:spacing w:line="480" w:lineRule="exact"/>
        <w:ind w:left="0" w:leftChars="0" w:firstLine="480" w:firstLineChars="200"/>
        <w:jc w:val="both"/>
        <w:rPr>
          <w:rFonts w:hint="eastAsia"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1.8.3乙方每年提供一次具有CMA认证的药包材检测机构出具的全检报告单。</w:t>
      </w:r>
    </w:p>
    <w:p>
      <w:pPr>
        <w:widowControl/>
        <w:adjustRightInd w:val="0"/>
        <w:snapToGrid w:val="0"/>
        <w:spacing w:line="480" w:lineRule="exact"/>
        <w:ind w:left="0" w:leftChars="0" w:firstLine="480" w:firstLineChars="200"/>
        <w:jc w:val="both"/>
        <w:rPr>
          <w:rFonts w:hint="default" w:ascii="仿宋" w:hAnsi="仿宋" w:eastAsia="仿宋" w:cs="Times New Roman"/>
          <w:b w:val="0"/>
          <w:bCs/>
          <w:snapToGrid/>
          <w:color w:val="auto"/>
          <w:kern w:val="2"/>
          <w:sz w:val="24"/>
          <w:szCs w:val="24"/>
          <w:highlight w:val="none"/>
          <w:lang w:val="en-US" w:eastAsia="zh-CN" w:bidi="ar-SA"/>
        </w:rPr>
      </w:pPr>
      <w:r>
        <w:rPr>
          <w:rFonts w:hint="eastAsia" w:ascii="仿宋" w:hAnsi="仿宋" w:eastAsia="仿宋" w:cs="Times New Roman"/>
          <w:b w:val="0"/>
          <w:bCs/>
          <w:snapToGrid/>
          <w:color w:val="auto"/>
          <w:kern w:val="2"/>
          <w:sz w:val="24"/>
          <w:szCs w:val="24"/>
          <w:highlight w:val="none"/>
          <w:lang w:val="en-US" w:eastAsia="zh-CN" w:bidi="ar-SA"/>
        </w:rPr>
        <w:t>1.8.4 售后服务要求：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需在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lang w:val="en-US" w:eastAsia="zh-CN"/>
        </w:rPr>
        <w:t>甲方的需求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小时解决问题和</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提出的合理要求。</w:t>
      </w:r>
    </w:p>
    <w:p>
      <w:pPr>
        <w:widowControl/>
        <w:adjustRightInd w:val="0"/>
        <w:snapToGrid w:val="0"/>
        <w:spacing w:line="480" w:lineRule="exact"/>
        <w:ind w:left="0" w:leftChars="0" w:firstLine="480" w:firstLineChars="200"/>
        <w:jc w:val="both"/>
        <w:rPr>
          <w:rFonts w:hint="eastAsia" w:ascii="仿宋" w:hAnsi="仿宋" w:eastAsia="仿宋" w:cs="Times New Roman"/>
          <w:b w:val="0"/>
          <w:bCs/>
          <w:snapToGrid/>
          <w:color w:val="auto"/>
          <w:kern w:val="2"/>
          <w:sz w:val="24"/>
          <w:szCs w:val="24"/>
          <w:highlight w:val="none"/>
          <w:lang w:val="en-US" w:eastAsia="zh-CN" w:bidi="ar-SA"/>
        </w:rPr>
      </w:pPr>
    </w:p>
    <w:p>
      <w:pPr>
        <w:bidi w:val="0"/>
        <w:rPr>
          <w:rFonts w:eastAsia="宋体"/>
          <w:color w:val="auto"/>
          <w:highlight w:val="none"/>
        </w:rPr>
      </w:pPr>
      <w:bookmarkStart w:id="419" w:name="_Toc16021"/>
      <w:bookmarkStart w:id="420" w:name="_Toc28375"/>
      <w:bookmarkStart w:id="421" w:name="_Toc15583"/>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 xml:space="preserve">9 </w:t>
      </w:r>
      <w:r>
        <w:rPr>
          <w:rFonts w:hint="eastAsia" w:ascii="仿宋" w:hAnsi="仿宋" w:eastAsia="仿宋"/>
          <w:b/>
          <w:color w:val="auto"/>
          <w:sz w:val="24"/>
          <w:highlight w:val="none"/>
        </w:rPr>
        <w:t>合同争议的解决</w:t>
      </w:r>
      <w:bookmarkEnd w:id="419"/>
      <w:bookmarkEnd w:id="420"/>
      <w:bookmarkEnd w:id="421"/>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w:t>
      </w:r>
      <w:r>
        <w:rPr>
          <w:rFonts w:hint="eastAsia" w:ascii="仿宋" w:hAnsi="仿宋" w:eastAsia="仿宋"/>
          <w:color w:val="auto"/>
          <w:sz w:val="24"/>
          <w:highlight w:val="none"/>
          <w:u w:val="single"/>
          <w:lang w:val="en-US" w:eastAsia="zh-CN"/>
        </w:rPr>
        <w:t>第1.9.2</w:t>
      </w:r>
      <w:r>
        <w:rPr>
          <w:rFonts w:hint="eastAsia" w:ascii="仿宋" w:hAnsi="仿宋" w:eastAsia="仿宋"/>
          <w:color w:val="auto"/>
          <w:sz w:val="24"/>
          <w:highlight w:val="none"/>
        </w:rPr>
        <w:t>条款规定的方式解决：</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.1 将争议提交</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裁决；</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b/>
          <w:color w:val="auto"/>
          <w:sz w:val="24"/>
          <w:highlight w:val="none"/>
          <w:lang w:val="en-US"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.2 向</w:t>
      </w:r>
      <w:r>
        <w:rPr>
          <w:rFonts w:hint="eastAsia" w:ascii="仿宋" w:hAnsi="仿宋" w:eastAsia="仿宋"/>
          <w:i/>
          <w:iCs/>
          <w:color w:val="auto"/>
          <w:sz w:val="24"/>
          <w:highlight w:val="none"/>
          <w:u w:val="single"/>
        </w:rPr>
        <w:t>向甲方所在地</w:t>
      </w:r>
      <w:r>
        <w:rPr>
          <w:rFonts w:hint="eastAsia" w:ascii="仿宋" w:hAnsi="仿宋" w:eastAsia="仿宋"/>
          <w:color w:val="auto"/>
          <w:sz w:val="24"/>
          <w:highlight w:val="none"/>
        </w:rPr>
        <w:t>人民法院起诉。</w:t>
      </w:r>
      <w:bookmarkStart w:id="422" w:name="_Toc7245"/>
      <w:bookmarkStart w:id="423" w:name="_Toc15322"/>
      <w:bookmarkStart w:id="424" w:name="_Toc11173"/>
    </w:p>
    <w:p>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outlineLvl w:val="1"/>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br w:type="textWrapping"/>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 xml:space="preserve"> 合同生效</w:t>
      </w:r>
      <w:bookmarkEnd w:id="422"/>
      <w:bookmarkEnd w:id="423"/>
      <w:bookmarkEnd w:id="424"/>
      <w:r>
        <w:rPr>
          <w:rFonts w:hint="eastAsia" w:ascii="仿宋" w:hAnsi="仿宋" w:eastAsia="仿宋"/>
          <w:b/>
          <w:color w:val="auto"/>
          <w:sz w:val="24"/>
          <w:highlight w:val="none"/>
          <w:lang w:val="en-US" w:eastAsia="zh-CN"/>
        </w:rPr>
        <w:t>及期限</w:t>
      </w:r>
    </w:p>
    <w:p>
      <w:pPr>
        <w:keepNext w:val="0"/>
        <w:keepLines w:val="0"/>
        <w:pageBreakBefore w:val="0"/>
        <w:tabs>
          <w:tab w:val="left" w:pos="41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color w:val="auto"/>
          <w:sz w:val="24"/>
          <w:highlight w:val="none"/>
          <w:lang w:eastAsia="zh-CN"/>
        </w:rPr>
      </w:pPr>
      <w:r>
        <w:rPr>
          <w:rFonts w:hint="eastAsia" w:ascii="仿宋" w:hAnsi="仿宋" w:eastAsia="仿宋"/>
          <w:color w:val="auto"/>
          <w:sz w:val="24"/>
          <w:highlight w:val="none"/>
        </w:rPr>
        <w:t>本合同自双方</w:t>
      </w:r>
      <w:r>
        <w:rPr>
          <w:rFonts w:hint="eastAsia" w:ascii="仿宋" w:hAnsi="仿宋" w:eastAsia="仿宋"/>
          <w:color w:val="auto"/>
          <w:sz w:val="24"/>
          <w:highlight w:val="none"/>
          <w:lang w:val="en-US" w:eastAsia="zh-CN"/>
        </w:rPr>
        <w:t>法定代表人或授权代表签字并加</w:t>
      </w:r>
      <w:r>
        <w:rPr>
          <w:rFonts w:hint="eastAsia" w:ascii="仿宋" w:hAnsi="仿宋" w:eastAsia="仿宋"/>
          <w:color w:val="auto"/>
          <w:sz w:val="24"/>
          <w:highlight w:val="none"/>
        </w:rPr>
        <w:t>盖</w:t>
      </w:r>
      <w:r>
        <w:rPr>
          <w:rFonts w:hint="eastAsia" w:ascii="仿宋" w:hAnsi="仿宋" w:eastAsia="仿宋"/>
          <w:color w:val="auto"/>
          <w:sz w:val="24"/>
          <w:highlight w:val="none"/>
          <w:lang w:val="en-US" w:eastAsia="zh-CN"/>
        </w:rPr>
        <w:t>单位公</w:t>
      </w:r>
      <w:r>
        <w:rPr>
          <w:rFonts w:hint="eastAsia" w:ascii="仿宋" w:hAnsi="仿宋" w:eastAsia="仿宋"/>
          <w:color w:val="auto"/>
          <w:sz w:val="24"/>
          <w:highlight w:val="none"/>
        </w:rPr>
        <w:t>章</w:t>
      </w:r>
      <w:r>
        <w:rPr>
          <w:rFonts w:hint="eastAsia" w:ascii="仿宋" w:hAnsi="仿宋" w:eastAsia="仿宋"/>
          <w:color w:val="auto"/>
          <w:sz w:val="24"/>
          <w:highlight w:val="none"/>
          <w:lang w:val="en-US" w:eastAsia="zh-CN"/>
        </w:rPr>
        <w:t>之日起</w:t>
      </w:r>
      <w:r>
        <w:rPr>
          <w:rFonts w:hint="eastAsia" w:ascii="仿宋" w:hAnsi="仿宋" w:eastAsia="仿宋"/>
          <w:color w:val="auto"/>
          <w:sz w:val="24"/>
          <w:highlight w:val="none"/>
        </w:rPr>
        <w:t>生效</w:t>
      </w:r>
      <w:r>
        <w:rPr>
          <w:rFonts w:hint="eastAsia" w:ascii="仿宋" w:hAnsi="仿宋" w:eastAsia="仿宋"/>
          <w:color w:val="auto"/>
          <w:sz w:val="24"/>
          <w:highlight w:val="none"/>
          <w:lang w:eastAsia="zh-CN"/>
        </w:rPr>
        <w:t>，服务期为     年，</w:t>
      </w:r>
      <w:r>
        <w:rPr>
          <w:rFonts w:hint="eastAsia" w:ascii="仿宋" w:hAnsi="仿宋" w:eastAsia="仿宋"/>
          <w:color w:val="auto"/>
          <w:sz w:val="24"/>
          <w:highlight w:val="none"/>
          <w:lang w:val="en-US" w:eastAsia="zh-CN"/>
        </w:rPr>
        <w:t>自    年    月    日至    年    月    日止</w:t>
      </w:r>
      <w:r>
        <w:rPr>
          <w:rFonts w:hint="eastAsia" w:ascii="仿宋" w:hAnsi="仿宋" w:eastAsia="仿宋" w:cs="Times New Roman"/>
          <w:color w:val="auto"/>
          <w:sz w:val="24"/>
          <w:szCs w:val="24"/>
          <w:highlight w:val="none"/>
          <w:lang w:val="en-US" w:eastAsia="zh-CN"/>
        </w:rPr>
        <w:t>或如合同期内采购总金额已达中标总价，合同自动终止，以二者中的先到时间为准</w:t>
      </w:r>
      <w:r>
        <w:rPr>
          <w:rFonts w:hint="eastAsia" w:ascii="仿宋" w:hAnsi="仿宋" w:eastAsia="仿宋"/>
          <w:color w:val="auto"/>
          <w:sz w:val="24"/>
          <w:highlight w:val="none"/>
          <w:lang w:eastAsia="zh-CN"/>
        </w:rPr>
        <w:t>。</w:t>
      </w:r>
    </w:p>
    <w:p>
      <w:pPr>
        <w:autoSpaceDE w:val="0"/>
        <w:autoSpaceDN w:val="0"/>
        <w:spacing w:line="560" w:lineRule="exact"/>
        <w:rPr>
          <w:rFonts w:ascii="仿宋" w:hAnsi="仿宋" w:eastAsia="仿宋"/>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地址</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en-US" w:eastAsia="zh-CN"/>
        </w:rPr>
        <w:t>地址</w:t>
      </w:r>
      <w:r>
        <w:rPr>
          <w:rFonts w:hint="eastAsia" w:ascii="仿宋" w:hAnsi="仿宋" w:eastAsia="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outlineLvl w:val="9"/>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第二部分 合同一般条款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 定义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“甲方”系指与中标供应商签署合同的采购人；采购人委托采购代理机构代表其与乙方签订合同的，采购人的授权委托书作为合同附件。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2.2 技术规范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2.3 知识产权</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2.4 包装和装运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w:t>
      </w:r>
      <w:r>
        <w:rPr>
          <w:rFonts w:hint="eastAsia" w:ascii="仿宋" w:hAnsi="仿宋" w:eastAsia="仿宋"/>
          <w:color w:val="auto"/>
          <w:sz w:val="24"/>
          <w:highlight w:val="none"/>
          <w:lang w:val="en-US" w:eastAsia="zh-CN"/>
        </w:rPr>
        <w:t>甲方指定仓库</w:t>
      </w:r>
      <w:r>
        <w:rPr>
          <w:rFonts w:ascii="仿宋" w:hAnsi="仿宋" w:eastAsia="仿宋"/>
          <w:color w:val="auto"/>
          <w:sz w:val="24"/>
          <w:highlight w:val="none"/>
        </w:rPr>
        <w:t>。由于包装不善所引起的货物锈蚀、损坏和损失等一切风险均由乙方承担。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2.4.</w:t>
      </w:r>
      <w:r>
        <w:rPr>
          <w:rFonts w:hint="eastAsia" w:ascii="仿宋" w:hAnsi="仿宋" w:eastAsia="仿宋"/>
          <w:color w:val="auto"/>
          <w:sz w:val="24"/>
          <w:highlight w:val="none"/>
          <w:lang w:val="en-US" w:eastAsia="zh-CN"/>
        </w:rPr>
        <w:t>3</w:t>
      </w:r>
      <w:r>
        <w:rPr>
          <w:rFonts w:ascii="仿宋" w:hAnsi="仿宋" w:eastAsia="仿宋"/>
          <w:color w:val="auto"/>
          <w:sz w:val="24"/>
          <w:highlight w:val="none"/>
        </w:rPr>
        <w:t xml:space="preserve">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2.5 履约检查和问题反馈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2.5.1</w:t>
      </w:r>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2.6 技术资料和保密义务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方有权依据合同约定和项目需要，向</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方了解有关情况，调阅有关资料等，</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方应予积极配合；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lang w:val="en-US" w:eastAsia="zh-CN"/>
        </w:rPr>
        <w:t>甲</w:t>
      </w:r>
      <w:r>
        <w:rPr>
          <w:rFonts w:hint="eastAsia" w:ascii="仿宋" w:hAnsi="仿宋" w:eastAsia="仿宋"/>
          <w:color w:val="auto"/>
          <w:sz w:val="24"/>
          <w:highlight w:val="none"/>
        </w:rPr>
        <w:t>方有义务妥善保管和保护由</w:t>
      </w:r>
      <w:r>
        <w:rPr>
          <w:rFonts w:hint="eastAsia" w:ascii="仿宋" w:hAnsi="仿宋" w:eastAsia="仿宋"/>
          <w:color w:val="auto"/>
          <w:sz w:val="24"/>
          <w:highlight w:val="none"/>
          <w:lang w:val="en-US" w:eastAsia="zh-CN"/>
        </w:rPr>
        <w:t>乙</w:t>
      </w:r>
      <w:r>
        <w:rPr>
          <w:rFonts w:hint="eastAsia" w:ascii="仿宋" w:hAnsi="仿宋" w:eastAsia="仿宋"/>
          <w:color w:val="auto"/>
          <w:sz w:val="24"/>
          <w:highlight w:val="none"/>
        </w:rPr>
        <w:t>方提供的前款信息和资料等；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rPr>
        <w:t>2.7 质量保证</w:t>
      </w:r>
      <w:r>
        <w:rPr>
          <w:rFonts w:hint="eastAsia" w:ascii="仿宋" w:hAnsi="仿宋" w:eastAsia="仿宋"/>
          <w:b/>
          <w:color w:val="auto"/>
          <w:sz w:val="24"/>
          <w:highlight w:val="none"/>
          <w:lang w:val="en-US" w:eastAsia="zh-CN"/>
        </w:rPr>
        <w:t>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2.7.1</w:t>
      </w:r>
      <w:r>
        <w:rPr>
          <w:rFonts w:hint="eastAsia" w:ascii="仿宋" w:hAnsi="仿宋" w:eastAsia="仿宋" w:cs="Times New Roman"/>
          <w:color w:val="auto"/>
          <w:sz w:val="24"/>
          <w:highlight w:val="none"/>
        </w:rPr>
        <w:t>产品包装质量：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（1）货物的包装由乙方提供，乙方（□回收/■不回收）包装物。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（2）乙方向甲方提供的产品，应采用专业的标准保护措施进行包装，包装应符合国家及</w:t>
      </w:r>
      <w:r>
        <w:rPr>
          <w:rFonts w:hint="eastAsia" w:ascii="仿宋" w:hAnsi="仿宋" w:eastAsia="仿宋" w:cs="Times New Roman"/>
          <w:color w:val="auto"/>
          <w:sz w:val="24"/>
          <w:highlight w:val="none"/>
          <w:lang w:val="en-US" w:eastAsia="zh-CN"/>
        </w:rPr>
        <w:t>浙江省</w:t>
      </w:r>
      <w:r>
        <w:rPr>
          <w:rFonts w:hint="eastAsia" w:ascii="仿宋" w:hAnsi="仿宋" w:eastAsia="仿宋" w:cs="Times New Roman"/>
          <w:color w:val="auto"/>
          <w:sz w:val="24"/>
          <w:highlight w:val="none"/>
        </w:rPr>
        <w:t>相关法律法规等的规定，并符合国家、地方及行业标准，使包装适应于远距离运输、防潮、防震、防锈和防粗暴装卸，确保产品安全无损运抵现场。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2.7.2</w:t>
      </w:r>
      <w:r>
        <w:rPr>
          <w:rFonts w:hint="eastAsia" w:ascii="仿宋" w:hAnsi="仿宋" w:eastAsia="仿宋" w:cs="Times New Roman"/>
          <w:color w:val="auto"/>
          <w:sz w:val="24"/>
          <w:highlight w:val="none"/>
        </w:rPr>
        <w:t>产品质量标准：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（1）乙方按甲方要求，设计、生产符合相关的法律法规规定及相关主管部门要求的产品。图案版权归甲方所有。乙方不得将合同产品出售赠与其他单位个人。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（2）乙方按甲方要求提供图样，生产前应与甲方确认最终版方案。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（3）乙方保证所交付产品的所有部件无任何材料和工艺上的质量问题。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（4）乙方生产过程中的残次品应妥善处理，不得流入市场。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2.8 货物的风险负担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2.9 延迟交货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2.10 合同变更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2.11 合同转让和分包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2.12 不可抗力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2.13 税费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2.14乙方破产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2.15 合同中止、终止</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2.16检验和验收</w:t>
      </w:r>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w:t>
      </w:r>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w:t>
      </w:r>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2.17 通知和送达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2.18 计量单位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2.19 合同使用的文字和适用的法律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2.2</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合同份数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rPr>
          <w:rFonts w:hint="eastAsia" w:ascii="仿宋" w:hAnsi="仿宋" w:eastAsia="仿宋"/>
          <w:b/>
          <w:color w:val="auto"/>
          <w:szCs w:val="24"/>
          <w:highlight w:val="none"/>
        </w:rPr>
      </w:pPr>
      <w:r>
        <w:rPr>
          <w:rFonts w:hint="eastAsia" w:ascii="仿宋" w:hAnsi="仿宋" w:eastAsia="仿宋"/>
          <w:b/>
          <w:color w:val="auto"/>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第三部分  合同专用条款</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rFonts w:eastAsia="宋体"/>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keepNext w:val="0"/>
              <w:keepLines w:val="0"/>
              <w:suppressLineNumbers w:val="0"/>
              <w:spacing w:before="0" w:beforeAutospacing="0" w:after="0" w:afterAutospacing="0" w:line="360" w:lineRule="auto"/>
              <w:ind w:left="0" w:right="0"/>
              <w:jc w:val="center"/>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 xml:space="preserve">.1 </w:t>
            </w:r>
          </w:p>
        </w:tc>
        <w:tc>
          <w:tcPr>
            <w:tcW w:w="8275"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预付款比例、支付方式、时间: 合同生效以及具备实施条件后5个工作日内支付中标金额的40%，如乙方明确表示甲方不需支付预付款的，甲方则不予支付。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.2</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s="仿宋"/>
                <w:color w:val="auto"/>
                <w:sz w:val="24"/>
                <w:szCs w:val="24"/>
                <w:highlight w:val="none"/>
                <w:lang w:val="en-US" w:eastAsia="zh-CN"/>
              </w:rPr>
              <w:t>（如有预付款）在第一个月度结算款中进行抵扣，第一个月度货款不足抵扣，在第二月度付款中继续抵扣。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default" w:ascii="仿宋" w:hAnsi="仿宋" w:eastAsia="仿宋"/>
                <w:color w:val="auto"/>
                <w:sz w:val="24"/>
                <w:highlight w:val="none"/>
              </w:rPr>
              <w:t xml:space="preserve">.3 </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lang w:val="en-US" w:eastAsia="zh-CN"/>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eastAsia="zh-CN"/>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2</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1.5.2.1费用结算及支付：</w:t>
            </w:r>
            <w:r>
              <w:rPr>
                <w:rFonts w:hint="eastAsia" w:ascii="仿宋" w:hAnsi="仿宋" w:eastAsia="仿宋" w:cs="仿宋"/>
                <w:color w:val="auto"/>
                <w:sz w:val="24"/>
                <w:szCs w:val="24"/>
                <w:highlight w:val="none"/>
                <w:lang w:val="en-US" w:eastAsia="zh-CN"/>
              </w:rPr>
              <w:t>甲方根据每月实际采购数量进行结算。乙方提供</w:t>
            </w:r>
            <w:r>
              <w:rPr>
                <w:rFonts w:hint="eastAsia" w:ascii="仿宋" w:hAnsi="仿宋" w:eastAsia="仿宋" w:cs="仿宋"/>
                <w:color w:val="auto"/>
                <w:sz w:val="24"/>
                <w:szCs w:val="24"/>
                <w:highlight w:val="none"/>
              </w:rPr>
              <w:t>结算清单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经双方核对无误后</w:t>
            </w:r>
            <w:r>
              <w:rPr>
                <w:rFonts w:hint="eastAsia" w:ascii="仿宋" w:hAnsi="仿宋" w:eastAsia="仿宋" w:cs="仿宋"/>
                <w:color w:val="auto"/>
                <w:sz w:val="24"/>
                <w:szCs w:val="24"/>
                <w:highlight w:val="none"/>
              </w:rPr>
              <w:t>开具正式合格</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发票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方可</w:t>
            </w:r>
            <w:r>
              <w:rPr>
                <w:rFonts w:hint="eastAsia" w:ascii="仿宋" w:hAnsi="仿宋" w:eastAsia="仿宋" w:cs="仿宋"/>
                <w:color w:val="auto"/>
                <w:sz w:val="24"/>
                <w:szCs w:val="24"/>
                <w:highlight w:val="none"/>
              </w:rPr>
              <w:t>进行入库，入库后</w:t>
            </w:r>
            <w:r>
              <w:rPr>
                <w:rFonts w:hint="eastAsia" w:ascii="仿宋" w:hAnsi="仿宋" w:eastAsia="仿宋" w:cs="仿宋"/>
                <w:color w:val="auto"/>
                <w:sz w:val="24"/>
                <w:szCs w:val="24"/>
                <w:highlight w:val="none"/>
                <w:lang w:val="en-US" w:eastAsia="zh-CN"/>
              </w:rPr>
              <w:t>付款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承诺其开具发票的形式与内容真实、合法、准确、完整、有效，不开具或开具不合格发票的，</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有权延迟支付应付款项且不承担违约责任，直至</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开具合格的经</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审核无误的发票，在此期间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仍应按照合同的约定履行合同的义务。</w:t>
            </w:r>
          </w:p>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1.5.2.2</w:t>
            </w:r>
            <w:r>
              <w:rPr>
                <w:rFonts w:hint="eastAsia" w:ascii="仿宋" w:hAnsi="仿宋" w:eastAsia="仿宋"/>
                <w:color w:val="auto"/>
                <w:sz w:val="24"/>
                <w:highlight w:val="none"/>
                <w:lang w:val="en-US" w:eastAsia="zh-CN"/>
              </w:rPr>
              <w:t>乙方承诺其开具发票的形式与内容真实、合法、准确、完整、有效，不开具或开具不合格发票的，甲方有权延迟支付对应款项且不承担违约责任，直至乙方开具合格的经甲方审核无误的发票，在此期间乙方仍应按照合同的约定履行合同的义务。</w:t>
            </w:r>
          </w:p>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1.5.2.3</w:t>
            </w:r>
            <w:r>
              <w:rPr>
                <w:rFonts w:hint="eastAsia" w:ascii="仿宋" w:hAnsi="仿宋" w:eastAsia="仿宋"/>
                <w:color w:val="auto"/>
                <w:sz w:val="24"/>
                <w:highlight w:val="none"/>
                <w:lang w:val="en-US" w:eastAsia="zh-CN"/>
              </w:rPr>
              <w:t>在甲方支付费用前，双方对本合同的履行或部分履行存有争议的，甲方有权中止支付对应款项且不构成违约；待争议解决后，按双方协商结果支付。</w:t>
            </w:r>
          </w:p>
          <w:p>
            <w:pPr>
              <w:spacing w:line="360" w:lineRule="auto"/>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1.5.2.4</w:t>
            </w:r>
            <w:r>
              <w:rPr>
                <w:rFonts w:hint="eastAsia" w:ascii="仿宋" w:hAnsi="仿宋" w:eastAsia="仿宋"/>
                <w:color w:val="auto"/>
                <w:sz w:val="24"/>
                <w:highlight w:val="none"/>
                <w:lang w:val="en-US" w:eastAsia="zh-CN"/>
              </w:rPr>
              <w:t>乙方所承担的违约责任所对应的金额，甲方有权在待支付费用中扣除，乙方应按照扣款后的金额开具符合等额有效的增值税发票，甲方亦可另行向乙方主张要求支付。</w:t>
            </w:r>
          </w:p>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1.7.6</w:t>
            </w:r>
          </w:p>
        </w:tc>
        <w:tc>
          <w:tcPr>
            <w:tcW w:w="827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1.7.6.1除本合同另有约定的外，</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存在如下违约情况时，</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有权单方面解除合同并要求</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按照合同总价30%向</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支付违约金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如前述违约金不足以弥补</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因此所遭受的损失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rPr>
              <w:t>应予全额补足</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当月存在3次及以上在</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派单后</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产品逾期交货超过10个工作日的，但法定不可抗力因素或有特殊情况需与</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商议后经</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同意后方可延迟的情形除外；</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交付的货物（服务）存在数量短缺、交付</w:t>
            </w:r>
            <w:r>
              <w:rPr>
                <w:rFonts w:hint="eastAsia" w:ascii="仿宋" w:hAnsi="仿宋" w:eastAsia="仿宋" w:cs="Times New Roman"/>
                <w:color w:val="auto"/>
                <w:sz w:val="24"/>
                <w:highlight w:val="none"/>
                <w:lang w:val="en-US" w:eastAsia="zh-CN"/>
              </w:rPr>
              <w:t>的名称/材质/规格型号/质量等</w:t>
            </w:r>
            <w:r>
              <w:rPr>
                <w:rFonts w:hint="eastAsia" w:ascii="仿宋" w:hAnsi="仿宋" w:eastAsia="仿宋" w:cs="Times New Roman"/>
                <w:color w:val="auto"/>
                <w:sz w:val="24"/>
                <w:highlight w:val="none"/>
              </w:rPr>
              <w:t>不符</w:t>
            </w:r>
            <w:r>
              <w:rPr>
                <w:rFonts w:hint="eastAsia" w:ascii="仿宋" w:hAnsi="仿宋" w:eastAsia="仿宋" w:cs="Times New Roman"/>
                <w:color w:val="auto"/>
                <w:sz w:val="24"/>
                <w:highlight w:val="none"/>
                <w:lang w:val="en-US" w:eastAsia="zh-CN"/>
              </w:rPr>
              <w:t>的情形</w:t>
            </w:r>
            <w:r>
              <w:rPr>
                <w:rFonts w:hint="eastAsia" w:ascii="仿宋" w:hAnsi="仿宋" w:eastAsia="仿宋" w:cs="Times New Roman"/>
                <w:color w:val="auto"/>
                <w:sz w:val="24"/>
                <w:highlight w:val="none"/>
              </w:rPr>
              <w:t>，或</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就前述情况向</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提出异议后，</w:t>
            </w:r>
            <w:r>
              <w:rPr>
                <w:rFonts w:hint="eastAsia" w:ascii="仿宋" w:hAnsi="仿宋" w:eastAsia="仿宋" w:cs="Times New Roman"/>
                <w:color w:val="auto"/>
                <w:sz w:val="24"/>
                <w:highlight w:val="none"/>
                <w:lang w:eastAsia="zh-CN"/>
              </w:rPr>
              <w:t>乙方</w:t>
            </w:r>
            <w:r>
              <w:rPr>
                <w:rFonts w:hint="eastAsia" w:ascii="仿宋" w:hAnsi="仿宋" w:eastAsia="仿宋" w:cs="Times New Roman"/>
                <w:color w:val="auto"/>
                <w:sz w:val="24"/>
                <w:highlight w:val="none"/>
              </w:rPr>
              <w:t>未按照</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要求立即退换货的</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或退换货后再行提供的货物仍存在前述情形的，总共累计5次及以上</w:t>
            </w:r>
            <w:r>
              <w:rPr>
                <w:rFonts w:hint="eastAsia" w:ascii="仿宋" w:hAnsi="仿宋" w:eastAsia="仿宋" w:cs="Times New Roman"/>
                <w:color w:val="auto"/>
                <w:sz w:val="24"/>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1.7.6.2.</w:t>
            </w:r>
            <w:r>
              <w:rPr>
                <w:rFonts w:hint="eastAsia" w:ascii="仿宋" w:hAnsi="仿宋" w:eastAsia="仿宋" w:cs="Times New Roman"/>
                <w:color w:val="auto"/>
                <w:sz w:val="24"/>
                <w:highlight w:val="none"/>
              </w:rPr>
              <w:t>乙方如有下列情形的，甲方有权调查核实，经核实确有下列违约行为的，在甲方对乙方违约而采取的任何补救措施不受影响的情况下，根据情节轻重，甲方可采取以下一种或者几种方式追究乙方违约责任：通报批评、解除合同</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要求支付违约金</w:t>
            </w:r>
            <w:r>
              <w:rPr>
                <w:rFonts w:hint="eastAsia" w:ascii="仿宋" w:hAnsi="仿宋" w:eastAsia="仿宋" w:cs="Times New Roman"/>
                <w:color w:val="auto"/>
                <w:sz w:val="24"/>
                <w:highlight w:val="none"/>
              </w:rPr>
              <w:t>。如因乙方的违约造成甲方的损失，乙方应赔偿相应损失。</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r>
              <w:rPr>
                <w:rFonts w:hint="eastAsia" w:ascii="仿宋" w:hAnsi="仿宋" w:eastAsia="仿宋" w:cs="Times New Roman"/>
                <w:color w:val="auto"/>
                <w:sz w:val="24"/>
                <w:highlight w:val="none"/>
                <w:lang w:val="en-US" w:eastAsia="zh-CN"/>
              </w:rPr>
              <w:t>发生</w:t>
            </w:r>
            <w:r>
              <w:rPr>
                <w:rFonts w:hint="eastAsia" w:ascii="仿宋" w:hAnsi="仿宋" w:eastAsia="仿宋" w:cs="Times New Roman"/>
                <w:color w:val="auto"/>
                <w:sz w:val="24"/>
                <w:highlight w:val="none"/>
              </w:rPr>
              <w:t>对乙方有效投诉记录；</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（2）乙方超过合同承诺的价格和费用标准向</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收取费用的；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（3）未经甲方同意，乙方擅自将</w:t>
            </w:r>
            <w:r>
              <w:rPr>
                <w:rFonts w:hint="eastAsia" w:ascii="仿宋" w:hAnsi="仿宋" w:eastAsia="仿宋" w:cs="Times New Roman"/>
                <w:color w:val="auto"/>
                <w:sz w:val="24"/>
                <w:highlight w:val="none"/>
                <w:lang w:val="en-US" w:eastAsia="zh-CN"/>
              </w:rPr>
              <w:t>定制</w:t>
            </w:r>
            <w:r>
              <w:rPr>
                <w:rFonts w:hint="eastAsia" w:ascii="仿宋" w:hAnsi="仿宋" w:eastAsia="仿宋" w:cs="Times New Roman"/>
                <w:color w:val="auto"/>
                <w:sz w:val="24"/>
                <w:highlight w:val="none"/>
              </w:rPr>
              <w:t>业务转包给其他</w:t>
            </w:r>
            <w:r>
              <w:rPr>
                <w:rFonts w:hint="eastAsia" w:ascii="仿宋" w:hAnsi="仿宋" w:eastAsia="仿宋" w:cs="Times New Roman"/>
                <w:color w:val="auto"/>
                <w:sz w:val="24"/>
                <w:highlight w:val="none"/>
                <w:lang w:val="en-US" w:eastAsia="zh-CN"/>
              </w:rPr>
              <w:t>厂家</w:t>
            </w:r>
            <w:r>
              <w:rPr>
                <w:rFonts w:hint="eastAsia" w:ascii="仿宋" w:hAnsi="仿宋" w:eastAsia="仿宋" w:cs="Times New Roman"/>
                <w:color w:val="auto"/>
                <w:sz w:val="24"/>
                <w:highlight w:val="none"/>
              </w:rPr>
              <w:t>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（4）乙方所供</w:t>
            </w:r>
            <w:r>
              <w:rPr>
                <w:rFonts w:hint="eastAsia" w:ascii="仿宋" w:hAnsi="仿宋" w:eastAsia="仿宋" w:cs="Times New Roman"/>
                <w:color w:val="auto"/>
                <w:sz w:val="24"/>
                <w:highlight w:val="none"/>
                <w:lang w:val="en-US" w:eastAsia="zh-CN"/>
              </w:rPr>
              <w:t>产品</w:t>
            </w:r>
            <w:r>
              <w:rPr>
                <w:rFonts w:hint="eastAsia" w:ascii="仿宋" w:hAnsi="仿宋" w:eastAsia="仿宋" w:cs="Times New Roman"/>
                <w:color w:val="auto"/>
                <w:sz w:val="24"/>
                <w:highlight w:val="none"/>
              </w:rPr>
              <w:t>与招标文件不符合的</w:t>
            </w:r>
            <w:r>
              <w:rPr>
                <w:rFonts w:hint="eastAsia" w:ascii="仿宋" w:hAnsi="仿宋" w:eastAsia="仿宋" w:cs="Times New Roman"/>
                <w:color w:val="auto"/>
                <w:sz w:val="24"/>
                <w:highlight w:val="none"/>
                <w:lang w:val="en-US" w:eastAsia="zh-CN"/>
              </w:rPr>
              <w:t>质量标准</w:t>
            </w:r>
            <w:r>
              <w:rPr>
                <w:rFonts w:hint="eastAsia" w:ascii="仿宋" w:hAnsi="仿宋" w:eastAsia="仿宋" w:cs="Times New Roman"/>
                <w:color w:val="auto"/>
                <w:sz w:val="24"/>
                <w:highlight w:val="none"/>
              </w:rPr>
              <w:t>或不履行其报价文件的承诺</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包括但不限于</w:t>
            </w:r>
            <w:r>
              <w:rPr>
                <w:rFonts w:hint="eastAsia" w:ascii="仿宋" w:hAnsi="仿宋" w:eastAsia="仿宋" w:cs="Times New Roman"/>
                <w:color w:val="auto"/>
                <w:sz w:val="24"/>
                <w:highlight w:val="none"/>
              </w:rPr>
              <w:t>使用达不到质量要求的</w:t>
            </w:r>
            <w:r>
              <w:rPr>
                <w:rFonts w:hint="eastAsia" w:ascii="仿宋" w:hAnsi="仿宋" w:eastAsia="仿宋" w:cs="Times New Roman"/>
                <w:color w:val="auto"/>
                <w:sz w:val="24"/>
                <w:highlight w:val="none"/>
                <w:lang w:val="en-US" w:eastAsia="zh-CN"/>
              </w:rPr>
              <w:t>原材料制备等）</w:t>
            </w:r>
            <w:r>
              <w:rPr>
                <w:rFonts w:hint="eastAsia" w:ascii="仿宋" w:hAnsi="仿宋" w:eastAsia="仿宋" w:cs="Times New Roman"/>
                <w:color w:val="auto"/>
                <w:sz w:val="24"/>
                <w:highlight w:val="none"/>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（5）因乙方</w:t>
            </w:r>
            <w:r>
              <w:rPr>
                <w:rFonts w:hint="eastAsia" w:ascii="仿宋" w:hAnsi="仿宋" w:eastAsia="仿宋" w:cs="Times New Roman"/>
                <w:color w:val="auto"/>
                <w:sz w:val="24"/>
                <w:highlight w:val="none"/>
                <w:lang w:val="en-US" w:eastAsia="zh-CN"/>
              </w:rPr>
              <w:t>货物出现</w:t>
            </w:r>
            <w:r>
              <w:rPr>
                <w:rFonts w:hint="eastAsia" w:ascii="仿宋" w:hAnsi="仿宋" w:eastAsia="仿宋" w:cs="Times New Roman"/>
                <w:color w:val="auto"/>
                <w:sz w:val="24"/>
                <w:highlight w:val="none"/>
              </w:rPr>
              <w:t>质量问题</w:t>
            </w:r>
            <w:r>
              <w:rPr>
                <w:rFonts w:hint="eastAsia" w:ascii="仿宋" w:hAnsi="仿宋" w:eastAsia="仿宋" w:cs="Times New Roman"/>
                <w:color w:val="auto"/>
                <w:sz w:val="24"/>
                <w:highlight w:val="none"/>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eastAsia="宋体"/>
                <w:color w:val="auto"/>
                <w:highlight w:val="none"/>
              </w:rPr>
            </w:pPr>
            <w:r>
              <w:rPr>
                <w:rFonts w:hint="eastAsia" w:ascii="仿宋" w:hAnsi="仿宋" w:eastAsia="仿宋" w:cs="Times New Roman"/>
                <w:color w:val="auto"/>
                <w:sz w:val="24"/>
                <w:highlight w:val="none"/>
              </w:rPr>
              <w:t>（6）如乙方提供的货物和服务无法满足甲方的要求，经</w:t>
            </w:r>
            <w:r>
              <w:rPr>
                <w:rFonts w:hint="eastAsia" w:ascii="仿宋" w:hAnsi="仿宋" w:eastAsia="仿宋" w:cs="Times New Roman"/>
                <w:color w:val="auto"/>
                <w:sz w:val="24"/>
                <w:highlight w:val="none"/>
                <w:lang w:val="en-US" w:eastAsia="zh-CN"/>
              </w:rPr>
              <w:t>甲方</w:t>
            </w:r>
            <w:r>
              <w:rPr>
                <w:rFonts w:hint="eastAsia" w:ascii="仿宋" w:hAnsi="仿宋" w:eastAsia="仿宋" w:cs="Times New Roman"/>
                <w:color w:val="auto"/>
                <w:sz w:val="24"/>
                <w:highlight w:val="none"/>
              </w:rPr>
              <w:t>指出仍得不到改善的，甲方可单方解除合同</w:t>
            </w:r>
            <w:r>
              <w:rPr>
                <w:rFonts w:hint="eastAsia" w:ascii="仿宋" w:hAnsi="仿宋" w:eastAsia="仿宋" w:cs="Times New Roman"/>
                <w:color w:val="auto"/>
                <w:sz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仿宋" w:hAnsi="仿宋" w:eastAsia="仿宋"/>
                <w:color w:val="auto"/>
                <w:sz w:val="24"/>
                <w:highlight w:val="none"/>
                <w:lang w:eastAsia="zh-CN"/>
              </w:rPr>
            </w:pPr>
            <w:r>
              <w:rPr>
                <w:rFonts w:hint="eastAsia" w:ascii="仿宋" w:hAnsi="仿宋" w:eastAsia="仿宋" w:cs="Times New Roman"/>
                <w:color w:val="auto"/>
                <w:sz w:val="24"/>
                <w:highlight w:val="none"/>
                <w:lang w:val="en-US" w:eastAsia="zh-CN"/>
              </w:rPr>
              <w:t>如发生上述情形之一或同时发生上述几种情形的，乙方应向甲方支付对应货物涉及订单总金额的20%，并返还甲方已支付的对应货物的款项；如发生上述情形之一或同时发生上述几种情形总共累计3次及以上，甲方有权视情形单方解除本合同，要求乙方支付</w:t>
            </w:r>
            <w:r>
              <w:rPr>
                <w:rFonts w:hint="eastAsia" w:ascii="仿宋" w:hAnsi="仿宋" w:eastAsia="仿宋"/>
                <w:color w:val="auto"/>
                <w:sz w:val="24"/>
                <w:highlight w:val="none"/>
                <w:lang w:val="en-US" w:eastAsia="zh-CN"/>
              </w:rPr>
              <w:t>所有订单总金额3</w:t>
            </w:r>
            <w:r>
              <w:rPr>
                <w:rFonts w:hint="eastAsia" w:ascii="仿宋" w:hAnsi="仿宋" w:eastAsia="仿宋"/>
                <w:color w:val="auto"/>
                <w:sz w:val="24"/>
                <w:highlight w:val="none"/>
              </w:rPr>
              <w:t>0%的违约金；如前述违约金不足以弥补</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因此所遭受的损失</w:t>
            </w:r>
            <w:r>
              <w:rPr>
                <w:rFonts w:hint="eastAsia" w:ascii="仿宋" w:hAnsi="仿宋" w:eastAsia="仿宋" w:cs="Times New Roman"/>
                <w:color w:val="auto"/>
                <w:sz w:val="24"/>
                <w:highlight w:val="none"/>
                <w:lang w:val="en-US" w:eastAsia="zh-CN"/>
              </w:rPr>
              <w:t>（该损失包括但不限于直接损失、间接损失以及甲方因维权而产生的诉讼费、律师费、保全费、保全担保费、公证费、鉴定费和执行费等一切损失）</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rPr>
              <w:t>应予全额补足</w:t>
            </w:r>
            <w:r>
              <w:rPr>
                <w:rFonts w:hint="eastAsia" w:ascii="仿宋" w:hAnsi="仿宋" w:eastAsia="仿宋"/>
                <w:color w:val="auto"/>
                <w:sz w:val="24"/>
                <w:highlight w:val="none"/>
                <w:lang w:eastAsia="zh-CN"/>
              </w:rPr>
              <w:t>。</w:t>
            </w:r>
          </w:p>
          <w:p>
            <w:pPr>
              <w:pStyle w:val="23"/>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1.7.6.3.乙方在合同期内有下列行为，造成不当的损失而产生的费用，要从当月度支付给乙方的费用中扣除：乙方要爱护与保管甲方的财产，如损坏甲方的设备设施等，按实际损失价值赔偿；有严重影响甲方有关科室的正常工作及甲方形象行为的，按实际损失价值赔偿。</w:t>
            </w:r>
          </w:p>
          <w:p>
            <w:pPr>
              <w:snapToGrid w:val="0"/>
              <w:spacing w:line="360" w:lineRule="auto"/>
              <w:ind w:firstLine="0" w:firstLineChars="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1.7.6.4除本合同另有约定的外，乙方未按照本合同约定履行其义务的，应向甲方支付货物涉及订单总金额的15%作为违约金；如该违约金不足以弥补甲方因此所遭受的全部损失（该损失包括但不限于直接损失、间接损失以及甲方因维权而产生的诉讼费、律师费、保全费、保全担保费、公证费、鉴定费和执行费等一切损失），乙方应予补足。</w:t>
            </w:r>
          </w:p>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1.8.2</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2.3.2</w:t>
            </w:r>
          </w:p>
        </w:tc>
        <w:tc>
          <w:tcPr>
            <w:tcW w:w="8275" w:type="dxa"/>
            <w:vAlign w:val="center"/>
          </w:tcPr>
          <w:p>
            <w:pPr>
              <w:keepNext w:val="0"/>
              <w:keepLines w:val="0"/>
              <w:suppressLineNumbers w:val="0"/>
              <w:spacing w:before="0" w:beforeAutospacing="0" w:after="0" w:afterAutospacing="0" w:line="360" w:lineRule="auto"/>
              <w:ind w:left="0" w:right="-420" w:right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所有货物知识产权归甲方所有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2.4.1</w:t>
            </w:r>
          </w:p>
        </w:tc>
        <w:tc>
          <w:tcPr>
            <w:tcW w:w="8275" w:type="dxa"/>
            <w:vAlign w:val="center"/>
          </w:tcPr>
          <w:p>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eastAsia="zh-CN"/>
              </w:rPr>
            </w:pPr>
            <w:r>
              <w:rPr>
                <w:rFonts w:hint="eastAsia" w:ascii="仿宋" w:hAnsi="仿宋" w:eastAsia="仿宋"/>
                <w:color w:val="auto"/>
                <w:sz w:val="24"/>
                <w:highlight w:val="none"/>
              </w:rPr>
              <w:t>2.4.</w:t>
            </w:r>
            <w:r>
              <w:rPr>
                <w:rFonts w:hint="eastAsia" w:ascii="仿宋" w:hAnsi="仿宋" w:eastAsia="仿宋"/>
                <w:color w:val="auto"/>
                <w:sz w:val="24"/>
                <w:highlight w:val="none"/>
                <w:lang w:val="en-US" w:eastAsia="zh-CN"/>
              </w:rPr>
              <w:t>3</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参照2.4.1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货物或者在途货物或者交付给第一承运人后的货物毁损、灭失的风险</w:t>
            </w:r>
            <w:r>
              <w:rPr>
                <w:rFonts w:hint="eastAsia" w:ascii="仿宋" w:hAnsi="仿宋" w:eastAsia="仿宋"/>
                <w:color w:val="auto"/>
                <w:sz w:val="24"/>
                <w:highlight w:val="none"/>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2.12.3</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2.12.4</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default" w:ascii="仿宋" w:hAnsi="仿宋" w:eastAsia="仿宋"/>
                <w:color w:val="auto"/>
                <w:sz w:val="24"/>
                <w:highlight w:val="none"/>
              </w:rPr>
              <w:t>受不可抗力影响的一方在不可抗力发生后，应在</w:t>
            </w:r>
            <w:r>
              <w:rPr>
                <w:rFonts w:hint="eastAsia" w:ascii="仿宋" w:hAnsi="仿宋" w:eastAsia="仿宋"/>
                <w:b/>
                <w:i w:val="0"/>
                <w:iCs/>
                <w:color w:val="auto"/>
                <w:sz w:val="24"/>
                <w:highlight w:val="none"/>
                <w:u w:val="single"/>
                <w:lang w:val="en-US" w:eastAsia="zh-CN"/>
              </w:rPr>
              <w:t>发生不可抗力事件后的5个工作日内以</w:t>
            </w:r>
            <w:r>
              <w:rPr>
                <w:rFonts w:hint="eastAsia" w:ascii="仿宋" w:hAnsi="仿宋" w:eastAsia="仿宋"/>
                <w:i w:val="0"/>
                <w:iCs/>
                <w:color w:val="auto"/>
                <w:sz w:val="24"/>
                <w:highlight w:val="none"/>
              </w:rPr>
              <w:t>书面形式通知对方当事人，并在</w:t>
            </w:r>
            <w:r>
              <w:rPr>
                <w:rFonts w:hint="eastAsia" w:ascii="仿宋" w:hAnsi="仿宋" w:eastAsia="仿宋"/>
                <w:b/>
                <w:i w:val="0"/>
                <w:iCs/>
                <w:color w:val="auto"/>
                <w:sz w:val="24"/>
                <w:highlight w:val="none"/>
                <w:u w:val="single"/>
                <w:lang w:val="en-US" w:eastAsia="zh-CN"/>
              </w:rPr>
              <w:t>5个工作日</w:t>
            </w:r>
            <w:r>
              <w:rPr>
                <w:rFonts w:hint="eastAsia" w:ascii="仿宋" w:hAnsi="仿宋" w:eastAsia="仿宋"/>
                <w:i w:val="0"/>
                <w:iCs/>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2.16.1</w:t>
            </w:r>
          </w:p>
        </w:tc>
        <w:tc>
          <w:tcPr>
            <w:tcW w:w="8275" w:type="dxa"/>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20个工作日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default" w:ascii="仿宋" w:hAnsi="仿宋" w:eastAsia="仿宋"/>
                <w:color w:val="auto"/>
                <w:sz w:val="24"/>
                <w:highlight w:val="none"/>
              </w:rPr>
              <w:t>2.16.3</w:t>
            </w:r>
          </w:p>
        </w:tc>
        <w:tc>
          <w:tcPr>
            <w:tcW w:w="8275" w:type="dxa"/>
            <w:vAlign w:val="center"/>
          </w:tcPr>
          <w:p>
            <w:pPr>
              <w:keepNext w:val="0"/>
              <w:keepLines w:val="0"/>
              <w:suppressLineNumbers w:val="0"/>
              <w:spacing w:before="0" w:beforeAutospacing="0" w:after="0" w:afterAutospacing="0" w:line="360" w:lineRule="auto"/>
              <w:ind w:left="0" w:right="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rPr>
            </w:pPr>
            <w:r>
              <w:rPr>
                <w:rFonts w:hint="eastAsia" w:ascii="仿宋" w:hAnsi="仿宋" w:eastAsia="仿宋"/>
                <w:color w:val="auto"/>
                <w:sz w:val="24"/>
                <w:highlight w:val="none"/>
              </w:rPr>
              <w:t>2.20</w:t>
            </w:r>
          </w:p>
        </w:tc>
        <w:tc>
          <w:tcPr>
            <w:tcW w:w="8275" w:type="dxa"/>
          </w:tcPr>
          <w:p>
            <w:pPr>
              <w:keepNext w:val="0"/>
              <w:keepLines w:val="0"/>
              <w:suppressLineNumbers w:val="0"/>
              <w:spacing w:before="0" w:beforeAutospacing="0" w:after="0" w:afterAutospacing="0" w:line="360" w:lineRule="auto"/>
              <w:ind w:left="0" w:right="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本合同一式四份，甲方、乙方各执两份</w:t>
            </w:r>
          </w:p>
        </w:tc>
      </w:tr>
    </w:tbl>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合同附件1：</w:t>
      </w:r>
    </w:p>
    <w:p>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pPr>
        <w:snapToGrid w:val="0"/>
        <w:spacing w:line="300" w:lineRule="auto"/>
        <w:rPr>
          <w:rFonts w:ascii="仿宋" w:hAnsi="仿宋" w:eastAsia="仿宋"/>
          <w:b/>
          <w:color w:val="auto"/>
          <w:sz w:val="24"/>
          <w:highlight w:val="none"/>
        </w:rPr>
      </w:pPr>
    </w:p>
    <w:p>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w:t>
      </w:r>
      <w:r>
        <w:rPr>
          <w:rFonts w:hint="eastAsia" w:ascii="仿宋" w:hAnsi="仿宋" w:eastAsia="仿宋"/>
          <w:color w:val="auto"/>
          <w:sz w:val="24"/>
          <w:highlight w:val="none"/>
          <w:lang w:val="en-US" w:eastAsia="zh-CN"/>
        </w:rPr>
        <w:t>中国人民共和国</w:t>
      </w:r>
      <w:r>
        <w:rPr>
          <w:rFonts w:hint="eastAsia" w:ascii="仿宋" w:hAnsi="仿宋" w:eastAsia="仿宋"/>
          <w:color w:val="auto"/>
          <w:sz w:val="24"/>
          <w:highlight w:val="none"/>
        </w:rPr>
        <w:t>民法典》及后勤货物、服务、工程类合同约定购销合同产品。</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pPr>
        <w:snapToGrid w:val="0"/>
        <w:spacing w:line="300" w:lineRule="auto"/>
        <w:rPr>
          <w:rFonts w:ascii="仿宋" w:hAnsi="仿宋" w:eastAsia="仿宋"/>
          <w:color w:val="auto"/>
          <w:sz w:val="24"/>
          <w:highlight w:val="none"/>
        </w:rPr>
      </w:pP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pPr>
        <w:rPr>
          <w:color w:val="auto"/>
          <w:highlight w:val="none"/>
        </w:rPr>
      </w:pPr>
      <w:r>
        <w:rPr>
          <w:color w:val="auto"/>
          <w:highlight w:val="none"/>
        </w:rPr>
        <w:br w:type="page"/>
      </w:r>
    </w:p>
    <w:p>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3"/>
      <w:bookmarkEnd w:id="404"/>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bookmarkEnd w:id="405"/>
    </w:p>
    <w:p>
      <w:pPr>
        <w:rPr>
          <w:rFonts w:ascii="仿宋" w:hAnsi="仿宋" w:eastAsia="仿宋" w:cs="仿宋"/>
          <w:color w:val="auto"/>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pPr>
        <w:rPr>
          <w:rFonts w:ascii="仿宋" w:hAnsi="仿宋" w:eastAsia="仿宋" w:cs="仿宋"/>
          <w:color w:val="auto"/>
          <w:highlight w:val="none"/>
        </w:rPr>
      </w:pPr>
    </w:p>
    <w:p>
      <w:pPr>
        <w:pStyle w:val="24"/>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rPr>
          <w:rFonts w:ascii="仿宋" w:hAnsi="仿宋" w:eastAsia="仿宋" w:cs="仿宋"/>
          <w:color w:val="auto"/>
          <w:highlight w:val="none"/>
        </w:rPr>
      </w:pP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24"/>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zh-CN"/>
        </w:rPr>
        <w:t>月日</w:t>
      </w:r>
    </w:p>
    <w:p>
      <w:pPr>
        <w:snapToGrid w:val="0"/>
        <w:spacing w:line="360" w:lineRule="auto"/>
        <w:ind w:right="480"/>
        <w:jc w:val="left"/>
        <w:rPr>
          <w:rFonts w:ascii="仿宋" w:hAnsi="仿宋" w:eastAsia="仿宋" w:cs="仿宋"/>
          <w:b/>
          <w:color w:val="auto"/>
          <w:kern w:val="0"/>
          <w:sz w:val="32"/>
          <w:szCs w:val="32"/>
          <w:highlight w:val="none"/>
        </w:rPr>
      </w:pPr>
      <w:r>
        <w:rPr>
          <w:rFonts w:hint="eastAsia" w:ascii="仿宋" w:hAnsi="仿宋" w:eastAsia="仿宋" w:cs="仿宋"/>
          <w:b w:val="0"/>
          <w:bCs/>
          <w:color w:val="auto"/>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eastAsia="仿宋" w:cs="仿宋"/>
          <w:color w:val="auto"/>
          <w:sz w:val="24"/>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ascii="仿宋" w:hAnsi="仿宋" w:eastAsia="仿宋" w:cs="仿宋"/>
          <w:color w:val="auto"/>
          <w:highlight w:val="none"/>
        </w:rPr>
      </w:pPr>
    </w:p>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lang w:val="en-US" w:eastAsia="zh-CN"/>
        </w:rPr>
        <w:t>技术响应表</w:t>
      </w:r>
      <w:r>
        <w:rPr>
          <w:rFonts w:hint="eastAsia" w:ascii="仿宋" w:hAnsi="仿宋" w:eastAsia="仿宋" w:cs="仿宋"/>
          <w:color w:val="auto"/>
          <w:sz w:val="24"/>
          <w:highlight w:val="none"/>
        </w:rPr>
        <w:t>……………………………………………………………………（页码）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pPr>
        <w:numPr>
          <w:ilvl w:val="0"/>
          <w:numId w:val="13"/>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我方参加你方组织的（项目名称）【招标编号：】招标的有关活动，并对此项目进行投标。为此：</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lang w:val="en-US" w:eastAsia="zh-CN"/>
        </w:rPr>
        <w:t>__</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bCs/>
          <w:color w:val="auto"/>
          <w:sz w:val="24"/>
          <w:highlight w:val="none"/>
        </w:rPr>
        <w:t>中小企业声明函；</w:t>
      </w:r>
    </w:p>
    <w:p>
      <w:pPr>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2.1.4本项目的特定资格要求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p>
    <w:p>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7技术响应表；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商务技术偏离表；</w:t>
      </w:r>
    </w:p>
    <w:p>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sz w:val="24"/>
          <w:highlight w:val="none"/>
          <w:lang w:val="en-US" w:eastAsia="zh-CN"/>
        </w:rPr>
        <w:t>报价明细表</w:t>
      </w:r>
    </w:p>
    <w:p>
      <w:pPr>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2.3.3投标报价分析说明（投标报价低于预算金额50%时，供应商应详细阐述不影响产品质量或诚信履约的具体原因）</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中标服务费支付承诺书和中标服务费结算信息表。</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napToGrid w:val="0"/>
        <w:spacing w:line="360" w:lineRule="exact"/>
        <w:ind w:firstLine="3600" w:firstLineChars="1500"/>
        <w:rPr>
          <w:rFonts w:ascii="仿宋" w:hAnsi="仿宋" w:eastAsia="仿宋" w:cs="仿宋"/>
          <w:color w:val="auto"/>
          <w:sz w:val="24"/>
          <w:highlight w:val="none"/>
        </w:rPr>
      </w:pPr>
    </w:p>
    <w:p>
      <w:pPr>
        <w:snapToGrid w:val="0"/>
        <w:spacing w:line="36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napToGrid w:val="0"/>
        <w:spacing w:line="36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lang w:eastAsia="zh-CN"/>
        </w:rPr>
        <w:t>杭州市第三人民医院</w:t>
      </w:r>
      <w:r>
        <w:rPr>
          <w:rFonts w:hint="eastAsia" w:ascii="仿宋" w:hAnsi="仿宋" w:eastAsia="仿宋" w:cs="仿宋"/>
          <w:color w:val="auto"/>
          <w:kern w:val="0"/>
          <w:sz w:val="24"/>
          <w:highlight w:val="none"/>
          <w:u w:val="single"/>
        </w:rPr>
        <w:t>、浙江国际招投标有限公司：</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7"/>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7"/>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57"/>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授权代表最近一个月在投标单位缴纳社保的参保证明</w:t>
      </w:r>
      <w:r>
        <w:rPr>
          <w:rFonts w:hint="eastAsia" w:ascii="仿宋" w:hAnsi="仿宋" w:eastAsia="仿宋" w:cs="仿宋"/>
          <w:b/>
          <w:color w:val="auto"/>
          <w:kern w:val="0"/>
          <w:sz w:val="32"/>
          <w:szCs w:val="32"/>
          <w:highlight w:val="none"/>
          <w:lang w:val="zh-CN"/>
        </w:rPr>
        <w:t>；</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pPr>
        <w:jc w:val="center"/>
        <w:rPr>
          <w:rFonts w:ascii="仿宋" w:hAnsi="仿宋" w:eastAsia="仿宋" w:cs="仿宋"/>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
                <w:color w:val="auto"/>
                <w:sz w:val="24"/>
                <w:highlight w:val="none"/>
              </w:rPr>
            </w:pP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color w:val="auto"/>
          <w:highlight w:val="none"/>
        </w:rPr>
      </w:pPr>
    </w:p>
    <w:p>
      <w:pP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lang w:val="zh-CN"/>
        </w:rPr>
        <w:t>技术响应表</w:t>
      </w:r>
    </w:p>
    <w:tbl>
      <w:tblPr>
        <w:tblStyle w:val="6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文件技术要求</w:t>
            </w:r>
          </w:p>
        </w:tc>
        <w:tc>
          <w:tcPr>
            <w:tcW w:w="2523"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投标响应技术参数</w:t>
            </w:r>
          </w:p>
        </w:tc>
        <w:tc>
          <w:tcPr>
            <w:tcW w:w="2561" w:type="dxa"/>
            <w:tcBorders>
              <w:top w:val="single" w:color="auto" w:sz="4" w:space="0"/>
              <w:left w:val="single" w:color="auto" w:sz="4" w:space="0"/>
              <w:bottom w:val="nil"/>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差异描述</w:t>
            </w:r>
          </w:p>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bl>
    <w:p>
      <w:pPr>
        <w:jc w:val="left"/>
        <w:rPr>
          <w:rFonts w:hint="eastAsia" w:ascii="仿宋_GB2312" w:hAnsi="仿宋" w:eastAsia="仿宋_GB2312" w:cs="仿宋_GB2312"/>
          <w:color w:val="auto"/>
          <w:kern w:val="0"/>
          <w:sz w:val="24"/>
          <w:highlight w:val="none"/>
        </w:rPr>
      </w:pPr>
    </w:p>
    <w:p>
      <w:pPr>
        <w:jc w:val="left"/>
        <w:rPr>
          <w:rFonts w:hint="eastAsia" w:ascii="仿宋_GB2312" w:hAnsi="仿宋" w:eastAsia="仿宋_GB2312" w:cs="仿宋_GB2312"/>
          <w:color w:val="auto"/>
          <w:kern w:val="0"/>
          <w:sz w:val="24"/>
          <w:highlight w:val="none"/>
        </w:rPr>
      </w:pP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numPr>
          <w:ilvl w:val="0"/>
          <w:numId w:val="0"/>
        </w:numPr>
        <w:spacing w:line="360" w:lineRule="auto"/>
        <w:ind w:right="420" w:rightChars="0"/>
        <w:rPr>
          <w:rFonts w:hint="eastAsia" w:ascii="仿宋" w:hAnsi="仿宋" w:eastAsia="仿宋" w:cs="仿宋"/>
          <w:color w:val="auto"/>
          <w:sz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lang w:val="zh-CN"/>
        </w:rPr>
        <w:t>、商务技术偏离表</w:t>
      </w:r>
    </w:p>
    <w:p>
      <w:pPr>
        <w:jc w:val="center"/>
        <w:rPr>
          <w:rFonts w:ascii="仿宋" w:hAnsi="仿宋" w:eastAsia="仿宋" w:cs="仿宋"/>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注：按本格式和要求提供。</w:t>
      </w:r>
      <w:r>
        <w:rPr>
          <w:rFonts w:hint="eastAsia" w:ascii="仿宋" w:hAnsi="仿宋" w:eastAsia="仿宋" w:cs="仿宋"/>
          <w:b/>
          <w:color w:val="auto"/>
          <w:kern w:val="0"/>
          <w:sz w:val="36"/>
          <w:szCs w:val="36"/>
          <w:highlight w:val="none"/>
        </w:rPr>
        <w:br w:type="page"/>
      </w:r>
    </w:p>
    <w:p>
      <w:pP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jc w:val="center"/>
        <w:rPr>
          <w:rFonts w:ascii="仿宋" w:hAnsi="仿宋" w:eastAsia="仿宋" w:cs="仿宋"/>
          <w:b/>
          <w:bCs/>
          <w:color w:val="auto"/>
          <w:sz w:val="28"/>
          <w:szCs w:val="28"/>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pStyle w:val="24"/>
        <w:spacing w:line="360" w:lineRule="auto"/>
        <w:ind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报价明细表</w:t>
      </w:r>
      <w:r>
        <w:rPr>
          <w:rFonts w:hint="eastAsia" w:ascii="仿宋" w:hAnsi="仿宋" w:eastAsia="仿宋" w:cs="仿宋"/>
          <w:color w:val="auto"/>
          <w:sz w:val="24"/>
          <w:highlight w:val="none"/>
        </w:rPr>
        <w:t>……………………………………………………………………（页码）</w:t>
      </w:r>
    </w:p>
    <w:p>
      <w:pPr>
        <w:pStyle w:val="24"/>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color w:val="auto"/>
          <w:sz w:val="24"/>
          <w:highlight w:val="none"/>
        </w:rPr>
        <w:t>………………………………………………………（页码）</w:t>
      </w:r>
    </w:p>
    <w:p>
      <w:pPr>
        <w:pStyle w:val="24"/>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中标服务费支付承诺书………………………………………………………（页码）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246"/>
        <w:gridCol w:w="19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22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eastAsia="zh-CN"/>
              </w:rPr>
              <w:t>备注</w:t>
            </w:r>
            <w:r>
              <w:rPr>
                <w:rFonts w:hint="eastAsia" w:ascii="仿宋_GB2312" w:hAnsi="仿宋" w:eastAsia="仿宋_GB2312"/>
                <w:b/>
                <w:color w:val="auto"/>
                <w:sz w:val="24"/>
                <w:highlight w:val="none"/>
              </w:rPr>
              <w:t>（</w:t>
            </w:r>
            <w:r>
              <w:rPr>
                <w:rFonts w:hint="eastAsia" w:ascii="仿宋_GB2312" w:hAnsi="仿宋" w:eastAsia="仿宋_GB2312"/>
                <w:b/>
                <w:color w:val="auto"/>
                <w:sz w:val="24"/>
                <w:highlight w:val="none"/>
                <w:lang w:eastAsia="zh-CN"/>
              </w:rPr>
              <w:t>如果有</w:t>
            </w:r>
            <w:r>
              <w:rPr>
                <w:rFonts w:hint="eastAsia" w:ascii="仿宋_GB2312" w:hAnsi="仿宋" w:eastAsia="仿宋_GB2312"/>
                <w:b/>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p>
        </w:tc>
        <w:tc>
          <w:tcPr>
            <w:tcW w:w="22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auto"/>
                <w:sz w:val="24"/>
                <w:highlight w:val="none"/>
                <w:lang w:val="en-US" w:eastAsia="zh-CN"/>
              </w:rPr>
            </w:pPr>
          </w:p>
        </w:tc>
        <w:tc>
          <w:tcPr>
            <w:tcW w:w="19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hint="eastAsia" w:ascii="仿宋_GB2312" w:hAnsi="仿宋" w:eastAsia="仿宋_GB2312" w:cs="仿宋_GB2312"/>
          <w:color w:val="auto"/>
          <w:kern w:val="0"/>
          <w:sz w:val="24"/>
          <w:highlight w:val="none"/>
          <w:lang w:val="zh-CN"/>
        </w:rPr>
        <w:t>。</w:t>
      </w:r>
    </w:p>
    <w:p>
      <w:pPr>
        <w:snapToGrid w:val="0"/>
        <w:spacing w:line="360" w:lineRule="auto"/>
        <w:ind w:firstLine="480" w:firstLineChars="200"/>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bookmarkStart w:id="434" w:name="_GoBack"/>
      <w:bookmarkEnd w:id="434"/>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3"/>
        <w:rPr>
          <w:rFonts w:hint="eastAsia"/>
          <w:color w:val="auto"/>
          <w:highlight w:val="none"/>
        </w:rPr>
      </w:pPr>
    </w:p>
    <w:p>
      <w:pPr>
        <w:snapToGrid w:val="0"/>
        <w:spacing w:line="360" w:lineRule="auto"/>
        <w:jc w:val="center"/>
        <w:outlineLvl w:val="2"/>
        <w:rPr>
          <w:rFonts w:hint="eastAsia" w:ascii="仿宋" w:hAnsi="仿宋" w:eastAsia="仿宋" w:cs="仿宋"/>
          <w:b/>
          <w:color w:val="auto"/>
          <w:kern w:val="0"/>
          <w:sz w:val="40"/>
          <w:szCs w:val="40"/>
          <w:highlight w:val="none"/>
          <w:lang w:val="en-US" w:eastAsia="zh-CN"/>
        </w:rPr>
      </w:pPr>
      <w:r>
        <w:rPr>
          <w:rFonts w:hint="eastAsia" w:ascii="仿宋" w:hAnsi="仿宋" w:eastAsia="仿宋" w:cs="仿宋"/>
          <w:b/>
          <w:color w:val="auto"/>
          <w:kern w:val="0"/>
          <w:sz w:val="40"/>
          <w:szCs w:val="40"/>
          <w:highlight w:val="none"/>
          <w:lang w:val="en-US" w:eastAsia="zh-CN"/>
        </w:rPr>
        <w:t>二、报价明细表</w:t>
      </w:r>
    </w:p>
    <w:tbl>
      <w:tblPr>
        <w:tblStyle w:val="62"/>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8" w:type="dxa"/>
            <w:vAlign w:val="center"/>
          </w:tcPr>
          <w:p>
            <w:pPr>
              <w:rPr>
                <w:rFonts w:ascii="仿宋_GB2312" w:hAnsi="仿宋" w:eastAsia="仿宋_GB2312" w:cs="仿宋_GB2312"/>
                <w:b/>
                <w:color w:val="auto"/>
                <w:sz w:val="24"/>
                <w:highlight w:val="none"/>
              </w:rPr>
            </w:pPr>
            <w:r>
              <w:rPr>
                <w:rFonts w:hint="eastAsia" w:ascii="仿宋" w:hAnsi="仿宋" w:eastAsia="仿宋" w:cs="仿宋"/>
                <w:b/>
                <w:color w:val="auto"/>
                <w:kern w:val="0"/>
                <w:sz w:val="40"/>
                <w:szCs w:val="40"/>
                <w:highlight w:val="none"/>
                <w:lang w:val="en-US" w:eastAsia="zh-CN"/>
              </w:rPr>
              <w:br w:type="page"/>
            </w:r>
            <w:r>
              <w:rPr>
                <w:rFonts w:hint="eastAsia" w:ascii="仿宋_GB2312" w:hAnsi="仿宋" w:eastAsia="仿宋_GB2312"/>
                <w:b/>
                <w:color w:val="auto"/>
                <w:sz w:val="24"/>
                <w:highlight w:val="none"/>
              </w:rPr>
              <w:t>序号</w:t>
            </w: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w:t>
            </w: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仿宋_GB2312"/>
                <w:b/>
                <w:color w:val="auto"/>
                <w:sz w:val="24"/>
                <w:highlight w:val="none"/>
                <w:lang w:val="en-US" w:eastAsia="zh-CN"/>
              </w:rPr>
            </w:pPr>
            <w:r>
              <w:rPr>
                <w:rFonts w:hint="eastAsia" w:ascii="仿宋_GB2312" w:hAnsi="仿宋" w:eastAsia="仿宋_GB2312" w:cs="仿宋_GB2312"/>
                <w:b/>
                <w:color w:val="auto"/>
                <w:sz w:val="24"/>
                <w:highlight w:val="none"/>
                <w:lang w:val="en-US" w:eastAsia="zh-CN"/>
              </w:rPr>
              <w:t>合计</w:t>
            </w: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lang w:eastAsia="zh-CN"/>
              </w:rPr>
              <w:t>备注</w:t>
            </w:r>
            <w:r>
              <w:rPr>
                <w:rFonts w:hint="eastAsia" w:ascii="仿宋_GB2312" w:hAnsi="仿宋" w:eastAsia="仿宋_GB2312"/>
                <w:b/>
                <w:color w:val="auto"/>
                <w:sz w:val="24"/>
                <w:highlight w:val="none"/>
              </w:rPr>
              <w:t>（</w:t>
            </w:r>
            <w:r>
              <w:rPr>
                <w:rFonts w:hint="eastAsia" w:ascii="仿宋_GB2312" w:hAnsi="仿宋" w:eastAsia="仿宋_GB2312"/>
                <w:b/>
                <w:color w:val="auto"/>
                <w:sz w:val="24"/>
                <w:highlight w:val="none"/>
                <w:lang w:eastAsia="zh-CN"/>
              </w:rPr>
              <w:t>如果有</w:t>
            </w:r>
            <w:r>
              <w:rPr>
                <w:rFonts w:hint="eastAsia" w:ascii="仿宋_GB2312" w:hAnsi="仿宋" w:eastAsia="仿宋_GB2312"/>
                <w:b/>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auto"/>
                <w:sz w:val="24"/>
                <w:highlight w:val="none"/>
                <w:lang w:val="en-US" w:eastAsia="zh-CN"/>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1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69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c>
          <w:tcPr>
            <w:tcW w:w="190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39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sz w:val="24"/>
                <w:highlight w:val="none"/>
              </w:rPr>
            </w:pPr>
          </w:p>
        </w:tc>
      </w:tr>
    </w:tbl>
    <w:p>
      <w:pPr>
        <w:rPr>
          <w:rFonts w:hint="eastAsia" w:ascii="仿宋" w:hAnsi="仿宋" w:eastAsia="仿宋" w:cs="仿宋"/>
          <w:b/>
          <w:color w:val="auto"/>
          <w:kern w:val="0"/>
          <w:sz w:val="40"/>
          <w:szCs w:val="40"/>
          <w:highlight w:val="none"/>
          <w:lang w:val="en-US" w:eastAsia="zh-CN"/>
        </w:rPr>
      </w:pPr>
    </w:p>
    <w:p>
      <w:pPr>
        <w:rPr>
          <w:rFonts w:hint="eastAsia" w:ascii="仿宋" w:hAnsi="仿宋" w:eastAsia="仿宋" w:cs="仿宋"/>
          <w:b/>
          <w:color w:val="auto"/>
          <w:kern w:val="0"/>
          <w:sz w:val="40"/>
          <w:szCs w:val="40"/>
          <w:highlight w:val="none"/>
          <w:lang w:val="en-US" w:eastAsia="zh-CN"/>
        </w:rPr>
      </w:pPr>
      <w:r>
        <w:rPr>
          <w:rFonts w:hint="eastAsia" w:ascii="仿宋" w:hAnsi="仿宋" w:eastAsia="仿宋" w:cs="仿宋"/>
          <w:b/>
          <w:color w:val="auto"/>
          <w:kern w:val="0"/>
          <w:sz w:val="40"/>
          <w:szCs w:val="40"/>
          <w:highlight w:val="none"/>
          <w:lang w:val="en-US" w:eastAsia="zh-CN"/>
        </w:rPr>
        <w:br w:type="page"/>
      </w:r>
    </w:p>
    <w:p>
      <w:pPr>
        <w:snapToGrid w:val="0"/>
        <w:spacing w:line="360" w:lineRule="auto"/>
        <w:jc w:val="center"/>
        <w:outlineLvl w:val="2"/>
        <w:rPr>
          <w:rFonts w:hint="eastAsia"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en-US" w:eastAsia="zh-CN"/>
        </w:rPr>
        <w:t>三、</w:t>
      </w:r>
      <w:r>
        <w:rPr>
          <w:rFonts w:hint="eastAsia" w:ascii="仿宋" w:hAnsi="仿宋" w:eastAsia="仿宋" w:cs="仿宋"/>
          <w:b/>
          <w:color w:val="auto"/>
          <w:kern w:val="0"/>
          <w:sz w:val="40"/>
          <w:szCs w:val="40"/>
          <w:highlight w:val="none"/>
          <w:lang w:val="zh-CN"/>
        </w:rPr>
        <w:t>投标报价分析说明</w:t>
      </w:r>
      <w:r>
        <w:rPr>
          <w:rFonts w:hint="eastAsia" w:ascii="仿宋" w:hAnsi="仿宋" w:eastAsia="仿宋" w:cs="仿宋"/>
          <w:b/>
          <w:color w:val="auto"/>
          <w:kern w:val="0"/>
          <w:sz w:val="32"/>
          <w:szCs w:val="32"/>
          <w:highlight w:val="none"/>
          <w:lang w:eastAsia="zh-CN"/>
        </w:rPr>
        <w:t>（如果有）</w:t>
      </w:r>
    </w:p>
    <w:p>
      <w:pPr>
        <w:pStyle w:val="23"/>
        <w:rPr>
          <w:rFonts w:hint="eastAsia"/>
          <w:color w:val="auto"/>
          <w:highlight w:val="none"/>
        </w:rPr>
      </w:pPr>
    </w:p>
    <w:p>
      <w:pPr>
        <w:pStyle w:val="23"/>
        <w:rPr>
          <w:rFonts w:hint="eastAsia"/>
          <w:color w:val="auto"/>
          <w:highlight w:val="none"/>
        </w:rPr>
      </w:pPr>
    </w:p>
    <w:p>
      <w:pPr>
        <w:pStyle w:val="23"/>
        <w:ind w:firstLine="560" w:firstLineChars="200"/>
        <w:rPr>
          <w:rFonts w:hint="eastAsia" w:ascii="仿宋" w:hAnsi="仿宋" w:eastAsia="仿宋" w:cs="仿宋"/>
          <w:color w:val="auto"/>
          <w:sz w:val="28"/>
          <w:szCs w:val="22"/>
          <w:highlight w:val="none"/>
          <w:lang w:eastAsia="zh-CN"/>
        </w:rPr>
      </w:pPr>
      <w:r>
        <w:rPr>
          <w:rFonts w:hint="eastAsia" w:ascii="仿宋" w:hAnsi="仿宋" w:eastAsia="仿宋" w:cs="仿宋"/>
          <w:color w:val="auto"/>
          <w:sz w:val="28"/>
          <w:szCs w:val="22"/>
          <w:highlight w:val="none"/>
        </w:rPr>
        <w:t>投标报价低于预算金额50%时，供应商应详细阐述不影响产品质量或诚信履约的具体原因</w:t>
      </w:r>
      <w:r>
        <w:rPr>
          <w:rFonts w:hint="eastAsia" w:ascii="仿宋" w:hAnsi="仿宋" w:eastAsia="仿宋" w:cs="仿宋"/>
          <w:color w:val="auto"/>
          <w:sz w:val="28"/>
          <w:szCs w:val="22"/>
          <w:highlight w:val="none"/>
          <w:lang w:eastAsia="zh-CN"/>
        </w:rPr>
        <w:t>。</w:t>
      </w:r>
    </w:p>
    <w:p>
      <w:pPr>
        <w:pStyle w:val="23"/>
        <w:rPr>
          <w:rFonts w:hint="eastAsia"/>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161" w:firstLineChars="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40"/>
          <w:szCs w:val="40"/>
          <w:highlight w:val="none"/>
          <w:lang w:val="zh-CN"/>
        </w:rPr>
        <w:t>中标服务费支付承诺书和中标服务费结算信息表。</w:t>
      </w:r>
    </w:p>
    <w:p>
      <w:pPr>
        <w:jc w:val="center"/>
        <w:rPr>
          <w:rFonts w:ascii="仿宋" w:hAnsi="仿宋" w:eastAsia="仿宋" w:cs="仿宋"/>
          <w:b/>
          <w:color w:val="auto"/>
          <w:sz w:val="28"/>
          <w:szCs w:val="28"/>
          <w:highlight w:val="none"/>
        </w:rPr>
      </w:pPr>
    </w:p>
    <w:p>
      <w:pPr>
        <w:widowControl/>
        <w:spacing w:line="360" w:lineRule="auto"/>
        <w:ind w:firstLine="201" w:firstLineChars="50"/>
        <w:jc w:val="center"/>
        <w:rPr>
          <w:rFonts w:hint="eastAsia"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zh-CN"/>
        </w:rPr>
        <w:t>中标服务费支付承诺书</w:t>
      </w:r>
    </w:p>
    <w:p>
      <w:pPr>
        <w:spacing w:line="600" w:lineRule="auto"/>
        <w:jc w:val="center"/>
        <w:rPr>
          <w:rFonts w:ascii="仿宋" w:hAnsi="仿宋" w:eastAsia="仿宋" w:cs="仿宋"/>
          <w:b/>
          <w:color w:val="auto"/>
          <w:sz w:val="28"/>
          <w:szCs w:val="28"/>
          <w:highlight w:val="none"/>
        </w:rPr>
      </w:pPr>
    </w:p>
    <w:p>
      <w:pPr>
        <w:keepNext/>
        <w:keepLines/>
        <w:spacing w:line="600" w:lineRule="auto"/>
        <w:ind w:firstLine="470" w:firstLineChars="19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浙江国际招投标有限公司：</w:t>
      </w:r>
    </w:p>
    <w:p>
      <w:pPr>
        <w:keepNext/>
        <w:keepLines/>
        <w:spacing w:line="600" w:lineRule="auto"/>
        <w:ind w:firstLine="480"/>
        <w:rPr>
          <w:rFonts w:ascii="仿宋" w:hAnsi="仿宋" w:eastAsia="仿宋" w:cs="仿宋"/>
          <w:color w:val="auto"/>
          <w:sz w:val="24"/>
          <w:highlight w:val="none"/>
        </w:rPr>
      </w:pPr>
    </w:p>
    <w:p>
      <w:pPr>
        <w:keepNext/>
        <w:keepLines/>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本单位在此承诺：如在本项目中标，成交结果公告发布之日起5个工作日之内，向贵公司按采购文件约定支付中标服务费。</w:t>
      </w:r>
    </w:p>
    <w:p>
      <w:pPr>
        <w:snapToGrid w:val="0"/>
        <w:spacing w:line="480" w:lineRule="auto"/>
        <w:ind w:firstLine="420" w:firstLineChars="200"/>
        <w:rPr>
          <w:rFonts w:ascii="仿宋" w:hAnsi="仿宋" w:eastAsia="仿宋" w:cs="仿宋"/>
          <w:color w:val="auto"/>
          <w:highlight w:val="none"/>
        </w:rPr>
      </w:pPr>
    </w:p>
    <w:p>
      <w:pPr>
        <w:snapToGrid w:val="0"/>
        <w:spacing w:line="480" w:lineRule="auto"/>
        <w:ind w:firstLine="420" w:firstLineChars="200"/>
        <w:rPr>
          <w:rFonts w:ascii="仿宋" w:hAnsi="仿宋" w:eastAsia="仿宋" w:cs="仿宋"/>
          <w:color w:val="auto"/>
          <w:highlight w:val="none"/>
        </w:rPr>
      </w:pPr>
    </w:p>
    <w:p>
      <w:pPr>
        <w:spacing w:line="360" w:lineRule="auto"/>
        <w:rPr>
          <w:rFonts w:ascii="仿宋" w:hAnsi="仿宋" w:eastAsia="仿宋" w:cs="仿宋"/>
          <w:color w:val="auto"/>
          <w:highlight w:val="none"/>
        </w:rPr>
      </w:pPr>
    </w:p>
    <w:p>
      <w:pPr>
        <w:snapToGrid w:val="0"/>
        <w:spacing w:line="360" w:lineRule="auto"/>
        <w:jc w:val="right"/>
        <w:rPr>
          <w:rFonts w:ascii="仿宋" w:hAnsi="仿宋" w:eastAsia="仿宋" w:cs="仿宋"/>
          <w:color w:val="auto"/>
          <w:spacing w:val="20"/>
          <w:sz w:val="24"/>
          <w:szCs w:val="22"/>
          <w:highlight w:val="none"/>
          <w:u w:val="single"/>
        </w:rPr>
      </w:pPr>
      <w:r>
        <w:rPr>
          <w:rFonts w:hint="eastAsia" w:ascii="仿宋" w:hAnsi="仿宋" w:eastAsia="仿宋" w:cs="仿宋"/>
          <w:color w:val="auto"/>
          <w:sz w:val="24"/>
          <w:szCs w:val="22"/>
          <w:highlight w:val="none"/>
        </w:rPr>
        <w:t>供应商（电子签名）：</w:t>
      </w:r>
    </w:p>
    <w:p>
      <w:pPr>
        <w:spacing w:line="360" w:lineRule="auto"/>
        <w:ind w:right="375"/>
        <w:jc w:val="right"/>
        <w:rPr>
          <w:rFonts w:ascii="仿宋" w:hAnsi="仿宋" w:eastAsia="仿宋" w:cs="仿宋"/>
          <w:color w:val="auto"/>
          <w:sz w:val="24"/>
          <w:szCs w:val="22"/>
          <w:highlight w:val="none"/>
        </w:rPr>
      </w:pPr>
      <w:r>
        <w:rPr>
          <w:rFonts w:hint="eastAsia" w:ascii="仿宋" w:hAnsi="仿宋" w:eastAsia="仿宋" w:cs="仿宋"/>
          <w:color w:val="auto"/>
          <w:spacing w:val="20"/>
          <w:sz w:val="24"/>
          <w:szCs w:val="22"/>
          <w:highlight w:val="none"/>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ind w:right="480"/>
        <w:rPr>
          <w:rFonts w:ascii="仿宋" w:hAnsi="仿宋" w:eastAsia="仿宋" w:cs="仿宋"/>
          <w:color w:val="auto"/>
          <w:sz w:val="24"/>
          <w:highlight w:val="none"/>
        </w:rPr>
      </w:pPr>
    </w:p>
    <w:p>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pPr>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hint="eastAsia" w:ascii="仿宋" w:hAnsi="仿宋" w:eastAsia="仿宋" w:cs="仿宋"/>
          <w:b/>
          <w:color w:val="auto"/>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rPr>
      </w:pPr>
      <w:bookmarkStart w:id="425" w:name="_Toc465665161"/>
      <w:r>
        <w:rPr>
          <w:rFonts w:hint="eastAsia" w:ascii="仿宋" w:hAnsi="仿宋" w:eastAsia="仿宋" w:cs="仿宋"/>
          <w:b/>
          <w:color w:val="auto"/>
          <w:kern w:val="0"/>
          <w:sz w:val="32"/>
          <w:szCs w:val="32"/>
          <w:highlight w:val="none"/>
        </w:rPr>
        <w:t>附件</w:t>
      </w:r>
      <w:bookmarkEnd w:id="425"/>
    </w:p>
    <w:p>
      <w:pPr>
        <w:spacing w:line="360" w:lineRule="auto"/>
        <w:jc w:val="center"/>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426" w:name="OLE_LINK14"/>
      <w:bookmarkStart w:id="427" w:name="OLE_LINK13"/>
      <w:r>
        <w:rPr>
          <w:rFonts w:hint="eastAsia" w:ascii="仿宋" w:hAnsi="仿宋" w:eastAsia="仿宋" w:cs="仿宋"/>
          <w:b/>
          <w:color w:val="auto"/>
          <w:spacing w:val="6"/>
          <w:sz w:val="32"/>
          <w:szCs w:val="32"/>
          <w:highlight w:val="none"/>
        </w:rPr>
        <w:t>残疾人福利性单位声明函</w:t>
      </w:r>
    </w:p>
    <w:bookmarkEnd w:id="426"/>
    <w:bookmarkEnd w:id="427"/>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outlineLvl w:val="2"/>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rPr>
          <w:rFonts w:ascii="仿宋" w:hAnsi="仿宋" w:eastAsia="仿宋" w:cs="仿宋"/>
          <w:color w:val="auto"/>
          <w:highlight w:val="non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42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28"/>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rPr>
          <w:rFonts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29"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29"/>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_GB2312" w:hAnsi="宋体" w:eastAsia="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杭州市第三人民医院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制剂包装材料塑料内包材采购</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 w:hAnsi="仿宋" w:eastAsia="仿宋" w:cs="仿宋"/>
          <w:color w:val="auto"/>
          <w:kern w:val="2"/>
          <w:sz w:val="24"/>
          <w:szCs w:val="24"/>
          <w:highlight w:val="none"/>
          <w:u w:val="single"/>
          <w:lang w:val="en-US" w:eastAsia="zh-CN" w:bidi="ar"/>
        </w:rPr>
        <w:t>100mlPET棕色瓶</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 xml:space="preserve">2. </w:t>
      </w:r>
      <w:r>
        <w:rPr>
          <w:rFonts w:hint="eastAsia" w:ascii="仿宋" w:hAnsi="仿宋" w:eastAsia="仿宋" w:cs="仿宋"/>
          <w:color w:val="auto"/>
          <w:kern w:val="2"/>
          <w:sz w:val="24"/>
          <w:szCs w:val="24"/>
          <w:highlight w:val="none"/>
          <w:u w:val="single"/>
          <w:lang w:val="en-US" w:eastAsia="zh-CN" w:bidi="ar"/>
        </w:rPr>
        <w:t>100mlPET棕色瓶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3</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500mlPET棕色瓶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4</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500mlPET棕色瓶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5</w:t>
      </w:r>
      <w:r>
        <w:rPr>
          <w:rFonts w:ascii="仿宋_GB2312" w:hAnsi="宋体" w:eastAsia="仿宋_GB2312"/>
          <w:color w:val="auto"/>
          <w:sz w:val="24"/>
          <w:highlight w:val="none"/>
        </w:rPr>
        <w:t>.</w:t>
      </w:r>
      <w:r>
        <w:rPr>
          <w:rFonts w:hint="eastAsia" w:ascii="仿宋" w:hAnsi="仿宋" w:eastAsia="仿宋" w:cs="仿宋"/>
          <w:color w:val="auto"/>
          <w:kern w:val="2"/>
          <w:sz w:val="24"/>
          <w:szCs w:val="24"/>
          <w:highlight w:val="none"/>
          <w:u w:val="single"/>
          <w:lang w:val="en-US" w:eastAsia="zh-CN" w:bidi="ar"/>
        </w:rPr>
        <w:t>20mlLDPE棕色瓶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6</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10mlLDPE无色滴眼瓶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7</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100mlHDPE白色瓶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8</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100mlHDPE蓝色瓶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9</w:t>
      </w:r>
      <w:r>
        <w:rPr>
          <w:rFonts w:ascii="仿宋_GB2312" w:hAnsi="宋体" w:eastAsia="仿宋_GB2312"/>
          <w:color w:val="auto"/>
          <w:sz w:val="24"/>
          <w:highlight w:val="none"/>
        </w:rPr>
        <w:t xml:space="preserve">. </w:t>
      </w:r>
      <w:r>
        <w:rPr>
          <w:rFonts w:hint="eastAsia" w:ascii="仿宋" w:hAnsi="仿宋" w:eastAsia="仿宋" w:cs="仿宋"/>
          <w:color w:val="auto"/>
          <w:kern w:val="2"/>
          <w:sz w:val="24"/>
          <w:szCs w:val="24"/>
          <w:highlight w:val="none"/>
          <w:u w:val="single"/>
          <w:lang w:val="en-US" w:eastAsia="zh-CN" w:bidi="ar"/>
        </w:rPr>
        <w:t>30gHDPE固体瓶</w:t>
      </w:r>
      <w:r>
        <w:rPr>
          <w:rFonts w:ascii="仿宋_GB2312" w:hAnsi="宋体" w:eastAsia="仿宋_GB2312"/>
          <w:color w:val="auto"/>
          <w:sz w:val="24"/>
          <w:highlight w:val="none"/>
        </w:rPr>
        <w:t xml:space="preserve">，属于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hint="eastAsia" w:ascii="仿宋_GB2312" w:hAnsi="宋体" w:eastAsia="仿宋_GB2312"/>
          <w:color w:val="auto"/>
          <w:sz w:val="24"/>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ind w:right="30" w:firstLine="494"/>
        <w:jc w:val="center"/>
        <w:rPr>
          <w:rFonts w:ascii="仿宋" w:hAnsi="仿宋" w:eastAsia="仿宋" w:cs="宋体"/>
          <w:color w:val="auto"/>
          <w:sz w:val="24"/>
          <w:highlight w:val="none"/>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snapToGrid w:val="0"/>
        <w:spacing w:line="360" w:lineRule="auto"/>
        <w:rPr>
          <w:rFonts w:ascii="仿宋_GB2312" w:hAnsi="仿宋" w:eastAsia="仿宋_GB2312" w:cs="仿宋_GB2312"/>
          <w:color w:val="auto"/>
          <w:kern w:val="0"/>
          <w:sz w:val="24"/>
          <w:highlight w:val="none"/>
          <w:lang w:val="zh-CN"/>
        </w:rPr>
      </w:pPr>
    </w:p>
    <w:p>
      <w:pPr>
        <w:spacing w:line="360" w:lineRule="auto"/>
        <w:jc w:val="left"/>
        <w:rPr>
          <w:rFonts w:ascii="仿宋_GB2312" w:hAnsi="宋体" w:eastAsia="仿宋_GB2312"/>
          <w:color w:val="auto"/>
          <w:sz w:val="18"/>
          <w:szCs w:val="18"/>
          <w:highlight w:val="none"/>
        </w:rPr>
      </w:pPr>
    </w:p>
    <w:p>
      <w:pPr>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pPr>
        <w:spacing w:line="360" w:lineRule="auto"/>
        <w:ind w:right="420" w:firstLine="482" w:firstLineChars="200"/>
        <w:rPr>
          <w:rFonts w:hint="default" w:ascii="仿宋_GB2312" w:hAnsi="仿宋" w:eastAsia="仿宋_GB2312" w:cs="仿宋_GB2312"/>
          <w:b/>
          <w:bCs/>
          <w:color w:val="auto"/>
          <w:sz w:val="24"/>
          <w:highlight w:val="none"/>
          <w:u w:val="single"/>
          <w:lang w:val="en-US" w:eastAsia="zh-CN"/>
        </w:rPr>
      </w:pPr>
      <w:r>
        <w:rPr>
          <w:rFonts w:hint="eastAsia" w:ascii="仿宋_GB2312" w:hAnsi="仿宋" w:eastAsia="仿宋_GB2312" w:cs="仿宋_GB2312"/>
          <w:b/>
          <w:bCs/>
          <w:color w:val="auto"/>
          <w:sz w:val="24"/>
          <w:highlight w:val="none"/>
          <w:u w:val="single"/>
          <w:lang w:val="en-US" w:eastAsia="zh-CN"/>
        </w:rPr>
        <w:t>各投标人务必按照本文件“第三部分 采购需求”中“二、采购清单”所列内容逐项填写。</w:t>
      </w:r>
    </w:p>
    <w:p>
      <w:pPr>
        <w:spacing w:line="360" w:lineRule="auto"/>
        <w:ind w:right="420" w:firstLine="480" w:firstLineChars="200"/>
        <w:rPr>
          <w:rFonts w:ascii="仿宋" w:hAnsi="仿宋" w:eastAsia="仿宋" w:cs="仿宋"/>
          <w:b/>
          <w:color w:val="auto"/>
          <w:sz w:val="32"/>
          <w:szCs w:val="32"/>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30" w:name="_Toc164085800"/>
    <w:bookmarkStart w:id="431" w:name="_Toc91899912"/>
    <w:bookmarkStart w:id="432" w:name="_Toc36110187"/>
    <w:bookmarkStart w:id="433" w:name="_Toc131845147"/>
    <w:r>
      <w:rPr>
        <w:rFonts w:hint="eastAsia" w:ascii="仿宋_GB2312" w:eastAsia="仿宋_GB2312"/>
        <w:kern w:val="0"/>
        <w:szCs w:val="21"/>
      </w:rPr>
      <w:t xml:space="preserve"> 页</w:t>
    </w:r>
    <w:bookmarkEnd w:id="430"/>
    <w:bookmarkEnd w:id="431"/>
    <w:bookmarkEnd w:id="432"/>
    <w:bookmarkEnd w:id="43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杭州市第三人民医院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89C9C"/>
    <w:multiLevelType w:val="singleLevel"/>
    <w:tmpl w:val="90089C9C"/>
    <w:lvl w:ilvl="0" w:tentative="0">
      <w:start w:val="5"/>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A9C1E5EE"/>
    <w:multiLevelType w:val="singleLevel"/>
    <w:tmpl w:val="A9C1E5EE"/>
    <w:lvl w:ilvl="0" w:tentative="0">
      <w:start w:val="5"/>
      <w:numFmt w:val="chineseCounting"/>
      <w:suff w:val="nothing"/>
      <w:lvlText w:val="%1、"/>
      <w:lvlJc w:val="left"/>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C180C4F3"/>
    <w:multiLevelType w:val="singleLevel"/>
    <w:tmpl w:val="C180C4F3"/>
    <w:lvl w:ilvl="0" w:tentative="0">
      <w:start w:val="1"/>
      <w:numFmt w:val="decimal"/>
      <w:lvlText w:val="%1."/>
      <w:lvlJc w:val="left"/>
      <w:pPr>
        <w:tabs>
          <w:tab w:val="left" w:pos="312"/>
        </w:tabs>
      </w:pPr>
    </w:lvl>
  </w:abstractNum>
  <w:abstractNum w:abstractNumId="5">
    <w:nsid w:val="D9EC99C5"/>
    <w:multiLevelType w:val="singleLevel"/>
    <w:tmpl w:val="D9EC99C5"/>
    <w:lvl w:ilvl="0" w:tentative="0">
      <w:start w:val="1"/>
      <w:numFmt w:val="decimal"/>
      <w:lvlText w:val="(%1)"/>
      <w:lvlJc w:val="left"/>
      <w:pPr>
        <w:ind w:left="425" w:hanging="425"/>
      </w:pPr>
      <w:rPr>
        <w:rFonts w:hint="default"/>
      </w:rPr>
    </w:lvl>
  </w:abstractNum>
  <w:abstractNum w:abstractNumId="6">
    <w:nsid w:val="E53E6617"/>
    <w:multiLevelType w:val="singleLevel"/>
    <w:tmpl w:val="E53E6617"/>
    <w:lvl w:ilvl="0" w:tentative="0">
      <w:start w:val="3"/>
      <w:numFmt w:val="chineseCounting"/>
      <w:suff w:val="space"/>
      <w:lvlText w:val="第%1部分"/>
      <w:lvlJc w:val="left"/>
      <w:rPr>
        <w:rFonts w:hint="eastAsia"/>
      </w:rPr>
    </w:lvl>
  </w:abstractNum>
  <w:abstractNum w:abstractNumId="7">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67820A28"/>
    <w:multiLevelType w:val="singleLevel"/>
    <w:tmpl w:val="67820A28"/>
    <w:lvl w:ilvl="0" w:tentative="0">
      <w:start w:val="1"/>
      <w:numFmt w:val="decimal"/>
      <w:suff w:val="nothing"/>
      <w:lvlText w:val="（%1）"/>
      <w:lvlJc w:val="left"/>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5"/>
  </w:num>
  <w:num w:numId="4">
    <w:abstractNumId w:val="9"/>
  </w:num>
  <w:num w:numId="5">
    <w:abstractNumId w:val="6"/>
  </w:num>
  <w:num w:numId="6">
    <w:abstractNumId w:val="0"/>
  </w:num>
  <w:num w:numId="7">
    <w:abstractNumId w:val="4"/>
  </w:num>
  <w:num w:numId="8">
    <w:abstractNumId w:val="1"/>
  </w:num>
  <w:num w:numId="9">
    <w:abstractNumId w:val="12"/>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50BB4"/>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2CE9"/>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C3CF7"/>
    <w:rsid w:val="03FD05D6"/>
    <w:rsid w:val="03FD2384"/>
    <w:rsid w:val="03FF434E"/>
    <w:rsid w:val="04001E75"/>
    <w:rsid w:val="04076900"/>
    <w:rsid w:val="04096F7B"/>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6770C"/>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3A4A"/>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0F46"/>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A1044"/>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640C8"/>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75B1D"/>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07F8A"/>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74D9C"/>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A777C"/>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B30E0"/>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3F19F1"/>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00184"/>
    <w:rsid w:val="17C50FB3"/>
    <w:rsid w:val="17CF1E32"/>
    <w:rsid w:val="17D336D0"/>
    <w:rsid w:val="17D349C1"/>
    <w:rsid w:val="17D35235"/>
    <w:rsid w:val="17D853C7"/>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1903"/>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C94127"/>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800EE"/>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53204"/>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C1365"/>
    <w:rsid w:val="246D6C5B"/>
    <w:rsid w:val="246F2341"/>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7FE4571"/>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20ED9"/>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85261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371AF"/>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27B73"/>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3E21E9"/>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9D4FDA"/>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934BB"/>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0E30B5"/>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6325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9736F"/>
    <w:rsid w:val="37FC5ED4"/>
    <w:rsid w:val="37FD193B"/>
    <w:rsid w:val="38044D88"/>
    <w:rsid w:val="38115424"/>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67E71"/>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93576"/>
    <w:rsid w:val="397C3D0A"/>
    <w:rsid w:val="398031F3"/>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1DA3"/>
    <w:rsid w:val="39EF3F42"/>
    <w:rsid w:val="39F2758E"/>
    <w:rsid w:val="39F350B4"/>
    <w:rsid w:val="39FC5695"/>
    <w:rsid w:val="39FF3A59"/>
    <w:rsid w:val="3A006D8E"/>
    <w:rsid w:val="3A0D261A"/>
    <w:rsid w:val="3A0F6392"/>
    <w:rsid w:val="3A137505"/>
    <w:rsid w:val="3A1C285D"/>
    <w:rsid w:val="3A1C73C2"/>
    <w:rsid w:val="3A211C22"/>
    <w:rsid w:val="3A236B67"/>
    <w:rsid w:val="3A2636DC"/>
    <w:rsid w:val="3A3651E5"/>
    <w:rsid w:val="3A3B7187"/>
    <w:rsid w:val="3A3F02FA"/>
    <w:rsid w:val="3A4122C4"/>
    <w:rsid w:val="3A461688"/>
    <w:rsid w:val="3A4D6EBA"/>
    <w:rsid w:val="3A4F49E1"/>
    <w:rsid w:val="3A5169AB"/>
    <w:rsid w:val="3A56234B"/>
    <w:rsid w:val="3A60099C"/>
    <w:rsid w:val="3A72247D"/>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2010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B1AF0"/>
    <w:rsid w:val="3C7E77FF"/>
    <w:rsid w:val="3C850B8E"/>
    <w:rsid w:val="3C8666B4"/>
    <w:rsid w:val="3C885F88"/>
    <w:rsid w:val="3C8F7316"/>
    <w:rsid w:val="3CA1529C"/>
    <w:rsid w:val="3CA56B3A"/>
    <w:rsid w:val="3CAA05F4"/>
    <w:rsid w:val="3CAD3C40"/>
    <w:rsid w:val="3CB52AF5"/>
    <w:rsid w:val="3CB90837"/>
    <w:rsid w:val="3CBB45AF"/>
    <w:rsid w:val="3CC03E16"/>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B31F8"/>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A0207"/>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47A30"/>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21AB2"/>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808A3"/>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31455"/>
    <w:rsid w:val="442701F2"/>
    <w:rsid w:val="4427252A"/>
    <w:rsid w:val="442A3DC9"/>
    <w:rsid w:val="442E38B9"/>
    <w:rsid w:val="44330ECF"/>
    <w:rsid w:val="44380293"/>
    <w:rsid w:val="443D58AA"/>
    <w:rsid w:val="444424C2"/>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EB53EE"/>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E7E88"/>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A5758"/>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C7708"/>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7140D"/>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25F0"/>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04BD2"/>
    <w:rsid w:val="49942410"/>
    <w:rsid w:val="499C3073"/>
    <w:rsid w:val="499E503D"/>
    <w:rsid w:val="499F2B63"/>
    <w:rsid w:val="49A14B2D"/>
    <w:rsid w:val="49A95790"/>
    <w:rsid w:val="49AA39E1"/>
    <w:rsid w:val="49AB775A"/>
    <w:rsid w:val="49B04D70"/>
    <w:rsid w:val="49B4151D"/>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007B"/>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210A9"/>
    <w:rsid w:val="4C76404F"/>
    <w:rsid w:val="4C765DFD"/>
    <w:rsid w:val="4C7B4735"/>
    <w:rsid w:val="4C856040"/>
    <w:rsid w:val="4CAC7A71"/>
    <w:rsid w:val="4CB6685F"/>
    <w:rsid w:val="4CB9218D"/>
    <w:rsid w:val="4CBD66EA"/>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D4DC0"/>
    <w:rsid w:val="4F0E4A13"/>
    <w:rsid w:val="4F104EC3"/>
    <w:rsid w:val="4F132029"/>
    <w:rsid w:val="4F157E66"/>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C1896"/>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851EC"/>
    <w:rsid w:val="527B23BF"/>
    <w:rsid w:val="528B0128"/>
    <w:rsid w:val="528B637A"/>
    <w:rsid w:val="52977FD4"/>
    <w:rsid w:val="52A25790"/>
    <w:rsid w:val="52A35472"/>
    <w:rsid w:val="52A96B6F"/>
    <w:rsid w:val="52B45975"/>
    <w:rsid w:val="52B4767F"/>
    <w:rsid w:val="52B753C1"/>
    <w:rsid w:val="52B80505"/>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23C82"/>
    <w:rsid w:val="5624780D"/>
    <w:rsid w:val="56261B79"/>
    <w:rsid w:val="56292132"/>
    <w:rsid w:val="5630526E"/>
    <w:rsid w:val="56312D95"/>
    <w:rsid w:val="56321D83"/>
    <w:rsid w:val="56333318"/>
    <w:rsid w:val="563441A1"/>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3236C"/>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47B68"/>
    <w:rsid w:val="597E3DD8"/>
    <w:rsid w:val="598002BB"/>
    <w:rsid w:val="59875AED"/>
    <w:rsid w:val="598853C1"/>
    <w:rsid w:val="598C3104"/>
    <w:rsid w:val="5991071A"/>
    <w:rsid w:val="59945B14"/>
    <w:rsid w:val="599678C9"/>
    <w:rsid w:val="5999312B"/>
    <w:rsid w:val="599C0E6D"/>
    <w:rsid w:val="59A321FB"/>
    <w:rsid w:val="59A633F1"/>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2700B"/>
    <w:rsid w:val="5BE80399"/>
    <w:rsid w:val="5BED4606"/>
    <w:rsid w:val="5BF52B2A"/>
    <w:rsid w:val="5C02690E"/>
    <w:rsid w:val="5C0F1DCA"/>
    <w:rsid w:val="5C115B42"/>
    <w:rsid w:val="5C142F3C"/>
    <w:rsid w:val="5C163158"/>
    <w:rsid w:val="5C1631F6"/>
    <w:rsid w:val="5C190553"/>
    <w:rsid w:val="5C196DA7"/>
    <w:rsid w:val="5C1B1F35"/>
    <w:rsid w:val="5C1F202C"/>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23008"/>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341BA"/>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51B1A"/>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6F481C"/>
    <w:rsid w:val="63711FED"/>
    <w:rsid w:val="637846F9"/>
    <w:rsid w:val="637C1C1B"/>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06BE9"/>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44810"/>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A2ADA"/>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DF08A2"/>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02D2A"/>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21A12"/>
    <w:rsid w:val="6B637A3C"/>
    <w:rsid w:val="6B6537B4"/>
    <w:rsid w:val="6B680BAF"/>
    <w:rsid w:val="6B6F1F3D"/>
    <w:rsid w:val="6B7C465A"/>
    <w:rsid w:val="6B80239C"/>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F5543"/>
    <w:rsid w:val="6D0112BB"/>
    <w:rsid w:val="6D091F08"/>
    <w:rsid w:val="6D0D5EB2"/>
    <w:rsid w:val="6D0F1C2A"/>
    <w:rsid w:val="6D1303C6"/>
    <w:rsid w:val="6D140FEE"/>
    <w:rsid w:val="6D167928"/>
    <w:rsid w:val="6D1C60F5"/>
    <w:rsid w:val="6D26299B"/>
    <w:rsid w:val="6D286848"/>
    <w:rsid w:val="6D297DB1"/>
    <w:rsid w:val="6D3276C6"/>
    <w:rsid w:val="6D3830AB"/>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BD4657"/>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0F5A"/>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15055"/>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34119"/>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10BA3"/>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3494C"/>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A772A"/>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9A77D8"/>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20472"/>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5"/>
    <w:qFormat/>
    <w:uiPriority w:val="0"/>
    <w:rPr>
      <w:b/>
      <w:bCs/>
    </w:rPr>
  </w:style>
  <w:style w:type="paragraph" w:styleId="60">
    <w:name w:val="Body Text First Indent"/>
    <w:basedOn w:val="23"/>
    <w:next w:val="50"/>
    <w:link w:val="323"/>
    <w:qFormat/>
    <w:uiPriority w:val="0"/>
    <w:pPr>
      <w:ind w:firstLine="420"/>
    </w:pPr>
    <w:rPr>
      <w:rFonts w:hAnsi="Calibri" w:cs="Times New Roman"/>
      <w:snapToGrid/>
      <w:szCs w:val="20"/>
    </w:rPr>
  </w:style>
  <w:style w:type="paragraph" w:styleId="61">
    <w:name w:val="Body Text First Indent 2"/>
    <w:basedOn w:val="24"/>
    <w:link w:val="12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57"/>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1">
    <w:name w:val="标题 1 Char"/>
    <w:link w:val="2"/>
    <w:qFormat/>
    <w:uiPriority w:val="9"/>
    <w:rPr>
      <w:b/>
      <w:bCs/>
      <w:kern w:val="44"/>
      <w:sz w:val="44"/>
      <w:szCs w:val="44"/>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styleId="85">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6">
    <w:name w:val="正文缩进 字符"/>
    <w:qFormat/>
    <w:uiPriority w:val="0"/>
    <w:rPr>
      <w:rFonts w:ascii="宋体" w:eastAsia="宋体"/>
      <w:snapToGrid w:val="0"/>
      <w:color w:val="000000"/>
      <w:kern w:val="28"/>
      <w:sz w:val="28"/>
      <w:lang w:val="en-US" w:eastAsia="zh-CN" w:bidi="ar-SA"/>
    </w:rPr>
  </w:style>
  <w:style w:type="character" w:customStyle="1" w:styleId="87">
    <w:name w:val="正文文本 Char"/>
    <w:qFormat/>
    <w:uiPriority w:val="0"/>
    <w:rPr>
      <w:rFonts w:eastAsia="宋体"/>
      <w:kern w:val="2"/>
      <w:sz w:val="24"/>
      <w:szCs w:val="24"/>
      <w:lang w:val="en-US" w:eastAsia="zh-CN" w:bidi="ar-SA"/>
    </w:rPr>
  </w:style>
  <w:style w:type="paragraph" w:customStyle="1" w:styleId="88">
    <w:name w:val="样式6"/>
    <w:basedOn w:val="32"/>
    <w:next w:val="23"/>
    <w:qFormat/>
    <w:uiPriority w:val="0"/>
    <w:pPr>
      <w:spacing w:line="460" w:lineRule="exact"/>
      <w:outlineLvl w:val="2"/>
    </w:pPr>
    <w:rPr>
      <w:rFonts w:ascii="仿宋_GB2312" w:hAnsi="宋体" w:eastAsia="仿宋_GB2312"/>
      <w:b/>
      <w:bCs/>
      <w:sz w:val="24"/>
      <w:szCs w:val="24"/>
    </w:rPr>
  </w:style>
  <w:style w:type="character" w:customStyle="1" w:styleId="89">
    <w:name w:val="标题 1 字符"/>
    <w:qFormat/>
    <w:uiPriority w:val="9"/>
    <w:rPr>
      <w:rFonts w:ascii="Arial" w:hAnsi="Arial" w:eastAsia="黑体" w:cs="Arial"/>
      <w:b/>
      <w:bCs/>
      <w:snapToGrid w:val="0"/>
      <w:kern w:val="44"/>
      <w:sz w:val="44"/>
      <w:szCs w:val="44"/>
    </w:rPr>
  </w:style>
  <w:style w:type="character" w:customStyle="1" w:styleId="90">
    <w:name w:val="标题 3 字符"/>
    <w:qFormat/>
    <w:uiPriority w:val="9"/>
    <w:rPr>
      <w:b/>
      <w:bCs/>
      <w:kern w:val="2"/>
      <w:sz w:val="32"/>
      <w:szCs w:val="32"/>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59"/>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1"/>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46"/>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5"/>
    <w:qFormat/>
    <w:uiPriority w:val="0"/>
    <w:rPr>
      <w:rFonts w:ascii="宋体"/>
      <w:kern w:val="2"/>
      <w:sz w:val="24"/>
      <w:szCs w:val="21"/>
      <w:lang w:val="zh-CN"/>
    </w:rPr>
  </w:style>
  <w:style w:type="character" w:customStyle="1" w:styleId="189">
    <w:name w:val="标题 9 Char"/>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0"/>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43109</Words>
  <Characters>46057</Characters>
  <Lines>321</Lines>
  <Paragraphs>90</Paragraphs>
  <TotalTime>8</TotalTime>
  <ScaleCrop>false</ScaleCrop>
  <LinksUpToDate>false</LinksUpToDate>
  <CharactersWithSpaces>47994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苑洪春</cp:lastModifiedBy>
  <cp:lastPrinted>2023-06-21T23:15:00Z</cp:lastPrinted>
  <dcterms:modified xsi:type="dcterms:W3CDTF">2024-12-18T09:22:52Z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909B67614D95420C882F2FE8EA067501_13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